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14" w:lineRule="exact" w:before="0"/>
        <w:ind w:left="7073" w:right="0" w:firstLine="0"/>
        <w:jc w:val="left"/>
        <w:rPr>
          <w:rFonts w:ascii="Microsoft JhengHei" w:eastAsia="Microsoft JhengHei" w:hint="eastAsia"/>
          <w:b/>
          <w:sz w:val="20"/>
        </w:rPr>
      </w:pPr>
      <w:r>
        <w:rPr/>
        <w:drawing>
          <wp:anchor distT="0" distB="0" distL="0" distR="0" allowOverlap="1" layoutInCell="1" locked="0" behindDoc="0" simplePos="0" relativeHeight="0">
            <wp:simplePos x="0" y="0"/>
            <wp:positionH relativeFrom="page">
              <wp:posOffset>5829300</wp:posOffset>
            </wp:positionH>
            <wp:positionV relativeFrom="paragraph">
              <wp:posOffset>265938</wp:posOffset>
            </wp:positionV>
            <wp:extent cx="720382" cy="702182"/>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382" cy="702182"/>
                    </a:xfrm>
                    <a:prstGeom prst="rect">
                      <a:avLst/>
                    </a:prstGeom>
                  </pic:spPr>
                </pic:pic>
              </a:graphicData>
            </a:graphic>
          </wp:anchor>
        </w:drawing>
      </w:r>
      <w:r>
        <w:rPr>
          <w:rFonts w:ascii="Microsoft JhengHei" w:eastAsia="Microsoft JhengHei" w:hint="eastAsia"/>
          <w:b/>
          <w:w w:val="95"/>
          <w:sz w:val="20"/>
        </w:rPr>
        <w:t>请扫描以查询验证条款</w:t>
      </w:r>
    </w:p>
    <w:p>
      <w:pPr>
        <w:spacing w:line="276" w:lineRule="auto" w:before="50"/>
        <w:ind w:left="7267" w:right="314" w:firstLine="0"/>
        <w:jc w:val="center"/>
        <w:rPr>
          <w:sz w:val="20"/>
        </w:rPr>
      </w:pPr>
      <w:r>
        <w:rPr>
          <w:w w:val="95"/>
          <w:sz w:val="20"/>
        </w:rPr>
        <w:t>中新大东方[2012] </w:t>
      </w:r>
      <w:r>
        <w:rPr>
          <w:sz w:val="20"/>
        </w:rPr>
        <w:t>疾病保险 012 号</w:t>
      </w:r>
    </w:p>
    <w:p>
      <w:pPr>
        <w:pStyle w:val="BodyText"/>
        <w:spacing w:before="8"/>
        <w:rPr>
          <w:sz w:val="27"/>
        </w:rPr>
      </w:pPr>
    </w:p>
    <w:p>
      <w:pPr>
        <w:spacing w:line="473" w:lineRule="exact" w:before="0"/>
        <w:ind w:left="1866" w:right="2183" w:firstLine="0"/>
        <w:jc w:val="center"/>
        <w:rPr>
          <w:rFonts w:ascii="Microsoft JhengHei UI" w:eastAsia="Microsoft JhengHei UI" w:hint="eastAsia"/>
          <w:b/>
          <w:sz w:val="30"/>
        </w:rPr>
      </w:pPr>
      <w:r>
        <w:rPr>
          <w:rFonts w:ascii="Microsoft JhengHei UI" w:eastAsia="Microsoft JhengHei UI" w:hint="eastAsia"/>
          <w:b/>
          <w:sz w:val="30"/>
        </w:rPr>
        <w:t>中新大东方附加重大疾病保险合同条款</w:t>
      </w:r>
    </w:p>
    <w:p>
      <w:pPr>
        <w:pStyle w:val="BodyText"/>
        <w:spacing w:before="223"/>
        <w:ind w:left="1853" w:right="2183"/>
        <w:jc w:val="center"/>
      </w:pPr>
      <w:r>
        <w:rPr/>
        <w:t>感谢您选择了本公司 </w:t>
      </w:r>
      <w:r>
        <w:rPr>
          <w:rFonts w:ascii="Microsoft JhengHei UI" w:eastAsia="Microsoft JhengHei UI" w:hint="eastAsia"/>
          <w:b/>
        </w:rPr>
        <w:t>- </w:t>
      </w:r>
      <w:r>
        <w:rPr/>
        <w:t>中新大东方人寿保险有限公司</w:t>
      </w:r>
    </w:p>
    <w:p>
      <w:pPr>
        <w:pStyle w:val="BodyText"/>
        <w:rPr>
          <w:sz w:val="26"/>
        </w:rPr>
      </w:pPr>
    </w:p>
    <w:p>
      <w:pPr>
        <w:pStyle w:val="BodyText"/>
        <w:spacing w:before="10"/>
        <w:rPr>
          <w:sz w:val="36"/>
        </w:rPr>
      </w:pPr>
    </w:p>
    <w:p>
      <w:pPr>
        <w:pStyle w:val="Heading1"/>
        <w:spacing w:line="240" w:lineRule="auto"/>
        <w:ind w:left="1563" w:right="2183"/>
      </w:pPr>
      <w:r>
        <w:rPr/>
        <w:t>阅  读  指  引</w:t>
      </w:r>
    </w:p>
    <w:p>
      <w:pPr>
        <w:pStyle w:val="BodyText"/>
        <w:spacing w:before="208"/>
        <w:ind w:left="429"/>
      </w:pPr>
      <w:r>
        <w:rPr>
          <w:w w:val="95"/>
        </w:rPr>
        <w:t>本阅读指引旨在提示您本条款中的重要事项，对本条款内容的解释以相应合同条款为准。</w:t>
      </w:r>
    </w:p>
    <w:p>
      <w:pPr>
        <w:pStyle w:val="Heading2"/>
        <w:spacing w:before="142"/>
        <w:ind w:left="435" w:firstLine="0"/>
      </w:pPr>
      <w:r>
        <w:rPr>
          <w:w w:val="95"/>
        </w:rPr>
        <w:t>您的权益</w:t>
      </w:r>
    </w:p>
    <w:p>
      <w:pPr>
        <w:pStyle w:val="BodyText"/>
        <w:spacing w:before="15"/>
        <w:rPr>
          <w:rFonts w:ascii="Microsoft JhengHei UI"/>
          <w:b/>
          <w:sz w:val="14"/>
        </w:rPr>
      </w:pPr>
    </w:p>
    <w:p>
      <w:pPr>
        <w:pStyle w:val="ListParagraph"/>
        <w:numPr>
          <w:ilvl w:val="0"/>
          <w:numId w:val="1"/>
        </w:numPr>
        <w:tabs>
          <w:tab w:pos="849" w:val="left" w:leader="none"/>
          <w:tab w:pos="850" w:val="left" w:leader="none"/>
        </w:tabs>
        <w:spacing w:line="240" w:lineRule="auto" w:before="0" w:after="0"/>
        <w:ind w:left="849" w:right="0" w:hanging="420"/>
        <w:jc w:val="left"/>
        <w:rPr>
          <w:sz w:val="21"/>
        </w:rPr>
      </w:pPr>
      <w:r>
        <w:rPr>
          <w:w w:val="99"/>
          <w:sz w:val="21"/>
        </w:rPr>
        <w:t>被保险人享有本公司提供的保障</w:t>
      </w:r>
      <w:r>
        <w:rPr>
          <w:spacing w:val="-1"/>
          <w:w w:val="99"/>
          <w:sz w:val="21"/>
        </w:rPr>
        <w:t>（</w:t>
      </w:r>
      <w:r>
        <w:rPr>
          <w:w w:val="93"/>
          <w:sz w:val="21"/>
        </w:rPr>
        <w:t>4</w:t>
      </w:r>
      <w:r>
        <w:rPr>
          <w:spacing w:val="-1"/>
          <w:w w:val="43"/>
          <w:sz w:val="21"/>
        </w:rPr>
        <w:t>.</w:t>
      </w:r>
      <w:r>
        <w:rPr>
          <w:w w:val="93"/>
          <w:sz w:val="21"/>
        </w:rPr>
        <w:t>4</w:t>
      </w:r>
      <w:r>
        <w:rPr>
          <w:w w:val="99"/>
          <w:sz w:val="21"/>
        </w:rPr>
        <w:t>）</w:t>
      </w:r>
    </w:p>
    <w:p>
      <w:pPr>
        <w:pStyle w:val="BodyText"/>
        <w:spacing w:before="6"/>
        <w:rPr>
          <w:sz w:val="25"/>
        </w:rPr>
      </w:pPr>
    </w:p>
    <w:p>
      <w:pPr>
        <w:pStyle w:val="ListParagraph"/>
        <w:numPr>
          <w:ilvl w:val="0"/>
          <w:numId w:val="1"/>
        </w:numPr>
        <w:tabs>
          <w:tab w:pos="849" w:val="left" w:leader="none"/>
          <w:tab w:pos="850" w:val="left" w:leader="none"/>
        </w:tabs>
        <w:spacing w:line="240" w:lineRule="auto" w:before="0" w:after="0"/>
        <w:ind w:left="849" w:right="0" w:hanging="420"/>
        <w:jc w:val="left"/>
        <w:rPr>
          <w:sz w:val="21"/>
        </w:rPr>
      </w:pPr>
      <w:r>
        <w:rPr>
          <w:w w:val="99"/>
          <w:sz w:val="21"/>
        </w:rPr>
        <w:t>您有退保的权利</w:t>
      </w:r>
      <w:r>
        <w:rPr>
          <w:spacing w:val="-1"/>
          <w:w w:val="99"/>
          <w:sz w:val="21"/>
        </w:rPr>
        <w:t>（</w:t>
      </w:r>
      <w:r>
        <w:rPr>
          <w:w w:val="93"/>
          <w:sz w:val="21"/>
        </w:rPr>
        <w:t>9</w:t>
      </w:r>
      <w:r>
        <w:rPr>
          <w:spacing w:val="-1"/>
          <w:w w:val="43"/>
          <w:sz w:val="21"/>
        </w:rPr>
        <w:t>.</w:t>
      </w:r>
      <w:r>
        <w:rPr>
          <w:w w:val="93"/>
          <w:sz w:val="21"/>
        </w:rPr>
        <w:t>3</w:t>
      </w:r>
      <w:r>
        <w:rPr>
          <w:w w:val="99"/>
          <w:sz w:val="21"/>
        </w:rPr>
        <w:t>）</w:t>
      </w:r>
    </w:p>
    <w:p>
      <w:pPr>
        <w:pStyle w:val="Heading2"/>
        <w:spacing w:before="204"/>
        <w:ind w:left="435" w:firstLine="0"/>
      </w:pPr>
      <w:r>
        <w:rPr>
          <w:w w:val="95"/>
        </w:rPr>
        <w:t>注意事项</w:t>
      </w:r>
    </w:p>
    <w:p>
      <w:pPr>
        <w:pStyle w:val="ListParagraph"/>
        <w:numPr>
          <w:ilvl w:val="0"/>
          <w:numId w:val="1"/>
        </w:numPr>
        <w:tabs>
          <w:tab w:pos="855" w:val="left" w:leader="none"/>
          <w:tab w:pos="856" w:val="left" w:leader="none"/>
        </w:tabs>
        <w:spacing w:line="240" w:lineRule="auto" w:before="198" w:after="0"/>
        <w:ind w:left="855" w:right="0" w:hanging="426"/>
        <w:jc w:val="left"/>
        <w:rPr>
          <w:sz w:val="21"/>
        </w:rPr>
      </w:pPr>
      <w:r>
        <w:rPr>
          <w:rFonts w:ascii="Microsoft JhengHei UI" w:eastAsia="Microsoft JhengHei UI" w:hint="eastAsia"/>
          <w:b/>
          <w:w w:val="99"/>
          <w:sz w:val="21"/>
        </w:rPr>
        <w:t>除外责任条款中列明了本公司在某些情况下不承担的保险责任</w:t>
      </w:r>
      <w:r>
        <w:rPr>
          <w:spacing w:val="1"/>
          <w:w w:val="99"/>
          <w:sz w:val="21"/>
        </w:rPr>
        <w:t>（</w:t>
      </w:r>
      <w:r>
        <w:rPr>
          <w:w w:val="93"/>
          <w:sz w:val="21"/>
        </w:rPr>
        <w:t>4</w:t>
      </w:r>
      <w:r>
        <w:rPr>
          <w:spacing w:val="-1"/>
          <w:w w:val="43"/>
          <w:sz w:val="21"/>
        </w:rPr>
        <w:t>.</w:t>
      </w:r>
      <w:r>
        <w:rPr>
          <w:w w:val="93"/>
          <w:sz w:val="21"/>
        </w:rPr>
        <w:t>5</w:t>
      </w:r>
      <w:r>
        <w:rPr>
          <w:w w:val="99"/>
          <w:sz w:val="21"/>
        </w:rPr>
        <w:t>）</w:t>
      </w:r>
    </w:p>
    <w:p>
      <w:pPr>
        <w:pStyle w:val="BodyText"/>
        <w:spacing w:before="11"/>
        <w:rPr>
          <w:sz w:val="24"/>
        </w:rPr>
      </w:pPr>
    </w:p>
    <w:p>
      <w:pPr>
        <w:pStyle w:val="ListParagraph"/>
        <w:numPr>
          <w:ilvl w:val="0"/>
          <w:numId w:val="1"/>
        </w:numPr>
        <w:tabs>
          <w:tab w:pos="849" w:val="left" w:leader="none"/>
          <w:tab w:pos="850" w:val="left" w:leader="none"/>
        </w:tabs>
        <w:spacing w:line="240" w:lineRule="auto" w:before="0" w:after="0"/>
        <w:ind w:left="849" w:right="0" w:hanging="420"/>
        <w:jc w:val="left"/>
        <w:rPr>
          <w:sz w:val="21"/>
        </w:rPr>
      </w:pPr>
      <w:r>
        <w:rPr>
          <w:w w:val="99"/>
          <w:sz w:val="21"/>
        </w:rPr>
        <w:t>在保险期间内本公司可能会调整保险费率</w:t>
      </w:r>
      <w:r>
        <w:rPr>
          <w:spacing w:val="-1"/>
          <w:w w:val="99"/>
          <w:sz w:val="21"/>
        </w:rPr>
        <w:t>（</w:t>
      </w:r>
      <w:r>
        <w:rPr>
          <w:w w:val="93"/>
          <w:sz w:val="21"/>
        </w:rPr>
        <w:t>5</w:t>
      </w:r>
      <w:r>
        <w:rPr>
          <w:spacing w:val="-1"/>
          <w:w w:val="43"/>
          <w:sz w:val="21"/>
        </w:rPr>
        <w:t>.</w:t>
      </w:r>
      <w:r>
        <w:rPr>
          <w:w w:val="93"/>
          <w:sz w:val="21"/>
        </w:rPr>
        <w:t>2</w:t>
      </w:r>
      <w:r>
        <w:rPr>
          <w:w w:val="99"/>
          <w:sz w:val="21"/>
        </w:rPr>
        <w:t>）</w:t>
      </w:r>
    </w:p>
    <w:p>
      <w:pPr>
        <w:pStyle w:val="BodyText"/>
        <w:spacing w:before="6"/>
        <w:rPr>
          <w:sz w:val="25"/>
        </w:rPr>
      </w:pPr>
    </w:p>
    <w:p>
      <w:pPr>
        <w:pStyle w:val="ListParagraph"/>
        <w:numPr>
          <w:ilvl w:val="0"/>
          <w:numId w:val="1"/>
        </w:numPr>
        <w:tabs>
          <w:tab w:pos="849" w:val="left" w:leader="none"/>
          <w:tab w:pos="850" w:val="left" w:leader="none"/>
        </w:tabs>
        <w:spacing w:line="240" w:lineRule="auto" w:before="1" w:after="0"/>
        <w:ind w:left="849" w:right="0" w:hanging="420"/>
        <w:jc w:val="left"/>
        <w:rPr>
          <w:sz w:val="21"/>
        </w:rPr>
      </w:pPr>
      <w:r>
        <w:rPr>
          <w:w w:val="99"/>
          <w:sz w:val="21"/>
        </w:rPr>
        <w:t>没有按时交纳保险费将会导致合同中止</w:t>
      </w:r>
      <w:r>
        <w:rPr>
          <w:spacing w:val="-1"/>
          <w:w w:val="99"/>
          <w:sz w:val="21"/>
        </w:rPr>
        <w:t>（</w:t>
      </w:r>
      <w:r>
        <w:rPr>
          <w:w w:val="93"/>
          <w:sz w:val="21"/>
        </w:rPr>
        <w:t>5</w:t>
      </w:r>
      <w:r>
        <w:rPr>
          <w:spacing w:val="-1"/>
          <w:w w:val="43"/>
          <w:sz w:val="21"/>
        </w:rPr>
        <w:t>.</w:t>
      </w:r>
      <w:r>
        <w:rPr>
          <w:w w:val="93"/>
          <w:sz w:val="21"/>
        </w:rPr>
        <w:t>3</w:t>
      </w:r>
      <w:r>
        <w:rPr>
          <w:w w:val="99"/>
          <w:sz w:val="21"/>
        </w:rPr>
        <w:t>）</w:t>
      </w:r>
    </w:p>
    <w:p>
      <w:pPr>
        <w:pStyle w:val="BodyText"/>
        <w:spacing w:before="7"/>
        <w:rPr>
          <w:sz w:val="25"/>
        </w:rPr>
      </w:pPr>
    </w:p>
    <w:p>
      <w:pPr>
        <w:pStyle w:val="ListParagraph"/>
        <w:numPr>
          <w:ilvl w:val="0"/>
          <w:numId w:val="1"/>
        </w:numPr>
        <w:tabs>
          <w:tab w:pos="849" w:val="left" w:leader="none"/>
          <w:tab w:pos="850" w:val="left" w:leader="none"/>
        </w:tabs>
        <w:spacing w:line="240" w:lineRule="auto" w:before="0" w:after="0"/>
        <w:ind w:left="849" w:right="0" w:hanging="420"/>
        <w:jc w:val="left"/>
        <w:rPr>
          <w:sz w:val="21"/>
        </w:rPr>
      </w:pPr>
      <w:r>
        <w:rPr>
          <w:w w:val="99"/>
          <w:sz w:val="21"/>
        </w:rPr>
        <w:t>保险事故发生后，请及时通知本公司</w:t>
      </w:r>
      <w:r>
        <w:rPr>
          <w:spacing w:val="-1"/>
          <w:w w:val="99"/>
          <w:sz w:val="21"/>
        </w:rPr>
        <w:t>（</w:t>
      </w:r>
      <w:r>
        <w:rPr>
          <w:w w:val="93"/>
          <w:sz w:val="21"/>
        </w:rPr>
        <w:t>6</w:t>
      </w:r>
      <w:r>
        <w:rPr>
          <w:spacing w:val="-1"/>
          <w:w w:val="43"/>
          <w:sz w:val="21"/>
        </w:rPr>
        <w:t>.</w:t>
      </w:r>
      <w:r>
        <w:rPr>
          <w:w w:val="93"/>
          <w:sz w:val="21"/>
        </w:rPr>
        <w:t>2</w:t>
      </w:r>
      <w:r>
        <w:rPr>
          <w:w w:val="99"/>
          <w:sz w:val="21"/>
        </w:rPr>
        <w:t>）</w:t>
      </w:r>
    </w:p>
    <w:p>
      <w:pPr>
        <w:pStyle w:val="BodyText"/>
        <w:spacing w:before="6"/>
        <w:rPr>
          <w:sz w:val="25"/>
        </w:rPr>
      </w:pPr>
    </w:p>
    <w:p>
      <w:pPr>
        <w:pStyle w:val="ListParagraph"/>
        <w:numPr>
          <w:ilvl w:val="0"/>
          <w:numId w:val="1"/>
        </w:numPr>
        <w:tabs>
          <w:tab w:pos="849" w:val="left" w:leader="none"/>
          <w:tab w:pos="850" w:val="left" w:leader="none"/>
        </w:tabs>
        <w:spacing w:line="240" w:lineRule="auto" w:before="1" w:after="0"/>
        <w:ind w:left="849" w:right="0" w:hanging="420"/>
        <w:jc w:val="left"/>
        <w:rPr>
          <w:sz w:val="21"/>
        </w:rPr>
      </w:pPr>
      <w:r>
        <w:rPr>
          <w:w w:val="99"/>
          <w:sz w:val="21"/>
        </w:rPr>
        <w:t>犹豫期后退保会给您带来一定损失，请慎重决策</w:t>
      </w:r>
      <w:r>
        <w:rPr>
          <w:spacing w:val="-1"/>
          <w:w w:val="99"/>
          <w:sz w:val="21"/>
        </w:rPr>
        <w:t>（</w:t>
      </w:r>
      <w:r>
        <w:rPr>
          <w:w w:val="93"/>
          <w:sz w:val="21"/>
        </w:rPr>
        <w:t>9</w:t>
      </w:r>
      <w:r>
        <w:rPr>
          <w:spacing w:val="-1"/>
          <w:w w:val="43"/>
          <w:sz w:val="21"/>
        </w:rPr>
        <w:t>.</w:t>
      </w:r>
      <w:r>
        <w:rPr>
          <w:w w:val="93"/>
          <w:sz w:val="21"/>
        </w:rPr>
        <w:t>3</w:t>
      </w:r>
      <w:r>
        <w:rPr>
          <w:spacing w:val="-1"/>
          <w:w w:val="43"/>
          <w:sz w:val="21"/>
        </w:rPr>
        <w:t>.</w:t>
      </w:r>
      <w:r>
        <w:rPr>
          <w:w w:val="93"/>
          <w:sz w:val="21"/>
        </w:rPr>
        <w:t>2</w:t>
      </w:r>
      <w:r>
        <w:rPr>
          <w:w w:val="99"/>
          <w:sz w:val="21"/>
        </w:rPr>
        <w:t>）</w:t>
      </w:r>
    </w:p>
    <w:p>
      <w:pPr>
        <w:pStyle w:val="BodyText"/>
        <w:spacing w:before="7"/>
        <w:rPr>
          <w:sz w:val="25"/>
        </w:rPr>
      </w:pPr>
    </w:p>
    <w:p>
      <w:pPr>
        <w:pStyle w:val="ListParagraph"/>
        <w:numPr>
          <w:ilvl w:val="0"/>
          <w:numId w:val="1"/>
        </w:numPr>
        <w:tabs>
          <w:tab w:pos="849" w:val="left" w:leader="none"/>
          <w:tab w:pos="850" w:val="left" w:leader="none"/>
        </w:tabs>
        <w:spacing w:line="240" w:lineRule="auto" w:before="0" w:after="0"/>
        <w:ind w:left="849" w:right="0" w:hanging="420"/>
        <w:jc w:val="left"/>
        <w:rPr>
          <w:sz w:val="21"/>
        </w:rPr>
      </w:pPr>
      <w:r>
        <w:rPr>
          <w:spacing w:val="-1"/>
          <w:w w:val="99"/>
          <w:sz w:val="21"/>
        </w:rPr>
        <w:t>主险合同的某些变动会导致本附加险合同效力终止</w:t>
      </w:r>
      <w:r>
        <w:rPr>
          <w:spacing w:val="-1"/>
          <w:w w:val="58"/>
          <w:sz w:val="21"/>
        </w:rPr>
        <w:t>(</w:t>
      </w:r>
      <w:r>
        <w:rPr>
          <w:w w:val="93"/>
          <w:sz w:val="21"/>
        </w:rPr>
        <w:t>9</w:t>
      </w:r>
      <w:r>
        <w:rPr>
          <w:spacing w:val="-1"/>
          <w:w w:val="43"/>
          <w:sz w:val="21"/>
        </w:rPr>
        <w:t>.</w:t>
      </w:r>
      <w:r>
        <w:rPr>
          <w:w w:val="93"/>
          <w:sz w:val="21"/>
        </w:rPr>
        <w:t>4</w:t>
      </w:r>
      <w:r>
        <w:rPr>
          <w:w w:val="58"/>
          <w:sz w:val="21"/>
        </w:rPr>
        <w:t>)</w:t>
      </w:r>
    </w:p>
    <w:p>
      <w:pPr>
        <w:pStyle w:val="BodyText"/>
        <w:spacing w:before="6"/>
        <w:rPr>
          <w:sz w:val="25"/>
        </w:rPr>
      </w:pPr>
    </w:p>
    <w:p>
      <w:pPr>
        <w:pStyle w:val="ListParagraph"/>
        <w:numPr>
          <w:ilvl w:val="0"/>
          <w:numId w:val="1"/>
        </w:numPr>
        <w:tabs>
          <w:tab w:pos="849" w:val="left" w:leader="none"/>
          <w:tab w:pos="850" w:val="left" w:leader="none"/>
        </w:tabs>
        <w:spacing w:line="240" w:lineRule="auto" w:before="1" w:after="0"/>
        <w:ind w:left="849" w:right="0" w:hanging="420"/>
        <w:jc w:val="left"/>
        <w:rPr>
          <w:sz w:val="21"/>
        </w:rPr>
      </w:pPr>
      <w:r>
        <w:rPr>
          <w:w w:val="95"/>
          <w:sz w:val="21"/>
        </w:rPr>
        <w:t>您有如实告知的义务（11）</w:t>
      </w:r>
    </w:p>
    <w:p>
      <w:pPr>
        <w:pStyle w:val="BodyText"/>
        <w:spacing w:before="7"/>
        <w:rPr>
          <w:sz w:val="25"/>
        </w:rPr>
      </w:pPr>
    </w:p>
    <w:p>
      <w:pPr>
        <w:pStyle w:val="ListParagraph"/>
        <w:numPr>
          <w:ilvl w:val="0"/>
          <w:numId w:val="1"/>
        </w:numPr>
        <w:tabs>
          <w:tab w:pos="849" w:val="left" w:leader="none"/>
          <w:tab w:pos="850" w:val="left" w:leader="none"/>
        </w:tabs>
        <w:spacing w:line="240" w:lineRule="auto" w:before="0" w:after="0"/>
        <w:ind w:left="849" w:right="0" w:hanging="420"/>
        <w:jc w:val="left"/>
        <w:rPr>
          <w:sz w:val="21"/>
        </w:rPr>
      </w:pPr>
      <w:r>
        <w:rPr>
          <w:w w:val="95"/>
          <w:sz w:val="21"/>
        </w:rPr>
        <w:t>本公司对一些重要术语作了显著标记，并进行了解释（12）</w:t>
      </w:r>
    </w:p>
    <w:p>
      <w:pPr>
        <w:pStyle w:val="BodyText"/>
        <w:spacing w:before="6"/>
        <w:rPr>
          <w:sz w:val="25"/>
        </w:rPr>
      </w:pPr>
    </w:p>
    <w:p>
      <w:pPr>
        <w:pStyle w:val="ListParagraph"/>
        <w:numPr>
          <w:ilvl w:val="0"/>
          <w:numId w:val="1"/>
        </w:numPr>
        <w:tabs>
          <w:tab w:pos="849" w:val="left" w:leader="none"/>
          <w:tab w:pos="850" w:val="left" w:leader="none"/>
        </w:tabs>
        <w:spacing w:line="240" w:lineRule="auto" w:before="1" w:after="0"/>
        <w:ind w:left="849" w:right="0" w:hanging="420"/>
        <w:jc w:val="left"/>
        <w:rPr>
          <w:sz w:val="21"/>
        </w:rPr>
      </w:pPr>
      <w:r>
        <w:rPr>
          <w:spacing w:val="-1"/>
          <w:w w:val="99"/>
          <w:sz w:val="21"/>
        </w:rPr>
        <w:t>请仔细阅读本条款中关于重大疾病的释义</w:t>
      </w:r>
      <w:r>
        <w:rPr>
          <w:spacing w:val="-1"/>
          <w:w w:val="58"/>
          <w:sz w:val="21"/>
        </w:rPr>
        <w:t>(</w:t>
      </w:r>
      <w:r>
        <w:rPr>
          <w:w w:val="93"/>
          <w:sz w:val="21"/>
        </w:rPr>
        <w:t>12</w:t>
      </w:r>
      <w:r>
        <w:rPr>
          <w:spacing w:val="-1"/>
          <w:w w:val="43"/>
          <w:sz w:val="21"/>
        </w:rPr>
        <w:t>.</w:t>
      </w:r>
      <w:r>
        <w:rPr>
          <w:w w:val="93"/>
          <w:sz w:val="21"/>
        </w:rPr>
        <w:t>3</w:t>
      </w:r>
      <w:r>
        <w:rPr>
          <w:w w:val="58"/>
          <w:sz w:val="21"/>
        </w:rPr>
        <w:t>)</w:t>
      </w:r>
    </w:p>
    <w:p>
      <w:pPr>
        <w:pStyle w:val="BodyText"/>
        <w:spacing w:before="6"/>
      </w:pPr>
    </w:p>
    <w:p>
      <w:pPr>
        <w:pStyle w:val="Heading2"/>
        <w:spacing w:line="429" w:lineRule="auto" w:before="1"/>
        <w:ind w:left="435" w:right="732" w:firstLine="0"/>
      </w:pPr>
      <w:r>
        <w:rPr/>
        <w:t>除外责任关系到您及被保险人的切身利益，请详细阅读产品条款中有关您权利义务的内</w:t>
      </w:r>
      <w:r>
        <w:rPr>
          <w:w w:val="95"/>
        </w:rPr>
        <w:t>容，同时您也可以要求本公司及销售人员向您进行解释说明。</w:t>
      </w:r>
    </w:p>
    <w:p>
      <w:pPr>
        <w:spacing w:after="0" w:line="429" w:lineRule="auto"/>
        <w:sectPr>
          <w:type w:val="continuous"/>
          <w:pgSz w:w="11910" w:h="16840"/>
          <w:pgMar w:top="720" w:bottom="280" w:left="1680" w:right="1040"/>
        </w:sectPr>
      </w:pPr>
    </w:p>
    <w:p>
      <w:pPr>
        <w:pStyle w:val="Heading1"/>
        <w:tabs>
          <w:tab w:pos="578" w:val="left" w:leader="none"/>
        </w:tabs>
      </w:pPr>
      <w:r>
        <w:rPr/>
        <w:t>目</w:t>
        <w:tab/>
        <w:t>录</w:t>
      </w:r>
    </w:p>
    <w:p>
      <w:pPr>
        <w:spacing w:after="0"/>
        <w:sectPr>
          <w:footerReference w:type="default" r:id="rId6"/>
          <w:pgSz w:w="11910" w:h="16840"/>
          <w:pgMar w:footer="1254" w:header="0" w:top="1460" w:bottom="1698" w:left="1680" w:right="1680"/>
        </w:sectPr>
      </w:pPr>
    </w:p>
    <w:sdt>
      <w:sdtPr>
        <w:docPartObj>
          <w:docPartGallery w:val="Table of Contents"/>
          <w:docPartUnique/>
        </w:docPartObj>
      </w:sdtPr>
      <w:sdtEndPr/>
      <w:sdtContent>
        <w:p>
          <w:pPr>
            <w:pStyle w:val="TOC1"/>
            <w:numPr>
              <w:ilvl w:val="0"/>
              <w:numId w:val="2"/>
            </w:numPr>
            <w:tabs>
              <w:tab w:pos="959" w:val="left" w:leader="none"/>
              <w:tab w:pos="960" w:val="left" w:leader="none"/>
              <w:tab w:pos="8415" w:val="right" w:leader="dot"/>
            </w:tabs>
            <w:spacing w:line="240" w:lineRule="auto" w:before="130" w:after="0"/>
            <w:ind w:left="960" w:right="0" w:hanging="840"/>
            <w:jc w:val="left"/>
            <w:rPr>
              <w:rFonts w:ascii="Times New Roman" w:eastAsia="Times New Roman"/>
            </w:rPr>
          </w:pPr>
          <w:hyperlink w:history="true" w:anchor="_TOC_250093">
            <w:r>
              <w:rPr/>
              <w:t>合同订立</w:t>
              <w:tab/>
            </w:r>
            <w:r>
              <w:rPr>
                <w:rFonts w:ascii="Times New Roman" w:eastAsia="Times New Roman"/>
              </w:rPr>
              <w:t>5</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92">
            <w:r>
              <w:rPr/>
              <w:t>投保年龄</w:t>
              <w:tab/>
            </w:r>
            <w:r>
              <w:rPr>
                <w:rFonts w:ascii="Times New Roman" w:eastAsia="Times New Roman"/>
              </w:rPr>
              <w:t>5</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91">
            <w:r>
              <w:rPr/>
              <w:t>合同生效</w:t>
              <w:tab/>
            </w:r>
            <w:r>
              <w:rPr>
                <w:rFonts w:ascii="Times New Roman" w:eastAsia="Times New Roman"/>
              </w:rPr>
              <w:t>5</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90">
            <w:r>
              <w:rPr/>
              <w:t>保险责任</w:t>
              <w:tab/>
            </w:r>
            <w:r>
              <w:rPr>
                <w:rFonts w:ascii="Times New Roman" w:eastAsia="Times New Roman"/>
              </w:rPr>
              <w:t>5</w:t>
            </w:r>
          </w:hyperlink>
        </w:p>
        <w:p>
          <w:pPr>
            <w:pStyle w:val="TOC2"/>
            <w:numPr>
              <w:ilvl w:val="1"/>
              <w:numId w:val="2"/>
            </w:numPr>
            <w:tabs>
              <w:tab w:pos="1219" w:val="left" w:leader="none"/>
              <w:tab w:pos="1220" w:val="left" w:leader="none"/>
              <w:tab w:pos="8415" w:val="right" w:leader="dot"/>
            </w:tabs>
            <w:spacing w:line="240" w:lineRule="auto" w:before="21" w:after="0"/>
            <w:ind w:left="1219" w:right="0" w:hanging="679"/>
            <w:jc w:val="left"/>
            <w:rPr>
              <w:rFonts w:ascii="Times New Roman" w:eastAsia="Times New Roman"/>
            </w:rPr>
          </w:pPr>
          <w:hyperlink w:history="true" w:anchor="_TOC_250089">
            <w:r>
              <w:rPr/>
              <w:t>保险责任的开始</w:t>
              <w:tab/>
            </w:r>
            <w:r>
              <w:rPr>
                <w:rFonts w:ascii="Times New Roman" w:eastAsia="Times New Roman"/>
              </w:rPr>
              <w:t>5</w:t>
            </w:r>
          </w:hyperlink>
        </w:p>
        <w:p>
          <w:pPr>
            <w:pStyle w:val="TOC2"/>
            <w:numPr>
              <w:ilvl w:val="1"/>
              <w:numId w:val="2"/>
            </w:numPr>
            <w:tabs>
              <w:tab w:pos="1219" w:val="left" w:leader="none"/>
              <w:tab w:pos="1220" w:val="left" w:leader="none"/>
              <w:tab w:pos="8415" w:val="right" w:leader="dot"/>
            </w:tabs>
            <w:spacing w:line="240" w:lineRule="auto" w:before="21" w:after="0"/>
            <w:ind w:left="1219" w:right="0" w:hanging="679"/>
            <w:jc w:val="left"/>
            <w:rPr>
              <w:rFonts w:ascii="Times New Roman" w:eastAsia="Times New Roman"/>
            </w:rPr>
          </w:pPr>
          <w:hyperlink w:history="true" w:anchor="_TOC_250088">
            <w:r>
              <w:rPr/>
              <w:t>保险期间</w:t>
              <w:tab/>
            </w:r>
            <w:r>
              <w:rPr>
                <w:rFonts w:ascii="Times New Roman" w:eastAsia="Times New Roman"/>
              </w:rPr>
              <w:t>6</w:t>
            </w:r>
          </w:hyperlink>
        </w:p>
        <w:p>
          <w:pPr>
            <w:pStyle w:val="TOC2"/>
            <w:numPr>
              <w:ilvl w:val="1"/>
              <w:numId w:val="2"/>
            </w:numPr>
            <w:tabs>
              <w:tab w:pos="1219" w:val="left" w:leader="none"/>
              <w:tab w:pos="1220" w:val="left" w:leader="none"/>
              <w:tab w:pos="8415" w:val="right" w:leader="dot"/>
            </w:tabs>
            <w:spacing w:line="240" w:lineRule="auto" w:before="21" w:after="0"/>
            <w:ind w:left="1219" w:right="0" w:hanging="679"/>
            <w:jc w:val="left"/>
            <w:rPr>
              <w:rFonts w:ascii="Times New Roman" w:eastAsia="Times New Roman"/>
            </w:rPr>
          </w:pPr>
          <w:hyperlink w:history="true" w:anchor="_TOC_250087">
            <w:r>
              <w:rPr/>
              <w:t>保险金额</w:t>
              <w:tab/>
            </w:r>
            <w:r>
              <w:rPr>
                <w:rFonts w:ascii="Times New Roman" w:eastAsia="Times New Roman"/>
              </w:rPr>
              <w:t>6</w:t>
            </w:r>
          </w:hyperlink>
        </w:p>
        <w:p>
          <w:pPr>
            <w:pStyle w:val="TOC2"/>
            <w:numPr>
              <w:ilvl w:val="1"/>
              <w:numId w:val="2"/>
            </w:numPr>
            <w:tabs>
              <w:tab w:pos="1219" w:val="left" w:leader="none"/>
              <w:tab w:pos="1220" w:val="left" w:leader="none"/>
              <w:tab w:pos="8415" w:val="right" w:leader="dot"/>
            </w:tabs>
            <w:spacing w:line="240" w:lineRule="auto" w:before="21" w:after="0"/>
            <w:ind w:left="1219" w:right="0" w:hanging="679"/>
            <w:jc w:val="left"/>
            <w:rPr>
              <w:rFonts w:ascii="Times New Roman" w:eastAsia="Times New Roman"/>
            </w:rPr>
          </w:pPr>
          <w:hyperlink w:history="true" w:anchor="_TOC_250086">
            <w:r>
              <w:rPr/>
              <w:t>本公司承担的保险责任</w:t>
              <w:tab/>
            </w:r>
            <w:r>
              <w:rPr>
                <w:rFonts w:ascii="Times New Roman" w:eastAsia="Times New Roman"/>
              </w:rPr>
              <w:t>6</w:t>
            </w:r>
          </w:hyperlink>
        </w:p>
        <w:p>
          <w:pPr>
            <w:pStyle w:val="TOC3"/>
            <w:numPr>
              <w:ilvl w:val="2"/>
              <w:numId w:val="2"/>
            </w:numPr>
            <w:tabs>
              <w:tab w:pos="1498" w:val="left" w:leader="none"/>
              <w:tab w:pos="8415" w:val="right" w:leader="dot"/>
            </w:tabs>
            <w:spacing w:line="240" w:lineRule="auto" w:before="21" w:after="0"/>
            <w:ind w:left="1497" w:right="0" w:hanging="537"/>
            <w:jc w:val="left"/>
            <w:rPr>
              <w:rFonts w:ascii="Times New Roman" w:eastAsia="Times New Roman"/>
            </w:rPr>
          </w:pPr>
          <w:hyperlink w:history="true" w:anchor="_TOC_250085">
            <w:r>
              <w:rPr/>
              <w:t>重大疾病保险金</w:t>
              <w:tab/>
            </w:r>
            <w:r>
              <w:rPr>
                <w:rFonts w:ascii="Times New Roman" w:eastAsia="Times New Roman"/>
              </w:rPr>
              <w:t>6</w:t>
            </w:r>
          </w:hyperlink>
        </w:p>
        <w:p>
          <w:pPr>
            <w:pStyle w:val="TOC3"/>
            <w:numPr>
              <w:ilvl w:val="2"/>
              <w:numId w:val="2"/>
            </w:numPr>
            <w:tabs>
              <w:tab w:pos="1498" w:val="left" w:leader="none"/>
              <w:tab w:pos="8415" w:val="right" w:leader="dot"/>
            </w:tabs>
            <w:spacing w:line="240" w:lineRule="auto" w:before="21" w:after="0"/>
            <w:ind w:left="1497" w:right="0" w:hanging="537"/>
            <w:jc w:val="left"/>
            <w:rPr>
              <w:rFonts w:ascii="Times New Roman" w:eastAsia="Times New Roman"/>
            </w:rPr>
          </w:pPr>
          <w:hyperlink w:history="true" w:anchor="_TOC_250084">
            <w:r>
              <w:rPr/>
              <w:t>身故保险金</w:t>
              <w:tab/>
            </w:r>
            <w:r>
              <w:rPr>
                <w:rFonts w:ascii="Times New Roman" w:eastAsia="Times New Roman"/>
              </w:rPr>
              <w:t>6</w:t>
            </w:r>
          </w:hyperlink>
        </w:p>
        <w:p>
          <w:pPr>
            <w:pStyle w:val="TOC3"/>
            <w:numPr>
              <w:ilvl w:val="2"/>
              <w:numId w:val="2"/>
            </w:numPr>
            <w:tabs>
              <w:tab w:pos="1498" w:val="left" w:leader="none"/>
              <w:tab w:pos="8415" w:val="right" w:leader="dot"/>
            </w:tabs>
            <w:spacing w:line="240" w:lineRule="auto" w:before="21" w:after="0"/>
            <w:ind w:left="1497" w:right="0" w:hanging="537"/>
            <w:jc w:val="left"/>
            <w:rPr>
              <w:rFonts w:ascii="Times New Roman" w:eastAsia="Times New Roman"/>
            </w:rPr>
          </w:pPr>
          <w:hyperlink w:history="true" w:anchor="_TOC_250083">
            <w:r>
              <w:rPr/>
              <w:t>永久完全残疾保险金</w:t>
              <w:tab/>
            </w:r>
            <w:r>
              <w:rPr>
                <w:rFonts w:ascii="Times New Roman" w:eastAsia="Times New Roman"/>
              </w:rPr>
              <w:t>6</w:t>
            </w:r>
          </w:hyperlink>
        </w:p>
        <w:p>
          <w:pPr>
            <w:pStyle w:val="TOC2"/>
            <w:numPr>
              <w:ilvl w:val="1"/>
              <w:numId w:val="2"/>
            </w:numPr>
            <w:tabs>
              <w:tab w:pos="1219" w:val="left" w:leader="none"/>
              <w:tab w:pos="1220" w:val="left" w:leader="none"/>
              <w:tab w:pos="8415" w:val="right" w:leader="dot"/>
            </w:tabs>
            <w:spacing w:line="240" w:lineRule="auto" w:before="21" w:after="0"/>
            <w:ind w:left="1219" w:right="0" w:hanging="679"/>
            <w:jc w:val="left"/>
            <w:rPr>
              <w:rFonts w:ascii="Times New Roman" w:eastAsia="Times New Roman"/>
            </w:rPr>
          </w:pPr>
          <w:hyperlink w:history="true" w:anchor="_TOC_250082">
            <w:r>
              <w:rPr/>
              <w:t>责任免除</w:t>
              <w:tab/>
            </w:r>
            <w:r>
              <w:rPr>
                <w:rFonts w:ascii="Times New Roman" w:eastAsia="Times New Roman"/>
              </w:rPr>
              <w:t>7</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81">
            <w:r>
              <w:rPr/>
              <w:t>保险费</w:t>
              <w:tab/>
            </w:r>
            <w:r>
              <w:rPr>
                <w:rFonts w:ascii="Times New Roman" w:eastAsia="Times New Roman"/>
              </w:rPr>
              <w:t>7</w:t>
            </w:r>
          </w:hyperlink>
        </w:p>
        <w:p>
          <w:pPr>
            <w:pStyle w:val="TOC2"/>
            <w:numPr>
              <w:ilvl w:val="1"/>
              <w:numId w:val="2"/>
            </w:numPr>
            <w:tabs>
              <w:tab w:pos="1219" w:val="left" w:leader="none"/>
              <w:tab w:pos="1220" w:val="left" w:leader="none"/>
              <w:tab w:pos="8415" w:val="right" w:leader="dot"/>
            </w:tabs>
            <w:spacing w:line="240" w:lineRule="auto" w:before="21" w:after="0"/>
            <w:ind w:left="1219" w:right="0" w:hanging="679"/>
            <w:jc w:val="left"/>
            <w:rPr>
              <w:rFonts w:ascii="Times New Roman" w:eastAsia="Times New Roman"/>
            </w:rPr>
          </w:pPr>
          <w:hyperlink w:history="true" w:anchor="_TOC_250080">
            <w:r>
              <w:rPr/>
              <w:t>保险费的交纳方式</w:t>
              <w:tab/>
            </w:r>
            <w:r>
              <w:rPr>
                <w:rFonts w:ascii="Times New Roman" w:eastAsia="Times New Roman"/>
              </w:rPr>
              <w:t>7</w:t>
            </w:r>
          </w:hyperlink>
        </w:p>
        <w:p>
          <w:pPr>
            <w:pStyle w:val="TOC2"/>
            <w:numPr>
              <w:ilvl w:val="1"/>
              <w:numId w:val="2"/>
            </w:numPr>
            <w:tabs>
              <w:tab w:pos="1219" w:val="left" w:leader="none"/>
              <w:tab w:pos="1220" w:val="left" w:leader="none"/>
              <w:tab w:pos="8415" w:val="right" w:leader="dot"/>
            </w:tabs>
            <w:spacing w:line="240" w:lineRule="auto" w:before="21" w:after="0"/>
            <w:ind w:left="1219" w:right="0" w:hanging="679"/>
            <w:jc w:val="left"/>
            <w:rPr>
              <w:rFonts w:ascii="Times New Roman" w:eastAsia="Times New Roman"/>
            </w:rPr>
          </w:pPr>
          <w:hyperlink w:history="true" w:anchor="_TOC_250079">
            <w:r>
              <w:rPr/>
              <w:t>保险费率调整</w:t>
              <w:tab/>
            </w:r>
            <w:r>
              <w:rPr>
                <w:rFonts w:ascii="Times New Roman" w:eastAsia="Times New Roman"/>
              </w:rPr>
              <w:t>8</w:t>
            </w:r>
          </w:hyperlink>
        </w:p>
        <w:p>
          <w:pPr>
            <w:pStyle w:val="TOC2"/>
            <w:numPr>
              <w:ilvl w:val="1"/>
              <w:numId w:val="2"/>
            </w:numPr>
            <w:tabs>
              <w:tab w:pos="1219" w:val="left" w:leader="none"/>
              <w:tab w:pos="1220" w:val="left" w:leader="none"/>
              <w:tab w:pos="8415" w:val="right" w:leader="dot"/>
            </w:tabs>
            <w:spacing w:line="240" w:lineRule="auto" w:before="21" w:after="0"/>
            <w:ind w:left="1219" w:right="0" w:hanging="679"/>
            <w:jc w:val="left"/>
            <w:rPr>
              <w:rFonts w:ascii="Times New Roman" w:eastAsia="Times New Roman"/>
            </w:rPr>
          </w:pPr>
          <w:hyperlink w:history="true" w:anchor="_TOC_250078">
            <w:r>
              <w:rPr/>
              <w:t>宽限期</w:t>
              <w:tab/>
            </w:r>
            <w:r>
              <w:rPr>
                <w:rFonts w:ascii="Times New Roman" w:eastAsia="Times New Roman"/>
              </w:rPr>
              <w:t>8</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77">
            <w:r>
              <w:rPr/>
              <w:t>保险金的领取</w:t>
              <w:tab/>
            </w:r>
            <w:r>
              <w:rPr>
                <w:rFonts w:ascii="Times New Roman" w:eastAsia="Times New Roman"/>
              </w:rPr>
              <w:t>8</w:t>
            </w:r>
          </w:hyperlink>
        </w:p>
        <w:p>
          <w:pPr>
            <w:pStyle w:val="TOC2"/>
            <w:numPr>
              <w:ilvl w:val="1"/>
              <w:numId w:val="2"/>
            </w:numPr>
            <w:tabs>
              <w:tab w:pos="1219" w:val="left" w:leader="none"/>
              <w:tab w:pos="1220" w:val="left" w:leader="none"/>
              <w:tab w:pos="8415" w:val="right" w:leader="dot"/>
            </w:tabs>
            <w:spacing w:line="240" w:lineRule="auto" w:before="21" w:after="0"/>
            <w:ind w:left="1219" w:right="0" w:hanging="679"/>
            <w:jc w:val="left"/>
            <w:rPr>
              <w:rFonts w:ascii="Times New Roman" w:eastAsia="Times New Roman"/>
            </w:rPr>
          </w:pPr>
          <w:hyperlink w:history="true" w:anchor="_TOC_250076">
            <w:r>
              <w:rPr/>
              <w:t>受益人的指定和变更</w:t>
              <w:tab/>
            </w:r>
            <w:r>
              <w:rPr>
                <w:rFonts w:ascii="Times New Roman" w:eastAsia="Times New Roman"/>
              </w:rPr>
              <w:t>8</w:t>
            </w:r>
          </w:hyperlink>
        </w:p>
        <w:p>
          <w:pPr>
            <w:pStyle w:val="TOC3"/>
            <w:numPr>
              <w:ilvl w:val="2"/>
              <w:numId w:val="2"/>
            </w:numPr>
            <w:tabs>
              <w:tab w:pos="1660" w:val="left" w:leader="none"/>
              <w:tab w:pos="1661" w:val="left" w:leader="none"/>
              <w:tab w:pos="8415" w:val="right" w:leader="dot"/>
            </w:tabs>
            <w:spacing w:line="240" w:lineRule="auto" w:before="21" w:after="0"/>
            <w:ind w:left="1660" w:right="0" w:hanging="700"/>
            <w:jc w:val="left"/>
            <w:rPr>
              <w:rFonts w:ascii="Times New Roman" w:eastAsia="Times New Roman"/>
            </w:rPr>
          </w:pPr>
          <w:hyperlink w:history="true" w:anchor="_TOC_250075">
            <w:r>
              <w:rPr/>
              <w:t>重大疾病保险金受益人</w:t>
              <w:tab/>
            </w:r>
            <w:r>
              <w:rPr>
                <w:rFonts w:ascii="Times New Roman" w:eastAsia="Times New Roman"/>
              </w:rPr>
              <w:t>8</w:t>
            </w:r>
          </w:hyperlink>
        </w:p>
        <w:p>
          <w:pPr>
            <w:pStyle w:val="TOC3"/>
            <w:numPr>
              <w:ilvl w:val="2"/>
              <w:numId w:val="2"/>
            </w:numPr>
            <w:tabs>
              <w:tab w:pos="1660" w:val="left" w:leader="none"/>
              <w:tab w:pos="1661" w:val="left" w:leader="none"/>
              <w:tab w:pos="8415" w:val="right" w:leader="dot"/>
            </w:tabs>
            <w:spacing w:line="240" w:lineRule="auto" w:before="21" w:after="0"/>
            <w:ind w:left="1660" w:right="0" w:hanging="700"/>
            <w:jc w:val="left"/>
            <w:rPr>
              <w:rFonts w:ascii="Times New Roman" w:eastAsia="Times New Roman"/>
            </w:rPr>
          </w:pPr>
          <w:hyperlink w:history="true" w:anchor="_TOC_250074">
            <w:r>
              <w:rPr/>
              <w:t>身故保险金受益人</w:t>
              <w:tab/>
            </w:r>
            <w:r>
              <w:rPr>
                <w:rFonts w:ascii="Times New Roman" w:eastAsia="Times New Roman"/>
              </w:rPr>
              <w:t>8</w:t>
            </w:r>
          </w:hyperlink>
        </w:p>
        <w:p>
          <w:pPr>
            <w:pStyle w:val="TOC3"/>
            <w:numPr>
              <w:ilvl w:val="2"/>
              <w:numId w:val="2"/>
            </w:numPr>
            <w:tabs>
              <w:tab w:pos="1660" w:val="left" w:leader="none"/>
              <w:tab w:pos="1661" w:val="left" w:leader="none"/>
              <w:tab w:pos="8415" w:val="right" w:leader="dot"/>
            </w:tabs>
            <w:spacing w:line="240" w:lineRule="auto" w:before="21" w:after="0"/>
            <w:ind w:left="1660" w:right="0" w:hanging="700"/>
            <w:jc w:val="left"/>
            <w:rPr>
              <w:rFonts w:ascii="Times New Roman" w:eastAsia="Times New Roman"/>
            </w:rPr>
          </w:pPr>
          <w:hyperlink w:history="true" w:anchor="_TOC_250073">
            <w:r>
              <w:rPr/>
              <w:t>永久完全残疾保险金受益人</w:t>
              <w:tab/>
            </w:r>
            <w:r>
              <w:rPr>
                <w:rFonts w:ascii="Times New Roman" w:eastAsia="Times New Roman"/>
              </w:rPr>
              <w:t>9</w:t>
            </w:r>
          </w:hyperlink>
        </w:p>
        <w:p>
          <w:pPr>
            <w:pStyle w:val="TOC2"/>
            <w:numPr>
              <w:ilvl w:val="1"/>
              <w:numId w:val="2"/>
            </w:numPr>
            <w:tabs>
              <w:tab w:pos="1219" w:val="left" w:leader="none"/>
              <w:tab w:pos="1220" w:val="left" w:leader="none"/>
              <w:tab w:pos="8415" w:val="right" w:leader="dot"/>
            </w:tabs>
            <w:spacing w:line="240" w:lineRule="auto" w:before="21" w:after="0"/>
            <w:ind w:left="1219" w:right="0" w:hanging="679"/>
            <w:jc w:val="left"/>
            <w:rPr>
              <w:rFonts w:ascii="Times New Roman" w:eastAsia="Times New Roman"/>
            </w:rPr>
          </w:pPr>
          <w:hyperlink w:history="true" w:anchor="_TOC_250072">
            <w:r>
              <w:rPr/>
              <w:t>保险事故的通知</w:t>
              <w:tab/>
            </w:r>
            <w:r>
              <w:rPr>
                <w:rFonts w:ascii="Times New Roman" w:eastAsia="Times New Roman"/>
              </w:rPr>
              <w:t>9</w:t>
            </w:r>
          </w:hyperlink>
        </w:p>
        <w:p>
          <w:pPr>
            <w:pStyle w:val="TOC2"/>
            <w:numPr>
              <w:ilvl w:val="1"/>
              <w:numId w:val="2"/>
            </w:numPr>
            <w:tabs>
              <w:tab w:pos="1219" w:val="left" w:leader="none"/>
              <w:tab w:pos="1220" w:val="left" w:leader="none"/>
              <w:tab w:pos="8415" w:val="right" w:leader="dot"/>
            </w:tabs>
            <w:spacing w:line="240" w:lineRule="auto" w:before="21" w:after="0"/>
            <w:ind w:left="1219" w:right="0" w:hanging="679"/>
            <w:jc w:val="left"/>
            <w:rPr>
              <w:rFonts w:ascii="Times New Roman" w:eastAsia="Times New Roman"/>
            </w:rPr>
          </w:pPr>
          <w:hyperlink w:history="true" w:anchor="_TOC_250071">
            <w:r>
              <w:rPr/>
              <w:t>保险金申请</w:t>
              <w:tab/>
            </w:r>
            <w:r>
              <w:rPr>
                <w:rFonts w:ascii="Times New Roman" w:eastAsia="Times New Roman"/>
              </w:rPr>
              <w:t>9</w:t>
            </w:r>
          </w:hyperlink>
        </w:p>
        <w:p>
          <w:pPr>
            <w:pStyle w:val="TOC3"/>
            <w:numPr>
              <w:ilvl w:val="2"/>
              <w:numId w:val="3"/>
            </w:numPr>
            <w:tabs>
              <w:tab w:pos="1347" w:val="left" w:leader="none"/>
              <w:tab w:pos="1879" w:val="left" w:leader="none"/>
              <w:tab w:pos="8415" w:val="right" w:leader="dot"/>
            </w:tabs>
            <w:spacing w:line="240" w:lineRule="auto" w:before="21" w:after="0"/>
            <w:ind w:left="1346" w:right="0" w:hanging="386"/>
            <w:jc w:val="left"/>
            <w:rPr>
              <w:rFonts w:ascii="Times New Roman" w:eastAsia="Times New Roman"/>
            </w:rPr>
          </w:pPr>
          <w:hyperlink w:history="true" w:anchor="_TOC_250070">
            <w:r>
              <w:rPr/>
              <w:t>．</w:t>
              <w:tab/>
              <w:t>重大疾病保险金的申请</w:t>
              <w:tab/>
            </w:r>
            <w:r>
              <w:rPr>
                <w:rFonts w:ascii="Times New Roman" w:eastAsia="Times New Roman"/>
              </w:rPr>
              <w:t>9</w:t>
            </w:r>
          </w:hyperlink>
        </w:p>
        <w:p>
          <w:pPr>
            <w:pStyle w:val="TOC3"/>
            <w:numPr>
              <w:ilvl w:val="2"/>
              <w:numId w:val="3"/>
            </w:numPr>
            <w:tabs>
              <w:tab w:pos="1347" w:val="left" w:leader="none"/>
              <w:tab w:pos="1879" w:val="left" w:leader="none"/>
              <w:tab w:pos="8415" w:val="right" w:leader="dot"/>
            </w:tabs>
            <w:spacing w:line="240" w:lineRule="auto" w:before="21" w:after="0"/>
            <w:ind w:left="1346" w:right="0" w:hanging="386"/>
            <w:jc w:val="left"/>
            <w:rPr>
              <w:rFonts w:ascii="Times New Roman" w:eastAsia="Times New Roman"/>
            </w:rPr>
          </w:pPr>
          <w:hyperlink w:history="true" w:anchor="_TOC_250069">
            <w:r>
              <w:rPr/>
              <w:t>．</w:t>
              <w:tab/>
              <w:t>身故保险金的申请</w:t>
              <w:tab/>
            </w:r>
            <w:r>
              <w:rPr>
                <w:rFonts w:ascii="Times New Roman" w:eastAsia="Times New Roman"/>
              </w:rPr>
              <w:t>10</w:t>
            </w:r>
          </w:hyperlink>
        </w:p>
        <w:p>
          <w:pPr>
            <w:pStyle w:val="TOC3"/>
            <w:numPr>
              <w:ilvl w:val="2"/>
              <w:numId w:val="3"/>
            </w:numPr>
            <w:tabs>
              <w:tab w:pos="1347" w:val="left" w:leader="none"/>
              <w:tab w:pos="1879" w:val="left" w:leader="none"/>
              <w:tab w:pos="8415" w:val="right" w:leader="dot"/>
            </w:tabs>
            <w:spacing w:line="240" w:lineRule="auto" w:before="21" w:after="0"/>
            <w:ind w:left="1346" w:right="0" w:hanging="386"/>
            <w:jc w:val="left"/>
            <w:rPr>
              <w:rFonts w:ascii="Times New Roman" w:eastAsia="Times New Roman"/>
            </w:rPr>
          </w:pPr>
          <w:hyperlink w:history="true" w:anchor="_TOC_250068">
            <w:r>
              <w:rPr/>
              <w:t>．</w:t>
              <w:tab/>
              <w:t>永久完全残疾保险金的申请</w:t>
              <w:tab/>
            </w:r>
            <w:r>
              <w:rPr>
                <w:rFonts w:ascii="Times New Roman" w:eastAsia="Times New Roman"/>
              </w:rPr>
              <w:t>10</w:t>
            </w:r>
          </w:hyperlink>
        </w:p>
        <w:p>
          <w:pPr>
            <w:pStyle w:val="TOC3"/>
            <w:numPr>
              <w:ilvl w:val="2"/>
              <w:numId w:val="3"/>
            </w:numPr>
            <w:tabs>
              <w:tab w:pos="1347" w:val="left" w:leader="none"/>
              <w:tab w:pos="1879" w:val="left" w:leader="none"/>
              <w:tab w:pos="8420" w:val="right" w:leader="dot"/>
            </w:tabs>
            <w:spacing w:line="240" w:lineRule="auto" w:before="21" w:after="0"/>
            <w:ind w:left="1346" w:right="0" w:hanging="386"/>
            <w:jc w:val="left"/>
            <w:rPr>
              <w:rFonts w:ascii="Times New Roman" w:eastAsia="Times New Roman"/>
            </w:rPr>
          </w:pPr>
          <w:hyperlink w:history="true" w:anchor="_TOC_250067">
            <w:r>
              <w:rPr/>
              <w:t>．</w:t>
              <w:tab/>
              <w:t>证明和资料的补充</w:t>
              <w:tab/>
            </w:r>
            <w:r>
              <w:rPr>
                <w:rFonts w:ascii="Times New Roman" w:eastAsia="Times New Roman"/>
              </w:rPr>
              <w:t>11</w:t>
            </w:r>
          </w:hyperlink>
        </w:p>
        <w:p>
          <w:pPr>
            <w:pStyle w:val="TOC2"/>
            <w:numPr>
              <w:ilvl w:val="1"/>
              <w:numId w:val="2"/>
            </w:numPr>
            <w:tabs>
              <w:tab w:pos="1219" w:val="left" w:leader="none"/>
              <w:tab w:pos="1220" w:val="left" w:leader="none"/>
              <w:tab w:pos="8420" w:val="right" w:leader="dot"/>
            </w:tabs>
            <w:spacing w:line="240" w:lineRule="auto" w:before="21" w:after="0"/>
            <w:ind w:left="1219" w:right="0" w:hanging="679"/>
            <w:jc w:val="left"/>
            <w:rPr>
              <w:rFonts w:ascii="Times New Roman" w:eastAsia="Times New Roman"/>
            </w:rPr>
          </w:pPr>
          <w:hyperlink w:history="true" w:anchor="_TOC_250066">
            <w:r>
              <w:rPr/>
              <w:t>保险金的给付</w:t>
              <w:tab/>
            </w:r>
            <w:r>
              <w:rPr>
                <w:rFonts w:ascii="Times New Roman" w:eastAsia="Times New Roman"/>
              </w:rPr>
              <w:t>11</w:t>
            </w:r>
          </w:hyperlink>
        </w:p>
        <w:p>
          <w:pPr>
            <w:pStyle w:val="TOC2"/>
            <w:numPr>
              <w:ilvl w:val="1"/>
              <w:numId w:val="2"/>
            </w:numPr>
            <w:tabs>
              <w:tab w:pos="1219" w:val="left" w:leader="none"/>
              <w:tab w:pos="1220" w:val="left" w:leader="none"/>
              <w:tab w:pos="8420" w:val="right" w:leader="dot"/>
            </w:tabs>
            <w:spacing w:line="240" w:lineRule="auto" w:before="21" w:after="0"/>
            <w:ind w:left="1219" w:right="0" w:hanging="679"/>
            <w:jc w:val="left"/>
            <w:rPr>
              <w:rFonts w:ascii="Times New Roman" w:eastAsia="Times New Roman"/>
            </w:rPr>
          </w:pPr>
          <w:hyperlink w:history="true" w:anchor="_TOC_250065">
            <w:r>
              <w:rPr/>
              <w:t>诉讼时效</w:t>
              <w:tab/>
            </w:r>
            <w:r>
              <w:rPr>
                <w:rFonts w:ascii="Times New Roman" w:eastAsia="Times New Roman"/>
              </w:rPr>
              <w:t>11</w:t>
            </w:r>
          </w:hyperlink>
        </w:p>
        <w:p>
          <w:pPr>
            <w:pStyle w:val="TOC1"/>
            <w:numPr>
              <w:ilvl w:val="0"/>
              <w:numId w:val="2"/>
            </w:numPr>
            <w:tabs>
              <w:tab w:pos="959" w:val="left" w:leader="none"/>
              <w:tab w:pos="960" w:val="left" w:leader="none"/>
              <w:tab w:pos="8420" w:val="right" w:leader="dot"/>
            </w:tabs>
            <w:spacing w:line="240" w:lineRule="auto" w:before="21" w:after="0"/>
            <w:ind w:left="960" w:right="0" w:hanging="840"/>
            <w:jc w:val="left"/>
            <w:rPr>
              <w:rFonts w:ascii="Times New Roman" w:eastAsia="Times New Roman"/>
            </w:rPr>
          </w:pPr>
          <w:hyperlink w:history="true" w:anchor="_TOC_250064">
            <w:r>
              <w:rPr/>
              <w:t>现金价值权益</w:t>
              <w:tab/>
            </w:r>
            <w:r>
              <w:rPr>
                <w:rFonts w:ascii="Times New Roman" w:eastAsia="Times New Roman"/>
              </w:rPr>
              <w:t>11</w:t>
            </w:r>
          </w:hyperlink>
        </w:p>
        <w:p>
          <w:pPr>
            <w:pStyle w:val="TOC2"/>
            <w:numPr>
              <w:ilvl w:val="1"/>
              <w:numId w:val="2"/>
            </w:numPr>
            <w:tabs>
              <w:tab w:pos="1219" w:val="left" w:leader="none"/>
              <w:tab w:pos="1220" w:val="left" w:leader="none"/>
              <w:tab w:pos="8420" w:val="right" w:leader="dot"/>
            </w:tabs>
            <w:spacing w:line="240" w:lineRule="auto" w:before="21" w:after="0"/>
            <w:ind w:left="1219" w:right="0" w:hanging="679"/>
            <w:jc w:val="left"/>
            <w:rPr>
              <w:rFonts w:ascii="Times New Roman" w:eastAsia="Times New Roman"/>
            </w:rPr>
          </w:pPr>
          <w:hyperlink w:history="true" w:anchor="_TOC_250063">
            <w:r>
              <w:rPr/>
              <w:t>现金价值</w:t>
              <w:tab/>
            </w:r>
            <w:r>
              <w:rPr>
                <w:rFonts w:ascii="Times New Roman" w:eastAsia="Times New Roman"/>
              </w:rPr>
              <w:t>11</w:t>
            </w:r>
          </w:hyperlink>
        </w:p>
        <w:p>
          <w:pPr>
            <w:pStyle w:val="TOC2"/>
            <w:numPr>
              <w:ilvl w:val="1"/>
              <w:numId w:val="2"/>
            </w:numPr>
            <w:tabs>
              <w:tab w:pos="1219" w:val="left" w:leader="none"/>
              <w:tab w:pos="1220" w:val="left" w:leader="none"/>
              <w:tab w:pos="8415" w:val="right" w:leader="dot"/>
            </w:tabs>
            <w:spacing w:line="240" w:lineRule="auto" w:before="21" w:after="0"/>
            <w:ind w:left="1219" w:right="0" w:hanging="679"/>
            <w:jc w:val="left"/>
            <w:rPr>
              <w:rFonts w:ascii="Times New Roman" w:eastAsia="Times New Roman"/>
            </w:rPr>
          </w:pPr>
          <w:hyperlink w:history="true" w:anchor="_TOC_250062">
            <w:r>
              <w:rPr/>
              <w:t>保险费自动垫交</w:t>
              <w:tab/>
            </w:r>
            <w:r>
              <w:rPr>
                <w:rFonts w:ascii="Times New Roman" w:eastAsia="Times New Roman"/>
              </w:rPr>
              <w:t>12</w:t>
            </w:r>
          </w:hyperlink>
        </w:p>
        <w:p>
          <w:pPr>
            <w:pStyle w:val="TOC2"/>
            <w:numPr>
              <w:ilvl w:val="1"/>
              <w:numId w:val="2"/>
            </w:numPr>
            <w:tabs>
              <w:tab w:pos="1219" w:val="left" w:leader="none"/>
              <w:tab w:pos="1220" w:val="left" w:leader="none"/>
              <w:tab w:pos="8415" w:val="right" w:leader="dot"/>
            </w:tabs>
            <w:spacing w:line="240" w:lineRule="auto" w:before="21" w:after="0"/>
            <w:ind w:left="1219" w:right="0" w:hanging="679"/>
            <w:jc w:val="left"/>
            <w:rPr>
              <w:rFonts w:ascii="Times New Roman" w:eastAsia="Times New Roman"/>
            </w:rPr>
          </w:pPr>
          <w:hyperlink w:history="true" w:anchor="_TOC_250061">
            <w:r>
              <w:rPr/>
              <w:t>保单贷款</w:t>
              <w:tab/>
            </w:r>
            <w:r>
              <w:rPr>
                <w:rFonts w:ascii="Times New Roman" w:eastAsia="Times New Roman"/>
              </w:rPr>
              <w:t>12</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60">
            <w:r>
              <w:rPr/>
              <w:t>未还款项</w:t>
              <w:tab/>
            </w:r>
            <w:r>
              <w:rPr>
                <w:rFonts w:ascii="Times New Roman" w:eastAsia="Times New Roman"/>
              </w:rPr>
              <w:t>12</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59">
            <w:r>
              <w:rPr/>
              <w:t>合同效力的变动</w:t>
              <w:tab/>
            </w:r>
            <w:r>
              <w:rPr>
                <w:rFonts w:ascii="Times New Roman" w:eastAsia="Times New Roman"/>
              </w:rPr>
              <w:t>13</w:t>
            </w:r>
          </w:hyperlink>
        </w:p>
        <w:p>
          <w:pPr>
            <w:pStyle w:val="TOC2"/>
            <w:numPr>
              <w:ilvl w:val="1"/>
              <w:numId w:val="2"/>
            </w:numPr>
            <w:tabs>
              <w:tab w:pos="1219" w:val="left" w:leader="none"/>
              <w:tab w:pos="1220" w:val="left" w:leader="none"/>
              <w:tab w:pos="8415" w:val="right" w:leader="dot"/>
            </w:tabs>
            <w:spacing w:line="240" w:lineRule="auto" w:before="21" w:after="0"/>
            <w:ind w:left="1219" w:right="0" w:hanging="679"/>
            <w:jc w:val="left"/>
            <w:rPr>
              <w:rFonts w:ascii="Times New Roman" w:eastAsia="Times New Roman"/>
            </w:rPr>
          </w:pPr>
          <w:hyperlink w:history="true" w:anchor="_TOC_250058">
            <w:r>
              <w:rPr/>
              <w:t>合同效力的中止</w:t>
              <w:tab/>
            </w:r>
            <w:r>
              <w:rPr>
                <w:rFonts w:ascii="Times New Roman" w:eastAsia="Times New Roman"/>
              </w:rPr>
              <w:t>13</w:t>
            </w:r>
          </w:hyperlink>
        </w:p>
        <w:p>
          <w:pPr>
            <w:pStyle w:val="TOC2"/>
            <w:numPr>
              <w:ilvl w:val="1"/>
              <w:numId w:val="2"/>
            </w:numPr>
            <w:tabs>
              <w:tab w:pos="1219" w:val="left" w:leader="none"/>
              <w:tab w:pos="1220" w:val="left" w:leader="none"/>
              <w:tab w:pos="8415" w:val="right" w:leader="dot"/>
            </w:tabs>
            <w:spacing w:line="240" w:lineRule="auto" w:before="21" w:after="0"/>
            <w:ind w:left="1219" w:right="0" w:hanging="679"/>
            <w:jc w:val="left"/>
            <w:rPr>
              <w:rFonts w:ascii="Times New Roman" w:eastAsia="Times New Roman"/>
            </w:rPr>
          </w:pPr>
          <w:hyperlink w:history="true" w:anchor="_TOC_250057">
            <w:r>
              <w:rPr/>
              <w:t>合同效力的恢复</w:t>
              <w:tab/>
            </w:r>
            <w:r>
              <w:rPr>
                <w:rFonts w:ascii="Times New Roman" w:eastAsia="Times New Roman"/>
              </w:rPr>
              <w:t>13</w:t>
            </w:r>
          </w:hyperlink>
        </w:p>
        <w:p>
          <w:pPr>
            <w:pStyle w:val="TOC2"/>
            <w:numPr>
              <w:ilvl w:val="1"/>
              <w:numId w:val="2"/>
            </w:numPr>
            <w:tabs>
              <w:tab w:pos="1219" w:val="left" w:leader="none"/>
              <w:tab w:pos="1220" w:val="left" w:leader="none"/>
              <w:tab w:pos="8415" w:val="right" w:leader="dot"/>
            </w:tabs>
            <w:spacing w:line="240" w:lineRule="auto" w:before="21" w:after="0"/>
            <w:ind w:left="1219" w:right="0" w:hanging="679"/>
            <w:jc w:val="left"/>
            <w:rPr>
              <w:rFonts w:ascii="Times New Roman" w:hAnsi="Times New Roman" w:eastAsia="Times New Roman"/>
            </w:rPr>
          </w:pPr>
          <w:hyperlink w:history="true" w:anchor="_TOC_250056">
            <w:r>
              <w:rPr/>
              <w:t>合同的解除——退保</w:t>
              <w:tab/>
            </w:r>
            <w:r>
              <w:rPr>
                <w:rFonts w:ascii="Times New Roman" w:hAnsi="Times New Roman" w:eastAsia="Times New Roman"/>
              </w:rPr>
              <w:t>13</w:t>
            </w:r>
          </w:hyperlink>
        </w:p>
        <w:p>
          <w:pPr>
            <w:pStyle w:val="TOC3"/>
            <w:numPr>
              <w:ilvl w:val="2"/>
              <w:numId w:val="2"/>
            </w:numPr>
            <w:tabs>
              <w:tab w:pos="1498" w:val="left" w:leader="none"/>
              <w:tab w:pos="8415" w:val="right" w:leader="dot"/>
            </w:tabs>
            <w:spacing w:line="240" w:lineRule="auto" w:before="21" w:after="0"/>
            <w:ind w:left="1497" w:right="0" w:hanging="537"/>
            <w:jc w:val="left"/>
            <w:rPr>
              <w:rFonts w:ascii="Times New Roman" w:eastAsia="Times New Roman"/>
            </w:rPr>
          </w:pPr>
          <w:hyperlink w:history="true" w:anchor="_TOC_250055">
            <w:r>
              <w:rPr/>
              <w:t>犹豫期</w:t>
              <w:tab/>
            </w:r>
            <w:r>
              <w:rPr>
                <w:rFonts w:ascii="Times New Roman" w:eastAsia="Times New Roman"/>
              </w:rPr>
              <w:t>13</w:t>
            </w:r>
          </w:hyperlink>
        </w:p>
        <w:p>
          <w:pPr>
            <w:pStyle w:val="TOC3"/>
            <w:numPr>
              <w:ilvl w:val="2"/>
              <w:numId w:val="2"/>
            </w:numPr>
            <w:tabs>
              <w:tab w:pos="1498" w:val="left" w:leader="none"/>
              <w:tab w:pos="8415" w:val="right" w:leader="dot"/>
            </w:tabs>
            <w:spacing w:line="240" w:lineRule="auto" w:before="21" w:after="0"/>
            <w:ind w:left="1497" w:right="0" w:hanging="537"/>
            <w:jc w:val="left"/>
            <w:rPr>
              <w:rFonts w:ascii="Times New Roman" w:eastAsia="Times New Roman"/>
            </w:rPr>
          </w:pPr>
          <w:hyperlink w:history="true" w:anchor="_TOC_250054">
            <w:r>
              <w:rPr/>
              <w:t>犹豫期之后申请退保</w:t>
              <w:tab/>
            </w:r>
            <w:r>
              <w:rPr>
                <w:rFonts w:ascii="Times New Roman" w:eastAsia="Times New Roman"/>
              </w:rPr>
              <w:t>13</w:t>
            </w:r>
          </w:hyperlink>
        </w:p>
        <w:p>
          <w:pPr>
            <w:pStyle w:val="TOC3"/>
            <w:numPr>
              <w:ilvl w:val="2"/>
              <w:numId w:val="2"/>
            </w:numPr>
            <w:tabs>
              <w:tab w:pos="1498" w:val="left" w:leader="none"/>
              <w:tab w:pos="8415" w:val="right" w:leader="dot"/>
            </w:tabs>
            <w:spacing w:line="240" w:lineRule="auto" w:before="21" w:after="0"/>
            <w:ind w:left="1497" w:right="0" w:hanging="537"/>
            <w:jc w:val="left"/>
            <w:rPr>
              <w:rFonts w:ascii="Times New Roman" w:eastAsia="Times New Roman"/>
            </w:rPr>
          </w:pPr>
          <w:hyperlink w:history="true" w:anchor="_TOC_250053">
            <w:r>
              <w:rPr/>
              <w:t>退保申请</w:t>
              <w:tab/>
            </w:r>
            <w:r>
              <w:rPr>
                <w:rFonts w:ascii="Times New Roman" w:eastAsia="Times New Roman"/>
              </w:rPr>
              <w:t>14</w:t>
            </w:r>
          </w:hyperlink>
        </w:p>
        <w:p>
          <w:pPr>
            <w:pStyle w:val="TOC2"/>
            <w:numPr>
              <w:ilvl w:val="1"/>
              <w:numId w:val="2"/>
            </w:numPr>
            <w:tabs>
              <w:tab w:pos="1219" w:val="left" w:leader="none"/>
              <w:tab w:pos="1220" w:val="left" w:leader="none"/>
              <w:tab w:pos="8415" w:val="right" w:leader="dot"/>
            </w:tabs>
            <w:spacing w:line="240" w:lineRule="auto" w:before="21" w:after="20"/>
            <w:ind w:left="1219" w:right="0" w:hanging="679"/>
            <w:jc w:val="left"/>
            <w:rPr>
              <w:rFonts w:ascii="Times New Roman" w:eastAsia="Times New Roman"/>
            </w:rPr>
          </w:pPr>
          <w:hyperlink w:history="true" w:anchor="_TOC_250052">
            <w:r>
              <w:rPr/>
              <w:t>合同效力的终止</w:t>
              <w:tab/>
            </w:r>
            <w:r>
              <w:rPr>
                <w:rFonts w:ascii="Times New Roman" w:eastAsia="Times New Roman"/>
              </w:rPr>
              <w:t>14</w:t>
            </w:r>
          </w:hyperlink>
        </w:p>
        <w:p>
          <w:pPr>
            <w:pStyle w:val="TOC1"/>
            <w:numPr>
              <w:ilvl w:val="0"/>
              <w:numId w:val="2"/>
            </w:numPr>
            <w:tabs>
              <w:tab w:pos="959" w:val="left" w:leader="none"/>
              <w:tab w:pos="960" w:val="left" w:leader="none"/>
              <w:tab w:pos="8415" w:val="right" w:leader="dot"/>
            </w:tabs>
            <w:spacing w:line="240" w:lineRule="auto" w:before="35" w:after="0"/>
            <w:ind w:left="960" w:right="0" w:hanging="840"/>
            <w:jc w:val="left"/>
            <w:rPr>
              <w:rFonts w:ascii="Times New Roman" w:eastAsia="Times New Roman"/>
            </w:rPr>
          </w:pPr>
          <w:hyperlink w:history="true" w:anchor="_TOC_250051">
            <w:r>
              <w:rPr/>
              <w:t>被保险人年龄确定错误处理</w:t>
              <w:tab/>
            </w:r>
            <w:r>
              <w:rPr>
                <w:rFonts w:ascii="Times New Roman" w:eastAsia="Times New Roman"/>
              </w:rPr>
              <w:t>14</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50">
            <w:r>
              <w:rPr/>
              <w:t>适用主险条款</w:t>
              <w:tab/>
            </w:r>
            <w:r>
              <w:rPr>
                <w:rFonts w:ascii="Times New Roman" w:eastAsia="Times New Roman"/>
              </w:rPr>
              <w:t>15</w:t>
            </w:r>
          </w:hyperlink>
        </w:p>
        <w:p>
          <w:pPr>
            <w:pStyle w:val="TOC1"/>
            <w:tabs>
              <w:tab w:pos="959" w:val="left" w:leader="none"/>
              <w:tab w:pos="8415" w:val="right" w:leader="dot"/>
            </w:tabs>
            <w:ind w:left="120" w:firstLine="0"/>
            <w:rPr>
              <w:rFonts w:ascii="Times New Roman" w:eastAsia="Times New Roman"/>
            </w:rPr>
          </w:pPr>
          <w:hyperlink w:history="true" w:anchor="_TOC_250049">
            <w:r>
              <w:rPr/>
              <w:t>12.</w:t>
              <w:tab/>
              <w:t>释义</w:t>
              <w:tab/>
            </w:r>
            <w:r>
              <w:rPr>
                <w:rFonts w:ascii="Times New Roman" w:eastAsia="Times New Roman"/>
              </w:rPr>
              <w:t>15</w:t>
            </w:r>
          </w:hyperlink>
        </w:p>
        <w:p>
          <w:pPr>
            <w:pStyle w:val="TOC2"/>
            <w:tabs>
              <w:tab w:pos="8415" w:val="right" w:leader="dot"/>
            </w:tabs>
            <w:ind w:left="540" w:firstLine="0"/>
            <w:rPr>
              <w:rFonts w:ascii="Times New Roman" w:eastAsia="Times New Roman"/>
            </w:rPr>
          </w:pPr>
          <w:hyperlink w:history="true" w:anchor="_TOC_250048">
            <w:r>
              <w:rPr>
                <w:w w:val="93"/>
              </w:rPr>
              <w:t>12</w:t>
            </w:r>
            <w:r>
              <w:rPr>
                <w:spacing w:val="-1"/>
                <w:w w:val="43"/>
              </w:rPr>
              <w:t>.</w:t>
            </w:r>
            <w:r>
              <w:rPr>
                <w:w w:val="93"/>
              </w:rPr>
              <w:t>1</w:t>
            </w:r>
            <w:r>
              <w:rPr>
                <w:spacing w:val="0"/>
              </w:rPr>
              <w:t> </w:t>
            </w:r>
            <w:r>
              <w:rPr>
                <w:spacing w:val="1"/>
                <w:w w:val="99"/>
              </w:rPr>
              <w:t>周</w:t>
            </w:r>
            <w:r>
              <w:rPr>
                <w:w w:val="99"/>
              </w:rPr>
              <w:t>岁</w:t>
            </w:r>
            <w:r>
              <w:rPr>
                <w:rFonts w:ascii="Times New Roman" w:eastAsia="Times New Roman"/>
                <w:w w:val="99"/>
              </w:rPr>
              <w:t> </w:t>
            </w:r>
            <w:r>
              <w:rPr>
                <w:rFonts w:ascii="Times New Roman" w:eastAsia="Times New Roman"/>
              </w:rPr>
              <w:tab/>
            </w:r>
            <w:r>
              <w:rPr>
                <w:rFonts w:ascii="Times New Roman" w:eastAsia="Times New Roman"/>
                <w:spacing w:val="0"/>
                <w:w w:val="99"/>
              </w:rPr>
              <w:t>1</w:t>
            </w:r>
            <w:r>
              <w:rPr>
                <w:rFonts w:ascii="Times New Roman" w:eastAsia="Times New Roman"/>
                <w:w w:val="99"/>
              </w:rPr>
              <w:t>5</w:t>
            </w:r>
          </w:hyperlink>
        </w:p>
        <w:p>
          <w:pPr>
            <w:pStyle w:val="TOC2"/>
            <w:tabs>
              <w:tab w:pos="8415" w:val="right" w:leader="dot"/>
            </w:tabs>
            <w:ind w:left="540" w:firstLine="0"/>
            <w:rPr>
              <w:rFonts w:ascii="Times New Roman" w:eastAsia="Times New Roman"/>
            </w:rPr>
          </w:pPr>
          <w:hyperlink w:history="true" w:anchor="_TOC_250047">
            <w:r>
              <w:rPr>
                <w:w w:val="93"/>
              </w:rPr>
              <w:t>12</w:t>
            </w:r>
            <w:r>
              <w:rPr>
                <w:spacing w:val="-1"/>
                <w:w w:val="43"/>
              </w:rPr>
              <w:t>.</w:t>
            </w:r>
            <w:r>
              <w:rPr>
                <w:w w:val="93"/>
              </w:rPr>
              <w:t>2</w:t>
            </w:r>
            <w:r>
              <w:rPr>
                <w:spacing w:val="0"/>
              </w:rPr>
              <w:t> </w:t>
            </w:r>
            <w:r>
              <w:rPr>
                <w:spacing w:val="1"/>
                <w:w w:val="99"/>
              </w:rPr>
              <w:t>医</w:t>
            </w:r>
            <w:r>
              <w:rPr>
                <w:w w:val="99"/>
              </w:rPr>
              <w:t>院</w:t>
            </w:r>
            <w:r>
              <w:rPr>
                <w:rFonts w:ascii="Times New Roman" w:eastAsia="Times New Roman"/>
                <w:w w:val="99"/>
              </w:rPr>
              <w:t> </w:t>
            </w:r>
            <w:r>
              <w:rPr>
                <w:rFonts w:ascii="Times New Roman" w:eastAsia="Times New Roman"/>
              </w:rPr>
              <w:tab/>
            </w:r>
            <w:r>
              <w:rPr>
                <w:rFonts w:ascii="Times New Roman" w:eastAsia="Times New Roman"/>
                <w:spacing w:val="0"/>
                <w:w w:val="99"/>
              </w:rPr>
              <w:t>1</w:t>
            </w:r>
            <w:r>
              <w:rPr>
                <w:rFonts w:ascii="Times New Roman" w:eastAsia="Times New Roman"/>
                <w:w w:val="99"/>
              </w:rPr>
              <w:t>5</w:t>
            </w:r>
          </w:hyperlink>
        </w:p>
        <w:p>
          <w:pPr>
            <w:pStyle w:val="TOC2"/>
            <w:numPr>
              <w:ilvl w:val="1"/>
              <w:numId w:val="4"/>
            </w:numPr>
            <w:tabs>
              <w:tab w:pos="1091" w:val="left" w:leader="none"/>
              <w:tab w:pos="1092" w:val="left" w:leader="none"/>
              <w:tab w:pos="8415" w:val="right" w:leader="dot"/>
            </w:tabs>
            <w:spacing w:line="240" w:lineRule="auto" w:before="21" w:after="0"/>
            <w:ind w:left="1092" w:right="0" w:hanging="552"/>
            <w:jc w:val="left"/>
            <w:rPr>
              <w:rFonts w:ascii="Times New Roman" w:eastAsia="Times New Roman"/>
            </w:rPr>
          </w:pPr>
          <w:hyperlink w:history="true" w:anchor="_TOC_250046">
            <w:r>
              <w:rPr/>
              <w:t>30</w:t>
            </w:r>
            <w:r>
              <w:rPr>
                <w:spacing w:val="-56"/>
              </w:rPr>
              <w:t> </w:t>
            </w:r>
            <w:r>
              <w:rPr/>
              <w:t>种重大疾病</w:t>
              <w:tab/>
            </w:r>
            <w:r>
              <w:rPr>
                <w:rFonts w:ascii="Times New Roman" w:eastAsia="Times New Roman"/>
              </w:rPr>
              <w:t>15</w:t>
            </w:r>
          </w:hyperlink>
        </w:p>
        <w:p>
          <w:pPr>
            <w:pStyle w:val="TOC3"/>
            <w:numPr>
              <w:ilvl w:val="2"/>
              <w:numId w:val="4"/>
            </w:numPr>
            <w:tabs>
              <w:tab w:pos="1879" w:val="left" w:leader="none"/>
              <w:tab w:pos="1880" w:val="left" w:leader="none"/>
              <w:tab w:pos="8415" w:val="right" w:leader="dot"/>
            </w:tabs>
            <w:spacing w:line="240" w:lineRule="auto" w:before="21" w:after="0"/>
            <w:ind w:left="1879" w:right="0" w:hanging="919"/>
            <w:jc w:val="left"/>
            <w:rPr>
              <w:rFonts w:ascii="Times New Roman" w:eastAsia="Times New Roman"/>
            </w:rPr>
          </w:pPr>
          <w:hyperlink w:history="true" w:anchor="_TOC_250045">
            <w:r>
              <w:rPr/>
              <w:t>恶性肿瘤</w:t>
              <w:tab/>
            </w:r>
            <w:r>
              <w:rPr>
                <w:rFonts w:ascii="Times New Roman" w:eastAsia="Times New Roman"/>
              </w:rPr>
              <w:t>16</w:t>
            </w:r>
          </w:hyperlink>
        </w:p>
        <w:p>
          <w:pPr>
            <w:pStyle w:val="TOC3"/>
            <w:numPr>
              <w:ilvl w:val="2"/>
              <w:numId w:val="4"/>
            </w:numPr>
            <w:tabs>
              <w:tab w:pos="1879" w:val="left" w:leader="none"/>
              <w:tab w:pos="1880" w:val="left" w:leader="none"/>
              <w:tab w:pos="8415" w:val="right" w:leader="dot"/>
            </w:tabs>
            <w:spacing w:line="240" w:lineRule="auto" w:before="21" w:after="0"/>
            <w:ind w:left="1879" w:right="0" w:hanging="919"/>
            <w:jc w:val="left"/>
            <w:rPr>
              <w:rFonts w:ascii="Times New Roman" w:eastAsia="Times New Roman"/>
            </w:rPr>
          </w:pPr>
          <w:hyperlink w:history="true" w:anchor="_TOC_250044">
            <w:r>
              <w:rPr/>
              <w:t>急性心肌梗塞</w:t>
              <w:tab/>
            </w:r>
            <w:r>
              <w:rPr>
                <w:rFonts w:ascii="Times New Roman" w:eastAsia="Times New Roman"/>
              </w:rPr>
              <w:t>16</w:t>
            </w:r>
          </w:hyperlink>
        </w:p>
        <w:p>
          <w:pPr>
            <w:pStyle w:val="TOC3"/>
            <w:numPr>
              <w:ilvl w:val="2"/>
              <w:numId w:val="4"/>
            </w:numPr>
            <w:tabs>
              <w:tab w:pos="1879" w:val="left" w:leader="none"/>
              <w:tab w:pos="1880" w:val="left" w:leader="none"/>
              <w:tab w:pos="8415" w:val="right" w:leader="dot"/>
            </w:tabs>
            <w:spacing w:line="240" w:lineRule="auto" w:before="21" w:after="0"/>
            <w:ind w:left="1879" w:right="0" w:hanging="919"/>
            <w:jc w:val="left"/>
            <w:rPr>
              <w:rFonts w:ascii="Times New Roman" w:eastAsia="Times New Roman"/>
            </w:rPr>
          </w:pPr>
          <w:hyperlink w:history="true" w:anchor="_TOC_250043">
            <w:r>
              <w:rPr/>
              <w:t>脑中风后遗症</w:t>
              <w:tab/>
            </w:r>
            <w:r>
              <w:rPr>
                <w:rFonts w:ascii="Times New Roman" w:eastAsia="Times New Roman"/>
              </w:rPr>
              <w:t>16</w:t>
            </w:r>
          </w:hyperlink>
        </w:p>
        <w:p>
          <w:pPr>
            <w:pStyle w:val="TOC3"/>
            <w:numPr>
              <w:ilvl w:val="2"/>
              <w:numId w:val="4"/>
            </w:numPr>
            <w:tabs>
              <w:tab w:pos="1879" w:val="left" w:leader="none"/>
              <w:tab w:pos="1880" w:val="left" w:leader="none"/>
              <w:tab w:pos="8415" w:val="right" w:leader="dot"/>
            </w:tabs>
            <w:spacing w:line="240" w:lineRule="auto" w:before="21" w:after="0"/>
            <w:ind w:left="1879" w:right="0" w:hanging="919"/>
            <w:jc w:val="left"/>
            <w:rPr>
              <w:rFonts w:ascii="Times New Roman" w:eastAsia="Times New Roman"/>
            </w:rPr>
          </w:pPr>
          <w:hyperlink w:history="true" w:anchor="_TOC_250042">
            <w:r>
              <w:rPr/>
              <w:t>重大器官移植术或造血干细胞移植术</w:t>
              <w:tab/>
            </w:r>
            <w:r>
              <w:rPr>
                <w:rFonts w:ascii="Times New Roman" w:eastAsia="Times New Roman"/>
              </w:rPr>
              <w:t>17</w:t>
            </w:r>
          </w:hyperlink>
        </w:p>
        <w:p>
          <w:pPr>
            <w:pStyle w:val="TOC3"/>
            <w:numPr>
              <w:ilvl w:val="2"/>
              <w:numId w:val="4"/>
            </w:numPr>
            <w:tabs>
              <w:tab w:pos="1879" w:val="left" w:leader="none"/>
              <w:tab w:pos="1880" w:val="left" w:leader="none"/>
              <w:tab w:pos="8415" w:val="right" w:leader="dot"/>
            </w:tabs>
            <w:spacing w:line="240" w:lineRule="auto" w:before="21" w:after="0"/>
            <w:ind w:left="1879" w:right="0" w:hanging="919"/>
            <w:jc w:val="left"/>
            <w:rPr>
              <w:rFonts w:ascii="Times New Roman" w:eastAsia="Times New Roman"/>
            </w:rPr>
          </w:pPr>
          <w:hyperlink w:history="true" w:anchor="_TOC_250041">
            <w:r>
              <w:rPr/>
              <w:t>冠状动脉搭桥术（或称冠状动脉旁路移植术）</w:t>
              <w:tab/>
            </w:r>
            <w:r>
              <w:rPr>
                <w:rFonts w:ascii="Times New Roman" w:eastAsia="Times New Roman"/>
              </w:rPr>
              <w:t>17</w:t>
            </w:r>
          </w:hyperlink>
        </w:p>
        <w:p>
          <w:pPr>
            <w:pStyle w:val="TOC3"/>
            <w:numPr>
              <w:ilvl w:val="2"/>
              <w:numId w:val="4"/>
            </w:numPr>
            <w:tabs>
              <w:tab w:pos="1879" w:val="left" w:leader="none"/>
              <w:tab w:pos="1880" w:val="left" w:leader="none"/>
              <w:tab w:pos="8415" w:val="right" w:leader="dot"/>
            </w:tabs>
            <w:spacing w:line="240" w:lineRule="auto" w:before="21" w:after="0"/>
            <w:ind w:left="1879" w:right="0" w:hanging="919"/>
            <w:jc w:val="left"/>
            <w:rPr>
              <w:rFonts w:ascii="Times New Roman" w:eastAsia="Times New Roman"/>
            </w:rPr>
          </w:pPr>
          <w:hyperlink w:history="true" w:anchor="_TOC_250040">
            <w:r>
              <w:rPr/>
              <w:t>终末期肾病（或称慢性肾功能衰竭尿毒症期）</w:t>
              <w:tab/>
            </w:r>
            <w:r>
              <w:rPr>
                <w:rFonts w:ascii="Times New Roman" w:eastAsia="Times New Roman"/>
              </w:rPr>
              <w:t>17</w:t>
            </w:r>
          </w:hyperlink>
        </w:p>
        <w:p>
          <w:pPr>
            <w:pStyle w:val="TOC3"/>
            <w:numPr>
              <w:ilvl w:val="2"/>
              <w:numId w:val="4"/>
            </w:numPr>
            <w:tabs>
              <w:tab w:pos="1879" w:val="left" w:leader="none"/>
              <w:tab w:pos="1880" w:val="left" w:leader="none"/>
              <w:tab w:pos="8415" w:val="right" w:leader="dot"/>
            </w:tabs>
            <w:spacing w:line="240" w:lineRule="auto" w:before="21" w:after="0"/>
            <w:ind w:left="1879" w:right="0" w:hanging="919"/>
            <w:jc w:val="left"/>
            <w:rPr>
              <w:rFonts w:ascii="Times New Roman" w:eastAsia="Times New Roman"/>
            </w:rPr>
          </w:pPr>
          <w:hyperlink w:history="true" w:anchor="_TOC_250039">
            <w:r>
              <w:rPr/>
              <w:t>多个肢体缺失</w:t>
              <w:tab/>
            </w:r>
            <w:r>
              <w:rPr>
                <w:rFonts w:ascii="Times New Roman" w:eastAsia="Times New Roman"/>
              </w:rPr>
              <w:t>17</w:t>
            </w:r>
          </w:hyperlink>
        </w:p>
        <w:p>
          <w:pPr>
            <w:pStyle w:val="TOC3"/>
            <w:numPr>
              <w:ilvl w:val="2"/>
              <w:numId w:val="4"/>
            </w:numPr>
            <w:tabs>
              <w:tab w:pos="1879" w:val="left" w:leader="none"/>
              <w:tab w:pos="1880" w:val="left" w:leader="none"/>
              <w:tab w:pos="8415" w:val="right" w:leader="dot"/>
            </w:tabs>
            <w:spacing w:line="240" w:lineRule="auto" w:before="21" w:after="0"/>
            <w:ind w:left="1879" w:right="0" w:hanging="919"/>
            <w:jc w:val="left"/>
            <w:rPr>
              <w:rFonts w:ascii="Times New Roman" w:eastAsia="Times New Roman"/>
            </w:rPr>
          </w:pPr>
          <w:hyperlink w:history="true" w:anchor="_TOC_250038">
            <w:r>
              <w:rPr/>
              <w:t>急性或亚急性重症肝炎</w:t>
              <w:tab/>
            </w:r>
            <w:r>
              <w:rPr>
                <w:rFonts w:ascii="Times New Roman" w:eastAsia="Times New Roman"/>
              </w:rPr>
              <w:t>17</w:t>
            </w:r>
          </w:hyperlink>
        </w:p>
        <w:p>
          <w:pPr>
            <w:pStyle w:val="TOC3"/>
            <w:numPr>
              <w:ilvl w:val="2"/>
              <w:numId w:val="4"/>
            </w:numPr>
            <w:tabs>
              <w:tab w:pos="1879" w:val="left" w:leader="none"/>
              <w:tab w:pos="1880" w:val="left" w:leader="none"/>
              <w:tab w:pos="8415" w:val="right" w:leader="dot"/>
            </w:tabs>
            <w:spacing w:line="240" w:lineRule="auto" w:before="21" w:after="0"/>
            <w:ind w:left="1879" w:right="0" w:hanging="919"/>
            <w:jc w:val="left"/>
            <w:rPr>
              <w:rFonts w:ascii="Times New Roman" w:eastAsia="Times New Roman"/>
            </w:rPr>
          </w:pPr>
          <w:hyperlink w:history="true" w:anchor="_TOC_250037">
            <w:r>
              <w:rPr/>
              <w:t>良性脑肿瘤</w:t>
              <w:tab/>
            </w:r>
            <w:r>
              <w:rPr>
                <w:rFonts w:ascii="Times New Roman" w:eastAsia="Times New Roman"/>
              </w:rPr>
              <w:t>18</w:t>
            </w:r>
          </w:hyperlink>
        </w:p>
        <w:p>
          <w:pPr>
            <w:pStyle w:val="TOC3"/>
            <w:numPr>
              <w:ilvl w:val="2"/>
              <w:numId w:val="4"/>
            </w:numPr>
            <w:tabs>
              <w:tab w:pos="1879" w:val="left" w:leader="none"/>
              <w:tab w:pos="1880" w:val="left" w:leader="none"/>
              <w:tab w:pos="8415" w:val="right" w:leader="dot"/>
            </w:tabs>
            <w:spacing w:line="240" w:lineRule="auto" w:before="21" w:after="0"/>
            <w:ind w:left="1879" w:right="0" w:hanging="919"/>
            <w:jc w:val="left"/>
            <w:rPr>
              <w:rFonts w:ascii="Times New Roman" w:eastAsia="Times New Roman"/>
            </w:rPr>
          </w:pPr>
          <w:hyperlink w:history="true" w:anchor="_TOC_250036">
            <w:r>
              <w:rPr/>
              <w:t>慢性肝功能衰竭失代偿期</w:t>
              <w:tab/>
            </w:r>
            <w:r>
              <w:rPr>
                <w:rFonts w:ascii="Times New Roman" w:eastAsia="Times New Roman"/>
              </w:rPr>
              <w:t>18</w:t>
            </w:r>
          </w:hyperlink>
        </w:p>
        <w:p>
          <w:pPr>
            <w:pStyle w:val="TOC3"/>
            <w:numPr>
              <w:ilvl w:val="2"/>
              <w:numId w:val="4"/>
            </w:numPr>
            <w:tabs>
              <w:tab w:pos="1879" w:val="left" w:leader="none"/>
              <w:tab w:pos="1880" w:val="left" w:leader="none"/>
              <w:tab w:pos="8415" w:val="right" w:leader="dot"/>
            </w:tabs>
            <w:spacing w:line="240" w:lineRule="auto" w:before="21" w:after="0"/>
            <w:ind w:left="1879" w:right="0" w:hanging="919"/>
            <w:jc w:val="left"/>
            <w:rPr>
              <w:rFonts w:ascii="Times New Roman" w:eastAsia="Times New Roman"/>
            </w:rPr>
          </w:pPr>
          <w:hyperlink w:history="true" w:anchor="_TOC_250035">
            <w:r>
              <w:rPr/>
              <w:t>脑炎后遗症或脑膜炎后遗症</w:t>
              <w:tab/>
            </w:r>
            <w:r>
              <w:rPr>
                <w:rFonts w:ascii="Times New Roman" w:eastAsia="Times New Roman"/>
              </w:rPr>
              <w:t>18</w:t>
            </w:r>
          </w:hyperlink>
        </w:p>
        <w:p>
          <w:pPr>
            <w:pStyle w:val="TOC3"/>
            <w:numPr>
              <w:ilvl w:val="2"/>
              <w:numId w:val="4"/>
            </w:numPr>
            <w:tabs>
              <w:tab w:pos="1879" w:val="left" w:leader="none"/>
              <w:tab w:pos="1880" w:val="left" w:leader="none"/>
              <w:tab w:pos="8415" w:val="right" w:leader="dot"/>
            </w:tabs>
            <w:spacing w:line="240" w:lineRule="auto" w:before="21" w:after="0"/>
            <w:ind w:left="1879" w:right="0" w:hanging="919"/>
            <w:jc w:val="left"/>
            <w:rPr>
              <w:rFonts w:ascii="Times New Roman" w:eastAsia="Times New Roman"/>
            </w:rPr>
          </w:pPr>
          <w:hyperlink w:history="true" w:anchor="_TOC_250034">
            <w:r>
              <w:rPr/>
              <w:t>深度昏迷</w:t>
              <w:tab/>
            </w:r>
            <w:r>
              <w:rPr>
                <w:rFonts w:ascii="Times New Roman" w:eastAsia="Times New Roman"/>
              </w:rPr>
              <w:t>18</w:t>
            </w:r>
          </w:hyperlink>
        </w:p>
        <w:p>
          <w:pPr>
            <w:pStyle w:val="TOC3"/>
            <w:numPr>
              <w:ilvl w:val="2"/>
              <w:numId w:val="4"/>
            </w:numPr>
            <w:tabs>
              <w:tab w:pos="1879" w:val="left" w:leader="none"/>
              <w:tab w:pos="1880" w:val="left" w:leader="none"/>
              <w:tab w:pos="8415" w:val="right" w:leader="dot"/>
            </w:tabs>
            <w:spacing w:line="240" w:lineRule="auto" w:before="21" w:after="0"/>
            <w:ind w:left="1879" w:right="0" w:hanging="919"/>
            <w:jc w:val="left"/>
            <w:rPr>
              <w:rFonts w:ascii="Times New Roman" w:eastAsia="Times New Roman"/>
            </w:rPr>
          </w:pPr>
          <w:hyperlink w:history="true" w:anchor="_TOC_250033">
            <w:r>
              <w:rPr/>
              <w:t>双耳失聪</w:t>
              <w:tab/>
            </w:r>
            <w:r>
              <w:rPr>
                <w:rFonts w:ascii="Times New Roman" w:eastAsia="Times New Roman"/>
              </w:rPr>
              <w:t>19</w:t>
            </w:r>
          </w:hyperlink>
        </w:p>
        <w:p>
          <w:pPr>
            <w:pStyle w:val="TOC3"/>
            <w:numPr>
              <w:ilvl w:val="2"/>
              <w:numId w:val="4"/>
            </w:numPr>
            <w:tabs>
              <w:tab w:pos="1879" w:val="left" w:leader="none"/>
              <w:tab w:pos="1880" w:val="left" w:leader="none"/>
              <w:tab w:pos="8415" w:val="right" w:leader="dot"/>
            </w:tabs>
            <w:spacing w:line="240" w:lineRule="auto" w:before="21" w:after="0"/>
            <w:ind w:left="1879" w:right="0" w:hanging="919"/>
            <w:jc w:val="left"/>
            <w:rPr>
              <w:rFonts w:ascii="Times New Roman" w:eastAsia="Times New Roman"/>
            </w:rPr>
          </w:pPr>
          <w:hyperlink w:history="true" w:anchor="_TOC_250032">
            <w:r>
              <w:rPr/>
              <w:t>双目失明</w:t>
              <w:tab/>
            </w:r>
            <w:r>
              <w:rPr>
                <w:rFonts w:ascii="Times New Roman" w:eastAsia="Times New Roman"/>
              </w:rPr>
              <w:t>19</w:t>
            </w:r>
          </w:hyperlink>
        </w:p>
        <w:p>
          <w:pPr>
            <w:pStyle w:val="TOC3"/>
            <w:tabs>
              <w:tab w:pos="1879" w:val="left" w:leader="none"/>
              <w:tab w:pos="8415" w:val="right" w:leader="dot"/>
            </w:tabs>
            <w:ind w:left="960" w:firstLine="0"/>
            <w:rPr>
              <w:rFonts w:ascii="Times New Roman" w:eastAsia="Times New Roman"/>
            </w:rPr>
          </w:pPr>
          <w:hyperlink w:history="true" w:anchor="_TOC_250031">
            <w:r>
              <w:rPr>
                <w:w w:val="93"/>
              </w:rPr>
              <w:t>12</w:t>
            </w:r>
            <w:r>
              <w:rPr>
                <w:spacing w:val="-1"/>
                <w:w w:val="43"/>
              </w:rPr>
              <w:t>.</w:t>
            </w:r>
            <w:r>
              <w:rPr>
                <w:w w:val="93"/>
              </w:rPr>
              <w:t>3</w:t>
            </w:r>
            <w:r>
              <w:rPr>
                <w:spacing w:val="-1"/>
                <w:w w:val="43"/>
              </w:rPr>
              <w:t>.</w:t>
            </w:r>
            <w:r>
              <w:rPr>
                <w:w w:val="93"/>
              </w:rPr>
              <w:t>15</w:t>
            </w:r>
            <w:r>
              <w:rPr>
                <w:w w:val="43"/>
              </w:rPr>
              <w:t>.</w:t>
            </w:r>
            <w:r>
              <w:rPr/>
              <w:tab/>
            </w:r>
            <w:r>
              <w:rPr>
                <w:spacing w:val="1"/>
                <w:w w:val="99"/>
              </w:rPr>
              <w:t>瘫</w:t>
            </w:r>
            <w:r>
              <w:rPr>
                <w:w w:val="99"/>
              </w:rPr>
              <w:t>痪</w:t>
            </w:r>
            <w:r>
              <w:rPr>
                <w:rFonts w:ascii="Times New Roman" w:eastAsia="Times New Roman"/>
                <w:w w:val="99"/>
              </w:rPr>
              <w:t> </w:t>
            </w:r>
            <w:r>
              <w:rPr>
                <w:rFonts w:ascii="Times New Roman" w:eastAsia="Times New Roman"/>
              </w:rPr>
              <w:tab/>
            </w:r>
            <w:r>
              <w:rPr>
                <w:rFonts w:ascii="Times New Roman" w:eastAsia="Times New Roman"/>
                <w:spacing w:val="0"/>
                <w:w w:val="99"/>
              </w:rPr>
              <w:t>1</w:t>
            </w:r>
            <w:r>
              <w:rPr>
                <w:rFonts w:ascii="Times New Roman" w:eastAsia="Times New Roman"/>
                <w:w w:val="99"/>
              </w:rPr>
              <w:t>9</w:t>
            </w:r>
          </w:hyperlink>
        </w:p>
        <w:p>
          <w:pPr>
            <w:pStyle w:val="TOC3"/>
            <w:numPr>
              <w:ilvl w:val="2"/>
              <w:numId w:val="5"/>
            </w:numPr>
            <w:tabs>
              <w:tab w:pos="1879" w:val="left" w:leader="none"/>
              <w:tab w:pos="1880" w:val="left" w:leader="none"/>
              <w:tab w:pos="8415" w:val="right" w:leader="dot"/>
            </w:tabs>
            <w:spacing w:line="240" w:lineRule="auto" w:before="21" w:after="0"/>
            <w:ind w:left="1879" w:right="0" w:hanging="919"/>
            <w:jc w:val="left"/>
            <w:rPr>
              <w:rFonts w:ascii="Times New Roman" w:eastAsia="Times New Roman"/>
            </w:rPr>
          </w:pPr>
          <w:hyperlink w:history="true" w:anchor="_TOC_250030">
            <w:r>
              <w:rPr/>
              <w:t>心脏瓣膜手术</w:t>
              <w:tab/>
            </w:r>
            <w:r>
              <w:rPr>
                <w:rFonts w:ascii="Times New Roman" w:eastAsia="Times New Roman"/>
              </w:rPr>
              <w:t>19</w:t>
            </w:r>
          </w:hyperlink>
        </w:p>
        <w:p>
          <w:pPr>
            <w:pStyle w:val="TOC3"/>
            <w:numPr>
              <w:ilvl w:val="2"/>
              <w:numId w:val="5"/>
            </w:numPr>
            <w:tabs>
              <w:tab w:pos="1879" w:val="left" w:leader="none"/>
              <w:tab w:pos="1880" w:val="left" w:leader="none"/>
              <w:tab w:pos="8415" w:val="right" w:leader="dot"/>
            </w:tabs>
            <w:spacing w:line="240" w:lineRule="auto" w:before="21" w:after="0"/>
            <w:ind w:left="1879" w:right="0" w:hanging="919"/>
            <w:jc w:val="left"/>
            <w:rPr>
              <w:rFonts w:ascii="Times New Roman" w:eastAsia="Times New Roman"/>
            </w:rPr>
          </w:pPr>
          <w:hyperlink w:history="true" w:anchor="_TOC_250029">
            <w:r>
              <w:rPr/>
              <w:t>严重阿尔茨海默病</w:t>
              <w:tab/>
            </w:r>
            <w:r>
              <w:rPr>
                <w:rFonts w:ascii="Times New Roman" w:eastAsia="Times New Roman"/>
              </w:rPr>
              <w:t>19</w:t>
            </w:r>
          </w:hyperlink>
        </w:p>
        <w:p>
          <w:pPr>
            <w:pStyle w:val="TOC3"/>
            <w:numPr>
              <w:ilvl w:val="2"/>
              <w:numId w:val="5"/>
            </w:numPr>
            <w:tabs>
              <w:tab w:pos="1879" w:val="left" w:leader="none"/>
              <w:tab w:pos="1880" w:val="left" w:leader="none"/>
              <w:tab w:pos="8415" w:val="right" w:leader="dot"/>
            </w:tabs>
            <w:spacing w:line="240" w:lineRule="auto" w:before="21" w:after="0"/>
            <w:ind w:left="1879" w:right="0" w:hanging="919"/>
            <w:jc w:val="left"/>
            <w:rPr>
              <w:rFonts w:ascii="Times New Roman" w:eastAsia="Times New Roman"/>
            </w:rPr>
          </w:pPr>
          <w:hyperlink w:history="true" w:anchor="_TOC_250028">
            <w:r>
              <w:rPr/>
              <w:t>严重脑损伤</w:t>
              <w:tab/>
            </w:r>
            <w:r>
              <w:rPr>
                <w:rFonts w:ascii="Times New Roman" w:eastAsia="Times New Roman"/>
              </w:rPr>
              <w:t>20</w:t>
            </w:r>
          </w:hyperlink>
        </w:p>
        <w:p>
          <w:pPr>
            <w:pStyle w:val="TOC3"/>
            <w:numPr>
              <w:ilvl w:val="2"/>
              <w:numId w:val="5"/>
            </w:numPr>
            <w:tabs>
              <w:tab w:pos="1879" w:val="left" w:leader="none"/>
              <w:tab w:pos="1880" w:val="left" w:leader="none"/>
              <w:tab w:pos="8415" w:val="right" w:leader="dot"/>
            </w:tabs>
            <w:spacing w:line="240" w:lineRule="auto" w:before="21" w:after="0"/>
            <w:ind w:left="1879" w:right="0" w:hanging="919"/>
            <w:jc w:val="left"/>
            <w:rPr>
              <w:rFonts w:ascii="Times New Roman" w:eastAsia="Times New Roman"/>
            </w:rPr>
          </w:pPr>
          <w:hyperlink w:history="true" w:anchor="_TOC_250027">
            <w:r>
              <w:rPr/>
              <w:t>严重帕金森病</w:t>
              <w:tab/>
            </w:r>
            <w:r>
              <w:rPr>
                <w:rFonts w:ascii="Times New Roman" w:eastAsia="Times New Roman"/>
              </w:rPr>
              <w:t>20</w:t>
            </w:r>
          </w:hyperlink>
        </w:p>
        <w:p>
          <w:pPr>
            <w:pStyle w:val="TOC3"/>
            <w:numPr>
              <w:ilvl w:val="2"/>
              <w:numId w:val="5"/>
            </w:numPr>
            <w:tabs>
              <w:tab w:pos="1879" w:val="left" w:leader="none"/>
              <w:tab w:pos="1880" w:val="left" w:leader="none"/>
              <w:tab w:pos="8415" w:val="right" w:leader="dot"/>
            </w:tabs>
            <w:spacing w:line="240" w:lineRule="auto" w:before="21" w:after="0"/>
            <w:ind w:left="1879" w:right="0" w:hanging="919"/>
            <w:jc w:val="left"/>
            <w:rPr>
              <w:rFonts w:ascii="Times New Roman" w:eastAsia="Times New Roman"/>
            </w:rPr>
          </w:pPr>
          <w:hyperlink w:history="true" w:anchor="_TOC_250026">
            <w:r>
              <w:rPr/>
              <w:t>严重</w:t>
            </w:r>
            <w:r>
              <w:rPr>
                <w:spacing w:val="-54"/>
              </w:rPr>
              <w:t> </w:t>
            </w:r>
            <w:r>
              <w:rPr/>
              <w:t>III</w:t>
            </w:r>
            <w:r>
              <w:rPr>
                <w:spacing w:val="-53"/>
              </w:rPr>
              <w:t> </w:t>
            </w:r>
            <w:r>
              <w:rPr/>
              <w:t>度烧伤</w:t>
              <w:tab/>
            </w:r>
            <w:r>
              <w:rPr>
                <w:rFonts w:ascii="Times New Roman" w:eastAsia="Times New Roman"/>
              </w:rPr>
              <w:t>20</w:t>
            </w:r>
          </w:hyperlink>
        </w:p>
        <w:p>
          <w:pPr>
            <w:pStyle w:val="TOC3"/>
            <w:numPr>
              <w:ilvl w:val="2"/>
              <w:numId w:val="5"/>
            </w:numPr>
            <w:tabs>
              <w:tab w:pos="1879" w:val="left" w:leader="none"/>
              <w:tab w:pos="1880" w:val="left" w:leader="none"/>
              <w:tab w:pos="8415" w:val="right" w:leader="dot"/>
            </w:tabs>
            <w:spacing w:line="240" w:lineRule="auto" w:before="21" w:after="0"/>
            <w:ind w:left="1879" w:right="0" w:hanging="919"/>
            <w:jc w:val="left"/>
            <w:rPr>
              <w:rFonts w:ascii="Times New Roman" w:eastAsia="Times New Roman"/>
            </w:rPr>
          </w:pPr>
          <w:hyperlink w:history="true" w:anchor="_TOC_250025">
            <w:r>
              <w:rPr/>
              <w:t>严重原发性肺动脉高压</w:t>
              <w:tab/>
            </w:r>
            <w:r>
              <w:rPr>
                <w:rFonts w:ascii="Times New Roman" w:eastAsia="Times New Roman"/>
              </w:rPr>
              <w:t>20</w:t>
            </w:r>
          </w:hyperlink>
        </w:p>
        <w:p>
          <w:pPr>
            <w:pStyle w:val="TOC3"/>
            <w:numPr>
              <w:ilvl w:val="2"/>
              <w:numId w:val="5"/>
            </w:numPr>
            <w:tabs>
              <w:tab w:pos="1879" w:val="left" w:leader="none"/>
              <w:tab w:pos="1880" w:val="left" w:leader="none"/>
              <w:tab w:pos="8415" w:val="right" w:leader="dot"/>
            </w:tabs>
            <w:spacing w:line="240" w:lineRule="auto" w:before="21" w:after="0"/>
            <w:ind w:left="1879" w:right="0" w:hanging="919"/>
            <w:jc w:val="left"/>
            <w:rPr>
              <w:rFonts w:ascii="Times New Roman" w:eastAsia="Times New Roman"/>
            </w:rPr>
          </w:pPr>
          <w:hyperlink w:history="true" w:anchor="_TOC_250024">
            <w:r>
              <w:rPr/>
              <w:t>严重运动神经元病</w:t>
              <w:tab/>
            </w:r>
            <w:r>
              <w:rPr>
                <w:rFonts w:ascii="Times New Roman" w:eastAsia="Times New Roman"/>
              </w:rPr>
              <w:t>20</w:t>
            </w:r>
          </w:hyperlink>
        </w:p>
        <w:p>
          <w:pPr>
            <w:pStyle w:val="TOC3"/>
            <w:numPr>
              <w:ilvl w:val="2"/>
              <w:numId w:val="5"/>
            </w:numPr>
            <w:tabs>
              <w:tab w:pos="1879" w:val="left" w:leader="none"/>
              <w:tab w:pos="1880" w:val="left" w:leader="none"/>
              <w:tab w:pos="8415" w:val="right" w:leader="dot"/>
            </w:tabs>
            <w:spacing w:line="240" w:lineRule="auto" w:before="21" w:after="0"/>
            <w:ind w:left="1879" w:right="0" w:hanging="919"/>
            <w:jc w:val="left"/>
            <w:rPr>
              <w:rFonts w:ascii="Times New Roman" w:eastAsia="Times New Roman"/>
            </w:rPr>
          </w:pPr>
          <w:hyperlink w:history="true" w:anchor="_TOC_250023">
            <w:r>
              <w:rPr/>
              <w:t>语言能力丧失</w:t>
              <w:tab/>
            </w:r>
            <w:r>
              <w:rPr>
                <w:rFonts w:ascii="Times New Roman" w:eastAsia="Times New Roman"/>
              </w:rPr>
              <w:t>21</w:t>
            </w:r>
          </w:hyperlink>
        </w:p>
        <w:p>
          <w:pPr>
            <w:pStyle w:val="TOC3"/>
            <w:numPr>
              <w:ilvl w:val="2"/>
              <w:numId w:val="5"/>
            </w:numPr>
            <w:tabs>
              <w:tab w:pos="1879" w:val="left" w:leader="none"/>
              <w:tab w:pos="1880" w:val="left" w:leader="none"/>
              <w:tab w:pos="8415" w:val="right" w:leader="dot"/>
            </w:tabs>
            <w:spacing w:line="240" w:lineRule="auto" w:before="21" w:after="0"/>
            <w:ind w:left="1879" w:right="0" w:hanging="919"/>
            <w:jc w:val="left"/>
            <w:rPr>
              <w:rFonts w:ascii="Times New Roman" w:eastAsia="Times New Roman"/>
            </w:rPr>
          </w:pPr>
          <w:hyperlink w:history="true" w:anchor="_TOC_250022">
            <w:r>
              <w:rPr/>
              <w:t>重型再生障碍性贫血</w:t>
              <w:tab/>
            </w:r>
            <w:r>
              <w:rPr>
                <w:rFonts w:ascii="Times New Roman" w:eastAsia="Times New Roman"/>
              </w:rPr>
              <w:t>21</w:t>
            </w:r>
          </w:hyperlink>
        </w:p>
        <w:p>
          <w:pPr>
            <w:pStyle w:val="TOC3"/>
            <w:numPr>
              <w:ilvl w:val="2"/>
              <w:numId w:val="5"/>
            </w:numPr>
            <w:tabs>
              <w:tab w:pos="1879" w:val="left" w:leader="none"/>
              <w:tab w:pos="1880" w:val="left" w:leader="none"/>
              <w:tab w:pos="8415" w:val="right" w:leader="dot"/>
            </w:tabs>
            <w:spacing w:line="240" w:lineRule="auto" w:before="21" w:after="0"/>
            <w:ind w:left="1879" w:right="0" w:hanging="919"/>
            <w:jc w:val="left"/>
            <w:rPr>
              <w:rFonts w:ascii="Times New Roman" w:eastAsia="Times New Roman"/>
            </w:rPr>
          </w:pPr>
          <w:hyperlink w:history="true" w:anchor="_TOC_250021">
            <w:r>
              <w:rPr/>
              <w:t>主动脉手术</w:t>
              <w:tab/>
            </w:r>
            <w:r>
              <w:rPr>
                <w:rFonts w:ascii="Times New Roman" w:eastAsia="Times New Roman"/>
              </w:rPr>
              <w:t>21</w:t>
            </w:r>
          </w:hyperlink>
        </w:p>
        <w:p>
          <w:pPr>
            <w:pStyle w:val="TOC3"/>
            <w:numPr>
              <w:ilvl w:val="2"/>
              <w:numId w:val="5"/>
            </w:numPr>
            <w:tabs>
              <w:tab w:pos="1879" w:val="left" w:leader="none"/>
              <w:tab w:pos="1880" w:val="left" w:leader="none"/>
              <w:tab w:pos="8415" w:val="right" w:leader="dot"/>
            </w:tabs>
            <w:spacing w:line="240" w:lineRule="auto" w:before="21" w:after="0"/>
            <w:ind w:left="1879" w:right="0" w:hanging="919"/>
            <w:jc w:val="left"/>
            <w:rPr>
              <w:rFonts w:ascii="Times New Roman" w:eastAsia="Times New Roman"/>
            </w:rPr>
          </w:pPr>
          <w:hyperlink w:history="true" w:anchor="_TOC_250020">
            <w:r>
              <w:rPr/>
              <w:t>系统性红斑狼疮</w:t>
            </w:r>
            <w:r>
              <w:rPr>
                <w:spacing w:val="-3"/>
              </w:rPr>
              <w:t> </w:t>
            </w:r>
            <w:r>
              <w:rPr/>
              <w:t>－</w:t>
            </w:r>
            <w:r>
              <w:rPr>
                <w:spacing w:val="-5"/>
              </w:rPr>
              <w:t> </w:t>
            </w:r>
            <w:r>
              <w:rPr/>
              <w:t>III</w:t>
            </w:r>
            <w:r>
              <w:rPr>
                <w:spacing w:val="-57"/>
              </w:rPr>
              <w:t> </w:t>
            </w:r>
            <w:r>
              <w:rPr/>
              <w:t>型或以上狼疮性肾炎</w:t>
              <w:tab/>
            </w:r>
            <w:r>
              <w:rPr>
                <w:rFonts w:ascii="Times New Roman" w:eastAsia="Times New Roman"/>
              </w:rPr>
              <w:t>21</w:t>
            </w:r>
          </w:hyperlink>
        </w:p>
        <w:p>
          <w:pPr>
            <w:pStyle w:val="TOC3"/>
            <w:numPr>
              <w:ilvl w:val="2"/>
              <w:numId w:val="5"/>
            </w:numPr>
            <w:tabs>
              <w:tab w:pos="1879" w:val="left" w:leader="none"/>
              <w:tab w:pos="1880" w:val="left" w:leader="none"/>
              <w:tab w:pos="8415" w:val="right" w:leader="dot"/>
            </w:tabs>
            <w:spacing w:line="240" w:lineRule="auto" w:before="21" w:after="0"/>
            <w:ind w:left="1879" w:right="0" w:hanging="919"/>
            <w:jc w:val="left"/>
            <w:rPr>
              <w:rFonts w:ascii="Times New Roman" w:eastAsia="Times New Roman"/>
            </w:rPr>
          </w:pPr>
          <w:hyperlink w:history="true" w:anchor="_TOC_250019">
            <w:r>
              <w:rPr>
                <w:spacing w:val="1"/>
                <w:w w:val="99"/>
              </w:rPr>
              <w:t>经</w:t>
            </w:r>
            <w:r>
              <w:rPr>
                <w:w w:val="99"/>
              </w:rPr>
              <w:t>输</w:t>
            </w:r>
            <w:r>
              <w:rPr>
                <w:spacing w:val="1"/>
                <w:w w:val="99"/>
              </w:rPr>
              <w:t>血</w:t>
            </w:r>
            <w:r>
              <w:rPr>
                <w:w w:val="99"/>
              </w:rPr>
              <w:t>导</w:t>
            </w:r>
            <w:r>
              <w:rPr>
                <w:spacing w:val="1"/>
                <w:w w:val="99"/>
              </w:rPr>
              <w:t>致</w:t>
            </w:r>
            <w:r>
              <w:rPr>
                <w:w w:val="99"/>
              </w:rPr>
              <w:t>的</w:t>
            </w:r>
            <w:r>
              <w:rPr>
                <w:spacing w:val="1"/>
                <w:w w:val="99"/>
              </w:rPr>
              <w:t>人</w:t>
            </w:r>
            <w:r>
              <w:rPr>
                <w:w w:val="99"/>
              </w:rPr>
              <w:t>类</w:t>
            </w:r>
            <w:r>
              <w:rPr>
                <w:spacing w:val="1"/>
                <w:w w:val="99"/>
              </w:rPr>
              <w:t>免</w:t>
            </w:r>
            <w:r>
              <w:rPr>
                <w:w w:val="99"/>
              </w:rPr>
              <w:t>疫</w:t>
            </w:r>
            <w:r>
              <w:rPr>
                <w:spacing w:val="1"/>
                <w:w w:val="99"/>
              </w:rPr>
              <w:t>缺</w:t>
            </w:r>
            <w:r>
              <w:rPr>
                <w:w w:val="99"/>
              </w:rPr>
              <w:t>陷</w:t>
            </w:r>
            <w:r>
              <w:rPr>
                <w:spacing w:val="1"/>
                <w:w w:val="99"/>
              </w:rPr>
              <w:t>病</w:t>
            </w:r>
            <w:r>
              <w:rPr>
                <w:w w:val="99"/>
              </w:rPr>
              <w:t>毒</w:t>
            </w:r>
            <w:r>
              <w:rPr>
                <w:spacing w:val="1"/>
                <w:w w:val="99"/>
              </w:rPr>
              <w:t>（</w:t>
            </w:r>
            <w:r>
              <w:rPr>
                <w:spacing w:val="-1"/>
                <w:w w:val="151"/>
              </w:rPr>
              <w:t>H</w:t>
            </w:r>
            <w:r>
              <w:rPr>
                <w:w w:val="70"/>
              </w:rPr>
              <w:t>I</w:t>
            </w:r>
            <w:r>
              <w:rPr>
                <w:spacing w:val="1"/>
                <w:w w:val="134"/>
              </w:rPr>
              <w:t>V</w:t>
            </w:r>
            <w:r>
              <w:rPr>
                <w:spacing w:val="1"/>
                <w:w w:val="99"/>
              </w:rPr>
              <w:t>）</w:t>
            </w:r>
            <w:r>
              <w:rPr>
                <w:w w:val="99"/>
              </w:rPr>
              <w:t>感染</w:t>
            </w:r>
            <w:r>
              <w:rPr>
                <w:rFonts w:ascii="Times New Roman" w:eastAsia="Times New Roman"/>
                <w:w w:val="99"/>
              </w:rPr>
              <w:t> </w:t>
            </w:r>
            <w:r>
              <w:rPr>
                <w:rFonts w:ascii="Times New Roman" w:eastAsia="Times New Roman"/>
              </w:rPr>
              <w:tab/>
            </w:r>
            <w:r>
              <w:rPr>
                <w:rFonts w:ascii="Times New Roman" w:eastAsia="Times New Roman"/>
                <w:spacing w:val="0"/>
                <w:w w:val="99"/>
              </w:rPr>
              <w:t>2</w:t>
            </w:r>
            <w:r>
              <w:rPr>
                <w:rFonts w:ascii="Times New Roman" w:eastAsia="Times New Roman"/>
                <w:w w:val="99"/>
              </w:rPr>
              <w:t>2</w:t>
            </w:r>
          </w:hyperlink>
        </w:p>
        <w:p>
          <w:pPr>
            <w:pStyle w:val="TOC3"/>
            <w:numPr>
              <w:ilvl w:val="2"/>
              <w:numId w:val="5"/>
            </w:numPr>
            <w:tabs>
              <w:tab w:pos="1879" w:val="left" w:leader="none"/>
              <w:tab w:pos="1880" w:val="left" w:leader="none"/>
              <w:tab w:pos="8415" w:val="right" w:leader="dot"/>
            </w:tabs>
            <w:spacing w:line="240" w:lineRule="auto" w:before="21" w:after="0"/>
            <w:ind w:left="1879" w:right="0" w:hanging="919"/>
            <w:jc w:val="left"/>
            <w:rPr>
              <w:rFonts w:ascii="Times New Roman" w:eastAsia="Times New Roman"/>
            </w:rPr>
          </w:pPr>
          <w:hyperlink w:history="true" w:anchor="_TOC_250018">
            <w:r>
              <w:rPr/>
              <w:t>严重多发性硬化</w:t>
              <w:tab/>
            </w:r>
            <w:r>
              <w:rPr>
                <w:rFonts w:ascii="Times New Roman" w:eastAsia="Times New Roman"/>
              </w:rPr>
              <w:t>22</w:t>
            </w:r>
          </w:hyperlink>
        </w:p>
        <w:p>
          <w:pPr>
            <w:pStyle w:val="TOC3"/>
            <w:numPr>
              <w:ilvl w:val="2"/>
              <w:numId w:val="5"/>
            </w:numPr>
            <w:tabs>
              <w:tab w:pos="1879" w:val="left" w:leader="none"/>
              <w:tab w:pos="1880" w:val="left" w:leader="none"/>
              <w:tab w:pos="8415" w:val="right" w:leader="dot"/>
            </w:tabs>
            <w:spacing w:line="240" w:lineRule="auto" w:before="21" w:after="0"/>
            <w:ind w:left="1879" w:right="0" w:hanging="919"/>
            <w:jc w:val="left"/>
            <w:rPr>
              <w:rFonts w:ascii="Times New Roman" w:eastAsia="Times New Roman"/>
            </w:rPr>
          </w:pPr>
          <w:hyperlink w:history="true" w:anchor="_TOC_250017">
            <w:r>
              <w:rPr/>
              <w:t>严重类风湿性关节炎</w:t>
              <w:tab/>
            </w:r>
            <w:r>
              <w:rPr>
                <w:rFonts w:ascii="Times New Roman" w:eastAsia="Times New Roman"/>
              </w:rPr>
              <w:t>23</w:t>
            </w:r>
          </w:hyperlink>
        </w:p>
        <w:p>
          <w:pPr>
            <w:pStyle w:val="TOC3"/>
            <w:numPr>
              <w:ilvl w:val="2"/>
              <w:numId w:val="5"/>
            </w:numPr>
            <w:tabs>
              <w:tab w:pos="1879" w:val="left" w:leader="none"/>
              <w:tab w:pos="1880" w:val="left" w:leader="none"/>
              <w:tab w:pos="8415" w:val="right" w:leader="dot"/>
            </w:tabs>
            <w:spacing w:line="240" w:lineRule="auto" w:before="21" w:after="0"/>
            <w:ind w:left="1879" w:right="0" w:hanging="919"/>
            <w:jc w:val="left"/>
            <w:rPr>
              <w:rFonts w:ascii="Times New Roman" w:eastAsia="Times New Roman"/>
            </w:rPr>
          </w:pPr>
          <w:hyperlink w:history="true" w:anchor="_TOC_250016">
            <w:r>
              <w:rPr/>
              <w:t>慢性呼吸功能衰竭</w:t>
              <w:tab/>
            </w:r>
            <w:r>
              <w:rPr>
                <w:rFonts w:ascii="Times New Roman" w:eastAsia="Times New Roman"/>
              </w:rPr>
              <w:t>23</w:t>
            </w:r>
          </w:hyperlink>
        </w:p>
        <w:p>
          <w:pPr>
            <w:pStyle w:val="TOC2"/>
            <w:numPr>
              <w:ilvl w:val="1"/>
              <w:numId w:val="5"/>
            </w:numPr>
            <w:tabs>
              <w:tab w:pos="1091" w:val="left" w:leader="none"/>
              <w:tab w:pos="1092" w:val="left" w:leader="none"/>
              <w:tab w:pos="8415" w:val="right" w:leader="dot"/>
            </w:tabs>
            <w:spacing w:line="240" w:lineRule="auto" w:before="21" w:after="0"/>
            <w:ind w:left="1092" w:right="0" w:hanging="552"/>
            <w:jc w:val="left"/>
          </w:pPr>
          <w:hyperlink w:history="true" w:anchor="_TOC_250015">
            <w:r>
              <w:rPr/>
              <w:t>本条款约定确诊日</w:t>
              <w:tab/>
            </w:r>
            <w:r>
              <w:rPr>
                <w:rFonts w:ascii="Times New Roman" w:eastAsia="Times New Roman"/>
              </w:rPr>
              <w:t>23</w:t>
            </w:r>
          </w:hyperlink>
        </w:p>
        <w:p>
          <w:pPr>
            <w:pStyle w:val="TOC2"/>
            <w:tabs>
              <w:tab w:pos="1091" w:val="left" w:leader="none"/>
              <w:tab w:pos="8415" w:val="right" w:leader="dot"/>
            </w:tabs>
            <w:ind w:left="540" w:firstLine="0"/>
            <w:rPr>
              <w:rFonts w:ascii="Times New Roman" w:eastAsia="Times New Roman"/>
            </w:rPr>
          </w:pPr>
          <w:hyperlink w:history="true" w:anchor="_TOC_250014">
            <w:r>
              <w:rPr>
                <w:w w:val="93"/>
              </w:rPr>
              <w:t>12</w:t>
            </w:r>
            <w:r>
              <w:rPr>
                <w:spacing w:val="-1"/>
                <w:w w:val="43"/>
              </w:rPr>
              <w:t>.</w:t>
            </w:r>
            <w:r>
              <w:rPr>
                <w:w w:val="93"/>
              </w:rPr>
              <w:t>5</w:t>
            </w:r>
            <w:r>
              <w:rPr/>
              <w:tab/>
            </w:r>
            <w:r>
              <w:rPr>
                <w:spacing w:val="1"/>
                <w:w w:val="99"/>
              </w:rPr>
              <w:t>毒</w:t>
            </w:r>
            <w:r>
              <w:rPr>
                <w:w w:val="99"/>
              </w:rPr>
              <w:t>品</w:t>
            </w:r>
            <w:r>
              <w:rPr>
                <w:rFonts w:ascii="Times New Roman" w:eastAsia="Times New Roman"/>
                <w:w w:val="99"/>
              </w:rPr>
              <w:t> </w:t>
            </w:r>
            <w:r>
              <w:rPr>
                <w:rFonts w:ascii="Times New Roman" w:eastAsia="Times New Roman"/>
              </w:rPr>
              <w:tab/>
            </w:r>
            <w:r>
              <w:rPr>
                <w:rFonts w:ascii="Times New Roman" w:eastAsia="Times New Roman"/>
                <w:spacing w:val="0"/>
                <w:w w:val="99"/>
              </w:rPr>
              <w:t>2</w:t>
            </w:r>
            <w:r>
              <w:rPr>
                <w:rFonts w:ascii="Times New Roman" w:eastAsia="Times New Roman"/>
                <w:w w:val="99"/>
              </w:rPr>
              <w:t>3</w:t>
            </w:r>
          </w:hyperlink>
        </w:p>
        <w:p>
          <w:pPr>
            <w:pStyle w:val="TOC2"/>
            <w:numPr>
              <w:ilvl w:val="1"/>
              <w:numId w:val="6"/>
            </w:numPr>
            <w:tabs>
              <w:tab w:pos="1091" w:val="left" w:leader="none"/>
              <w:tab w:pos="1092" w:val="left" w:leader="none"/>
              <w:tab w:pos="8415" w:val="right" w:leader="dot"/>
            </w:tabs>
            <w:spacing w:line="240" w:lineRule="auto" w:before="21" w:after="0"/>
            <w:ind w:left="1092" w:right="0" w:hanging="552"/>
            <w:jc w:val="left"/>
            <w:rPr>
              <w:rFonts w:ascii="Times New Roman" w:eastAsia="Times New Roman"/>
            </w:rPr>
          </w:pPr>
          <w:hyperlink w:history="true" w:anchor="_TOC_250013">
            <w:r>
              <w:rPr/>
              <w:t>酒后驾驶</w:t>
              <w:tab/>
            </w:r>
            <w:r>
              <w:rPr>
                <w:rFonts w:ascii="Times New Roman" w:eastAsia="Times New Roman"/>
              </w:rPr>
              <w:t>23</w:t>
            </w:r>
          </w:hyperlink>
        </w:p>
        <w:p>
          <w:pPr>
            <w:pStyle w:val="TOC2"/>
            <w:numPr>
              <w:ilvl w:val="1"/>
              <w:numId w:val="6"/>
            </w:numPr>
            <w:tabs>
              <w:tab w:pos="1091" w:val="left" w:leader="none"/>
              <w:tab w:pos="1092" w:val="left" w:leader="none"/>
              <w:tab w:pos="8415" w:val="right" w:leader="dot"/>
            </w:tabs>
            <w:spacing w:line="240" w:lineRule="auto" w:before="21" w:after="0"/>
            <w:ind w:left="1092" w:right="0" w:hanging="552"/>
            <w:jc w:val="left"/>
            <w:rPr>
              <w:rFonts w:ascii="Times New Roman" w:eastAsia="Times New Roman"/>
            </w:rPr>
          </w:pPr>
          <w:hyperlink w:history="true" w:anchor="_TOC_250012">
            <w:r>
              <w:rPr/>
              <w:t>无合法有效驾驶证驾驶</w:t>
              <w:tab/>
            </w:r>
            <w:r>
              <w:rPr>
                <w:rFonts w:ascii="Times New Roman" w:eastAsia="Times New Roman"/>
              </w:rPr>
              <w:t>24</w:t>
            </w:r>
          </w:hyperlink>
        </w:p>
        <w:p>
          <w:pPr>
            <w:pStyle w:val="TOC2"/>
            <w:numPr>
              <w:ilvl w:val="1"/>
              <w:numId w:val="6"/>
            </w:numPr>
            <w:tabs>
              <w:tab w:pos="1091" w:val="left" w:leader="none"/>
              <w:tab w:pos="1092" w:val="left" w:leader="none"/>
              <w:tab w:pos="8415" w:val="right" w:leader="dot"/>
            </w:tabs>
            <w:spacing w:line="240" w:lineRule="auto" w:before="21" w:after="0"/>
            <w:ind w:left="1092" w:right="0" w:hanging="552"/>
            <w:jc w:val="left"/>
            <w:rPr>
              <w:rFonts w:ascii="Times New Roman" w:eastAsia="Times New Roman"/>
            </w:rPr>
          </w:pPr>
          <w:hyperlink w:history="true" w:anchor="_TOC_250011">
            <w:r>
              <w:rPr/>
              <w:t>无有效行驶证</w:t>
              <w:tab/>
            </w:r>
            <w:r>
              <w:rPr>
                <w:rFonts w:ascii="Times New Roman" w:eastAsia="Times New Roman"/>
              </w:rPr>
              <w:t>24</w:t>
            </w:r>
          </w:hyperlink>
        </w:p>
        <w:p>
          <w:pPr>
            <w:pStyle w:val="TOC2"/>
            <w:numPr>
              <w:ilvl w:val="1"/>
              <w:numId w:val="6"/>
            </w:numPr>
            <w:tabs>
              <w:tab w:pos="1091" w:val="left" w:leader="none"/>
              <w:tab w:pos="1092" w:val="left" w:leader="none"/>
              <w:tab w:pos="8415" w:val="right" w:leader="dot"/>
            </w:tabs>
            <w:spacing w:line="240" w:lineRule="auto" w:before="21" w:after="0"/>
            <w:ind w:left="1092" w:right="0" w:hanging="552"/>
            <w:jc w:val="left"/>
            <w:rPr>
              <w:rFonts w:ascii="Times New Roman" w:eastAsia="Times New Roman"/>
            </w:rPr>
          </w:pPr>
          <w:hyperlink w:history="true" w:anchor="_TOC_250010">
            <w:r>
              <w:rPr/>
              <w:t>感染艾滋病病毒或患艾滋病</w:t>
              <w:tab/>
            </w:r>
            <w:r>
              <w:rPr>
                <w:rFonts w:ascii="Times New Roman" w:eastAsia="Times New Roman"/>
              </w:rPr>
              <w:t>24</w:t>
            </w:r>
          </w:hyperlink>
        </w:p>
        <w:p>
          <w:pPr>
            <w:pStyle w:val="TOC2"/>
            <w:numPr>
              <w:ilvl w:val="1"/>
              <w:numId w:val="6"/>
            </w:numPr>
            <w:tabs>
              <w:tab w:pos="1085" w:val="left" w:leader="none"/>
              <w:tab w:pos="8415" w:val="right" w:leader="dot"/>
            </w:tabs>
            <w:spacing w:line="240" w:lineRule="auto" w:before="21" w:after="0"/>
            <w:ind w:left="1084" w:right="0" w:hanging="544"/>
            <w:jc w:val="left"/>
            <w:rPr>
              <w:rFonts w:ascii="Times New Roman" w:eastAsia="Times New Roman"/>
            </w:rPr>
          </w:pPr>
          <w:hyperlink w:history="true" w:anchor="_TOC_250009">
            <w:r>
              <w:rPr/>
              <w:t>遗传性疾病</w:t>
              <w:tab/>
            </w:r>
            <w:r>
              <w:rPr>
                <w:rFonts w:ascii="Times New Roman" w:eastAsia="Times New Roman"/>
              </w:rPr>
              <w:t>24</w:t>
            </w:r>
          </w:hyperlink>
        </w:p>
        <w:p>
          <w:pPr>
            <w:pStyle w:val="TOC2"/>
            <w:numPr>
              <w:ilvl w:val="1"/>
              <w:numId w:val="6"/>
            </w:numPr>
            <w:tabs>
              <w:tab w:pos="1085" w:val="left" w:leader="none"/>
              <w:tab w:pos="8415" w:val="right" w:leader="dot"/>
            </w:tabs>
            <w:spacing w:line="240" w:lineRule="auto" w:before="21" w:after="20"/>
            <w:ind w:left="1084" w:right="0" w:hanging="544"/>
            <w:jc w:val="left"/>
            <w:rPr>
              <w:rFonts w:ascii="Times New Roman" w:eastAsia="Times New Roman"/>
            </w:rPr>
          </w:pPr>
          <w:hyperlink w:history="true" w:anchor="_TOC_250008">
            <w:r>
              <w:rPr/>
              <w:t>先天性畸形、变形或染色体异常</w:t>
              <w:tab/>
            </w:r>
            <w:r>
              <w:rPr>
                <w:rFonts w:ascii="Times New Roman" w:eastAsia="Times New Roman"/>
              </w:rPr>
              <w:t>24</w:t>
            </w:r>
          </w:hyperlink>
        </w:p>
        <w:p>
          <w:pPr>
            <w:pStyle w:val="TOC2"/>
            <w:numPr>
              <w:ilvl w:val="1"/>
              <w:numId w:val="6"/>
            </w:numPr>
            <w:tabs>
              <w:tab w:pos="1085" w:val="left" w:leader="none"/>
              <w:tab w:pos="8415" w:val="right" w:leader="dot"/>
            </w:tabs>
            <w:spacing w:line="240" w:lineRule="auto" w:before="35" w:after="0"/>
            <w:ind w:left="1084" w:right="0" w:hanging="544"/>
            <w:jc w:val="left"/>
            <w:rPr>
              <w:rFonts w:ascii="Times New Roman" w:eastAsia="Times New Roman"/>
            </w:rPr>
          </w:pPr>
          <w:hyperlink w:history="true" w:anchor="_TOC_250007">
            <w:r>
              <w:rPr/>
              <w:t>现金价值</w:t>
              <w:tab/>
            </w:r>
            <w:r>
              <w:rPr>
                <w:rFonts w:ascii="Times New Roman" w:eastAsia="Times New Roman"/>
              </w:rPr>
              <w:t>25</w:t>
            </w:r>
          </w:hyperlink>
        </w:p>
        <w:p>
          <w:pPr>
            <w:pStyle w:val="TOC2"/>
            <w:numPr>
              <w:ilvl w:val="1"/>
              <w:numId w:val="6"/>
            </w:numPr>
            <w:tabs>
              <w:tab w:pos="1085" w:val="left" w:leader="none"/>
              <w:tab w:pos="8415" w:val="right" w:leader="dot"/>
            </w:tabs>
            <w:spacing w:line="240" w:lineRule="auto" w:before="21" w:after="0"/>
            <w:ind w:left="1084" w:right="0" w:hanging="544"/>
            <w:jc w:val="left"/>
            <w:rPr>
              <w:rFonts w:ascii="Times New Roman" w:eastAsia="Times New Roman"/>
            </w:rPr>
          </w:pPr>
          <w:hyperlink w:history="true" w:anchor="_TOC_250006">
            <w:r>
              <w:rPr/>
              <w:t>银行转账交费</w:t>
              <w:tab/>
            </w:r>
            <w:r>
              <w:rPr>
                <w:rFonts w:ascii="Times New Roman" w:eastAsia="Times New Roman"/>
              </w:rPr>
              <w:t>25</w:t>
            </w:r>
          </w:hyperlink>
        </w:p>
        <w:p>
          <w:pPr>
            <w:pStyle w:val="TOC2"/>
            <w:numPr>
              <w:ilvl w:val="1"/>
              <w:numId w:val="6"/>
            </w:numPr>
            <w:tabs>
              <w:tab w:pos="1085" w:val="left" w:leader="none"/>
              <w:tab w:pos="8415" w:val="right" w:leader="dot"/>
            </w:tabs>
            <w:spacing w:line="240" w:lineRule="auto" w:before="21" w:after="0"/>
            <w:ind w:left="1084" w:right="0" w:hanging="544"/>
            <w:jc w:val="left"/>
            <w:rPr>
              <w:rFonts w:ascii="Times New Roman" w:eastAsia="Times New Roman"/>
            </w:rPr>
          </w:pPr>
          <w:hyperlink w:history="true" w:anchor="_TOC_250005">
            <w:r>
              <w:rPr/>
              <w:t>本条款约定利率</w:t>
              <w:tab/>
            </w:r>
            <w:r>
              <w:rPr>
                <w:rFonts w:ascii="Times New Roman" w:eastAsia="Times New Roman"/>
              </w:rPr>
              <w:t>25</w:t>
            </w:r>
          </w:hyperlink>
        </w:p>
        <w:p>
          <w:pPr>
            <w:pStyle w:val="TOC2"/>
            <w:numPr>
              <w:ilvl w:val="1"/>
              <w:numId w:val="6"/>
            </w:numPr>
            <w:tabs>
              <w:tab w:pos="1085" w:val="left" w:leader="none"/>
              <w:tab w:pos="8415" w:val="right" w:leader="dot"/>
            </w:tabs>
            <w:spacing w:line="240" w:lineRule="auto" w:before="21" w:after="0"/>
            <w:ind w:left="1084" w:right="0" w:hanging="544"/>
            <w:jc w:val="left"/>
            <w:rPr>
              <w:rFonts w:ascii="Times New Roman" w:eastAsia="Times New Roman"/>
            </w:rPr>
          </w:pPr>
          <w:hyperlink w:history="true" w:anchor="_TOC_250004">
            <w:r>
              <w:rPr/>
              <w:t>专科医生</w:t>
              <w:tab/>
            </w:r>
            <w:r>
              <w:rPr>
                <w:rFonts w:ascii="Times New Roman" w:eastAsia="Times New Roman"/>
              </w:rPr>
              <w:t>25</w:t>
            </w:r>
          </w:hyperlink>
        </w:p>
        <w:p>
          <w:pPr>
            <w:pStyle w:val="TOC2"/>
            <w:numPr>
              <w:ilvl w:val="1"/>
              <w:numId w:val="6"/>
            </w:numPr>
            <w:tabs>
              <w:tab w:pos="1085" w:val="left" w:leader="none"/>
              <w:tab w:pos="8415" w:val="right" w:leader="dot"/>
            </w:tabs>
            <w:spacing w:line="240" w:lineRule="auto" w:before="21" w:after="0"/>
            <w:ind w:left="1084" w:right="0" w:hanging="544"/>
            <w:jc w:val="left"/>
            <w:rPr>
              <w:rFonts w:ascii="Times New Roman" w:eastAsia="Times New Roman"/>
            </w:rPr>
          </w:pPr>
          <w:hyperlink w:history="true" w:anchor="_TOC_250003">
            <w:r>
              <w:rPr/>
              <w:t>肌体机能完全丧失</w:t>
              <w:tab/>
            </w:r>
            <w:r>
              <w:rPr>
                <w:rFonts w:ascii="Times New Roman" w:eastAsia="Times New Roman"/>
              </w:rPr>
              <w:t>25</w:t>
            </w:r>
          </w:hyperlink>
        </w:p>
        <w:p>
          <w:pPr>
            <w:pStyle w:val="TOC2"/>
            <w:numPr>
              <w:ilvl w:val="1"/>
              <w:numId w:val="6"/>
            </w:numPr>
            <w:tabs>
              <w:tab w:pos="1085" w:val="left" w:leader="none"/>
              <w:tab w:pos="8415" w:val="right" w:leader="dot"/>
            </w:tabs>
            <w:spacing w:line="240" w:lineRule="auto" w:before="21" w:after="0"/>
            <w:ind w:left="1084" w:right="0" w:hanging="544"/>
            <w:jc w:val="left"/>
            <w:rPr>
              <w:rFonts w:ascii="Times New Roman" w:eastAsia="Times New Roman"/>
            </w:rPr>
          </w:pPr>
          <w:hyperlink w:history="true" w:anchor="_TOC_250002">
            <w:r>
              <w:rPr/>
              <w:t>语言能力或咀嚼吞咽能力完全丧失</w:t>
              <w:tab/>
            </w:r>
            <w:r>
              <w:rPr>
                <w:rFonts w:ascii="Times New Roman" w:eastAsia="Times New Roman"/>
              </w:rPr>
              <w:t>25</w:t>
            </w:r>
          </w:hyperlink>
        </w:p>
        <w:p>
          <w:pPr>
            <w:pStyle w:val="TOC2"/>
            <w:numPr>
              <w:ilvl w:val="1"/>
              <w:numId w:val="6"/>
            </w:numPr>
            <w:tabs>
              <w:tab w:pos="1085" w:val="left" w:leader="none"/>
              <w:tab w:pos="8415" w:val="right" w:leader="dot"/>
            </w:tabs>
            <w:spacing w:line="240" w:lineRule="auto" w:before="21" w:after="0"/>
            <w:ind w:left="1084" w:right="0" w:hanging="544"/>
            <w:jc w:val="left"/>
            <w:rPr>
              <w:rFonts w:ascii="Times New Roman" w:eastAsia="Times New Roman"/>
            </w:rPr>
          </w:pPr>
          <w:hyperlink w:history="true" w:anchor="_TOC_250001">
            <w:r>
              <w:rPr/>
              <w:t>六项基本日常生活活动</w:t>
              <w:tab/>
            </w:r>
            <w:r>
              <w:rPr>
                <w:rFonts w:ascii="Times New Roman" w:eastAsia="Times New Roman"/>
              </w:rPr>
              <w:t>26</w:t>
            </w:r>
          </w:hyperlink>
        </w:p>
        <w:p>
          <w:pPr>
            <w:pStyle w:val="TOC2"/>
            <w:numPr>
              <w:ilvl w:val="1"/>
              <w:numId w:val="6"/>
            </w:numPr>
            <w:tabs>
              <w:tab w:pos="1085" w:val="left" w:leader="none"/>
              <w:tab w:pos="8415" w:val="right" w:leader="dot"/>
            </w:tabs>
            <w:spacing w:line="240" w:lineRule="auto" w:before="21" w:after="0"/>
            <w:ind w:left="1084" w:right="0" w:hanging="544"/>
            <w:jc w:val="left"/>
            <w:rPr>
              <w:rFonts w:ascii="Times New Roman" w:eastAsia="Times New Roman"/>
            </w:rPr>
          </w:pPr>
          <w:hyperlink w:history="true" w:anchor="_TOC_250000">
            <w:r>
              <w:rPr/>
              <w:t>永久不可逆</w:t>
              <w:tab/>
            </w:r>
            <w:r>
              <w:rPr>
                <w:rFonts w:ascii="Times New Roman" w:eastAsia="Times New Roman"/>
              </w:rPr>
              <w:t>26</w:t>
            </w:r>
          </w:hyperlink>
        </w:p>
      </w:sdtContent>
    </w:sdt>
    <w:p>
      <w:pPr>
        <w:spacing w:after="0" w:line="240" w:lineRule="auto"/>
        <w:jc w:val="left"/>
        <w:rPr>
          <w:rFonts w:ascii="Times New Roman" w:eastAsia="Times New Roman"/>
        </w:rPr>
        <w:sectPr>
          <w:type w:val="continuous"/>
          <w:pgSz w:w="11910" w:h="16840"/>
          <w:pgMar w:top="1380" w:bottom="1698" w:left="1680" w:right="1680"/>
        </w:sectPr>
      </w:pPr>
    </w:p>
    <w:p>
      <w:pPr>
        <w:pStyle w:val="Heading1"/>
        <w:ind w:left="1892"/>
        <w:jc w:val="left"/>
      </w:pPr>
      <w:bookmarkStart w:name="合同订立" w:id="1"/>
      <w:bookmarkEnd w:id="1"/>
      <w:r>
        <w:rPr>
          <w:b w:val="0"/>
        </w:rPr>
      </w:r>
      <w:bookmarkStart w:name="投保年龄" w:id="2"/>
      <w:bookmarkEnd w:id="2"/>
      <w:r>
        <w:rPr>
          <w:b w:val="0"/>
        </w:rPr>
      </w:r>
      <w:bookmarkStart w:name="合同生效" w:id="3"/>
      <w:bookmarkEnd w:id="3"/>
      <w:r>
        <w:rPr>
          <w:b w:val="0"/>
        </w:rPr>
      </w:r>
      <w:bookmarkStart w:name="保险责任" w:id="4"/>
      <w:bookmarkEnd w:id="4"/>
      <w:r>
        <w:rPr>
          <w:b w:val="0"/>
        </w:rPr>
      </w:r>
      <w:bookmarkStart w:name="保险责任的开始" w:id="5"/>
      <w:bookmarkEnd w:id="5"/>
      <w:r>
        <w:rPr>
          <w:b w:val="0"/>
        </w:rPr>
      </w:r>
      <w:r>
        <w:rPr/>
        <w:t>中新大东方附加重大疾病保险合同条款</w:t>
      </w:r>
    </w:p>
    <w:p>
      <w:pPr>
        <w:pStyle w:val="BodyText"/>
        <w:spacing w:line="408" w:lineRule="auto" w:before="206"/>
        <w:ind w:left="120" w:right="1166" w:firstLine="1051"/>
      </w:pPr>
      <w:r>
        <w:rPr/>
        <w:t>（中新大东方【2012】33</w:t>
      </w:r>
      <w:r>
        <w:rPr>
          <w:spacing w:val="-11"/>
        </w:rPr>
        <w:t> 号文 呈报中国保险监督管理委员会备案</w:t>
      </w:r>
      <w:r>
        <w:rPr/>
        <w:t>） </w:t>
      </w:r>
      <w:r>
        <w:rPr>
          <w:spacing w:val="-10"/>
          <w:w w:val="99"/>
        </w:rPr>
        <w:t>在本条款中，“您”指投保人，</w:t>
      </w:r>
      <w:r>
        <w:rPr>
          <w:spacing w:val="-10"/>
        </w:rPr>
        <w:t> </w:t>
      </w:r>
      <w:r>
        <w:rPr>
          <w:w w:val="99"/>
        </w:rPr>
        <w:t>“本公司”指中新大东方人寿保险有限公司。</w:t>
      </w:r>
    </w:p>
    <w:p>
      <w:pPr>
        <w:pStyle w:val="BodyText"/>
        <w:spacing w:before="45"/>
        <w:ind w:left="120"/>
      </w:pPr>
      <w:r>
        <w:rPr/>
        <w:t>“中新大东方附加重大疾病保险合同” 在以下条款中简称为 “本附加险合同”。</w:t>
      </w:r>
    </w:p>
    <w:p>
      <w:pPr>
        <w:pStyle w:val="BodyText"/>
        <w:rPr>
          <w:sz w:val="26"/>
        </w:rPr>
      </w:pPr>
    </w:p>
    <w:p>
      <w:pPr>
        <w:pStyle w:val="BodyText"/>
        <w:spacing w:before="3"/>
        <w:rPr>
          <w:sz w:val="20"/>
        </w:rPr>
      </w:pPr>
    </w:p>
    <w:p>
      <w:pPr>
        <w:pStyle w:val="Heading2"/>
        <w:numPr>
          <w:ilvl w:val="0"/>
          <w:numId w:val="7"/>
        </w:numPr>
        <w:tabs>
          <w:tab w:pos="550" w:val="left" w:leader="none"/>
          <w:tab w:pos="552" w:val="left" w:leader="none"/>
        </w:tabs>
        <w:spacing w:line="240" w:lineRule="auto" w:before="1" w:after="0"/>
        <w:ind w:left="551" w:right="0" w:hanging="431"/>
        <w:jc w:val="left"/>
      </w:pPr>
      <w:bookmarkStart w:name="_TOC_250093" w:id="6"/>
      <w:bookmarkEnd w:id="6"/>
      <w:r>
        <w:rPr>
          <w:w w:val="95"/>
        </w:rPr>
        <w:t>合同订立</w:t>
      </w:r>
    </w:p>
    <w:p>
      <w:pPr>
        <w:pStyle w:val="BodyText"/>
        <w:spacing w:before="8"/>
        <w:rPr>
          <w:rFonts w:ascii="Microsoft JhengHei UI"/>
          <w:b/>
          <w:sz w:val="38"/>
        </w:rPr>
      </w:pPr>
    </w:p>
    <w:p>
      <w:pPr>
        <w:pStyle w:val="BodyText"/>
        <w:spacing w:line="408" w:lineRule="auto"/>
        <w:ind w:left="120" w:right="117"/>
      </w:pPr>
      <w:r>
        <w:rPr>
          <w:spacing w:val="-2"/>
        </w:rPr>
        <w:t>本附加险合同由主保险合同</w:t>
      </w:r>
      <w:r>
        <w:rPr/>
        <w:t>（</w:t>
      </w:r>
      <w:r>
        <w:rPr>
          <w:spacing w:val="-6"/>
        </w:rPr>
        <w:t>以下简称“主险合同”</w:t>
      </w:r>
      <w:r>
        <w:rPr>
          <w:spacing w:val="-19"/>
        </w:rPr>
        <w:t>）</w:t>
      </w:r>
      <w:r>
        <w:rPr>
          <w:spacing w:val="-3"/>
        </w:rPr>
        <w:t>投保人提出申请，经本公司同意而订</w:t>
      </w:r>
      <w:r>
        <w:rPr>
          <w:spacing w:val="-3"/>
          <w:w w:val="95"/>
        </w:rPr>
        <w:t>立。</w:t>
      </w:r>
    </w:p>
    <w:p>
      <w:pPr>
        <w:pStyle w:val="BodyText"/>
        <w:spacing w:before="1"/>
        <w:rPr>
          <w:sz w:val="35"/>
        </w:rPr>
      </w:pPr>
    </w:p>
    <w:p>
      <w:pPr>
        <w:pStyle w:val="Heading2"/>
        <w:numPr>
          <w:ilvl w:val="0"/>
          <w:numId w:val="7"/>
        </w:numPr>
        <w:tabs>
          <w:tab w:pos="550" w:val="left" w:leader="none"/>
          <w:tab w:pos="552" w:val="left" w:leader="none"/>
        </w:tabs>
        <w:spacing w:line="240" w:lineRule="auto" w:before="0" w:after="0"/>
        <w:ind w:left="551" w:right="0" w:hanging="431"/>
        <w:jc w:val="left"/>
      </w:pPr>
      <w:bookmarkStart w:name="_TOC_250092" w:id="7"/>
      <w:bookmarkEnd w:id="7"/>
      <w:r>
        <w:rPr>
          <w:w w:val="95"/>
        </w:rPr>
        <w:t>投保年龄</w:t>
      </w:r>
    </w:p>
    <w:p>
      <w:pPr>
        <w:pStyle w:val="BodyText"/>
        <w:spacing w:before="7"/>
        <w:rPr>
          <w:rFonts w:ascii="Microsoft JhengHei UI"/>
          <w:b/>
          <w:sz w:val="35"/>
        </w:rPr>
      </w:pPr>
    </w:p>
    <w:p>
      <w:pPr>
        <w:pStyle w:val="BodyText"/>
        <w:ind w:left="120"/>
      </w:pPr>
      <w:r>
        <w:rPr>
          <w:spacing w:val="-3"/>
          <w:w w:val="99"/>
        </w:rPr>
        <w:t>被保险人的投保年龄以</w:t>
      </w:r>
      <w:r>
        <w:rPr>
          <w:rFonts w:ascii="Microsoft JhengHei UI" w:eastAsia="Microsoft JhengHei UI" w:hint="eastAsia"/>
          <w:b/>
          <w:spacing w:val="-48"/>
          <w:w w:val="99"/>
        </w:rPr>
        <w:t>周</w:t>
      </w:r>
      <w:r>
        <w:rPr>
          <w:spacing w:val="-267"/>
          <w:w w:val="99"/>
          <w:position w:val="1"/>
        </w:rPr>
        <w:t>岁</w:t>
      </w:r>
      <w:r>
        <w:rPr>
          <w:spacing w:val="-264"/>
          <w:w w:val="99"/>
        </w:rPr>
        <w:t>岁岁</w:t>
      </w:r>
      <w:r>
        <w:rPr>
          <w:spacing w:val="-51"/>
          <w:w w:val="99"/>
        </w:rPr>
        <w:t>岁</w:t>
      </w:r>
      <w:r>
        <w:rPr>
          <w:spacing w:val="0"/>
          <w:w w:val="58"/>
        </w:rPr>
        <w:t>(</w:t>
      </w:r>
      <w:r>
        <w:rPr>
          <w:w w:val="99"/>
        </w:rPr>
        <w:t>见释义</w:t>
      </w:r>
      <w:r>
        <w:rPr>
          <w:w w:val="93"/>
        </w:rPr>
        <w:t>12</w:t>
      </w:r>
      <w:r>
        <w:rPr>
          <w:spacing w:val="-1"/>
          <w:w w:val="43"/>
        </w:rPr>
        <w:t>.</w:t>
      </w:r>
      <w:r>
        <w:rPr>
          <w:w w:val="93"/>
        </w:rPr>
        <w:t>1</w:t>
      </w:r>
      <w:r>
        <w:rPr>
          <w:spacing w:val="0"/>
          <w:w w:val="58"/>
        </w:rPr>
        <w:t>)</w:t>
      </w:r>
      <w:r>
        <w:rPr>
          <w:w w:val="99"/>
        </w:rPr>
        <w:t>计算。</w:t>
      </w:r>
    </w:p>
    <w:p>
      <w:pPr>
        <w:pStyle w:val="BodyText"/>
        <w:spacing w:before="168"/>
        <w:ind w:left="120"/>
      </w:pPr>
      <w:r>
        <w:rPr>
          <w:w w:val="95"/>
        </w:rPr>
        <w:t>本附加险合同接受的被保险人投保年龄范围为：出院且出生满30天至55周岁。</w:t>
      </w:r>
    </w:p>
    <w:p>
      <w:pPr>
        <w:pStyle w:val="BodyText"/>
        <w:rPr>
          <w:sz w:val="26"/>
        </w:rPr>
      </w:pPr>
    </w:p>
    <w:p>
      <w:pPr>
        <w:pStyle w:val="BodyText"/>
        <w:spacing w:before="3"/>
        <w:rPr>
          <w:sz w:val="20"/>
        </w:rPr>
      </w:pPr>
    </w:p>
    <w:p>
      <w:pPr>
        <w:pStyle w:val="Heading2"/>
        <w:numPr>
          <w:ilvl w:val="0"/>
          <w:numId w:val="7"/>
        </w:numPr>
        <w:tabs>
          <w:tab w:pos="550" w:val="left" w:leader="none"/>
          <w:tab w:pos="552" w:val="left" w:leader="none"/>
        </w:tabs>
        <w:spacing w:line="240" w:lineRule="auto" w:before="0" w:after="0"/>
        <w:ind w:left="551" w:right="0" w:hanging="431"/>
        <w:jc w:val="left"/>
      </w:pPr>
      <w:bookmarkStart w:name="_TOC_250091" w:id="8"/>
      <w:bookmarkEnd w:id="8"/>
      <w:r>
        <w:rPr>
          <w:w w:val="95"/>
        </w:rPr>
        <w:t>合同生效</w:t>
      </w:r>
    </w:p>
    <w:p>
      <w:pPr>
        <w:pStyle w:val="BodyText"/>
        <w:spacing w:before="9"/>
        <w:rPr>
          <w:rFonts w:ascii="Microsoft JhengHei UI"/>
          <w:b/>
          <w:sz w:val="38"/>
        </w:rPr>
      </w:pPr>
    </w:p>
    <w:p>
      <w:pPr>
        <w:pStyle w:val="BodyText"/>
        <w:spacing w:line="408" w:lineRule="auto" w:before="1"/>
        <w:ind w:left="120" w:right="122"/>
      </w:pPr>
      <w:r>
        <w:rPr/>
        <w:t>本附加险合同在本公司同意承保、签发保险单且已向您收取首期保险费前提下</w:t>
      </w:r>
      <w:r>
        <w:rPr>
          <w:w w:val="75"/>
        </w:rPr>
        <w:t>,</w:t>
      </w:r>
      <w:r>
        <w:rPr/>
        <w:t>自投保日次</w:t>
      </w:r>
      <w:r>
        <w:rPr>
          <w:w w:val="95"/>
        </w:rPr>
        <w:t>日零时起开始生效，具体生效日以保险单所载的日期为准。</w:t>
      </w:r>
    </w:p>
    <w:p>
      <w:pPr>
        <w:pStyle w:val="BodyText"/>
        <w:spacing w:before="1"/>
        <w:rPr>
          <w:sz w:val="35"/>
        </w:rPr>
      </w:pPr>
    </w:p>
    <w:p>
      <w:pPr>
        <w:pStyle w:val="Heading2"/>
        <w:numPr>
          <w:ilvl w:val="0"/>
          <w:numId w:val="7"/>
        </w:numPr>
        <w:tabs>
          <w:tab w:pos="550" w:val="left" w:leader="none"/>
          <w:tab w:pos="552" w:val="left" w:leader="none"/>
        </w:tabs>
        <w:spacing w:line="240" w:lineRule="auto" w:before="0" w:after="0"/>
        <w:ind w:left="551" w:right="0" w:hanging="431"/>
        <w:jc w:val="left"/>
      </w:pPr>
      <w:bookmarkStart w:name="_TOC_250090" w:id="9"/>
      <w:bookmarkEnd w:id="9"/>
      <w:r>
        <w:rPr>
          <w:w w:val="95"/>
        </w:rPr>
        <w:t>保险责任</w:t>
      </w:r>
    </w:p>
    <w:p>
      <w:pPr>
        <w:pStyle w:val="BodyText"/>
        <w:spacing w:before="7"/>
        <w:rPr>
          <w:rFonts w:ascii="Microsoft JhengHei UI"/>
          <w:b/>
          <w:sz w:val="37"/>
        </w:rPr>
      </w:pPr>
    </w:p>
    <w:p>
      <w:pPr>
        <w:pStyle w:val="Heading2"/>
        <w:numPr>
          <w:ilvl w:val="1"/>
          <w:numId w:val="7"/>
        </w:numPr>
        <w:tabs>
          <w:tab w:pos="702" w:val="left" w:leader="none"/>
          <w:tab w:pos="703" w:val="left" w:leader="none"/>
        </w:tabs>
        <w:spacing w:line="240" w:lineRule="auto" w:before="0" w:after="0"/>
        <w:ind w:left="702" w:right="0" w:hanging="576"/>
        <w:jc w:val="left"/>
      </w:pPr>
      <w:bookmarkStart w:name="_TOC_250089" w:id="10"/>
      <w:bookmarkEnd w:id="10"/>
      <w:r>
        <w:rPr>
          <w:w w:val="95"/>
        </w:rPr>
        <w:t>保险责任的开始</w:t>
      </w:r>
    </w:p>
    <w:p>
      <w:pPr>
        <w:pStyle w:val="BodyText"/>
        <w:spacing w:before="2"/>
        <w:rPr>
          <w:rFonts w:ascii="Microsoft JhengHei UI"/>
          <w:b/>
          <w:sz w:val="20"/>
        </w:rPr>
      </w:pPr>
    </w:p>
    <w:p>
      <w:pPr>
        <w:pStyle w:val="BodyText"/>
        <w:spacing w:line="468" w:lineRule="exact"/>
        <w:ind w:left="120" w:right="106"/>
        <w:jc w:val="both"/>
      </w:pPr>
      <w:r>
        <w:rPr>
          <w:spacing w:val="-9"/>
        </w:rPr>
        <w:t>等待期：从本附加险合同生效日起 </w:t>
      </w:r>
      <w:r>
        <w:rPr/>
        <w:t>90</w:t>
      </w:r>
      <w:r>
        <w:rPr>
          <w:spacing w:val="-13"/>
        </w:rPr>
        <w:t> 天内或最后复效日起 </w:t>
      </w:r>
      <w:r>
        <w:rPr/>
        <w:t>90</w:t>
      </w:r>
      <w:r>
        <w:rPr>
          <w:spacing w:val="-13"/>
        </w:rPr>
        <w:t> 天内，被保险人经</w:t>
      </w:r>
      <w:r>
        <w:rPr>
          <w:rFonts w:ascii="Microsoft JhengHei UI" w:eastAsia="Microsoft JhengHei UI" w:hint="eastAsia"/>
          <w:b/>
          <w:spacing w:val="-48"/>
        </w:rPr>
        <w:t>医</w:t>
      </w:r>
      <w:r>
        <w:rPr>
          <w:spacing w:val="-209"/>
          <w:position w:val="1"/>
        </w:rPr>
        <w:t>院</w:t>
      </w:r>
      <w:r>
        <w:rPr>
          <w:spacing w:val="-168"/>
        </w:rPr>
        <w:t>院院院</w:t>
      </w:r>
      <w:r>
        <w:rPr>
          <w:spacing w:val="-42"/>
        </w:rPr>
        <w:t>（</w:t>
      </w:r>
      <w:r>
        <w:rPr/>
        <w:t>见释</w:t>
      </w:r>
      <w:r>
        <w:rPr>
          <w:w w:val="99"/>
        </w:rPr>
        <w:t>义</w:t>
      </w:r>
      <w:r>
        <w:rPr>
          <w:spacing w:val="-53"/>
        </w:rPr>
        <w:t> </w:t>
      </w:r>
      <w:r>
        <w:rPr>
          <w:w w:val="93"/>
        </w:rPr>
        <w:t>12</w:t>
      </w:r>
      <w:r>
        <w:rPr>
          <w:spacing w:val="-1"/>
          <w:w w:val="43"/>
        </w:rPr>
        <w:t>.</w:t>
      </w:r>
      <w:r>
        <w:rPr>
          <w:spacing w:val="1"/>
          <w:w w:val="93"/>
        </w:rPr>
        <w:t>2</w:t>
      </w:r>
      <w:r>
        <w:rPr>
          <w:spacing w:val="-10"/>
          <w:w w:val="99"/>
        </w:rPr>
        <w:t>）</w:t>
      </w:r>
      <w:r>
        <w:rPr>
          <w:w w:val="99"/>
        </w:rPr>
        <w:t>诊断初次发生本附加险合同所界定的</w:t>
      </w:r>
      <w:r>
        <w:rPr/>
        <w:t> </w:t>
      </w:r>
      <w:r>
        <w:rPr>
          <w:w w:val="93"/>
        </w:rPr>
        <w:t>30</w:t>
      </w:r>
      <w:r>
        <w:rPr>
          <w:spacing w:val="-52"/>
        </w:rPr>
        <w:t> </w:t>
      </w:r>
      <w:r>
        <w:rPr>
          <w:spacing w:val="-20"/>
          <w:w w:val="99"/>
        </w:rPr>
        <w:t>种</w:t>
      </w:r>
      <w:r>
        <w:rPr>
          <w:rFonts w:ascii="Microsoft JhengHei UI" w:eastAsia="Microsoft JhengHei UI" w:hint="eastAsia"/>
          <w:b/>
          <w:spacing w:val="-48"/>
          <w:w w:val="99"/>
        </w:rPr>
        <w:t>重</w:t>
      </w:r>
      <w:r>
        <w:rPr>
          <w:spacing w:val="-267"/>
          <w:w w:val="99"/>
          <w:position w:val="1"/>
        </w:rPr>
        <w:t>大</w:t>
      </w:r>
      <w:r>
        <w:rPr>
          <w:spacing w:val="-264"/>
          <w:w w:val="99"/>
        </w:rPr>
        <w:t>大大</w:t>
      </w:r>
      <w:r>
        <w:rPr>
          <w:spacing w:val="-62"/>
          <w:w w:val="99"/>
        </w:rPr>
        <w:t>大</w:t>
      </w:r>
      <w:r>
        <w:rPr>
          <w:spacing w:val="-267"/>
          <w:w w:val="99"/>
          <w:position w:val="1"/>
        </w:rPr>
        <w:t>疾</w:t>
      </w:r>
      <w:r>
        <w:rPr>
          <w:spacing w:val="-264"/>
          <w:w w:val="99"/>
        </w:rPr>
        <w:t>疾疾</w:t>
      </w:r>
      <w:r>
        <w:rPr>
          <w:spacing w:val="-62"/>
          <w:w w:val="99"/>
        </w:rPr>
        <w:t>疾</w:t>
      </w:r>
      <w:r>
        <w:rPr>
          <w:spacing w:val="-267"/>
          <w:w w:val="99"/>
          <w:position w:val="1"/>
        </w:rPr>
        <w:t>病</w:t>
      </w:r>
      <w:r>
        <w:rPr>
          <w:spacing w:val="-264"/>
          <w:w w:val="99"/>
        </w:rPr>
        <w:t>病病</w:t>
      </w:r>
      <w:r>
        <w:rPr>
          <w:spacing w:val="-74"/>
          <w:w w:val="99"/>
        </w:rPr>
        <w:t>病</w:t>
      </w:r>
      <w:r>
        <w:rPr>
          <w:spacing w:val="-42"/>
          <w:w w:val="99"/>
        </w:rPr>
        <w:t>（</w:t>
      </w:r>
      <w:r>
        <w:rPr>
          <w:w w:val="99"/>
        </w:rPr>
        <w:t>见释义</w:t>
      </w:r>
      <w:r>
        <w:rPr>
          <w:spacing w:val="-53"/>
        </w:rPr>
        <w:t> </w:t>
      </w:r>
      <w:r>
        <w:rPr>
          <w:w w:val="93"/>
        </w:rPr>
        <w:t>12</w:t>
      </w:r>
      <w:r>
        <w:rPr>
          <w:spacing w:val="-1"/>
          <w:w w:val="43"/>
        </w:rPr>
        <w:t>.</w:t>
      </w:r>
      <w:r>
        <w:rPr>
          <w:spacing w:val="-12"/>
          <w:w w:val="93"/>
        </w:rPr>
        <w:t>3</w:t>
      </w:r>
      <w:r>
        <w:rPr>
          <w:spacing w:val="-54"/>
          <w:w w:val="99"/>
        </w:rPr>
        <w:t>）</w:t>
      </w:r>
      <w:r>
        <w:rPr>
          <w:w w:val="99"/>
        </w:rPr>
        <w:t>中的任何一种</w:t>
      </w:r>
      <w:r>
        <w:rPr>
          <w:w w:val="49"/>
        </w:rPr>
        <w:t>，</w:t>
      </w:r>
      <w:r>
        <w:rPr>
          <w:spacing w:val="1"/>
          <w:w w:val="99"/>
        </w:rPr>
        <w:t>  </w:t>
      </w:r>
      <w:r>
        <w:rPr>
          <w:spacing w:val="-7"/>
        </w:rPr>
        <w:t>本公司不承担保险责任，将无息全额退还本附加险合同已交的保险费，本附加险合同效力终</w:t>
      </w:r>
      <w:r>
        <w:rPr>
          <w:spacing w:val="-21"/>
        </w:rPr>
        <w:t>止。这 </w:t>
      </w:r>
      <w:r>
        <w:rPr/>
        <w:t>90</w:t>
      </w:r>
      <w:r>
        <w:rPr>
          <w:spacing w:val="-10"/>
        </w:rPr>
        <w:t> 天为等待期。</w:t>
      </w:r>
    </w:p>
    <w:p>
      <w:pPr>
        <w:pStyle w:val="BodyText"/>
        <w:spacing w:before="128"/>
        <w:ind w:left="120"/>
      </w:pPr>
      <w:r>
        <w:rPr>
          <w:w w:val="95"/>
        </w:rPr>
        <w:t>本公司承担的保险金给付责任自本附加险合同约定的等待期后开始，被保险人因意外伤害发</w:t>
      </w:r>
    </w:p>
    <w:p>
      <w:pPr>
        <w:spacing w:after="0"/>
        <w:sectPr>
          <w:footerReference w:type="default" r:id="rId7"/>
          <w:pgSz w:w="11910" w:h="16840"/>
          <w:pgMar w:footer="1268" w:header="0" w:top="1460" w:bottom="1460" w:left="1680" w:right="1680"/>
          <w:pgNumType w:start="5"/>
        </w:sectPr>
      </w:pPr>
    </w:p>
    <w:p>
      <w:pPr>
        <w:pStyle w:val="BodyText"/>
        <w:spacing w:before="32"/>
        <w:ind w:left="140"/>
      </w:pPr>
      <w:bookmarkStart w:name="保险期间" w:id="11"/>
      <w:bookmarkEnd w:id="11"/>
      <w:r>
        <w:rPr/>
      </w:r>
      <w:bookmarkStart w:name="保险金额" w:id="12"/>
      <w:bookmarkEnd w:id="12"/>
      <w:r>
        <w:rPr/>
      </w:r>
      <w:bookmarkStart w:name="本公司承担的保险责任" w:id="13"/>
      <w:bookmarkEnd w:id="13"/>
      <w:r>
        <w:rPr/>
      </w:r>
      <w:bookmarkStart w:name="4.4.1.重大疾病保险金" w:id="14"/>
      <w:bookmarkEnd w:id="14"/>
      <w:r>
        <w:rPr/>
      </w:r>
      <w:bookmarkStart w:name="4.4.2.身故保险金" w:id="15"/>
      <w:bookmarkEnd w:id="15"/>
      <w:r>
        <w:rPr/>
      </w:r>
      <w:bookmarkStart w:name="4.4.3.永久完全残疾保险金" w:id="16"/>
      <w:bookmarkEnd w:id="16"/>
      <w:r>
        <w:rPr/>
      </w:r>
      <w:r>
        <w:rPr>
          <w:w w:val="95"/>
        </w:rPr>
        <w:t>生的保险金给付责任无等待期。</w:t>
      </w:r>
    </w:p>
    <w:p>
      <w:pPr>
        <w:pStyle w:val="BodyText"/>
        <w:spacing w:before="6"/>
        <w:rPr>
          <w:sz w:val="33"/>
        </w:rPr>
      </w:pPr>
    </w:p>
    <w:p>
      <w:pPr>
        <w:pStyle w:val="Heading2"/>
        <w:numPr>
          <w:ilvl w:val="1"/>
          <w:numId w:val="7"/>
        </w:numPr>
        <w:tabs>
          <w:tab w:pos="722" w:val="left" w:leader="none"/>
          <w:tab w:pos="723" w:val="left" w:leader="none"/>
        </w:tabs>
        <w:spacing w:line="240" w:lineRule="auto" w:before="0" w:after="0"/>
        <w:ind w:left="722" w:right="0" w:hanging="576"/>
        <w:jc w:val="left"/>
      </w:pPr>
      <w:bookmarkStart w:name="_TOC_250088" w:id="17"/>
      <w:bookmarkEnd w:id="17"/>
      <w:r>
        <w:rPr>
          <w:w w:val="95"/>
        </w:rPr>
        <w:t>保险期间</w:t>
      </w:r>
    </w:p>
    <w:p>
      <w:pPr>
        <w:pStyle w:val="BodyText"/>
        <w:spacing w:before="13"/>
        <w:rPr>
          <w:rFonts w:ascii="Microsoft JhengHei UI"/>
          <w:b/>
          <w:sz w:val="27"/>
        </w:rPr>
      </w:pPr>
    </w:p>
    <w:p>
      <w:pPr>
        <w:pStyle w:val="BodyText"/>
        <w:spacing w:line="408" w:lineRule="auto"/>
        <w:ind w:left="140" w:right="117"/>
        <w:jc w:val="both"/>
      </w:pPr>
      <w:r>
        <w:rPr>
          <w:w w:val="95"/>
        </w:rPr>
        <w:t>本附加险合同的保险期间有15年、20年、30年、至被保险人50周岁、至被保险人60</w:t>
      </w:r>
      <w:r>
        <w:rPr>
          <w:spacing w:val="-7"/>
          <w:w w:val="95"/>
        </w:rPr>
        <w:t>周岁、至  被保险人70</w:t>
      </w:r>
      <w:r>
        <w:rPr>
          <w:spacing w:val="-6"/>
          <w:w w:val="95"/>
        </w:rPr>
        <w:t>周岁、至被保险人</w:t>
      </w:r>
      <w:r>
        <w:rPr>
          <w:w w:val="95"/>
        </w:rPr>
        <w:t>80</w:t>
      </w:r>
      <w:r>
        <w:rPr>
          <w:spacing w:val="-4"/>
          <w:w w:val="95"/>
        </w:rPr>
        <w:t>周岁、至被保险人</w:t>
      </w:r>
      <w:r>
        <w:rPr>
          <w:w w:val="95"/>
        </w:rPr>
        <w:t>88</w:t>
      </w:r>
      <w:r>
        <w:rPr>
          <w:spacing w:val="-4"/>
          <w:w w:val="95"/>
        </w:rPr>
        <w:t>周岁，且本附加险合同的保险期间与所  附主险合同的保险期间相同。</w:t>
      </w:r>
    </w:p>
    <w:p>
      <w:pPr>
        <w:pStyle w:val="BodyText"/>
        <w:spacing w:before="3"/>
        <w:rPr>
          <w:sz w:val="22"/>
        </w:rPr>
      </w:pPr>
    </w:p>
    <w:p>
      <w:pPr>
        <w:pStyle w:val="Heading2"/>
        <w:numPr>
          <w:ilvl w:val="1"/>
          <w:numId w:val="7"/>
        </w:numPr>
        <w:tabs>
          <w:tab w:pos="722" w:val="left" w:leader="none"/>
          <w:tab w:pos="723" w:val="left" w:leader="none"/>
        </w:tabs>
        <w:spacing w:line="240" w:lineRule="auto" w:before="0" w:after="0"/>
        <w:ind w:left="722" w:right="0" w:hanging="576"/>
        <w:jc w:val="left"/>
      </w:pPr>
      <w:bookmarkStart w:name="_TOC_250087" w:id="18"/>
      <w:bookmarkEnd w:id="18"/>
      <w:r>
        <w:rPr>
          <w:w w:val="95"/>
        </w:rPr>
        <w:t>保险金额</w:t>
      </w:r>
    </w:p>
    <w:p>
      <w:pPr>
        <w:pStyle w:val="BodyText"/>
        <w:spacing w:before="15"/>
        <w:rPr>
          <w:rFonts w:ascii="Microsoft JhengHei UI"/>
          <w:b/>
          <w:sz w:val="27"/>
        </w:rPr>
      </w:pPr>
    </w:p>
    <w:p>
      <w:pPr>
        <w:pStyle w:val="BodyText"/>
        <w:spacing w:line="408" w:lineRule="auto"/>
        <w:ind w:left="140" w:right="235"/>
      </w:pPr>
      <w:r>
        <w:rPr/>
        <w:t>本附加险合同的基本保险金额是由您在投保时与本公司约定并在保险单或批注上载明的保</w:t>
      </w:r>
      <w:r>
        <w:rPr>
          <w:w w:val="95"/>
        </w:rPr>
        <w:t>险金额。如该保险金额有所变更，则以变更后的保险金额为基本保险金额。</w:t>
      </w:r>
    </w:p>
    <w:p>
      <w:pPr>
        <w:pStyle w:val="BodyText"/>
        <w:rPr>
          <w:sz w:val="22"/>
        </w:rPr>
      </w:pPr>
    </w:p>
    <w:p>
      <w:pPr>
        <w:pStyle w:val="Heading2"/>
        <w:numPr>
          <w:ilvl w:val="1"/>
          <w:numId w:val="7"/>
        </w:numPr>
        <w:tabs>
          <w:tab w:pos="722" w:val="left" w:leader="none"/>
          <w:tab w:pos="723" w:val="left" w:leader="none"/>
        </w:tabs>
        <w:spacing w:line="240" w:lineRule="auto" w:before="0" w:after="0"/>
        <w:ind w:left="722" w:right="0" w:hanging="576"/>
        <w:jc w:val="left"/>
      </w:pPr>
      <w:bookmarkStart w:name="_TOC_250086" w:id="19"/>
      <w:bookmarkEnd w:id="19"/>
      <w:r>
        <w:rPr>
          <w:w w:val="95"/>
        </w:rPr>
        <w:t>本公司承担的保险责任</w:t>
      </w:r>
    </w:p>
    <w:p>
      <w:pPr>
        <w:pStyle w:val="BodyText"/>
        <w:spacing w:before="15"/>
        <w:rPr>
          <w:rFonts w:ascii="Microsoft JhengHei UI"/>
          <w:b/>
          <w:sz w:val="27"/>
        </w:rPr>
      </w:pPr>
    </w:p>
    <w:p>
      <w:pPr>
        <w:pStyle w:val="BodyText"/>
        <w:ind w:left="140"/>
      </w:pPr>
      <w:r>
        <w:rPr>
          <w:w w:val="95"/>
        </w:rPr>
        <w:t>在本附加险合同的责任有效期内，本公司承担如下保险金给付责任：</w:t>
      </w:r>
    </w:p>
    <w:p>
      <w:pPr>
        <w:pStyle w:val="BodyText"/>
        <w:spacing w:before="3"/>
        <w:rPr>
          <w:sz w:val="33"/>
        </w:rPr>
      </w:pPr>
    </w:p>
    <w:p>
      <w:pPr>
        <w:pStyle w:val="Heading2"/>
        <w:numPr>
          <w:ilvl w:val="2"/>
          <w:numId w:val="7"/>
        </w:numPr>
        <w:tabs>
          <w:tab w:pos="689" w:val="left" w:leader="none"/>
        </w:tabs>
        <w:spacing w:line="240" w:lineRule="auto" w:before="0" w:after="0"/>
        <w:ind w:left="688" w:right="0" w:hanging="542"/>
        <w:jc w:val="left"/>
      </w:pPr>
      <w:bookmarkStart w:name="_TOC_250085" w:id="20"/>
      <w:bookmarkEnd w:id="20"/>
      <w:r>
        <w:rPr>
          <w:w w:val="95"/>
        </w:rPr>
        <w:t>重大疾病保险金</w:t>
      </w:r>
    </w:p>
    <w:p>
      <w:pPr>
        <w:pStyle w:val="BodyText"/>
        <w:spacing w:before="15"/>
        <w:rPr>
          <w:rFonts w:ascii="Microsoft JhengHei UI"/>
          <w:b/>
          <w:sz w:val="27"/>
        </w:rPr>
      </w:pPr>
    </w:p>
    <w:p>
      <w:pPr>
        <w:pStyle w:val="BodyText"/>
        <w:spacing w:line="360" w:lineRule="auto"/>
        <w:ind w:left="118" w:right="115" w:firstLine="21"/>
        <w:jc w:val="both"/>
      </w:pPr>
      <w:r>
        <w:rPr>
          <w:spacing w:val="-2"/>
        </w:rPr>
        <w:t>如果被保险人经医院确诊初次发生本附加险合同所界定的 </w:t>
      </w:r>
      <w:r>
        <w:rPr/>
        <w:t>30</w:t>
      </w:r>
      <w:r>
        <w:rPr>
          <w:spacing w:val="-7"/>
        </w:rPr>
        <w:t> 种重大疾病中的任何一种，从</w:t>
      </w:r>
      <w:r>
        <w:rPr>
          <w:rFonts w:ascii="Microsoft JhengHei UI" w:eastAsia="Microsoft JhengHei UI" w:hint="eastAsia"/>
          <w:b/>
          <w:spacing w:val="-48"/>
          <w:w w:val="99"/>
        </w:rPr>
        <w:t>本</w:t>
      </w:r>
      <w:r>
        <w:rPr>
          <w:spacing w:val="-267"/>
          <w:w w:val="99"/>
          <w:position w:val="1"/>
        </w:rPr>
        <w:t>条</w:t>
      </w:r>
      <w:r>
        <w:rPr>
          <w:spacing w:val="-264"/>
          <w:w w:val="99"/>
        </w:rPr>
        <w:t>条条</w:t>
      </w:r>
      <w:r>
        <w:rPr>
          <w:spacing w:val="-62"/>
          <w:w w:val="99"/>
        </w:rPr>
        <w:t>条</w:t>
      </w:r>
      <w:r>
        <w:rPr>
          <w:spacing w:val="-267"/>
          <w:w w:val="99"/>
          <w:position w:val="1"/>
        </w:rPr>
        <w:t>款</w:t>
      </w:r>
      <w:r>
        <w:rPr>
          <w:spacing w:val="-264"/>
          <w:w w:val="99"/>
        </w:rPr>
        <w:t>款款</w:t>
      </w:r>
      <w:r>
        <w:rPr>
          <w:spacing w:val="-62"/>
          <w:w w:val="99"/>
        </w:rPr>
        <w:t>款</w:t>
      </w:r>
      <w:r>
        <w:rPr>
          <w:spacing w:val="-267"/>
          <w:w w:val="99"/>
          <w:position w:val="1"/>
        </w:rPr>
        <w:t>约</w:t>
      </w:r>
      <w:r>
        <w:rPr>
          <w:spacing w:val="-264"/>
          <w:w w:val="99"/>
        </w:rPr>
        <w:t>约约</w:t>
      </w:r>
      <w:r>
        <w:rPr>
          <w:spacing w:val="-62"/>
          <w:w w:val="99"/>
        </w:rPr>
        <w:t>约</w:t>
      </w:r>
      <w:r>
        <w:rPr>
          <w:spacing w:val="-267"/>
          <w:w w:val="99"/>
          <w:position w:val="1"/>
        </w:rPr>
        <w:t>定</w:t>
      </w:r>
      <w:r>
        <w:rPr>
          <w:spacing w:val="-264"/>
          <w:w w:val="99"/>
        </w:rPr>
        <w:t>定定</w:t>
      </w:r>
      <w:r>
        <w:rPr>
          <w:spacing w:val="-62"/>
          <w:w w:val="99"/>
        </w:rPr>
        <w:t>定</w:t>
      </w:r>
      <w:r>
        <w:rPr>
          <w:spacing w:val="-267"/>
          <w:w w:val="99"/>
          <w:position w:val="1"/>
        </w:rPr>
        <w:t>确</w:t>
      </w:r>
      <w:r>
        <w:rPr>
          <w:spacing w:val="-264"/>
          <w:w w:val="99"/>
        </w:rPr>
        <w:t>确确</w:t>
      </w:r>
      <w:r>
        <w:rPr>
          <w:spacing w:val="-62"/>
          <w:w w:val="99"/>
        </w:rPr>
        <w:t>确</w:t>
      </w:r>
      <w:r>
        <w:rPr>
          <w:spacing w:val="-267"/>
          <w:w w:val="99"/>
          <w:position w:val="1"/>
        </w:rPr>
        <w:t>诊</w:t>
      </w:r>
      <w:r>
        <w:rPr>
          <w:spacing w:val="-264"/>
          <w:w w:val="99"/>
        </w:rPr>
        <w:t>诊诊</w:t>
      </w:r>
      <w:r>
        <w:rPr>
          <w:spacing w:val="-62"/>
          <w:w w:val="99"/>
        </w:rPr>
        <w:t>诊</w:t>
      </w:r>
      <w:r>
        <w:rPr>
          <w:spacing w:val="-267"/>
          <w:w w:val="99"/>
          <w:position w:val="1"/>
        </w:rPr>
        <w:t>日</w:t>
      </w:r>
      <w:r>
        <w:rPr>
          <w:spacing w:val="-264"/>
          <w:w w:val="99"/>
        </w:rPr>
        <w:t>日日</w:t>
      </w:r>
      <w:r>
        <w:rPr>
          <w:spacing w:val="-75"/>
          <w:w w:val="99"/>
        </w:rPr>
        <w:t>日</w:t>
      </w:r>
      <w:r>
        <w:rPr>
          <w:spacing w:val="1"/>
          <w:w w:val="99"/>
        </w:rPr>
        <w:t>（</w:t>
      </w:r>
      <w:r>
        <w:rPr>
          <w:w w:val="99"/>
        </w:rPr>
        <w:t>见释义</w:t>
      </w:r>
      <w:r>
        <w:rPr>
          <w:spacing w:val="-53"/>
        </w:rPr>
        <w:t> </w:t>
      </w:r>
      <w:r>
        <w:rPr>
          <w:w w:val="93"/>
        </w:rPr>
        <w:t>12</w:t>
      </w:r>
      <w:r>
        <w:rPr>
          <w:spacing w:val="-1"/>
          <w:w w:val="43"/>
        </w:rPr>
        <w:t>.</w:t>
      </w:r>
      <w:r>
        <w:rPr>
          <w:spacing w:val="1"/>
          <w:w w:val="93"/>
        </w:rPr>
        <w:t>4</w:t>
      </w:r>
      <w:r>
        <w:rPr>
          <w:spacing w:val="-24"/>
          <w:w w:val="99"/>
        </w:rPr>
        <w:t>）</w:t>
      </w:r>
      <w:r>
        <w:rPr>
          <w:spacing w:val="-4"/>
          <w:w w:val="99"/>
        </w:rPr>
        <w:t>起，本公司将按本附加险合同保险金额给付重大疾病保险   </w:t>
      </w:r>
      <w:r>
        <w:rPr>
          <w:w w:val="95"/>
        </w:rPr>
        <w:t>金，同时本附加险合同终止。</w:t>
      </w:r>
    </w:p>
    <w:p>
      <w:pPr>
        <w:pStyle w:val="BodyText"/>
        <w:spacing w:before="5"/>
        <w:rPr>
          <w:sz w:val="25"/>
        </w:rPr>
      </w:pPr>
    </w:p>
    <w:p>
      <w:pPr>
        <w:pStyle w:val="Heading2"/>
        <w:numPr>
          <w:ilvl w:val="2"/>
          <w:numId w:val="7"/>
        </w:numPr>
        <w:tabs>
          <w:tab w:pos="689" w:val="left" w:leader="none"/>
        </w:tabs>
        <w:spacing w:line="240" w:lineRule="auto" w:before="0" w:after="0"/>
        <w:ind w:left="688" w:right="0" w:hanging="542"/>
        <w:jc w:val="left"/>
      </w:pPr>
      <w:bookmarkStart w:name="_TOC_250084" w:id="21"/>
      <w:bookmarkEnd w:id="21"/>
      <w:r>
        <w:rPr>
          <w:w w:val="95"/>
        </w:rPr>
        <w:t>身故保险金</w:t>
      </w:r>
    </w:p>
    <w:p>
      <w:pPr>
        <w:pStyle w:val="BodyText"/>
        <w:spacing w:before="15"/>
        <w:rPr>
          <w:rFonts w:ascii="Microsoft JhengHei UI"/>
          <w:b/>
          <w:sz w:val="27"/>
        </w:rPr>
      </w:pPr>
    </w:p>
    <w:p>
      <w:pPr>
        <w:pStyle w:val="BodyText"/>
        <w:spacing w:line="408" w:lineRule="auto"/>
        <w:ind w:left="140" w:right="117"/>
      </w:pPr>
      <w:r>
        <w:rPr>
          <w:spacing w:val="-8"/>
          <w:w w:val="95"/>
        </w:rPr>
        <w:t>如果被保险人身故，本公司将按本附加险合同保险金额给付身故保险金，同时本附加险合同   终止。</w:t>
      </w:r>
    </w:p>
    <w:p>
      <w:pPr>
        <w:pStyle w:val="BodyText"/>
        <w:rPr>
          <w:sz w:val="22"/>
        </w:rPr>
      </w:pPr>
    </w:p>
    <w:p>
      <w:pPr>
        <w:pStyle w:val="Heading2"/>
        <w:numPr>
          <w:ilvl w:val="2"/>
          <w:numId w:val="7"/>
        </w:numPr>
        <w:tabs>
          <w:tab w:pos="689" w:val="left" w:leader="none"/>
        </w:tabs>
        <w:spacing w:line="240" w:lineRule="auto" w:before="0" w:after="0"/>
        <w:ind w:left="688" w:right="0" w:hanging="542"/>
        <w:jc w:val="left"/>
      </w:pPr>
      <w:bookmarkStart w:name="_TOC_250083" w:id="22"/>
      <w:bookmarkEnd w:id="22"/>
      <w:r>
        <w:rPr>
          <w:w w:val="95"/>
        </w:rPr>
        <w:t>永久完全残疾保险金</w:t>
      </w:r>
    </w:p>
    <w:p>
      <w:pPr>
        <w:pStyle w:val="BodyText"/>
        <w:spacing w:before="15"/>
        <w:rPr>
          <w:rFonts w:ascii="Microsoft JhengHei UI"/>
          <w:b/>
          <w:sz w:val="27"/>
        </w:rPr>
      </w:pPr>
    </w:p>
    <w:p>
      <w:pPr>
        <w:pStyle w:val="BodyText"/>
        <w:ind w:left="140"/>
      </w:pPr>
      <w:r>
        <w:rPr/>
        <w:t>在被保险人 65 周岁当年的保单周年日之前：</w:t>
      </w:r>
    </w:p>
    <w:p>
      <w:pPr>
        <w:pStyle w:val="BodyText"/>
        <w:spacing w:line="408" w:lineRule="auto" w:before="193"/>
        <w:ind w:left="140" w:right="117"/>
      </w:pPr>
      <w:r>
        <w:rPr>
          <w:w w:val="95"/>
        </w:rPr>
        <w:t>如果被保险人永久完全残疾，本公司将按本附加险合同保险金额给付永久完全残疾保险金</w:t>
      </w:r>
      <w:r>
        <w:rPr>
          <w:w w:val="85"/>
        </w:rPr>
        <w:t>，  </w:t>
      </w:r>
      <w:r>
        <w:rPr>
          <w:w w:val="95"/>
        </w:rPr>
        <w:t>同时本附加险合同终止。</w:t>
      </w:r>
    </w:p>
    <w:p>
      <w:pPr>
        <w:spacing w:after="0" w:line="408" w:lineRule="auto"/>
        <w:sectPr>
          <w:pgSz w:w="11910" w:h="16840"/>
          <w:pgMar w:header="0" w:footer="1268" w:top="1440" w:bottom="1460" w:left="1660" w:right="1680"/>
        </w:sectPr>
      </w:pPr>
    </w:p>
    <w:p>
      <w:pPr>
        <w:pStyle w:val="Heading2"/>
        <w:numPr>
          <w:ilvl w:val="1"/>
          <w:numId w:val="7"/>
        </w:numPr>
        <w:tabs>
          <w:tab w:pos="702" w:val="left" w:leader="none"/>
          <w:tab w:pos="703" w:val="left" w:leader="none"/>
        </w:tabs>
        <w:spacing w:line="347" w:lineRule="exact" w:before="0" w:after="0"/>
        <w:ind w:left="702" w:right="0" w:hanging="576"/>
        <w:jc w:val="left"/>
      </w:pPr>
      <w:bookmarkStart w:name="_TOC_250082" w:id="23"/>
      <w:bookmarkStart w:name="责任免除" w:id="24"/>
      <w:r>
        <w:rPr>
          <w:b w:val="0"/>
        </w:rPr>
      </w:r>
      <w:bookmarkStart w:name="保险费" w:id="25"/>
      <w:bookmarkEnd w:id="25"/>
      <w:r>
        <w:rPr>
          <w:b w:val="0"/>
        </w:rPr>
      </w:r>
      <w:bookmarkStart w:name="保险费的交纳方式" w:id="26"/>
      <w:bookmarkEnd w:id="26"/>
      <w:r>
        <w:rPr>
          <w:b w:val="0"/>
        </w:rPr>
      </w:r>
      <w:bookmarkStart w:name="保险费的交纳方式" w:id="27"/>
      <w:bookmarkEnd w:id="23"/>
      <w:r>
        <w:rPr>
          <w:w w:val="95"/>
        </w:rPr>
        <w:t>责任免除</w:t>
      </w:r>
    </w:p>
    <w:p>
      <w:pPr>
        <w:pStyle w:val="BodyText"/>
        <w:spacing w:before="13"/>
        <w:rPr>
          <w:rFonts w:ascii="Microsoft JhengHei UI"/>
          <w:b/>
          <w:sz w:val="27"/>
        </w:rPr>
      </w:pPr>
    </w:p>
    <w:p>
      <w:pPr>
        <w:pStyle w:val="BodyText"/>
        <w:spacing w:line="408" w:lineRule="auto"/>
        <w:ind w:left="120" w:right="117"/>
      </w:pPr>
      <w:r>
        <w:rPr>
          <w:spacing w:val="-8"/>
        </w:rPr>
        <w:t>因下列情形之一，导致被保险人身故或永久完全残疾，或者发生本附加险合同所指的重大疾</w:t>
      </w:r>
      <w:r>
        <w:rPr>
          <w:spacing w:val="-8"/>
          <w:w w:val="95"/>
        </w:rPr>
        <w:t>病，本公司不承担给付保险金责任：</w:t>
      </w:r>
    </w:p>
    <w:p>
      <w:pPr>
        <w:pStyle w:val="Heading2"/>
        <w:numPr>
          <w:ilvl w:val="0"/>
          <w:numId w:val="8"/>
        </w:numPr>
        <w:tabs>
          <w:tab w:pos="546" w:val="left" w:leader="none"/>
          <w:tab w:pos="547" w:val="left" w:leader="none"/>
        </w:tabs>
        <w:spacing w:line="345" w:lineRule="exact" w:before="0" w:after="0"/>
        <w:ind w:left="518" w:right="0" w:hanging="392"/>
        <w:jc w:val="left"/>
      </w:pPr>
      <w:r>
        <w:rPr>
          <w:w w:val="95"/>
        </w:rPr>
        <w:t>投保人对被保险人的故意杀害、故意伤害；</w:t>
      </w:r>
    </w:p>
    <w:p>
      <w:pPr>
        <w:pStyle w:val="ListParagraph"/>
        <w:numPr>
          <w:ilvl w:val="0"/>
          <w:numId w:val="8"/>
        </w:numPr>
        <w:tabs>
          <w:tab w:pos="546" w:val="left" w:leader="none"/>
          <w:tab w:pos="547" w:val="left" w:leader="none"/>
        </w:tabs>
        <w:spacing w:line="240" w:lineRule="auto" w:before="119" w:after="0"/>
        <w:ind w:left="518" w:right="0" w:hanging="392"/>
        <w:jc w:val="left"/>
        <w:rPr>
          <w:rFonts w:ascii="Microsoft JhengHei UI" w:eastAsia="Microsoft JhengHei UI" w:hint="eastAsia"/>
          <w:b/>
          <w:sz w:val="21"/>
        </w:rPr>
      </w:pPr>
      <w:r>
        <w:rPr>
          <w:rFonts w:ascii="Microsoft JhengHei UI" w:eastAsia="Microsoft JhengHei UI" w:hint="eastAsia"/>
          <w:b/>
          <w:w w:val="95"/>
          <w:sz w:val="21"/>
        </w:rPr>
        <w:t>被保险人故意自伤、故意犯罪或抗拒依法采取的刑事强制措施；</w:t>
      </w:r>
    </w:p>
    <w:p>
      <w:pPr>
        <w:pStyle w:val="ListParagraph"/>
        <w:numPr>
          <w:ilvl w:val="0"/>
          <w:numId w:val="8"/>
        </w:numPr>
        <w:tabs>
          <w:tab w:pos="546" w:val="left" w:leader="none"/>
          <w:tab w:pos="547" w:val="left" w:leader="none"/>
        </w:tabs>
        <w:spacing w:line="240" w:lineRule="auto" w:before="118" w:after="0"/>
        <w:ind w:left="518" w:right="0" w:hanging="392"/>
        <w:jc w:val="left"/>
        <w:rPr>
          <w:sz w:val="21"/>
        </w:rPr>
      </w:pPr>
      <w:r>
        <w:rPr>
          <w:rFonts w:ascii="Microsoft JhengHei UI" w:eastAsia="Microsoft JhengHei UI" w:hint="eastAsia"/>
          <w:b/>
          <w:spacing w:val="-6"/>
          <w:w w:val="99"/>
          <w:sz w:val="21"/>
        </w:rPr>
        <w:t>被保险人服用、吸食或注射毒</w:t>
      </w:r>
      <w:r>
        <w:rPr>
          <w:spacing w:val="-267"/>
          <w:w w:val="99"/>
          <w:position w:val="1"/>
          <w:sz w:val="21"/>
        </w:rPr>
        <w:t>品</w:t>
      </w:r>
      <w:r>
        <w:rPr>
          <w:spacing w:val="-264"/>
          <w:w w:val="99"/>
          <w:sz w:val="21"/>
        </w:rPr>
        <w:t>品品</w:t>
      </w:r>
      <w:r>
        <w:rPr>
          <w:spacing w:val="-48"/>
          <w:w w:val="99"/>
          <w:sz w:val="21"/>
        </w:rPr>
        <w:t>品</w:t>
      </w:r>
      <w:r>
        <w:rPr>
          <w:spacing w:val="1"/>
          <w:w w:val="99"/>
          <w:sz w:val="21"/>
        </w:rPr>
        <w:t>（</w:t>
      </w:r>
      <w:r>
        <w:rPr>
          <w:spacing w:val="-1"/>
          <w:w w:val="99"/>
          <w:sz w:val="21"/>
        </w:rPr>
        <w:t>见释义</w:t>
      </w:r>
      <w:r>
        <w:rPr>
          <w:w w:val="93"/>
          <w:sz w:val="21"/>
        </w:rPr>
        <w:t>12</w:t>
      </w:r>
      <w:r>
        <w:rPr>
          <w:spacing w:val="-1"/>
          <w:w w:val="43"/>
          <w:sz w:val="21"/>
        </w:rPr>
        <w:t>.</w:t>
      </w:r>
      <w:r>
        <w:rPr>
          <w:w w:val="93"/>
          <w:sz w:val="21"/>
        </w:rPr>
        <w:t>5</w:t>
      </w:r>
      <w:r>
        <w:rPr>
          <w:spacing w:val="1"/>
          <w:w w:val="99"/>
          <w:sz w:val="21"/>
        </w:rPr>
        <w:t>）</w:t>
      </w:r>
      <w:r>
        <w:rPr>
          <w:spacing w:val="-209"/>
          <w:w w:val="99"/>
          <w:position w:val="1"/>
          <w:sz w:val="21"/>
        </w:rPr>
        <w:t>；</w:t>
      </w:r>
      <w:r>
        <w:rPr>
          <w:spacing w:val="-206"/>
          <w:w w:val="99"/>
          <w:sz w:val="21"/>
        </w:rPr>
        <w:t>；；</w:t>
      </w:r>
      <w:r>
        <w:rPr>
          <w:w w:val="99"/>
          <w:sz w:val="21"/>
        </w:rPr>
        <w:t>；</w:t>
      </w:r>
    </w:p>
    <w:p>
      <w:pPr>
        <w:pStyle w:val="ListParagraph"/>
        <w:numPr>
          <w:ilvl w:val="0"/>
          <w:numId w:val="8"/>
        </w:numPr>
        <w:tabs>
          <w:tab w:pos="546" w:val="left" w:leader="none"/>
          <w:tab w:pos="547" w:val="left" w:leader="none"/>
        </w:tabs>
        <w:spacing w:line="321" w:lineRule="auto" w:before="118" w:after="0"/>
        <w:ind w:left="518" w:right="113" w:hanging="392"/>
        <w:jc w:val="left"/>
        <w:rPr>
          <w:sz w:val="21"/>
        </w:rPr>
      </w:pPr>
      <w:r>
        <w:rPr>
          <w:rFonts w:ascii="Microsoft JhengHei UI" w:eastAsia="Microsoft JhengHei UI" w:hint="eastAsia"/>
          <w:b/>
          <w:spacing w:val="-16"/>
          <w:w w:val="99"/>
          <w:sz w:val="21"/>
        </w:rPr>
        <w:t>被保险人酒</w:t>
      </w:r>
      <w:r>
        <w:rPr>
          <w:w w:val="99"/>
          <w:position w:val="1"/>
          <w:sz w:val="21"/>
        </w:rPr>
        <w:t>后</w:t>
      </w:r>
      <w:r>
        <w:rPr>
          <w:spacing w:val="-476"/>
          <w:w w:val="99"/>
          <w:position w:val="1"/>
          <w:sz w:val="21"/>
        </w:rPr>
        <w:t>驾</w:t>
      </w:r>
      <w:r>
        <w:rPr>
          <w:w w:val="99"/>
          <w:sz w:val="21"/>
        </w:rPr>
        <w:t>后</w:t>
      </w:r>
      <w:r>
        <w:rPr>
          <w:spacing w:val="-471"/>
          <w:w w:val="99"/>
          <w:sz w:val="21"/>
        </w:rPr>
        <w:t>驾</w:t>
      </w:r>
      <w:r>
        <w:rPr>
          <w:w w:val="99"/>
          <w:sz w:val="21"/>
        </w:rPr>
        <w:t>后</w:t>
      </w:r>
      <w:r>
        <w:rPr>
          <w:spacing w:val="-474"/>
          <w:w w:val="99"/>
          <w:sz w:val="21"/>
        </w:rPr>
        <w:t>驾</w:t>
      </w:r>
      <w:r>
        <w:rPr>
          <w:spacing w:val="-31"/>
          <w:w w:val="99"/>
          <w:sz w:val="21"/>
        </w:rPr>
        <w:t>后驾</w:t>
      </w:r>
      <w:r>
        <w:rPr>
          <w:spacing w:val="-267"/>
          <w:w w:val="99"/>
          <w:position w:val="1"/>
          <w:sz w:val="21"/>
        </w:rPr>
        <w:t>驶</w:t>
      </w:r>
      <w:r>
        <w:rPr>
          <w:spacing w:val="-264"/>
          <w:w w:val="99"/>
          <w:sz w:val="21"/>
        </w:rPr>
        <w:t>驶驶</w:t>
      </w:r>
      <w:r>
        <w:rPr>
          <w:spacing w:val="-48"/>
          <w:w w:val="99"/>
          <w:sz w:val="21"/>
        </w:rPr>
        <w:t>驶</w:t>
      </w:r>
      <w:r>
        <w:rPr>
          <w:spacing w:val="1"/>
          <w:w w:val="99"/>
          <w:sz w:val="21"/>
        </w:rPr>
        <w:t>（</w:t>
      </w:r>
      <w:r>
        <w:rPr>
          <w:spacing w:val="-1"/>
          <w:w w:val="99"/>
          <w:sz w:val="21"/>
        </w:rPr>
        <w:t>见释义</w:t>
      </w:r>
      <w:r>
        <w:rPr>
          <w:w w:val="93"/>
          <w:sz w:val="21"/>
        </w:rPr>
        <w:t>12</w:t>
      </w:r>
      <w:r>
        <w:rPr>
          <w:spacing w:val="-1"/>
          <w:w w:val="43"/>
          <w:sz w:val="21"/>
        </w:rPr>
        <w:t>.</w:t>
      </w:r>
      <w:r>
        <w:rPr>
          <w:spacing w:val="1"/>
          <w:w w:val="93"/>
          <w:sz w:val="21"/>
        </w:rPr>
        <w:t>6</w:t>
      </w:r>
      <w:r>
        <w:rPr>
          <w:spacing w:val="1"/>
          <w:w w:val="99"/>
          <w:sz w:val="21"/>
        </w:rPr>
        <w:t>）</w:t>
      </w:r>
      <w:r>
        <w:rPr>
          <w:spacing w:val="-209"/>
          <w:w w:val="99"/>
          <w:position w:val="1"/>
          <w:sz w:val="21"/>
        </w:rPr>
        <w:t>、</w:t>
      </w:r>
      <w:r>
        <w:rPr>
          <w:spacing w:val="-206"/>
          <w:w w:val="99"/>
          <w:sz w:val="21"/>
        </w:rPr>
        <w:t>、、</w:t>
      </w:r>
      <w:r>
        <w:rPr>
          <w:spacing w:val="-21"/>
          <w:w w:val="99"/>
          <w:sz w:val="21"/>
        </w:rPr>
        <w:t>、</w:t>
      </w:r>
      <w:r>
        <w:rPr>
          <w:spacing w:val="-267"/>
          <w:w w:val="99"/>
          <w:position w:val="1"/>
          <w:sz w:val="21"/>
        </w:rPr>
        <w:t>无</w:t>
      </w:r>
      <w:r>
        <w:rPr>
          <w:spacing w:val="-264"/>
          <w:w w:val="99"/>
          <w:sz w:val="21"/>
        </w:rPr>
        <w:t>无无</w:t>
      </w:r>
      <w:r>
        <w:rPr>
          <w:spacing w:val="-62"/>
          <w:w w:val="99"/>
          <w:sz w:val="21"/>
        </w:rPr>
        <w:t>无</w:t>
      </w:r>
      <w:r>
        <w:rPr>
          <w:w w:val="99"/>
          <w:position w:val="1"/>
          <w:sz w:val="21"/>
        </w:rPr>
        <w:t>合</w:t>
      </w:r>
      <w:r>
        <w:rPr>
          <w:spacing w:val="-476"/>
          <w:w w:val="99"/>
          <w:position w:val="1"/>
          <w:sz w:val="21"/>
        </w:rPr>
        <w:t>法</w:t>
      </w:r>
      <w:r>
        <w:rPr>
          <w:w w:val="99"/>
          <w:sz w:val="21"/>
        </w:rPr>
        <w:t>合</w:t>
      </w:r>
      <w:r>
        <w:rPr>
          <w:spacing w:val="-471"/>
          <w:w w:val="99"/>
          <w:sz w:val="21"/>
        </w:rPr>
        <w:t>法</w:t>
      </w:r>
      <w:r>
        <w:rPr>
          <w:w w:val="99"/>
          <w:sz w:val="21"/>
        </w:rPr>
        <w:t>合</w:t>
      </w:r>
      <w:r>
        <w:rPr>
          <w:spacing w:val="-474"/>
          <w:w w:val="99"/>
          <w:sz w:val="21"/>
        </w:rPr>
        <w:t>法</w:t>
      </w:r>
      <w:r>
        <w:rPr>
          <w:spacing w:val="-31"/>
          <w:w w:val="99"/>
          <w:sz w:val="21"/>
        </w:rPr>
        <w:t>合法</w:t>
      </w:r>
      <w:r>
        <w:rPr>
          <w:w w:val="99"/>
          <w:position w:val="1"/>
          <w:sz w:val="21"/>
        </w:rPr>
        <w:t>有</w:t>
      </w:r>
      <w:r>
        <w:rPr>
          <w:spacing w:val="-476"/>
          <w:w w:val="99"/>
          <w:position w:val="1"/>
          <w:sz w:val="21"/>
        </w:rPr>
        <w:t>效</w:t>
      </w:r>
      <w:r>
        <w:rPr>
          <w:w w:val="99"/>
          <w:sz w:val="21"/>
        </w:rPr>
        <w:t>有</w:t>
      </w:r>
      <w:r>
        <w:rPr>
          <w:spacing w:val="-471"/>
          <w:w w:val="99"/>
          <w:sz w:val="21"/>
        </w:rPr>
        <w:t>效</w:t>
      </w:r>
      <w:r>
        <w:rPr>
          <w:w w:val="99"/>
          <w:sz w:val="21"/>
        </w:rPr>
        <w:t>有</w:t>
      </w:r>
      <w:r>
        <w:rPr>
          <w:spacing w:val="-474"/>
          <w:w w:val="99"/>
          <w:sz w:val="21"/>
        </w:rPr>
        <w:t>效</w:t>
      </w:r>
      <w:r>
        <w:rPr>
          <w:spacing w:val="-31"/>
          <w:w w:val="99"/>
          <w:sz w:val="21"/>
        </w:rPr>
        <w:t>有效</w:t>
      </w:r>
      <w:r>
        <w:rPr>
          <w:w w:val="99"/>
          <w:position w:val="1"/>
          <w:sz w:val="21"/>
        </w:rPr>
        <w:t>驾</w:t>
      </w:r>
      <w:r>
        <w:rPr>
          <w:spacing w:val="-476"/>
          <w:w w:val="99"/>
          <w:position w:val="1"/>
          <w:sz w:val="21"/>
        </w:rPr>
        <w:t>驶</w:t>
      </w:r>
      <w:r>
        <w:rPr>
          <w:w w:val="99"/>
          <w:sz w:val="21"/>
        </w:rPr>
        <w:t>驾</w:t>
      </w:r>
      <w:r>
        <w:rPr>
          <w:spacing w:val="-471"/>
          <w:w w:val="99"/>
          <w:sz w:val="21"/>
        </w:rPr>
        <w:t>驶</w:t>
      </w:r>
      <w:r>
        <w:rPr>
          <w:w w:val="99"/>
          <w:sz w:val="21"/>
        </w:rPr>
        <w:t>驾</w:t>
      </w:r>
      <w:r>
        <w:rPr>
          <w:spacing w:val="-474"/>
          <w:w w:val="99"/>
          <w:sz w:val="21"/>
        </w:rPr>
        <w:t>驶</w:t>
      </w:r>
      <w:r>
        <w:rPr>
          <w:spacing w:val="-31"/>
          <w:w w:val="99"/>
          <w:sz w:val="21"/>
        </w:rPr>
        <w:t>驾驶</w:t>
      </w:r>
      <w:r>
        <w:rPr>
          <w:w w:val="99"/>
          <w:position w:val="1"/>
          <w:sz w:val="21"/>
        </w:rPr>
        <w:t>证</w:t>
      </w:r>
      <w:r>
        <w:rPr>
          <w:spacing w:val="-476"/>
          <w:w w:val="99"/>
          <w:position w:val="1"/>
          <w:sz w:val="21"/>
        </w:rPr>
        <w:t>驾</w:t>
      </w:r>
      <w:r>
        <w:rPr>
          <w:w w:val="99"/>
          <w:sz w:val="21"/>
        </w:rPr>
        <w:t>证</w:t>
      </w:r>
      <w:r>
        <w:rPr>
          <w:spacing w:val="-471"/>
          <w:w w:val="99"/>
          <w:sz w:val="21"/>
        </w:rPr>
        <w:t>驾</w:t>
      </w:r>
      <w:r>
        <w:rPr>
          <w:w w:val="99"/>
          <w:sz w:val="21"/>
        </w:rPr>
        <w:t>证</w:t>
      </w:r>
      <w:r>
        <w:rPr>
          <w:spacing w:val="-474"/>
          <w:w w:val="99"/>
          <w:sz w:val="21"/>
        </w:rPr>
        <w:t>驾</w:t>
      </w:r>
      <w:r>
        <w:rPr>
          <w:spacing w:val="-31"/>
          <w:w w:val="99"/>
          <w:sz w:val="21"/>
        </w:rPr>
        <w:t>证驾</w:t>
      </w:r>
      <w:r>
        <w:rPr>
          <w:spacing w:val="-267"/>
          <w:w w:val="99"/>
          <w:position w:val="1"/>
          <w:sz w:val="21"/>
        </w:rPr>
        <w:t>驶</w:t>
      </w:r>
      <w:r>
        <w:rPr>
          <w:spacing w:val="-264"/>
          <w:w w:val="99"/>
          <w:sz w:val="21"/>
        </w:rPr>
        <w:t>驶驶</w:t>
      </w:r>
      <w:r>
        <w:rPr>
          <w:spacing w:val="-107"/>
          <w:w w:val="99"/>
          <w:sz w:val="21"/>
        </w:rPr>
        <w:t>驶</w:t>
      </w:r>
      <w:r>
        <w:rPr>
          <w:spacing w:val="-44"/>
          <w:w w:val="99"/>
          <w:sz w:val="21"/>
        </w:rPr>
        <w:t>（</w:t>
      </w:r>
      <w:r>
        <w:rPr>
          <w:w w:val="99"/>
          <w:sz w:val="21"/>
        </w:rPr>
        <w:t>见释义</w:t>
      </w:r>
      <w:r>
        <w:rPr>
          <w:w w:val="93"/>
          <w:sz w:val="21"/>
        </w:rPr>
        <w:t>12</w:t>
      </w:r>
      <w:r>
        <w:rPr>
          <w:spacing w:val="-1"/>
          <w:w w:val="43"/>
          <w:sz w:val="21"/>
        </w:rPr>
        <w:t>.</w:t>
      </w:r>
      <w:r>
        <w:rPr>
          <w:w w:val="93"/>
          <w:sz w:val="21"/>
        </w:rPr>
        <w:t>7</w:t>
      </w:r>
      <w:r>
        <w:rPr>
          <w:w w:val="99"/>
          <w:sz w:val="21"/>
        </w:rPr>
        <w:t>）</w:t>
      </w:r>
      <w:r>
        <w:rPr>
          <w:spacing w:val="-209"/>
          <w:w w:val="99"/>
          <w:position w:val="1"/>
          <w:sz w:val="21"/>
        </w:rPr>
        <w:t>，</w:t>
      </w:r>
      <w:r>
        <w:rPr>
          <w:spacing w:val="-206"/>
          <w:w w:val="99"/>
          <w:sz w:val="21"/>
        </w:rPr>
        <w:t>，，</w:t>
      </w:r>
      <w:r>
        <w:rPr>
          <w:spacing w:val="-4"/>
          <w:w w:val="99"/>
          <w:sz w:val="21"/>
        </w:rPr>
        <w:t>，</w:t>
      </w:r>
      <w:r>
        <w:rPr>
          <w:w w:val="99"/>
          <w:position w:val="1"/>
          <w:sz w:val="21"/>
        </w:rPr>
        <w:t>及</w:t>
      </w:r>
      <w:r>
        <w:rPr>
          <w:spacing w:val="-418"/>
          <w:w w:val="99"/>
          <w:position w:val="1"/>
          <w:sz w:val="21"/>
        </w:rPr>
        <w:t>驾</w:t>
      </w:r>
      <w:r>
        <w:rPr>
          <w:w w:val="99"/>
          <w:sz w:val="21"/>
        </w:rPr>
        <w:t>及</w:t>
      </w:r>
      <w:r>
        <w:rPr>
          <w:spacing w:val="-414"/>
          <w:w w:val="99"/>
          <w:sz w:val="21"/>
        </w:rPr>
        <w:t>驾</w:t>
      </w:r>
      <w:r>
        <w:rPr>
          <w:w w:val="99"/>
          <w:sz w:val="21"/>
        </w:rPr>
        <w:t>及</w:t>
      </w:r>
      <w:r>
        <w:rPr>
          <w:spacing w:val="-416"/>
          <w:w w:val="99"/>
          <w:sz w:val="21"/>
        </w:rPr>
        <w:t>驾</w:t>
      </w:r>
      <w:r>
        <w:rPr>
          <w:spacing w:val="-2"/>
          <w:w w:val="99"/>
          <w:sz w:val="21"/>
        </w:rPr>
        <w:t>及驾</w:t>
      </w:r>
      <w:r>
        <w:rPr>
          <w:spacing w:val="-209"/>
          <w:w w:val="99"/>
          <w:position w:val="1"/>
          <w:sz w:val="21"/>
        </w:rPr>
        <w:t>驶</w:t>
      </w:r>
      <w:r>
        <w:rPr>
          <w:spacing w:val="-206"/>
          <w:w w:val="99"/>
          <w:sz w:val="21"/>
        </w:rPr>
        <w:t>驶驶</w:t>
      </w:r>
      <w:r>
        <w:rPr>
          <w:spacing w:val="-16"/>
          <w:w w:val="99"/>
          <w:sz w:val="21"/>
        </w:rPr>
        <w:t>驶</w:t>
      </w:r>
      <w:r>
        <w:rPr>
          <w:spacing w:val="-267"/>
          <w:w w:val="99"/>
          <w:position w:val="1"/>
          <w:sz w:val="21"/>
        </w:rPr>
        <w:t>无</w:t>
      </w:r>
      <w:r>
        <w:rPr>
          <w:spacing w:val="-264"/>
          <w:w w:val="99"/>
          <w:sz w:val="21"/>
        </w:rPr>
        <w:t>无无</w:t>
      </w:r>
      <w:r>
        <w:rPr>
          <w:w w:val="99"/>
          <w:sz w:val="21"/>
        </w:rPr>
        <w:t>无</w:t>
      </w:r>
      <w:r>
        <w:rPr>
          <w:rFonts w:ascii="Microsoft JhengHei UI" w:eastAsia="Microsoft JhengHei UI" w:hint="eastAsia"/>
          <w:b/>
          <w:spacing w:val="-48"/>
          <w:w w:val="99"/>
          <w:sz w:val="21"/>
        </w:rPr>
        <w:t>有</w:t>
      </w:r>
      <w:r>
        <w:rPr>
          <w:w w:val="99"/>
          <w:position w:val="1"/>
          <w:sz w:val="21"/>
        </w:rPr>
        <w:t>效</w:t>
      </w:r>
      <w:r>
        <w:rPr>
          <w:spacing w:val="-476"/>
          <w:w w:val="99"/>
          <w:position w:val="1"/>
          <w:sz w:val="21"/>
        </w:rPr>
        <w:t>行</w:t>
      </w:r>
      <w:r>
        <w:rPr>
          <w:w w:val="99"/>
          <w:sz w:val="21"/>
        </w:rPr>
        <w:t>效</w:t>
      </w:r>
      <w:r>
        <w:rPr>
          <w:spacing w:val="-471"/>
          <w:w w:val="99"/>
          <w:sz w:val="21"/>
        </w:rPr>
        <w:t>行</w:t>
      </w:r>
      <w:r>
        <w:rPr>
          <w:w w:val="99"/>
          <w:sz w:val="21"/>
        </w:rPr>
        <w:t>效</w:t>
      </w:r>
      <w:r>
        <w:rPr>
          <w:spacing w:val="-474"/>
          <w:w w:val="99"/>
          <w:sz w:val="21"/>
        </w:rPr>
        <w:t>行</w:t>
      </w:r>
      <w:r>
        <w:rPr>
          <w:spacing w:val="-31"/>
          <w:w w:val="99"/>
          <w:sz w:val="21"/>
        </w:rPr>
        <w:t>效行</w:t>
      </w:r>
      <w:r>
        <w:rPr>
          <w:w w:val="99"/>
          <w:position w:val="1"/>
          <w:sz w:val="21"/>
        </w:rPr>
        <w:t>驶</w:t>
      </w:r>
      <w:r>
        <w:rPr>
          <w:spacing w:val="-476"/>
          <w:w w:val="99"/>
          <w:position w:val="1"/>
          <w:sz w:val="21"/>
        </w:rPr>
        <w:t>证</w:t>
      </w:r>
      <w:r>
        <w:rPr>
          <w:w w:val="99"/>
          <w:sz w:val="21"/>
        </w:rPr>
        <w:t>驶</w:t>
      </w:r>
      <w:r>
        <w:rPr>
          <w:spacing w:val="-471"/>
          <w:w w:val="99"/>
          <w:sz w:val="21"/>
        </w:rPr>
        <w:t>证</w:t>
      </w:r>
      <w:r>
        <w:rPr>
          <w:w w:val="99"/>
          <w:sz w:val="21"/>
        </w:rPr>
        <w:t>驶</w:t>
      </w:r>
      <w:r>
        <w:rPr>
          <w:spacing w:val="-474"/>
          <w:w w:val="99"/>
          <w:sz w:val="21"/>
        </w:rPr>
        <w:t>证</w:t>
      </w:r>
      <w:r>
        <w:rPr>
          <w:spacing w:val="-23"/>
          <w:w w:val="99"/>
          <w:sz w:val="21"/>
        </w:rPr>
        <w:t>驶证</w:t>
      </w:r>
      <w:r>
        <w:rPr>
          <w:spacing w:val="1"/>
          <w:w w:val="99"/>
          <w:sz w:val="21"/>
        </w:rPr>
        <w:t>（</w:t>
      </w:r>
      <w:r>
        <w:rPr>
          <w:spacing w:val="-1"/>
          <w:w w:val="99"/>
          <w:sz w:val="21"/>
        </w:rPr>
        <w:t>见释义</w:t>
      </w:r>
      <w:r>
        <w:rPr>
          <w:w w:val="93"/>
          <w:sz w:val="21"/>
        </w:rPr>
        <w:t>12</w:t>
      </w:r>
      <w:r>
        <w:rPr>
          <w:spacing w:val="-1"/>
          <w:w w:val="43"/>
          <w:sz w:val="21"/>
        </w:rPr>
        <w:t>.</w:t>
      </w:r>
      <w:r>
        <w:rPr>
          <w:w w:val="93"/>
          <w:sz w:val="21"/>
        </w:rPr>
        <w:t>8</w:t>
      </w:r>
      <w:r>
        <w:rPr>
          <w:spacing w:val="1"/>
          <w:w w:val="99"/>
          <w:sz w:val="21"/>
        </w:rPr>
        <w:t>）</w:t>
      </w:r>
      <w:r>
        <w:rPr>
          <w:spacing w:val="-209"/>
          <w:w w:val="99"/>
          <w:position w:val="1"/>
          <w:sz w:val="21"/>
        </w:rPr>
        <w:t>的</w:t>
      </w:r>
      <w:r>
        <w:rPr>
          <w:spacing w:val="-206"/>
          <w:w w:val="99"/>
          <w:sz w:val="21"/>
        </w:rPr>
        <w:t>的的</w:t>
      </w:r>
      <w:r>
        <w:rPr>
          <w:spacing w:val="-4"/>
          <w:w w:val="99"/>
          <w:sz w:val="21"/>
        </w:rPr>
        <w:t>的</w:t>
      </w:r>
      <w:r>
        <w:rPr>
          <w:w w:val="99"/>
          <w:position w:val="1"/>
          <w:sz w:val="21"/>
        </w:rPr>
        <w:t>机</w:t>
      </w:r>
      <w:r>
        <w:rPr>
          <w:spacing w:val="-418"/>
          <w:w w:val="99"/>
          <w:position w:val="1"/>
          <w:sz w:val="21"/>
        </w:rPr>
        <w:t>动</w:t>
      </w:r>
      <w:r>
        <w:rPr>
          <w:w w:val="99"/>
          <w:sz w:val="21"/>
        </w:rPr>
        <w:t>机</w:t>
      </w:r>
      <w:r>
        <w:rPr>
          <w:spacing w:val="-414"/>
          <w:w w:val="99"/>
          <w:sz w:val="21"/>
        </w:rPr>
        <w:t>动</w:t>
      </w:r>
      <w:r>
        <w:rPr>
          <w:w w:val="99"/>
          <w:sz w:val="21"/>
        </w:rPr>
        <w:t>机</w:t>
      </w:r>
      <w:r>
        <w:rPr>
          <w:spacing w:val="-416"/>
          <w:w w:val="99"/>
          <w:sz w:val="21"/>
        </w:rPr>
        <w:t>动</w:t>
      </w:r>
      <w:r>
        <w:rPr>
          <w:spacing w:val="-2"/>
          <w:w w:val="99"/>
          <w:sz w:val="21"/>
        </w:rPr>
        <w:t>机动</w:t>
      </w:r>
      <w:r>
        <w:rPr>
          <w:spacing w:val="-105"/>
          <w:w w:val="95"/>
          <w:position w:val="1"/>
          <w:sz w:val="21"/>
        </w:rPr>
        <w:t>车；</w:t>
      </w:r>
      <w:r>
        <w:rPr>
          <w:spacing w:val="-70"/>
          <w:w w:val="95"/>
          <w:sz w:val="21"/>
        </w:rPr>
        <w:t>车；车；车；</w:t>
      </w:r>
    </w:p>
    <w:p>
      <w:pPr>
        <w:pStyle w:val="ListParagraph"/>
        <w:numPr>
          <w:ilvl w:val="0"/>
          <w:numId w:val="8"/>
        </w:numPr>
        <w:tabs>
          <w:tab w:pos="546" w:val="left" w:leader="none"/>
          <w:tab w:pos="547" w:val="left" w:leader="none"/>
        </w:tabs>
        <w:spacing w:line="240" w:lineRule="auto" w:before="28" w:after="0"/>
        <w:ind w:left="518" w:right="0" w:hanging="392"/>
        <w:jc w:val="left"/>
        <w:rPr>
          <w:sz w:val="21"/>
        </w:rPr>
      </w:pPr>
      <w:r>
        <w:rPr>
          <w:rFonts w:ascii="Microsoft JhengHei UI" w:eastAsia="Microsoft JhengHei UI" w:hint="eastAsia"/>
          <w:b/>
          <w:spacing w:val="-16"/>
          <w:w w:val="99"/>
          <w:sz w:val="21"/>
        </w:rPr>
        <w:t>被保险人感</w:t>
      </w:r>
      <w:r>
        <w:rPr>
          <w:w w:val="99"/>
          <w:position w:val="1"/>
          <w:sz w:val="21"/>
        </w:rPr>
        <w:t>染</w:t>
      </w:r>
      <w:r>
        <w:rPr>
          <w:spacing w:val="-476"/>
          <w:w w:val="99"/>
          <w:position w:val="1"/>
          <w:sz w:val="21"/>
        </w:rPr>
        <w:t>艾</w:t>
      </w:r>
      <w:r>
        <w:rPr>
          <w:w w:val="99"/>
          <w:sz w:val="21"/>
        </w:rPr>
        <w:t>染</w:t>
      </w:r>
      <w:r>
        <w:rPr>
          <w:spacing w:val="-471"/>
          <w:w w:val="99"/>
          <w:sz w:val="21"/>
        </w:rPr>
        <w:t>艾</w:t>
      </w:r>
      <w:r>
        <w:rPr>
          <w:w w:val="99"/>
          <w:sz w:val="21"/>
        </w:rPr>
        <w:t>染</w:t>
      </w:r>
      <w:r>
        <w:rPr>
          <w:spacing w:val="-474"/>
          <w:w w:val="99"/>
          <w:sz w:val="21"/>
        </w:rPr>
        <w:t>艾</w:t>
      </w:r>
      <w:r>
        <w:rPr>
          <w:spacing w:val="-31"/>
          <w:w w:val="99"/>
          <w:sz w:val="21"/>
        </w:rPr>
        <w:t>染艾</w:t>
      </w:r>
      <w:r>
        <w:rPr>
          <w:w w:val="99"/>
          <w:position w:val="1"/>
          <w:sz w:val="21"/>
        </w:rPr>
        <w:t>滋</w:t>
      </w:r>
      <w:r>
        <w:rPr>
          <w:spacing w:val="-476"/>
          <w:w w:val="99"/>
          <w:position w:val="1"/>
          <w:sz w:val="21"/>
        </w:rPr>
        <w:t>病</w:t>
      </w:r>
      <w:r>
        <w:rPr>
          <w:w w:val="99"/>
          <w:sz w:val="21"/>
        </w:rPr>
        <w:t>滋</w:t>
      </w:r>
      <w:r>
        <w:rPr>
          <w:spacing w:val="-471"/>
          <w:w w:val="99"/>
          <w:sz w:val="21"/>
        </w:rPr>
        <w:t>病</w:t>
      </w:r>
      <w:r>
        <w:rPr>
          <w:w w:val="99"/>
          <w:sz w:val="21"/>
        </w:rPr>
        <w:t>滋</w:t>
      </w:r>
      <w:r>
        <w:rPr>
          <w:spacing w:val="-474"/>
          <w:w w:val="99"/>
          <w:sz w:val="21"/>
        </w:rPr>
        <w:t>病</w:t>
      </w:r>
      <w:r>
        <w:rPr>
          <w:spacing w:val="-31"/>
          <w:w w:val="99"/>
          <w:sz w:val="21"/>
        </w:rPr>
        <w:t>滋病</w:t>
      </w:r>
      <w:r>
        <w:rPr>
          <w:w w:val="99"/>
          <w:position w:val="1"/>
          <w:sz w:val="21"/>
        </w:rPr>
        <w:t>病</w:t>
      </w:r>
      <w:r>
        <w:rPr>
          <w:spacing w:val="-476"/>
          <w:w w:val="99"/>
          <w:position w:val="1"/>
          <w:sz w:val="21"/>
        </w:rPr>
        <w:t>毒</w:t>
      </w:r>
      <w:r>
        <w:rPr>
          <w:w w:val="99"/>
          <w:sz w:val="21"/>
        </w:rPr>
        <w:t>病</w:t>
      </w:r>
      <w:r>
        <w:rPr>
          <w:spacing w:val="-471"/>
          <w:w w:val="99"/>
          <w:sz w:val="21"/>
        </w:rPr>
        <w:t>毒</w:t>
      </w:r>
      <w:r>
        <w:rPr>
          <w:w w:val="99"/>
          <w:sz w:val="21"/>
        </w:rPr>
        <w:t>病</w:t>
      </w:r>
      <w:r>
        <w:rPr>
          <w:spacing w:val="-474"/>
          <w:w w:val="99"/>
          <w:sz w:val="21"/>
        </w:rPr>
        <w:t>毒</w:t>
      </w:r>
      <w:r>
        <w:rPr>
          <w:spacing w:val="-31"/>
          <w:w w:val="99"/>
          <w:sz w:val="21"/>
        </w:rPr>
        <w:t>病毒</w:t>
      </w:r>
      <w:r>
        <w:rPr>
          <w:w w:val="99"/>
          <w:position w:val="1"/>
          <w:sz w:val="21"/>
        </w:rPr>
        <w:t>或</w:t>
      </w:r>
      <w:r>
        <w:rPr>
          <w:spacing w:val="-476"/>
          <w:w w:val="99"/>
          <w:position w:val="1"/>
          <w:sz w:val="21"/>
        </w:rPr>
        <w:t>患</w:t>
      </w:r>
      <w:r>
        <w:rPr>
          <w:w w:val="99"/>
          <w:sz w:val="21"/>
        </w:rPr>
        <w:t>或</w:t>
      </w:r>
      <w:r>
        <w:rPr>
          <w:spacing w:val="-471"/>
          <w:w w:val="99"/>
          <w:sz w:val="21"/>
        </w:rPr>
        <w:t>患</w:t>
      </w:r>
      <w:r>
        <w:rPr>
          <w:w w:val="99"/>
          <w:sz w:val="21"/>
        </w:rPr>
        <w:t>或</w:t>
      </w:r>
      <w:r>
        <w:rPr>
          <w:spacing w:val="-474"/>
          <w:w w:val="99"/>
          <w:sz w:val="21"/>
        </w:rPr>
        <w:t>患</w:t>
      </w:r>
      <w:r>
        <w:rPr>
          <w:spacing w:val="-31"/>
          <w:w w:val="99"/>
          <w:sz w:val="21"/>
        </w:rPr>
        <w:t>或患</w:t>
      </w:r>
      <w:r>
        <w:rPr>
          <w:w w:val="99"/>
          <w:position w:val="1"/>
          <w:sz w:val="21"/>
        </w:rPr>
        <w:t>艾</w:t>
      </w:r>
      <w:r>
        <w:rPr>
          <w:spacing w:val="-476"/>
          <w:w w:val="99"/>
          <w:position w:val="1"/>
          <w:sz w:val="21"/>
        </w:rPr>
        <w:t>滋</w:t>
      </w:r>
      <w:r>
        <w:rPr>
          <w:w w:val="99"/>
          <w:sz w:val="21"/>
        </w:rPr>
        <w:t>艾</w:t>
      </w:r>
      <w:r>
        <w:rPr>
          <w:spacing w:val="-471"/>
          <w:w w:val="99"/>
          <w:sz w:val="21"/>
        </w:rPr>
        <w:t>滋</w:t>
      </w:r>
      <w:r>
        <w:rPr>
          <w:w w:val="99"/>
          <w:sz w:val="21"/>
        </w:rPr>
        <w:t>艾</w:t>
      </w:r>
      <w:r>
        <w:rPr>
          <w:spacing w:val="-474"/>
          <w:w w:val="99"/>
          <w:sz w:val="21"/>
        </w:rPr>
        <w:t>滋</w:t>
      </w:r>
      <w:r>
        <w:rPr>
          <w:spacing w:val="-31"/>
          <w:w w:val="99"/>
          <w:sz w:val="21"/>
        </w:rPr>
        <w:t>艾滋</w:t>
      </w:r>
      <w:r>
        <w:rPr>
          <w:spacing w:val="-267"/>
          <w:w w:val="99"/>
          <w:position w:val="1"/>
          <w:sz w:val="21"/>
        </w:rPr>
        <w:t>病</w:t>
      </w:r>
      <w:r>
        <w:rPr>
          <w:spacing w:val="-264"/>
          <w:w w:val="99"/>
          <w:sz w:val="21"/>
        </w:rPr>
        <w:t>病病</w:t>
      </w:r>
      <w:r>
        <w:rPr>
          <w:spacing w:val="-41"/>
          <w:w w:val="99"/>
          <w:sz w:val="21"/>
        </w:rPr>
        <w:t>病</w:t>
      </w:r>
      <w:r>
        <w:rPr>
          <w:spacing w:val="1"/>
          <w:w w:val="99"/>
          <w:sz w:val="21"/>
        </w:rPr>
        <w:t>（</w:t>
      </w:r>
      <w:r>
        <w:rPr>
          <w:spacing w:val="-1"/>
          <w:w w:val="99"/>
          <w:sz w:val="21"/>
        </w:rPr>
        <w:t>见释义</w:t>
      </w:r>
      <w:r>
        <w:rPr>
          <w:w w:val="93"/>
          <w:sz w:val="21"/>
        </w:rPr>
        <w:t>12</w:t>
      </w:r>
      <w:r>
        <w:rPr>
          <w:spacing w:val="-1"/>
          <w:w w:val="43"/>
          <w:sz w:val="21"/>
        </w:rPr>
        <w:t>.</w:t>
      </w:r>
      <w:r>
        <w:rPr>
          <w:spacing w:val="1"/>
          <w:w w:val="93"/>
          <w:sz w:val="21"/>
        </w:rPr>
        <w:t>9</w:t>
      </w:r>
      <w:r>
        <w:rPr>
          <w:w w:val="99"/>
          <w:sz w:val="21"/>
        </w:rPr>
        <w:t>）</w:t>
      </w:r>
      <w:r>
        <w:rPr>
          <w:spacing w:val="-209"/>
          <w:w w:val="99"/>
          <w:position w:val="1"/>
          <w:sz w:val="21"/>
        </w:rPr>
        <w:t>；</w:t>
      </w:r>
      <w:r>
        <w:rPr>
          <w:spacing w:val="-206"/>
          <w:w w:val="99"/>
          <w:sz w:val="21"/>
        </w:rPr>
        <w:t>；；</w:t>
      </w:r>
      <w:r>
        <w:rPr>
          <w:w w:val="99"/>
          <w:sz w:val="21"/>
        </w:rPr>
        <w:t>；</w:t>
      </w:r>
    </w:p>
    <w:p>
      <w:pPr>
        <w:pStyle w:val="Heading2"/>
        <w:numPr>
          <w:ilvl w:val="0"/>
          <w:numId w:val="8"/>
        </w:numPr>
        <w:tabs>
          <w:tab w:pos="546" w:val="left" w:leader="none"/>
          <w:tab w:pos="547" w:val="left" w:leader="none"/>
        </w:tabs>
        <w:spacing w:line="240" w:lineRule="auto" w:before="119" w:after="0"/>
        <w:ind w:left="518" w:right="0" w:hanging="392"/>
        <w:jc w:val="left"/>
      </w:pPr>
      <w:r>
        <w:rPr>
          <w:w w:val="95"/>
        </w:rPr>
        <w:t>战争、军事冲突、暴乱或武装叛乱；</w:t>
      </w:r>
    </w:p>
    <w:p>
      <w:pPr>
        <w:pStyle w:val="ListParagraph"/>
        <w:numPr>
          <w:ilvl w:val="0"/>
          <w:numId w:val="8"/>
        </w:numPr>
        <w:tabs>
          <w:tab w:pos="546" w:val="left" w:leader="none"/>
          <w:tab w:pos="547" w:val="left" w:leader="none"/>
        </w:tabs>
        <w:spacing w:line="240" w:lineRule="auto" w:before="119" w:after="0"/>
        <w:ind w:left="518" w:right="0" w:hanging="392"/>
        <w:jc w:val="left"/>
        <w:rPr>
          <w:rFonts w:ascii="Microsoft JhengHei UI" w:eastAsia="Microsoft JhengHei UI" w:hint="eastAsia"/>
          <w:b/>
          <w:sz w:val="21"/>
        </w:rPr>
      </w:pPr>
      <w:r>
        <w:rPr>
          <w:rFonts w:ascii="Microsoft JhengHei UI" w:eastAsia="Microsoft JhengHei UI" w:hint="eastAsia"/>
          <w:b/>
          <w:w w:val="95"/>
          <w:sz w:val="21"/>
        </w:rPr>
        <w:t>核爆炸、核辐射或核污染；</w:t>
      </w:r>
    </w:p>
    <w:p>
      <w:pPr>
        <w:pStyle w:val="BodyText"/>
        <w:spacing w:before="2"/>
        <w:rPr>
          <w:rFonts w:ascii="Microsoft JhengHei UI"/>
          <w:b/>
          <w:sz w:val="6"/>
        </w:rPr>
      </w:pPr>
    </w:p>
    <w:p>
      <w:pPr>
        <w:pStyle w:val="ListParagraph"/>
        <w:numPr>
          <w:ilvl w:val="0"/>
          <w:numId w:val="8"/>
        </w:numPr>
        <w:tabs>
          <w:tab w:pos="518" w:val="left" w:leader="none"/>
          <w:tab w:pos="519" w:val="left" w:leader="none"/>
        </w:tabs>
        <w:spacing w:line="240" w:lineRule="auto" w:before="17" w:after="0"/>
        <w:ind w:left="518" w:right="0" w:hanging="392"/>
        <w:jc w:val="left"/>
        <w:rPr>
          <w:sz w:val="21"/>
        </w:rPr>
      </w:pPr>
      <w:r>
        <w:rPr>
          <w:rFonts w:ascii="Microsoft JhengHei UI" w:eastAsia="Microsoft JhengHei UI" w:hint="eastAsia"/>
          <w:b/>
          <w:spacing w:val="-48"/>
          <w:w w:val="99"/>
          <w:sz w:val="21"/>
        </w:rPr>
        <w:t>遗</w:t>
      </w:r>
      <w:r>
        <w:rPr>
          <w:w w:val="99"/>
          <w:position w:val="1"/>
          <w:sz w:val="21"/>
        </w:rPr>
        <w:t>传</w:t>
      </w:r>
      <w:r>
        <w:rPr>
          <w:spacing w:val="-476"/>
          <w:w w:val="99"/>
          <w:position w:val="1"/>
          <w:sz w:val="21"/>
        </w:rPr>
        <w:t>性</w:t>
      </w:r>
      <w:r>
        <w:rPr>
          <w:w w:val="99"/>
          <w:sz w:val="21"/>
        </w:rPr>
        <w:t>传</w:t>
      </w:r>
      <w:r>
        <w:rPr>
          <w:spacing w:val="-471"/>
          <w:w w:val="99"/>
          <w:sz w:val="21"/>
        </w:rPr>
        <w:t>性</w:t>
      </w:r>
      <w:r>
        <w:rPr>
          <w:w w:val="99"/>
          <w:sz w:val="21"/>
        </w:rPr>
        <w:t>传</w:t>
      </w:r>
      <w:r>
        <w:rPr>
          <w:spacing w:val="-474"/>
          <w:w w:val="99"/>
          <w:sz w:val="21"/>
        </w:rPr>
        <w:t>性</w:t>
      </w:r>
      <w:r>
        <w:rPr>
          <w:spacing w:val="-31"/>
          <w:w w:val="99"/>
          <w:sz w:val="21"/>
        </w:rPr>
        <w:t>传性</w:t>
      </w:r>
      <w:r>
        <w:rPr>
          <w:w w:val="99"/>
          <w:position w:val="1"/>
          <w:sz w:val="21"/>
        </w:rPr>
        <w:t>疾</w:t>
      </w:r>
      <w:r>
        <w:rPr>
          <w:spacing w:val="-476"/>
          <w:w w:val="99"/>
          <w:position w:val="1"/>
          <w:sz w:val="21"/>
        </w:rPr>
        <w:t>病</w:t>
      </w:r>
      <w:r>
        <w:rPr>
          <w:w w:val="99"/>
          <w:sz w:val="21"/>
        </w:rPr>
        <w:t>疾</w:t>
      </w:r>
      <w:r>
        <w:rPr>
          <w:spacing w:val="-471"/>
          <w:w w:val="99"/>
          <w:sz w:val="21"/>
        </w:rPr>
        <w:t>病</w:t>
      </w:r>
      <w:r>
        <w:rPr>
          <w:w w:val="99"/>
          <w:sz w:val="21"/>
        </w:rPr>
        <w:t>疾</w:t>
      </w:r>
      <w:r>
        <w:rPr>
          <w:spacing w:val="-474"/>
          <w:w w:val="99"/>
          <w:sz w:val="21"/>
        </w:rPr>
        <w:t>病</w:t>
      </w:r>
      <w:r>
        <w:rPr>
          <w:spacing w:val="-23"/>
          <w:w w:val="99"/>
          <w:sz w:val="21"/>
        </w:rPr>
        <w:t>疾病</w:t>
      </w:r>
      <w:r>
        <w:rPr>
          <w:spacing w:val="1"/>
          <w:w w:val="99"/>
          <w:sz w:val="21"/>
        </w:rPr>
        <w:t>（</w:t>
      </w:r>
      <w:r>
        <w:rPr>
          <w:spacing w:val="-1"/>
          <w:w w:val="99"/>
          <w:sz w:val="21"/>
        </w:rPr>
        <w:t>见释义</w:t>
      </w:r>
      <w:r>
        <w:rPr>
          <w:w w:val="93"/>
          <w:sz w:val="21"/>
        </w:rPr>
        <w:t>12</w:t>
      </w:r>
      <w:r>
        <w:rPr>
          <w:spacing w:val="-1"/>
          <w:w w:val="43"/>
          <w:sz w:val="21"/>
        </w:rPr>
        <w:t>.</w:t>
      </w:r>
      <w:r>
        <w:rPr>
          <w:w w:val="93"/>
          <w:sz w:val="21"/>
        </w:rPr>
        <w:t>10</w:t>
      </w:r>
      <w:r>
        <w:rPr>
          <w:spacing w:val="1"/>
          <w:w w:val="99"/>
          <w:sz w:val="21"/>
        </w:rPr>
        <w:t>）</w:t>
      </w:r>
      <w:r>
        <w:rPr>
          <w:spacing w:val="-209"/>
          <w:w w:val="99"/>
          <w:position w:val="1"/>
          <w:sz w:val="21"/>
        </w:rPr>
        <w:t>、</w:t>
      </w:r>
      <w:r>
        <w:rPr>
          <w:spacing w:val="-206"/>
          <w:w w:val="99"/>
          <w:sz w:val="21"/>
        </w:rPr>
        <w:t>、、</w:t>
      </w:r>
      <w:r>
        <w:rPr>
          <w:spacing w:val="-18"/>
          <w:w w:val="99"/>
          <w:sz w:val="21"/>
        </w:rPr>
        <w:t>、</w:t>
      </w:r>
      <w:r>
        <w:rPr>
          <w:spacing w:val="-267"/>
          <w:w w:val="99"/>
          <w:position w:val="1"/>
          <w:sz w:val="21"/>
        </w:rPr>
        <w:t>先</w:t>
      </w:r>
      <w:r>
        <w:rPr>
          <w:spacing w:val="-264"/>
          <w:w w:val="99"/>
          <w:sz w:val="21"/>
        </w:rPr>
        <w:t>先先</w:t>
      </w:r>
      <w:r>
        <w:rPr>
          <w:spacing w:val="-62"/>
          <w:w w:val="99"/>
          <w:sz w:val="21"/>
        </w:rPr>
        <w:t>先</w:t>
      </w:r>
      <w:r>
        <w:rPr>
          <w:w w:val="99"/>
          <w:position w:val="1"/>
          <w:sz w:val="21"/>
        </w:rPr>
        <w:t>天</w:t>
      </w:r>
      <w:r>
        <w:rPr>
          <w:spacing w:val="-476"/>
          <w:w w:val="99"/>
          <w:position w:val="1"/>
          <w:sz w:val="21"/>
        </w:rPr>
        <w:t>性</w:t>
      </w:r>
      <w:r>
        <w:rPr>
          <w:w w:val="99"/>
          <w:sz w:val="21"/>
        </w:rPr>
        <w:t>天</w:t>
      </w:r>
      <w:r>
        <w:rPr>
          <w:spacing w:val="-471"/>
          <w:w w:val="99"/>
          <w:sz w:val="21"/>
        </w:rPr>
        <w:t>性</w:t>
      </w:r>
      <w:r>
        <w:rPr>
          <w:w w:val="99"/>
          <w:sz w:val="21"/>
        </w:rPr>
        <w:t>天</w:t>
      </w:r>
      <w:r>
        <w:rPr>
          <w:spacing w:val="-474"/>
          <w:w w:val="99"/>
          <w:sz w:val="21"/>
        </w:rPr>
        <w:t>性</w:t>
      </w:r>
      <w:r>
        <w:rPr>
          <w:spacing w:val="-31"/>
          <w:w w:val="99"/>
          <w:sz w:val="21"/>
        </w:rPr>
        <w:t>天性</w:t>
      </w:r>
      <w:r>
        <w:rPr>
          <w:w w:val="99"/>
          <w:position w:val="1"/>
          <w:sz w:val="21"/>
        </w:rPr>
        <w:t>畸</w:t>
      </w:r>
      <w:r>
        <w:rPr>
          <w:spacing w:val="-476"/>
          <w:w w:val="99"/>
          <w:position w:val="1"/>
          <w:sz w:val="21"/>
        </w:rPr>
        <w:t>形</w:t>
      </w:r>
      <w:r>
        <w:rPr>
          <w:w w:val="99"/>
          <w:sz w:val="21"/>
        </w:rPr>
        <w:t>畸</w:t>
      </w:r>
      <w:r>
        <w:rPr>
          <w:spacing w:val="-471"/>
          <w:w w:val="99"/>
          <w:sz w:val="21"/>
        </w:rPr>
        <w:t>形</w:t>
      </w:r>
      <w:r>
        <w:rPr>
          <w:w w:val="99"/>
          <w:sz w:val="21"/>
        </w:rPr>
        <w:t>畸</w:t>
      </w:r>
      <w:r>
        <w:rPr>
          <w:spacing w:val="-474"/>
          <w:w w:val="99"/>
          <w:sz w:val="21"/>
        </w:rPr>
        <w:t>形</w:t>
      </w:r>
      <w:r>
        <w:rPr>
          <w:spacing w:val="-31"/>
          <w:w w:val="99"/>
          <w:sz w:val="21"/>
        </w:rPr>
        <w:t>畸形</w:t>
      </w:r>
      <w:r>
        <w:rPr>
          <w:w w:val="99"/>
          <w:position w:val="1"/>
          <w:sz w:val="21"/>
        </w:rPr>
        <w:t>、</w:t>
      </w:r>
      <w:r>
        <w:rPr>
          <w:spacing w:val="-476"/>
          <w:w w:val="99"/>
          <w:position w:val="1"/>
          <w:sz w:val="21"/>
        </w:rPr>
        <w:t>变</w:t>
      </w:r>
      <w:r>
        <w:rPr>
          <w:w w:val="99"/>
          <w:sz w:val="21"/>
        </w:rPr>
        <w:t>、</w:t>
      </w:r>
      <w:r>
        <w:rPr>
          <w:spacing w:val="-471"/>
          <w:w w:val="99"/>
          <w:sz w:val="21"/>
        </w:rPr>
        <w:t>变</w:t>
      </w:r>
      <w:r>
        <w:rPr>
          <w:w w:val="99"/>
          <w:sz w:val="21"/>
        </w:rPr>
        <w:t>、</w:t>
      </w:r>
      <w:r>
        <w:rPr>
          <w:spacing w:val="-474"/>
          <w:w w:val="99"/>
          <w:sz w:val="21"/>
        </w:rPr>
        <w:t>变</w:t>
      </w:r>
      <w:r>
        <w:rPr>
          <w:spacing w:val="-31"/>
          <w:w w:val="99"/>
          <w:sz w:val="21"/>
        </w:rPr>
        <w:t>、变</w:t>
      </w:r>
      <w:r>
        <w:rPr>
          <w:w w:val="99"/>
          <w:position w:val="1"/>
          <w:sz w:val="21"/>
        </w:rPr>
        <w:t>形</w:t>
      </w:r>
      <w:r>
        <w:rPr>
          <w:spacing w:val="-476"/>
          <w:w w:val="99"/>
          <w:position w:val="1"/>
          <w:sz w:val="21"/>
        </w:rPr>
        <w:t>或</w:t>
      </w:r>
      <w:r>
        <w:rPr>
          <w:w w:val="99"/>
          <w:sz w:val="21"/>
        </w:rPr>
        <w:t>形</w:t>
      </w:r>
      <w:r>
        <w:rPr>
          <w:spacing w:val="-471"/>
          <w:w w:val="99"/>
          <w:sz w:val="21"/>
        </w:rPr>
        <w:t>或</w:t>
      </w:r>
      <w:r>
        <w:rPr>
          <w:w w:val="99"/>
          <w:sz w:val="21"/>
        </w:rPr>
        <w:t>形</w:t>
      </w:r>
      <w:r>
        <w:rPr>
          <w:spacing w:val="-474"/>
          <w:w w:val="99"/>
          <w:sz w:val="21"/>
        </w:rPr>
        <w:t>或</w:t>
      </w:r>
      <w:r>
        <w:rPr>
          <w:spacing w:val="-31"/>
          <w:w w:val="99"/>
          <w:sz w:val="21"/>
        </w:rPr>
        <w:t>形或</w:t>
      </w:r>
      <w:r>
        <w:rPr>
          <w:spacing w:val="-89"/>
          <w:w w:val="99"/>
          <w:position w:val="1"/>
          <w:sz w:val="21"/>
        </w:rPr>
        <w:t>染</w:t>
      </w:r>
      <w:r>
        <w:rPr>
          <w:spacing w:val="-476"/>
          <w:w w:val="99"/>
          <w:position w:val="1"/>
          <w:sz w:val="21"/>
        </w:rPr>
        <w:t>色</w:t>
      </w:r>
      <w:r>
        <w:rPr>
          <w:w w:val="99"/>
          <w:sz w:val="21"/>
        </w:rPr>
        <w:t>染</w:t>
      </w:r>
      <w:r>
        <w:rPr>
          <w:spacing w:val="-471"/>
          <w:w w:val="99"/>
          <w:sz w:val="21"/>
        </w:rPr>
        <w:t>色</w:t>
      </w:r>
      <w:r>
        <w:rPr>
          <w:w w:val="99"/>
          <w:sz w:val="21"/>
        </w:rPr>
        <w:t>染</w:t>
      </w:r>
      <w:r>
        <w:rPr>
          <w:spacing w:val="-474"/>
          <w:w w:val="99"/>
          <w:sz w:val="21"/>
        </w:rPr>
        <w:t>色</w:t>
      </w:r>
      <w:r>
        <w:rPr>
          <w:spacing w:val="-31"/>
          <w:w w:val="99"/>
          <w:sz w:val="21"/>
        </w:rPr>
        <w:t>染色</w:t>
      </w:r>
      <w:r>
        <w:rPr>
          <w:w w:val="99"/>
          <w:position w:val="1"/>
          <w:sz w:val="21"/>
        </w:rPr>
        <w:t>体</w:t>
      </w:r>
      <w:r>
        <w:rPr>
          <w:spacing w:val="-476"/>
          <w:w w:val="99"/>
          <w:position w:val="1"/>
          <w:sz w:val="21"/>
        </w:rPr>
        <w:t>异</w:t>
      </w:r>
      <w:r>
        <w:rPr>
          <w:w w:val="99"/>
          <w:sz w:val="21"/>
        </w:rPr>
        <w:t>体</w:t>
      </w:r>
      <w:r>
        <w:rPr>
          <w:spacing w:val="-471"/>
          <w:w w:val="99"/>
          <w:sz w:val="21"/>
        </w:rPr>
        <w:t>异</w:t>
      </w:r>
      <w:r>
        <w:rPr>
          <w:w w:val="99"/>
          <w:sz w:val="21"/>
        </w:rPr>
        <w:t>体</w:t>
      </w:r>
      <w:r>
        <w:rPr>
          <w:spacing w:val="-474"/>
          <w:w w:val="99"/>
          <w:sz w:val="21"/>
        </w:rPr>
        <w:t>异</w:t>
      </w:r>
      <w:r>
        <w:rPr>
          <w:spacing w:val="-31"/>
          <w:w w:val="99"/>
          <w:sz w:val="21"/>
        </w:rPr>
        <w:t>体异</w:t>
      </w:r>
      <w:r>
        <w:rPr>
          <w:spacing w:val="-267"/>
          <w:w w:val="99"/>
          <w:position w:val="1"/>
          <w:sz w:val="21"/>
        </w:rPr>
        <w:t>常</w:t>
      </w:r>
      <w:r>
        <w:rPr>
          <w:spacing w:val="-264"/>
          <w:w w:val="99"/>
          <w:sz w:val="21"/>
        </w:rPr>
        <w:t>常常</w:t>
      </w:r>
      <w:r>
        <w:rPr>
          <w:spacing w:val="-41"/>
          <w:w w:val="99"/>
          <w:sz w:val="21"/>
        </w:rPr>
        <w:t>常</w:t>
      </w:r>
      <w:r>
        <w:rPr>
          <w:spacing w:val="1"/>
          <w:w w:val="99"/>
          <w:sz w:val="21"/>
        </w:rPr>
        <w:t>（</w:t>
      </w:r>
      <w:r>
        <w:rPr>
          <w:spacing w:val="-1"/>
          <w:w w:val="99"/>
          <w:sz w:val="21"/>
        </w:rPr>
        <w:t>见释义</w:t>
      </w:r>
      <w:r>
        <w:rPr>
          <w:w w:val="93"/>
          <w:sz w:val="21"/>
        </w:rPr>
        <w:t>12</w:t>
      </w:r>
      <w:r>
        <w:rPr>
          <w:spacing w:val="-1"/>
          <w:w w:val="43"/>
          <w:sz w:val="21"/>
        </w:rPr>
        <w:t>.</w:t>
      </w:r>
      <w:r>
        <w:rPr>
          <w:w w:val="93"/>
          <w:sz w:val="21"/>
        </w:rPr>
        <w:t>1</w:t>
      </w:r>
      <w:r>
        <w:rPr>
          <w:spacing w:val="1"/>
          <w:w w:val="93"/>
          <w:sz w:val="21"/>
        </w:rPr>
        <w:t>1</w:t>
      </w:r>
      <w:r>
        <w:rPr>
          <w:w w:val="99"/>
          <w:sz w:val="21"/>
        </w:rPr>
        <w:t>）</w:t>
      </w:r>
      <w:r>
        <w:rPr>
          <w:spacing w:val="-209"/>
          <w:w w:val="99"/>
          <w:position w:val="1"/>
          <w:sz w:val="21"/>
        </w:rPr>
        <w:t>。</w:t>
      </w:r>
      <w:r>
        <w:rPr>
          <w:spacing w:val="-206"/>
          <w:w w:val="99"/>
          <w:sz w:val="21"/>
        </w:rPr>
        <w:t>。。</w:t>
      </w:r>
      <w:r>
        <w:rPr>
          <w:w w:val="99"/>
          <w:sz w:val="21"/>
        </w:rPr>
        <w:t>。</w:t>
      </w:r>
    </w:p>
    <w:p>
      <w:pPr>
        <w:pStyle w:val="BodyText"/>
        <w:spacing w:before="3"/>
        <w:rPr>
          <w:sz w:val="8"/>
        </w:rPr>
      </w:pPr>
    </w:p>
    <w:p>
      <w:pPr>
        <w:pStyle w:val="Heading2"/>
        <w:numPr>
          <w:ilvl w:val="0"/>
          <w:numId w:val="8"/>
        </w:numPr>
        <w:tabs>
          <w:tab w:pos="546" w:val="left" w:leader="none"/>
          <w:tab w:pos="547" w:val="left" w:leader="none"/>
        </w:tabs>
        <w:spacing w:line="321" w:lineRule="auto" w:before="11" w:after="0"/>
        <w:ind w:left="546" w:right="112" w:hanging="420"/>
        <w:jc w:val="left"/>
      </w:pPr>
      <w:r>
        <w:rPr>
          <w:w w:val="95"/>
        </w:rPr>
        <w:t>被保险人自本附加险合同成立或本附加险合同效力恢复之日起两年内（以较迟者为准</w:t>
      </w:r>
      <w:r>
        <w:rPr>
          <w:w w:val="80"/>
        </w:rPr>
        <w:t>）    </w:t>
      </w:r>
      <w:r>
        <w:rPr>
          <w:w w:val="95"/>
        </w:rPr>
        <w:t>自杀，但被保险人自杀时为无民事行为能力人的除外。</w:t>
      </w:r>
    </w:p>
    <w:p>
      <w:pPr>
        <w:pStyle w:val="BodyText"/>
        <w:spacing w:before="8"/>
        <w:rPr>
          <w:rFonts w:ascii="Microsoft JhengHei UI"/>
          <w:b/>
          <w:sz w:val="37"/>
        </w:rPr>
      </w:pPr>
    </w:p>
    <w:p>
      <w:pPr>
        <w:pStyle w:val="BodyText"/>
        <w:ind w:left="120" w:right="112"/>
        <w:jc w:val="both"/>
      </w:pPr>
      <w:r>
        <w:rPr>
          <w:spacing w:val="-10"/>
        </w:rPr>
        <w:t>发生上述第 </w:t>
      </w:r>
      <w:r>
        <w:rPr/>
        <w:t>1</w:t>
      </w:r>
      <w:r>
        <w:rPr>
          <w:spacing w:val="-12"/>
        </w:rPr>
        <w:t> 项情形而导致被保险人身故或永久完全残疾的，本附加险合同终止，本公司将</w:t>
      </w:r>
      <w:r>
        <w:rPr>
          <w:w w:val="99"/>
        </w:rPr>
        <w:t>向身故保险金受益人退还本附加险合同当时对应的</w:t>
      </w:r>
      <w:r>
        <w:rPr>
          <w:rFonts w:ascii="Microsoft JhengHei UI" w:eastAsia="Microsoft JhengHei UI" w:hint="eastAsia"/>
          <w:b/>
          <w:spacing w:val="-48"/>
          <w:w w:val="99"/>
        </w:rPr>
        <w:t>现</w:t>
      </w:r>
      <w:r>
        <w:rPr>
          <w:spacing w:val="-267"/>
          <w:w w:val="99"/>
          <w:position w:val="1"/>
        </w:rPr>
        <w:t>金</w:t>
      </w:r>
      <w:r>
        <w:rPr>
          <w:spacing w:val="-264"/>
          <w:w w:val="99"/>
        </w:rPr>
        <w:t>金金</w:t>
      </w:r>
      <w:r>
        <w:rPr>
          <w:spacing w:val="-62"/>
          <w:w w:val="99"/>
        </w:rPr>
        <w:t>金</w:t>
      </w:r>
      <w:r>
        <w:rPr>
          <w:spacing w:val="-267"/>
          <w:w w:val="99"/>
          <w:position w:val="1"/>
        </w:rPr>
        <w:t>价</w:t>
      </w:r>
      <w:r>
        <w:rPr>
          <w:spacing w:val="-264"/>
          <w:w w:val="99"/>
        </w:rPr>
        <w:t>价价</w:t>
      </w:r>
      <w:r>
        <w:rPr>
          <w:spacing w:val="-62"/>
          <w:w w:val="99"/>
        </w:rPr>
        <w:t>价</w:t>
      </w:r>
      <w:r>
        <w:rPr>
          <w:spacing w:val="-267"/>
          <w:w w:val="99"/>
          <w:position w:val="1"/>
        </w:rPr>
        <w:t>值</w:t>
      </w:r>
      <w:r>
        <w:rPr>
          <w:spacing w:val="-264"/>
          <w:w w:val="99"/>
        </w:rPr>
        <w:t>值值</w:t>
      </w:r>
      <w:r>
        <w:rPr>
          <w:spacing w:val="-43"/>
          <w:w w:val="99"/>
        </w:rPr>
        <w:t>值</w:t>
      </w:r>
      <w:r>
        <w:rPr>
          <w:spacing w:val="1"/>
          <w:w w:val="99"/>
        </w:rPr>
        <w:t>（</w:t>
      </w:r>
      <w:r>
        <w:rPr>
          <w:spacing w:val="0"/>
          <w:w w:val="99"/>
        </w:rPr>
        <w:t>见释义</w:t>
      </w:r>
      <w:r>
        <w:rPr>
          <w:spacing w:val="-50"/>
        </w:rPr>
        <w:t> </w:t>
      </w:r>
      <w:r>
        <w:rPr>
          <w:w w:val="93"/>
        </w:rPr>
        <w:t>12</w:t>
      </w:r>
      <w:r>
        <w:rPr>
          <w:spacing w:val="-1"/>
          <w:w w:val="43"/>
        </w:rPr>
        <w:t>.</w:t>
      </w:r>
      <w:r>
        <w:rPr>
          <w:w w:val="93"/>
        </w:rPr>
        <w:t>1</w:t>
      </w:r>
      <w:r>
        <w:rPr>
          <w:spacing w:val="1"/>
          <w:w w:val="93"/>
        </w:rPr>
        <w:t>2</w:t>
      </w:r>
      <w:r>
        <w:rPr>
          <w:spacing w:val="1"/>
          <w:w w:val="99"/>
        </w:rPr>
        <w:t>）</w:t>
      </w:r>
      <w:r>
        <w:rPr>
          <w:spacing w:val="0"/>
          <w:w w:val="99"/>
        </w:rPr>
        <w:t>扣除欠交保险</w:t>
      </w:r>
      <w:r>
        <w:rPr>
          <w:w w:val="99"/>
        </w:rPr>
        <w:t> </w:t>
      </w:r>
      <w:r>
        <w:rPr>
          <w:w w:val="95"/>
        </w:rPr>
        <w:t>费及利息后的余额。</w:t>
      </w:r>
    </w:p>
    <w:p>
      <w:pPr>
        <w:pStyle w:val="BodyText"/>
        <w:spacing w:before="10"/>
        <w:rPr>
          <w:sz w:val="26"/>
        </w:rPr>
      </w:pPr>
    </w:p>
    <w:p>
      <w:pPr>
        <w:pStyle w:val="BodyText"/>
        <w:spacing w:line="273" w:lineRule="auto" w:before="1"/>
        <w:ind w:left="120" w:right="119"/>
        <w:jc w:val="both"/>
      </w:pPr>
      <w:r>
        <w:rPr>
          <w:spacing w:val="-4"/>
          <w:w w:val="95"/>
        </w:rPr>
        <w:t>发生上述其他情形导致被保险人身故或永久完全残疾的，或者发生本附加险合同所指的重大   </w:t>
      </w:r>
      <w:r>
        <w:rPr>
          <w:spacing w:val="-12"/>
          <w:w w:val="95"/>
        </w:rPr>
        <w:t>疾病，本附加险合同终止，本公司向您退还本附加险合同当时对应的现金价值扣除欠交保险   费及利息后的余额。</w:t>
      </w:r>
    </w:p>
    <w:p>
      <w:pPr>
        <w:pStyle w:val="BodyText"/>
        <w:rPr>
          <w:sz w:val="38"/>
        </w:rPr>
      </w:pPr>
    </w:p>
    <w:p>
      <w:pPr>
        <w:pStyle w:val="Heading2"/>
        <w:numPr>
          <w:ilvl w:val="0"/>
          <w:numId w:val="9"/>
        </w:numPr>
        <w:tabs>
          <w:tab w:pos="550" w:val="left" w:leader="none"/>
          <w:tab w:pos="552" w:val="left" w:leader="none"/>
        </w:tabs>
        <w:spacing w:line="240" w:lineRule="auto" w:before="0" w:after="0"/>
        <w:ind w:left="551" w:right="0" w:hanging="431"/>
        <w:jc w:val="left"/>
      </w:pPr>
      <w:bookmarkStart w:name="_TOC_250081" w:id="28"/>
      <w:bookmarkEnd w:id="28"/>
      <w:r>
        <w:rPr>
          <w:w w:val="95"/>
        </w:rPr>
        <w:t>保险费</w:t>
      </w:r>
    </w:p>
    <w:p>
      <w:pPr>
        <w:pStyle w:val="BodyText"/>
        <w:spacing w:before="7"/>
        <w:rPr>
          <w:rFonts w:ascii="Microsoft JhengHei UI"/>
          <w:b/>
          <w:sz w:val="37"/>
        </w:rPr>
      </w:pPr>
    </w:p>
    <w:p>
      <w:pPr>
        <w:pStyle w:val="Heading2"/>
        <w:numPr>
          <w:ilvl w:val="1"/>
          <w:numId w:val="9"/>
        </w:numPr>
        <w:tabs>
          <w:tab w:pos="702" w:val="left" w:leader="none"/>
          <w:tab w:pos="703" w:val="left" w:leader="none"/>
        </w:tabs>
        <w:spacing w:line="240" w:lineRule="auto" w:before="0" w:after="0"/>
        <w:ind w:left="702" w:right="0" w:hanging="576"/>
        <w:jc w:val="left"/>
      </w:pPr>
      <w:bookmarkStart w:name="_TOC_250080" w:id="29"/>
      <w:bookmarkEnd w:id="29"/>
      <w:r>
        <w:rPr>
          <w:w w:val="95"/>
        </w:rPr>
        <w:t>保险费的交纳方式</w:t>
      </w:r>
    </w:p>
    <w:p>
      <w:pPr>
        <w:pStyle w:val="BodyText"/>
        <w:spacing w:before="15"/>
        <w:rPr>
          <w:rFonts w:ascii="Microsoft JhengHei UI"/>
          <w:b/>
          <w:sz w:val="27"/>
        </w:rPr>
      </w:pPr>
    </w:p>
    <w:p>
      <w:pPr>
        <w:pStyle w:val="BodyText"/>
        <w:ind w:left="120"/>
      </w:pPr>
      <w:r>
        <w:rPr>
          <w:w w:val="95"/>
        </w:rPr>
        <w:t>您应当按照约定的交费日期交纳保险费。</w:t>
      </w:r>
    </w:p>
    <w:p>
      <w:pPr>
        <w:pStyle w:val="BodyText"/>
        <w:spacing w:line="357" w:lineRule="auto" w:before="142"/>
        <w:ind w:left="120" w:right="119"/>
      </w:pPr>
      <w:r>
        <w:rPr>
          <w:spacing w:val="-3"/>
          <w:w w:val="99"/>
        </w:rPr>
        <w:t>保险费的交费方式是</w:t>
      </w:r>
      <w:r>
        <w:rPr>
          <w:rFonts w:ascii="Microsoft JhengHei UI" w:eastAsia="Microsoft JhengHei UI" w:hint="eastAsia"/>
          <w:b/>
          <w:spacing w:val="-48"/>
          <w:w w:val="99"/>
        </w:rPr>
        <w:t>银</w:t>
      </w:r>
      <w:r>
        <w:rPr>
          <w:w w:val="99"/>
          <w:position w:val="1"/>
        </w:rPr>
        <w:t>行</w:t>
      </w:r>
      <w:r>
        <w:rPr>
          <w:spacing w:val="-476"/>
          <w:w w:val="99"/>
          <w:position w:val="1"/>
        </w:rPr>
        <w:t>转</w:t>
      </w:r>
      <w:r>
        <w:rPr>
          <w:w w:val="99"/>
        </w:rPr>
        <w:t>行</w:t>
      </w:r>
      <w:r>
        <w:rPr>
          <w:spacing w:val="-471"/>
          <w:w w:val="99"/>
        </w:rPr>
        <w:t>转</w:t>
      </w:r>
      <w:r>
        <w:rPr>
          <w:w w:val="99"/>
        </w:rPr>
        <w:t>行</w:t>
      </w:r>
      <w:r>
        <w:rPr>
          <w:spacing w:val="-474"/>
          <w:w w:val="99"/>
        </w:rPr>
        <w:t>转</w:t>
      </w:r>
      <w:r>
        <w:rPr>
          <w:spacing w:val="-31"/>
          <w:w w:val="99"/>
        </w:rPr>
        <w:t>行转</w:t>
      </w:r>
      <w:r>
        <w:rPr>
          <w:w w:val="99"/>
          <w:position w:val="1"/>
        </w:rPr>
        <w:t>账</w:t>
      </w:r>
      <w:r>
        <w:rPr>
          <w:spacing w:val="-476"/>
          <w:w w:val="99"/>
          <w:position w:val="1"/>
        </w:rPr>
        <w:t>交</w:t>
      </w:r>
      <w:r>
        <w:rPr>
          <w:w w:val="99"/>
        </w:rPr>
        <w:t>账</w:t>
      </w:r>
      <w:r>
        <w:rPr>
          <w:spacing w:val="-471"/>
          <w:w w:val="99"/>
        </w:rPr>
        <w:t>交</w:t>
      </w:r>
      <w:r>
        <w:rPr>
          <w:w w:val="99"/>
        </w:rPr>
        <w:t>账</w:t>
      </w:r>
      <w:r>
        <w:rPr>
          <w:spacing w:val="-474"/>
          <w:w w:val="99"/>
        </w:rPr>
        <w:t>交</w:t>
      </w:r>
      <w:r>
        <w:rPr>
          <w:spacing w:val="-31"/>
          <w:w w:val="99"/>
        </w:rPr>
        <w:t>账交</w:t>
      </w:r>
      <w:r>
        <w:rPr>
          <w:spacing w:val="-267"/>
          <w:w w:val="99"/>
          <w:position w:val="1"/>
        </w:rPr>
        <w:t>费</w:t>
      </w:r>
      <w:r>
        <w:rPr>
          <w:spacing w:val="-264"/>
          <w:w w:val="99"/>
        </w:rPr>
        <w:t>费费</w:t>
      </w:r>
      <w:r>
        <w:rPr>
          <w:spacing w:val="-51"/>
          <w:w w:val="99"/>
        </w:rPr>
        <w:t>费</w:t>
      </w:r>
      <w:r>
        <w:rPr>
          <w:w w:val="99"/>
        </w:rPr>
        <w:t>（见释义</w:t>
      </w:r>
      <w:r>
        <w:rPr>
          <w:w w:val="93"/>
        </w:rPr>
        <w:t>12</w:t>
      </w:r>
      <w:r>
        <w:rPr>
          <w:spacing w:val="-1"/>
          <w:w w:val="43"/>
        </w:rPr>
        <w:t>.</w:t>
      </w:r>
      <w:r>
        <w:rPr>
          <w:w w:val="93"/>
        </w:rPr>
        <w:t>13</w:t>
      </w:r>
      <w:r>
        <w:rPr>
          <w:spacing w:val="-106"/>
          <w:w w:val="99"/>
        </w:rPr>
        <w:t>）</w:t>
      </w:r>
      <w:r>
        <w:rPr>
          <w:spacing w:val="-1"/>
          <w:w w:val="99"/>
        </w:rPr>
        <w:t>，请您确保账号准确以及交费</w:t>
      </w:r>
      <w:r>
        <w:rPr>
          <w:spacing w:val="-160"/>
          <w:w w:val="99"/>
        </w:rPr>
        <w:t>期</w:t>
      </w:r>
      <w:r>
        <w:rPr>
          <w:w w:val="95"/>
        </w:rPr>
        <w:t>间内账户余额充足。</w:t>
      </w:r>
    </w:p>
    <w:p>
      <w:pPr>
        <w:spacing w:after="0" w:line="357" w:lineRule="auto"/>
        <w:sectPr>
          <w:pgSz w:w="11910" w:h="16840"/>
          <w:pgMar w:header="0" w:footer="1268" w:top="1460" w:bottom="1460" w:left="1680" w:right="1680"/>
        </w:sectPr>
      </w:pPr>
    </w:p>
    <w:p>
      <w:pPr>
        <w:pStyle w:val="Heading2"/>
        <w:numPr>
          <w:ilvl w:val="1"/>
          <w:numId w:val="9"/>
        </w:numPr>
        <w:tabs>
          <w:tab w:pos="702" w:val="left" w:leader="none"/>
          <w:tab w:pos="703" w:val="left" w:leader="none"/>
        </w:tabs>
        <w:spacing w:line="347" w:lineRule="exact" w:before="0" w:after="0"/>
        <w:ind w:left="702" w:right="0" w:hanging="576"/>
        <w:jc w:val="left"/>
      </w:pPr>
      <w:bookmarkStart w:name="_TOC_250079" w:id="30"/>
      <w:bookmarkStart w:name="保险费率调整" w:id="31"/>
      <w:r>
        <w:rPr>
          <w:b w:val="0"/>
        </w:rPr>
      </w:r>
      <w:bookmarkStart w:name="宽限期" w:id="32"/>
      <w:bookmarkEnd w:id="32"/>
      <w:r>
        <w:rPr>
          <w:b w:val="0"/>
        </w:rPr>
      </w:r>
      <w:bookmarkStart w:name="保险金的领取" w:id="33"/>
      <w:bookmarkEnd w:id="33"/>
      <w:r>
        <w:rPr>
          <w:b w:val="0"/>
        </w:rPr>
      </w:r>
      <w:bookmarkStart w:name="受益人的指定和变更" w:id="34"/>
      <w:bookmarkEnd w:id="34"/>
      <w:r>
        <w:rPr>
          <w:b w:val="0"/>
        </w:rPr>
      </w:r>
      <w:bookmarkStart w:name="重大疾病保险金受益人" w:id="35"/>
      <w:bookmarkEnd w:id="35"/>
      <w:r>
        <w:rPr>
          <w:b w:val="0"/>
        </w:rPr>
      </w:r>
      <w:bookmarkStart w:name="身故保险金受益人" w:id="36"/>
      <w:bookmarkEnd w:id="36"/>
      <w:r>
        <w:rPr>
          <w:b w:val="0"/>
        </w:rPr>
      </w:r>
      <w:bookmarkStart w:name="身故保险金受益人" w:id="37"/>
      <w:bookmarkEnd w:id="30"/>
      <w:r>
        <w:rPr>
          <w:w w:val="95"/>
        </w:rPr>
        <w:t>保险费率调整</w:t>
      </w:r>
    </w:p>
    <w:p>
      <w:pPr>
        <w:pStyle w:val="BodyText"/>
        <w:spacing w:before="13"/>
        <w:rPr>
          <w:rFonts w:ascii="Microsoft JhengHei UI"/>
          <w:b/>
          <w:sz w:val="27"/>
        </w:rPr>
      </w:pPr>
    </w:p>
    <w:p>
      <w:pPr>
        <w:pStyle w:val="BodyText"/>
        <w:spacing w:line="408" w:lineRule="auto"/>
        <w:ind w:left="120" w:right="157"/>
        <w:jc w:val="both"/>
      </w:pPr>
      <w:r>
        <w:rPr>
          <w:spacing w:val="-4"/>
        </w:rPr>
        <w:t>本公司保留于每个保单周年日审核调整本附加险保险费率的权利。调整保险费率是对所有被</w:t>
      </w:r>
      <w:r>
        <w:rPr>
          <w:spacing w:val="-8"/>
          <w:w w:val="95"/>
        </w:rPr>
        <w:t>保险人或同一投保年龄的所有被保险人适用的保险费率进行调整。保险费率经调整后，您应   交纳的续期保险费将按调整后的保险费率计算。</w:t>
      </w:r>
    </w:p>
    <w:p>
      <w:pPr>
        <w:pStyle w:val="BodyText"/>
        <w:rPr>
          <w:sz w:val="22"/>
        </w:rPr>
      </w:pPr>
    </w:p>
    <w:p>
      <w:pPr>
        <w:pStyle w:val="Heading2"/>
        <w:numPr>
          <w:ilvl w:val="1"/>
          <w:numId w:val="9"/>
        </w:numPr>
        <w:tabs>
          <w:tab w:pos="702" w:val="left" w:leader="none"/>
          <w:tab w:pos="703" w:val="left" w:leader="none"/>
        </w:tabs>
        <w:spacing w:line="240" w:lineRule="auto" w:before="0" w:after="0"/>
        <w:ind w:left="702" w:right="0" w:hanging="576"/>
        <w:jc w:val="left"/>
      </w:pPr>
      <w:bookmarkStart w:name="_TOC_250078" w:id="38"/>
      <w:bookmarkEnd w:id="38"/>
      <w:r>
        <w:rPr>
          <w:w w:val="95"/>
        </w:rPr>
        <w:t>宽限期</w:t>
      </w:r>
    </w:p>
    <w:p>
      <w:pPr>
        <w:pStyle w:val="BodyText"/>
        <w:spacing w:before="15"/>
        <w:rPr>
          <w:rFonts w:ascii="Microsoft JhengHei UI"/>
          <w:b/>
          <w:sz w:val="27"/>
        </w:rPr>
      </w:pPr>
    </w:p>
    <w:p>
      <w:pPr>
        <w:pStyle w:val="BodyText"/>
        <w:spacing w:line="408" w:lineRule="auto"/>
        <w:ind w:left="120" w:right="103"/>
        <w:jc w:val="both"/>
      </w:pPr>
      <w:r>
        <w:rPr>
          <w:spacing w:val="-11"/>
          <w:w w:val="95"/>
        </w:rPr>
        <w:t>分期交纳保险费的，您交纳首期保险费后，除本合同另有约定外，如果您到期未交纳保险费</w:t>
      </w:r>
      <w:r>
        <w:rPr>
          <w:w w:val="80"/>
        </w:rPr>
        <w:t>，  </w:t>
      </w:r>
      <w:r>
        <w:rPr>
          <w:spacing w:val="-3"/>
        </w:rPr>
        <w:t>自本附加险合同保险费交纳日次日零时起 </w:t>
      </w:r>
      <w:r>
        <w:rPr/>
        <w:t>60</w:t>
      </w:r>
      <w:r>
        <w:rPr>
          <w:spacing w:val="-3"/>
        </w:rPr>
        <w:t> 天为宽限期。宽限期内发生的保险事故，本公</w:t>
      </w:r>
      <w:r>
        <w:rPr>
          <w:spacing w:val="-3"/>
          <w:w w:val="95"/>
        </w:rPr>
        <w:t>司仍会承担保险责任，但将从保险金中扣除您欠交的保险费及其利息。</w:t>
      </w:r>
    </w:p>
    <w:p>
      <w:pPr>
        <w:pStyle w:val="BodyText"/>
        <w:spacing w:line="360" w:lineRule="auto" w:before="46"/>
        <w:ind w:left="120" w:right="99"/>
        <w:jc w:val="both"/>
      </w:pPr>
      <w:r>
        <w:rPr>
          <w:spacing w:val="-4"/>
        </w:rPr>
        <w:t>自宽限期届满次日零时起，欠交保险费开始计息。欠交保险费的计息期间为 </w:t>
      </w:r>
      <w:r>
        <w:rPr/>
        <w:t>6</w:t>
      </w:r>
      <w:r>
        <w:rPr>
          <w:spacing w:val="-12"/>
        </w:rPr>
        <w:t> 个月。欠交保</w:t>
      </w:r>
      <w:r>
        <w:rPr>
          <w:spacing w:val="0"/>
          <w:w w:val="99"/>
        </w:rPr>
        <w:t>险费利息在六个月内按照</w:t>
      </w:r>
      <w:r>
        <w:rPr>
          <w:rFonts w:ascii="Microsoft JhengHei UI" w:eastAsia="Microsoft JhengHei UI" w:hint="eastAsia"/>
          <w:b/>
          <w:spacing w:val="-46"/>
          <w:w w:val="99"/>
        </w:rPr>
        <w:t>本</w:t>
      </w:r>
      <w:r>
        <w:rPr>
          <w:spacing w:val="-267"/>
          <w:w w:val="99"/>
          <w:position w:val="1"/>
        </w:rPr>
        <w:t>条</w:t>
      </w:r>
      <w:r>
        <w:rPr>
          <w:spacing w:val="-264"/>
          <w:w w:val="99"/>
        </w:rPr>
        <w:t>条条</w:t>
      </w:r>
      <w:r>
        <w:rPr>
          <w:spacing w:val="-60"/>
          <w:w w:val="99"/>
        </w:rPr>
        <w:t>条</w:t>
      </w:r>
      <w:r>
        <w:rPr>
          <w:spacing w:val="-267"/>
          <w:w w:val="99"/>
          <w:position w:val="1"/>
        </w:rPr>
        <w:t>款</w:t>
      </w:r>
      <w:r>
        <w:rPr>
          <w:spacing w:val="-264"/>
          <w:w w:val="99"/>
        </w:rPr>
        <w:t>款款</w:t>
      </w:r>
      <w:r>
        <w:rPr>
          <w:spacing w:val="-60"/>
          <w:w w:val="99"/>
        </w:rPr>
        <w:t>款</w:t>
      </w:r>
      <w:r>
        <w:rPr>
          <w:spacing w:val="-267"/>
          <w:w w:val="99"/>
          <w:position w:val="1"/>
        </w:rPr>
        <w:t>约</w:t>
      </w:r>
      <w:r>
        <w:rPr>
          <w:spacing w:val="-264"/>
          <w:w w:val="99"/>
        </w:rPr>
        <w:t>约约</w:t>
      </w:r>
      <w:r>
        <w:rPr>
          <w:spacing w:val="-60"/>
          <w:w w:val="99"/>
        </w:rPr>
        <w:t>约</w:t>
      </w:r>
      <w:r>
        <w:rPr>
          <w:spacing w:val="-267"/>
          <w:w w:val="99"/>
          <w:position w:val="1"/>
        </w:rPr>
        <w:t>定</w:t>
      </w:r>
      <w:r>
        <w:rPr>
          <w:spacing w:val="-264"/>
          <w:w w:val="99"/>
        </w:rPr>
        <w:t>定定</w:t>
      </w:r>
      <w:r>
        <w:rPr>
          <w:spacing w:val="-60"/>
          <w:w w:val="99"/>
        </w:rPr>
        <w:t>定</w:t>
      </w:r>
      <w:r>
        <w:rPr>
          <w:spacing w:val="-267"/>
          <w:w w:val="99"/>
          <w:position w:val="1"/>
        </w:rPr>
        <w:t>利</w:t>
      </w:r>
      <w:r>
        <w:rPr>
          <w:spacing w:val="-264"/>
          <w:w w:val="99"/>
        </w:rPr>
        <w:t>利利</w:t>
      </w:r>
      <w:r>
        <w:rPr>
          <w:spacing w:val="-60"/>
          <w:w w:val="99"/>
        </w:rPr>
        <w:t>利</w:t>
      </w:r>
      <w:r>
        <w:rPr>
          <w:spacing w:val="-267"/>
          <w:w w:val="99"/>
          <w:position w:val="1"/>
        </w:rPr>
        <w:t>率</w:t>
      </w:r>
      <w:r>
        <w:rPr>
          <w:spacing w:val="-264"/>
          <w:w w:val="99"/>
        </w:rPr>
        <w:t>率率</w:t>
      </w:r>
      <w:r>
        <w:rPr>
          <w:spacing w:val="-43"/>
          <w:w w:val="99"/>
        </w:rPr>
        <w:t>率</w:t>
      </w:r>
      <w:r>
        <w:rPr>
          <w:spacing w:val="3"/>
          <w:w w:val="99"/>
        </w:rPr>
        <w:t>（</w:t>
      </w:r>
      <w:r>
        <w:rPr>
          <w:w w:val="99"/>
        </w:rPr>
        <w:t>见释义</w:t>
      </w:r>
      <w:r>
        <w:rPr>
          <w:spacing w:val="-48"/>
        </w:rPr>
        <w:t> </w:t>
      </w:r>
      <w:r>
        <w:rPr>
          <w:w w:val="93"/>
        </w:rPr>
        <w:t>12</w:t>
      </w:r>
      <w:r>
        <w:rPr>
          <w:spacing w:val="-1"/>
          <w:w w:val="43"/>
        </w:rPr>
        <w:t>.</w:t>
      </w:r>
      <w:r>
        <w:rPr>
          <w:w w:val="93"/>
        </w:rPr>
        <w:t>1</w:t>
      </w:r>
      <w:r>
        <w:rPr>
          <w:spacing w:val="5"/>
          <w:w w:val="93"/>
        </w:rPr>
        <w:t>4</w:t>
      </w:r>
      <w:r>
        <w:rPr>
          <w:spacing w:val="3"/>
          <w:w w:val="99"/>
        </w:rPr>
        <w:t>）</w:t>
      </w:r>
      <w:r>
        <w:rPr>
          <w:w w:val="99"/>
        </w:rPr>
        <w:t>以单利计算。若</w:t>
      </w:r>
      <w:r>
        <w:rPr>
          <w:spacing w:val="-41"/>
        </w:rPr>
        <w:t> </w:t>
      </w:r>
      <w:r>
        <w:rPr>
          <w:w w:val="93"/>
        </w:rPr>
        <w:t>6</w:t>
      </w:r>
      <w:r>
        <w:rPr>
          <w:spacing w:val="-47"/>
        </w:rPr>
        <w:t> </w:t>
      </w:r>
      <w:r>
        <w:rPr>
          <w:spacing w:val="0"/>
          <w:w w:val="99"/>
        </w:rPr>
        <w:t>个月后您仍未</w:t>
      </w:r>
      <w:r>
        <w:rPr>
          <w:spacing w:val="1"/>
          <w:w w:val="99"/>
        </w:rPr>
        <w:t>   </w:t>
      </w:r>
      <w:r>
        <w:rPr>
          <w:w w:val="95"/>
        </w:rPr>
        <w:t>补交所欠保险费，则所欠保险费及利息将作为新的本金按照本条款约定利率计息。</w:t>
      </w:r>
    </w:p>
    <w:p>
      <w:pPr>
        <w:pStyle w:val="BodyText"/>
        <w:spacing w:before="7"/>
        <w:rPr>
          <w:sz w:val="30"/>
        </w:rPr>
      </w:pPr>
    </w:p>
    <w:p>
      <w:pPr>
        <w:pStyle w:val="BodyText"/>
        <w:spacing w:line="408" w:lineRule="auto"/>
        <w:ind w:left="120" w:right="102"/>
      </w:pPr>
      <w:r>
        <w:rPr>
          <w:spacing w:val="-2"/>
          <w:w w:val="95"/>
        </w:rPr>
        <w:t>如果您在宽限期结束后仍未交纳到期应交的保险费，除本附加险合同另有约定外，本附加险   合同自宽限期满次日零时起效力中止。</w:t>
      </w:r>
    </w:p>
    <w:p>
      <w:pPr>
        <w:pStyle w:val="BodyText"/>
        <w:rPr>
          <w:sz w:val="35"/>
        </w:rPr>
      </w:pPr>
    </w:p>
    <w:p>
      <w:pPr>
        <w:pStyle w:val="Heading2"/>
        <w:numPr>
          <w:ilvl w:val="0"/>
          <w:numId w:val="9"/>
        </w:numPr>
        <w:tabs>
          <w:tab w:pos="550" w:val="left" w:leader="none"/>
          <w:tab w:pos="552" w:val="left" w:leader="none"/>
        </w:tabs>
        <w:spacing w:line="240" w:lineRule="auto" w:before="0" w:after="0"/>
        <w:ind w:left="551" w:right="0" w:hanging="431"/>
        <w:jc w:val="left"/>
      </w:pPr>
      <w:bookmarkStart w:name="_TOC_250077" w:id="39"/>
      <w:bookmarkEnd w:id="39"/>
      <w:r>
        <w:rPr>
          <w:w w:val="95"/>
        </w:rPr>
        <w:t>保险金的领取</w:t>
      </w:r>
    </w:p>
    <w:p>
      <w:pPr>
        <w:pStyle w:val="BodyText"/>
        <w:spacing w:before="9"/>
        <w:rPr>
          <w:rFonts w:ascii="Microsoft JhengHei UI"/>
          <w:b/>
          <w:sz w:val="37"/>
        </w:rPr>
      </w:pPr>
    </w:p>
    <w:p>
      <w:pPr>
        <w:pStyle w:val="Heading2"/>
        <w:numPr>
          <w:ilvl w:val="1"/>
          <w:numId w:val="9"/>
        </w:numPr>
        <w:tabs>
          <w:tab w:pos="702" w:val="left" w:leader="none"/>
          <w:tab w:pos="703" w:val="left" w:leader="none"/>
        </w:tabs>
        <w:spacing w:line="240" w:lineRule="auto" w:before="1" w:after="0"/>
        <w:ind w:left="702" w:right="0" w:hanging="576"/>
        <w:jc w:val="left"/>
      </w:pPr>
      <w:bookmarkStart w:name="_TOC_250076" w:id="40"/>
      <w:bookmarkEnd w:id="40"/>
      <w:r>
        <w:rPr>
          <w:w w:val="95"/>
        </w:rPr>
        <w:t>受益人的指定和变更</w:t>
      </w:r>
    </w:p>
    <w:p>
      <w:pPr>
        <w:pStyle w:val="BodyText"/>
        <w:spacing w:before="2"/>
        <w:rPr>
          <w:rFonts w:ascii="Microsoft JhengHei UI"/>
          <w:b/>
          <w:sz w:val="20"/>
        </w:rPr>
      </w:pPr>
    </w:p>
    <w:p>
      <w:pPr>
        <w:pStyle w:val="Heading2"/>
        <w:numPr>
          <w:ilvl w:val="2"/>
          <w:numId w:val="9"/>
        </w:numPr>
        <w:tabs>
          <w:tab w:pos="834" w:val="left" w:leader="none"/>
          <w:tab w:pos="835" w:val="left" w:leader="none"/>
        </w:tabs>
        <w:spacing w:line="240" w:lineRule="auto" w:before="0" w:after="0"/>
        <w:ind w:left="834" w:right="0" w:hanging="708"/>
        <w:jc w:val="left"/>
      </w:pPr>
      <w:bookmarkStart w:name="_TOC_250075" w:id="41"/>
      <w:bookmarkEnd w:id="41"/>
      <w:r>
        <w:rPr>
          <w:w w:val="95"/>
        </w:rPr>
        <w:t>重大疾病保险金受益人</w:t>
      </w:r>
    </w:p>
    <w:p>
      <w:pPr>
        <w:pStyle w:val="BodyText"/>
        <w:spacing w:before="8"/>
        <w:rPr>
          <w:rFonts w:ascii="Microsoft JhengHei UI"/>
          <w:b/>
          <w:sz w:val="19"/>
        </w:rPr>
      </w:pPr>
    </w:p>
    <w:p>
      <w:pPr>
        <w:pStyle w:val="BodyText"/>
        <w:spacing w:line="273" w:lineRule="auto" w:before="1"/>
        <w:ind w:left="120" w:right="157"/>
      </w:pPr>
      <w:r>
        <w:rPr>
          <w:spacing w:val="-4"/>
        </w:rPr>
        <w:t>本附加险合同的重大疾病保险金的受益人为被保险人本人，您或者被保险人可依法指定或变</w:t>
      </w:r>
      <w:r>
        <w:rPr>
          <w:spacing w:val="-4"/>
          <w:w w:val="95"/>
        </w:rPr>
        <w:t>更受益人。</w:t>
      </w:r>
    </w:p>
    <w:p>
      <w:pPr>
        <w:pStyle w:val="BodyText"/>
        <w:spacing w:before="7"/>
        <w:rPr>
          <w:sz w:val="20"/>
        </w:rPr>
      </w:pPr>
    </w:p>
    <w:p>
      <w:pPr>
        <w:pStyle w:val="Heading2"/>
        <w:numPr>
          <w:ilvl w:val="2"/>
          <w:numId w:val="9"/>
        </w:numPr>
        <w:tabs>
          <w:tab w:pos="834" w:val="left" w:leader="none"/>
          <w:tab w:pos="835" w:val="left" w:leader="none"/>
        </w:tabs>
        <w:spacing w:line="240" w:lineRule="auto" w:before="1" w:after="0"/>
        <w:ind w:left="834" w:right="0" w:hanging="708"/>
        <w:jc w:val="left"/>
      </w:pPr>
      <w:bookmarkStart w:name="_TOC_250074" w:id="42"/>
      <w:bookmarkEnd w:id="42"/>
      <w:r>
        <w:rPr>
          <w:w w:val="95"/>
        </w:rPr>
        <w:t>身故保险金受益人</w:t>
      </w:r>
    </w:p>
    <w:p>
      <w:pPr>
        <w:pStyle w:val="BodyText"/>
        <w:spacing w:before="9"/>
        <w:rPr>
          <w:rFonts w:ascii="Microsoft JhengHei UI"/>
          <w:b/>
          <w:sz w:val="19"/>
        </w:rPr>
      </w:pPr>
    </w:p>
    <w:p>
      <w:pPr>
        <w:pStyle w:val="BodyText"/>
        <w:ind w:left="120"/>
      </w:pPr>
      <w:r>
        <w:rPr>
          <w:w w:val="95"/>
        </w:rPr>
        <w:t>您或者被保险人可指定一人或多人为本附加险合同的身故保险金受益人。</w:t>
      </w:r>
    </w:p>
    <w:p>
      <w:pPr>
        <w:pStyle w:val="BodyText"/>
        <w:spacing w:before="8"/>
        <w:rPr>
          <w:sz w:val="26"/>
        </w:rPr>
      </w:pPr>
    </w:p>
    <w:p>
      <w:pPr>
        <w:pStyle w:val="BodyText"/>
        <w:spacing w:line="273" w:lineRule="auto"/>
        <w:ind w:left="120" w:right="157"/>
      </w:pPr>
      <w:r>
        <w:rPr>
          <w:spacing w:val="-5"/>
          <w:w w:val="95"/>
        </w:rPr>
        <w:t>身故保险金受益人为多人时，可以确定受益顺序和受益份额，未确定受益顺序的，各受益人   按同一受益顺序享有受益权；未确定份额的，各受益人按照相等份额享有受益权。</w:t>
      </w:r>
    </w:p>
    <w:p>
      <w:pPr>
        <w:pStyle w:val="BodyText"/>
        <w:spacing w:before="5"/>
        <w:rPr>
          <w:sz w:val="24"/>
        </w:rPr>
      </w:pPr>
    </w:p>
    <w:p>
      <w:pPr>
        <w:pStyle w:val="BodyText"/>
        <w:ind w:left="120"/>
        <w:jc w:val="both"/>
      </w:pPr>
      <w:r>
        <w:rPr>
          <w:w w:val="95"/>
        </w:rPr>
        <w:t>被保险人为无民事行为能力人或限制民事行为能力人的，由其监护人指定受益人。</w:t>
      </w:r>
    </w:p>
    <w:p>
      <w:pPr>
        <w:spacing w:after="0"/>
        <w:jc w:val="both"/>
        <w:sectPr>
          <w:pgSz w:w="11910" w:h="16840"/>
          <w:pgMar w:header="0" w:footer="1268" w:top="1460" w:bottom="1460" w:left="1680" w:right="1640"/>
        </w:sectPr>
      </w:pPr>
    </w:p>
    <w:p>
      <w:pPr>
        <w:pStyle w:val="BodyText"/>
        <w:spacing w:line="273" w:lineRule="auto" w:before="35"/>
        <w:ind w:left="120" w:right="199"/>
        <w:jc w:val="both"/>
      </w:pPr>
      <w:bookmarkStart w:name="永久完全残疾保险金受益人" w:id="43"/>
      <w:bookmarkEnd w:id="43"/>
      <w:r>
        <w:rPr/>
      </w:r>
      <w:bookmarkStart w:name="保险事故的通知" w:id="44"/>
      <w:bookmarkEnd w:id="44"/>
      <w:r>
        <w:rPr/>
      </w:r>
      <w:bookmarkStart w:name="保险金申请" w:id="45"/>
      <w:bookmarkEnd w:id="45"/>
      <w:r>
        <w:rPr/>
      </w:r>
      <w:bookmarkStart w:name="重大疾病保险金的申请" w:id="46"/>
      <w:bookmarkEnd w:id="46"/>
      <w:r>
        <w:rPr/>
      </w:r>
      <w:r>
        <w:rPr>
          <w:spacing w:val="-8"/>
          <w:w w:val="95"/>
        </w:rPr>
        <w:t>保险合同有效期内，您或者被保险人在被保险人身故前可以变更身故保险金受益人，但需书   </w:t>
      </w:r>
      <w:r>
        <w:rPr>
          <w:spacing w:val="-13"/>
          <w:w w:val="95"/>
        </w:rPr>
        <w:t>面通知本公司，在本公司收到变更受益人的书面通知并在保险单或其他保险凭证上批注或附   贴批单后生效。</w:t>
      </w:r>
    </w:p>
    <w:p>
      <w:pPr>
        <w:pStyle w:val="BodyText"/>
        <w:spacing w:before="5"/>
        <w:rPr>
          <w:sz w:val="24"/>
        </w:rPr>
      </w:pPr>
    </w:p>
    <w:p>
      <w:pPr>
        <w:pStyle w:val="BodyText"/>
        <w:ind w:left="120"/>
      </w:pPr>
      <w:r>
        <w:rPr>
          <w:w w:val="95"/>
        </w:rPr>
        <w:t>您在指定和变更身故保险金受益人时，须经被保险人或被保险人的监护人书面同意。</w:t>
      </w:r>
    </w:p>
    <w:p>
      <w:pPr>
        <w:pStyle w:val="BodyText"/>
        <w:spacing w:before="10"/>
        <w:rPr>
          <w:sz w:val="22"/>
        </w:rPr>
      </w:pPr>
    </w:p>
    <w:p>
      <w:pPr>
        <w:pStyle w:val="Heading2"/>
        <w:ind w:left="126" w:firstLine="0"/>
      </w:pPr>
      <w:r>
        <w:rPr>
          <w:w w:val="95"/>
        </w:rPr>
        <w:t>本公司对因变更受益人所引起的法律纠纷不负任何责任。</w:t>
      </w:r>
    </w:p>
    <w:p>
      <w:pPr>
        <w:pStyle w:val="BodyText"/>
        <w:spacing w:before="9"/>
        <w:rPr>
          <w:rFonts w:ascii="Microsoft JhengHei UI"/>
          <w:b/>
          <w:sz w:val="19"/>
        </w:rPr>
      </w:pPr>
    </w:p>
    <w:p>
      <w:pPr>
        <w:pStyle w:val="BodyText"/>
        <w:spacing w:line="273" w:lineRule="auto"/>
        <w:ind w:left="120" w:right="197"/>
      </w:pPr>
      <w:r>
        <w:rPr>
          <w:spacing w:val="-7"/>
          <w:w w:val="95"/>
        </w:rPr>
        <w:t>被保险人身故后，有下列情形之一的，保险金作为被保险人的遗产，由本公司依照《中华人   民共和国继承法》的规定履行给付保险金的义务：</w:t>
      </w:r>
    </w:p>
    <w:p>
      <w:pPr>
        <w:pStyle w:val="BodyText"/>
        <w:spacing w:before="5"/>
        <w:rPr>
          <w:sz w:val="24"/>
        </w:rPr>
      </w:pPr>
    </w:p>
    <w:p>
      <w:pPr>
        <w:pStyle w:val="ListParagraph"/>
        <w:numPr>
          <w:ilvl w:val="3"/>
          <w:numId w:val="9"/>
        </w:numPr>
        <w:tabs>
          <w:tab w:pos="959" w:val="left" w:leader="none"/>
          <w:tab w:pos="960" w:val="left" w:leader="none"/>
        </w:tabs>
        <w:spacing w:line="240" w:lineRule="auto" w:before="0" w:after="0"/>
        <w:ind w:left="960" w:right="0" w:hanging="420"/>
        <w:jc w:val="left"/>
        <w:rPr>
          <w:sz w:val="21"/>
        </w:rPr>
      </w:pPr>
      <w:r>
        <w:rPr>
          <w:w w:val="95"/>
          <w:sz w:val="21"/>
        </w:rPr>
        <w:t>没有指定受益人，或者受益人指定不明无法确定的；</w:t>
      </w:r>
    </w:p>
    <w:p>
      <w:pPr>
        <w:pStyle w:val="BodyText"/>
        <w:spacing w:before="8"/>
        <w:rPr>
          <w:sz w:val="26"/>
        </w:rPr>
      </w:pPr>
    </w:p>
    <w:p>
      <w:pPr>
        <w:pStyle w:val="ListParagraph"/>
        <w:numPr>
          <w:ilvl w:val="3"/>
          <w:numId w:val="9"/>
        </w:numPr>
        <w:tabs>
          <w:tab w:pos="959" w:val="left" w:leader="none"/>
          <w:tab w:pos="960" w:val="left" w:leader="none"/>
        </w:tabs>
        <w:spacing w:line="240" w:lineRule="auto" w:before="0" w:after="0"/>
        <w:ind w:left="960" w:right="0" w:hanging="420"/>
        <w:jc w:val="left"/>
        <w:rPr>
          <w:sz w:val="21"/>
        </w:rPr>
      </w:pPr>
      <w:r>
        <w:rPr>
          <w:w w:val="95"/>
          <w:sz w:val="21"/>
        </w:rPr>
        <w:t>受益人先于被保险人身故，没有其他受益人的；</w:t>
      </w:r>
    </w:p>
    <w:p>
      <w:pPr>
        <w:pStyle w:val="BodyText"/>
        <w:spacing w:before="8"/>
        <w:rPr>
          <w:sz w:val="26"/>
        </w:rPr>
      </w:pPr>
    </w:p>
    <w:p>
      <w:pPr>
        <w:pStyle w:val="ListParagraph"/>
        <w:numPr>
          <w:ilvl w:val="3"/>
          <w:numId w:val="9"/>
        </w:numPr>
        <w:tabs>
          <w:tab w:pos="959" w:val="left" w:leader="none"/>
          <w:tab w:pos="960" w:val="left" w:leader="none"/>
        </w:tabs>
        <w:spacing w:line="240" w:lineRule="auto" w:before="0" w:after="0"/>
        <w:ind w:left="960" w:right="0" w:hanging="420"/>
        <w:jc w:val="left"/>
        <w:rPr>
          <w:sz w:val="21"/>
        </w:rPr>
      </w:pPr>
      <w:r>
        <w:rPr>
          <w:w w:val="95"/>
          <w:sz w:val="21"/>
        </w:rPr>
        <w:t>受益人依法丧失受益权或者放弃受益权，没有其他受益人的。</w:t>
      </w:r>
    </w:p>
    <w:p>
      <w:pPr>
        <w:pStyle w:val="BodyText"/>
        <w:spacing w:before="8"/>
        <w:rPr>
          <w:sz w:val="26"/>
        </w:rPr>
      </w:pPr>
    </w:p>
    <w:p>
      <w:pPr>
        <w:pStyle w:val="BodyText"/>
        <w:ind w:left="120"/>
        <w:jc w:val="both"/>
      </w:pPr>
      <w:r>
        <w:rPr>
          <w:w w:val="95"/>
        </w:rPr>
        <w:t>受益人与被保险人在同一事故中身故，且不能确定身故先后顺序的，推定受益人身故在先。</w:t>
      </w:r>
    </w:p>
    <w:p>
      <w:pPr>
        <w:pStyle w:val="BodyText"/>
        <w:spacing w:before="8"/>
        <w:rPr>
          <w:sz w:val="26"/>
        </w:rPr>
      </w:pPr>
    </w:p>
    <w:p>
      <w:pPr>
        <w:pStyle w:val="BodyText"/>
        <w:spacing w:line="273" w:lineRule="auto"/>
        <w:ind w:left="120" w:right="197"/>
      </w:pPr>
      <w:r>
        <w:rPr>
          <w:spacing w:val="-6"/>
          <w:w w:val="95"/>
        </w:rPr>
        <w:t>受益人故意造成被保险人身故、伤残、疾病的，或者故意杀害被保险人未遂的，该受益人丧   失受益权。</w:t>
      </w:r>
    </w:p>
    <w:p>
      <w:pPr>
        <w:pStyle w:val="BodyText"/>
        <w:spacing w:before="7"/>
        <w:rPr>
          <w:sz w:val="20"/>
        </w:rPr>
      </w:pPr>
    </w:p>
    <w:p>
      <w:pPr>
        <w:pStyle w:val="Heading2"/>
        <w:numPr>
          <w:ilvl w:val="2"/>
          <w:numId w:val="9"/>
        </w:numPr>
        <w:tabs>
          <w:tab w:pos="834" w:val="left" w:leader="none"/>
          <w:tab w:pos="835" w:val="left" w:leader="none"/>
        </w:tabs>
        <w:spacing w:line="240" w:lineRule="auto" w:before="0" w:after="0"/>
        <w:ind w:left="834" w:right="0" w:hanging="708"/>
        <w:jc w:val="left"/>
      </w:pPr>
      <w:bookmarkStart w:name="_TOC_250073" w:id="47"/>
      <w:bookmarkEnd w:id="47"/>
      <w:r>
        <w:rPr>
          <w:w w:val="95"/>
        </w:rPr>
        <w:t>永久完全残疾保险金受益人</w:t>
      </w:r>
    </w:p>
    <w:p>
      <w:pPr>
        <w:pStyle w:val="BodyText"/>
        <w:spacing w:before="9"/>
        <w:rPr>
          <w:rFonts w:ascii="Microsoft JhengHei UI"/>
          <w:b/>
          <w:sz w:val="19"/>
        </w:rPr>
      </w:pPr>
    </w:p>
    <w:p>
      <w:pPr>
        <w:pStyle w:val="BodyText"/>
        <w:spacing w:line="273" w:lineRule="auto"/>
        <w:ind w:left="120" w:right="199"/>
      </w:pPr>
      <w:r>
        <w:rPr>
          <w:spacing w:val="-4"/>
          <w:w w:val="95"/>
        </w:rPr>
        <w:t>本附加险合同的永久完全残疾保险金受益人为被保险人本人，您或者被保险人可依法指定或   变更受益人。</w:t>
      </w:r>
    </w:p>
    <w:p>
      <w:pPr>
        <w:pStyle w:val="BodyText"/>
        <w:spacing w:before="2"/>
        <w:rPr>
          <w:sz w:val="29"/>
        </w:rPr>
      </w:pPr>
    </w:p>
    <w:p>
      <w:pPr>
        <w:pStyle w:val="Heading2"/>
        <w:numPr>
          <w:ilvl w:val="1"/>
          <w:numId w:val="10"/>
        </w:numPr>
        <w:tabs>
          <w:tab w:pos="702" w:val="left" w:leader="none"/>
          <w:tab w:pos="703" w:val="left" w:leader="none"/>
        </w:tabs>
        <w:spacing w:line="240" w:lineRule="auto" w:before="0" w:after="0"/>
        <w:ind w:left="702" w:right="0" w:hanging="576"/>
        <w:jc w:val="left"/>
      </w:pPr>
      <w:bookmarkStart w:name="_TOC_250072" w:id="48"/>
      <w:bookmarkEnd w:id="48"/>
      <w:r>
        <w:rPr>
          <w:w w:val="95"/>
        </w:rPr>
        <w:t>保险事故的通知</w:t>
      </w:r>
    </w:p>
    <w:p>
      <w:pPr>
        <w:pStyle w:val="BodyText"/>
        <w:spacing w:before="12"/>
        <w:rPr>
          <w:rFonts w:ascii="Microsoft JhengHei UI"/>
          <w:b/>
          <w:sz w:val="24"/>
        </w:rPr>
      </w:pPr>
    </w:p>
    <w:p>
      <w:pPr>
        <w:spacing w:line="333" w:lineRule="auto" w:before="0"/>
        <w:ind w:left="120" w:right="107" w:firstLine="0"/>
        <w:jc w:val="both"/>
        <w:rPr>
          <w:sz w:val="21"/>
        </w:rPr>
      </w:pPr>
      <w:r>
        <w:rPr>
          <w:spacing w:val="-2"/>
          <w:sz w:val="21"/>
        </w:rPr>
        <w:t>您或者受益人知道保险事故后应当在十日内通知本公司。</w:t>
      </w:r>
      <w:r>
        <w:rPr>
          <w:rFonts w:ascii="Microsoft JhengHei UI" w:eastAsia="Microsoft JhengHei UI" w:hint="eastAsia"/>
          <w:b/>
          <w:sz w:val="21"/>
        </w:rPr>
        <w:t>如果您或受益人故意或重大过失未</w:t>
      </w:r>
      <w:r>
        <w:rPr>
          <w:rFonts w:ascii="Microsoft JhengHei UI" w:eastAsia="Microsoft JhengHei UI" w:hint="eastAsia"/>
          <w:b/>
          <w:spacing w:val="-7"/>
          <w:sz w:val="21"/>
        </w:rPr>
        <w:t>及时通知，致使保险事故的性质、原因等难以确定的，本公司对无法确定的部分，不承担给</w:t>
      </w:r>
      <w:r>
        <w:rPr>
          <w:rFonts w:ascii="Microsoft JhengHei UI" w:eastAsia="Microsoft JhengHei UI" w:hint="eastAsia"/>
          <w:b/>
          <w:spacing w:val="-12"/>
          <w:sz w:val="21"/>
        </w:rPr>
        <w:t>付保险金的责任，</w:t>
      </w:r>
      <w:r>
        <w:rPr>
          <w:sz w:val="21"/>
        </w:rPr>
        <w:t>但本公司通过其他途径已经及时知道或者应当及时知道保险事故发生或者</w:t>
      </w:r>
      <w:r>
        <w:rPr>
          <w:w w:val="95"/>
          <w:sz w:val="21"/>
        </w:rPr>
        <w:t>虽未及时通知但不影响本公司确定保险事故的性质、原因、损失程度的除外。</w:t>
      </w:r>
    </w:p>
    <w:p>
      <w:pPr>
        <w:pStyle w:val="BodyText"/>
        <w:spacing w:before="2"/>
        <w:rPr>
          <w:sz w:val="27"/>
        </w:rPr>
      </w:pPr>
    </w:p>
    <w:p>
      <w:pPr>
        <w:pStyle w:val="Heading2"/>
        <w:numPr>
          <w:ilvl w:val="1"/>
          <w:numId w:val="10"/>
        </w:numPr>
        <w:tabs>
          <w:tab w:pos="703" w:val="left" w:leader="none"/>
        </w:tabs>
        <w:spacing w:line="240" w:lineRule="auto" w:before="0" w:after="0"/>
        <w:ind w:left="702" w:right="0" w:hanging="576"/>
        <w:jc w:val="both"/>
      </w:pPr>
      <w:bookmarkStart w:name="_TOC_250071" w:id="49"/>
      <w:bookmarkEnd w:id="49"/>
      <w:r>
        <w:rPr>
          <w:w w:val="95"/>
        </w:rPr>
        <w:t>保险金申请</w:t>
      </w:r>
    </w:p>
    <w:p>
      <w:pPr>
        <w:pStyle w:val="BodyText"/>
        <w:spacing w:before="2"/>
        <w:rPr>
          <w:rFonts w:ascii="Microsoft JhengHei UI"/>
          <w:b/>
          <w:sz w:val="20"/>
        </w:rPr>
      </w:pPr>
    </w:p>
    <w:p>
      <w:pPr>
        <w:pStyle w:val="Heading2"/>
        <w:numPr>
          <w:ilvl w:val="2"/>
          <w:numId w:val="10"/>
        </w:numPr>
        <w:tabs>
          <w:tab w:pos="519" w:val="left" w:leader="none"/>
        </w:tabs>
        <w:spacing w:line="240" w:lineRule="auto" w:before="0" w:after="0"/>
        <w:ind w:left="518" w:right="0" w:hanging="392"/>
        <w:jc w:val="both"/>
      </w:pPr>
      <w:bookmarkStart w:name="_TOC_250070" w:id="50"/>
      <w:bookmarkEnd w:id="50"/>
      <w:r>
        <w:rPr/>
        <w:t>．  重大疾病保险金的申请</w:t>
      </w:r>
    </w:p>
    <w:p>
      <w:pPr>
        <w:pStyle w:val="BodyText"/>
        <w:spacing w:before="9"/>
        <w:rPr>
          <w:rFonts w:ascii="Microsoft JhengHei UI"/>
          <w:b/>
          <w:sz w:val="19"/>
        </w:rPr>
      </w:pPr>
    </w:p>
    <w:p>
      <w:pPr>
        <w:pStyle w:val="BodyText"/>
        <w:ind w:left="120"/>
        <w:jc w:val="both"/>
      </w:pPr>
      <w:r>
        <w:rPr>
          <w:w w:val="95"/>
        </w:rPr>
        <w:t>在申请重大疾病保险金时，申请人须填写理赔申请书，并提供下列证明和资料：</w:t>
      </w:r>
    </w:p>
    <w:p>
      <w:pPr>
        <w:pStyle w:val="BodyText"/>
        <w:spacing w:before="6"/>
        <w:rPr>
          <w:sz w:val="32"/>
        </w:rPr>
      </w:pPr>
    </w:p>
    <w:p>
      <w:pPr>
        <w:pStyle w:val="ListParagraph"/>
        <w:numPr>
          <w:ilvl w:val="3"/>
          <w:numId w:val="10"/>
        </w:numPr>
        <w:tabs>
          <w:tab w:pos="959" w:val="left" w:leader="none"/>
          <w:tab w:pos="960" w:val="left" w:leader="none"/>
        </w:tabs>
        <w:spacing w:line="240" w:lineRule="auto" w:before="1" w:after="0"/>
        <w:ind w:left="960" w:right="0" w:hanging="420"/>
        <w:jc w:val="left"/>
        <w:rPr>
          <w:sz w:val="21"/>
        </w:rPr>
      </w:pPr>
      <w:r>
        <w:rPr>
          <w:w w:val="95"/>
          <w:sz w:val="21"/>
        </w:rPr>
        <w:t>保险合同原件；</w:t>
      </w:r>
    </w:p>
    <w:p>
      <w:pPr>
        <w:spacing w:after="0" w:line="240" w:lineRule="auto"/>
        <w:jc w:val="left"/>
        <w:rPr>
          <w:sz w:val="21"/>
        </w:rPr>
        <w:sectPr>
          <w:pgSz w:w="11910" w:h="16840"/>
          <w:pgMar w:header="0" w:footer="1268" w:top="1360" w:bottom="1460" w:left="1680" w:right="1600"/>
        </w:sectPr>
      </w:pPr>
    </w:p>
    <w:p>
      <w:pPr>
        <w:pStyle w:val="ListParagraph"/>
        <w:numPr>
          <w:ilvl w:val="3"/>
          <w:numId w:val="10"/>
        </w:numPr>
        <w:tabs>
          <w:tab w:pos="959" w:val="left" w:leader="none"/>
          <w:tab w:pos="960" w:val="left" w:leader="none"/>
        </w:tabs>
        <w:spacing w:line="240" w:lineRule="auto" w:before="32" w:after="0"/>
        <w:ind w:left="960" w:right="0" w:hanging="420"/>
        <w:jc w:val="left"/>
        <w:rPr>
          <w:sz w:val="21"/>
        </w:rPr>
      </w:pPr>
      <w:bookmarkStart w:name="身故保险金的申请" w:id="51"/>
      <w:bookmarkEnd w:id="51"/>
      <w:r>
        <w:rPr/>
      </w:r>
      <w:bookmarkStart w:name="永久完全残疾保险金的申请" w:id="52"/>
      <w:bookmarkEnd w:id="52"/>
      <w:r>
        <w:rPr/>
      </w:r>
      <w:bookmarkStart w:name="永久完全残疾保险金的申请" w:id="53"/>
      <w:bookmarkEnd w:id="53"/>
      <w:r>
        <w:rPr>
          <w:w w:val="95"/>
          <w:sz w:val="21"/>
        </w:rPr>
        <w:t>受益人户籍证明或其它身份证明文件原件；</w:t>
      </w:r>
    </w:p>
    <w:p>
      <w:pPr>
        <w:pStyle w:val="ListParagraph"/>
        <w:numPr>
          <w:ilvl w:val="3"/>
          <w:numId w:val="10"/>
        </w:numPr>
        <w:tabs>
          <w:tab w:pos="959" w:val="left" w:leader="none"/>
          <w:tab w:pos="960" w:val="left" w:leader="none"/>
        </w:tabs>
        <w:spacing w:line="240" w:lineRule="auto" w:before="193" w:after="0"/>
        <w:ind w:left="960" w:right="0" w:hanging="420"/>
        <w:jc w:val="left"/>
        <w:rPr>
          <w:sz w:val="21"/>
        </w:rPr>
      </w:pPr>
      <w:r>
        <w:rPr>
          <w:w w:val="95"/>
          <w:sz w:val="21"/>
        </w:rPr>
        <w:t>重大疾病诊断证明书；</w:t>
      </w:r>
    </w:p>
    <w:p>
      <w:pPr>
        <w:pStyle w:val="ListParagraph"/>
        <w:numPr>
          <w:ilvl w:val="3"/>
          <w:numId w:val="10"/>
        </w:numPr>
        <w:tabs>
          <w:tab w:pos="959" w:val="left" w:leader="none"/>
          <w:tab w:pos="960" w:val="left" w:leader="none"/>
        </w:tabs>
        <w:spacing w:line="240" w:lineRule="auto" w:before="193" w:after="0"/>
        <w:ind w:left="960" w:right="0" w:hanging="420"/>
        <w:jc w:val="left"/>
        <w:rPr>
          <w:sz w:val="21"/>
        </w:rPr>
      </w:pPr>
      <w:r>
        <w:rPr>
          <w:w w:val="95"/>
          <w:sz w:val="21"/>
        </w:rPr>
        <w:t>出院证明；</w:t>
      </w:r>
    </w:p>
    <w:p>
      <w:pPr>
        <w:pStyle w:val="ListParagraph"/>
        <w:numPr>
          <w:ilvl w:val="3"/>
          <w:numId w:val="10"/>
        </w:numPr>
        <w:tabs>
          <w:tab w:pos="959" w:val="left" w:leader="none"/>
          <w:tab w:pos="960" w:val="left" w:leader="none"/>
        </w:tabs>
        <w:spacing w:line="240" w:lineRule="auto" w:before="193" w:after="0"/>
        <w:ind w:left="960" w:right="0" w:hanging="420"/>
        <w:jc w:val="left"/>
        <w:rPr>
          <w:sz w:val="21"/>
        </w:rPr>
      </w:pPr>
      <w:r>
        <w:rPr>
          <w:w w:val="95"/>
          <w:sz w:val="21"/>
        </w:rPr>
        <w:t>本公司需要的其它文件和资料；</w:t>
      </w:r>
    </w:p>
    <w:p>
      <w:pPr>
        <w:pStyle w:val="Heading2"/>
        <w:numPr>
          <w:ilvl w:val="2"/>
          <w:numId w:val="10"/>
        </w:numPr>
        <w:tabs>
          <w:tab w:pos="519" w:val="left" w:leader="none"/>
        </w:tabs>
        <w:spacing w:line="240" w:lineRule="auto" w:before="66" w:after="0"/>
        <w:ind w:left="518" w:right="0" w:hanging="392"/>
        <w:jc w:val="both"/>
      </w:pPr>
      <w:bookmarkStart w:name="_TOC_250069" w:id="54"/>
      <w:bookmarkEnd w:id="54"/>
      <w:r>
        <w:rPr/>
        <w:t>．  身故保险金的申请</w:t>
      </w:r>
    </w:p>
    <w:p>
      <w:pPr>
        <w:pStyle w:val="BodyText"/>
        <w:spacing w:before="9"/>
        <w:rPr>
          <w:rFonts w:ascii="Microsoft JhengHei UI"/>
          <w:b/>
          <w:sz w:val="19"/>
        </w:rPr>
      </w:pPr>
    </w:p>
    <w:p>
      <w:pPr>
        <w:pStyle w:val="BodyText"/>
        <w:ind w:left="120"/>
        <w:jc w:val="both"/>
      </w:pPr>
      <w:r>
        <w:rPr>
          <w:w w:val="95"/>
        </w:rPr>
        <w:t>在申请身故保险金时，申请人须填写理赔申请书，并提供下列证明和资料：</w:t>
      </w:r>
    </w:p>
    <w:p>
      <w:pPr>
        <w:pStyle w:val="BodyText"/>
        <w:spacing w:before="8"/>
        <w:rPr>
          <w:sz w:val="26"/>
        </w:rPr>
      </w:pPr>
    </w:p>
    <w:p>
      <w:pPr>
        <w:pStyle w:val="ListParagraph"/>
        <w:numPr>
          <w:ilvl w:val="3"/>
          <w:numId w:val="10"/>
        </w:numPr>
        <w:tabs>
          <w:tab w:pos="959" w:val="left" w:leader="none"/>
          <w:tab w:pos="960" w:val="left" w:leader="none"/>
        </w:tabs>
        <w:spacing w:line="240" w:lineRule="auto" w:before="0" w:after="0"/>
        <w:ind w:left="960" w:right="0" w:hanging="420"/>
        <w:jc w:val="left"/>
        <w:rPr>
          <w:sz w:val="21"/>
        </w:rPr>
      </w:pPr>
      <w:r>
        <w:rPr>
          <w:w w:val="95"/>
          <w:sz w:val="21"/>
        </w:rPr>
        <w:t>保险合同原件；</w:t>
      </w:r>
    </w:p>
    <w:p>
      <w:pPr>
        <w:pStyle w:val="BodyText"/>
        <w:spacing w:before="8"/>
        <w:rPr>
          <w:sz w:val="26"/>
        </w:rPr>
      </w:pPr>
    </w:p>
    <w:p>
      <w:pPr>
        <w:pStyle w:val="ListParagraph"/>
        <w:numPr>
          <w:ilvl w:val="3"/>
          <w:numId w:val="10"/>
        </w:numPr>
        <w:tabs>
          <w:tab w:pos="959" w:val="left" w:leader="none"/>
          <w:tab w:pos="960" w:val="left" w:leader="none"/>
        </w:tabs>
        <w:spacing w:line="240" w:lineRule="auto" w:before="0" w:after="0"/>
        <w:ind w:left="960" w:right="0" w:hanging="420"/>
        <w:jc w:val="left"/>
        <w:rPr>
          <w:sz w:val="21"/>
        </w:rPr>
      </w:pPr>
      <w:r>
        <w:rPr>
          <w:w w:val="95"/>
          <w:sz w:val="21"/>
        </w:rPr>
        <w:t>受益人户籍证明或其他身份证明文件原件；</w:t>
      </w:r>
    </w:p>
    <w:p>
      <w:pPr>
        <w:pStyle w:val="BodyText"/>
        <w:spacing w:before="8"/>
        <w:rPr>
          <w:sz w:val="26"/>
        </w:rPr>
      </w:pPr>
    </w:p>
    <w:p>
      <w:pPr>
        <w:pStyle w:val="ListParagraph"/>
        <w:numPr>
          <w:ilvl w:val="3"/>
          <w:numId w:val="10"/>
        </w:numPr>
        <w:tabs>
          <w:tab w:pos="959" w:val="left" w:leader="none"/>
          <w:tab w:pos="960" w:val="left" w:leader="none"/>
        </w:tabs>
        <w:spacing w:line="273" w:lineRule="auto" w:before="0" w:after="0"/>
        <w:ind w:left="960" w:right="117" w:hanging="420"/>
        <w:jc w:val="left"/>
        <w:rPr>
          <w:sz w:val="21"/>
        </w:rPr>
      </w:pPr>
      <w:r>
        <w:rPr>
          <w:spacing w:val="-4"/>
          <w:w w:val="95"/>
          <w:sz w:val="21"/>
        </w:rPr>
        <w:t>公安部门或本公司认可的医疗机构出具的被保险人死亡证明书。如被保险人宣告死  亡，受益人须提供法院出具的宣告死亡判决书；</w:t>
      </w:r>
    </w:p>
    <w:p>
      <w:pPr>
        <w:pStyle w:val="BodyText"/>
        <w:spacing w:before="5"/>
        <w:rPr>
          <w:sz w:val="24"/>
        </w:rPr>
      </w:pPr>
    </w:p>
    <w:p>
      <w:pPr>
        <w:pStyle w:val="ListParagraph"/>
        <w:numPr>
          <w:ilvl w:val="3"/>
          <w:numId w:val="10"/>
        </w:numPr>
        <w:tabs>
          <w:tab w:pos="959" w:val="left" w:leader="none"/>
          <w:tab w:pos="960" w:val="left" w:leader="none"/>
        </w:tabs>
        <w:spacing w:line="240" w:lineRule="auto" w:before="0" w:after="0"/>
        <w:ind w:left="960" w:right="0" w:hanging="420"/>
        <w:jc w:val="left"/>
        <w:rPr>
          <w:sz w:val="21"/>
        </w:rPr>
      </w:pPr>
      <w:r>
        <w:rPr>
          <w:w w:val="95"/>
          <w:sz w:val="21"/>
        </w:rPr>
        <w:t>意外事故需提供意外事故证明；</w:t>
      </w:r>
    </w:p>
    <w:p>
      <w:pPr>
        <w:pStyle w:val="BodyText"/>
        <w:spacing w:before="8"/>
        <w:rPr>
          <w:sz w:val="26"/>
        </w:rPr>
      </w:pPr>
    </w:p>
    <w:p>
      <w:pPr>
        <w:pStyle w:val="ListParagraph"/>
        <w:numPr>
          <w:ilvl w:val="3"/>
          <w:numId w:val="10"/>
        </w:numPr>
        <w:tabs>
          <w:tab w:pos="959" w:val="left" w:leader="none"/>
          <w:tab w:pos="960" w:val="left" w:leader="none"/>
        </w:tabs>
        <w:spacing w:line="240" w:lineRule="auto" w:before="0" w:after="0"/>
        <w:ind w:left="960" w:right="0" w:hanging="420"/>
        <w:jc w:val="left"/>
        <w:rPr>
          <w:sz w:val="21"/>
        </w:rPr>
      </w:pPr>
      <w:r>
        <w:rPr>
          <w:w w:val="95"/>
          <w:sz w:val="21"/>
        </w:rPr>
        <w:t>被保险人户籍注销证明；</w:t>
      </w:r>
    </w:p>
    <w:p>
      <w:pPr>
        <w:pStyle w:val="BodyText"/>
        <w:spacing w:before="8"/>
        <w:rPr>
          <w:sz w:val="26"/>
        </w:rPr>
      </w:pPr>
    </w:p>
    <w:p>
      <w:pPr>
        <w:pStyle w:val="ListParagraph"/>
        <w:numPr>
          <w:ilvl w:val="3"/>
          <w:numId w:val="10"/>
        </w:numPr>
        <w:tabs>
          <w:tab w:pos="959" w:val="left" w:leader="none"/>
          <w:tab w:pos="960" w:val="left" w:leader="none"/>
        </w:tabs>
        <w:spacing w:line="240" w:lineRule="auto" w:before="0" w:after="0"/>
        <w:ind w:left="960" w:right="0" w:hanging="420"/>
        <w:jc w:val="left"/>
        <w:rPr>
          <w:sz w:val="21"/>
        </w:rPr>
      </w:pPr>
      <w:r>
        <w:rPr>
          <w:w w:val="95"/>
          <w:sz w:val="21"/>
        </w:rPr>
        <w:t>其他能够确认保险事故性质、原因的证明材料；</w:t>
      </w:r>
    </w:p>
    <w:p>
      <w:pPr>
        <w:pStyle w:val="BodyText"/>
        <w:spacing w:before="8"/>
        <w:rPr>
          <w:sz w:val="26"/>
        </w:rPr>
      </w:pPr>
    </w:p>
    <w:p>
      <w:pPr>
        <w:pStyle w:val="ListParagraph"/>
        <w:numPr>
          <w:ilvl w:val="3"/>
          <w:numId w:val="10"/>
        </w:numPr>
        <w:tabs>
          <w:tab w:pos="959" w:val="left" w:leader="none"/>
          <w:tab w:pos="960" w:val="left" w:leader="none"/>
        </w:tabs>
        <w:spacing w:line="240" w:lineRule="auto" w:before="0" w:after="0"/>
        <w:ind w:left="960" w:right="0" w:hanging="420"/>
        <w:jc w:val="left"/>
        <w:rPr>
          <w:sz w:val="21"/>
        </w:rPr>
      </w:pPr>
      <w:r>
        <w:rPr>
          <w:w w:val="95"/>
          <w:sz w:val="21"/>
        </w:rPr>
        <w:t>保险金作为被保险人遗产时，必须提供可证明合法继承权的相关权利文件。</w:t>
      </w:r>
    </w:p>
    <w:p>
      <w:pPr>
        <w:pStyle w:val="BodyText"/>
        <w:spacing w:before="8"/>
        <w:rPr>
          <w:sz w:val="26"/>
        </w:rPr>
      </w:pPr>
    </w:p>
    <w:p>
      <w:pPr>
        <w:pStyle w:val="BodyText"/>
        <w:spacing w:line="273" w:lineRule="auto"/>
        <w:ind w:left="120" w:right="117"/>
      </w:pPr>
      <w:r>
        <w:rPr>
          <w:w w:val="95"/>
        </w:rPr>
        <w:t>被保险人因失踪而被宣告死亡的，以宣告死亡判决书确定的死亡日期为被保险人死亡日期</w:t>
      </w:r>
      <w:r>
        <w:rPr>
          <w:w w:val="85"/>
        </w:rPr>
        <w:t>；  </w:t>
      </w:r>
      <w:r>
        <w:rPr>
          <w:w w:val="95"/>
        </w:rPr>
        <w:t>宣告死亡判决书中未明确确定死亡日期的，以判决宣告之日为被保险人死亡日期。</w:t>
      </w:r>
    </w:p>
    <w:p>
      <w:pPr>
        <w:pStyle w:val="BodyText"/>
        <w:spacing w:before="5"/>
        <w:rPr>
          <w:sz w:val="24"/>
        </w:rPr>
      </w:pPr>
    </w:p>
    <w:p>
      <w:pPr>
        <w:pStyle w:val="BodyText"/>
        <w:spacing w:line="273" w:lineRule="auto"/>
        <w:ind w:left="120" w:right="112"/>
        <w:jc w:val="both"/>
      </w:pPr>
      <w:r>
        <w:rPr>
          <w:spacing w:val="-3"/>
        </w:rPr>
        <w:t>如果被保险人在宣告死亡后重新出现或身故保险金受益人确知被保险人未死亡的，身故保险</w:t>
      </w:r>
      <w:r>
        <w:rPr>
          <w:spacing w:val="1"/>
        </w:rPr>
        <w:t>金受益人应于知道后30日内向本公司退还已给付的身故保险金，本附加险合同效力依法确</w:t>
      </w:r>
      <w:r>
        <w:rPr>
          <w:spacing w:val="1"/>
          <w:w w:val="95"/>
        </w:rPr>
        <w:t>定。</w:t>
      </w:r>
    </w:p>
    <w:p>
      <w:pPr>
        <w:pStyle w:val="BodyText"/>
        <w:spacing w:before="7"/>
        <w:rPr>
          <w:sz w:val="20"/>
        </w:rPr>
      </w:pPr>
    </w:p>
    <w:p>
      <w:pPr>
        <w:pStyle w:val="Heading2"/>
        <w:numPr>
          <w:ilvl w:val="2"/>
          <w:numId w:val="10"/>
        </w:numPr>
        <w:tabs>
          <w:tab w:pos="519" w:val="left" w:leader="none"/>
        </w:tabs>
        <w:spacing w:line="240" w:lineRule="auto" w:before="0" w:after="0"/>
        <w:ind w:left="518" w:right="0" w:hanging="392"/>
        <w:jc w:val="both"/>
      </w:pPr>
      <w:bookmarkStart w:name="_TOC_250068" w:id="55"/>
      <w:bookmarkEnd w:id="55"/>
      <w:r>
        <w:rPr/>
        <w:t>．  永久完全残疾保险金的申请</w:t>
      </w:r>
    </w:p>
    <w:p>
      <w:pPr>
        <w:pStyle w:val="BodyText"/>
        <w:spacing w:before="9"/>
        <w:rPr>
          <w:rFonts w:ascii="Microsoft JhengHei UI"/>
          <w:b/>
          <w:sz w:val="19"/>
        </w:rPr>
      </w:pPr>
    </w:p>
    <w:p>
      <w:pPr>
        <w:pStyle w:val="BodyText"/>
        <w:ind w:left="120"/>
        <w:jc w:val="both"/>
      </w:pPr>
      <w:r>
        <w:rPr>
          <w:w w:val="95"/>
        </w:rPr>
        <w:t>在申请永久完全残疾保险金时，申请人须填写理赔申请书，并提供下列证明和资料：</w:t>
      </w:r>
    </w:p>
    <w:p>
      <w:pPr>
        <w:pStyle w:val="BodyText"/>
        <w:spacing w:before="8"/>
        <w:rPr>
          <w:sz w:val="26"/>
        </w:rPr>
      </w:pPr>
    </w:p>
    <w:p>
      <w:pPr>
        <w:pStyle w:val="ListParagraph"/>
        <w:numPr>
          <w:ilvl w:val="3"/>
          <w:numId w:val="10"/>
        </w:numPr>
        <w:tabs>
          <w:tab w:pos="1019" w:val="left" w:leader="none"/>
          <w:tab w:pos="1020" w:val="left" w:leader="none"/>
        </w:tabs>
        <w:spacing w:line="240" w:lineRule="auto" w:before="1" w:after="0"/>
        <w:ind w:left="1020" w:right="0" w:hanging="420"/>
        <w:jc w:val="left"/>
        <w:rPr>
          <w:sz w:val="21"/>
        </w:rPr>
      </w:pPr>
      <w:r>
        <w:rPr>
          <w:w w:val="95"/>
          <w:sz w:val="21"/>
        </w:rPr>
        <w:t>保险合同原件；</w:t>
      </w:r>
    </w:p>
    <w:p>
      <w:pPr>
        <w:pStyle w:val="BodyText"/>
        <w:spacing w:before="9"/>
        <w:rPr>
          <w:sz w:val="26"/>
        </w:rPr>
      </w:pPr>
    </w:p>
    <w:p>
      <w:pPr>
        <w:pStyle w:val="ListParagraph"/>
        <w:numPr>
          <w:ilvl w:val="3"/>
          <w:numId w:val="10"/>
        </w:numPr>
        <w:tabs>
          <w:tab w:pos="1019" w:val="left" w:leader="none"/>
          <w:tab w:pos="1020" w:val="left" w:leader="none"/>
        </w:tabs>
        <w:spacing w:line="240" w:lineRule="auto" w:before="0" w:after="0"/>
        <w:ind w:left="1020" w:right="0" w:hanging="420"/>
        <w:jc w:val="left"/>
        <w:rPr>
          <w:sz w:val="21"/>
        </w:rPr>
      </w:pPr>
      <w:r>
        <w:rPr>
          <w:w w:val="95"/>
          <w:sz w:val="21"/>
        </w:rPr>
        <w:t>被保险人户籍证明或其他身份证明文件原件；</w:t>
      </w:r>
    </w:p>
    <w:p>
      <w:pPr>
        <w:pStyle w:val="BodyText"/>
        <w:spacing w:before="8"/>
        <w:rPr>
          <w:sz w:val="26"/>
        </w:rPr>
      </w:pPr>
    </w:p>
    <w:p>
      <w:pPr>
        <w:pStyle w:val="ListParagraph"/>
        <w:numPr>
          <w:ilvl w:val="3"/>
          <w:numId w:val="10"/>
        </w:numPr>
        <w:tabs>
          <w:tab w:pos="1019" w:val="left" w:leader="none"/>
          <w:tab w:pos="1020" w:val="left" w:leader="none"/>
        </w:tabs>
        <w:spacing w:line="240" w:lineRule="auto" w:before="1" w:after="0"/>
        <w:ind w:left="1020" w:right="0" w:hanging="420"/>
        <w:jc w:val="left"/>
        <w:rPr>
          <w:sz w:val="21"/>
        </w:rPr>
      </w:pPr>
      <w:r>
        <w:rPr>
          <w:w w:val="95"/>
          <w:sz w:val="21"/>
        </w:rPr>
        <w:t>法医鉴定书或医学鉴定诊断书；</w:t>
      </w:r>
    </w:p>
    <w:p>
      <w:pPr>
        <w:pStyle w:val="BodyText"/>
        <w:spacing w:before="9"/>
        <w:rPr>
          <w:sz w:val="26"/>
        </w:rPr>
      </w:pPr>
    </w:p>
    <w:p>
      <w:pPr>
        <w:pStyle w:val="ListParagraph"/>
        <w:numPr>
          <w:ilvl w:val="3"/>
          <w:numId w:val="10"/>
        </w:numPr>
        <w:tabs>
          <w:tab w:pos="1019" w:val="left" w:leader="none"/>
          <w:tab w:pos="1020" w:val="left" w:leader="none"/>
        </w:tabs>
        <w:spacing w:line="240" w:lineRule="auto" w:before="0" w:after="0"/>
        <w:ind w:left="1020" w:right="0" w:hanging="420"/>
        <w:jc w:val="left"/>
        <w:rPr>
          <w:sz w:val="21"/>
        </w:rPr>
      </w:pPr>
      <w:r>
        <w:rPr>
          <w:w w:val="95"/>
          <w:sz w:val="21"/>
        </w:rPr>
        <w:t>意外事故需提供意外事故证明；</w:t>
      </w:r>
    </w:p>
    <w:p>
      <w:pPr>
        <w:spacing w:after="0" w:line="240" w:lineRule="auto"/>
        <w:jc w:val="left"/>
        <w:rPr>
          <w:sz w:val="21"/>
        </w:rPr>
        <w:sectPr>
          <w:footerReference w:type="default" r:id="rId8"/>
          <w:pgSz w:w="11910" w:h="16840"/>
          <w:pgMar w:footer="1268" w:header="0" w:top="1440" w:bottom="1460" w:left="1680" w:right="1680"/>
          <w:pgNumType w:start="10"/>
        </w:sectPr>
      </w:pPr>
    </w:p>
    <w:p>
      <w:pPr>
        <w:pStyle w:val="ListParagraph"/>
        <w:numPr>
          <w:ilvl w:val="3"/>
          <w:numId w:val="10"/>
        </w:numPr>
        <w:tabs>
          <w:tab w:pos="1019" w:val="left" w:leader="none"/>
          <w:tab w:pos="1020" w:val="left" w:leader="none"/>
        </w:tabs>
        <w:spacing w:line="240" w:lineRule="auto" w:before="35" w:after="0"/>
        <w:ind w:left="1020" w:right="0" w:hanging="420"/>
        <w:jc w:val="left"/>
        <w:rPr>
          <w:sz w:val="21"/>
        </w:rPr>
      </w:pPr>
      <w:bookmarkStart w:name="证明和资料的补充" w:id="56"/>
      <w:bookmarkEnd w:id="56"/>
      <w:r>
        <w:rPr/>
      </w:r>
      <w:bookmarkStart w:name="保险金的给付" w:id="57"/>
      <w:bookmarkEnd w:id="57"/>
      <w:r>
        <w:rPr/>
      </w:r>
      <w:bookmarkStart w:name="诉讼时效" w:id="58"/>
      <w:bookmarkEnd w:id="58"/>
      <w:r>
        <w:rPr/>
      </w:r>
      <w:bookmarkStart w:name="现金价值权益" w:id="59"/>
      <w:bookmarkEnd w:id="59"/>
      <w:r>
        <w:rPr/>
      </w:r>
      <w:bookmarkStart w:name="现金价值" w:id="60"/>
      <w:bookmarkEnd w:id="60"/>
      <w:r>
        <w:rPr/>
      </w:r>
      <w:bookmarkStart w:name="现金价值" w:id="61"/>
      <w:bookmarkEnd w:id="61"/>
      <w:r>
        <w:rPr>
          <w:w w:val="95"/>
          <w:sz w:val="21"/>
        </w:rPr>
        <w:t>其他能够确认保险事故性质、原因的证明材料；</w:t>
      </w:r>
    </w:p>
    <w:p>
      <w:pPr>
        <w:pStyle w:val="BodyText"/>
        <w:spacing w:before="8"/>
        <w:rPr>
          <w:sz w:val="26"/>
        </w:rPr>
      </w:pPr>
    </w:p>
    <w:p>
      <w:pPr>
        <w:pStyle w:val="ListParagraph"/>
        <w:numPr>
          <w:ilvl w:val="3"/>
          <w:numId w:val="10"/>
        </w:numPr>
        <w:tabs>
          <w:tab w:pos="1019" w:val="left" w:leader="none"/>
          <w:tab w:pos="1020" w:val="left" w:leader="none"/>
        </w:tabs>
        <w:spacing w:line="240" w:lineRule="auto" w:before="1" w:after="0"/>
        <w:ind w:left="1020" w:right="0" w:hanging="420"/>
        <w:jc w:val="left"/>
        <w:rPr>
          <w:sz w:val="21"/>
        </w:rPr>
      </w:pPr>
      <w:r>
        <w:rPr>
          <w:w w:val="95"/>
          <w:sz w:val="21"/>
        </w:rPr>
        <w:t>本公司需要的其它文件和资料。</w:t>
      </w:r>
    </w:p>
    <w:p>
      <w:pPr>
        <w:pStyle w:val="BodyText"/>
        <w:spacing w:before="11"/>
        <w:rPr>
          <w:sz w:val="22"/>
        </w:rPr>
      </w:pPr>
    </w:p>
    <w:p>
      <w:pPr>
        <w:pStyle w:val="Heading2"/>
        <w:numPr>
          <w:ilvl w:val="2"/>
          <w:numId w:val="10"/>
        </w:numPr>
        <w:tabs>
          <w:tab w:pos="519" w:val="left" w:leader="none"/>
        </w:tabs>
        <w:spacing w:line="240" w:lineRule="auto" w:before="0" w:after="0"/>
        <w:ind w:left="518" w:right="0" w:hanging="392"/>
        <w:jc w:val="left"/>
      </w:pPr>
      <w:bookmarkStart w:name="_TOC_250067" w:id="62"/>
      <w:bookmarkEnd w:id="62"/>
      <w:r>
        <w:rPr/>
        <w:t>．  证明和资料的补充</w:t>
      </w:r>
    </w:p>
    <w:p>
      <w:pPr>
        <w:pStyle w:val="BodyText"/>
        <w:spacing w:before="9"/>
        <w:rPr>
          <w:rFonts w:ascii="Microsoft JhengHei UI"/>
          <w:b/>
          <w:sz w:val="19"/>
        </w:rPr>
      </w:pPr>
    </w:p>
    <w:p>
      <w:pPr>
        <w:pStyle w:val="BodyText"/>
        <w:spacing w:line="273" w:lineRule="auto"/>
        <w:ind w:left="120" w:right="119"/>
      </w:pPr>
      <w:r>
        <w:rPr>
          <w:w w:val="93"/>
        </w:rPr>
        <w:t>6</w:t>
      </w:r>
      <w:r>
        <w:rPr>
          <w:w w:val="43"/>
        </w:rPr>
        <w:t>.</w:t>
      </w:r>
      <w:r>
        <w:rPr>
          <w:w w:val="93"/>
        </w:rPr>
        <w:t>3</w:t>
      </w:r>
      <w:r>
        <w:rPr>
          <w:w w:val="43"/>
        </w:rPr>
        <w:t>.</w:t>
      </w:r>
      <w:r>
        <w:rPr>
          <w:w w:val="93"/>
        </w:rPr>
        <w:t>1</w:t>
      </w:r>
      <w:r>
        <w:rPr>
          <w:w w:val="99"/>
        </w:rPr>
        <w:t>、</w:t>
      </w:r>
      <w:r>
        <w:rPr>
          <w:w w:val="93"/>
        </w:rPr>
        <w:t>6</w:t>
      </w:r>
      <w:r>
        <w:rPr>
          <w:w w:val="43"/>
        </w:rPr>
        <w:t>.</w:t>
      </w:r>
      <w:r>
        <w:rPr>
          <w:w w:val="93"/>
        </w:rPr>
        <w:t>3</w:t>
      </w:r>
      <w:r>
        <w:rPr>
          <w:w w:val="43"/>
        </w:rPr>
        <w:t>.</w:t>
      </w:r>
      <w:r>
        <w:rPr>
          <w:w w:val="93"/>
        </w:rPr>
        <w:t>2</w:t>
      </w:r>
      <w:r>
        <w:rPr>
          <w:w w:val="99"/>
        </w:rPr>
        <w:t>、</w:t>
      </w:r>
      <w:r>
        <w:rPr>
          <w:w w:val="93"/>
        </w:rPr>
        <w:t>6</w:t>
      </w:r>
      <w:r>
        <w:rPr>
          <w:w w:val="43"/>
        </w:rPr>
        <w:t>.</w:t>
      </w:r>
      <w:r>
        <w:rPr>
          <w:w w:val="93"/>
        </w:rPr>
        <w:t>3</w:t>
      </w:r>
      <w:r>
        <w:rPr>
          <w:w w:val="43"/>
        </w:rPr>
        <w:t>.</w:t>
      </w:r>
      <w:r>
        <w:rPr>
          <w:w w:val="93"/>
        </w:rPr>
        <w:t>3</w:t>
      </w:r>
      <w:r>
        <w:rPr>
          <w:w w:val="99"/>
        </w:rPr>
        <w:t>所列示的证明和资料不完整的，本公司将及时一次性通知申请人补充提供</w:t>
      </w:r>
      <w:r>
        <w:rPr>
          <w:w w:val="95"/>
        </w:rPr>
        <w:t>有关证明和资料。</w:t>
      </w:r>
    </w:p>
    <w:p>
      <w:pPr>
        <w:pStyle w:val="BodyText"/>
        <w:spacing w:before="3"/>
        <w:rPr>
          <w:sz w:val="30"/>
        </w:rPr>
      </w:pPr>
    </w:p>
    <w:p>
      <w:pPr>
        <w:pStyle w:val="BodyText"/>
        <w:spacing w:line="408" w:lineRule="auto"/>
        <w:ind w:left="120" w:right="121"/>
        <w:jc w:val="both"/>
      </w:pPr>
      <w:r>
        <w:rPr>
          <w:spacing w:val="-8"/>
          <w:w w:val="95"/>
        </w:rPr>
        <w:t>若委托他人办理，须提供委托人亲笔签名的授权委托书及受托人身份证明文件原件。本公司   </w:t>
      </w:r>
      <w:r>
        <w:rPr>
          <w:spacing w:val="-11"/>
          <w:w w:val="95"/>
        </w:rPr>
        <w:t>有权要求委托人对其签名的委托书进行公证，若本公司要求该授权委托书须公证的，受托人   应当提供经公证的委托人亲笔签名的授权委托书。</w:t>
      </w:r>
    </w:p>
    <w:p>
      <w:pPr>
        <w:pStyle w:val="BodyText"/>
        <w:rPr>
          <w:sz w:val="26"/>
        </w:rPr>
      </w:pPr>
    </w:p>
    <w:p>
      <w:pPr>
        <w:pStyle w:val="BodyText"/>
        <w:rPr>
          <w:sz w:val="24"/>
        </w:rPr>
      </w:pPr>
    </w:p>
    <w:p>
      <w:pPr>
        <w:pStyle w:val="Heading2"/>
        <w:numPr>
          <w:ilvl w:val="1"/>
          <w:numId w:val="10"/>
        </w:numPr>
        <w:tabs>
          <w:tab w:pos="702" w:val="left" w:leader="none"/>
          <w:tab w:pos="703" w:val="left" w:leader="none"/>
        </w:tabs>
        <w:spacing w:line="240" w:lineRule="auto" w:before="1" w:after="0"/>
        <w:ind w:left="702" w:right="0" w:hanging="576"/>
        <w:jc w:val="left"/>
      </w:pPr>
      <w:bookmarkStart w:name="_TOC_250066" w:id="63"/>
      <w:bookmarkEnd w:id="63"/>
      <w:r>
        <w:rPr>
          <w:w w:val="95"/>
        </w:rPr>
        <w:t>保险金的给付</w:t>
      </w:r>
    </w:p>
    <w:p>
      <w:pPr>
        <w:pStyle w:val="BodyText"/>
        <w:spacing w:before="13"/>
        <w:rPr>
          <w:rFonts w:ascii="Microsoft JhengHei UI"/>
          <w:b/>
          <w:sz w:val="27"/>
        </w:rPr>
      </w:pPr>
    </w:p>
    <w:p>
      <w:pPr>
        <w:pStyle w:val="BodyText"/>
        <w:spacing w:line="408" w:lineRule="auto"/>
        <w:ind w:left="120" w:right="117"/>
        <w:jc w:val="both"/>
      </w:pPr>
      <w:r>
        <w:rPr>
          <w:spacing w:val="-4"/>
          <w:w w:val="95"/>
        </w:rPr>
        <w:t>本公司在收到申请书及合同约定的证明和资料后，将及时作出核定；情形复杂的，在</w:t>
      </w:r>
      <w:r>
        <w:rPr>
          <w:w w:val="95"/>
        </w:rPr>
        <w:t>30日内   </w:t>
      </w:r>
      <w:r>
        <w:rPr>
          <w:spacing w:val="-9"/>
          <w:w w:val="95"/>
        </w:rPr>
        <w:t>作出核定，另有约定的除外。对属于保险责任的，本公司在与申请人达成有关给付保险金数   额的协议后10日内，履行给付保险金责任。对不属于保险责任的，本公司不予给付保险金，  自本公司作出核定之日起3日内向受益人发出拒绝给付保险金通知书并说明理由。</w:t>
      </w:r>
    </w:p>
    <w:p>
      <w:pPr>
        <w:pStyle w:val="BodyText"/>
        <w:rPr>
          <w:sz w:val="22"/>
        </w:rPr>
      </w:pPr>
    </w:p>
    <w:p>
      <w:pPr>
        <w:pStyle w:val="Heading2"/>
        <w:numPr>
          <w:ilvl w:val="1"/>
          <w:numId w:val="10"/>
        </w:numPr>
        <w:tabs>
          <w:tab w:pos="702" w:val="left" w:leader="none"/>
          <w:tab w:pos="703" w:val="left" w:leader="none"/>
        </w:tabs>
        <w:spacing w:line="240" w:lineRule="auto" w:before="0" w:after="0"/>
        <w:ind w:left="702" w:right="0" w:hanging="576"/>
        <w:jc w:val="left"/>
      </w:pPr>
      <w:bookmarkStart w:name="_TOC_250065" w:id="64"/>
      <w:bookmarkEnd w:id="64"/>
      <w:r>
        <w:rPr>
          <w:w w:val="95"/>
        </w:rPr>
        <w:t>诉讼时效</w:t>
      </w:r>
    </w:p>
    <w:p>
      <w:pPr>
        <w:pStyle w:val="BodyText"/>
        <w:spacing w:before="15"/>
        <w:rPr>
          <w:rFonts w:ascii="Microsoft JhengHei UI"/>
          <w:b/>
          <w:sz w:val="27"/>
        </w:rPr>
      </w:pPr>
    </w:p>
    <w:p>
      <w:pPr>
        <w:pStyle w:val="BodyText"/>
        <w:spacing w:line="408" w:lineRule="auto"/>
        <w:ind w:left="120" w:right="119"/>
      </w:pPr>
      <w:r>
        <w:rPr>
          <w:spacing w:val="-4"/>
          <w:w w:val="95"/>
        </w:rPr>
        <w:t>受益人向本公司请求给付保险金的诉讼时效期间为五年，自其知道或应当知道保险事故发生   之日起计算。</w:t>
      </w:r>
    </w:p>
    <w:p>
      <w:pPr>
        <w:pStyle w:val="BodyText"/>
        <w:rPr>
          <w:sz w:val="35"/>
        </w:rPr>
      </w:pPr>
    </w:p>
    <w:p>
      <w:pPr>
        <w:pStyle w:val="Heading2"/>
        <w:numPr>
          <w:ilvl w:val="0"/>
          <w:numId w:val="9"/>
        </w:numPr>
        <w:tabs>
          <w:tab w:pos="558" w:val="left" w:leader="none"/>
          <w:tab w:pos="559" w:val="left" w:leader="none"/>
        </w:tabs>
        <w:spacing w:line="240" w:lineRule="auto" w:before="1" w:after="0"/>
        <w:ind w:left="558" w:right="0" w:hanging="438"/>
        <w:jc w:val="left"/>
      </w:pPr>
      <w:bookmarkStart w:name="_TOC_250064" w:id="65"/>
      <w:bookmarkEnd w:id="65"/>
      <w:r>
        <w:rPr>
          <w:w w:val="95"/>
        </w:rPr>
        <w:t>现金价值权益</w:t>
      </w:r>
    </w:p>
    <w:p>
      <w:pPr>
        <w:pStyle w:val="BodyText"/>
        <w:spacing w:before="10"/>
        <w:rPr>
          <w:rFonts w:ascii="Microsoft JhengHei UI"/>
          <w:b/>
          <w:sz w:val="37"/>
        </w:rPr>
      </w:pPr>
    </w:p>
    <w:p>
      <w:pPr>
        <w:pStyle w:val="Heading2"/>
        <w:numPr>
          <w:ilvl w:val="1"/>
          <w:numId w:val="9"/>
        </w:numPr>
        <w:tabs>
          <w:tab w:pos="702" w:val="left" w:leader="none"/>
          <w:tab w:pos="703" w:val="left" w:leader="none"/>
        </w:tabs>
        <w:spacing w:line="240" w:lineRule="auto" w:before="0" w:after="0"/>
        <w:ind w:left="702" w:right="0" w:hanging="576"/>
        <w:jc w:val="left"/>
      </w:pPr>
      <w:bookmarkStart w:name="_TOC_250063" w:id="66"/>
      <w:bookmarkEnd w:id="66"/>
      <w:r>
        <w:rPr>
          <w:w w:val="95"/>
        </w:rPr>
        <w:t>现金价值</w:t>
      </w:r>
    </w:p>
    <w:p>
      <w:pPr>
        <w:pStyle w:val="BodyText"/>
        <w:spacing w:before="12"/>
        <w:rPr>
          <w:rFonts w:ascii="Microsoft JhengHei UI"/>
          <w:b/>
          <w:sz w:val="27"/>
        </w:rPr>
      </w:pPr>
    </w:p>
    <w:p>
      <w:pPr>
        <w:pStyle w:val="BodyText"/>
        <w:spacing w:line="408" w:lineRule="auto" w:before="1"/>
        <w:ind w:left="120" w:right="119"/>
      </w:pPr>
      <w:r>
        <w:rPr>
          <w:spacing w:val="-4"/>
          <w:w w:val="95"/>
        </w:rPr>
        <w:t>本附加险合同保单年度末的现金价值会在保险单上载明。您可以向本公司咨询保单年度内的   现金价值。</w:t>
      </w:r>
    </w:p>
    <w:p>
      <w:pPr>
        <w:spacing w:after="0" w:line="408" w:lineRule="auto"/>
        <w:sectPr>
          <w:pgSz w:w="11910" w:h="16840"/>
          <w:pgMar w:header="0" w:footer="1268" w:top="1360" w:bottom="1460" w:left="1680" w:right="1680"/>
        </w:sectPr>
      </w:pPr>
    </w:p>
    <w:p>
      <w:pPr>
        <w:pStyle w:val="Heading2"/>
        <w:numPr>
          <w:ilvl w:val="1"/>
          <w:numId w:val="9"/>
        </w:numPr>
        <w:tabs>
          <w:tab w:pos="702" w:val="left" w:leader="none"/>
          <w:tab w:pos="703" w:val="left" w:leader="none"/>
        </w:tabs>
        <w:spacing w:line="347" w:lineRule="exact" w:before="0" w:after="0"/>
        <w:ind w:left="702" w:right="0" w:hanging="576"/>
        <w:jc w:val="left"/>
      </w:pPr>
      <w:bookmarkStart w:name="_TOC_250062" w:id="67"/>
      <w:bookmarkStart w:name="保险费自动垫交" w:id="68"/>
      <w:r>
        <w:rPr>
          <w:b w:val="0"/>
        </w:rPr>
      </w:r>
      <w:bookmarkStart w:name="保单贷款" w:id="69"/>
      <w:bookmarkEnd w:id="69"/>
      <w:r>
        <w:rPr>
          <w:b w:val="0"/>
        </w:rPr>
      </w:r>
      <w:bookmarkStart w:name="未还款项" w:id="70"/>
      <w:bookmarkEnd w:id="70"/>
      <w:r>
        <w:rPr>
          <w:b w:val="0"/>
        </w:rPr>
      </w:r>
      <w:bookmarkStart w:name="未还款项" w:id="71"/>
      <w:bookmarkEnd w:id="67"/>
      <w:r>
        <w:rPr>
          <w:w w:val="95"/>
        </w:rPr>
        <w:t>保险费自动垫交</w:t>
      </w:r>
    </w:p>
    <w:p>
      <w:pPr>
        <w:pStyle w:val="BodyText"/>
        <w:spacing w:before="13"/>
        <w:rPr>
          <w:rFonts w:ascii="Microsoft JhengHei UI"/>
          <w:b/>
          <w:sz w:val="27"/>
        </w:rPr>
      </w:pPr>
    </w:p>
    <w:p>
      <w:pPr>
        <w:pStyle w:val="BodyText"/>
        <w:spacing w:line="408" w:lineRule="auto"/>
        <w:ind w:left="120" w:right="119"/>
      </w:pPr>
      <w:r>
        <w:rPr>
          <w:spacing w:val="-4"/>
          <w:w w:val="95"/>
        </w:rPr>
        <w:t>如果您在保险费宽限期结束后仍未交纳到期应交保险费，并且在投保时或宽限期满前没有书   </w:t>
      </w:r>
      <w:r>
        <w:rPr>
          <w:spacing w:val="-11"/>
          <w:w w:val="95"/>
        </w:rPr>
        <w:t>面声明反对保险费自动垫交，则在宽限期届满时本公司将用本附加险合同当时所具有的现金   </w:t>
      </w:r>
      <w:r>
        <w:rPr>
          <w:spacing w:val="-11"/>
        </w:rPr>
        <w:t>价值扣除未偿还的保单贷款本息、以前已垫交的保费及利息后的余额垫交到期应交的保险</w:t>
      </w:r>
      <w:r>
        <w:rPr>
          <w:spacing w:val="-11"/>
          <w:w w:val="95"/>
        </w:rPr>
        <w:t>费，使本附加险合同持续有效。</w:t>
      </w:r>
    </w:p>
    <w:p>
      <w:pPr>
        <w:pStyle w:val="BodyText"/>
        <w:spacing w:line="408" w:lineRule="auto" w:before="46"/>
        <w:ind w:left="120" w:right="119"/>
        <w:jc w:val="both"/>
      </w:pPr>
      <w:r>
        <w:rPr>
          <w:spacing w:val="-4"/>
          <w:w w:val="95"/>
        </w:rPr>
        <w:t>如果本附加险合同当时所具有的现金价值扣除未偿还的保单贷款本息、以前已垫交的保费及   </w:t>
      </w:r>
      <w:r>
        <w:rPr>
          <w:spacing w:val="-9"/>
          <w:w w:val="95"/>
        </w:rPr>
        <w:t>利息后的余额不足以垫交到期应交保险费时，本附加险合同效力即告中止，效力中止期间本   公司不承担保险责任。</w:t>
      </w:r>
    </w:p>
    <w:p>
      <w:pPr>
        <w:pStyle w:val="BodyText"/>
        <w:spacing w:line="408" w:lineRule="auto" w:before="46"/>
        <w:ind w:left="120" w:right="117"/>
      </w:pPr>
      <w:r>
        <w:rPr>
          <w:spacing w:val="-6"/>
          <w:w w:val="95"/>
        </w:rPr>
        <w:t>主险合同进行保险费自动垫交时，本附加险合同应同时进行保险费自动垫交。本附加险合同   不能单独进行保险费自动垫交。</w:t>
      </w:r>
    </w:p>
    <w:p>
      <w:pPr>
        <w:pStyle w:val="BodyText"/>
        <w:spacing w:before="2"/>
        <w:rPr>
          <w:sz w:val="22"/>
        </w:rPr>
      </w:pPr>
    </w:p>
    <w:p>
      <w:pPr>
        <w:pStyle w:val="Heading2"/>
        <w:numPr>
          <w:ilvl w:val="1"/>
          <w:numId w:val="9"/>
        </w:numPr>
        <w:tabs>
          <w:tab w:pos="702" w:val="left" w:leader="none"/>
          <w:tab w:pos="703" w:val="left" w:leader="none"/>
        </w:tabs>
        <w:spacing w:line="240" w:lineRule="auto" w:before="1" w:after="0"/>
        <w:ind w:left="702" w:right="0" w:hanging="576"/>
        <w:jc w:val="left"/>
      </w:pPr>
      <w:bookmarkStart w:name="_TOC_250061" w:id="72"/>
      <w:bookmarkEnd w:id="72"/>
      <w:r>
        <w:rPr>
          <w:w w:val="95"/>
        </w:rPr>
        <w:t>保单贷款</w:t>
      </w:r>
    </w:p>
    <w:p>
      <w:pPr>
        <w:pStyle w:val="BodyText"/>
        <w:spacing w:before="13"/>
        <w:rPr>
          <w:rFonts w:ascii="Microsoft JhengHei UI"/>
          <w:b/>
          <w:sz w:val="27"/>
        </w:rPr>
      </w:pPr>
    </w:p>
    <w:p>
      <w:pPr>
        <w:pStyle w:val="BodyText"/>
        <w:ind w:left="540"/>
      </w:pPr>
      <w:r>
        <w:rPr>
          <w:w w:val="95"/>
        </w:rPr>
        <w:t>在本附加险合同有效期内，您可以以书面形式凭保单向本公司申请贷款。</w:t>
      </w:r>
    </w:p>
    <w:p>
      <w:pPr>
        <w:pStyle w:val="BodyText"/>
        <w:rPr>
          <w:sz w:val="20"/>
        </w:rPr>
      </w:pPr>
    </w:p>
    <w:p>
      <w:pPr>
        <w:pStyle w:val="BodyText"/>
        <w:spacing w:line="403" w:lineRule="auto"/>
        <w:ind w:left="546" w:right="441"/>
      </w:pPr>
      <w:r>
        <w:rPr>
          <w:rFonts w:ascii="Microsoft JhengHei UI" w:eastAsia="Microsoft JhengHei UI" w:hint="eastAsia"/>
          <w:b/>
        </w:rPr>
        <w:t>贷款金额</w:t>
      </w:r>
      <w:r>
        <w:rPr/>
        <w:t>：贷款金额不得超过本附加险合同当时所具有的现金价值的百分之八十。</w:t>
      </w:r>
      <w:r>
        <w:rPr>
          <w:rFonts w:ascii="Microsoft JhengHei UI" w:eastAsia="Microsoft JhengHei UI" w:hint="eastAsia"/>
          <w:b/>
          <w:w w:val="95"/>
        </w:rPr>
        <w:t>贷款期限</w:t>
      </w:r>
      <w:r>
        <w:rPr>
          <w:w w:val="95"/>
        </w:rPr>
        <w:t>：每次贷款的最长期限为六个月。</w:t>
      </w:r>
    </w:p>
    <w:p>
      <w:pPr>
        <w:pStyle w:val="BodyText"/>
        <w:spacing w:line="403" w:lineRule="auto" w:before="57"/>
        <w:ind w:left="546" w:right="919"/>
      </w:pPr>
      <w:r>
        <w:rPr>
          <w:rFonts w:ascii="Microsoft JhengHei UI" w:eastAsia="Microsoft JhengHei UI" w:hint="eastAsia"/>
          <w:b/>
          <w:spacing w:val="-12"/>
        </w:rPr>
        <w:t>贷款利率：</w:t>
      </w:r>
      <w:r>
        <w:rPr/>
        <w:t>保单贷款利率按照本条款约定利率执行，并在贷款协议中载明。 </w:t>
      </w:r>
      <w:r>
        <w:rPr>
          <w:rFonts w:ascii="Microsoft JhengHei UI" w:eastAsia="Microsoft JhengHei UI" w:hint="eastAsia"/>
          <w:b/>
          <w:spacing w:val="3"/>
        </w:rPr>
        <w:t>贷款利息计算: </w:t>
      </w:r>
      <w:r>
        <w:rPr/>
        <w:t>在贷款期限内，按照本附加险条款约定利率以单利计算利息。</w:t>
      </w:r>
    </w:p>
    <w:p>
      <w:pPr>
        <w:pStyle w:val="BodyText"/>
        <w:spacing w:line="357" w:lineRule="auto" w:before="57"/>
        <w:ind w:left="540" w:right="115" w:firstLine="6"/>
      </w:pPr>
      <w:r>
        <w:rPr>
          <w:rFonts w:ascii="Microsoft JhengHei UI" w:eastAsia="Microsoft JhengHei UI" w:hint="eastAsia"/>
          <w:b/>
          <w:spacing w:val="-1"/>
        </w:rPr>
        <w:t>贷款偿还</w:t>
      </w:r>
      <w:r>
        <w:rPr>
          <w:spacing w:val="-9"/>
        </w:rPr>
        <w:t>：贷款本息在贷款到期时一并归还。如果您到期未能足额偿还贷款本息，则您</w:t>
      </w:r>
      <w:r>
        <w:rPr>
          <w:spacing w:val="-9"/>
          <w:w w:val="95"/>
        </w:rPr>
        <w:t>所欠的贷款本息将作为新的贷款本金按照本条款约定利率计息。</w:t>
      </w:r>
    </w:p>
    <w:p>
      <w:pPr>
        <w:pStyle w:val="BodyText"/>
        <w:spacing w:line="408" w:lineRule="auto" w:before="209"/>
        <w:ind w:left="120" w:right="98"/>
      </w:pPr>
      <w:r>
        <w:rPr/>
        <w:t>当未还保单贷款本息和所欠交的保险费及利息的总金额与本附加险合同当时的现金价值相</w:t>
      </w:r>
      <w:r>
        <w:rPr>
          <w:w w:val="95"/>
        </w:rPr>
        <w:t>等时，本附加险合同效力即行中止。</w:t>
      </w:r>
    </w:p>
    <w:p>
      <w:pPr>
        <w:pStyle w:val="BodyText"/>
        <w:spacing w:line="408" w:lineRule="auto" w:before="165"/>
        <w:ind w:left="120" w:right="119"/>
      </w:pPr>
      <w:r>
        <w:rPr>
          <w:spacing w:val="-6"/>
          <w:w w:val="95"/>
        </w:rPr>
        <w:t>您对主险合同申请保单贷款时，本附加险合同应同时进行保单贷款，贷款比例和利息计算方   式与主险一致。您不能单独对本附加险合同进行保单借款。</w:t>
      </w:r>
    </w:p>
    <w:p>
      <w:pPr>
        <w:pStyle w:val="BodyText"/>
        <w:rPr>
          <w:sz w:val="35"/>
        </w:rPr>
      </w:pPr>
    </w:p>
    <w:p>
      <w:pPr>
        <w:pStyle w:val="Heading2"/>
        <w:numPr>
          <w:ilvl w:val="0"/>
          <w:numId w:val="9"/>
        </w:numPr>
        <w:tabs>
          <w:tab w:pos="558" w:val="left" w:leader="none"/>
          <w:tab w:pos="559" w:val="left" w:leader="none"/>
        </w:tabs>
        <w:spacing w:line="240" w:lineRule="auto" w:before="1" w:after="0"/>
        <w:ind w:left="558" w:right="0" w:hanging="438"/>
        <w:jc w:val="left"/>
      </w:pPr>
      <w:bookmarkStart w:name="_TOC_250060" w:id="73"/>
      <w:bookmarkEnd w:id="73"/>
      <w:r>
        <w:rPr>
          <w:w w:val="95"/>
        </w:rPr>
        <w:t>未还款项</w:t>
      </w:r>
    </w:p>
    <w:p>
      <w:pPr>
        <w:pStyle w:val="BodyText"/>
        <w:spacing w:before="10"/>
        <w:rPr>
          <w:rFonts w:ascii="Microsoft JhengHei UI"/>
          <w:b/>
          <w:sz w:val="38"/>
        </w:rPr>
      </w:pPr>
    </w:p>
    <w:p>
      <w:pPr>
        <w:pStyle w:val="BodyText"/>
        <w:ind w:left="120"/>
      </w:pPr>
      <w:r>
        <w:rPr>
          <w:w w:val="95"/>
        </w:rPr>
        <w:t>如果本附加险合同有未偿清的保单贷款本息、欠交保险费及利息，本公司在向您给付各项保</w:t>
      </w:r>
    </w:p>
    <w:p>
      <w:pPr>
        <w:spacing w:after="0"/>
        <w:sectPr>
          <w:pgSz w:w="11910" w:h="16840"/>
          <w:pgMar w:header="0" w:footer="1268" w:top="1460" w:bottom="1460" w:left="1680" w:right="1680"/>
        </w:sectPr>
      </w:pPr>
    </w:p>
    <w:p>
      <w:pPr>
        <w:pStyle w:val="BodyText"/>
        <w:spacing w:before="32"/>
        <w:ind w:left="120"/>
      </w:pPr>
      <w:bookmarkStart w:name="合同效力的变动" w:id="74"/>
      <w:bookmarkEnd w:id="74"/>
      <w:r>
        <w:rPr/>
      </w:r>
      <w:bookmarkStart w:name="合同效力的中止" w:id="75"/>
      <w:bookmarkEnd w:id="75"/>
      <w:r>
        <w:rPr/>
      </w:r>
      <w:bookmarkStart w:name="合同效力的恢复" w:id="76"/>
      <w:bookmarkEnd w:id="76"/>
      <w:r>
        <w:rPr/>
      </w:r>
      <w:bookmarkStart w:name="合同的解除——退保" w:id="77"/>
      <w:bookmarkEnd w:id="77"/>
      <w:r>
        <w:rPr/>
      </w:r>
      <w:bookmarkStart w:name="9.3.1.犹豫期" w:id="78"/>
      <w:bookmarkEnd w:id="78"/>
      <w:r>
        <w:rPr/>
      </w:r>
      <w:bookmarkStart w:name="9.3.2.犹豫期之后申请退保" w:id="79"/>
      <w:bookmarkEnd w:id="79"/>
      <w:r>
        <w:rPr/>
      </w:r>
      <w:r>
        <w:rPr>
          <w:w w:val="95"/>
        </w:rPr>
        <w:t>险金、返还退保金和保险费时，将先扣除这些未还款项。</w:t>
      </w:r>
    </w:p>
    <w:p>
      <w:pPr>
        <w:pStyle w:val="BodyText"/>
        <w:rPr>
          <w:sz w:val="26"/>
        </w:rPr>
      </w:pPr>
    </w:p>
    <w:p>
      <w:pPr>
        <w:pStyle w:val="BodyText"/>
        <w:spacing w:before="4"/>
        <w:rPr>
          <w:sz w:val="20"/>
        </w:rPr>
      </w:pPr>
    </w:p>
    <w:p>
      <w:pPr>
        <w:pStyle w:val="Heading2"/>
        <w:numPr>
          <w:ilvl w:val="0"/>
          <w:numId w:val="9"/>
        </w:numPr>
        <w:tabs>
          <w:tab w:pos="550" w:val="left" w:leader="none"/>
          <w:tab w:pos="552" w:val="left" w:leader="none"/>
        </w:tabs>
        <w:spacing w:line="240" w:lineRule="auto" w:before="0" w:after="0"/>
        <w:ind w:left="551" w:right="0" w:hanging="431"/>
        <w:jc w:val="left"/>
      </w:pPr>
      <w:bookmarkStart w:name="_TOC_250059" w:id="80"/>
      <w:bookmarkEnd w:id="80"/>
      <w:r>
        <w:rPr>
          <w:w w:val="95"/>
        </w:rPr>
        <w:t>合同效力的变动</w:t>
      </w:r>
    </w:p>
    <w:p>
      <w:pPr>
        <w:pStyle w:val="BodyText"/>
        <w:spacing w:before="7"/>
        <w:rPr>
          <w:rFonts w:ascii="Microsoft JhengHei UI"/>
          <w:b/>
          <w:sz w:val="37"/>
        </w:rPr>
      </w:pPr>
    </w:p>
    <w:p>
      <w:pPr>
        <w:pStyle w:val="Heading2"/>
        <w:numPr>
          <w:ilvl w:val="1"/>
          <w:numId w:val="9"/>
        </w:numPr>
        <w:tabs>
          <w:tab w:pos="702" w:val="left" w:leader="none"/>
          <w:tab w:pos="703" w:val="left" w:leader="none"/>
        </w:tabs>
        <w:spacing w:line="240" w:lineRule="auto" w:before="0" w:after="0"/>
        <w:ind w:left="702" w:right="0" w:hanging="576"/>
        <w:jc w:val="left"/>
      </w:pPr>
      <w:bookmarkStart w:name="_TOC_250058" w:id="81"/>
      <w:bookmarkEnd w:id="81"/>
      <w:r>
        <w:rPr>
          <w:w w:val="95"/>
        </w:rPr>
        <w:t>合同效力的中止</w:t>
      </w:r>
    </w:p>
    <w:p>
      <w:pPr>
        <w:pStyle w:val="BodyText"/>
        <w:spacing w:before="15"/>
        <w:rPr>
          <w:rFonts w:ascii="Microsoft JhengHei UI"/>
          <w:b/>
          <w:sz w:val="27"/>
        </w:rPr>
      </w:pPr>
    </w:p>
    <w:p>
      <w:pPr>
        <w:pStyle w:val="BodyText"/>
        <w:spacing w:line="408" w:lineRule="auto"/>
        <w:ind w:left="120" w:right="103"/>
      </w:pPr>
      <w:r>
        <w:rPr>
          <w:w w:val="95"/>
        </w:rPr>
        <w:t>如果您在保险费交纳宽限期结束后未交纳到期应交的保险费，除本附加险合同另有约定外，  本附加险合同自宽限期满次日零时起效力中止。</w:t>
      </w:r>
    </w:p>
    <w:p>
      <w:pPr>
        <w:pStyle w:val="Heading2"/>
        <w:spacing w:line="345" w:lineRule="exact"/>
        <w:ind w:left="126" w:firstLine="0"/>
      </w:pPr>
      <w:r>
        <w:rPr>
          <w:w w:val="95"/>
        </w:rPr>
        <w:t>在本附加险合同效力中止期间，本公司不承担保险责任。</w:t>
      </w:r>
    </w:p>
    <w:p>
      <w:pPr>
        <w:pStyle w:val="BodyText"/>
        <w:spacing w:before="15"/>
        <w:rPr>
          <w:rFonts w:ascii="Microsoft JhengHei UI"/>
          <w:b/>
          <w:sz w:val="24"/>
        </w:rPr>
      </w:pPr>
    </w:p>
    <w:p>
      <w:pPr>
        <w:pStyle w:val="Heading2"/>
        <w:numPr>
          <w:ilvl w:val="1"/>
          <w:numId w:val="9"/>
        </w:numPr>
        <w:tabs>
          <w:tab w:pos="702" w:val="left" w:leader="none"/>
          <w:tab w:pos="703" w:val="left" w:leader="none"/>
        </w:tabs>
        <w:spacing w:line="240" w:lineRule="auto" w:before="0" w:after="0"/>
        <w:ind w:left="702" w:right="0" w:hanging="576"/>
        <w:jc w:val="left"/>
      </w:pPr>
      <w:bookmarkStart w:name="_TOC_250057" w:id="82"/>
      <w:bookmarkEnd w:id="82"/>
      <w:r>
        <w:rPr>
          <w:w w:val="95"/>
        </w:rPr>
        <w:t>合同效力的恢复</w:t>
      </w:r>
    </w:p>
    <w:p>
      <w:pPr>
        <w:pStyle w:val="BodyText"/>
        <w:spacing w:before="15"/>
        <w:rPr>
          <w:rFonts w:ascii="Microsoft JhengHei UI"/>
          <w:b/>
          <w:sz w:val="27"/>
        </w:rPr>
      </w:pPr>
    </w:p>
    <w:p>
      <w:pPr>
        <w:pStyle w:val="BodyText"/>
        <w:spacing w:line="408" w:lineRule="auto"/>
        <w:ind w:left="120" w:right="157"/>
        <w:jc w:val="both"/>
      </w:pPr>
      <w:r>
        <w:rPr>
          <w:spacing w:val="-3"/>
        </w:rPr>
        <w:t>本附加险合同效力中止后二年内，您可以申请复效。申请复效时，您应填写复效申请书，并</w:t>
      </w:r>
      <w:r>
        <w:rPr>
          <w:spacing w:val="-6"/>
          <w:w w:val="95"/>
        </w:rPr>
        <w:t>按本公司的规定提供被保险人健康声明书或本公司指定的医院出具的体检报告书，申请复效   </w:t>
      </w:r>
      <w:r>
        <w:rPr>
          <w:spacing w:val="-11"/>
          <w:w w:val="95"/>
        </w:rPr>
        <w:t>时发生的体检费等相关费用由您自行承担。经本公司审核同意，自您补交欠交的保险费及利   息后的次日零时起，本附加险合同效力恢复。</w:t>
      </w:r>
    </w:p>
    <w:p>
      <w:pPr>
        <w:pStyle w:val="BodyText"/>
        <w:spacing w:line="408" w:lineRule="auto" w:before="46"/>
        <w:ind w:left="120" w:right="157"/>
      </w:pPr>
      <w:r>
        <w:rPr>
          <w:spacing w:val="-6"/>
        </w:rPr>
        <w:t>自本附加险合同效力中止之日起二年内，如果您未提出复效申请或复效申请未经过本公司审</w:t>
      </w:r>
      <w:r>
        <w:rPr>
          <w:spacing w:val="-6"/>
          <w:w w:val="95"/>
        </w:rPr>
        <w:t>核同意，本附加险合同自效力中止二年期限届满次日零时起效力终止。</w:t>
      </w:r>
    </w:p>
    <w:p>
      <w:pPr>
        <w:pStyle w:val="BodyText"/>
        <w:spacing w:before="46"/>
        <w:ind w:left="120"/>
      </w:pPr>
      <w:r>
        <w:rPr>
          <w:w w:val="95"/>
        </w:rPr>
        <w:t>主险合同效力中止期间，本附加险合同不得单独申请复效。</w:t>
      </w:r>
    </w:p>
    <w:p>
      <w:pPr>
        <w:pStyle w:val="BodyText"/>
        <w:spacing w:before="3"/>
        <w:rPr>
          <w:sz w:val="33"/>
        </w:rPr>
      </w:pPr>
    </w:p>
    <w:p>
      <w:pPr>
        <w:pStyle w:val="Heading2"/>
        <w:numPr>
          <w:ilvl w:val="1"/>
          <w:numId w:val="9"/>
        </w:numPr>
        <w:tabs>
          <w:tab w:pos="702" w:val="left" w:leader="none"/>
          <w:tab w:pos="703" w:val="left" w:leader="none"/>
        </w:tabs>
        <w:spacing w:line="240" w:lineRule="auto" w:before="0" w:after="0"/>
        <w:ind w:left="702" w:right="0" w:hanging="576"/>
        <w:jc w:val="left"/>
      </w:pPr>
      <w:bookmarkStart w:name="_TOC_250056" w:id="83"/>
      <w:bookmarkEnd w:id="83"/>
      <w:r>
        <w:rPr>
          <w:w w:val="95"/>
        </w:rPr>
        <w:t>合同的解除——退保</w:t>
      </w:r>
    </w:p>
    <w:p>
      <w:pPr>
        <w:pStyle w:val="BodyText"/>
        <w:spacing w:before="15"/>
        <w:rPr>
          <w:rFonts w:ascii="Microsoft JhengHei UI"/>
          <w:b/>
          <w:sz w:val="26"/>
        </w:rPr>
      </w:pPr>
    </w:p>
    <w:p>
      <w:pPr>
        <w:pStyle w:val="Heading2"/>
        <w:numPr>
          <w:ilvl w:val="2"/>
          <w:numId w:val="9"/>
        </w:numPr>
        <w:tabs>
          <w:tab w:pos="669" w:val="left" w:leader="none"/>
        </w:tabs>
        <w:spacing w:line="240" w:lineRule="auto" w:before="0" w:after="0"/>
        <w:ind w:left="668" w:right="0" w:hanging="542"/>
        <w:jc w:val="left"/>
      </w:pPr>
      <w:bookmarkStart w:name="_TOC_250055" w:id="84"/>
      <w:bookmarkEnd w:id="84"/>
      <w:r>
        <w:rPr>
          <w:w w:val="95"/>
        </w:rPr>
        <w:t>犹豫期</w:t>
      </w:r>
    </w:p>
    <w:p>
      <w:pPr>
        <w:pStyle w:val="BodyText"/>
        <w:spacing w:before="15"/>
        <w:rPr>
          <w:rFonts w:ascii="Microsoft JhengHei UI"/>
          <w:b/>
          <w:sz w:val="27"/>
        </w:rPr>
      </w:pPr>
    </w:p>
    <w:p>
      <w:pPr>
        <w:pStyle w:val="BodyText"/>
        <w:spacing w:line="408" w:lineRule="auto"/>
        <w:ind w:left="120" w:right="157"/>
        <w:jc w:val="both"/>
      </w:pPr>
      <w:r>
        <w:rPr>
          <w:spacing w:val="-3"/>
          <w:w w:val="95"/>
        </w:rPr>
        <w:t>自您签收到本附加险合同次日零时起，本公司给予您</w:t>
      </w:r>
      <w:r>
        <w:rPr>
          <w:w w:val="95"/>
        </w:rPr>
        <w:t>10</w:t>
      </w:r>
      <w:r>
        <w:rPr>
          <w:spacing w:val="-6"/>
          <w:w w:val="95"/>
        </w:rPr>
        <w:t>天的犹豫期，以便您在此期间浏览合   </w:t>
      </w:r>
      <w:r>
        <w:rPr>
          <w:spacing w:val="-9"/>
          <w:w w:val="95"/>
        </w:rPr>
        <w:t>同。如果您确定本附加险合同与您的需求不相符，可向本公司申请退保，本附加险合同自本   </w:t>
      </w:r>
      <w:r>
        <w:rPr>
          <w:spacing w:val="-13"/>
        </w:rPr>
        <w:t>公司收到您的退保申请次日零时起即被撤销，本公司自始不承担保险责任，并无息退还给您</w:t>
      </w:r>
      <w:r>
        <w:rPr>
          <w:spacing w:val="-13"/>
          <w:w w:val="95"/>
        </w:rPr>
        <w:t>就本附加险合同所收的全部保险费。</w:t>
      </w:r>
    </w:p>
    <w:p>
      <w:pPr>
        <w:pStyle w:val="BodyText"/>
        <w:rPr>
          <w:sz w:val="22"/>
        </w:rPr>
      </w:pPr>
    </w:p>
    <w:p>
      <w:pPr>
        <w:pStyle w:val="Heading2"/>
        <w:numPr>
          <w:ilvl w:val="2"/>
          <w:numId w:val="9"/>
        </w:numPr>
        <w:tabs>
          <w:tab w:pos="669" w:val="left" w:leader="none"/>
        </w:tabs>
        <w:spacing w:line="240" w:lineRule="auto" w:before="0" w:after="0"/>
        <w:ind w:left="668" w:right="0" w:hanging="542"/>
        <w:jc w:val="left"/>
      </w:pPr>
      <w:bookmarkStart w:name="_TOC_250054" w:id="85"/>
      <w:bookmarkEnd w:id="85"/>
      <w:r>
        <w:rPr>
          <w:w w:val="95"/>
        </w:rPr>
        <w:t>犹豫期之后申请退保</w:t>
      </w:r>
    </w:p>
    <w:p>
      <w:pPr>
        <w:pStyle w:val="BodyText"/>
        <w:spacing w:before="15"/>
        <w:rPr>
          <w:rFonts w:ascii="Microsoft JhengHei UI"/>
          <w:b/>
          <w:sz w:val="27"/>
        </w:rPr>
      </w:pPr>
    </w:p>
    <w:p>
      <w:pPr>
        <w:pStyle w:val="BodyText"/>
        <w:ind w:left="120"/>
      </w:pPr>
      <w:r>
        <w:rPr>
          <w:w w:val="95"/>
        </w:rPr>
        <w:t>您在犹豫期之后申请退保时，本公司将在收到您的退保申请后三十日内返还给您退保金，同</w:t>
      </w:r>
    </w:p>
    <w:p>
      <w:pPr>
        <w:spacing w:after="0"/>
        <w:sectPr>
          <w:pgSz w:w="11910" w:h="16840"/>
          <w:pgMar w:header="0" w:footer="1268" w:top="1440" w:bottom="1460" w:left="1680" w:right="1640"/>
        </w:sectPr>
      </w:pPr>
    </w:p>
    <w:p>
      <w:pPr>
        <w:pStyle w:val="BodyText"/>
        <w:spacing w:line="408" w:lineRule="auto" w:before="32"/>
        <w:ind w:left="120" w:right="443"/>
      </w:pPr>
      <w:bookmarkStart w:name="9.3.3.退保申请" w:id="86"/>
      <w:bookmarkEnd w:id="86"/>
      <w:r>
        <w:rPr/>
      </w:r>
      <w:bookmarkStart w:name="合同效力的终止" w:id="87"/>
      <w:bookmarkEnd w:id="87"/>
      <w:r>
        <w:rPr/>
      </w:r>
      <w:bookmarkStart w:name="被保险人年龄确定错误处理" w:id="88"/>
      <w:bookmarkEnd w:id="88"/>
      <w:r>
        <w:rPr/>
      </w:r>
      <w:r>
        <w:rPr/>
        <w:t>时本公司对本附加险合同应承担的一切保险责任自收到您的退保申请次日零时起终止。</w:t>
      </w:r>
      <w:r>
        <w:rPr>
          <w:w w:val="95"/>
        </w:rPr>
        <w:t>退保金的计算公式为：</w:t>
      </w:r>
    </w:p>
    <w:p>
      <w:pPr>
        <w:pStyle w:val="BodyText"/>
        <w:spacing w:before="46"/>
        <w:ind w:left="120"/>
      </w:pPr>
      <w:r>
        <w:rPr>
          <w:spacing w:val="-2"/>
        </w:rPr>
        <w:t>退保金 </w:t>
      </w:r>
      <w:r>
        <w:rPr>
          <w:spacing w:val="-12"/>
          <w:w w:val="115"/>
        </w:rPr>
        <w:t>= </w:t>
      </w:r>
      <w:r>
        <w:rPr>
          <w:spacing w:val="-1"/>
        </w:rPr>
        <w:t>退保当时保险单所对应的现金价值 </w:t>
      </w:r>
      <w:r>
        <w:rPr>
          <w:spacing w:val="-2"/>
          <w:w w:val="95"/>
        </w:rPr>
        <w:t>- </w:t>
      </w:r>
      <w:r>
        <w:rPr/>
        <w:t>欠交的保险费及利息（如果有</w:t>
      </w:r>
      <w:r>
        <w:rPr>
          <w:spacing w:val="-104"/>
        </w:rPr>
        <w:t>）</w:t>
      </w:r>
      <w:r>
        <w:rPr/>
        <w:t>。</w:t>
      </w:r>
    </w:p>
    <w:p>
      <w:pPr>
        <w:pStyle w:val="BodyText"/>
        <w:spacing w:before="5"/>
        <w:rPr>
          <w:sz w:val="33"/>
        </w:rPr>
      </w:pPr>
    </w:p>
    <w:p>
      <w:pPr>
        <w:pStyle w:val="Heading2"/>
        <w:numPr>
          <w:ilvl w:val="2"/>
          <w:numId w:val="9"/>
        </w:numPr>
        <w:tabs>
          <w:tab w:pos="669" w:val="left" w:leader="none"/>
        </w:tabs>
        <w:spacing w:line="240" w:lineRule="auto" w:before="1" w:after="0"/>
        <w:ind w:left="668" w:right="0" w:hanging="542"/>
        <w:jc w:val="left"/>
      </w:pPr>
      <w:bookmarkStart w:name="_TOC_250053" w:id="89"/>
      <w:bookmarkEnd w:id="89"/>
      <w:r>
        <w:rPr>
          <w:w w:val="95"/>
        </w:rPr>
        <w:t>退保申请</w:t>
      </w:r>
    </w:p>
    <w:p>
      <w:pPr>
        <w:pStyle w:val="BodyText"/>
        <w:spacing w:before="13"/>
        <w:rPr>
          <w:rFonts w:ascii="Microsoft JhengHei UI"/>
          <w:b/>
          <w:sz w:val="27"/>
        </w:rPr>
      </w:pPr>
    </w:p>
    <w:p>
      <w:pPr>
        <w:pStyle w:val="BodyText"/>
        <w:ind w:left="120"/>
      </w:pPr>
      <w:r>
        <w:rPr>
          <w:w w:val="95"/>
        </w:rPr>
        <w:t>在退保申请时，申请人须填写保全业务申请书，并提供下列证明和资料：</w:t>
      </w:r>
    </w:p>
    <w:p>
      <w:pPr>
        <w:pStyle w:val="ListParagraph"/>
        <w:numPr>
          <w:ilvl w:val="3"/>
          <w:numId w:val="9"/>
        </w:numPr>
        <w:tabs>
          <w:tab w:pos="683" w:val="left" w:leader="none"/>
          <w:tab w:pos="684" w:val="left" w:leader="none"/>
        </w:tabs>
        <w:spacing w:line="240" w:lineRule="auto" w:before="192" w:after="0"/>
        <w:ind w:left="684" w:right="0" w:hanging="356"/>
        <w:jc w:val="left"/>
        <w:rPr>
          <w:sz w:val="21"/>
        </w:rPr>
      </w:pPr>
      <w:r>
        <w:rPr>
          <w:w w:val="95"/>
          <w:sz w:val="21"/>
        </w:rPr>
        <w:t>投保人的身份证明文件原件；</w:t>
      </w:r>
    </w:p>
    <w:p>
      <w:pPr>
        <w:pStyle w:val="ListParagraph"/>
        <w:numPr>
          <w:ilvl w:val="3"/>
          <w:numId w:val="9"/>
        </w:numPr>
        <w:tabs>
          <w:tab w:pos="683" w:val="left" w:leader="none"/>
          <w:tab w:pos="684" w:val="left" w:leader="none"/>
        </w:tabs>
        <w:spacing w:line="240" w:lineRule="auto" w:before="192" w:after="0"/>
        <w:ind w:left="684" w:right="0" w:hanging="356"/>
        <w:jc w:val="left"/>
        <w:rPr>
          <w:sz w:val="21"/>
        </w:rPr>
      </w:pPr>
      <w:r>
        <w:rPr>
          <w:w w:val="95"/>
          <w:sz w:val="21"/>
        </w:rPr>
        <w:t>保险单原件；</w:t>
      </w:r>
    </w:p>
    <w:p>
      <w:pPr>
        <w:pStyle w:val="BodyText"/>
        <w:rPr>
          <w:sz w:val="26"/>
        </w:rPr>
      </w:pPr>
    </w:p>
    <w:p>
      <w:pPr>
        <w:pStyle w:val="BodyText"/>
        <w:spacing w:before="6"/>
        <w:rPr>
          <w:sz w:val="24"/>
        </w:rPr>
      </w:pPr>
    </w:p>
    <w:p>
      <w:pPr>
        <w:pStyle w:val="BodyText"/>
        <w:spacing w:line="408" w:lineRule="auto"/>
        <w:ind w:left="120" w:right="121"/>
        <w:jc w:val="both"/>
      </w:pPr>
      <w:r>
        <w:rPr>
          <w:spacing w:val="-8"/>
          <w:w w:val="95"/>
        </w:rPr>
        <w:t>若委托他人办理，须提供委托人亲笔签名的授权委托书及受托人身份证明文件原件。本公司   </w:t>
      </w:r>
      <w:r>
        <w:rPr>
          <w:spacing w:val="-11"/>
          <w:w w:val="95"/>
        </w:rPr>
        <w:t>有权要求委托人对其签名的授权委托书进行公证，若本公司要求该授权委托书须公证的，受   托人应当提供经公证的委托人亲笔签名的授权委托书。</w:t>
      </w:r>
    </w:p>
    <w:p>
      <w:pPr>
        <w:pStyle w:val="BodyText"/>
        <w:spacing w:before="2"/>
        <w:rPr>
          <w:sz w:val="22"/>
        </w:rPr>
      </w:pPr>
    </w:p>
    <w:p>
      <w:pPr>
        <w:pStyle w:val="Heading2"/>
        <w:numPr>
          <w:ilvl w:val="1"/>
          <w:numId w:val="9"/>
        </w:numPr>
        <w:tabs>
          <w:tab w:pos="807" w:val="left" w:leader="none"/>
          <w:tab w:pos="808" w:val="left" w:leader="none"/>
        </w:tabs>
        <w:spacing w:line="240" w:lineRule="auto" w:before="0" w:after="0"/>
        <w:ind w:left="807" w:right="0" w:hanging="681"/>
        <w:jc w:val="left"/>
      </w:pPr>
      <w:bookmarkStart w:name="_TOC_250052" w:id="90"/>
      <w:bookmarkEnd w:id="90"/>
      <w:r>
        <w:rPr>
          <w:w w:val="95"/>
        </w:rPr>
        <w:t>合同效力的终止</w:t>
      </w:r>
    </w:p>
    <w:p>
      <w:pPr>
        <w:pStyle w:val="BodyText"/>
        <w:spacing w:before="15"/>
        <w:rPr>
          <w:rFonts w:ascii="Microsoft JhengHei UI"/>
          <w:b/>
          <w:sz w:val="27"/>
        </w:rPr>
      </w:pPr>
    </w:p>
    <w:p>
      <w:pPr>
        <w:pStyle w:val="BodyText"/>
        <w:ind w:left="120"/>
      </w:pPr>
      <w:r>
        <w:rPr>
          <w:w w:val="95"/>
        </w:rPr>
        <w:t>本附加险合同将于下述情况之一出现自动终止：</w:t>
      </w:r>
    </w:p>
    <w:p>
      <w:pPr>
        <w:pStyle w:val="BodyText"/>
        <w:spacing w:before="193"/>
        <w:ind w:left="213"/>
      </w:pPr>
      <w:r>
        <w:rPr>
          <w:w w:val="95"/>
        </w:rPr>
        <w:t>1．主险合同效力终止；</w:t>
      </w:r>
    </w:p>
    <w:p>
      <w:pPr>
        <w:pStyle w:val="BodyText"/>
        <w:spacing w:before="193"/>
        <w:ind w:left="213"/>
      </w:pPr>
      <w:r>
        <w:rPr>
          <w:w w:val="95"/>
        </w:rPr>
        <w:t>2．本附加险合同到期终止；</w:t>
      </w:r>
    </w:p>
    <w:p>
      <w:pPr>
        <w:pStyle w:val="BodyText"/>
        <w:spacing w:before="193"/>
        <w:ind w:left="213"/>
      </w:pPr>
      <w:r>
        <w:rPr>
          <w:w w:val="95"/>
        </w:rPr>
        <w:t>3．因本附加险合同其他条款所列合同终止情况出现而终止。</w:t>
      </w:r>
    </w:p>
    <w:p>
      <w:pPr>
        <w:pStyle w:val="BodyText"/>
        <w:rPr>
          <w:sz w:val="26"/>
        </w:rPr>
      </w:pPr>
    </w:p>
    <w:p>
      <w:pPr>
        <w:pStyle w:val="BodyText"/>
        <w:spacing w:before="4"/>
        <w:rPr>
          <w:sz w:val="20"/>
        </w:rPr>
      </w:pPr>
    </w:p>
    <w:p>
      <w:pPr>
        <w:pStyle w:val="Heading2"/>
        <w:numPr>
          <w:ilvl w:val="0"/>
          <w:numId w:val="9"/>
        </w:numPr>
        <w:tabs>
          <w:tab w:pos="552" w:val="left" w:leader="none"/>
        </w:tabs>
        <w:spacing w:line="240" w:lineRule="auto" w:before="0" w:after="0"/>
        <w:ind w:left="551" w:right="0" w:hanging="431"/>
        <w:jc w:val="left"/>
      </w:pPr>
      <w:bookmarkStart w:name="_TOC_250051" w:id="91"/>
      <w:bookmarkEnd w:id="91"/>
      <w:r>
        <w:rPr>
          <w:w w:val="95"/>
        </w:rPr>
        <w:t>被保险人年龄确定错误处理</w:t>
      </w:r>
    </w:p>
    <w:p>
      <w:pPr>
        <w:pStyle w:val="BodyText"/>
        <w:spacing w:before="7"/>
        <w:rPr>
          <w:rFonts w:ascii="Microsoft JhengHei UI"/>
          <w:b/>
          <w:sz w:val="38"/>
        </w:rPr>
      </w:pPr>
    </w:p>
    <w:p>
      <w:pPr>
        <w:pStyle w:val="BodyText"/>
        <w:spacing w:line="408" w:lineRule="auto" w:before="1"/>
        <w:ind w:left="120" w:right="119"/>
      </w:pPr>
      <w:r>
        <w:rPr>
          <w:spacing w:val="-8"/>
          <w:w w:val="95"/>
        </w:rPr>
        <w:t>您在申请投保时，应将被保险人的真实年龄在投保单上填明，如果发生错误将按照下列方式   处理：</w:t>
      </w:r>
    </w:p>
    <w:p>
      <w:pPr>
        <w:pStyle w:val="BodyText"/>
        <w:spacing w:line="408" w:lineRule="auto" w:before="46"/>
        <w:ind w:left="120" w:right="117"/>
      </w:pPr>
      <w:r>
        <w:rPr/>
        <w:t>（1）在本附加险合同生效日起二年内，如果本公司发现您申报的被保险人年龄不真实，并且其真实年龄不符合本附加险合同约定的投保年龄范围限制，本公司有权解除本附加险合</w:t>
      </w:r>
      <w:r>
        <w:rPr>
          <w:spacing w:val="-9"/>
          <w:w w:val="95"/>
        </w:rPr>
        <w:t>同，向您退还本附加险合同当时对应的现金价值扣除欠交保险费及利息后的余额，并且无论   解除前是否已发生保险事故，本公司均不承担保险金给付责任。</w:t>
      </w:r>
    </w:p>
    <w:p>
      <w:pPr>
        <w:pStyle w:val="BodyText"/>
        <w:spacing w:line="408" w:lineRule="auto" w:before="46"/>
        <w:ind w:left="120" w:right="117"/>
      </w:pPr>
      <w:r>
        <w:rPr>
          <w:spacing w:val="-5"/>
          <w:w w:val="95"/>
        </w:rPr>
        <w:t>但是如果在本附加险合同生效日起二年后，本公司发现您申报的被保险人年龄不真实，并且   </w:t>
      </w:r>
      <w:r>
        <w:rPr>
          <w:spacing w:val="-9"/>
          <w:w w:val="95"/>
        </w:rPr>
        <w:t>其真实年龄不符合本附加险合同约定的投保年龄范围限制，本公司不会解除本附加险合同并</w:t>
      </w:r>
    </w:p>
    <w:p>
      <w:pPr>
        <w:spacing w:after="0" w:line="408" w:lineRule="auto"/>
        <w:sectPr>
          <w:pgSz w:w="11910" w:h="16840"/>
          <w:pgMar w:header="0" w:footer="1268" w:top="1440" w:bottom="1460" w:left="1680" w:right="1680"/>
        </w:sectPr>
      </w:pPr>
    </w:p>
    <w:p>
      <w:pPr>
        <w:pStyle w:val="BodyText"/>
        <w:spacing w:before="32"/>
        <w:ind w:left="120"/>
      </w:pPr>
      <w:bookmarkStart w:name="适用主险条款" w:id="92"/>
      <w:bookmarkEnd w:id="92"/>
      <w:r>
        <w:rPr/>
      </w:r>
      <w:bookmarkStart w:name="释义" w:id="93"/>
      <w:bookmarkEnd w:id="93"/>
      <w:r>
        <w:rPr/>
      </w:r>
      <w:bookmarkStart w:name="12.1周岁" w:id="94"/>
      <w:bookmarkEnd w:id="94"/>
      <w:r>
        <w:rPr/>
      </w:r>
      <w:bookmarkStart w:name="12.2医院" w:id="95"/>
      <w:bookmarkEnd w:id="95"/>
      <w:r>
        <w:rPr/>
      </w:r>
      <w:bookmarkStart w:name="12.330种重大疾病" w:id="96"/>
      <w:bookmarkEnd w:id="96"/>
      <w:r>
        <w:rPr/>
      </w:r>
      <w:r>
        <w:rPr>
          <w:w w:val="95"/>
        </w:rPr>
        <w:t>按以下（2）、（3）款办理。</w:t>
      </w:r>
    </w:p>
    <w:p>
      <w:pPr>
        <w:pStyle w:val="BodyText"/>
        <w:spacing w:line="408" w:lineRule="auto" w:before="193"/>
        <w:ind w:left="120" w:right="117"/>
        <w:jc w:val="both"/>
      </w:pPr>
      <w:r>
        <w:rPr/>
        <w:t>（2）如果您申报的被保险人年龄不真实，致使您实交的保险费少于应交的保险费，本公司</w:t>
      </w:r>
      <w:r>
        <w:rPr>
          <w:spacing w:val="-6"/>
          <w:w w:val="95"/>
        </w:rPr>
        <w:t>有权更正并要求您补交保险费。如果已发生保险事故，本公司在给付保险金时将按实交保险   费和应交保险费的比例给付。</w:t>
      </w:r>
    </w:p>
    <w:p>
      <w:pPr>
        <w:pStyle w:val="BodyText"/>
        <w:spacing w:line="408" w:lineRule="auto" w:before="46"/>
        <w:ind w:left="120" w:right="136"/>
      </w:pPr>
      <w:r>
        <w:rPr>
          <w:w w:val="95"/>
        </w:rPr>
        <w:t>（3）如果您申报的被保险人年龄不真实，致使您实交的保险费多于应交的保险费，本公司   将无息退还多收的保险费。</w:t>
      </w:r>
    </w:p>
    <w:p>
      <w:pPr>
        <w:pStyle w:val="BodyText"/>
        <w:spacing w:before="1"/>
        <w:rPr>
          <w:sz w:val="35"/>
        </w:rPr>
      </w:pPr>
    </w:p>
    <w:p>
      <w:pPr>
        <w:pStyle w:val="Heading2"/>
        <w:numPr>
          <w:ilvl w:val="0"/>
          <w:numId w:val="9"/>
        </w:numPr>
        <w:tabs>
          <w:tab w:pos="552" w:val="left" w:leader="none"/>
        </w:tabs>
        <w:spacing w:line="240" w:lineRule="auto" w:before="0" w:after="0"/>
        <w:ind w:left="551" w:right="0" w:hanging="431"/>
        <w:jc w:val="both"/>
      </w:pPr>
      <w:bookmarkStart w:name="_TOC_250050" w:id="97"/>
      <w:bookmarkEnd w:id="97"/>
      <w:r>
        <w:rPr>
          <w:w w:val="95"/>
        </w:rPr>
        <w:t>适用主险条款</w:t>
      </w:r>
    </w:p>
    <w:p>
      <w:pPr>
        <w:pStyle w:val="BodyText"/>
        <w:spacing w:before="7"/>
        <w:rPr>
          <w:rFonts w:ascii="Microsoft JhengHei UI"/>
          <w:b/>
          <w:sz w:val="38"/>
        </w:rPr>
      </w:pPr>
    </w:p>
    <w:p>
      <w:pPr>
        <w:pStyle w:val="BodyText"/>
        <w:ind w:left="120"/>
        <w:jc w:val="both"/>
      </w:pPr>
      <w:r>
        <w:rPr>
          <w:w w:val="95"/>
        </w:rPr>
        <w:t>下列各项条款，适用主险合同条款：</w:t>
      </w:r>
    </w:p>
    <w:p>
      <w:pPr>
        <w:pStyle w:val="ListParagraph"/>
        <w:numPr>
          <w:ilvl w:val="0"/>
          <w:numId w:val="11"/>
        </w:numPr>
        <w:tabs>
          <w:tab w:pos="540" w:val="left" w:leader="none"/>
        </w:tabs>
        <w:spacing w:line="240" w:lineRule="auto" w:before="192" w:after="0"/>
        <w:ind w:left="540" w:right="0" w:hanging="420"/>
        <w:jc w:val="both"/>
        <w:rPr>
          <w:sz w:val="21"/>
        </w:rPr>
      </w:pPr>
      <w:r>
        <w:rPr>
          <w:w w:val="95"/>
          <w:sz w:val="21"/>
        </w:rPr>
        <w:t>如实告知；</w:t>
      </w:r>
    </w:p>
    <w:p>
      <w:pPr>
        <w:pStyle w:val="ListParagraph"/>
        <w:numPr>
          <w:ilvl w:val="0"/>
          <w:numId w:val="11"/>
        </w:numPr>
        <w:tabs>
          <w:tab w:pos="540" w:val="left" w:leader="none"/>
        </w:tabs>
        <w:spacing w:line="240" w:lineRule="auto" w:before="192" w:after="0"/>
        <w:ind w:left="540" w:right="0" w:hanging="420"/>
        <w:jc w:val="both"/>
        <w:rPr>
          <w:sz w:val="21"/>
        </w:rPr>
      </w:pPr>
      <w:r>
        <w:rPr>
          <w:w w:val="95"/>
          <w:sz w:val="21"/>
        </w:rPr>
        <w:t>合同的变更；</w:t>
      </w:r>
    </w:p>
    <w:p>
      <w:pPr>
        <w:pStyle w:val="ListParagraph"/>
        <w:numPr>
          <w:ilvl w:val="0"/>
          <w:numId w:val="11"/>
        </w:numPr>
        <w:tabs>
          <w:tab w:pos="540" w:val="left" w:leader="none"/>
        </w:tabs>
        <w:spacing w:line="240" w:lineRule="auto" w:before="192" w:after="0"/>
        <w:ind w:left="540" w:right="0" w:hanging="420"/>
        <w:jc w:val="both"/>
        <w:rPr>
          <w:sz w:val="21"/>
        </w:rPr>
      </w:pPr>
      <w:r>
        <w:rPr>
          <w:w w:val="95"/>
          <w:sz w:val="21"/>
        </w:rPr>
        <w:t>争议处理。</w:t>
      </w:r>
    </w:p>
    <w:p>
      <w:pPr>
        <w:pStyle w:val="BodyText"/>
        <w:rPr>
          <w:sz w:val="26"/>
        </w:rPr>
      </w:pPr>
    </w:p>
    <w:p>
      <w:pPr>
        <w:pStyle w:val="BodyText"/>
        <w:spacing w:before="3"/>
        <w:rPr>
          <w:sz w:val="20"/>
        </w:rPr>
      </w:pPr>
    </w:p>
    <w:p>
      <w:pPr>
        <w:pStyle w:val="Heading2"/>
        <w:numPr>
          <w:ilvl w:val="0"/>
          <w:numId w:val="12"/>
        </w:numPr>
        <w:tabs>
          <w:tab w:pos="552" w:val="left" w:leader="none"/>
        </w:tabs>
        <w:spacing w:line="240" w:lineRule="auto" w:before="1" w:after="0"/>
        <w:ind w:left="551" w:right="0" w:hanging="431"/>
        <w:jc w:val="both"/>
      </w:pPr>
      <w:bookmarkStart w:name="_TOC_250049" w:id="98"/>
      <w:bookmarkEnd w:id="98"/>
      <w:r>
        <w:rPr>
          <w:w w:val="95"/>
        </w:rPr>
        <w:t>释义</w:t>
      </w:r>
    </w:p>
    <w:p>
      <w:pPr>
        <w:pStyle w:val="BodyText"/>
        <w:spacing w:before="10"/>
        <w:rPr>
          <w:rFonts w:ascii="Microsoft JhengHei UI"/>
          <w:b/>
          <w:sz w:val="37"/>
        </w:rPr>
      </w:pPr>
    </w:p>
    <w:p>
      <w:pPr>
        <w:pStyle w:val="Heading2"/>
        <w:numPr>
          <w:ilvl w:val="1"/>
          <w:numId w:val="12"/>
        </w:numPr>
        <w:tabs>
          <w:tab w:pos="576" w:val="left" w:leader="none"/>
        </w:tabs>
        <w:spacing w:line="240" w:lineRule="auto" w:before="0" w:after="0"/>
        <w:ind w:left="575" w:right="0" w:hanging="449"/>
        <w:jc w:val="both"/>
      </w:pPr>
      <w:bookmarkStart w:name="_TOC_250048" w:id="99"/>
      <w:bookmarkEnd w:id="99"/>
      <w:r>
        <w:rPr>
          <w:w w:val="95"/>
        </w:rPr>
        <w:t>周岁</w:t>
      </w:r>
    </w:p>
    <w:p>
      <w:pPr>
        <w:pStyle w:val="BodyText"/>
        <w:spacing w:before="15"/>
        <w:rPr>
          <w:rFonts w:ascii="Microsoft JhengHei UI"/>
          <w:b/>
          <w:sz w:val="27"/>
        </w:rPr>
      </w:pPr>
    </w:p>
    <w:p>
      <w:pPr>
        <w:pStyle w:val="BodyText"/>
        <w:spacing w:line="408" w:lineRule="auto"/>
        <w:ind w:left="120" w:right="60"/>
      </w:pPr>
      <w:r>
        <w:rPr/>
        <w:t>指以法定身份证明文件中记载的出生日期为基础</w:t>
      </w:r>
      <w:r>
        <w:rPr>
          <w:w w:val="75"/>
        </w:rPr>
        <w:t>, </w:t>
      </w:r>
      <w:r>
        <w:rPr/>
        <w:t>按照公历的年、月、日，从周岁生日的第</w:t>
      </w:r>
      <w:r>
        <w:rPr>
          <w:w w:val="95"/>
        </w:rPr>
        <w:t>二天起计算的年龄。</w:t>
      </w:r>
    </w:p>
    <w:p>
      <w:pPr>
        <w:pStyle w:val="BodyText"/>
        <w:rPr>
          <w:sz w:val="22"/>
        </w:rPr>
      </w:pPr>
    </w:p>
    <w:p>
      <w:pPr>
        <w:pStyle w:val="Heading2"/>
        <w:numPr>
          <w:ilvl w:val="1"/>
          <w:numId w:val="12"/>
        </w:numPr>
        <w:tabs>
          <w:tab w:pos="576" w:val="left" w:leader="none"/>
        </w:tabs>
        <w:spacing w:line="240" w:lineRule="auto" w:before="0" w:after="0"/>
        <w:ind w:left="575" w:right="0" w:hanging="449"/>
        <w:jc w:val="left"/>
      </w:pPr>
      <w:bookmarkStart w:name="_TOC_250047" w:id="100"/>
      <w:bookmarkEnd w:id="100"/>
      <w:r>
        <w:rPr>
          <w:w w:val="95"/>
        </w:rPr>
        <w:t>医院</w:t>
      </w:r>
    </w:p>
    <w:p>
      <w:pPr>
        <w:pStyle w:val="BodyText"/>
        <w:spacing w:before="15"/>
        <w:rPr>
          <w:rFonts w:ascii="Microsoft JhengHei UI"/>
          <w:b/>
          <w:sz w:val="27"/>
        </w:rPr>
      </w:pPr>
    </w:p>
    <w:p>
      <w:pPr>
        <w:pStyle w:val="BodyText"/>
        <w:ind w:left="120"/>
      </w:pPr>
      <w:r>
        <w:rPr>
          <w:w w:val="95"/>
        </w:rPr>
        <w:t>指国家卫生机构认可的公立二级甲等（含）以上的医院。</w:t>
      </w:r>
    </w:p>
    <w:p>
      <w:pPr>
        <w:pStyle w:val="BodyText"/>
        <w:spacing w:before="3"/>
        <w:rPr>
          <w:sz w:val="33"/>
        </w:rPr>
      </w:pPr>
    </w:p>
    <w:p>
      <w:pPr>
        <w:pStyle w:val="Heading2"/>
        <w:numPr>
          <w:ilvl w:val="1"/>
          <w:numId w:val="12"/>
        </w:numPr>
        <w:tabs>
          <w:tab w:pos="680" w:val="left" w:leader="none"/>
          <w:tab w:pos="681" w:val="left" w:leader="none"/>
        </w:tabs>
        <w:spacing w:line="240" w:lineRule="auto" w:before="0" w:after="0"/>
        <w:ind w:left="680" w:right="0" w:hanging="554"/>
        <w:jc w:val="left"/>
      </w:pPr>
      <w:bookmarkStart w:name="_TOC_250046" w:id="101"/>
      <w:bookmarkEnd w:id="101"/>
      <w:r>
        <w:rPr>
          <w:w w:val="95"/>
        </w:rPr>
        <w:t>30 种重大疾病</w:t>
      </w:r>
    </w:p>
    <w:p>
      <w:pPr>
        <w:pStyle w:val="BodyText"/>
        <w:spacing w:before="15"/>
        <w:rPr>
          <w:rFonts w:ascii="Microsoft JhengHei UI"/>
          <w:b/>
          <w:sz w:val="27"/>
        </w:rPr>
      </w:pPr>
    </w:p>
    <w:p>
      <w:pPr>
        <w:pStyle w:val="BodyText"/>
        <w:spacing w:line="408" w:lineRule="auto"/>
        <w:ind w:left="120" w:right="117"/>
        <w:jc w:val="both"/>
      </w:pPr>
      <w:r>
        <w:rPr>
          <w:w w:val="95"/>
        </w:rPr>
        <w:t>本产品提供30</w:t>
      </w:r>
      <w:r>
        <w:rPr>
          <w:spacing w:val="-7"/>
          <w:w w:val="95"/>
        </w:rPr>
        <w:t>种重大疾病保障。其中恶性肿瘤、急性心肌梗塞、脑中风后遗症、冠状动脉搭   桥术</w:t>
      </w:r>
      <w:r>
        <w:rPr>
          <w:spacing w:val="-7"/>
          <w:w w:val="90"/>
        </w:rPr>
        <w:t>(</w:t>
      </w:r>
      <w:r>
        <w:rPr>
          <w:spacing w:val="-7"/>
          <w:w w:val="95"/>
        </w:rPr>
        <w:t>或称冠状动脉旁路移植术</w:t>
      </w:r>
      <w:r>
        <w:rPr>
          <w:spacing w:val="-7"/>
          <w:w w:val="90"/>
        </w:rPr>
        <w:t>)</w:t>
      </w:r>
      <w:r>
        <w:rPr>
          <w:spacing w:val="-8"/>
          <w:w w:val="95"/>
        </w:rPr>
        <w:t>、重大器官移植术或造血干细胞移植术、终末期肾病</w:t>
      </w:r>
      <w:r>
        <w:rPr>
          <w:w w:val="90"/>
        </w:rPr>
        <w:t>(</w:t>
      </w:r>
      <w:r>
        <w:rPr>
          <w:w w:val="95"/>
        </w:rPr>
        <w:t>或称慢  性肾功能衰竭尿毒症期</w:t>
      </w:r>
      <w:r>
        <w:rPr>
          <w:w w:val="90"/>
        </w:rPr>
        <w:t>)6</w:t>
      </w:r>
      <w:r>
        <w:rPr>
          <w:spacing w:val="-5"/>
          <w:w w:val="95"/>
        </w:rPr>
        <w:t>种重大疾病为《中国保险行业协会重大疾病使用规范》规定重大疾  </w:t>
      </w:r>
      <w:r>
        <w:rPr>
          <w:spacing w:val="-6"/>
          <w:w w:val="95"/>
        </w:rPr>
        <w:t>病保险产品必须包含的疾病种类。系统性红斑狼疮</w:t>
      </w:r>
      <w:r>
        <w:rPr>
          <w:w w:val="90"/>
        </w:rPr>
        <w:t>(III</w:t>
      </w:r>
      <w:r>
        <w:rPr>
          <w:w w:val="95"/>
        </w:rPr>
        <w:t>型或以上狼疮性肾炎</w:t>
      </w:r>
      <w:r>
        <w:rPr>
          <w:w w:val="90"/>
        </w:rPr>
        <w:t>)</w:t>
      </w:r>
      <w:r>
        <w:rPr>
          <w:spacing w:val="-3"/>
          <w:w w:val="95"/>
        </w:rPr>
        <w:t>、经输血导致的</w:t>
      </w:r>
    </w:p>
    <w:p>
      <w:pPr>
        <w:spacing w:after="0" w:line="408" w:lineRule="auto"/>
        <w:jc w:val="both"/>
        <w:sectPr>
          <w:pgSz w:w="11910" w:h="16840"/>
          <w:pgMar w:header="0" w:footer="1268" w:top="1440" w:bottom="1460" w:left="1680" w:right="1680"/>
        </w:sectPr>
      </w:pPr>
    </w:p>
    <w:p>
      <w:pPr>
        <w:pStyle w:val="BodyText"/>
        <w:spacing w:line="408" w:lineRule="auto" w:before="32"/>
        <w:ind w:left="120" w:right="199"/>
        <w:jc w:val="both"/>
      </w:pPr>
      <w:bookmarkStart w:name="恶性肿瘤" w:id="102"/>
      <w:bookmarkEnd w:id="102"/>
      <w:r>
        <w:rPr/>
      </w:r>
      <w:bookmarkStart w:name="急性心肌梗塞" w:id="103"/>
      <w:bookmarkEnd w:id="103"/>
      <w:r>
        <w:rPr/>
      </w:r>
      <w:bookmarkStart w:name="脑中风后遗症" w:id="104"/>
      <w:bookmarkEnd w:id="104"/>
      <w:r>
        <w:rPr/>
      </w:r>
      <w:r>
        <w:rPr>
          <w:spacing w:val="-2"/>
          <w:w w:val="99"/>
        </w:rPr>
        <w:t>人类免疫缺陷病毒</w:t>
      </w:r>
      <w:r>
        <w:rPr>
          <w:w w:val="99"/>
        </w:rPr>
        <w:t>（</w:t>
      </w:r>
      <w:r>
        <w:rPr>
          <w:spacing w:val="-1"/>
          <w:w w:val="151"/>
        </w:rPr>
        <w:t>H</w:t>
      </w:r>
      <w:r>
        <w:rPr>
          <w:w w:val="70"/>
        </w:rPr>
        <w:t>I</w:t>
      </w:r>
      <w:r>
        <w:rPr>
          <w:spacing w:val="1"/>
          <w:w w:val="134"/>
        </w:rPr>
        <w:t>V</w:t>
      </w:r>
      <w:r>
        <w:rPr>
          <w:spacing w:val="-10"/>
          <w:w w:val="99"/>
        </w:rPr>
        <w:t>）</w:t>
      </w:r>
      <w:r>
        <w:rPr>
          <w:spacing w:val="-4"/>
          <w:w w:val="99"/>
        </w:rPr>
        <w:t>感染、严重多发性硬化、严重类风湿性关节炎、慢性呼吸功能衰</w:t>
      </w:r>
      <w:r>
        <w:rPr>
          <w:spacing w:val="-4"/>
          <w:w w:val="95"/>
        </w:rPr>
        <w:t>竭5种重大疾病为我司根据产品设计需求选用。其余19种重大疾病保险为本公司根据中国保   险行业协会重大疾病使用规范选择使用。</w:t>
      </w:r>
    </w:p>
    <w:p>
      <w:pPr>
        <w:pStyle w:val="BodyText"/>
        <w:spacing w:line="360" w:lineRule="auto" w:before="46"/>
        <w:ind w:left="120" w:right="197"/>
      </w:pPr>
      <w:r>
        <w:rPr>
          <w:spacing w:val="-7"/>
          <w:w w:val="95"/>
        </w:rPr>
        <w:t>本附加合同所保障的重大疾病，是指被保险人在主险合同有效且等待期后本附加合同的责任</w:t>
      </w:r>
      <w:r>
        <w:rPr>
          <w:w w:val="99"/>
        </w:rPr>
        <w:t>有效</w:t>
      </w:r>
      <w:r>
        <w:rPr>
          <w:spacing w:val="-6"/>
          <w:w w:val="99"/>
        </w:rPr>
        <w:t>期间内经</w:t>
      </w:r>
      <w:r>
        <w:rPr>
          <w:rFonts w:ascii="Microsoft JhengHei UI" w:eastAsia="Microsoft JhengHei UI" w:hint="eastAsia"/>
          <w:b/>
          <w:spacing w:val="-48"/>
          <w:w w:val="99"/>
        </w:rPr>
        <w:t>专</w:t>
      </w:r>
      <w:r>
        <w:rPr>
          <w:w w:val="99"/>
          <w:position w:val="1"/>
        </w:rPr>
        <w:t>科</w:t>
      </w:r>
      <w:r>
        <w:rPr>
          <w:spacing w:val="-476"/>
          <w:w w:val="99"/>
          <w:position w:val="1"/>
        </w:rPr>
        <w:t>医</w:t>
      </w:r>
      <w:r>
        <w:rPr>
          <w:w w:val="99"/>
        </w:rPr>
        <w:t>科</w:t>
      </w:r>
      <w:r>
        <w:rPr>
          <w:spacing w:val="-471"/>
          <w:w w:val="99"/>
        </w:rPr>
        <w:t>医</w:t>
      </w:r>
      <w:r>
        <w:rPr>
          <w:w w:val="99"/>
        </w:rPr>
        <w:t>科</w:t>
      </w:r>
      <w:r>
        <w:rPr>
          <w:spacing w:val="-474"/>
          <w:w w:val="99"/>
        </w:rPr>
        <w:t>医</w:t>
      </w:r>
      <w:r>
        <w:rPr>
          <w:spacing w:val="-31"/>
          <w:w w:val="99"/>
        </w:rPr>
        <w:t>科医</w:t>
      </w:r>
      <w:r>
        <w:rPr>
          <w:spacing w:val="-267"/>
          <w:w w:val="99"/>
          <w:position w:val="1"/>
        </w:rPr>
        <w:t>生</w:t>
      </w:r>
      <w:r>
        <w:rPr>
          <w:spacing w:val="-264"/>
          <w:w w:val="99"/>
        </w:rPr>
        <w:t>生生</w:t>
      </w:r>
      <w:r>
        <w:rPr>
          <w:spacing w:val="-48"/>
          <w:w w:val="99"/>
        </w:rPr>
        <w:t>生</w:t>
      </w:r>
      <w:r>
        <w:rPr>
          <w:spacing w:val="1"/>
          <w:w w:val="99"/>
        </w:rPr>
        <w:t>（</w:t>
      </w:r>
      <w:r>
        <w:rPr>
          <w:spacing w:val="-1"/>
          <w:w w:val="99"/>
        </w:rPr>
        <w:t>见释义</w:t>
      </w:r>
      <w:r>
        <w:rPr>
          <w:w w:val="93"/>
        </w:rPr>
        <w:t>12</w:t>
      </w:r>
      <w:r>
        <w:rPr>
          <w:spacing w:val="-1"/>
          <w:w w:val="43"/>
        </w:rPr>
        <w:t>.</w:t>
      </w:r>
      <w:r>
        <w:rPr>
          <w:w w:val="93"/>
        </w:rPr>
        <w:t>1</w:t>
      </w:r>
      <w:r>
        <w:rPr>
          <w:spacing w:val="1"/>
          <w:w w:val="93"/>
        </w:rPr>
        <w:t>5</w:t>
      </w:r>
      <w:r>
        <w:rPr>
          <w:w w:val="99"/>
        </w:rPr>
        <w:t>）明确诊断初次患下列疾病或初次达到下列疾病</w:t>
      </w:r>
      <w:r>
        <w:rPr>
          <w:spacing w:val="-132"/>
          <w:w w:val="99"/>
        </w:rPr>
        <w:t>状</w:t>
      </w:r>
      <w:r>
        <w:rPr>
          <w:w w:val="95"/>
        </w:rPr>
        <w:t>态或在医院初次接受下列手术：</w:t>
      </w:r>
    </w:p>
    <w:p>
      <w:pPr>
        <w:pStyle w:val="BodyText"/>
        <w:spacing w:before="5"/>
        <w:rPr>
          <w:sz w:val="25"/>
        </w:rPr>
      </w:pPr>
    </w:p>
    <w:p>
      <w:pPr>
        <w:pStyle w:val="Heading2"/>
        <w:numPr>
          <w:ilvl w:val="2"/>
          <w:numId w:val="12"/>
        </w:numPr>
        <w:tabs>
          <w:tab w:pos="847" w:val="left" w:leader="none"/>
        </w:tabs>
        <w:spacing w:line="240" w:lineRule="auto" w:before="0" w:after="0"/>
        <w:ind w:left="846" w:right="0" w:hanging="720"/>
        <w:jc w:val="left"/>
      </w:pPr>
      <w:bookmarkStart w:name="_TOC_250045" w:id="105"/>
      <w:bookmarkEnd w:id="105"/>
      <w:r>
        <w:rPr>
          <w:w w:val="95"/>
        </w:rPr>
        <w:t>恶性肿瘤</w:t>
      </w:r>
    </w:p>
    <w:p>
      <w:pPr>
        <w:pStyle w:val="BodyText"/>
        <w:spacing w:before="12"/>
        <w:rPr>
          <w:rFonts w:ascii="Microsoft JhengHei UI"/>
          <w:b/>
          <w:sz w:val="27"/>
        </w:rPr>
      </w:pPr>
    </w:p>
    <w:p>
      <w:pPr>
        <w:pStyle w:val="BodyText"/>
        <w:spacing w:line="408" w:lineRule="auto"/>
        <w:ind w:left="120" w:right="197"/>
        <w:jc w:val="both"/>
      </w:pPr>
      <w:r>
        <w:rPr>
          <w:spacing w:val="-4"/>
          <w:w w:val="95"/>
        </w:rPr>
        <w:t>指恶性细胞不受控制的进行性增长和扩散，浸润和破坏周围正常组织，可以经血管、淋巴管   </w:t>
      </w:r>
      <w:r>
        <w:rPr>
          <w:spacing w:val="-9"/>
        </w:rPr>
        <w:t>和体腔扩散转移到身体其它部位的疾病。经病理学检查结果明确诊断，临床诊断属于世界卫</w:t>
      </w:r>
      <w:r>
        <w:rPr>
          <w:spacing w:val="-6"/>
          <w:w w:val="99"/>
        </w:rPr>
        <w:t>生组织《疾病和有关健康问题的国际统计分类》</w:t>
      </w:r>
      <w:r>
        <w:rPr>
          <w:w w:val="99"/>
        </w:rPr>
        <w:t>（</w:t>
      </w:r>
      <w:r>
        <w:rPr>
          <w:w w:val="70"/>
        </w:rPr>
        <w:t>I</w:t>
      </w:r>
      <w:r>
        <w:rPr>
          <w:spacing w:val="-1"/>
          <w:w w:val="126"/>
        </w:rPr>
        <w:t>C</w:t>
      </w:r>
      <w:r>
        <w:rPr>
          <w:spacing w:val="1"/>
          <w:w w:val="153"/>
        </w:rPr>
        <w:t>D</w:t>
      </w:r>
      <w:r>
        <w:rPr>
          <w:spacing w:val="-1"/>
          <w:w w:val="62"/>
        </w:rPr>
        <w:t>-</w:t>
      </w:r>
      <w:r>
        <w:rPr>
          <w:w w:val="93"/>
        </w:rPr>
        <w:t>1</w:t>
      </w:r>
      <w:r>
        <w:rPr>
          <w:spacing w:val="1"/>
          <w:w w:val="93"/>
        </w:rPr>
        <w:t>0</w:t>
      </w:r>
      <w:r>
        <w:rPr>
          <w:spacing w:val="1"/>
          <w:w w:val="99"/>
        </w:rPr>
        <w:t>）</w:t>
      </w:r>
      <w:r>
        <w:rPr>
          <w:w w:val="99"/>
        </w:rPr>
        <w:t>的恶性肿瘤范畴。</w:t>
      </w:r>
    </w:p>
    <w:p>
      <w:pPr>
        <w:pStyle w:val="BodyText"/>
        <w:spacing w:before="45"/>
        <w:ind w:left="120"/>
        <w:jc w:val="both"/>
      </w:pPr>
      <w:r>
        <w:rPr>
          <w:w w:val="95"/>
        </w:rPr>
        <w:t>下列疾病不在保障范围内：</w:t>
      </w:r>
    </w:p>
    <w:p>
      <w:pPr>
        <w:pStyle w:val="BodyText"/>
        <w:spacing w:before="116"/>
        <w:ind w:left="120"/>
        <w:jc w:val="both"/>
      </w:pPr>
      <w:r>
        <w:rPr>
          <w:w w:val="95"/>
        </w:rPr>
        <w:t>（1）原位癌；</w:t>
      </w:r>
    </w:p>
    <w:p>
      <w:pPr>
        <w:pStyle w:val="BodyText"/>
        <w:spacing w:before="37"/>
        <w:ind w:left="120"/>
        <w:jc w:val="both"/>
      </w:pPr>
      <w:r>
        <w:rPr>
          <w:w w:val="99"/>
        </w:rPr>
        <w:t>（</w:t>
      </w:r>
      <w:r>
        <w:rPr>
          <w:w w:val="93"/>
        </w:rPr>
        <w:t>2</w:t>
      </w:r>
      <w:r>
        <w:rPr>
          <w:spacing w:val="1"/>
          <w:w w:val="99"/>
        </w:rPr>
        <w:t>）</w:t>
      </w:r>
      <w:r>
        <w:rPr>
          <w:w w:val="99"/>
        </w:rPr>
        <w:t>相当于</w:t>
      </w:r>
      <w:r>
        <w:rPr>
          <w:spacing w:val="-53"/>
        </w:rPr>
        <w:t> </w:t>
      </w:r>
      <w:r>
        <w:rPr>
          <w:spacing w:val="0"/>
          <w:w w:val="122"/>
        </w:rPr>
        <w:t>B</w:t>
      </w:r>
      <w:r>
        <w:rPr>
          <w:w w:val="45"/>
        </w:rPr>
        <w:t>i</w:t>
      </w:r>
      <w:r>
        <w:rPr>
          <w:spacing w:val="-1"/>
          <w:w w:val="101"/>
        </w:rPr>
        <w:t>n</w:t>
      </w:r>
      <w:r>
        <w:rPr>
          <w:spacing w:val="0"/>
          <w:w w:val="82"/>
        </w:rPr>
        <w:t>e</w:t>
      </w:r>
      <w:r>
        <w:rPr>
          <w:w w:val="58"/>
        </w:rPr>
        <w:t>t</w:t>
      </w:r>
      <w:r>
        <w:rPr>
          <w:spacing w:val="-51"/>
        </w:rPr>
        <w:t> </w:t>
      </w:r>
      <w:r>
        <w:rPr>
          <w:w w:val="99"/>
        </w:rPr>
        <w:t>分期方案</w:t>
      </w:r>
      <w:r>
        <w:rPr>
          <w:spacing w:val="-53"/>
        </w:rPr>
        <w:t> </w:t>
      </w:r>
      <w:r>
        <w:rPr>
          <w:w w:val="134"/>
        </w:rPr>
        <w:t>A</w:t>
      </w:r>
      <w:r>
        <w:rPr>
          <w:spacing w:val="-55"/>
        </w:rPr>
        <w:t> </w:t>
      </w:r>
      <w:r>
        <w:rPr>
          <w:w w:val="99"/>
        </w:rPr>
        <w:t>期程度的慢性淋巴细胞白血病；</w:t>
      </w:r>
    </w:p>
    <w:p>
      <w:pPr>
        <w:pStyle w:val="BodyText"/>
        <w:spacing w:before="37"/>
        <w:ind w:left="120"/>
        <w:jc w:val="both"/>
      </w:pPr>
      <w:r>
        <w:rPr>
          <w:w w:val="99"/>
        </w:rPr>
        <w:t>（</w:t>
      </w:r>
      <w:r>
        <w:rPr>
          <w:w w:val="93"/>
        </w:rPr>
        <w:t>3</w:t>
      </w:r>
      <w:r>
        <w:rPr>
          <w:spacing w:val="1"/>
          <w:w w:val="99"/>
        </w:rPr>
        <w:t>）</w:t>
      </w:r>
      <w:r>
        <w:rPr>
          <w:w w:val="99"/>
        </w:rPr>
        <w:t>相当于</w:t>
      </w:r>
      <w:r>
        <w:rPr>
          <w:spacing w:val="-53"/>
        </w:rPr>
        <w:t> </w:t>
      </w:r>
      <w:r>
        <w:rPr>
          <w:w w:val="134"/>
        </w:rPr>
        <w:t>A</w:t>
      </w:r>
      <w:r>
        <w:rPr>
          <w:spacing w:val="-1"/>
          <w:w w:val="101"/>
        </w:rPr>
        <w:t>n</w:t>
      </w:r>
      <w:r>
        <w:rPr>
          <w:w w:val="101"/>
        </w:rPr>
        <w:t>n</w:t>
      </w:r>
      <w:r>
        <w:rPr>
          <w:spacing w:val="-51"/>
        </w:rPr>
        <w:t> </w:t>
      </w:r>
      <w:r>
        <w:rPr>
          <w:w w:val="134"/>
        </w:rPr>
        <w:t>A</w:t>
      </w:r>
      <w:r>
        <w:rPr>
          <w:w w:val="66"/>
        </w:rPr>
        <w:t>r</w:t>
      </w:r>
      <w:r>
        <w:rPr>
          <w:spacing w:val="-1"/>
          <w:w w:val="101"/>
        </w:rPr>
        <w:t>b</w:t>
      </w:r>
      <w:r>
        <w:rPr>
          <w:spacing w:val="0"/>
          <w:w w:val="101"/>
        </w:rPr>
        <w:t>o</w:t>
      </w:r>
      <w:r>
        <w:rPr>
          <w:w w:val="66"/>
        </w:rPr>
        <w:t>r</w:t>
      </w:r>
      <w:r>
        <w:rPr>
          <w:spacing w:val="-50"/>
        </w:rPr>
        <w:t> </w:t>
      </w:r>
      <w:r>
        <w:rPr>
          <w:w w:val="99"/>
        </w:rPr>
        <w:t>分期方案</w:t>
      </w:r>
      <w:r>
        <w:rPr>
          <w:spacing w:val="-53"/>
        </w:rPr>
        <w:t> </w:t>
      </w:r>
      <w:r>
        <w:rPr>
          <w:w w:val="70"/>
        </w:rPr>
        <w:t>I</w:t>
      </w:r>
      <w:r>
        <w:rPr>
          <w:spacing w:val="-52"/>
        </w:rPr>
        <w:t> </w:t>
      </w:r>
      <w:r>
        <w:rPr>
          <w:w w:val="99"/>
        </w:rPr>
        <w:t>期程度的何杰金氏病；</w:t>
      </w:r>
    </w:p>
    <w:p>
      <w:pPr>
        <w:pStyle w:val="BodyText"/>
        <w:spacing w:before="37"/>
        <w:ind w:left="120"/>
        <w:jc w:val="both"/>
      </w:pPr>
      <w:r>
        <w:rPr>
          <w:w w:val="99"/>
        </w:rPr>
        <w:t>（</w:t>
      </w:r>
      <w:r>
        <w:rPr>
          <w:w w:val="93"/>
        </w:rPr>
        <w:t>4</w:t>
      </w:r>
      <w:r>
        <w:rPr>
          <w:spacing w:val="1"/>
          <w:w w:val="99"/>
        </w:rPr>
        <w:t>）</w:t>
      </w:r>
      <w:r>
        <w:rPr>
          <w:w w:val="99"/>
        </w:rPr>
        <w:t>皮肤癌</w:t>
      </w:r>
      <w:r>
        <w:rPr>
          <w:spacing w:val="1"/>
          <w:w w:val="99"/>
        </w:rPr>
        <w:t>（</w:t>
      </w:r>
      <w:r>
        <w:rPr>
          <w:spacing w:val="-1"/>
          <w:w w:val="99"/>
        </w:rPr>
        <w:t>不包括恶性黑色素瘤及已发生转移的皮肤癌</w:t>
      </w:r>
      <w:r>
        <w:rPr>
          <w:spacing w:val="-104"/>
          <w:w w:val="99"/>
        </w:rPr>
        <w:t>）</w:t>
      </w:r>
      <w:r>
        <w:rPr>
          <w:w w:val="99"/>
        </w:rPr>
        <w:t>；</w:t>
      </w:r>
    </w:p>
    <w:p>
      <w:pPr>
        <w:spacing w:before="190"/>
        <w:ind w:left="120" w:right="0" w:firstLine="0"/>
        <w:jc w:val="both"/>
        <w:rPr>
          <w:sz w:val="21"/>
        </w:rPr>
      </w:pPr>
      <w:r>
        <w:rPr>
          <w:w w:val="99"/>
          <w:sz w:val="21"/>
        </w:rPr>
        <w:t>（</w:t>
      </w:r>
      <w:r>
        <w:rPr>
          <w:w w:val="93"/>
          <w:sz w:val="21"/>
        </w:rPr>
        <w:t>5</w:t>
      </w:r>
      <w:r>
        <w:rPr>
          <w:spacing w:val="12"/>
          <w:w w:val="99"/>
          <w:sz w:val="21"/>
        </w:rPr>
        <w:t>）</w:t>
      </w:r>
      <w:r>
        <w:rPr>
          <w:rFonts w:ascii="Times New Roman" w:eastAsia="Times New Roman"/>
          <w:i/>
          <w:spacing w:val="-57"/>
          <w:w w:val="98"/>
          <w:sz w:val="24"/>
        </w:rPr>
        <w:t>TN</w:t>
      </w:r>
      <w:r>
        <w:rPr>
          <w:rFonts w:ascii="Times New Roman" w:eastAsia="Times New Roman"/>
          <w:i/>
          <w:w w:val="98"/>
          <w:sz w:val="24"/>
        </w:rPr>
        <w:t>M</w:t>
      </w:r>
      <w:r>
        <w:rPr>
          <w:rFonts w:ascii="Times New Roman" w:eastAsia="Times New Roman"/>
          <w:i/>
          <w:spacing w:val="-15"/>
          <w:sz w:val="24"/>
        </w:rPr>
        <w:t> </w:t>
      </w:r>
      <w:r>
        <w:rPr>
          <w:spacing w:val="2"/>
          <w:w w:val="99"/>
          <w:sz w:val="21"/>
        </w:rPr>
        <w:t>分期为</w:t>
      </w:r>
      <w:r>
        <w:rPr>
          <w:rFonts w:ascii="Times New Roman" w:eastAsia="Times New Roman"/>
          <w:i/>
          <w:spacing w:val="-69"/>
          <w:w w:val="99"/>
          <w:sz w:val="24"/>
        </w:rPr>
        <w:t>T</w:t>
      </w:r>
      <w:r>
        <w:rPr>
          <w:rFonts w:ascii="Times New Roman" w:eastAsia="Times New Roman"/>
          <w:spacing w:val="5"/>
          <w:w w:val="99"/>
          <w:position w:val="-5"/>
          <w:sz w:val="14"/>
        </w:rPr>
        <w:t>1</w:t>
      </w:r>
      <w:r>
        <w:rPr>
          <w:rFonts w:ascii="Times New Roman" w:eastAsia="Times New Roman"/>
          <w:i/>
          <w:spacing w:val="-28"/>
          <w:w w:val="99"/>
          <w:sz w:val="24"/>
        </w:rPr>
        <w:t>N</w:t>
      </w:r>
      <w:r>
        <w:rPr>
          <w:rFonts w:ascii="Times New Roman" w:eastAsia="Times New Roman"/>
          <w:spacing w:val="7"/>
          <w:w w:val="99"/>
          <w:position w:val="-5"/>
          <w:sz w:val="14"/>
        </w:rPr>
        <w:t>0</w:t>
      </w:r>
      <w:r>
        <w:rPr>
          <w:rFonts w:ascii="Times New Roman" w:eastAsia="Times New Roman"/>
          <w:i/>
          <w:spacing w:val="-15"/>
          <w:w w:val="99"/>
          <w:sz w:val="24"/>
        </w:rPr>
        <w:t>M</w:t>
      </w:r>
      <w:r>
        <w:rPr>
          <w:rFonts w:ascii="Times New Roman" w:eastAsia="Times New Roman"/>
          <w:w w:val="99"/>
          <w:position w:val="-5"/>
          <w:sz w:val="14"/>
        </w:rPr>
        <w:t>0</w:t>
      </w:r>
      <w:r>
        <w:rPr>
          <w:rFonts w:ascii="Times New Roman" w:eastAsia="Times New Roman"/>
          <w:spacing w:val="-2"/>
          <w:position w:val="-5"/>
          <w:sz w:val="14"/>
        </w:rPr>
        <w:t> </w:t>
      </w:r>
      <w:r>
        <w:rPr>
          <w:w w:val="99"/>
          <w:sz w:val="21"/>
        </w:rPr>
        <w:t>期或更轻分期的前列腺癌（</w:t>
      </w:r>
      <w:r>
        <w:rPr>
          <w:spacing w:val="1"/>
          <w:w w:val="99"/>
          <w:sz w:val="21"/>
        </w:rPr>
        <w:t>注</w:t>
      </w:r>
      <w:r>
        <w:rPr>
          <w:spacing w:val="-106"/>
          <w:w w:val="99"/>
          <w:sz w:val="21"/>
        </w:rPr>
        <w:t>）</w:t>
      </w:r>
      <w:r>
        <w:rPr>
          <w:w w:val="99"/>
          <w:sz w:val="21"/>
        </w:rPr>
        <w:t>；</w:t>
      </w:r>
    </w:p>
    <w:p>
      <w:pPr>
        <w:pStyle w:val="BodyText"/>
        <w:spacing w:line="408" w:lineRule="auto" w:before="211"/>
        <w:ind w:left="328" w:right="3576" w:hanging="209"/>
      </w:pPr>
      <w:r>
        <w:rPr>
          <w:w w:val="95"/>
        </w:rPr>
        <w:t>（6）感染艾滋病病毒或患艾滋病期间所患恶性肿瘤。 注：如果为女性重大疾病保险，则不包括此项。</w:t>
      </w:r>
    </w:p>
    <w:p>
      <w:pPr>
        <w:pStyle w:val="BodyText"/>
        <w:spacing w:before="3"/>
        <w:rPr>
          <w:sz w:val="22"/>
        </w:rPr>
      </w:pPr>
    </w:p>
    <w:p>
      <w:pPr>
        <w:pStyle w:val="Heading2"/>
        <w:numPr>
          <w:ilvl w:val="2"/>
          <w:numId w:val="12"/>
        </w:numPr>
        <w:tabs>
          <w:tab w:pos="847" w:val="left" w:leader="none"/>
        </w:tabs>
        <w:spacing w:line="240" w:lineRule="auto" w:before="0" w:after="0"/>
        <w:ind w:left="846" w:right="0" w:hanging="720"/>
        <w:jc w:val="both"/>
      </w:pPr>
      <w:bookmarkStart w:name="_TOC_250044" w:id="106"/>
      <w:bookmarkEnd w:id="106"/>
      <w:r>
        <w:rPr>
          <w:w w:val="95"/>
        </w:rPr>
        <w:t>急性心肌梗塞</w:t>
      </w:r>
    </w:p>
    <w:p>
      <w:pPr>
        <w:pStyle w:val="BodyText"/>
        <w:spacing w:before="15"/>
        <w:rPr>
          <w:rFonts w:ascii="Microsoft JhengHei UI"/>
          <w:b/>
          <w:sz w:val="27"/>
        </w:rPr>
      </w:pPr>
    </w:p>
    <w:p>
      <w:pPr>
        <w:pStyle w:val="BodyText"/>
        <w:ind w:left="120"/>
        <w:jc w:val="both"/>
      </w:pPr>
      <w:r>
        <w:rPr>
          <w:w w:val="95"/>
        </w:rPr>
        <w:t>指因冠状动脉阻塞导致的相应区域供血不足造成部分心肌坏死。须满足下列至少三项条件：</w:t>
      </w:r>
    </w:p>
    <w:p>
      <w:pPr>
        <w:pStyle w:val="BodyText"/>
        <w:spacing w:before="113"/>
        <w:ind w:left="120"/>
        <w:jc w:val="both"/>
      </w:pPr>
      <w:r>
        <w:rPr>
          <w:w w:val="95"/>
        </w:rPr>
        <w:t>（1）典型临床表现，例如急性胸痛等；</w:t>
      </w:r>
    </w:p>
    <w:p>
      <w:pPr>
        <w:pStyle w:val="BodyText"/>
        <w:spacing w:before="37"/>
        <w:ind w:left="120"/>
        <w:jc w:val="both"/>
      </w:pPr>
      <w:r>
        <w:rPr>
          <w:w w:val="95"/>
        </w:rPr>
        <w:t>（2）新近的心电图改变提示急性心肌梗塞；</w:t>
      </w:r>
    </w:p>
    <w:p>
      <w:pPr>
        <w:pStyle w:val="BodyText"/>
        <w:spacing w:before="37"/>
        <w:ind w:left="120"/>
        <w:jc w:val="both"/>
      </w:pPr>
      <w:r>
        <w:rPr>
          <w:w w:val="95"/>
        </w:rPr>
        <w:t>（3）心肌酶或肌钙蛋白有诊断意义的升高，或呈符合急性心肌梗塞的动态性变化；</w:t>
      </w:r>
    </w:p>
    <w:p>
      <w:pPr>
        <w:pStyle w:val="BodyText"/>
        <w:spacing w:before="116"/>
        <w:ind w:left="120"/>
        <w:jc w:val="both"/>
      </w:pPr>
      <w:r>
        <w:rPr/>
        <w:t>（4）发病 90 天后，经检查证实左心室功能降低，如左心室射血分数低于 50%。</w:t>
      </w:r>
    </w:p>
    <w:p>
      <w:pPr>
        <w:pStyle w:val="BodyText"/>
        <w:spacing w:before="3"/>
        <w:rPr>
          <w:sz w:val="33"/>
        </w:rPr>
      </w:pPr>
    </w:p>
    <w:p>
      <w:pPr>
        <w:pStyle w:val="Heading2"/>
        <w:numPr>
          <w:ilvl w:val="2"/>
          <w:numId w:val="12"/>
        </w:numPr>
        <w:tabs>
          <w:tab w:pos="847" w:val="left" w:leader="none"/>
        </w:tabs>
        <w:spacing w:line="240" w:lineRule="auto" w:before="0" w:after="0"/>
        <w:ind w:left="846" w:right="0" w:hanging="720"/>
        <w:jc w:val="both"/>
      </w:pPr>
      <w:bookmarkStart w:name="_TOC_250043" w:id="107"/>
      <w:bookmarkEnd w:id="107"/>
      <w:r>
        <w:rPr>
          <w:w w:val="95"/>
        </w:rPr>
        <w:t>脑中风后遗症</w:t>
      </w:r>
    </w:p>
    <w:p>
      <w:pPr>
        <w:pStyle w:val="BodyText"/>
        <w:spacing w:before="2"/>
        <w:rPr>
          <w:rFonts w:ascii="Microsoft JhengHei UI"/>
          <w:b/>
          <w:sz w:val="23"/>
        </w:rPr>
      </w:pPr>
    </w:p>
    <w:p>
      <w:pPr>
        <w:pStyle w:val="BodyText"/>
        <w:spacing w:line="273" w:lineRule="auto"/>
        <w:ind w:left="120" w:right="197"/>
      </w:pPr>
      <w:r>
        <w:rPr>
          <w:w w:val="95"/>
        </w:rPr>
        <w:t>指因脑血管的突发病变引起脑血管出血、栓塞或梗塞，并导致神经系统永久性的功能障碍</w:t>
      </w:r>
      <w:r>
        <w:rPr>
          <w:w w:val="90"/>
        </w:rPr>
        <w:t>。  </w:t>
      </w:r>
      <w:r>
        <w:rPr>
          <w:spacing w:val="-4"/>
        </w:rPr>
        <w:t>神经系统永久性的功能障碍，指疾病确诊 </w:t>
      </w:r>
      <w:r>
        <w:rPr/>
        <w:t>180</w:t>
      </w:r>
      <w:r>
        <w:rPr>
          <w:spacing w:val="-9"/>
        </w:rPr>
        <w:t> 天后，仍遗留下列一种或一种以上障碍：</w:t>
      </w:r>
    </w:p>
    <w:p>
      <w:pPr>
        <w:pStyle w:val="BodyText"/>
        <w:spacing w:line="288" w:lineRule="exact"/>
        <w:ind w:left="120"/>
        <w:jc w:val="both"/>
      </w:pPr>
      <w:r>
        <w:rPr>
          <w:w w:val="99"/>
        </w:rPr>
        <w:t>（</w:t>
      </w:r>
      <w:r>
        <w:rPr>
          <w:w w:val="93"/>
        </w:rPr>
        <w:t>1</w:t>
      </w:r>
      <w:r>
        <w:rPr>
          <w:spacing w:val="1"/>
          <w:w w:val="99"/>
        </w:rPr>
        <w:t>）</w:t>
      </w:r>
      <w:r>
        <w:rPr>
          <w:spacing w:val="-4"/>
          <w:w w:val="99"/>
        </w:rPr>
        <w:t>一肢或一肢以上</w:t>
      </w:r>
      <w:r>
        <w:rPr>
          <w:rFonts w:ascii="Microsoft JhengHei UI" w:eastAsia="Microsoft JhengHei UI" w:hint="eastAsia"/>
          <w:b/>
          <w:spacing w:val="-48"/>
          <w:w w:val="99"/>
        </w:rPr>
        <w:t>肢</w:t>
      </w:r>
      <w:r>
        <w:rPr>
          <w:w w:val="99"/>
          <w:position w:val="1"/>
        </w:rPr>
        <w:t>体</w:t>
      </w:r>
      <w:r>
        <w:rPr>
          <w:spacing w:val="-476"/>
          <w:w w:val="99"/>
          <w:position w:val="1"/>
        </w:rPr>
        <w:t>机</w:t>
      </w:r>
      <w:r>
        <w:rPr>
          <w:w w:val="99"/>
        </w:rPr>
        <w:t>体</w:t>
      </w:r>
      <w:r>
        <w:rPr>
          <w:spacing w:val="-471"/>
          <w:w w:val="99"/>
        </w:rPr>
        <w:t>机</w:t>
      </w:r>
      <w:r>
        <w:rPr>
          <w:w w:val="99"/>
        </w:rPr>
        <w:t>体</w:t>
      </w:r>
      <w:r>
        <w:rPr>
          <w:spacing w:val="-474"/>
          <w:w w:val="99"/>
        </w:rPr>
        <w:t>机</w:t>
      </w:r>
      <w:r>
        <w:rPr>
          <w:spacing w:val="-31"/>
          <w:w w:val="99"/>
        </w:rPr>
        <w:t>体机</w:t>
      </w:r>
      <w:r>
        <w:rPr>
          <w:w w:val="99"/>
          <w:position w:val="1"/>
        </w:rPr>
        <w:t>能</w:t>
      </w:r>
      <w:r>
        <w:rPr>
          <w:spacing w:val="-476"/>
          <w:w w:val="99"/>
          <w:position w:val="1"/>
        </w:rPr>
        <w:t>完</w:t>
      </w:r>
      <w:r>
        <w:rPr>
          <w:w w:val="99"/>
        </w:rPr>
        <w:t>能</w:t>
      </w:r>
      <w:r>
        <w:rPr>
          <w:spacing w:val="-471"/>
          <w:w w:val="99"/>
        </w:rPr>
        <w:t>完</w:t>
      </w:r>
      <w:r>
        <w:rPr>
          <w:w w:val="99"/>
        </w:rPr>
        <w:t>能</w:t>
      </w:r>
      <w:r>
        <w:rPr>
          <w:spacing w:val="-474"/>
          <w:w w:val="99"/>
        </w:rPr>
        <w:t>完</w:t>
      </w:r>
      <w:r>
        <w:rPr>
          <w:spacing w:val="-31"/>
          <w:w w:val="99"/>
        </w:rPr>
        <w:t>能完</w:t>
      </w:r>
      <w:r>
        <w:rPr>
          <w:w w:val="99"/>
          <w:position w:val="1"/>
        </w:rPr>
        <w:t>全</w:t>
      </w:r>
      <w:r>
        <w:rPr>
          <w:spacing w:val="-476"/>
          <w:w w:val="99"/>
          <w:position w:val="1"/>
        </w:rPr>
        <w:t>丧</w:t>
      </w:r>
      <w:r>
        <w:rPr>
          <w:w w:val="99"/>
        </w:rPr>
        <w:t>全</w:t>
      </w:r>
      <w:r>
        <w:rPr>
          <w:spacing w:val="-471"/>
          <w:w w:val="99"/>
        </w:rPr>
        <w:t>丧</w:t>
      </w:r>
      <w:r>
        <w:rPr>
          <w:w w:val="99"/>
        </w:rPr>
        <w:t>全</w:t>
      </w:r>
      <w:r>
        <w:rPr>
          <w:spacing w:val="-474"/>
          <w:w w:val="99"/>
        </w:rPr>
        <w:t>丧</w:t>
      </w:r>
      <w:r>
        <w:rPr>
          <w:spacing w:val="-31"/>
          <w:w w:val="99"/>
        </w:rPr>
        <w:t>全丧</w:t>
      </w:r>
      <w:r>
        <w:rPr>
          <w:spacing w:val="-267"/>
          <w:w w:val="99"/>
          <w:position w:val="1"/>
        </w:rPr>
        <w:t>失</w:t>
      </w:r>
      <w:r>
        <w:rPr>
          <w:spacing w:val="-264"/>
          <w:w w:val="99"/>
        </w:rPr>
        <w:t>失失</w:t>
      </w:r>
      <w:r>
        <w:rPr>
          <w:spacing w:val="-43"/>
          <w:w w:val="99"/>
        </w:rPr>
        <w:t>失</w:t>
      </w:r>
      <w:r>
        <w:rPr>
          <w:spacing w:val="1"/>
          <w:w w:val="99"/>
        </w:rPr>
        <w:t>（</w:t>
      </w:r>
      <w:r>
        <w:rPr>
          <w:w w:val="99"/>
        </w:rPr>
        <w:t>见释义</w:t>
      </w:r>
      <w:r>
        <w:rPr>
          <w:spacing w:val="-53"/>
        </w:rPr>
        <w:t> </w:t>
      </w:r>
      <w:r>
        <w:rPr>
          <w:w w:val="93"/>
        </w:rPr>
        <w:t>12</w:t>
      </w:r>
      <w:r>
        <w:rPr>
          <w:spacing w:val="-1"/>
          <w:w w:val="43"/>
        </w:rPr>
        <w:t>.</w:t>
      </w:r>
      <w:r>
        <w:rPr>
          <w:w w:val="93"/>
        </w:rPr>
        <w:t>16</w:t>
      </w:r>
      <w:r>
        <w:rPr>
          <w:spacing w:val="-104"/>
          <w:w w:val="99"/>
        </w:rPr>
        <w:t>）</w:t>
      </w:r>
      <w:r>
        <w:rPr>
          <w:w w:val="99"/>
        </w:rPr>
        <w:t>；</w:t>
      </w:r>
    </w:p>
    <w:p>
      <w:pPr>
        <w:pStyle w:val="BodyText"/>
        <w:spacing w:line="331" w:lineRule="exact"/>
        <w:ind w:left="120"/>
        <w:jc w:val="both"/>
      </w:pPr>
      <w:r>
        <w:rPr>
          <w:spacing w:val="-7"/>
        </w:rPr>
        <w:t>（2）</w:t>
      </w:r>
      <w:r>
        <w:rPr>
          <w:rFonts w:ascii="Microsoft JhengHei UI" w:eastAsia="Microsoft JhengHei UI" w:hint="eastAsia"/>
          <w:b/>
          <w:spacing w:val="-48"/>
        </w:rPr>
        <w:t>语</w:t>
      </w:r>
      <w:r>
        <w:rPr>
          <w:spacing w:val="-105"/>
          <w:position w:val="1"/>
        </w:rPr>
        <w:t>言能</w:t>
      </w:r>
      <w:r>
        <w:rPr>
          <w:spacing w:val="-81"/>
        </w:rPr>
        <w:t>言能言能言能</w:t>
      </w:r>
      <w:r>
        <w:rPr>
          <w:spacing w:val="-105"/>
          <w:position w:val="1"/>
        </w:rPr>
        <w:t>力或</w:t>
      </w:r>
      <w:r>
        <w:rPr>
          <w:spacing w:val="-81"/>
        </w:rPr>
        <w:t>力或力或力或</w:t>
      </w:r>
      <w:r>
        <w:rPr>
          <w:spacing w:val="-105"/>
          <w:position w:val="1"/>
        </w:rPr>
        <w:t>咀嚼</w:t>
      </w:r>
      <w:r>
        <w:rPr>
          <w:spacing w:val="-81"/>
        </w:rPr>
        <w:t>咀嚼咀嚼咀嚼</w:t>
      </w:r>
      <w:r>
        <w:rPr>
          <w:spacing w:val="-105"/>
          <w:position w:val="1"/>
        </w:rPr>
        <w:t>吞咽</w:t>
      </w:r>
      <w:r>
        <w:rPr>
          <w:spacing w:val="-81"/>
        </w:rPr>
        <w:t>吞咽吞咽吞咽</w:t>
      </w:r>
      <w:r>
        <w:rPr>
          <w:spacing w:val="-105"/>
          <w:position w:val="1"/>
        </w:rPr>
        <w:t>能力</w:t>
      </w:r>
      <w:r>
        <w:rPr>
          <w:spacing w:val="-81"/>
        </w:rPr>
        <w:t>能力能力能力</w:t>
      </w:r>
      <w:r>
        <w:rPr>
          <w:spacing w:val="-105"/>
          <w:position w:val="1"/>
        </w:rPr>
        <w:t>完全</w:t>
      </w:r>
      <w:r>
        <w:rPr>
          <w:spacing w:val="-81"/>
        </w:rPr>
        <w:t>完全完全完全</w:t>
      </w:r>
      <w:r>
        <w:rPr>
          <w:spacing w:val="-105"/>
          <w:position w:val="1"/>
        </w:rPr>
        <w:t>丧失</w:t>
      </w:r>
      <w:r>
        <w:rPr>
          <w:spacing w:val="-77"/>
        </w:rPr>
        <w:t>丧失丧失丧失</w:t>
      </w:r>
      <w:r>
        <w:rPr/>
        <w:t>（见释义</w:t>
      </w:r>
      <w:r>
        <w:rPr>
          <w:spacing w:val="-101"/>
          <w:w w:val="93"/>
        </w:rPr>
        <w:t>12</w:t>
      </w:r>
      <w:r>
        <w:rPr>
          <w:spacing w:val="-102"/>
          <w:w w:val="43"/>
        </w:rPr>
        <w:t>.</w:t>
      </w:r>
      <w:r>
        <w:rPr>
          <w:spacing w:val="-101"/>
          <w:w w:val="93"/>
        </w:rPr>
        <w:t>1</w:t>
      </w:r>
      <w:r>
        <w:rPr>
          <w:spacing w:val="-99"/>
          <w:w w:val="93"/>
        </w:rPr>
        <w:t>7</w:t>
      </w:r>
      <w:r>
        <w:rPr>
          <w:spacing w:val="-205"/>
          <w:w w:val="99"/>
        </w:rPr>
        <w:t>）</w:t>
      </w:r>
      <w:r>
        <w:rPr>
          <w:spacing w:val="-101"/>
          <w:w w:val="99"/>
        </w:rPr>
        <w:t>；</w:t>
      </w:r>
    </w:p>
    <w:p>
      <w:pPr>
        <w:spacing w:after="0" w:line="331" w:lineRule="exact"/>
        <w:jc w:val="both"/>
        <w:sectPr>
          <w:pgSz w:w="11910" w:h="16840"/>
          <w:pgMar w:header="0" w:footer="1268" w:top="1440" w:bottom="1460" w:left="1680" w:right="1600"/>
        </w:sectPr>
      </w:pPr>
    </w:p>
    <w:p>
      <w:pPr>
        <w:pStyle w:val="BodyText"/>
        <w:spacing w:line="249" w:lineRule="auto" w:before="5"/>
        <w:ind w:left="120" w:right="107"/>
      </w:pPr>
      <w:bookmarkStart w:name="重大器官移植术或造血干细胞移植术" w:id="108"/>
      <w:bookmarkEnd w:id="108"/>
      <w:r>
        <w:rPr/>
      </w:r>
      <w:bookmarkStart w:name="冠状动脉搭桥术（或称冠状动脉旁路移植术）" w:id="109"/>
      <w:bookmarkEnd w:id="109"/>
      <w:r>
        <w:rPr/>
      </w:r>
      <w:bookmarkStart w:name="终末期肾病（或称慢性肾功能衰竭尿毒症期）" w:id="110"/>
      <w:bookmarkEnd w:id="110"/>
      <w:r>
        <w:rPr/>
      </w:r>
      <w:bookmarkStart w:name="多个肢体缺失" w:id="111"/>
      <w:bookmarkEnd w:id="111"/>
      <w:r>
        <w:rPr/>
      </w:r>
      <w:bookmarkStart w:name="急性或亚急性重症肝炎" w:id="112"/>
      <w:bookmarkEnd w:id="112"/>
      <w:r>
        <w:rPr/>
      </w:r>
      <w:r>
        <w:rPr>
          <w:w w:val="99"/>
        </w:rPr>
        <w:t>（</w:t>
      </w:r>
      <w:r>
        <w:rPr>
          <w:spacing w:val="1"/>
          <w:w w:val="93"/>
        </w:rPr>
        <w:t>3</w:t>
      </w:r>
      <w:r>
        <w:rPr>
          <w:spacing w:val="-15"/>
          <w:w w:val="99"/>
        </w:rPr>
        <w:t>）</w:t>
      </w:r>
      <w:r>
        <w:rPr>
          <w:spacing w:val="-4"/>
          <w:w w:val="99"/>
        </w:rPr>
        <w:t>自主生活能力完全丧失，无法独立完成</w:t>
      </w:r>
      <w:r>
        <w:rPr>
          <w:rFonts w:ascii="Microsoft JhengHei UI" w:eastAsia="Microsoft JhengHei UI" w:hint="eastAsia"/>
          <w:b/>
          <w:spacing w:val="-48"/>
          <w:w w:val="99"/>
        </w:rPr>
        <w:t>六</w:t>
      </w:r>
      <w:r>
        <w:rPr>
          <w:spacing w:val="-267"/>
          <w:w w:val="99"/>
          <w:position w:val="1"/>
        </w:rPr>
        <w:t>项</w:t>
      </w:r>
      <w:r>
        <w:rPr>
          <w:spacing w:val="-264"/>
          <w:w w:val="99"/>
        </w:rPr>
        <w:t>项项</w:t>
      </w:r>
      <w:r>
        <w:rPr>
          <w:spacing w:val="-62"/>
          <w:w w:val="99"/>
        </w:rPr>
        <w:t>项</w:t>
      </w:r>
      <w:r>
        <w:rPr>
          <w:spacing w:val="-267"/>
          <w:w w:val="99"/>
          <w:position w:val="1"/>
        </w:rPr>
        <w:t>基</w:t>
      </w:r>
      <w:r>
        <w:rPr>
          <w:spacing w:val="-264"/>
          <w:w w:val="99"/>
        </w:rPr>
        <w:t>基基</w:t>
      </w:r>
      <w:r>
        <w:rPr>
          <w:spacing w:val="-62"/>
          <w:w w:val="99"/>
        </w:rPr>
        <w:t>基</w:t>
      </w:r>
      <w:r>
        <w:rPr>
          <w:spacing w:val="-267"/>
          <w:w w:val="99"/>
          <w:position w:val="1"/>
        </w:rPr>
        <w:t>本</w:t>
      </w:r>
      <w:r>
        <w:rPr>
          <w:spacing w:val="-264"/>
          <w:w w:val="99"/>
        </w:rPr>
        <w:t>本本</w:t>
      </w:r>
      <w:r>
        <w:rPr>
          <w:spacing w:val="-62"/>
          <w:w w:val="99"/>
        </w:rPr>
        <w:t>本</w:t>
      </w:r>
      <w:r>
        <w:rPr>
          <w:spacing w:val="-267"/>
          <w:w w:val="99"/>
          <w:position w:val="1"/>
        </w:rPr>
        <w:t>日</w:t>
      </w:r>
      <w:r>
        <w:rPr>
          <w:spacing w:val="-264"/>
          <w:w w:val="99"/>
        </w:rPr>
        <w:t>日日</w:t>
      </w:r>
      <w:r>
        <w:rPr>
          <w:spacing w:val="-62"/>
          <w:w w:val="99"/>
        </w:rPr>
        <w:t>日</w:t>
      </w:r>
      <w:r>
        <w:rPr>
          <w:spacing w:val="-267"/>
          <w:w w:val="99"/>
          <w:position w:val="1"/>
        </w:rPr>
        <w:t>常</w:t>
      </w:r>
      <w:r>
        <w:rPr>
          <w:spacing w:val="-264"/>
          <w:w w:val="99"/>
        </w:rPr>
        <w:t>常常</w:t>
      </w:r>
      <w:r>
        <w:rPr>
          <w:spacing w:val="-62"/>
          <w:w w:val="99"/>
        </w:rPr>
        <w:t>常</w:t>
      </w:r>
      <w:r>
        <w:rPr>
          <w:spacing w:val="-267"/>
          <w:w w:val="99"/>
          <w:position w:val="1"/>
        </w:rPr>
        <w:t>生</w:t>
      </w:r>
      <w:r>
        <w:rPr>
          <w:spacing w:val="-264"/>
          <w:w w:val="99"/>
        </w:rPr>
        <w:t>生生</w:t>
      </w:r>
      <w:r>
        <w:rPr>
          <w:spacing w:val="-62"/>
          <w:w w:val="99"/>
        </w:rPr>
        <w:t>生</w:t>
      </w:r>
      <w:r>
        <w:rPr>
          <w:spacing w:val="-267"/>
          <w:w w:val="99"/>
          <w:position w:val="1"/>
        </w:rPr>
        <w:t>活</w:t>
      </w:r>
      <w:r>
        <w:rPr>
          <w:spacing w:val="-264"/>
          <w:w w:val="99"/>
        </w:rPr>
        <w:t>活活</w:t>
      </w:r>
      <w:r>
        <w:rPr>
          <w:spacing w:val="-63"/>
          <w:w w:val="99"/>
        </w:rPr>
        <w:t>活</w:t>
      </w:r>
      <w:r>
        <w:rPr>
          <w:w w:val="99"/>
        </w:rPr>
        <w:t>（见释义</w:t>
      </w:r>
      <w:r>
        <w:rPr/>
        <w:t> </w:t>
      </w:r>
      <w:r>
        <w:rPr>
          <w:w w:val="93"/>
        </w:rPr>
        <w:t>12</w:t>
      </w:r>
      <w:r>
        <w:rPr>
          <w:spacing w:val="-1"/>
          <w:w w:val="43"/>
        </w:rPr>
        <w:t>.</w:t>
      </w:r>
      <w:r>
        <w:rPr>
          <w:w w:val="93"/>
        </w:rPr>
        <w:t>1</w:t>
      </w:r>
      <w:r>
        <w:rPr>
          <w:spacing w:val="1"/>
          <w:w w:val="93"/>
        </w:rPr>
        <w:t>8</w:t>
      </w:r>
      <w:r>
        <w:rPr>
          <w:spacing w:val="-15"/>
          <w:w w:val="99"/>
        </w:rPr>
        <w:t>）</w:t>
      </w:r>
      <w:r>
        <w:rPr>
          <w:w w:val="99"/>
        </w:rPr>
        <w:t>活动中的三   </w:t>
      </w:r>
      <w:r>
        <w:rPr>
          <w:w w:val="95"/>
        </w:rPr>
        <w:t>项或三项以上。</w:t>
      </w:r>
    </w:p>
    <w:p>
      <w:pPr>
        <w:pStyle w:val="BodyText"/>
        <w:spacing w:before="10"/>
        <w:rPr>
          <w:sz w:val="26"/>
        </w:rPr>
      </w:pPr>
    </w:p>
    <w:p>
      <w:pPr>
        <w:pStyle w:val="Heading2"/>
        <w:numPr>
          <w:ilvl w:val="2"/>
          <w:numId w:val="12"/>
        </w:numPr>
        <w:tabs>
          <w:tab w:pos="847" w:val="left" w:leader="none"/>
        </w:tabs>
        <w:spacing w:line="240" w:lineRule="auto" w:before="0" w:after="0"/>
        <w:ind w:left="846" w:right="0" w:hanging="720"/>
        <w:jc w:val="left"/>
      </w:pPr>
      <w:bookmarkStart w:name="_TOC_250042" w:id="113"/>
      <w:bookmarkEnd w:id="113"/>
      <w:r>
        <w:rPr>
          <w:w w:val="95"/>
        </w:rPr>
        <w:t>重大器官移植术或造血干细胞移植术</w:t>
      </w:r>
    </w:p>
    <w:p>
      <w:pPr>
        <w:pStyle w:val="BodyText"/>
        <w:spacing w:before="12"/>
        <w:rPr>
          <w:rFonts w:ascii="Microsoft JhengHei UI"/>
          <w:b/>
          <w:sz w:val="27"/>
        </w:rPr>
      </w:pPr>
    </w:p>
    <w:p>
      <w:pPr>
        <w:pStyle w:val="BodyText"/>
        <w:spacing w:line="408" w:lineRule="auto" w:before="1"/>
        <w:ind w:left="120" w:right="117"/>
      </w:pPr>
      <w:r>
        <w:rPr>
          <w:spacing w:val="-6"/>
          <w:w w:val="95"/>
        </w:rPr>
        <w:t>重大器官移植术，指因相应器官功能衰竭，已经实施了肾脏、肝脏、心脏或肺脏的异体移植   手术。</w:t>
      </w:r>
    </w:p>
    <w:p>
      <w:pPr>
        <w:pStyle w:val="BodyText"/>
        <w:spacing w:line="408" w:lineRule="auto" w:before="46"/>
        <w:ind w:left="120" w:right="117"/>
      </w:pPr>
      <w:r>
        <w:rPr>
          <w:spacing w:val="-7"/>
        </w:rPr>
        <w:t>造血干细胞移植术，指因造血功能损害或造血系统恶性肿瘤，已经实施了造血干细胞</w:t>
      </w:r>
      <w:r>
        <w:rPr/>
        <w:t>（包括</w:t>
      </w:r>
      <w:r>
        <w:rPr>
          <w:w w:val="95"/>
        </w:rPr>
        <w:t>骨髓造血干细胞、外周血造血干细胞和脐血造血干细胞）的异体移植手术。</w:t>
      </w:r>
    </w:p>
    <w:p>
      <w:pPr>
        <w:pStyle w:val="BodyText"/>
        <w:spacing w:before="2"/>
        <w:rPr>
          <w:sz w:val="22"/>
        </w:rPr>
      </w:pPr>
    </w:p>
    <w:p>
      <w:pPr>
        <w:pStyle w:val="Heading2"/>
        <w:numPr>
          <w:ilvl w:val="2"/>
          <w:numId w:val="12"/>
        </w:numPr>
        <w:tabs>
          <w:tab w:pos="847" w:val="left" w:leader="none"/>
        </w:tabs>
        <w:spacing w:line="240" w:lineRule="auto" w:before="1" w:after="0"/>
        <w:ind w:left="846" w:right="0" w:hanging="720"/>
        <w:jc w:val="left"/>
      </w:pPr>
      <w:bookmarkStart w:name="_TOC_250041" w:id="114"/>
      <w:bookmarkEnd w:id="114"/>
      <w:r>
        <w:rPr>
          <w:w w:val="95"/>
        </w:rPr>
        <w:t>冠状动脉搭桥术（或称冠状动脉旁路移植术）</w:t>
      </w:r>
    </w:p>
    <w:p>
      <w:pPr>
        <w:pStyle w:val="BodyText"/>
        <w:spacing w:before="15"/>
        <w:rPr>
          <w:rFonts w:ascii="Microsoft JhengHei UI"/>
          <w:b/>
          <w:sz w:val="27"/>
        </w:rPr>
      </w:pPr>
    </w:p>
    <w:p>
      <w:pPr>
        <w:pStyle w:val="BodyText"/>
        <w:spacing w:before="1"/>
        <w:ind w:left="120"/>
      </w:pPr>
      <w:r>
        <w:rPr>
          <w:w w:val="95"/>
        </w:rPr>
        <w:t>指为治疗严重的冠心病，实际实施了开胸进行的冠状动脉血管旁路移植的手术。</w:t>
      </w:r>
    </w:p>
    <w:p>
      <w:pPr>
        <w:pStyle w:val="BodyText"/>
        <w:spacing w:line="408" w:lineRule="auto" w:before="193"/>
        <w:ind w:left="120" w:right="117"/>
      </w:pPr>
      <w:r>
        <w:rPr>
          <w:spacing w:val="-6"/>
          <w:w w:val="95"/>
        </w:rPr>
        <w:t>冠状动脉支架植入术、心导管球囊扩张术、激光射频技术及其他非开胸的介入手术、腔镜手   术不在保障范围内。</w:t>
      </w:r>
    </w:p>
    <w:p>
      <w:pPr>
        <w:pStyle w:val="BodyText"/>
        <w:rPr>
          <w:sz w:val="22"/>
        </w:rPr>
      </w:pPr>
    </w:p>
    <w:p>
      <w:pPr>
        <w:pStyle w:val="Heading2"/>
        <w:numPr>
          <w:ilvl w:val="2"/>
          <w:numId w:val="12"/>
        </w:numPr>
        <w:tabs>
          <w:tab w:pos="847" w:val="left" w:leader="none"/>
        </w:tabs>
        <w:spacing w:line="240" w:lineRule="auto" w:before="0" w:after="0"/>
        <w:ind w:left="846" w:right="0" w:hanging="720"/>
        <w:jc w:val="left"/>
      </w:pPr>
      <w:bookmarkStart w:name="_TOC_250040" w:id="115"/>
      <w:bookmarkEnd w:id="115"/>
      <w:r>
        <w:rPr>
          <w:w w:val="95"/>
        </w:rPr>
        <w:t>终末期肾病（或称慢性肾功能衰竭尿毒症期）</w:t>
      </w:r>
    </w:p>
    <w:p>
      <w:pPr>
        <w:pStyle w:val="BodyText"/>
        <w:spacing w:before="15"/>
        <w:rPr>
          <w:rFonts w:ascii="Microsoft JhengHei UI"/>
          <w:b/>
          <w:sz w:val="27"/>
        </w:rPr>
      </w:pPr>
    </w:p>
    <w:p>
      <w:pPr>
        <w:pStyle w:val="BodyText"/>
        <w:spacing w:line="408" w:lineRule="auto"/>
        <w:ind w:left="120" w:right="119"/>
      </w:pPr>
      <w:r>
        <w:rPr>
          <w:spacing w:val="-2"/>
        </w:rPr>
        <w:t>指双肾功能慢性不可逆性衰竭，达到尿毒症期，经诊断后已经进行了至少 </w:t>
      </w:r>
      <w:r>
        <w:rPr/>
        <w:t>90</w:t>
      </w:r>
      <w:r>
        <w:rPr>
          <w:spacing w:val="-10"/>
        </w:rPr>
        <w:t> 天的规律性透</w:t>
      </w:r>
      <w:r>
        <w:rPr>
          <w:spacing w:val="-10"/>
          <w:w w:val="95"/>
        </w:rPr>
        <w:t>析治疗或实施了肾脏移植手术。</w:t>
      </w:r>
    </w:p>
    <w:p>
      <w:pPr>
        <w:pStyle w:val="BodyText"/>
        <w:rPr>
          <w:sz w:val="22"/>
        </w:rPr>
      </w:pPr>
    </w:p>
    <w:p>
      <w:pPr>
        <w:pStyle w:val="Heading2"/>
        <w:numPr>
          <w:ilvl w:val="2"/>
          <w:numId w:val="12"/>
        </w:numPr>
        <w:tabs>
          <w:tab w:pos="847" w:val="left" w:leader="none"/>
        </w:tabs>
        <w:spacing w:line="240" w:lineRule="auto" w:before="0" w:after="0"/>
        <w:ind w:left="846" w:right="0" w:hanging="720"/>
        <w:jc w:val="left"/>
      </w:pPr>
      <w:bookmarkStart w:name="_TOC_250039" w:id="116"/>
      <w:bookmarkEnd w:id="116"/>
      <w:r>
        <w:rPr>
          <w:w w:val="95"/>
        </w:rPr>
        <w:t>多个肢体缺失</w:t>
      </w:r>
    </w:p>
    <w:p>
      <w:pPr>
        <w:pStyle w:val="BodyText"/>
        <w:spacing w:before="15"/>
        <w:rPr>
          <w:rFonts w:ascii="Microsoft JhengHei UI"/>
          <w:b/>
          <w:sz w:val="27"/>
        </w:rPr>
      </w:pPr>
    </w:p>
    <w:p>
      <w:pPr>
        <w:pStyle w:val="BodyText"/>
        <w:spacing w:line="408" w:lineRule="auto"/>
        <w:ind w:left="120" w:right="121"/>
      </w:pPr>
      <w:r>
        <w:rPr>
          <w:spacing w:val="-2"/>
          <w:w w:val="95"/>
        </w:rPr>
        <w:t>指因疾病或意外伤害导致两个或两个以上肢体自腕关节或踝关节近端</w:t>
      </w:r>
      <w:r>
        <w:rPr>
          <w:w w:val="95"/>
        </w:rPr>
        <w:t>（靠近躯干端</w:t>
      </w:r>
      <w:r>
        <w:rPr>
          <w:spacing w:val="-46"/>
          <w:w w:val="95"/>
        </w:rPr>
        <w:t>）</w:t>
      </w:r>
      <w:r>
        <w:rPr>
          <w:w w:val="95"/>
        </w:rPr>
        <w:t>以上完   全性断离。</w:t>
      </w:r>
    </w:p>
    <w:p>
      <w:pPr>
        <w:pStyle w:val="BodyText"/>
        <w:spacing w:before="2"/>
        <w:rPr>
          <w:sz w:val="22"/>
        </w:rPr>
      </w:pPr>
    </w:p>
    <w:p>
      <w:pPr>
        <w:pStyle w:val="Heading2"/>
        <w:numPr>
          <w:ilvl w:val="2"/>
          <w:numId w:val="12"/>
        </w:numPr>
        <w:tabs>
          <w:tab w:pos="847" w:val="left" w:leader="none"/>
        </w:tabs>
        <w:spacing w:line="240" w:lineRule="auto" w:before="1" w:after="0"/>
        <w:ind w:left="846" w:right="0" w:hanging="720"/>
        <w:jc w:val="left"/>
      </w:pPr>
      <w:bookmarkStart w:name="_TOC_250038" w:id="117"/>
      <w:bookmarkEnd w:id="117"/>
      <w:r>
        <w:rPr>
          <w:w w:val="95"/>
        </w:rPr>
        <w:t>急性或亚急性重症肝炎</w:t>
      </w:r>
    </w:p>
    <w:p>
      <w:pPr>
        <w:pStyle w:val="BodyText"/>
        <w:spacing w:before="15"/>
        <w:rPr>
          <w:rFonts w:ascii="Microsoft JhengHei UI"/>
          <w:b/>
          <w:sz w:val="27"/>
        </w:rPr>
      </w:pPr>
    </w:p>
    <w:p>
      <w:pPr>
        <w:pStyle w:val="BodyText"/>
        <w:spacing w:line="408" w:lineRule="auto" w:before="1"/>
        <w:ind w:left="120" w:right="117"/>
      </w:pPr>
      <w:r>
        <w:rPr>
          <w:spacing w:val="-5"/>
        </w:rPr>
        <w:t>指因肝炎病毒感染引起肝脏组织弥漫性坏死，导致急性肝功能衰竭，且经血清学或病毒学检</w:t>
      </w:r>
      <w:r>
        <w:rPr>
          <w:spacing w:val="-5"/>
          <w:w w:val="95"/>
        </w:rPr>
        <w:t>查证实，并须满足下列全部条件：</w:t>
      </w:r>
    </w:p>
    <w:p>
      <w:pPr>
        <w:pStyle w:val="BodyText"/>
        <w:spacing w:before="46"/>
        <w:ind w:left="120"/>
      </w:pPr>
      <w:r>
        <w:rPr>
          <w:w w:val="95"/>
        </w:rPr>
        <w:t>（1）重度黄疸或黄疸迅速加重；</w:t>
      </w:r>
    </w:p>
    <w:p>
      <w:pPr>
        <w:pStyle w:val="BodyText"/>
        <w:spacing w:before="193"/>
        <w:ind w:left="120"/>
      </w:pPr>
      <w:r>
        <w:rPr>
          <w:w w:val="95"/>
        </w:rPr>
        <w:t>（2）肝性脑病；</w:t>
      </w:r>
    </w:p>
    <w:p>
      <w:pPr>
        <w:pStyle w:val="BodyText"/>
        <w:spacing w:before="193"/>
        <w:ind w:left="120"/>
      </w:pPr>
      <w:r>
        <w:rPr/>
        <w:t>（3）B 超或其他影像学检查显示肝脏体积急速萎缩；</w:t>
      </w:r>
    </w:p>
    <w:p>
      <w:pPr>
        <w:pStyle w:val="BodyText"/>
        <w:spacing w:before="193"/>
        <w:ind w:left="120"/>
      </w:pPr>
      <w:r>
        <w:rPr>
          <w:w w:val="95"/>
        </w:rPr>
        <w:t>（4）肝功能指标进行性恶化。</w:t>
      </w:r>
    </w:p>
    <w:p>
      <w:pPr>
        <w:spacing w:after="0"/>
        <w:sectPr>
          <w:footerReference w:type="default" r:id="rId9"/>
          <w:pgSz w:w="11910" w:h="16840"/>
          <w:pgMar w:footer="1268" w:header="0" w:top="1340" w:bottom="1460" w:left="1680" w:right="1680"/>
          <w:pgNumType w:start="17"/>
        </w:sectPr>
      </w:pPr>
    </w:p>
    <w:p>
      <w:pPr>
        <w:pStyle w:val="Heading2"/>
        <w:numPr>
          <w:ilvl w:val="2"/>
          <w:numId w:val="12"/>
        </w:numPr>
        <w:tabs>
          <w:tab w:pos="847" w:val="left" w:leader="none"/>
        </w:tabs>
        <w:spacing w:line="347" w:lineRule="exact" w:before="0" w:after="0"/>
        <w:ind w:left="846" w:right="0" w:hanging="720"/>
        <w:jc w:val="left"/>
      </w:pPr>
      <w:bookmarkStart w:name="_TOC_250037" w:id="118"/>
      <w:bookmarkStart w:name="良性脑肿瘤" w:id="119"/>
      <w:r>
        <w:rPr>
          <w:b w:val="0"/>
        </w:rPr>
      </w:r>
      <w:bookmarkStart w:name="慢性肝功能衰竭失代偿期" w:id="120"/>
      <w:bookmarkEnd w:id="120"/>
      <w:r>
        <w:rPr>
          <w:b w:val="0"/>
        </w:rPr>
      </w:r>
      <w:bookmarkStart w:name="脑炎后遗症或脑膜炎后遗症" w:id="121"/>
      <w:bookmarkEnd w:id="121"/>
      <w:r>
        <w:rPr>
          <w:b w:val="0"/>
        </w:rPr>
      </w:r>
      <w:bookmarkStart w:name="深度昏迷" w:id="122"/>
      <w:bookmarkEnd w:id="122"/>
      <w:r>
        <w:rPr>
          <w:b w:val="0"/>
        </w:rPr>
      </w:r>
      <w:bookmarkStart w:name="深度昏迷" w:id="123"/>
      <w:bookmarkEnd w:id="118"/>
      <w:r>
        <w:rPr>
          <w:w w:val="95"/>
        </w:rPr>
        <w:t>良性脑肿瘤</w:t>
      </w:r>
    </w:p>
    <w:p>
      <w:pPr>
        <w:pStyle w:val="BodyText"/>
        <w:spacing w:before="13"/>
        <w:rPr>
          <w:rFonts w:ascii="Microsoft JhengHei UI"/>
          <w:b/>
          <w:sz w:val="27"/>
        </w:rPr>
      </w:pPr>
    </w:p>
    <w:p>
      <w:pPr>
        <w:pStyle w:val="BodyText"/>
        <w:spacing w:line="408" w:lineRule="auto"/>
        <w:ind w:left="120" w:right="115"/>
        <w:jc w:val="both"/>
      </w:pPr>
      <w:r>
        <w:rPr>
          <w:spacing w:val="-7"/>
        </w:rPr>
        <w:t>指脑的良性肿瘤，已经引起颅内压增高，临床表现为视神经乳头水肿、精神症状、癫痫及运</w:t>
      </w:r>
      <w:r>
        <w:rPr>
          <w:spacing w:val="-1"/>
          <w:w w:val="99"/>
        </w:rPr>
        <w:t>动感觉障碍等，并危及生命。须由头颅断层扫描</w:t>
      </w:r>
      <w:r>
        <w:rPr>
          <w:spacing w:val="1"/>
          <w:w w:val="99"/>
        </w:rPr>
        <w:t>（</w:t>
      </w:r>
      <w:r>
        <w:rPr>
          <w:spacing w:val="-1"/>
          <w:w w:val="126"/>
        </w:rPr>
        <w:t>C</w:t>
      </w:r>
      <w:r>
        <w:rPr>
          <w:spacing w:val="0"/>
          <w:w w:val="122"/>
        </w:rPr>
        <w:t>T</w:t>
      </w:r>
      <w:r>
        <w:rPr>
          <w:spacing w:val="-104"/>
          <w:w w:val="99"/>
        </w:rPr>
        <w:t>）</w:t>
      </w:r>
      <w:r>
        <w:rPr>
          <w:spacing w:val="-1"/>
          <w:w w:val="99"/>
        </w:rPr>
        <w:t>、核磁共振检查</w:t>
      </w:r>
      <w:r>
        <w:rPr>
          <w:w w:val="99"/>
        </w:rPr>
        <w:t>（</w:t>
      </w:r>
      <w:r>
        <w:rPr>
          <w:spacing w:val="-2"/>
          <w:w w:val="165"/>
        </w:rPr>
        <w:t>M</w:t>
      </w:r>
      <w:r>
        <w:rPr>
          <w:spacing w:val="0"/>
          <w:w w:val="124"/>
        </w:rPr>
        <w:t>R</w:t>
      </w:r>
      <w:r>
        <w:rPr>
          <w:spacing w:val="1"/>
          <w:w w:val="70"/>
        </w:rPr>
        <w:t>I</w:t>
      </w:r>
      <w:r>
        <w:rPr>
          <w:w w:val="99"/>
        </w:rPr>
        <w:t>）或正电子发</w:t>
      </w:r>
      <w:r>
        <w:rPr>
          <w:spacing w:val="-1"/>
        </w:rPr>
        <w:t>射断层扫描</w:t>
      </w:r>
      <w:r>
        <w:rPr/>
        <w:t>（PET）等影像学检查证实，并须满足下列至少一项条件：</w:t>
      </w:r>
    </w:p>
    <w:p>
      <w:pPr>
        <w:pStyle w:val="BodyText"/>
        <w:spacing w:before="46"/>
        <w:ind w:left="120"/>
        <w:jc w:val="both"/>
      </w:pPr>
      <w:r>
        <w:rPr>
          <w:w w:val="95"/>
        </w:rPr>
        <w:t>（1）实际实施了开颅进行的脑肿瘤完全切除或部分切除的手术；</w:t>
      </w:r>
    </w:p>
    <w:p>
      <w:pPr>
        <w:pStyle w:val="BodyText"/>
        <w:spacing w:before="193"/>
        <w:ind w:left="120"/>
        <w:jc w:val="both"/>
      </w:pPr>
      <w:r>
        <w:rPr>
          <w:w w:val="95"/>
        </w:rPr>
        <w:t>（2）实际实施了对脑肿瘤进行的放射治疗。</w:t>
      </w:r>
    </w:p>
    <w:p>
      <w:pPr>
        <w:pStyle w:val="BodyText"/>
        <w:spacing w:before="193"/>
        <w:ind w:left="120"/>
        <w:jc w:val="both"/>
      </w:pPr>
      <w:r>
        <w:rPr>
          <w:w w:val="95"/>
        </w:rPr>
        <w:t>脑垂体瘤、脑囊肿、脑血管性疾病不在保障范围内。</w:t>
      </w:r>
    </w:p>
    <w:p>
      <w:pPr>
        <w:pStyle w:val="BodyText"/>
        <w:spacing w:before="6"/>
        <w:rPr>
          <w:sz w:val="33"/>
        </w:rPr>
      </w:pPr>
    </w:p>
    <w:p>
      <w:pPr>
        <w:pStyle w:val="Heading2"/>
        <w:numPr>
          <w:ilvl w:val="2"/>
          <w:numId w:val="12"/>
        </w:numPr>
        <w:tabs>
          <w:tab w:pos="847" w:val="left" w:leader="none"/>
        </w:tabs>
        <w:spacing w:line="240" w:lineRule="auto" w:before="0" w:after="0"/>
        <w:ind w:left="846" w:right="0" w:hanging="720"/>
        <w:jc w:val="both"/>
      </w:pPr>
      <w:bookmarkStart w:name="_TOC_250036" w:id="124"/>
      <w:bookmarkEnd w:id="124"/>
      <w:r>
        <w:rPr>
          <w:w w:val="95"/>
        </w:rPr>
        <w:t>慢性肝功能衰竭失代偿期</w:t>
      </w:r>
    </w:p>
    <w:p>
      <w:pPr>
        <w:pStyle w:val="BodyText"/>
        <w:spacing w:before="12"/>
        <w:rPr>
          <w:rFonts w:ascii="Microsoft JhengHei UI"/>
          <w:b/>
          <w:sz w:val="27"/>
        </w:rPr>
      </w:pPr>
    </w:p>
    <w:p>
      <w:pPr>
        <w:pStyle w:val="BodyText"/>
        <w:spacing w:before="1"/>
        <w:ind w:left="120"/>
        <w:jc w:val="both"/>
      </w:pPr>
      <w:r>
        <w:rPr>
          <w:w w:val="95"/>
        </w:rPr>
        <w:t>指因慢性肝脏疾病导致肝功能衰竭。须满足下列全部条件：</w:t>
      </w:r>
    </w:p>
    <w:p>
      <w:pPr>
        <w:pStyle w:val="BodyText"/>
        <w:spacing w:before="193"/>
        <w:ind w:left="120"/>
        <w:jc w:val="both"/>
      </w:pPr>
      <w:r>
        <w:rPr>
          <w:w w:val="95"/>
        </w:rPr>
        <w:t>（1）持续性黄疸；</w:t>
      </w:r>
    </w:p>
    <w:p>
      <w:pPr>
        <w:pStyle w:val="BodyText"/>
        <w:spacing w:before="193"/>
        <w:ind w:left="120"/>
        <w:jc w:val="both"/>
      </w:pPr>
      <w:r>
        <w:rPr>
          <w:w w:val="95"/>
        </w:rPr>
        <w:t>（2）腹水；</w:t>
      </w:r>
    </w:p>
    <w:p>
      <w:pPr>
        <w:pStyle w:val="BodyText"/>
        <w:spacing w:before="193"/>
        <w:ind w:left="120"/>
        <w:jc w:val="both"/>
      </w:pPr>
      <w:r>
        <w:rPr>
          <w:w w:val="95"/>
        </w:rPr>
        <w:t>（3）肝性脑病；</w:t>
      </w:r>
    </w:p>
    <w:p>
      <w:pPr>
        <w:pStyle w:val="BodyText"/>
        <w:spacing w:line="408" w:lineRule="auto" w:before="193"/>
        <w:ind w:left="120" w:right="3287"/>
      </w:pPr>
      <w:r>
        <w:rPr>
          <w:w w:val="95"/>
        </w:rPr>
        <w:t>（4）充血性脾肿大伴脾功能亢进或食管胃底静脉曲张。 因酗酒或药物滥用导致的肝功能衰竭不在保障范围内。</w:t>
      </w:r>
    </w:p>
    <w:p>
      <w:pPr>
        <w:pStyle w:val="BodyText"/>
        <w:spacing w:before="3"/>
        <w:rPr>
          <w:sz w:val="22"/>
        </w:rPr>
      </w:pPr>
    </w:p>
    <w:p>
      <w:pPr>
        <w:pStyle w:val="Heading2"/>
        <w:numPr>
          <w:ilvl w:val="2"/>
          <w:numId w:val="12"/>
        </w:numPr>
        <w:tabs>
          <w:tab w:pos="847" w:val="left" w:leader="none"/>
        </w:tabs>
        <w:spacing w:line="240" w:lineRule="auto" w:before="0" w:after="0"/>
        <w:ind w:left="846" w:right="0" w:hanging="720"/>
        <w:jc w:val="left"/>
      </w:pPr>
      <w:bookmarkStart w:name="_TOC_250035" w:id="125"/>
      <w:bookmarkEnd w:id="125"/>
      <w:r>
        <w:rPr>
          <w:w w:val="95"/>
        </w:rPr>
        <w:t>脑炎后遗症或脑膜炎后遗症</w:t>
      </w:r>
    </w:p>
    <w:p>
      <w:pPr>
        <w:pStyle w:val="BodyText"/>
        <w:spacing w:before="14"/>
        <w:rPr>
          <w:rFonts w:ascii="Microsoft JhengHei UI"/>
          <w:b/>
          <w:sz w:val="22"/>
        </w:rPr>
      </w:pPr>
    </w:p>
    <w:p>
      <w:pPr>
        <w:pStyle w:val="BodyText"/>
        <w:spacing w:line="400" w:lineRule="auto"/>
        <w:ind w:left="120" w:right="117"/>
      </w:pPr>
      <w:r>
        <w:rPr>
          <w:spacing w:val="-4"/>
          <w:w w:val="95"/>
        </w:rPr>
        <w:t>指因患脑炎或脑膜炎导致的神经系统永久性的功能障碍。神经系统永久性的功能障碍，指疾   病确诊180天后，仍遗留下列一种或一种以上障碍：</w:t>
      </w:r>
    </w:p>
    <w:p>
      <w:pPr>
        <w:pStyle w:val="BodyText"/>
        <w:spacing w:before="42"/>
        <w:ind w:left="120"/>
        <w:jc w:val="both"/>
      </w:pPr>
      <w:r>
        <w:rPr>
          <w:w w:val="95"/>
        </w:rPr>
        <w:t>（1）一肢或一肢以上肢体机能完全丧失；</w:t>
      </w:r>
    </w:p>
    <w:p>
      <w:pPr>
        <w:pStyle w:val="BodyText"/>
        <w:spacing w:before="181"/>
        <w:ind w:left="120"/>
        <w:jc w:val="both"/>
      </w:pPr>
      <w:r>
        <w:rPr>
          <w:w w:val="95"/>
        </w:rPr>
        <w:t>（2）语言能力或咀嚼吞咽能力完全丧失；</w:t>
      </w:r>
    </w:p>
    <w:p>
      <w:pPr>
        <w:pStyle w:val="BodyText"/>
        <w:spacing w:before="183"/>
        <w:ind w:left="120"/>
        <w:jc w:val="both"/>
      </w:pPr>
      <w:r>
        <w:rPr>
          <w:w w:val="95"/>
        </w:rPr>
        <w:t>（3）自主生活能力完全丧失，无法独立完成六项基本日常生活活动中的三项或三项以上。</w:t>
      </w:r>
    </w:p>
    <w:p>
      <w:pPr>
        <w:pStyle w:val="BodyText"/>
        <w:spacing w:before="9"/>
        <w:rPr>
          <w:sz w:val="38"/>
        </w:rPr>
      </w:pPr>
    </w:p>
    <w:p>
      <w:pPr>
        <w:pStyle w:val="Heading2"/>
        <w:numPr>
          <w:ilvl w:val="2"/>
          <w:numId w:val="12"/>
        </w:numPr>
        <w:tabs>
          <w:tab w:pos="847" w:val="left" w:leader="none"/>
        </w:tabs>
        <w:spacing w:line="240" w:lineRule="auto" w:before="0" w:after="0"/>
        <w:ind w:left="846" w:right="0" w:hanging="720"/>
        <w:jc w:val="both"/>
      </w:pPr>
      <w:bookmarkStart w:name="_TOC_250034" w:id="126"/>
      <w:bookmarkEnd w:id="126"/>
      <w:r>
        <w:rPr>
          <w:w w:val="95"/>
        </w:rPr>
        <w:t>深度昏迷</w:t>
      </w:r>
    </w:p>
    <w:p>
      <w:pPr>
        <w:pStyle w:val="BodyText"/>
        <w:spacing w:before="15"/>
        <w:rPr>
          <w:rFonts w:ascii="Microsoft JhengHei UI"/>
          <w:b/>
          <w:sz w:val="27"/>
        </w:rPr>
      </w:pPr>
    </w:p>
    <w:p>
      <w:pPr>
        <w:pStyle w:val="BodyText"/>
        <w:spacing w:line="408" w:lineRule="auto"/>
        <w:ind w:left="120" w:right="110"/>
        <w:jc w:val="both"/>
      </w:pPr>
      <w:r>
        <w:rPr>
          <w:spacing w:val="-5"/>
        </w:rPr>
        <w:t>指因疾病或意外伤害导致意识丧失，对外界刺激和体内需求均无反应，昏迷程度按照格拉斯</w:t>
      </w:r>
      <w:r>
        <w:rPr>
          <w:spacing w:val="-3"/>
          <w:w w:val="99"/>
        </w:rPr>
        <w:t>哥昏迷分级</w:t>
      </w:r>
      <w:r>
        <w:rPr>
          <w:w w:val="99"/>
        </w:rPr>
        <w:t>（</w:t>
      </w:r>
      <w:r>
        <w:rPr>
          <w:spacing w:val="-1"/>
          <w:w w:val="153"/>
        </w:rPr>
        <w:t>G</w:t>
      </w:r>
      <w:r>
        <w:rPr>
          <w:w w:val="45"/>
        </w:rPr>
        <w:t>l</w:t>
      </w:r>
      <w:r>
        <w:rPr>
          <w:spacing w:val="0"/>
          <w:w w:val="80"/>
        </w:rPr>
        <w:t>a</w:t>
      </w:r>
      <w:r>
        <w:rPr>
          <w:w w:val="72"/>
        </w:rPr>
        <w:t>s</w:t>
      </w:r>
      <w:r>
        <w:rPr>
          <w:w w:val="89"/>
        </w:rPr>
        <w:t>g</w:t>
      </w:r>
      <w:r>
        <w:rPr>
          <w:spacing w:val="-1"/>
          <w:w w:val="101"/>
        </w:rPr>
        <w:t>o</w:t>
      </w:r>
      <w:r>
        <w:rPr>
          <w:w w:val="132"/>
        </w:rPr>
        <w:t>w</w:t>
      </w:r>
      <w:r>
        <w:rPr>
          <w:spacing w:val="-50"/>
        </w:rPr>
        <w:t> </w:t>
      </w:r>
      <w:r>
        <w:rPr>
          <w:spacing w:val="-1"/>
          <w:w w:val="82"/>
        </w:rPr>
        <w:t>c</w:t>
      </w:r>
      <w:r>
        <w:rPr>
          <w:spacing w:val="0"/>
          <w:w w:val="101"/>
        </w:rPr>
        <w:t>o</w:t>
      </w:r>
      <w:r>
        <w:rPr>
          <w:spacing w:val="-1"/>
          <w:w w:val="153"/>
        </w:rPr>
        <w:t>m</w:t>
      </w:r>
      <w:r>
        <w:rPr>
          <w:w w:val="80"/>
        </w:rPr>
        <w:t>a</w:t>
      </w:r>
      <w:r>
        <w:rPr>
          <w:spacing w:val="-49"/>
        </w:rPr>
        <w:t> </w:t>
      </w:r>
      <w:r>
        <w:rPr>
          <w:w w:val="72"/>
        </w:rPr>
        <w:t>s</w:t>
      </w:r>
      <w:r>
        <w:rPr>
          <w:spacing w:val="-1"/>
          <w:w w:val="82"/>
        </w:rPr>
        <w:t>c</w:t>
      </w:r>
      <w:r>
        <w:rPr>
          <w:spacing w:val="-1"/>
          <w:w w:val="80"/>
        </w:rPr>
        <w:t>a</w:t>
      </w:r>
      <w:r>
        <w:rPr>
          <w:w w:val="45"/>
        </w:rPr>
        <w:t>l</w:t>
      </w:r>
      <w:r>
        <w:rPr>
          <w:spacing w:val="0"/>
          <w:w w:val="82"/>
        </w:rPr>
        <w:t>e</w:t>
      </w:r>
      <w:r>
        <w:rPr>
          <w:spacing w:val="-15"/>
          <w:w w:val="99"/>
        </w:rPr>
        <w:t>）</w:t>
      </w:r>
      <w:r>
        <w:rPr>
          <w:w w:val="99"/>
        </w:rPr>
        <w:t>结果为</w:t>
      </w:r>
      <w:r>
        <w:rPr>
          <w:spacing w:val="-50"/>
        </w:rPr>
        <w:t> </w:t>
      </w:r>
      <w:r>
        <w:rPr>
          <w:w w:val="93"/>
        </w:rPr>
        <w:t>5</w:t>
      </w:r>
      <w:r>
        <w:rPr>
          <w:spacing w:val="-52"/>
        </w:rPr>
        <w:t> </w:t>
      </w:r>
      <w:r>
        <w:rPr>
          <w:w w:val="99"/>
        </w:rPr>
        <w:t>分或</w:t>
      </w:r>
      <w:r>
        <w:rPr>
          <w:spacing w:val="-50"/>
        </w:rPr>
        <w:t> </w:t>
      </w:r>
      <w:r>
        <w:rPr>
          <w:w w:val="93"/>
        </w:rPr>
        <w:t>5</w:t>
      </w:r>
      <w:r>
        <w:rPr>
          <w:spacing w:val="-52"/>
        </w:rPr>
        <w:t> </w:t>
      </w:r>
      <w:r>
        <w:rPr>
          <w:spacing w:val="-3"/>
          <w:w w:val="99"/>
        </w:rPr>
        <w:t>分以下，且已经持续使用呼吸机及其他生</w:t>
      </w:r>
      <w:r>
        <w:rPr>
          <w:spacing w:val="-13"/>
        </w:rPr>
        <w:t>命维持系统 </w:t>
      </w:r>
      <w:r>
        <w:rPr/>
        <w:t>96</w:t>
      </w:r>
      <w:r>
        <w:rPr>
          <w:spacing w:val="-11"/>
        </w:rPr>
        <w:t> 小时以上。</w:t>
      </w:r>
    </w:p>
    <w:p>
      <w:pPr>
        <w:pStyle w:val="BodyText"/>
        <w:spacing w:before="46"/>
        <w:ind w:left="120"/>
        <w:jc w:val="both"/>
      </w:pPr>
      <w:r>
        <w:rPr>
          <w:w w:val="95"/>
        </w:rPr>
        <w:t>因酗酒或药物滥用导致的深度昏迷不在保障范围内。</w:t>
      </w:r>
    </w:p>
    <w:p>
      <w:pPr>
        <w:spacing w:after="0"/>
        <w:jc w:val="both"/>
        <w:sectPr>
          <w:pgSz w:w="11910" w:h="16840"/>
          <w:pgMar w:header="0" w:footer="1268" w:top="1460" w:bottom="1460" w:left="1680" w:right="1680"/>
        </w:sectPr>
      </w:pPr>
    </w:p>
    <w:p>
      <w:pPr>
        <w:pStyle w:val="Heading2"/>
        <w:numPr>
          <w:ilvl w:val="2"/>
          <w:numId w:val="12"/>
        </w:numPr>
        <w:tabs>
          <w:tab w:pos="847" w:val="left" w:leader="none"/>
        </w:tabs>
        <w:spacing w:line="347" w:lineRule="exact" w:before="0" w:after="0"/>
        <w:ind w:left="846" w:right="0" w:hanging="720"/>
        <w:jc w:val="left"/>
      </w:pPr>
      <w:bookmarkStart w:name="_TOC_250033" w:id="127"/>
      <w:bookmarkStart w:name="双耳失聪" w:id="128"/>
      <w:r>
        <w:rPr>
          <w:b w:val="0"/>
        </w:rPr>
      </w:r>
      <w:bookmarkStart w:name="双目失明" w:id="129"/>
      <w:bookmarkEnd w:id="129"/>
      <w:r>
        <w:rPr>
          <w:b w:val="0"/>
        </w:rPr>
      </w:r>
      <w:bookmarkStart w:name="瘫痪" w:id="130"/>
      <w:bookmarkEnd w:id="130"/>
      <w:r>
        <w:rPr>
          <w:b w:val="0"/>
        </w:rPr>
      </w:r>
      <w:bookmarkStart w:name="心脏瓣膜手术" w:id="131"/>
      <w:bookmarkEnd w:id="131"/>
      <w:r>
        <w:rPr>
          <w:b w:val="0"/>
        </w:rPr>
      </w:r>
      <w:bookmarkStart w:name="严重阿尔茨海默病" w:id="132"/>
      <w:bookmarkEnd w:id="132"/>
      <w:r>
        <w:rPr>
          <w:b w:val="0"/>
        </w:rPr>
      </w:r>
      <w:bookmarkStart w:name="严重阿尔茨海默病" w:id="133"/>
      <w:bookmarkEnd w:id="127"/>
      <w:r>
        <w:rPr>
          <w:w w:val="95"/>
        </w:rPr>
        <w:t>双耳失聪</w:t>
      </w:r>
    </w:p>
    <w:p>
      <w:pPr>
        <w:pStyle w:val="BodyText"/>
        <w:rPr>
          <w:rFonts w:ascii="Microsoft JhengHei UI"/>
          <w:b/>
          <w:sz w:val="20"/>
        </w:rPr>
      </w:pPr>
    </w:p>
    <w:p>
      <w:pPr>
        <w:pStyle w:val="BodyText"/>
        <w:spacing w:line="468" w:lineRule="exact"/>
        <w:ind w:left="120" w:right="106"/>
        <w:jc w:val="both"/>
      </w:pPr>
      <w:r>
        <w:rPr>
          <w:spacing w:val="1"/>
          <w:w w:val="99"/>
        </w:rPr>
        <w:t>指因疾病或意外伤害导致双耳听力</w:t>
      </w:r>
      <w:r>
        <w:rPr>
          <w:rFonts w:ascii="Microsoft JhengHei UI" w:eastAsia="Microsoft JhengHei UI" w:hint="eastAsia"/>
          <w:b/>
          <w:spacing w:val="-46"/>
          <w:w w:val="99"/>
        </w:rPr>
        <w:t>永</w:t>
      </w:r>
      <w:r>
        <w:rPr>
          <w:spacing w:val="-267"/>
          <w:w w:val="99"/>
          <w:position w:val="1"/>
        </w:rPr>
        <w:t>久</w:t>
      </w:r>
      <w:r>
        <w:rPr>
          <w:spacing w:val="-264"/>
          <w:w w:val="99"/>
        </w:rPr>
        <w:t>久久</w:t>
      </w:r>
      <w:r>
        <w:rPr>
          <w:spacing w:val="-60"/>
          <w:w w:val="99"/>
        </w:rPr>
        <w:t>久</w:t>
      </w:r>
      <w:r>
        <w:rPr>
          <w:spacing w:val="-267"/>
          <w:w w:val="99"/>
          <w:position w:val="1"/>
        </w:rPr>
        <w:t>不</w:t>
      </w:r>
      <w:r>
        <w:rPr>
          <w:spacing w:val="-264"/>
          <w:w w:val="99"/>
        </w:rPr>
        <w:t>不不</w:t>
      </w:r>
      <w:r>
        <w:rPr>
          <w:spacing w:val="-60"/>
          <w:w w:val="99"/>
        </w:rPr>
        <w:t>不</w:t>
      </w:r>
      <w:r>
        <w:rPr>
          <w:spacing w:val="-267"/>
          <w:w w:val="99"/>
          <w:position w:val="1"/>
        </w:rPr>
        <w:t>可</w:t>
      </w:r>
      <w:r>
        <w:rPr>
          <w:spacing w:val="-264"/>
          <w:w w:val="99"/>
        </w:rPr>
        <w:t>可可</w:t>
      </w:r>
      <w:r>
        <w:rPr>
          <w:spacing w:val="-60"/>
          <w:w w:val="99"/>
        </w:rPr>
        <w:t>可</w:t>
      </w:r>
      <w:r>
        <w:rPr>
          <w:spacing w:val="-267"/>
          <w:w w:val="99"/>
          <w:position w:val="1"/>
        </w:rPr>
        <w:t>逆</w:t>
      </w:r>
      <w:r>
        <w:rPr>
          <w:spacing w:val="-264"/>
          <w:w w:val="99"/>
        </w:rPr>
        <w:t>逆逆</w:t>
      </w:r>
      <w:r>
        <w:rPr>
          <w:spacing w:val="-46"/>
          <w:w w:val="99"/>
        </w:rPr>
        <w:t>逆</w:t>
      </w:r>
      <w:r>
        <w:rPr>
          <w:spacing w:val="3"/>
          <w:w w:val="99"/>
        </w:rPr>
        <w:t>（</w:t>
      </w:r>
      <w:r>
        <w:rPr>
          <w:w w:val="99"/>
        </w:rPr>
        <w:t>见释义</w:t>
      </w:r>
      <w:r>
        <w:rPr>
          <w:spacing w:val="-48"/>
        </w:rPr>
        <w:t> </w:t>
      </w:r>
      <w:r>
        <w:rPr>
          <w:w w:val="93"/>
        </w:rPr>
        <w:t>12</w:t>
      </w:r>
      <w:r>
        <w:rPr>
          <w:spacing w:val="-1"/>
          <w:w w:val="43"/>
        </w:rPr>
        <w:t>.</w:t>
      </w:r>
      <w:r>
        <w:rPr>
          <w:w w:val="93"/>
        </w:rPr>
        <w:t>1</w:t>
      </w:r>
      <w:r>
        <w:rPr>
          <w:spacing w:val="1"/>
          <w:w w:val="93"/>
        </w:rPr>
        <w:t>9</w:t>
      </w:r>
      <w:r>
        <w:rPr>
          <w:spacing w:val="3"/>
          <w:w w:val="99"/>
        </w:rPr>
        <w:t>）</w:t>
      </w:r>
      <w:r>
        <w:rPr>
          <w:spacing w:val="0"/>
          <w:w w:val="99"/>
        </w:rPr>
        <w:t>性丧失，在</w:t>
      </w:r>
      <w:r>
        <w:rPr>
          <w:spacing w:val="-43"/>
        </w:rPr>
        <w:t> </w:t>
      </w:r>
      <w:r>
        <w:rPr>
          <w:w w:val="93"/>
        </w:rPr>
        <w:t>500</w:t>
      </w:r>
      <w:r>
        <w:rPr>
          <w:spacing w:val="-52"/>
        </w:rPr>
        <w:t> </w:t>
      </w:r>
      <w:r>
        <w:rPr>
          <w:spacing w:val="2"/>
          <w:w w:val="99"/>
        </w:rPr>
        <w:t>赫兹、</w:t>
      </w:r>
      <w:r>
        <w:rPr>
          <w:w w:val="93"/>
        </w:rPr>
        <w:t>1000</w:t>
      </w:r>
      <w:r>
        <w:rPr>
          <w:spacing w:val="1"/>
          <w:w w:val="99"/>
        </w:rPr>
        <w:t>  </w:t>
      </w:r>
      <w:r>
        <w:rPr>
          <w:spacing w:val="-16"/>
        </w:rPr>
        <w:t>赫兹和 </w:t>
      </w:r>
      <w:r>
        <w:rPr/>
        <w:t>2000</w:t>
      </w:r>
      <w:r>
        <w:rPr>
          <w:spacing w:val="-14"/>
        </w:rPr>
        <w:t> 赫兹语音频率下，平均听阈大于 </w:t>
      </w:r>
      <w:r>
        <w:rPr/>
        <w:t>90</w:t>
      </w:r>
      <w:r>
        <w:rPr>
          <w:spacing w:val="-11"/>
        </w:rPr>
        <w:t> 分贝，且经纯音听力测试、声导抗检测或听</w:t>
      </w:r>
      <w:r>
        <w:rPr>
          <w:spacing w:val="-11"/>
          <w:w w:val="95"/>
        </w:rPr>
        <w:t>觉诱发电位检测等证实。</w:t>
      </w:r>
    </w:p>
    <w:p>
      <w:pPr>
        <w:pStyle w:val="BodyText"/>
        <w:spacing w:line="408" w:lineRule="auto" w:before="128"/>
        <w:ind w:left="120" w:right="117"/>
      </w:pPr>
      <w:r>
        <w:rPr/>
        <w:t>本附加险合同仅对三周岁以上的</w:t>
      </w:r>
      <w:hyperlink r:id="rId10">
        <w:r>
          <w:rPr/>
          <w:t>被</w:t>
        </w:r>
      </w:hyperlink>
      <w:hyperlink r:id="rId10">
        <w:r>
          <w:rPr/>
          <w:t>保险</w:t>
        </w:r>
      </w:hyperlink>
      <w:r>
        <w:rPr/>
        <w:t>人予以</w:t>
      </w:r>
      <w:hyperlink r:id="rId10">
        <w:r>
          <w:rPr/>
          <w:t>理赔</w:t>
        </w:r>
      </w:hyperlink>
      <w:r>
        <w:rPr>
          <w:spacing w:val="-11"/>
        </w:rPr>
        <w:t>。先天性疾病所致的听力丧失不在本附加</w:t>
      </w:r>
      <w:r>
        <w:rPr>
          <w:spacing w:val="-11"/>
          <w:w w:val="95"/>
        </w:rPr>
        <w:t>险合同的</w:t>
      </w:r>
      <w:hyperlink r:id="rId10">
        <w:r>
          <w:rPr>
            <w:spacing w:val="-11"/>
            <w:w w:val="95"/>
          </w:rPr>
          <w:t>保障</w:t>
        </w:r>
      </w:hyperlink>
      <w:r>
        <w:rPr>
          <w:spacing w:val="-11"/>
          <w:w w:val="95"/>
        </w:rPr>
        <w:t>范围内。</w:t>
      </w:r>
    </w:p>
    <w:p>
      <w:pPr>
        <w:pStyle w:val="BodyText"/>
        <w:spacing w:before="2"/>
        <w:rPr>
          <w:sz w:val="22"/>
        </w:rPr>
      </w:pPr>
    </w:p>
    <w:p>
      <w:pPr>
        <w:pStyle w:val="Heading2"/>
        <w:numPr>
          <w:ilvl w:val="2"/>
          <w:numId w:val="12"/>
        </w:numPr>
        <w:tabs>
          <w:tab w:pos="847" w:val="left" w:leader="none"/>
        </w:tabs>
        <w:spacing w:line="240" w:lineRule="auto" w:before="0" w:after="0"/>
        <w:ind w:left="846" w:right="0" w:hanging="720"/>
        <w:jc w:val="left"/>
      </w:pPr>
      <w:bookmarkStart w:name="_TOC_250032" w:id="134"/>
      <w:bookmarkEnd w:id="134"/>
      <w:r>
        <w:rPr>
          <w:w w:val="95"/>
        </w:rPr>
        <w:t>双目失明</w:t>
      </w:r>
    </w:p>
    <w:p>
      <w:pPr>
        <w:pStyle w:val="BodyText"/>
        <w:spacing w:before="12"/>
        <w:rPr>
          <w:rFonts w:ascii="Microsoft JhengHei UI"/>
          <w:b/>
          <w:sz w:val="27"/>
        </w:rPr>
      </w:pPr>
    </w:p>
    <w:p>
      <w:pPr>
        <w:pStyle w:val="BodyText"/>
        <w:spacing w:line="408" w:lineRule="auto"/>
        <w:ind w:left="120" w:right="117"/>
      </w:pPr>
      <w:r>
        <w:rPr>
          <w:spacing w:val="-4"/>
        </w:rPr>
        <w:t>指因疾病或意外伤害导致双眼视力永久不可逆性丧失，双眼中较好眼须满足下列至少一项条</w:t>
      </w:r>
      <w:r>
        <w:rPr>
          <w:spacing w:val="-4"/>
          <w:w w:val="95"/>
        </w:rPr>
        <w:t>件：</w:t>
      </w:r>
    </w:p>
    <w:p>
      <w:pPr>
        <w:pStyle w:val="BodyText"/>
        <w:spacing w:before="45"/>
        <w:ind w:left="120"/>
      </w:pPr>
      <w:r>
        <w:rPr>
          <w:w w:val="95"/>
        </w:rPr>
        <w:t>（1）眼球缺失或摘除；</w:t>
      </w:r>
    </w:p>
    <w:p>
      <w:pPr>
        <w:pStyle w:val="BodyText"/>
        <w:spacing w:before="192"/>
        <w:ind w:left="120"/>
      </w:pPr>
      <w:r>
        <w:rPr>
          <w:w w:val="99"/>
        </w:rPr>
        <w:t>（</w:t>
      </w:r>
      <w:r>
        <w:rPr>
          <w:w w:val="93"/>
        </w:rPr>
        <w:t>2</w:t>
      </w:r>
      <w:r>
        <w:rPr>
          <w:spacing w:val="1"/>
          <w:w w:val="99"/>
        </w:rPr>
        <w:t>）</w:t>
      </w:r>
      <w:r>
        <w:rPr>
          <w:w w:val="99"/>
        </w:rPr>
        <w:t>矫正视力低于</w:t>
      </w:r>
      <w:r>
        <w:rPr>
          <w:spacing w:val="-50"/>
        </w:rPr>
        <w:t> </w:t>
      </w:r>
      <w:r>
        <w:rPr>
          <w:w w:val="93"/>
        </w:rPr>
        <w:t>0</w:t>
      </w:r>
      <w:r>
        <w:rPr>
          <w:spacing w:val="-1"/>
          <w:w w:val="43"/>
        </w:rPr>
        <w:t>.</w:t>
      </w:r>
      <w:r>
        <w:rPr>
          <w:w w:val="93"/>
        </w:rPr>
        <w:t>02</w:t>
      </w:r>
      <w:r>
        <w:rPr>
          <w:spacing w:val="1"/>
          <w:w w:val="99"/>
        </w:rPr>
        <w:t>（</w:t>
      </w:r>
      <w:r>
        <w:rPr>
          <w:spacing w:val="-1"/>
          <w:w w:val="99"/>
        </w:rPr>
        <w:t>采用国际标准视力表，如果使用其他视力表应进行换算</w:t>
      </w:r>
      <w:r>
        <w:rPr>
          <w:spacing w:val="-104"/>
          <w:w w:val="99"/>
        </w:rPr>
        <w:t>）</w:t>
      </w:r>
      <w:r>
        <w:rPr>
          <w:w w:val="99"/>
        </w:rPr>
        <w:t>；</w:t>
      </w:r>
    </w:p>
    <w:p>
      <w:pPr>
        <w:pStyle w:val="BodyText"/>
        <w:spacing w:before="192"/>
        <w:ind w:left="120"/>
      </w:pPr>
      <w:r>
        <w:rPr/>
        <w:t>（3）视野半径小于 5 度。</w:t>
      </w:r>
    </w:p>
    <w:p>
      <w:pPr>
        <w:pStyle w:val="BodyText"/>
        <w:spacing w:line="408" w:lineRule="auto" w:before="192"/>
        <w:ind w:left="120" w:right="117"/>
      </w:pPr>
      <w:r>
        <w:rPr/>
        <w:t>本附加险合同仅对三周岁以上的</w:t>
      </w:r>
      <w:hyperlink r:id="rId10">
        <w:r>
          <w:rPr/>
          <w:t>被</w:t>
        </w:r>
      </w:hyperlink>
      <w:hyperlink r:id="rId10">
        <w:r>
          <w:rPr/>
          <w:t>保险</w:t>
        </w:r>
      </w:hyperlink>
      <w:r>
        <w:rPr/>
        <w:t>人予以</w:t>
      </w:r>
      <w:hyperlink r:id="rId10">
        <w:r>
          <w:rPr/>
          <w:t>理赔</w:t>
        </w:r>
      </w:hyperlink>
      <w:r>
        <w:rPr>
          <w:spacing w:val="-11"/>
        </w:rPr>
        <w:t>。先天性疾病所致的视力丧失不在本附加</w:t>
      </w:r>
      <w:r>
        <w:rPr>
          <w:spacing w:val="-11"/>
          <w:w w:val="95"/>
        </w:rPr>
        <w:t>险合同的</w:t>
      </w:r>
      <w:hyperlink r:id="rId10">
        <w:r>
          <w:rPr>
            <w:spacing w:val="-11"/>
            <w:w w:val="95"/>
          </w:rPr>
          <w:t>保障</w:t>
        </w:r>
      </w:hyperlink>
      <w:r>
        <w:rPr>
          <w:spacing w:val="-11"/>
          <w:w w:val="95"/>
        </w:rPr>
        <w:t>范围内。</w:t>
      </w:r>
    </w:p>
    <w:p>
      <w:pPr>
        <w:pStyle w:val="BodyText"/>
        <w:spacing w:before="2"/>
        <w:rPr>
          <w:sz w:val="22"/>
        </w:rPr>
      </w:pPr>
    </w:p>
    <w:p>
      <w:pPr>
        <w:pStyle w:val="Heading2"/>
        <w:numPr>
          <w:ilvl w:val="2"/>
          <w:numId w:val="12"/>
        </w:numPr>
        <w:tabs>
          <w:tab w:pos="847" w:val="left" w:leader="none"/>
        </w:tabs>
        <w:spacing w:line="240" w:lineRule="auto" w:before="0" w:after="0"/>
        <w:ind w:left="846" w:right="0" w:hanging="720"/>
        <w:jc w:val="left"/>
      </w:pPr>
      <w:bookmarkStart w:name="_TOC_250031" w:id="135"/>
      <w:bookmarkEnd w:id="135"/>
      <w:r>
        <w:rPr>
          <w:w w:val="95"/>
        </w:rPr>
        <w:t>瘫痪</w:t>
      </w:r>
    </w:p>
    <w:p>
      <w:pPr>
        <w:pStyle w:val="BodyText"/>
        <w:spacing w:before="12"/>
        <w:rPr>
          <w:rFonts w:ascii="Microsoft JhengHei UI"/>
          <w:b/>
          <w:sz w:val="27"/>
        </w:rPr>
      </w:pPr>
    </w:p>
    <w:p>
      <w:pPr>
        <w:pStyle w:val="BodyText"/>
        <w:spacing w:line="408" w:lineRule="auto" w:before="1"/>
        <w:ind w:left="120" w:right="114"/>
        <w:jc w:val="both"/>
      </w:pPr>
      <w:r>
        <w:rPr>
          <w:w w:val="95"/>
        </w:rPr>
        <w:t>指因疾病或意外伤害导致两肢或两肢以上肢体机能永久完全丧失。肢体机能永久完全丧失</w:t>
      </w:r>
      <w:r>
        <w:rPr>
          <w:w w:val="90"/>
        </w:rPr>
        <w:t>，  </w:t>
      </w:r>
      <w:r>
        <w:rPr>
          <w:spacing w:val="-13"/>
        </w:rPr>
        <w:t>指疾病确诊 </w:t>
      </w:r>
      <w:r>
        <w:rPr/>
        <w:t>180</w:t>
      </w:r>
      <w:r>
        <w:rPr>
          <w:spacing w:val="-16"/>
        </w:rPr>
        <w:t> 天后或意外伤害发生 </w:t>
      </w:r>
      <w:r>
        <w:rPr/>
        <w:t>180</w:t>
      </w:r>
      <w:r>
        <w:rPr>
          <w:spacing w:val="-9"/>
        </w:rPr>
        <w:t> 天后，每肢三大关节中的两大关节仍然完全僵硬， </w:t>
      </w:r>
      <w:r>
        <w:rPr>
          <w:spacing w:val="-9"/>
          <w:w w:val="95"/>
        </w:rPr>
        <w:t>或不能随意识活动。</w:t>
      </w:r>
    </w:p>
    <w:p>
      <w:pPr>
        <w:pStyle w:val="BodyText"/>
        <w:spacing w:before="3"/>
        <w:rPr>
          <w:sz w:val="22"/>
        </w:rPr>
      </w:pPr>
    </w:p>
    <w:p>
      <w:pPr>
        <w:pStyle w:val="Heading2"/>
        <w:numPr>
          <w:ilvl w:val="2"/>
          <w:numId w:val="12"/>
        </w:numPr>
        <w:tabs>
          <w:tab w:pos="847" w:val="left" w:leader="none"/>
        </w:tabs>
        <w:spacing w:line="240" w:lineRule="auto" w:before="0" w:after="0"/>
        <w:ind w:left="846" w:right="0" w:hanging="720"/>
        <w:jc w:val="left"/>
      </w:pPr>
      <w:bookmarkStart w:name="_TOC_250030" w:id="136"/>
      <w:bookmarkEnd w:id="136"/>
      <w:r>
        <w:rPr>
          <w:w w:val="95"/>
        </w:rPr>
        <w:t>心脏瓣膜手术</w:t>
      </w:r>
    </w:p>
    <w:p>
      <w:pPr>
        <w:pStyle w:val="BodyText"/>
        <w:spacing w:before="15"/>
        <w:rPr>
          <w:rFonts w:ascii="Microsoft JhengHei UI"/>
          <w:b/>
          <w:sz w:val="27"/>
        </w:rPr>
      </w:pPr>
    </w:p>
    <w:p>
      <w:pPr>
        <w:pStyle w:val="BodyText"/>
        <w:ind w:left="120"/>
      </w:pPr>
      <w:r>
        <w:rPr>
          <w:w w:val="95"/>
        </w:rPr>
        <w:t>指为治疗心脏瓣膜疾病，实际实施了开胸进行的心脏瓣膜置换或修复的手术。</w:t>
      </w:r>
    </w:p>
    <w:p>
      <w:pPr>
        <w:pStyle w:val="BodyText"/>
        <w:spacing w:before="3"/>
        <w:rPr>
          <w:sz w:val="33"/>
        </w:rPr>
      </w:pPr>
    </w:p>
    <w:p>
      <w:pPr>
        <w:pStyle w:val="Heading2"/>
        <w:numPr>
          <w:ilvl w:val="2"/>
          <w:numId w:val="12"/>
        </w:numPr>
        <w:tabs>
          <w:tab w:pos="847" w:val="left" w:leader="none"/>
        </w:tabs>
        <w:spacing w:line="240" w:lineRule="auto" w:before="0" w:after="0"/>
        <w:ind w:left="846" w:right="0" w:hanging="720"/>
        <w:jc w:val="left"/>
      </w:pPr>
      <w:bookmarkStart w:name="_TOC_250029" w:id="137"/>
      <w:bookmarkEnd w:id="137"/>
      <w:r>
        <w:rPr>
          <w:w w:val="95"/>
        </w:rPr>
        <w:t>严重阿尔茨海默病</w:t>
      </w:r>
    </w:p>
    <w:p>
      <w:pPr>
        <w:pStyle w:val="BodyText"/>
        <w:spacing w:before="15"/>
        <w:rPr>
          <w:rFonts w:ascii="Microsoft JhengHei UI"/>
          <w:b/>
          <w:sz w:val="27"/>
        </w:rPr>
      </w:pPr>
    </w:p>
    <w:p>
      <w:pPr>
        <w:pStyle w:val="BodyText"/>
        <w:spacing w:line="408" w:lineRule="auto"/>
        <w:ind w:left="120" w:right="116"/>
        <w:jc w:val="both"/>
      </w:pPr>
      <w:r>
        <w:rPr>
          <w:spacing w:val="-14"/>
          <w:w w:val="95"/>
        </w:rPr>
        <w:t>指因大脑进行性、不可逆性改变导致智能严重衰退或丧失，临床表现为明显的认知能力障碍</w:t>
      </w:r>
      <w:r>
        <w:rPr>
          <w:w w:val="90"/>
        </w:rPr>
        <w:t>、</w:t>
      </w:r>
      <w:r>
        <w:rPr>
          <w:spacing w:val="1"/>
          <w:w w:val="99"/>
        </w:rPr>
        <w:t>行</w:t>
      </w:r>
      <w:r>
        <w:rPr>
          <w:w w:val="99"/>
        </w:rPr>
        <w:t>为异常和社交能力减退，其日常生活必须持续受到他人监护。须从头颅断层扫描</w:t>
      </w:r>
      <w:r>
        <w:rPr>
          <w:spacing w:val="-1"/>
          <w:w w:val="99"/>
        </w:rPr>
        <w:t>（</w:t>
      </w:r>
      <w:r>
        <w:rPr>
          <w:spacing w:val="-1"/>
          <w:w w:val="126"/>
        </w:rPr>
        <w:t>C</w:t>
      </w:r>
      <w:r>
        <w:rPr>
          <w:spacing w:val="2"/>
          <w:w w:val="122"/>
        </w:rPr>
        <w:t>T</w:t>
      </w:r>
      <w:r>
        <w:rPr>
          <w:spacing w:val="-104"/>
          <w:w w:val="99"/>
        </w:rPr>
        <w:t>）</w:t>
      </w:r>
      <w:r>
        <w:rPr>
          <w:w w:val="79"/>
        </w:rPr>
        <w:t>、</w:t>
      </w:r>
      <w:r>
        <w:rPr>
          <w:spacing w:val="1"/>
          <w:w w:val="99"/>
        </w:rPr>
        <w:t>核</w:t>
      </w:r>
      <w:r>
        <w:rPr>
          <w:spacing w:val="-1"/>
          <w:w w:val="99"/>
        </w:rPr>
        <w:t>磁共振检查</w:t>
      </w:r>
      <w:r>
        <w:rPr>
          <w:w w:val="99"/>
        </w:rPr>
        <w:t>（</w:t>
      </w:r>
      <w:r>
        <w:rPr>
          <w:spacing w:val="-2"/>
          <w:w w:val="165"/>
        </w:rPr>
        <w:t>M</w:t>
      </w:r>
      <w:r>
        <w:rPr>
          <w:spacing w:val="0"/>
          <w:w w:val="124"/>
        </w:rPr>
        <w:t>R</w:t>
      </w:r>
      <w:r>
        <w:rPr>
          <w:spacing w:val="1"/>
          <w:w w:val="70"/>
        </w:rPr>
        <w:t>I</w:t>
      </w:r>
      <w:r>
        <w:rPr>
          <w:spacing w:val="-5"/>
          <w:w w:val="99"/>
        </w:rPr>
        <w:t>）</w:t>
      </w:r>
      <w:r>
        <w:rPr>
          <w:spacing w:val="-1"/>
          <w:w w:val="99"/>
        </w:rPr>
        <w:t>或正电子发射断层扫描</w:t>
      </w:r>
      <w:r>
        <w:rPr>
          <w:w w:val="99"/>
        </w:rPr>
        <w:t>（</w:t>
      </w:r>
      <w:r>
        <w:rPr>
          <w:w w:val="111"/>
        </w:rPr>
        <w:t>P</w:t>
      </w:r>
      <w:r>
        <w:rPr>
          <w:spacing w:val="-1"/>
          <w:w w:val="130"/>
        </w:rPr>
        <w:t>E</w:t>
      </w:r>
      <w:r>
        <w:rPr>
          <w:spacing w:val="0"/>
          <w:w w:val="122"/>
        </w:rPr>
        <w:t>T</w:t>
      </w:r>
      <w:r>
        <w:rPr>
          <w:spacing w:val="-3"/>
          <w:w w:val="99"/>
        </w:rPr>
        <w:t>）</w:t>
      </w:r>
      <w:r>
        <w:rPr>
          <w:spacing w:val="-2"/>
          <w:w w:val="99"/>
        </w:rPr>
        <w:t>等影像学检查证实，且自主生活能力</w:t>
      </w:r>
    </w:p>
    <w:p>
      <w:pPr>
        <w:spacing w:after="0" w:line="408" w:lineRule="auto"/>
        <w:jc w:val="both"/>
        <w:sectPr>
          <w:pgSz w:w="11910" w:h="16840"/>
          <w:pgMar w:header="0" w:footer="1268" w:top="1460" w:bottom="1460" w:left="1680" w:right="1680"/>
        </w:sectPr>
      </w:pPr>
    </w:p>
    <w:p>
      <w:pPr>
        <w:pStyle w:val="BodyText"/>
        <w:spacing w:line="408" w:lineRule="auto" w:before="32"/>
        <w:ind w:left="120" w:right="1975"/>
      </w:pPr>
      <w:bookmarkStart w:name="严重脑损伤" w:id="138"/>
      <w:bookmarkEnd w:id="138"/>
      <w:r>
        <w:rPr/>
      </w:r>
      <w:bookmarkStart w:name="严重帕金森病" w:id="139"/>
      <w:bookmarkEnd w:id="139"/>
      <w:r>
        <w:rPr/>
      </w:r>
      <w:bookmarkStart w:name="严重III度烧伤" w:id="140"/>
      <w:bookmarkEnd w:id="140"/>
      <w:r>
        <w:rPr/>
      </w:r>
      <w:bookmarkStart w:name="严重原发性肺动脉高压" w:id="141"/>
      <w:bookmarkEnd w:id="141"/>
      <w:r>
        <w:rPr/>
      </w:r>
      <w:bookmarkStart w:name="严重运动神经元病" w:id="142"/>
      <w:bookmarkEnd w:id="142"/>
      <w:r>
        <w:rPr/>
      </w:r>
      <w:r>
        <w:rPr/>
        <w:t>完全丧失，无法独立完成六项基本日常生活活动中的三项或三项以上。</w:t>
      </w:r>
      <w:r>
        <w:rPr>
          <w:w w:val="95"/>
        </w:rPr>
        <w:t>神经官能症和精神疾病不在保障范围内。</w:t>
      </w:r>
    </w:p>
    <w:p>
      <w:pPr>
        <w:pStyle w:val="BodyText"/>
        <w:spacing w:before="3"/>
        <w:rPr>
          <w:sz w:val="22"/>
        </w:rPr>
      </w:pPr>
    </w:p>
    <w:p>
      <w:pPr>
        <w:pStyle w:val="Heading2"/>
        <w:numPr>
          <w:ilvl w:val="2"/>
          <w:numId w:val="12"/>
        </w:numPr>
        <w:tabs>
          <w:tab w:pos="847" w:val="left" w:leader="none"/>
        </w:tabs>
        <w:spacing w:line="240" w:lineRule="auto" w:before="0" w:after="0"/>
        <w:ind w:left="846" w:right="0" w:hanging="720"/>
        <w:jc w:val="left"/>
      </w:pPr>
      <w:bookmarkStart w:name="_TOC_250028" w:id="143"/>
      <w:bookmarkEnd w:id="143"/>
      <w:r>
        <w:rPr>
          <w:w w:val="95"/>
        </w:rPr>
        <w:t>严重脑损伤</w:t>
      </w:r>
    </w:p>
    <w:p>
      <w:pPr>
        <w:pStyle w:val="BodyText"/>
        <w:spacing w:before="13"/>
        <w:rPr>
          <w:rFonts w:ascii="Microsoft JhengHei UI"/>
          <w:b/>
          <w:sz w:val="27"/>
        </w:rPr>
      </w:pPr>
    </w:p>
    <w:p>
      <w:pPr>
        <w:pStyle w:val="BodyText"/>
        <w:spacing w:line="408" w:lineRule="auto"/>
        <w:ind w:left="120" w:right="105"/>
        <w:jc w:val="both"/>
      </w:pPr>
      <w:r>
        <w:rPr>
          <w:spacing w:val="-6"/>
        </w:rPr>
        <w:t>指因头部遭受机械性外力，引起脑重要部位损伤，导致神经系统永久性的功能障碍。须由头</w:t>
      </w:r>
      <w:r>
        <w:rPr>
          <w:w w:val="99"/>
        </w:rPr>
        <w:t>颅断层扫描</w:t>
      </w:r>
      <w:r>
        <w:rPr>
          <w:spacing w:val="3"/>
          <w:w w:val="99"/>
        </w:rPr>
        <w:t>（</w:t>
      </w:r>
      <w:r>
        <w:rPr>
          <w:spacing w:val="-1"/>
          <w:w w:val="126"/>
        </w:rPr>
        <w:t>C</w:t>
      </w:r>
      <w:r>
        <w:rPr>
          <w:spacing w:val="2"/>
          <w:w w:val="122"/>
        </w:rPr>
        <w:t>T</w:t>
      </w:r>
      <w:r>
        <w:rPr>
          <w:spacing w:val="-104"/>
          <w:w w:val="99"/>
        </w:rPr>
        <w:t>）</w:t>
      </w:r>
      <w:r>
        <w:rPr>
          <w:w w:val="99"/>
        </w:rPr>
        <w:t>、核磁共振检查</w:t>
      </w:r>
      <w:r>
        <w:rPr>
          <w:spacing w:val="8"/>
          <w:w w:val="99"/>
        </w:rPr>
        <w:t>（</w:t>
      </w:r>
      <w:r>
        <w:rPr>
          <w:spacing w:val="-2"/>
          <w:w w:val="165"/>
        </w:rPr>
        <w:t>M</w:t>
      </w:r>
      <w:r>
        <w:rPr>
          <w:spacing w:val="0"/>
          <w:w w:val="124"/>
        </w:rPr>
        <w:t>R</w:t>
      </w:r>
      <w:r>
        <w:rPr>
          <w:w w:val="70"/>
        </w:rPr>
        <w:t>I</w:t>
      </w:r>
      <w:r>
        <w:rPr>
          <w:spacing w:val="1"/>
          <w:w w:val="99"/>
        </w:rPr>
        <w:t>）</w:t>
      </w:r>
      <w:r>
        <w:rPr>
          <w:w w:val="99"/>
        </w:rPr>
        <w:t>或正电子发射断层扫描</w:t>
      </w:r>
      <w:r>
        <w:rPr>
          <w:spacing w:val="10"/>
          <w:w w:val="99"/>
        </w:rPr>
        <w:t>（</w:t>
      </w:r>
      <w:r>
        <w:rPr>
          <w:w w:val="111"/>
        </w:rPr>
        <w:t>P</w:t>
      </w:r>
      <w:r>
        <w:rPr>
          <w:spacing w:val="-1"/>
          <w:w w:val="130"/>
        </w:rPr>
        <w:t>E</w:t>
      </w:r>
      <w:r>
        <w:rPr>
          <w:spacing w:val="2"/>
          <w:w w:val="122"/>
        </w:rPr>
        <w:t>T</w:t>
      </w:r>
      <w:r>
        <w:rPr>
          <w:spacing w:val="1"/>
          <w:w w:val="99"/>
        </w:rPr>
        <w:t>）</w:t>
      </w:r>
      <w:r>
        <w:rPr>
          <w:w w:val="99"/>
        </w:rPr>
        <w:t>等影像学检查证</w:t>
      </w:r>
      <w:r>
        <w:rPr>
          <w:spacing w:val="-4"/>
        </w:rPr>
        <w:t>实。神经性系统永久性的功能障碍，指脑损伤 </w:t>
      </w:r>
      <w:r>
        <w:rPr/>
        <w:t>180</w:t>
      </w:r>
      <w:r>
        <w:rPr>
          <w:spacing w:val="-9"/>
        </w:rPr>
        <w:t> 天后，仍遗留下列一种或一种以上障碍：</w:t>
      </w:r>
    </w:p>
    <w:p>
      <w:pPr>
        <w:pStyle w:val="BodyText"/>
        <w:spacing w:before="46"/>
        <w:ind w:left="120"/>
        <w:jc w:val="both"/>
      </w:pPr>
      <w:r>
        <w:rPr>
          <w:w w:val="95"/>
        </w:rPr>
        <w:t>（1）一肢或一肢以上肢体机能完全丧失；</w:t>
      </w:r>
    </w:p>
    <w:p>
      <w:pPr>
        <w:pStyle w:val="BodyText"/>
        <w:spacing w:before="193"/>
        <w:ind w:left="120"/>
        <w:jc w:val="both"/>
      </w:pPr>
      <w:r>
        <w:rPr>
          <w:w w:val="95"/>
        </w:rPr>
        <w:t>（2）语言能力或咀嚼吞咽能力完全丧失；</w:t>
      </w:r>
    </w:p>
    <w:p>
      <w:pPr>
        <w:pStyle w:val="BodyText"/>
        <w:spacing w:before="193"/>
        <w:ind w:left="120"/>
        <w:jc w:val="both"/>
      </w:pPr>
      <w:r>
        <w:rPr>
          <w:w w:val="95"/>
        </w:rPr>
        <w:t>（3）自主生活能力完全丧失，无法独立完成六项基本日常生活活动中的三项或三项以上。</w:t>
      </w:r>
    </w:p>
    <w:p>
      <w:pPr>
        <w:pStyle w:val="BodyText"/>
        <w:spacing w:before="6"/>
        <w:rPr>
          <w:sz w:val="33"/>
        </w:rPr>
      </w:pPr>
    </w:p>
    <w:p>
      <w:pPr>
        <w:pStyle w:val="Heading2"/>
        <w:numPr>
          <w:ilvl w:val="2"/>
          <w:numId w:val="12"/>
        </w:numPr>
        <w:tabs>
          <w:tab w:pos="847" w:val="left" w:leader="none"/>
        </w:tabs>
        <w:spacing w:line="240" w:lineRule="auto" w:before="0" w:after="0"/>
        <w:ind w:left="846" w:right="0" w:hanging="720"/>
        <w:jc w:val="both"/>
      </w:pPr>
      <w:bookmarkStart w:name="_TOC_250027" w:id="144"/>
      <w:bookmarkEnd w:id="144"/>
      <w:r>
        <w:rPr>
          <w:w w:val="95"/>
        </w:rPr>
        <w:t>严重帕金森病</w:t>
      </w:r>
    </w:p>
    <w:p>
      <w:pPr>
        <w:pStyle w:val="BodyText"/>
        <w:spacing w:before="15"/>
        <w:rPr>
          <w:rFonts w:ascii="Microsoft JhengHei UI"/>
          <w:b/>
          <w:sz w:val="27"/>
        </w:rPr>
      </w:pPr>
    </w:p>
    <w:p>
      <w:pPr>
        <w:pStyle w:val="BodyText"/>
        <w:spacing w:line="408" w:lineRule="auto"/>
        <w:ind w:left="120" w:right="177"/>
      </w:pPr>
      <w:r>
        <w:rPr>
          <w:spacing w:val="-5"/>
        </w:rPr>
        <w:t>是一种中枢神经系统的退行性疾病，临床表现为震颤麻痹、共济失调等。须满足下列全部条</w:t>
      </w:r>
      <w:r>
        <w:rPr>
          <w:spacing w:val="-5"/>
          <w:w w:val="95"/>
        </w:rPr>
        <w:t>件：</w:t>
      </w:r>
    </w:p>
    <w:p>
      <w:pPr>
        <w:pStyle w:val="BodyText"/>
        <w:spacing w:before="45"/>
        <w:ind w:left="120"/>
      </w:pPr>
      <w:r>
        <w:rPr>
          <w:w w:val="95"/>
        </w:rPr>
        <w:t>（1）药物治疗无法控制病情；</w:t>
      </w:r>
    </w:p>
    <w:p>
      <w:pPr>
        <w:pStyle w:val="BodyText"/>
        <w:spacing w:line="408" w:lineRule="auto" w:before="192"/>
        <w:ind w:left="120" w:right="196"/>
      </w:pPr>
      <w:r>
        <w:rPr>
          <w:w w:val="95"/>
        </w:rPr>
        <w:t>（2）自主生活能力完全丧失，无法独立完成六项基本日常生活活动中的三项或三项以上。   继发性帕金森综合症不在保障范围内。</w:t>
      </w:r>
    </w:p>
    <w:p>
      <w:pPr>
        <w:pStyle w:val="BodyText"/>
        <w:rPr>
          <w:sz w:val="22"/>
        </w:rPr>
      </w:pPr>
    </w:p>
    <w:p>
      <w:pPr>
        <w:pStyle w:val="Heading2"/>
        <w:numPr>
          <w:ilvl w:val="2"/>
          <w:numId w:val="12"/>
        </w:numPr>
        <w:tabs>
          <w:tab w:pos="847" w:val="left" w:leader="none"/>
        </w:tabs>
        <w:spacing w:line="240" w:lineRule="auto" w:before="0" w:after="0"/>
        <w:ind w:left="846" w:right="0" w:hanging="720"/>
        <w:jc w:val="left"/>
      </w:pPr>
      <w:bookmarkStart w:name="_TOC_250026" w:id="145"/>
      <w:r>
        <w:rPr>
          <w:spacing w:val="5"/>
        </w:rPr>
        <w:t>严重 </w:t>
      </w:r>
      <w:r>
        <w:rPr/>
        <w:t>III</w:t>
      </w:r>
      <w:bookmarkEnd w:id="145"/>
      <w:r>
        <w:rPr>
          <w:spacing w:val="1"/>
        </w:rPr>
        <w:t> 度烧伤</w:t>
      </w:r>
    </w:p>
    <w:p>
      <w:pPr>
        <w:pStyle w:val="BodyText"/>
        <w:spacing w:before="15"/>
        <w:rPr>
          <w:rFonts w:ascii="Microsoft JhengHei UI"/>
          <w:b/>
          <w:sz w:val="27"/>
        </w:rPr>
      </w:pPr>
    </w:p>
    <w:p>
      <w:pPr>
        <w:pStyle w:val="BodyText"/>
        <w:spacing w:line="408" w:lineRule="auto"/>
        <w:ind w:left="120" w:right="177"/>
      </w:pPr>
      <w:r>
        <w:rPr>
          <w:spacing w:val="-8"/>
        </w:rPr>
        <w:t>指烧伤程度为 </w:t>
      </w:r>
      <w:r>
        <w:rPr/>
        <w:t>III</w:t>
      </w:r>
      <w:r>
        <w:rPr>
          <w:spacing w:val="-24"/>
        </w:rPr>
        <w:t> 度，且 </w:t>
      </w:r>
      <w:r>
        <w:rPr/>
        <w:t>III</w:t>
      </w:r>
      <w:r>
        <w:rPr>
          <w:spacing w:val="-11"/>
        </w:rPr>
        <w:t> 度烧伤的面积达到全身体表面积的 </w:t>
      </w:r>
      <w:r>
        <w:rPr/>
        <w:t>20</w:t>
      </w:r>
      <w:r>
        <w:rPr>
          <w:spacing w:val="-20"/>
        </w:rPr>
        <w:t>%或 </w:t>
      </w:r>
      <w:r>
        <w:rPr/>
        <w:t>20%以上。体表面积</w:t>
      </w:r>
      <w:r>
        <w:rPr>
          <w:w w:val="95"/>
        </w:rPr>
        <w:t>根据《中国新九分法》计算。</w:t>
      </w:r>
    </w:p>
    <w:p>
      <w:pPr>
        <w:pStyle w:val="BodyText"/>
        <w:rPr>
          <w:sz w:val="22"/>
        </w:rPr>
      </w:pPr>
    </w:p>
    <w:p>
      <w:pPr>
        <w:pStyle w:val="Heading2"/>
        <w:numPr>
          <w:ilvl w:val="2"/>
          <w:numId w:val="12"/>
        </w:numPr>
        <w:tabs>
          <w:tab w:pos="847" w:val="left" w:leader="none"/>
        </w:tabs>
        <w:spacing w:line="240" w:lineRule="auto" w:before="0" w:after="0"/>
        <w:ind w:left="846" w:right="0" w:hanging="720"/>
        <w:jc w:val="left"/>
      </w:pPr>
      <w:bookmarkStart w:name="_TOC_250025" w:id="146"/>
      <w:bookmarkEnd w:id="146"/>
      <w:r>
        <w:rPr>
          <w:w w:val="95"/>
        </w:rPr>
        <w:t>严重原发性肺动脉高压</w:t>
      </w:r>
    </w:p>
    <w:p>
      <w:pPr>
        <w:pStyle w:val="BodyText"/>
        <w:spacing w:before="5"/>
        <w:rPr>
          <w:rFonts w:ascii="Microsoft JhengHei UI"/>
          <w:b/>
          <w:sz w:val="23"/>
        </w:rPr>
      </w:pPr>
    </w:p>
    <w:p>
      <w:pPr>
        <w:pStyle w:val="BodyText"/>
        <w:spacing w:line="273" w:lineRule="auto"/>
        <w:ind w:left="120" w:right="179"/>
        <w:jc w:val="both"/>
      </w:pPr>
      <w:r>
        <w:rPr>
          <w:spacing w:val="-5"/>
          <w:w w:val="95"/>
        </w:rPr>
        <w:t>指不明原因的肺动脉压力持续性增高，进行性发展而导致的慢性疾病，已经造成永久不可逆   </w:t>
      </w:r>
      <w:r>
        <w:rPr>
          <w:spacing w:val="-7"/>
        </w:rPr>
        <w:t>性的体力活动能力受限，达到美国纽约心脏病学会心功能状态分级 </w:t>
      </w:r>
      <w:r>
        <w:rPr/>
        <w:t>IV</w:t>
      </w:r>
      <w:r>
        <w:rPr>
          <w:spacing w:val="-8"/>
        </w:rPr>
        <w:t> 级，且静息状态下肺</w:t>
      </w:r>
      <w:r>
        <w:rPr>
          <w:spacing w:val="-12"/>
          <w:w w:val="105"/>
        </w:rPr>
        <w:t>动脉平均压超过 </w:t>
      </w:r>
      <w:r>
        <w:rPr>
          <w:w w:val="105"/>
        </w:rPr>
        <w:t>30mmHg。</w:t>
      </w:r>
    </w:p>
    <w:p>
      <w:pPr>
        <w:pStyle w:val="BodyText"/>
        <w:spacing w:before="2"/>
        <w:rPr>
          <w:sz w:val="25"/>
        </w:rPr>
      </w:pPr>
    </w:p>
    <w:p>
      <w:pPr>
        <w:pStyle w:val="Heading2"/>
        <w:numPr>
          <w:ilvl w:val="2"/>
          <w:numId w:val="12"/>
        </w:numPr>
        <w:tabs>
          <w:tab w:pos="847" w:val="left" w:leader="none"/>
        </w:tabs>
        <w:spacing w:line="240" w:lineRule="auto" w:before="0" w:after="0"/>
        <w:ind w:left="846" w:right="0" w:hanging="720"/>
        <w:jc w:val="both"/>
      </w:pPr>
      <w:bookmarkStart w:name="_TOC_250024" w:id="147"/>
      <w:bookmarkEnd w:id="147"/>
      <w:r>
        <w:rPr>
          <w:w w:val="95"/>
        </w:rPr>
        <w:t>严重运动神经元病</w:t>
      </w:r>
    </w:p>
    <w:p>
      <w:pPr>
        <w:pStyle w:val="BodyText"/>
        <w:spacing w:before="15"/>
        <w:rPr>
          <w:rFonts w:ascii="Microsoft JhengHei UI"/>
          <w:b/>
          <w:sz w:val="27"/>
        </w:rPr>
      </w:pPr>
    </w:p>
    <w:p>
      <w:pPr>
        <w:pStyle w:val="BodyText"/>
        <w:ind w:left="120"/>
        <w:jc w:val="both"/>
      </w:pPr>
      <w:r>
        <w:rPr>
          <w:w w:val="95"/>
        </w:rPr>
        <w:t>是一组中枢神经系统神经元的进行性变性疾病，包括进行性脊肌萎缩症、进行性延髓麻痹症</w:t>
      </w:r>
      <w:r>
        <w:rPr>
          <w:w w:val="80"/>
        </w:rPr>
        <w:t>、</w:t>
      </w:r>
    </w:p>
    <w:p>
      <w:pPr>
        <w:spacing w:after="0"/>
        <w:jc w:val="both"/>
        <w:sectPr>
          <w:footerReference w:type="default" r:id="rId11"/>
          <w:pgSz w:w="11910" w:h="16840"/>
          <w:pgMar w:footer="1268" w:header="0" w:top="1440" w:bottom="1460" w:left="1680" w:right="1620"/>
          <w:pgNumType w:start="20"/>
        </w:sectPr>
      </w:pPr>
    </w:p>
    <w:p>
      <w:pPr>
        <w:pStyle w:val="BodyText"/>
        <w:spacing w:line="408" w:lineRule="auto" w:before="32"/>
        <w:ind w:left="120" w:right="117"/>
      </w:pPr>
      <w:bookmarkStart w:name="语言能力丧失" w:id="148"/>
      <w:bookmarkEnd w:id="148"/>
      <w:r>
        <w:rPr/>
      </w:r>
      <w:bookmarkStart w:name="重型再生障碍性贫血" w:id="149"/>
      <w:bookmarkEnd w:id="149"/>
      <w:r>
        <w:rPr/>
      </w:r>
      <w:bookmarkStart w:name="主动脉手术" w:id="150"/>
      <w:bookmarkEnd w:id="150"/>
      <w:r>
        <w:rPr/>
      </w:r>
      <w:bookmarkStart w:name="系统性红斑狼疮－III型或以上狼疮性肾炎" w:id="151"/>
      <w:bookmarkEnd w:id="151"/>
      <w:r>
        <w:rPr/>
      </w:r>
      <w:r>
        <w:rPr>
          <w:spacing w:val="-7"/>
          <w:w w:val="95"/>
        </w:rPr>
        <w:t>原发性侧索硬化症、肌萎缩性侧索硬化症。须满足自主生活能力完全丧失，无法独立完成六   项基本日常生活活动中的三项或三项以上的条件。</w:t>
      </w:r>
    </w:p>
    <w:p>
      <w:pPr>
        <w:pStyle w:val="BodyText"/>
        <w:spacing w:before="3"/>
        <w:rPr>
          <w:sz w:val="22"/>
        </w:rPr>
      </w:pPr>
    </w:p>
    <w:p>
      <w:pPr>
        <w:pStyle w:val="Heading2"/>
        <w:numPr>
          <w:ilvl w:val="2"/>
          <w:numId w:val="12"/>
        </w:numPr>
        <w:tabs>
          <w:tab w:pos="847" w:val="left" w:leader="none"/>
        </w:tabs>
        <w:spacing w:line="240" w:lineRule="auto" w:before="0" w:after="0"/>
        <w:ind w:left="846" w:right="0" w:hanging="720"/>
        <w:jc w:val="left"/>
      </w:pPr>
      <w:bookmarkStart w:name="_TOC_250023" w:id="152"/>
      <w:bookmarkEnd w:id="152"/>
      <w:r>
        <w:rPr>
          <w:w w:val="95"/>
        </w:rPr>
        <w:t>语言能力丧失</w:t>
      </w:r>
    </w:p>
    <w:p>
      <w:pPr>
        <w:pStyle w:val="BodyText"/>
        <w:spacing w:before="13"/>
        <w:rPr>
          <w:rFonts w:ascii="Microsoft JhengHei UI"/>
          <w:b/>
          <w:sz w:val="27"/>
        </w:rPr>
      </w:pPr>
    </w:p>
    <w:p>
      <w:pPr>
        <w:pStyle w:val="BodyText"/>
        <w:spacing w:line="408" w:lineRule="auto"/>
        <w:ind w:left="120" w:right="122"/>
      </w:pPr>
      <w:r>
        <w:rPr>
          <w:spacing w:val="-2"/>
        </w:rPr>
        <w:t>指因疾病或意外伤害导致完全丧失语言能力，经过积极治疗至少 </w:t>
      </w:r>
      <w:r>
        <w:rPr/>
        <w:t>12</w:t>
      </w:r>
      <w:r>
        <w:rPr>
          <w:spacing w:val="-21"/>
        </w:rPr>
        <w:t> 个月</w:t>
      </w:r>
      <w:r>
        <w:rPr/>
        <w:t>（声带完全切除不</w:t>
      </w:r>
      <w:r>
        <w:rPr>
          <w:spacing w:val="-1"/>
          <w:w w:val="99"/>
        </w:rPr>
        <w:t>受此时间限制</w:t>
      </w:r>
      <w:r>
        <w:rPr>
          <w:spacing w:val="-104"/>
          <w:w w:val="99"/>
        </w:rPr>
        <w:t>）</w:t>
      </w:r>
      <w:r>
        <w:rPr>
          <w:w w:val="99"/>
        </w:rPr>
        <w:t>，仍无法通过现有医疗手段恢复。</w:t>
      </w:r>
    </w:p>
    <w:p>
      <w:pPr>
        <w:pStyle w:val="BodyText"/>
        <w:spacing w:before="46"/>
        <w:ind w:left="120"/>
      </w:pPr>
      <w:r>
        <w:rPr>
          <w:w w:val="95"/>
        </w:rPr>
        <w:t>精神心理因素所致的语言能力丧失不在保障范围内。</w:t>
      </w:r>
    </w:p>
    <w:p>
      <w:pPr>
        <w:pStyle w:val="BodyText"/>
        <w:spacing w:line="408" w:lineRule="auto" w:before="193"/>
        <w:ind w:left="120" w:right="121"/>
      </w:pPr>
      <w:r>
        <w:rPr>
          <w:w w:val="95"/>
        </w:rPr>
        <w:t>本附加险合同仅对三周岁以上的</w:t>
      </w:r>
      <w:hyperlink r:id="rId10">
        <w:r>
          <w:rPr>
            <w:w w:val="95"/>
          </w:rPr>
          <w:t>被</w:t>
        </w:r>
      </w:hyperlink>
      <w:hyperlink r:id="rId10">
        <w:r>
          <w:rPr>
            <w:w w:val="95"/>
          </w:rPr>
          <w:t>保险</w:t>
        </w:r>
      </w:hyperlink>
      <w:r>
        <w:rPr>
          <w:w w:val="95"/>
        </w:rPr>
        <w:t>人予以</w:t>
      </w:r>
      <w:hyperlink r:id="rId10">
        <w:r>
          <w:rPr>
            <w:w w:val="95"/>
          </w:rPr>
          <w:t>理赔</w:t>
        </w:r>
      </w:hyperlink>
      <w:r>
        <w:rPr>
          <w:spacing w:val="-11"/>
          <w:w w:val="95"/>
        </w:rPr>
        <w:t>。先天性失聪导致的语言能力丧失不在本   附加险合同的</w:t>
      </w:r>
      <w:hyperlink r:id="rId10">
        <w:r>
          <w:rPr>
            <w:spacing w:val="-11"/>
            <w:w w:val="95"/>
          </w:rPr>
          <w:t>保障</w:t>
        </w:r>
      </w:hyperlink>
      <w:r>
        <w:rPr>
          <w:spacing w:val="-11"/>
          <w:w w:val="95"/>
        </w:rPr>
        <w:t>范围内。</w:t>
      </w:r>
    </w:p>
    <w:p>
      <w:pPr>
        <w:pStyle w:val="BodyText"/>
        <w:spacing w:before="3"/>
        <w:rPr>
          <w:sz w:val="22"/>
        </w:rPr>
      </w:pPr>
    </w:p>
    <w:p>
      <w:pPr>
        <w:pStyle w:val="Heading2"/>
        <w:numPr>
          <w:ilvl w:val="2"/>
          <w:numId w:val="12"/>
        </w:numPr>
        <w:tabs>
          <w:tab w:pos="847" w:val="left" w:leader="none"/>
        </w:tabs>
        <w:spacing w:line="240" w:lineRule="auto" w:before="0" w:after="0"/>
        <w:ind w:left="846" w:right="0" w:hanging="720"/>
        <w:jc w:val="left"/>
      </w:pPr>
      <w:bookmarkStart w:name="_TOC_250022" w:id="153"/>
      <w:bookmarkEnd w:id="153"/>
      <w:r>
        <w:rPr>
          <w:w w:val="95"/>
        </w:rPr>
        <w:t>重型再生障碍性贫血</w:t>
      </w:r>
    </w:p>
    <w:p>
      <w:pPr>
        <w:pStyle w:val="BodyText"/>
        <w:spacing w:before="15"/>
        <w:rPr>
          <w:rFonts w:ascii="Microsoft JhengHei UI"/>
          <w:b/>
          <w:sz w:val="27"/>
        </w:rPr>
      </w:pPr>
    </w:p>
    <w:p>
      <w:pPr>
        <w:pStyle w:val="BodyText"/>
        <w:spacing w:line="408" w:lineRule="auto"/>
        <w:ind w:left="120" w:right="119"/>
      </w:pPr>
      <w:r>
        <w:rPr>
          <w:spacing w:val="-5"/>
          <w:w w:val="95"/>
        </w:rPr>
        <w:t>指因骨髓造血功能慢性持续性衰竭导致的贫血、中性粒细胞减少及血小板减少。须满足下列   全部条件：</w:t>
      </w:r>
    </w:p>
    <w:p>
      <w:pPr>
        <w:pStyle w:val="BodyText"/>
        <w:spacing w:before="45"/>
        <w:ind w:left="120"/>
      </w:pPr>
      <w:r>
        <w:rPr>
          <w:w w:val="95"/>
        </w:rPr>
        <w:t>（1）骨髓穿刺检查或骨髓活检结果支持诊断；</w:t>
      </w:r>
    </w:p>
    <w:p>
      <w:pPr>
        <w:pStyle w:val="BodyText"/>
        <w:spacing w:before="192"/>
        <w:ind w:left="120"/>
      </w:pPr>
      <w:r>
        <w:rPr>
          <w:w w:val="95"/>
        </w:rPr>
        <w:t>（2）外周血象须具备以下三项条件：</w:t>
      </w:r>
    </w:p>
    <w:p>
      <w:pPr>
        <w:pStyle w:val="BodyText"/>
        <w:spacing w:before="5"/>
        <w:rPr>
          <w:sz w:val="22"/>
        </w:rPr>
      </w:pPr>
    </w:p>
    <w:p>
      <w:pPr>
        <w:spacing w:line="422" w:lineRule="auto" w:before="0"/>
        <w:ind w:left="960" w:right="4315" w:firstLine="0"/>
        <w:jc w:val="left"/>
        <w:rPr>
          <w:sz w:val="21"/>
        </w:rPr>
      </w:pPr>
      <w:r>
        <w:rPr>
          <w:sz w:val="21"/>
        </w:rPr>
        <w:t>中性粒细胞绝对值</w:t>
      </w:r>
      <w:r>
        <w:rPr>
          <w:rFonts w:ascii="Trebuchet MS" w:hAnsi="Trebuchet MS" w:eastAsia="Trebuchet MS"/>
          <w:sz w:val="24"/>
        </w:rPr>
        <w:t>≤ </w:t>
      </w:r>
      <w:r>
        <w:rPr>
          <w:rFonts w:ascii="Times New Roman" w:hAnsi="Times New Roman" w:eastAsia="Times New Roman"/>
          <w:sz w:val="24"/>
        </w:rPr>
        <w:t>0.5 </w:t>
      </w:r>
      <w:r>
        <w:rPr>
          <w:rFonts w:ascii="Trebuchet MS" w:hAnsi="Trebuchet MS" w:eastAsia="Trebuchet MS"/>
          <w:sz w:val="24"/>
        </w:rPr>
        <w:t>×</w:t>
      </w:r>
      <w:r>
        <w:rPr>
          <w:rFonts w:ascii="Times New Roman" w:hAnsi="Times New Roman" w:eastAsia="Times New Roman"/>
          <w:sz w:val="24"/>
        </w:rPr>
        <w:t>10</w:t>
      </w:r>
      <w:r>
        <w:rPr>
          <w:rFonts w:ascii="Times New Roman" w:hAnsi="Times New Roman" w:eastAsia="Times New Roman"/>
          <w:position w:val="11"/>
          <w:sz w:val="14"/>
        </w:rPr>
        <w:t>9 </w:t>
      </w:r>
      <w:r>
        <w:rPr>
          <w:rFonts w:ascii="Times New Roman" w:hAnsi="Times New Roman" w:eastAsia="Times New Roman"/>
          <w:sz w:val="24"/>
        </w:rPr>
        <w:t>/ </w:t>
      </w:r>
      <w:r>
        <w:rPr>
          <w:rFonts w:ascii="Times New Roman" w:hAnsi="Times New Roman" w:eastAsia="Times New Roman"/>
          <w:i/>
          <w:sz w:val="24"/>
        </w:rPr>
        <w:t>L</w:t>
      </w:r>
      <w:r>
        <w:rPr>
          <w:sz w:val="21"/>
        </w:rPr>
        <w:t>； 网织红细胞</w:t>
      </w:r>
      <w:r>
        <w:rPr>
          <w:rFonts w:ascii="Trebuchet MS" w:hAnsi="Trebuchet MS" w:eastAsia="Trebuchet MS"/>
          <w:sz w:val="23"/>
        </w:rPr>
        <w:t>&lt; </w:t>
      </w:r>
      <w:r>
        <w:rPr>
          <w:rFonts w:ascii="Times New Roman" w:hAnsi="Times New Roman" w:eastAsia="Times New Roman"/>
          <w:sz w:val="23"/>
        </w:rPr>
        <w:t>1% </w:t>
      </w:r>
      <w:r>
        <w:rPr>
          <w:sz w:val="21"/>
        </w:rPr>
        <w:t>；</w:t>
      </w:r>
    </w:p>
    <w:p>
      <w:pPr>
        <w:spacing w:before="66"/>
        <w:ind w:left="960" w:right="0" w:firstLine="0"/>
        <w:jc w:val="left"/>
        <w:rPr>
          <w:rFonts w:ascii="Times New Roman" w:hAnsi="Times New Roman" w:eastAsia="Times New Roman"/>
          <w:i/>
          <w:sz w:val="24"/>
        </w:rPr>
      </w:pPr>
      <w:r>
        <w:rPr>
          <w:sz w:val="21"/>
        </w:rPr>
        <w:t>血小板绝对值</w:t>
      </w:r>
      <w:r>
        <w:rPr>
          <w:rFonts w:ascii="Trebuchet MS" w:hAnsi="Trebuchet MS" w:eastAsia="Trebuchet MS"/>
          <w:sz w:val="24"/>
        </w:rPr>
        <w:t>≤ </w:t>
      </w:r>
      <w:r>
        <w:rPr>
          <w:rFonts w:ascii="Times New Roman" w:hAnsi="Times New Roman" w:eastAsia="Times New Roman"/>
          <w:sz w:val="24"/>
        </w:rPr>
        <w:t>20 </w:t>
      </w:r>
      <w:r>
        <w:rPr>
          <w:rFonts w:ascii="Trebuchet MS" w:hAnsi="Trebuchet MS" w:eastAsia="Trebuchet MS"/>
          <w:sz w:val="24"/>
        </w:rPr>
        <w:t>×</w:t>
      </w:r>
      <w:r>
        <w:rPr>
          <w:rFonts w:ascii="Times New Roman" w:hAnsi="Times New Roman" w:eastAsia="Times New Roman"/>
          <w:sz w:val="24"/>
        </w:rPr>
        <w:t>10</w:t>
      </w:r>
      <w:r>
        <w:rPr>
          <w:rFonts w:ascii="Times New Roman" w:hAnsi="Times New Roman" w:eastAsia="Times New Roman"/>
          <w:position w:val="11"/>
          <w:sz w:val="14"/>
        </w:rPr>
        <w:t>9 </w:t>
      </w:r>
      <w:r>
        <w:rPr>
          <w:rFonts w:ascii="Times New Roman" w:hAnsi="Times New Roman" w:eastAsia="Times New Roman"/>
          <w:sz w:val="24"/>
        </w:rPr>
        <w:t>/ </w:t>
      </w:r>
      <w:r>
        <w:rPr>
          <w:rFonts w:ascii="Times New Roman" w:hAnsi="Times New Roman" w:eastAsia="Times New Roman"/>
          <w:i/>
          <w:sz w:val="24"/>
        </w:rPr>
        <w:t>L</w:t>
      </w:r>
    </w:p>
    <w:p>
      <w:pPr>
        <w:pStyle w:val="BodyText"/>
        <w:rPr>
          <w:rFonts w:ascii="Times New Roman"/>
          <w:i/>
          <w:sz w:val="20"/>
        </w:rPr>
      </w:pPr>
    </w:p>
    <w:p>
      <w:pPr>
        <w:pStyle w:val="BodyText"/>
        <w:spacing w:before="7"/>
        <w:rPr>
          <w:rFonts w:ascii="Times New Roman"/>
          <w:i/>
          <w:sz w:val="19"/>
        </w:rPr>
      </w:pPr>
    </w:p>
    <w:p>
      <w:pPr>
        <w:pStyle w:val="Heading2"/>
        <w:numPr>
          <w:ilvl w:val="2"/>
          <w:numId w:val="12"/>
        </w:numPr>
        <w:tabs>
          <w:tab w:pos="847" w:val="left" w:leader="none"/>
        </w:tabs>
        <w:spacing w:line="240" w:lineRule="auto" w:before="11" w:after="0"/>
        <w:ind w:left="846" w:right="0" w:hanging="720"/>
        <w:jc w:val="left"/>
      </w:pPr>
      <w:bookmarkStart w:name="_TOC_250021" w:id="154"/>
      <w:bookmarkEnd w:id="154"/>
      <w:r>
        <w:rPr>
          <w:w w:val="95"/>
        </w:rPr>
        <w:t>主动脉手术</w:t>
      </w:r>
    </w:p>
    <w:p>
      <w:pPr>
        <w:pStyle w:val="BodyText"/>
        <w:spacing w:before="15"/>
        <w:rPr>
          <w:rFonts w:ascii="Microsoft JhengHei UI"/>
          <w:b/>
          <w:sz w:val="27"/>
        </w:rPr>
      </w:pPr>
    </w:p>
    <w:p>
      <w:pPr>
        <w:pStyle w:val="BodyText"/>
        <w:spacing w:line="408" w:lineRule="auto" w:before="1"/>
        <w:ind w:left="120" w:right="117"/>
      </w:pPr>
      <w:r>
        <w:rPr>
          <w:spacing w:val="-6"/>
          <w:w w:val="95"/>
        </w:rPr>
        <w:t>指为治疗主动脉疾病，实际实施了开胸或开腹进行的切除、置换、修补病损主动脉血管的手   术。主动脉指胸主动脉和腹主动脉，不包括胸主动脉和腹主动脉的分支血管。</w:t>
      </w:r>
    </w:p>
    <w:p>
      <w:pPr>
        <w:pStyle w:val="BodyText"/>
        <w:spacing w:before="46"/>
        <w:ind w:left="120"/>
      </w:pPr>
      <w:r>
        <w:rPr>
          <w:w w:val="95"/>
        </w:rPr>
        <w:t>动脉内血管成形术不在保障范围内。</w:t>
      </w:r>
    </w:p>
    <w:p>
      <w:pPr>
        <w:pStyle w:val="BodyText"/>
        <w:spacing w:before="3"/>
        <w:rPr>
          <w:sz w:val="33"/>
        </w:rPr>
      </w:pPr>
    </w:p>
    <w:p>
      <w:pPr>
        <w:pStyle w:val="Heading2"/>
        <w:numPr>
          <w:ilvl w:val="2"/>
          <w:numId w:val="12"/>
        </w:numPr>
        <w:tabs>
          <w:tab w:pos="847" w:val="left" w:leader="none"/>
        </w:tabs>
        <w:spacing w:line="240" w:lineRule="auto" w:before="0" w:after="0"/>
        <w:ind w:left="846" w:right="0" w:hanging="720"/>
        <w:jc w:val="left"/>
      </w:pPr>
      <w:bookmarkStart w:name="_TOC_250020" w:id="155"/>
      <w:bookmarkEnd w:id="155"/>
      <w:r>
        <w:rPr/>
        <w:t>系统性红斑狼疮  －  III 型或以上狼疮性肾炎</w:t>
      </w:r>
    </w:p>
    <w:p>
      <w:pPr>
        <w:pStyle w:val="BodyText"/>
        <w:spacing w:before="15"/>
        <w:rPr>
          <w:rFonts w:ascii="Microsoft JhengHei UI"/>
          <w:b/>
          <w:sz w:val="27"/>
        </w:rPr>
      </w:pPr>
    </w:p>
    <w:p>
      <w:pPr>
        <w:pStyle w:val="BodyText"/>
        <w:spacing w:line="408" w:lineRule="auto"/>
        <w:ind w:left="120" w:right="98"/>
      </w:pPr>
      <w:r>
        <w:rPr/>
        <w:t>红斑狼疮是指由于自身抗体和免疫复合物的沉积破坏了血管和细胞而导致的累及多系统损</w:t>
      </w:r>
      <w:r>
        <w:rPr>
          <w:w w:val="95"/>
        </w:rPr>
        <w:t>害的一种自体免疫性疾病。</w:t>
      </w:r>
    </w:p>
    <w:p>
      <w:pPr>
        <w:pStyle w:val="BodyText"/>
        <w:spacing w:before="46"/>
        <w:ind w:left="120"/>
      </w:pPr>
      <w:r>
        <w:rPr>
          <w:w w:val="95"/>
        </w:rPr>
        <w:t>本保障仅限于被保险人因系统性红斑狼疮并发狼疮性肾炎并引起肾功能损害，且肾脏病理诊</w:t>
      </w:r>
    </w:p>
    <w:p>
      <w:pPr>
        <w:spacing w:after="0"/>
        <w:sectPr>
          <w:pgSz w:w="11910" w:h="16840"/>
          <w:pgMar w:header="0" w:footer="1268" w:top="1440" w:bottom="1460" w:left="1680" w:right="1680"/>
        </w:sectPr>
      </w:pPr>
    </w:p>
    <w:p>
      <w:pPr>
        <w:pStyle w:val="BodyText"/>
        <w:spacing w:line="408" w:lineRule="auto" w:before="32"/>
        <w:ind w:left="120" w:right="116"/>
      </w:pPr>
      <w:bookmarkStart w:name="经输血导致的人类免疫缺陷病毒（HIV）感染" w:id="156"/>
      <w:bookmarkEnd w:id="156"/>
      <w:r>
        <w:rPr/>
      </w:r>
      <w:bookmarkStart w:name="严重多发性硬化" w:id="157"/>
      <w:bookmarkEnd w:id="157"/>
      <w:r>
        <w:rPr/>
      </w:r>
      <w:r>
        <w:rPr/>
        <w:t>断符合以下列明的世界卫生组织</w:t>
      </w:r>
      <w:r>
        <w:rPr>
          <w:w w:val="120"/>
        </w:rPr>
        <w:t>（WHO）</w:t>
      </w:r>
      <w:r>
        <w:rPr>
          <w:spacing w:val="-7"/>
        </w:rPr>
        <w:t>对狼疮性肾炎所分类中的第 </w:t>
      </w:r>
      <w:r>
        <w:rPr/>
        <w:t>III、IV、</w:t>
      </w:r>
      <w:r>
        <w:rPr>
          <w:w w:val="120"/>
        </w:rPr>
        <w:t>V</w:t>
      </w:r>
      <w:r>
        <w:rPr/>
        <w:t>、VI</w:t>
      </w:r>
      <w:r>
        <w:rPr>
          <w:spacing w:val="-27"/>
        </w:rPr>
        <w:t> 型。</w:t>
      </w:r>
      <w:r>
        <w:rPr>
          <w:spacing w:val="-27"/>
          <w:w w:val="95"/>
        </w:rPr>
        <w:t>诊断须由有资格的风湿和免疫病专科医生确认。</w:t>
      </w:r>
    </w:p>
    <w:p>
      <w:pPr>
        <w:pStyle w:val="BodyText"/>
        <w:spacing w:before="46"/>
        <w:ind w:left="120"/>
        <w:jc w:val="both"/>
      </w:pPr>
      <w:r>
        <w:rPr/>
        <w:t>世界卫生组织</w:t>
      </w:r>
      <w:r>
        <w:rPr>
          <w:w w:val="120"/>
        </w:rPr>
        <w:t>（WHO）</w:t>
      </w:r>
      <w:r>
        <w:rPr/>
        <w:t>对狼疮性肾炎的分类标准：</w:t>
      </w:r>
    </w:p>
    <w:p>
      <w:pPr>
        <w:pStyle w:val="ListParagraph"/>
        <w:numPr>
          <w:ilvl w:val="0"/>
          <w:numId w:val="13"/>
        </w:numPr>
        <w:tabs>
          <w:tab w:pos="300" w:val="left" w:leader="none"/>
        </w:tabs>
        <w:spacing w:line="240" w:lineRule="auto" w:before="193" w:after="0"/>
        <w:ind w:left="300" w:right="0" w:hanging="180"/>
        <w:jc w:val="both"/>
        <w:rPr>
          <w:sz w:val="21"/>
        </w:rPr>
      </w:pPr>
      <w:r>
        <w:rPr>
          <w:w w:val="95"/>
          <w:sz w:val="21"/>
        </w:rPr>
        <w:t>型–正常肾小球型；</w:t>
      </w:r>
    </w:p>
    <w:p>
      <w:pPr>
        <w:pStyle w:val="ListParagraph"/>
        <w:numPr>
          <w:ilvl w:val="0"/>
          <w:numId w:val="13"/>
        </w:numPr>
        <w:tabs>
          <w:tab w:pos="322" w:val="left" w:leader="none"/>
        </w:tabs>
        <w:spacing w:line="240" w:lineRule="auto" w:before="193" w:after="0"/>
        <w:ind w:left="321" w:right="0" w:hanging="201"/>
        <w:jc w:val="both"/>
        <w:rPr>
          <w:sz w:val="21"/>
        </w:rPr>
      </w:pPr>
      <w:r>
        <w:rPr>
          <w:w w:val="95"/>
          <w:sz w:val="21"/>
        </w:rPr>
        <w:t>型–系膜增生型；</w:t>
      </w:r>
    </w:p>
    <w:p>
      <w:pPr>
        <w:pStyle w:val="ListParagraph"/>
        <w:numPr>
          <w:ilvl w:val="0"/>
          <w:numId w:val="13"/>
        </w:numPr>
        <w:tabs>
          <w:tab w:pos="396" w:val="left" w:leader="none"/>
        </w:tabs>
        <w:spacing w:line="240" w:lineRule="auto" w:before="193" w:after="0"/>
        <w:ind w:left="396" w:right="0" w:hanging="276"/>
        <w:jc w:val="both"/>
        <w:rPr>
          <w:sz w:val="21"/>
        </w:rPr>
      </w:pPr>
      <w:r>
        <w:rPr>
          <w:w w:val="95"/>
          <w:sz w:val="21"/>
        </w:rPr>
        <w:t>型–局灶及节段增生型；</w:t>
      </w:r>
    </w:p>
    <w:p>
      <w:pPr>
        <w:pStyle w:val="ListParagraph"/>
        <w:numPr>
          <w:ilvl w:val="0"/>
          <w:numId w:val="13"/>
        </w:numPr>
        <w:tabs>
          <w:tab w:pos="389" w:val="left" w:leader="none"/>
        </w:tabs>
        <w:spacing w:line="240" w:lineRule="auto" w:before="193" w:after="0"/>
        <w:ind w:left="388" w:right="0" w:hanging="268"/>
        <w:jc w:val="both"/>
        <w:rPr>
          <w:sz w:val="21"/>
        </w:rPr>
      </w:pPr>
      <w:r>
        <w:rPr>
          <w:w w:val="95"/>
          <w:sz w:val="21"/>
        </w:rPr>
        <w:t>型–弥漫增生型；</w:t>
      </w:r>
    </w:p>
    <w:p>
      <w:pPr>
        <w:pStyle w:val="ListParagraph"/>
        <w:numPr>
          <w:ilvl w:val="0"/>
          <w:numId w:val="13"/>
        </w:numPr>
        <w:tabs>
          <w:tab w:pos="315" w:val="left" w:leader="none"/>
        </w:tabs>
        <w:spacing w:line="240" w:lineRule="auto" w:before="193" w:after="0"/>
        <w:ind w:left="314" w:right="0" w:hanging="194"/>
        <w:jc w:val="both"/>
        <w:rPr>
          <w:sz w:val="21"/>
        </w:rPr>
      </w:pPr>
      <w:r>
        <w:rPr>
          <w:w w:val="95"/>
          <w:sz w:val="21"/>
        </w:rPr>
        <w:t>型–膜型；</w:t>
      </w:r>
    </w:p>
    <w:p>
      <w:pPr>
        <w:pStyle w:val="ListParagraph"/>
        <w:numPr>
          <w:ilvl w:val="0"/>
          <w:numId w:val="13"/>
        </w:numPr>
        <w:tabs>
          <w:tab w:pos="389" w:val="left" w:leader="none"/>
        </w:tabs>
        <w:spacing w:line="240" w:lineRule="auto" w:before="193" w:after="0"/>
        <w:ind w:left="388" w:right="0" w:hanging="268"/>
        <w:jc w:val="both"/>
        <w:rPr>
          <w:sz w:val="21"/>
        </w:rPr>
      </w:pPr>
      <w:r>
        <w:rPr>
          <w:w w:val="95"/>
          <w:sz w:val="21"/>
        </w:rPr>
        <w:t>型–肾小球硬化型。</w:t>
      </w:r>
    </w:p>
    <w:p>
      <w:pPr>
        <w:pStyle w:val="BodyText"/>
        <w:spacing w:before="5"/>
        <w:rPr>
          <w:sz w:val="33"/>
        </w:rPr>
      </w:pPr>
    </w:p>
    <w:p>
      <w:pPr>
        <w:pStyle w:val="Heading2"/>
        <w:numPr>
          <w:ilvl w:val="2"/>
          <w:numId w:val="12"/>
        </w:numPr>
        <w:tabs>
          <w:tab w:pos="847" w:val="left" w:leader="none"/>
        </w:tabs>
        <w:spacing w:line="240" w:lineRule="auto" w:before="1" w:after="0"/>
        <w:ind w:left="846" w:right="0" w:hanging="720"/>
        <w:jc w:val="both"/>
      </w:pPr>
      <w:bookmarkStart w:name="_TOC_250019" w:id="158"/>
      <w:bookmarkEnd w:id="158"/>
      <w:r>
        <w:rPr/>
        <w:t>经输血导致的人类免疫缺陷病毒（HIV）感染</w:t>
      </w:r>
    </w:p>
    <w:p>
      <w:pPr>
        <w:pStyle w:val="BodyText"/>
        <w:spacing w:before="13"/>
        <w:rPr>
          <w:rFonts w:ascii="Microsoft JhengHei UI"/>
          <w:b/>
          <w:sz w:val="27"/>
        </w:rPr>
      </w:pPr>
    </w:p>
    <w:p>
      <w:pPr>
        <w:pStyle w:val="BodyText"/>
        <w:ind w:left="120"/>
        <w:jc w:val="both"/>
      </w:pPr>
      <w:r>
        <w:rPr>
          <w:w w:val="99"/>
        </w:rPr>
        <w:t>被保险人感染上人类免疫缺陷病毒</w:t>
      </w:r>
      <w:r>
        <w:rPr>
          <w:spacing w:val="-1"/>
          <w:w w:val="99"/>
        </w:rPr>
        <w:t>（</w:t>
      </w:r>
      <w:r>
        <w:rPr>
          <w:spacing w:val="-1"/>
          <w:w w:val="151"/>
        </w:rPr>
        <w:t>H</w:t>
      </w:r>
      <w:r>
        <w:rPr>
          <w:w w:val="70"/>
        </w:rPr>
        <w:t>I</w:t>
      </w:r>
      <w:r>
        <w:rPr>
          <w:spacing w:val="1"/>
          <w:w w:val="134"/>
        </w:rPr>
        <w:t>V</w:t>
      </w:r>
      <w:r>
        <w:rPr>
          <w:spacing w:val="1"/>
          <w:w w:val="99"/>
        </w:rPr>
        <w:t>）</w:t>
      </w:r>
      <w:r>
        <w:rPr>
          <w:w w:val="99"/>
        </w:rPr>
        <w:t>并且符合下列所有条件：</w:t>
      </w:r>
    </w:p>
    <w:p>
      <w:pPr>
        <w:pStyle w:val="BodyText"/>
        <w:spacing w:before="192"/>
        <w:ind w:left="120"/>
        <w:jc w:val="both"/>
      </w:pPr>
      <w:r>
        <w:rPr>
          <w:w w:val="99"/>
        </w:rPr>
        <w:t>（</w:t>
      </w:r>
      <w:r>
        <w:rPr>
          <w:w w:val="93"/>
        </w:rPr>
        <w:t>1</w:t>
      </w:r>
      <w:r>
        <w:rPr>
          <w:spacing w:val="1"/>
          <w:w w:val="99"/>
        </w:rPr>
        <w:t>）</w:t>
      </w:r>
      <w:r>
        <w:rPr>
          <w:w w:val="99"/>
        </w:rPr>
        <w:t>在保障起始日或复效日之后，被保险人因输血而感染</w:t>
      </w:r>
      <w:r>
        <w:rPr>
          <w:spacing w:val="-53"/>
        </w:rPr>
        <w:t> </w:t>
      </w:r>
      <w:r>
        <w:rPr>
          <w:spacing w:val="-1"/>
          <w:w w:val="151"/>
        </w:rPr>
        <w:t>H</w:t>
      </w:r>
      <w:r>
        <w:rPr>
          <w:w w:val="70"/>
        </w:rPr>
        <w:t>I</w:t>
      </w:r>
      <w:r>
        <w:rPr>
          <w:spacing w:val="1"/>
          <w:w w:val="134"/>
        </w:rPr>
        <w:t>V</w:t>
      </w:r>
      <w:r>
        <w:rPr>
          <w:w w:val="99"/>
        </w:rPr>
        <w:t>；</w:t>
      </w:r>
    </w:p>
    <w:p>
      <w:pPr>
        <w:pStyle w:val="BodyText"/>
        <w:spacing w:line="408" w:lineRule="auto" w:before="192"/>
        <w:ind w:left="120" w:right="134"/>
      </w:pPr>
      <w:r>
        <w:rPr>
          <w:w w:val="95"/>
        </w:rPr>
        <w:t>（2）提供输血治疗的输血中心或医院出具该项输血感染属医疗责任事故的报告，或者法院   终审裁定为医疗责任并且不准上诉；</w:t>
      </w:r>
    </w:p>
    <w:p>
      <w:pPr>
        <w:pStyle w:val="BodyText"/>
        <w:spacing w:before="45"/>
        <w:ind w:left="120"/>
      </w:pPr>
      <w:r>
        <w:rPr>
          <w:w w:val="95"/>
        </w:rPr>
        <w:t>（3）受感染的被保险人不是血友病患者。</w:t>
      </w:r>
    </w:p>
    <w:p>
      <w:pPr>
        <w:pStyle w:val="BodyText"/>
        <w:spacing w:line="408" w:lineRule="auto" w:before="192"/>
        <w:ind w:left="120" w:right="115"/>
      </w:pPr>
      <w:r>
        <w:rPr>
          <w:spacing w:val="1"/>
          <w:w w:val="99"/>
        </w:rPr>
        <w:t>在任何治愈艾滋病（</w:t>
      </w:r>
      <w:r>
        <w:rPr>
          <w:w w:val="134"/>
        </w:rPr>
        <w:t>A</w:t>
      </w:r>
      <w:r>
        <w:rPr>
          <w:w w:val="70"/>
        </w:rPr>
        <w:t>I</w:t>
      </w:r>
      <w:r>
        <w:rPr>
          <w:spacing w:val="-1"/>
          <w:w w:val="153"/>
        </w:rPr>
        <w:t>D</w:t>
      </w:r>
      <w:r>
        <w:rPr>
          <w:spacing w:val="5"/>
          <w:w w:val="95"/>
        </w:rPr>
        <w:t>S</w:t>
      </w:r>
      <w:r>
        <w:rPr>
          <w:spacing w:val="1"/>
          <w:w w:val="99"/>
        </w:rPr>
        <w:t>）</w:t>
      </w:r>
      <w:r>
        <w:rPr>
          <w:spacing w:val="0"/>
          <w:w w:val="99"/>
        </w:rPr>
        <w:t>或阻止</w:t>
      </w:r>
      <w:r>
        <w:rPr>
          <w:spacing w:val="-50"/>
        </w:rPr>
        <w:t> </w:t>
      </w:r>
      <w:r>
        <w:rPr>
          <w:spacing w:val="-1"/>
          <w:w w:val="151"/>
        </w:rPr>
        <w:t>H</w:t>
      </w:r>
      <w:r>
        <w:rPr>
          <w:w w:val="70"/>
        </w:rPr>
        <w:t>I</w:t>
      </w:r>
      <w:r>
        <w:rPr>
          <w:w w:val="134"/>
        </w:rPr>
        <w:t>V</w:t>
      </w:r>
      <w:r>
        <w:rPr>
          <w:spacing w:val="-50"/>
        </w:rPr>
        <w:t> </w:t>
      </w:r>
      <w:r>
        <w:rPr>
          <w:spacing w:val="0"/>
          <w:w w:val="99"/>
        </w:rPr>
        <w:t>病毒作用的疗法被发现以后，或能防止</w:t>
      </w:r>
      <w:r>
        <w:rPr>
          <w:spacing w:val="-48"/>
        </w:rPr>
        <w:t> </w:t>
      </w:r>
      <w:r>
        <w:rPr>
          <w:w w:val="134"/>
        </w:rPr>
        <w:t>A</w:t>
      </w:r>
      <w:r>
        <w:rPr>
          <w:w w:val="70"/>
        </w:rPr>
        <w:t>I</w:t>
      </w:r>
      <w:r>
        <w:rPr>
          <w:spacing w:val="-1"/>
          <w:w w:val="153"/>
        </w:rPr>
        <w:t>D</w:t>
      </w:r>
      <w:r>
        <w:rPr>
          <w:w w:val="95"/>
        </w:rPr>
        <w:t>S</w:t>
      </w:r>
      <w:r>
        <w:rPr>
          <w:spacing w:val="-50"/>
        </w:rPr>
        <w:t> </w:t>
      </w:r>
      <w:r>
        <w:rPr>
          <w:w w:val="99"/>
        </w:rPr>
        <w:t>发生</w:t>
      </w:r>
      <w:r>
        <w:rPr>
          <w:w w:val="95"/>
        </w:rPr>
        <w:t>的医疗方法被研究出来以后，本保障将不再予以赔付。</w:t>
      </w:r>
    </w:p>
    <w:p>
      <w:pPr>
        <w:pStyle w:val="BodyText"/>
        <w:spacing w:line="408" w:lineRule="auto" w:before="45"/>
        <w:ind w:left="120" w:right="119"/>
        <w:jc w:val="both"/>
      </w:pPr>
      <w:r>
        <w:rPr>
          <w:spacing w:val="1"/>
          <w:w w:val="99"/>
        </w:rPr>
        <w:t>任何因其他传播方式（包括：性传播或静脉注射毒品）</w:t>
      </w:r>
      <w:r>
        <w:rPr>
          <w:spacing w:val="0"/>
          <w:w w:val="99"/>
        </w:rPr>
        <w:t>导致的</w:t>
      </w:r>
      <w:r>
        <w:rPr>
          <w:spacing w:val="-41"/>
        </w:rPr>
        <w:t> </w:t>
      </w:r>
      <w:r>
        <w:rPr>
          <w:spacing w:val="-1"/>
          <w:w w:val="151"/>
        </w:rPr>
        <w:t>H</w:t>
      </w:r>
      <w:r>
        <w:rPr>
          <w:w w:val="70"/>
        </w:rPr>
        <w:t>I</w:t>
      </w:r>
      <w:r>
        <w:rPr>
          <w:w w:val="134"/>
        </w:rPr>
        <w:t>V</w:t>
      </w:r>
      <w:r>
        <w:rPr>
          <w:spacing w:val="-50"/>
        </w:rPr>
        <w:t> </w:t>
      </w:r>
      <w:r>
        <w:rPr>
          <w:spacing w:val="0"/>
          <w:w w:val="99"/>
        </w:rPr>
        <w:t>感染不在本保单保障范</w:t>
      </w:r>
      <w:r>
        <w:rPr>
          <w:spacing w:val="-11"/>
          <w:w w:val="95"/>
        </w:rPr>
        <w:t>围内。保险公司必须拥有获得使用被保险人的所有血液样本的权利和能够对这些样本进行独   立检验的权利。</w:t>
      </w:r>
    </w:p>
    <w:p>
      <w:pPr>
        <w:pStyle w:val="BodyText"/>
        <w:spacing w:before="2"/>
        <w:rPr>
          <w:sz w:val="22"/>
        </w:rPr>
      </w:pPr>
    </w:p>
    <w:p>
      <w:pPr>
        <w:pStyle w:val="Heading2"/>
        <w:numPr>
          <w:ilvl w:val="2"/>
          <w:numId w:val="12"/>
        </w:numPr>
        <w:tabs>
          <w:tab w:pos="847" w:val="left" w:leader="none"/>
        </w:tabs>
        <w:spacing w:line="240" w:lineRule="auto" w:before="0" w:after="0"/>
        <w:ind w:left="846" w:right="0" w:hanging="720"/>
        <w:jc w:val="left"/>
      </w:pPr>
      <w:bookmarkStart w:name="_TOC_250018" w:id="159"/>
      <w:bookmarkEnd w:id="159"/>
      <w:r>
        <w:rPr>
          <w:w w:val="95"/>
        </w:rPr>
        <w:t>严重多发性硬化</w:t>
      </w:r>
    </w:p>
    <w:p>
      <w:pPr>
        <w:pStyle w:val="BodyText"/>
        <w:spacing w:before="15"/>
        <w:rPr>
          <w:rFonts w:ascii="Microsoft JhengHei UI"/>
          <w:b/>
          <w:sz w:val="27"/>
        </w:rPr>
      </w:pPr>
    </w:p>
    <w:p>
      <w:pPr>
        <w:pStyle w:val="BodyText"/>
        <w:spacing w:line="408" w:lineRule="auto"/>
        <w:ind w:left="120" w:right="115"/>
        <w:jc w:val="both"/>
      </w:pPr>
      <w:r>
        <w:rPr>
          <w:spacing w:val="-4"/>
        </w:rPr>
        <w:t>多发性硬化为中枢神经系统白质多灶性脱髓鞘病变，病变有时累及灰质。多发性硬化须由核</w:t>
      </w:r>
      <w:r>
        <w:rPr>
          <w:spacing w:val="-4"/>
          <w:w w:val="99"/>
        </w:rPr>
        <w:t>磁共振</w:t>
      </w:r>
      <w:r>
        <w:rPr>
          <w:w w:val="99"/>
        </w:rPr>
        <w:t>（</w:t>
      </w:r>
      <w:r>
        <w:rPr>
          <w:spacing w:val="-2"/>
          <w:w w:val="165"/>
        </w:rPr>
        <w:t>M</w:t>
      </w:r>
      <w:r>
        <w:rPr>
          <w:spacing w:val="0"/>
          <w:w w:val="124"/>
        </w:rPr>
        <w:t>R</w:t>
      </w:r>
      <w:r>
        <w:rPr>
          <w:spacing w:val="1"/>
          <w:w w:val="70"/>
        </w:rPr>
        <w:t>I</w:t>
      </w:r>
      <w:r>
        <w:rPr>
          <w:spacing w:val="-12"/>
          <w:w w:val="99"/>
        </w:rPr>
        <w:t>）</w:t>
      </w:r>
      <w:r>
        <w:rPr>
          <w:spacing w:val="-4"/>
          <w:w w:val="99"/>
        </w:rPr>
        <w:t>等影像学检查证实，经医院神经科专科医生明确诊断，并且已经造成永久不</w:t>
      </w:r>
      <w:r>
        <w:rPr>
          <w:spacing w:val="-12"/>
        </w:rPr>
        <w:t>可逆的神经系统功能损害。永久不可逆神经系统功能损害指被保险人持续 </w:t>
      </w:r>
      <w:r>
        <w:rPr/>
        <w:t>180</w:t>
      </w:r>
      <w:r>
        <w:rPr>
          <w:spacing w:val="-11"/>
        </w:rPr>
        <w:t> 天无法独立完</w:t>
      </w:r>
      <w:r>
        <w:rPr>
          <w:spacing w:val="-11"/>
          <w:w w:val="95"/>
        </w:rPr>
        <w:t>成下列基本日常生活活动：</w:t>
      </w:r>
    </w:p>
    <w:p>
      <w:pPr>
        <w:pStyle w:val="BodyText"/>
        <w:spacing w:before="46"/>
        <w:ind w:left="120"/>
        <w:jc w:val="both"/>
      </w:pPr>
      <w:r>
        <w:rPr>
          <w:w w:val="95"/>
        </w:rPr>
        <w:t>（1）移动：自己从一个房间移动到另一个房间；或者</w:t>
      </w:r>
    </w:p>
    <w:p>
      <w:pPr>
        <w:pStyle w:val="BodyText"/>
        <w:spacing w:before="193"/>
        <w:ind w:left="120"/>
        <w:jc w:val="both"/>
      </w:pPr>
      <w:r>
        <w:rPr>
          <w:w w:val="95"/>
        </w:rPr>
        <w:t>（2）进食：自己从已准备好的碗或碟中取食物放入口中。</w:t>
      </w:r>
    </w:p>
    <w:p>
      <w:pPr>
        <w:spacing w:after="0"/>
        <w:jc w:val="both"/>
        <w:sectPr>
          <w:pgSz w:w="11910" w:h="16840"/>
          <w:pgMar w:header="0" w:footer="1268" w:top="1440" w:bottom="1460" w:left="1680" w:right="1680"/>
        </w:sectPr>
      </w:pPr>
    </w:p>
    <w:p>
      <w:pPr>
        <w:pStyle w:val="Heading2"/>
        <w:numPr>
          <w:ilvl w:val="2"/>
          <w:numId w:val="12"/>
        </w:numPr>
        <w:tabs>
          <w:tab w:pos="847" w:val="left" w:leader="none"/>
        </w:tabs>
        <w:spacing w:line="347" w:lineRule="exact" w:before="0" w:after="0"/>
        <w:ind w:left="846" w:right="0" w:hanging="720"/>
        <w:jc w:val="left"/>
      </w:pPr>
      <w:bookmarkStart w:name="_TOC_250017" w:id="160"/>
      <w:bookmarkStart w:name="严重类风湿性关节炎" w:id="161"/>
      <w:r>
        <w:rPr>
          <w:b w:val="0"/>
        </w:rPr>
      </w:r>
      <w:bookmarkStart w:name="慢性呼吸功能衰竭" w:id="162"/>
      <w:bookmarkEnd w:id="162"/>
      <w:r>
        <w:rPr>
          <w:b w:val="0"/>
        </w:rPr>
      </w:r>
      <w:bookmarkStart w:name="12.4本条款约定确诊日" w:id="163"/>
      <w:bookmarkEnd w:id="163"/>
      <w:r>
        <w:rPr>
          <w:b w:val="0"/>
        </w:rPr>
      </w:r>
      <w:bookmarkStart w:name="12.5毒品" w:id="164"/>
      <w:bookmarkEnd w:id="164"/>
      <w:r>
        <w:rPr>
          <w:b w:val="0"/>
        </w:rPr>
      </w:r>
      <w:bookmarkStart w:name="12.6酒后驾驶" w:id="165"/>
      <w:bookmarkEnd w:id="165"/>
      <w:r>
        <w:rPr>
          <w:b w:val="0"/>
        </w:rPr>
      </w:r>
      <w:bookmarkStart w:name="12.6酒后驾驶" w:id="166"/>
      <w:bookmarkEnd w:id="160"/>
      <w:r>
        <w:rPr>
          <w:w w:val="95"/>
        </w:rPr>
        <w:t>严重类风湿性关节炎</w:t>
      </w:r>
    </w:p>
    <w:p>
      <w:pPr>
        <w:pStyle w:val="BodyText"/>
        <w:spacing w:before="13"/>
        <w:rPr>
          <w:rFonts w:ascii="Microsoft JhengHei UI"/>
          <w:b/>
          <w:sz w:val="27"/>
        </w:rPr>
      </w:pPr>
    </w:p>
    <w:p>
      <w:pPr>
        <w:pStyle w:val="BodyText"/>
        <w:ind w:left="120"/>
      </w:pPr>
      <w:r>
        <w:rPr/>
        <w:t>主要基于 3 个月持续的生活能力丧失情况，而不是基于短期内的临床指标。</w:t>
      </w:r>
    </w:p>
    <w:p>
      <w:pPr>
        <w:pStyle w:val="BodyText"/>
        <w:spacing w:before="193"/>
        <w:ind w:left="120"/>
      </w:pPr>
      <w:r>
        <w:rPr>
          <w:w w:val="95"/>
        </w:rPr>
        <w:t>是指广泛的慢性渐进性的关节损害，伴有明显的关节畸形，至少累及三个或三个以上关节</w:t>
      </w:r>
    </w:p>
    <w:p>
      <w:pPr>
        <w:pStyle w:val="BodyText"/>
        <w:spacing w:line="408" w:lineRule="auto" w:before="193"/>
        <w:ind w:left="120" w:right="227"/>
      </w:pPr>
      <w:r>
        <w:rPr/>
        <w:t>（如：手，腕，肘，髋，膝，踝关节</w:t>
      </w:r>
      <w:r>
        <w:rPr>
          <w:spacing w:val="-106"/>
        </w:rPr>
        <w:t>）</w:t>
      </w:r>
      <w:r>
        <w:rPr/>
        <w:t>。此疾病必须已经导致了自主生活能力完全丧失，不</w:t>
      </w:r>
      <w:r>
        <w:rPr>
          <w:w w:val="95"/>
        </w:rPr>
        <w:t>能独立完成六项基本日常生活活动中的三项或三项以上的情形。</w:t>
      </w:r>
    </w:p>
    <w:p>
      <w:pPr>
        <w:pStyle w:val="BodyText"/>
        <w:spacing w:before="46"/>
        <w:ind w:left="120"/>
      </w:pPr>
      <w:r>
        <w:rPr/>
        <w:t>上述疾病需由专科医生确诊，并提供相应医疗记录以证实上述病情已经存在至少 3 个月。</w:t>
      </w:r>
    </w:p>
    <w:p>
      <w:pPr>
        <w:pStyle w:val="BodyText"/>
        <w:spacing w:before="6"/>
        <w:rPr>
          <w:sz w:val="33"/>
        </w:rPr>
      </w:pPr>
    </w:p>
    <w:p>
      <w:pPr>
        <w:pStyle w:val="Heading2"/>
        <w:numPr>
          <w:ilvl w:val="2"/>
          <w:numId w:val="12"/>
        </w:numPr>
        <w:tabs>
          <w:tab w:pos="847" w:val="left" w:leader="none"/>
        </w:tabs>
        <w:spacing w:line="240" w:lineRule="auto" w:before="0" w:after="0"/>
        <w:ind w:left="846" w:right="0" w:hanging="720"/>
        <w:jc w:val="left"/>
      </w:pPr>
      <w:bookmarkStart w:name="_TOC_250016" w:id="167"/>
      <w:bookmarkEnd w:id="167"/>
      <w:r>
        <w:rPr>
          <w:w w:val="95"/>
        </w:rPr>
        <w:t>慢性呼吸功能衰竭</w:t>
      </w:r>
    </w:p>
    <w:p>
      <w:pPr>
        <w:pStyle w:val="BodyText"/>
        <w:spacing w:before="12"/>
        <w:rPr>
          <w:rFonts w:ascii="Microsoft JhengHei UI"/>
          <w:b/>
          <w:sz w:val="27"/>
        </w:rPr>
      </w:pPr>
    </w:p>
    <w:p>
      <w:pPr>
        <w:pStyle w:val="BodyText"/>
        <w:spacing w:line="408" w:lineRule="auto" w:before="1"/>
        <w:ind w:left="120" w:right="217"/>
      </w:pPr>
      <w:r>
        <w:rPr>
          <w:spacing w:val="-4"/>
        </w:rPr>
        <w:t>慢性肺部疾病导致永久不可逆性的慢性呼吸功能衰竭，必须由呼吸专科医师确认并符合下列</w:t>
      </w:r>
      <w:r>
        <w:rPr>
          <w:spacing w:val="-4"/>
          <w:w w:val="95"/>
        </w:rPr>
        <w:t>所有条件：</w:t>
      </w:r>
    </w:p>
    <w:p>
      <w:pPr>
        <w:pStyle w:val="BodyText"/>
        <w:spacing w:before="46"/>
        <w:ind w:left="540"/>
      </w:pPr>
      <w:r>
        <w:rPr>
          <w:w w:val="95"/>
        </w:rPr>
        <w:t>（1）休息时出现呼吸困难；</w:t>
      </w:r>
    </w:p>
    <w:p>
      <w:pPr>
        <w:pStyle w:val="BodyText"/>
        <w:spacing w:before="6"/>
      </w:pPr>
    </w:p>
    <w:p>
      <w:pPr>
        <w:spacing w:before="1"/>
        <w:ind w:left="540" w:right="0" w:firstLine="0"/>
        <w:jc w:val="left"/>
        <w:rPr>
          <w:sz w:val="21"/>
        </w:rPr>
      </w:pPr>
      <w:r>
        <w:rPr>
          <w:w w:val="105"/>
          <w:sz w:val="21"/>
        </w:rPr>
        <w:t>（2）</w:t>
      </w:r>
      <w:r>
        <w:rPr>
          <w:spacing w:val="-2"/>
          <w:w w:val="105"/>
          <w:sz w:val="21"/>
        </w:rPr>
        <w:t>动脉氧分压 </w:t>
      </w:r>
      <w:r>
        <w:rPr>
          <w:w w:val="105"/>
          <w:sz w:val="21"/>
        </w:rPr>
        <w:t>（</w:t>
      </w:r>
      <w:r>
        <w:rPr>
          <w:spacing w:val="-89"/>
          <w:w w:val="105"/>
          <w:sz w:val="21"/>
        </w:rPr>
        <w:t> </w:t>
      </w:r>
      <w:r>
        <w:rPr>
          <w:rFonts w:ascii="Times New Roman" w:eastAsia="Times New Roman"/>
          <w:i/>
          <w:spacing w:val="-23"/>
          <w:w w:val="105"/>
          <w:sz w:val="24"/>
        </w:rPr>
        <w:t>PaO</w:t>
      </w:r>
      <w:r>
        <w:rPr>
          <w:rFonts w:ascii="Times New Roman" w:eastAsia="Times New Roman"/>
          <w:spacing w:val="-23"/>
          <w:w w:val="105"/>
          <w:position w:val="-5"/>
          <w:sz w:val="14"/>
        </w:rPr>
        <w:t>2   </w:t>
      </w:r>
      <w:r>
        <w:rPr>
          <w:w w:val="105"/>
          <w:sz w:val="21"/>
        </w:rPr>
        <w:t>）</w:t>
      </w:r>
      <w:r>
        <w:rPr>
          <w:spacing w:val="-29"/>
          <w:w w:val="105"/>
          <w:sz w:val="21"/>
        </w:rPr>
        <w:t>&lt; </w:t>
      </w:r>
      <w:r>
        <w:rPr>
          <w:w w:val="105"/>
          <w:sz w:val="21"/>
        </w:rPr>
        <w:t>50mmHg；</w:t>
      </w:r>
    </w:p>
    <w:p>
      <w:pPr>
        <w:pStyle w:val="BodyText"/>
        <w:spacing w:before="10"/>
        <w:rPr>
          <w:sz w:val="16"/>
        </w:rPr>
      </w:pPr>
    </w:p>
    <w:p>
      <w:pPr>
        <w:spacing w:after="0"/>
        <w:rPr>
          <w:sz w:val="16"/>
        </w:rPr>
        <w:sectPr>
          <w:pgSz w:w="11910" w:h="16840"/>
          <w:pgMar w:header="0" w:footer="1268" w:top="1460" w:bottom="1460" w:left="1680" w:right="1580"/>
        </w:sectPr>
      </w:pPr>
    </w:p>
    <w:p>
      <w:pPr>
        <w:spacing w:before="69"/>
        <w:ind w:left="540" w:right="0" w:firstLine="0"/>
        <w:jc w:val="left"/>
        <w:rPr>
          <w:rFonts w:ascii="Times New Roman" w:eastAsia="Times New Roman"/>
          <w:sz w:val="14"/>
        </w:rPr>
      </w:pPr>
      <w:r>
        <w:rPr>
          <w:sz w:val="21"/>
        </w:rPr>
        <w:t>（3）</w:t>
      </w:r>
      <w:r>
        <w:rPr>
          <w:spacing w:val="-1"/>
          <w:sz w:val="21"/>
        </w:rPr>
        <w:t>动脉血氧饱和度 </w:t>
      </w:r>
      <w:r>
        <w:rPr>
          <w:sz w:val="21"/>
        </w:rPr>
        <w:t>（</w:t>
      </w:r>
      <w:r>
        <w:rPr>
          <w:spacing w:val="-75"/>
          <w:sz w:val="21"/>
        </w:rPr>
        <w:t> </w:t>
      </w:r>
      <w:r>
        <w:rPr>
          <w:rFonts w:ascii="Times New Roman" w:eastAsia="Times New Roman"/>
          <w:i/>
          <w:spacing w:val="-13"/>
          <w:sz w:val="24"/>
        </w:rPr>
        <w:t>SaO</w:t>
      </w:r>
      <w:r>
        <w:rPr>
          <w:rFonts w:ascii="Times New Roman" w:eastAsia="Times New Roman"/>
          <w:spacing w:val="-13"/>
          <w:position w:val="-5"/>
          <w:sz w:val="14"/>
        </w:rPr>
        <w:t>2</w:t>
      </w:r>
    </w:p>
    <w:p>
      <w:pPr>
        <w:pStyle w:val="BodyText"/>
        <w:spacing w:before="66"/>
        <w:ind w:left="103"/>
      </w:pPr>
      <w:r>
        <w:rPr/>
        <w:br w:type="column"/>
      </w:r>
      <w:r>
        <w:rPr>
          <w:w w:val="105"/>
        </w:rPr>
        <w:t>）&lt;</w:t>
      </w:r>
      <w:r>
        <w:rPr>
          <w:spacing w:val="-84"/>
          <w:w w:val="105"/>
        </w:rPr>
        <w:t> </w:t>
      </w:r>
      <w:r>
        <w:rPr>
          <w:w w:val="105"/>
        </w:rPr>
        <w:t>80％；</w:t>
      </w:r>
    </w:p>
    <w:p>
      <w:pPr>
        <w:spacing w:after="0"/>
        <w:sectPr>
          <w:type w:val="continuous"/>
          <w:pgSz w:w="11910" w:h="16840"/>
          <w:pgMar w:top="720" w:bottom="280" w:left="1680" w:right="1580"/>
          <w:cols w:num="2" w:equalWidth="0">
            <w:col w:w="3365" w:space="40"/>
            <w:col w:w="5245"/>
          </w:cols>
        </w:sectPr>
      </w:pPr>
    </w:p>
    <w:p>
      <w:pPr>
        <w:pStyle w:val="BodyText"/>
        <w:spacing w:before="8"/>
        <w:rPr>
          <w:sz w:val="10"/>
        </w:rPr>
      </w:pPr>
    </w:p>
    <w:p>
      <w:pPr>
        <w:pStyle w:val="BodyText"/>
        <w:spacing w:before="60"/>
        <w:ind w:left="120"/>
        <w:jc w:val="both"/>
      </w:pPr>
      <w:r>
        <w:rPr>
          <w:w w:val="95"/>
        </w:rPr>
        <w:t>（4）因缺氧必须接受持续的输氧治疗。</w:t>
      </w:r>
    </w:p>
    <w:p>
      <w:pPr>
        <w:pStyle w:val="BodyText"/>
        <w:spacing w:before="5"/>
        <w:rPr>
          <w:sz w:val="33"/>
        </w:rPr>
      </w:pPr>
    </w:p>
    <w:p>
      <w:pPr>
        <w:pStyle w:val="Heading2"/>
        <w:numPr>
          <w:ilvl w:val="1"/>
          <w:numId w:val="12"/>
        </w:numPr>
        <w:tabs>
          <w:tab w:pos="681" w:val="left" w:leader="none"/>
        </w:tabs>
        <w:spacing w:line="240" w:lineRule="auto" w:before="0" w:after="0"/>
        <w:ind w:left="680" w:right="0" w:hanging="554"/>
        <w:jc w:val="both"/>
      </w:pPr>
      <w:bookmarkStart w:name="_TOC_250015" w:id="168"/>
      <w:bookmarkEnd w:id="168"/>
      <w:r>
        <w:rPr>
          <w:w w:val="95"/>
        </w:rPr>
        <w:t>本条款约定确诊日</w:t>
      </w:r>
    </w:p>
    <w:p>
      <w:pPr>
        <w:pStyle w:val="BodyText"/>
        <w:spacing w:before="12"/>
        <w:rPr>
          <w:rFonts w:ascii="Microsoft JhengHei UI"/>
          <w:b/>
          <w:sz w:val="27"/>
        </w:rPr>
      </w:pPr>
    </w:p>
    <w:p>
      <w:pPr>
        <w:pStyle w:val="BodyText"/>
        <w:ind w:left="120"/>
        <w:jc w:val="both"/>
      </w:pPr>
      <w:r>
        <w:rPr>
          <w:w w:val="95"/>
        </w:rPr>
        <w:t>指满足本条款约定确诊日以明确诊断该类疾病的病检标本提取日为准。</w:t>
      </w:r>
    </w:p>
    <w:p>
      <w:pPr>
        <w:pStyle w:val="BodyText"/>
        <w:spacing w:before="5"/>
        <w:rPr>
          <w:sz w:val="33"/>
        </w:rPr>
      </w:pPr>
    </w:p>
    <w:p>
      <w:pPr>
        <w:pStyle w:val="Heading2"/>
        <w:numPr>
          <w:ilvl w:val="1"/>
          <w:numId w:val="12"/>
        </w:numPr>
        <w:tabs>
          <w:tab w:pos="681" w:val="left" w:leader="none"/>
        </w:tabs>
        <w:spacing w:line="240" w:lineRule="auto" w:before="0" w:after="0"/>
        <w:ind w:left="680" w:right="0" w:hanging="554"/>
        <w:jc w:val="both"/>
      </w:pPr>
      <w:bookmarkStart w:name="_TOC_250014" w:id="169"/>
      <w:bookmarkEnd w:id="169"/>
      <w:r>
        <w:rPr>
          <w:w w:val="95"/>
        </w:rPr>
        <w:t>毒品</w:t>
      </w:r>
    </w:p>
    <w:p>
      <w:pPr>
        <w:pStyle w:val="BodyText"/>
        <w:spacing w:before="15"/>
        <w:rPr>
          <w:rFonts w:ascii="Microsoft JhengHei UI"/>
          <w:b/>
          <w:sz w:val="27"/>
        </w:rPr>
      </w:pPr>
    </w:p>
    <w:p>
      <w:pPr>
        <w:pStyle w:val="BodyText"/>
        <w:spacing w:line="408" w:lineRule="auto"/>
        <w:ind w:left="120" w:right="219"/>
        <w:jc w:val="both"/>
      </w:pPr>
      <w:r>
        <w:rPr>
          <w:spacing w:val="-3"/>
          <w:w w:val="95"/>
        </w:rPr>
        <w:t>指中华人民共和国刑法规定的鸦片、海洛因、甲基苯丙胺</w:t>
      </w:r>
      <w:r>
        <w:rPr>
          <w:w w:val="95"/>
        </w:rPr>
        <w:t>（冰毒</w:t>
      </w:r>
      <w:r>
        <w:rPr>
          <w:spacing w:val="-12"/>
          <w:w w:val="95"/>
        </w:rPr>
        <w:t>）</w:t>
      </w:r>
      <w:r>
        <w:rPr>
          <w:spacing w:val="-7"/>
          <w:w w:val="95"/>
        </w:rPr>
        <w:t>、吗啡、大麻、可卡因以   </w:t>
      </w:r>
      <w:r>
        <w:rPr>
          <w:spacing w:val="-10"/>
          <w:w w:val="95"/>
        </w:rPr>
        <w:t>及国家规定管制的其他能够使人形成瘾癖的麻醉药品和精神药品，但不包括由医生开具并遵   守医嘱使用的用于治疗疾病但含有毒品成分的处方药品。</w:t>
      </w:r>
    </w:p>
    <w:p>
      <w:pPr>
        <w:pStyle w:val="BodyText"/>
        <w:rPr>
          <w:sz w:val="22"/>
        </w:rPr>
      </w:pPr>
    </w:p>
    <w:p>
      <w:pPr>
        <w:pStyle w:val="Heading2"/>
        <w:numPr>
          <w:ilvl w:val="1"/>
          <w:numId w:val="12"/>
        </w:numPr>
        <w:tabs>
          <w:tab w:pos="680" w:val="left" w:leader="none"/>
          <w:tab w:pos="681" w:val="left" w:leader="none"/>
        </w:tabs>
        <w:spacing w:line="240" w:lineRule="auto" w:before="0" w:after="0"/>
        <w:ind w:left="680" w:right="0" w:hanging="554"/>
        <w:jc w:val="left"/>
      </w:pPr>
      <w:bookmarkStart w:name="_TOC_250013" w:id="170"/>
      <w:bookmarkEnd w:id="170"/>
      <w:r>
        <w:rPr>
          <w:w w:val="95"/>
        </w:rPr>
        <w:t>酒后驾驶</w:t>
      </w:r>
    </w:p>
    <w:p>
      <w:pPr>
        <w:pStyle w:val="BodyText"/>
        <w:spacing w:before="15"/>
        <w:rPr>
          <w:rFonts w:ascii="Microsoft JhengHei UI"/>
          <w:b/>
          <w:sz w:val="27"/>
        </w:rPr>
      </w:pPr>
    </w:p>
    <w:p>
      <w:pPr>
        <w:pStyle w:val="BodyText"/>
        <w:spacing w:line="408" w:lineRule="auto"/>
        <w:ind w:left="120" w:right="114"/>
      </w:pPr>
      <w:r>
        <w:rPr>
          <w:spacing w:val="-10"/>
        </w:rPr>
        <w:t>指经检测或鉴定，发生事故时车辆驾驶人员每百毫升血液中的酒精含量达到或超过一定的标</w:t>
      </w:r>
      <w:r>
        <w:rPr>
          <w:spacing w:val="-16"/>
          <w:w w:val="95"/>
        </w:rPr>
        <w:t>准，公安机关交通管理部门依据《道路交通安全法》的规定认定为饮酒后驾驶或醉酒后驾驶。</w:t>
      </w:r>
    </w:p>
    <w:p>
      <w:pPr>
        <w:spacing w:after="0" w:line="408" w:lineRule="auto"/>
        <w:sectPr>
          <w:type w:val="continuous"/>
          <w:pgSz w:w="11910" w:h="16840"/>
          <w:pgMar w:top="720" w:bottom="280" w:left="1680" w:right="1580"/>
        </w:sectPr>
      </w:pPr>
    </w:p>
    <w:p>
      <w:pPr>
        <w:pStyle w:val="Heading2"/>
        <w:numPr>
          <w:ilvl w:val="1"/>
          <w:numId w:val="12"/>
        </w:numPr>
        <w:tabs>
          <w:tab w:pos="680" w:val="left" w:leader="none"/>
          <w:tab w:pos="681" w:val="left" w:leader="none"/>
        </w:tabs>
        <w:spacing w:line="347" w:lineRule="exact" w:before="0" w:after="0"/>
        <w:ind w:left="680" w:right="0" w:hanging="554"/>
        <w:jc w:val="left"/>
      </w:pPr>
      <w:bookmarkStart w:name="_TOC_250012" w:id="171"/>
      <w:bookmarkStart w:name="12.7无合法有效驾驶证驾驶" w:id="172"/>
      <w:r>
        <w:rPr>
          <w:b w:val="0"/>
        </w:rPr>
      </w:r>
      <w:bookmarkStart w:name="12.8无有效行驶证" w:id="173"/>
      <w:bookmarkEnd w:id="173"/>
      <w:r>
        <w:rPr>
          <w:b w:val="0"/>
        </w:rPr>
      </w:r>
      <w:bookmarkStart w:name="12.9感染艾滋病病毒或患艾滋病" w:id="174"/>
      <w:bookmarkEnd w:id="174"/>
      <w:r>
        <w:rPr>
          <w:b w:val="0"/>
        </w:rPr>
      </w:r>
      <w:bookmarkStart w:name="12.10遗传性疾病" w:id="175"/>
      <w:bookmarkEnd w:id="175"/>
      <w:r>
        <w:rPr>
          <w:b w:val="0"/>
        </w:rPr>
      </w:r>
      <w:bookmarkStart w:name="12.11先天性畸形、变形或染色体异常" w:id="176"/>
      <w:bookmarkEnd w:id="176"/>
      <w:r>
        <w:rPr>
          <w:b w:val="0"/>
        </w:rPr>
      </w:r>
      <w:bookmarkStart w:name="12.11先天性畸形、变形或染色体异常" w:id="177"/>
      <w:bookmarkEnd w:id="171"/>
      <w:r>
        <w:rPr>
          <w:w w:val="95"/>
        </w:rPr>
        <w:t>无合法有效驾驶证驾驶</w:t>
      </w:r>
    </w:p>
    <w:p>
      <w:pPr>
        <w:pStyle w:val="BodyText"/>
        <w:spacing w:before="13"/>
        <w:rPr>
          <w:rFonts w:ascii="Microsoft JhengHei UI"/>
          <w:b/>
          <w:sz w:val="27"/>
        </w:rPr>
      </w:pPr>
    </w:p>
    <w:p>
      <w:pPr>
        <w:pStyle w:val="BodyText"/>
        <w:ind w:left="120"/>
      </w:pPr>
      <w:r>
        <w:rPr>
          <w:w w:val="95"/>
        </w:rPr>
        <w:t>指下列情形之一：</w:t>
      </w:r>
    </w:p>
    <w:p>
      <w:pPr>
        <w:pStyle w:val="ListParagraph"/>
        <w:numPr>
          <w:ilvl w:val="0"/>
          <w:numId w:val="14"/>
        </w:numPr>
        <w:tabs>
          <w:tab w:pos="839" w:val="left" w:leader="none"/>
          <w:tab w:pos="840" w:val="left" w:leader="none"/>
        </w:tabs>
        <w:spacing w:line="240" w:lineRule="auto" w:before="193" w:after="0"/>
        <w:ind w:left="840" w:right="0" w:hanging="720"/>
        <w:jc w:val="left"/>
        <w:rPr>
          <w:sz w:val="21"/>
        </w:rPr>
      </w:pPr>
      <w:r>
        <w:rPr>
          <w:w w:val="95"/>
          <w:sz w:val="21"/>
        </w:rPr>
        <w:t>没有取得驾驶资格；</w:t>
      </w:r>
    </w:p>
    <w:p>
      <w:pPr>
        <w:pStyle w:val="ListParagraph"/>
        <w:numPr>
          <w:ilvl w:val="0"/>
          <w:numId w:val="14"/>
        </w:numPr>
        <w:tabs>
          <w:tab w:pos="839" w:val="left" w:leader="none"/>
          <w:tab w:pos="840" w:val="left" w:leader="none"/>
        </w:tabs>
        <w:spacing w:line="240" w:lineRule="auto" w:before="193" w:after="0"/>
        <w:ind w:left="840" w:right="0" w:hanging="720"/>
        <w:jc w:val="left"/>
        <w:rPr>
          <w:sz w:val="21"/>
        </w:rPr>
      </w:pPr>
      <w:r>
        <w:rPr>
          <w:w w:val="95"/>
          <w:sz w:val="21"/>
        </w:rPr>
        <w:t>驾驶与驾驶证准驾车型不相符合的车辆；</w:t>
      </w:r>
    </w:p>
    <w:p>
      <w:pPr>
        <w:pStyle w:val="ListParagraph"/>
        <w:numPr>
          <w:ilvl w:val="0"/>
          <w:numId w:val="14"/>
        </w:numPr>
        <w:tabs>
          <w:tab w:pos="839" w:val="left" w:leader="none"/>
          <w:tab w:pos="840" w:val="left" w:leader="none"/>
        </w:tabs>
        <w:spacing w:line="240" w:lineRule="auto" w:before="193" w:after="0"/>
        <w:ind w:left="840" w:right="0" w:hanging="720"/>
        <w:jc w:val="left"/>
        <w:rPr>
          <w:sz w:val="21"/>
        </w:rPr>
      </w:pPr>
      <w:r>
        <w:rPr>
          <w:w w:val="95"/>
          <w:sz w:val="21"/>
        </w:rPr>
        <w:t>持审验不合格的驾驶证驾驶；</w:t>
      </w:r>
    </w:p>
    <w:p>
      <w:pPr>
        <w:pStyle w:val="ListParagraph"/>
        <w:numPr>
          <w:ilvl w:val="0"/>
          <w:numId w:val="14"/>
        </w:numPr>
        <w:tabs>
          <w:tab w:pos="839" w:val="left" w:leader="none"/>
          <w:tab w:pos="840" w:val="left" w:leader="none"/>
        </w:tabs>
        <w:spacing w:line="240" w:lineRule="auto" w:before="193" w:after="0"/>
        <w:ind w:left="840" w:right="0" w:hanging="720"/>
        <w:jc w:val="left"/>
        <w:rPr>
          <w:sz w:val="21"/>
        </w:rPr>
      </w:pPr>
      <w:r>
        <w:rPr>
          <w:w w:val="95"/>
          <w:sz w:val="21"/>
        </w:rPr>
        <w:t>持学习驾驶证学习驾车时，无教练员随车指导，或不按指定时间、路线学习驾车。</w:t>
      </w:r>
    </w:p>
    <w:p>
      <w:pPr>
        <w:pStyle w:val="BodyText"/>
        <w:spacing w:before="5"/>
        <w:rPr>
          <w:sz w:val="33"/>
        </w:rPr>
      </w:pPr>
    </w:p>
    <w:p>
      <w:pPr>
        <w:pStyle w:val="Heading2"/>
        <w:numPr>
          <w:ilvl w:val="1"/>
          <w:numId w:val="12"/>
        </w:numPr>
        <w:tabs>
          <w:tab w:pos="680" w:val="left" w:leader="none"/>
          <w:tab w:pos="681" w:val="left" w:leader="none"/>
        </w:tabs>
        <w:spacing w:line="240" w:lineRule="auto" w:before="1" w:after="0"/>
        <w:ind w:left="680" w:right="0" w:hanging="554"/>
        <w:jc w:val="left"/>
      </w:pPr>
      <w:bookmarkStart w:name="_TOC_250011" w:id="178"/>
      <w:bookmarkEnd w:id="178"/>
      <w:r>
        <w:rPr>
          <w:w w:val="95"/>
        </w:rPr>
        <w:t>无有效行驶证</w:t>
      </w:r>
    </w:p>
    <w:p>
      <w:pPr>
        <w:pStyle w:val="BodyText"/>
        <w:spacing w:before="13"/>
        <w:rPr>
          <w:rFonts w:ascii="Microsoft JhengHei UI"/>
          <w:b/>
          <w:sz w:val="27"/>
        </w:rPr>
      </w:pPr>
    </w:p>
    <w:p>
      <w:pPr>
        <w:pStyle w:val="BodyText"/>
        <w:ind w:left="120"/>
      </w:pPr>
      <w:r>
        <w:rPr>
          <w:w w:val="95"/>
        </w:rPr>
        <w:t>指下列情形之一：</w:t>
      </w:r>
    </w:p>
    <w:p>
      <w:pPr>
        <w:pStyle w:val="ListParagraph"/>
        <w:numPr>
          <w:ilvl w:val="0"/>
          <w:numId w:val="15"/>
        </w:numPr>
        <w:tabs>
          <w:tab w:pos="839" w:val="left" w:leader="none"/>
          <w:tab w:pos="840" w:val="left" w:leader="none"/>
        </w:tabs>
        <w:spacing w:line="240" w:lineRule="auto" w:before="192" w:after="0"/>
        <w:ind w:left="840" w:right="0" w:hanging="720"/>
        <w:jc w:val="left"/>
        <w:rPr>
          <w:sz w:val="21"/>
        </w:rPr>
      </w:pPr>
      <w:r>
        <w:rPr>
          <w:w w:val="95"/>
          <w:sz w:val="21"/>
        </w:rPr>
        <w:t>机动车被依法注销登记的；</w:t>
      </w:r>
    </w:p>
    <w:p>
      <w:pPr>
        <w:pStyle w:val="ListParagraph"/>
        <w:numPr>
          <w:ilvl w:val="0"/>
          <w:numId w:val="15"/>
        </w:numPr>
        <w:tabs>
          <w:tab w:pos="839" w:val="left" w:leader="none"/>
          <w:tab w:pos="840" w:val="left" w:leader="none"/>
        </w:tabs>
        <w:spacing w:line="240" w:lineRule="auto" w:before="192" w:after="0"/>
        <w:ind w:left="840" w:right="0" w:hanging="720"/>
        <w:jc w:val="left"/>
        <w:rPr>
          <w:sz w:val="21"/>
        </w:rPr>
      </w:pPr>
      <w:r>
        <w:rPr>
          <w:w w:val="95"/>
          <w:sz w:val="21"/>
        </w:rPr>
        <w:t>未依法按时进行或通过机动车安全技术检验。</w:t>
      </w:r>
    </w:p>
    <w:p>
      <w:pPr>
        <w:pStyle w:val="BodyText"/>
        <w:spacing w:before="5"/>
        <w:rPr>
          <w:sz w:val="33"/>
        </w:rPr>
      </w:pPr>
    </w:p>
    <w:p>
      <w:pPr>
        <w:pStyle w:val="Heading2"/>
        <w:numPr>
          <w:ilvl w:val="1"/>
          <w:numId w:val="12"/>
        </w:numPr>
        <w:tabs>
          <w:tab w:pos="680" w:val="left" w:leader="none"/>
          <w:tab w:pos="681" w:val="left" w:leader="none"/>
        </w:tabs>
        <w:spacing w:line="240" w:lineRule="auto" w:before="0" w:after="0"/>
        <w:ind w:left="680" w:right="0" w:hanging="554"/>
        <w:jc w:val="left"/>
      </w:pPr>
      <w:bookmarkStart w:name="_TOC_250010" w:id="179"/>
      <w:bookmarkEnd w:id="179"/>
      <w:r>
        <w:rPr>
          <w:w w:val="95"/>
        </w:rPr>
        <w:t>感染艾滋病病毒或患艾滋病</w:t>
      </w:r>
    </w:p>
    <w:p>
      <w:pPr>
        <w:pStyle w:val="BodyText"/>
        <w:spacing w:before="12"/>
        <w:rPr>
          <w:rFonts w:ascii="Microsoft JhengHei UI"/>
          <w:b/>
          <w:sz w:val="27"/>
        </w:rPr>
      </w:pPr>
    </w:p>
    <w:p>
      <w:pPr>
        <w:pStyle w:val="BodyText"/>
        <w:spacing w:line="408" w:lineRule="auto"/>
        <w:ind w:left="120" w:right="119"/>
      </w:pPr>
      <w:r>
        <w:rPr>
          <w:spacing w:val="-3"/>
          <w:w w:val="99"/>
        </w:rPr>
        <w:t>艾滋病病毒指人类免疫缺陷病毒，英文缩写为</w:t>
      </w:r>
      <w:r>
        <w:rPr>
          <w:spacing w:val="-1"/>
          <w:w w:val="151"/>
        </w:rPr>
        <w:t>H</w:t>
      </w:r>
      <w:r>
        <w:rPr>
          <w:w w:val="70"/>
        </w:rPr>
        <w:t>I</w:t>
      </w:r>
      <w:r>
        <w:rPr>
          <w:spacing w:val="1"/>
          <w:w w:val="134"/>
        </w:rPr>
        <w:t>V</w:t>
      </w:r>
      <w:r>
        <w:rPr>
          <w:spacing w:val="-4"/>
          <w:w w:val="99"/>
        </w:rPr>
        <w:t>。艾滋病指人类免疫缺陷病毒引起的获得</w:t>
      </w:r>
      <w:r>
        <w:rPr>
          <w:spacing w:val="-1"/>
          <w:w w:val="99"/>
        </w:rPr>
        <w:t>性免疫缺陷综合症，英文缩写为</w:t>
      </w:r>
      <w:r>
        <w:rPr>
          <w:w w:val="134"/>
        </w:rPr>
        <w:t>A</w:t>
      </w:r>
      <w:r>
        <w:rPr>
          <w:w w:val="70"/>
        </w:rPr>
        <w:t>I</w:t>
      </w:r>
      <w:r>
        <w:rPr>
          <w:spacing w:val="-1"/>
          <w:w w:val="153"/>
        </w:rPr>
        <w:t>D</w:t>
      </w:r>
      <w:r>
        <w:rPr>
          <w:spacing w:val="2"/>
          <w:w w:val="95"/>
        </w:rPr>
        <w:t>S</w:t>
      </w:r>
      <w:r>
        <w:rPr>
          <w:w w:val="99"/>
        </w:rPr>
        <w:t>。</w:t>
      </w:r>
    </w:p>
    <w:p>
      <w:pPr>
        <w:pStyle w:val="BodyText"/>
        <w:spacing w:line="408" w:lineRule="auto" w:before="45"/>
        <w:ind w:left="120" w:right="117"/>
      </w:pPr>
      <w:r>
        <w:rPr>
          <w:w w:val="95"/>
        </w:rPr>
        <w:t>在人体血液或其他样本中检测到艾滋病病毒或其抗体呈阳性，没有出现临床症状或体征的</w:t>
      </w:r>
      <w:r>
        <w:rPr>
          <w:w w:val="85"/>
        </w:rPr>
        <w:t>，  </w:t>
      </w:r>
      <w:r>
        <w:rPr>
          <w:w w:val="95"/>
        </w:rPr>
        <w:t>为感染艾滋病病毒；如果同时出现了明显临床症状或体征的，为患艾滋病。</w:t>
      </w:r>
    </w:p>
    <w:p>
      <w:pPr>
        <w:pStyle w:val="BodyText"/>
        <w:spacing w:before="2"/>
        <w:rPr>
          <w:sz w:val="22"/>
        </w:rPr>
      </w:pPr>
    </w:p>
    <w:p>
      <w:pPr>
        <w:pStyle w:val="Heading2"/>
        <w:numPr>
          <w:ilvl w:val="1"/>
          <w:numId w:val="12"/>
        </w:numPr>
        <w:tabs>
          <w:tab w:pos="676" w:val="left" w:leader="none"/>
        </w:tabs>
        <w:spacing w:line="240" w:lineRule="auto" w:before="0" w:after="0"/>
        <w:ind w:left="675" w:right="0" w:hanging="549"/>
        <w:jc w:val="left"/>
      </w:pPr>
      <w:bookmarkStart w:name="_TOC_250009" w:id="180"/>
      <w:bookmarkEnd w:id="180"/>
      <w:r>
        <w:rPr>
          <w:w w:val="95"/>
        </w:rPr>
        <w:t>遗传性疾病</w:t>
      </w:r>
    </w:p>
    <w:p>
      <w:pPr>
        <w:pStyle w:val="BodyText"/>
        <w:spacing w:before="15"/>
        <w:rPr>
          <w:rFonts w:ascii="Microsoft JhengHei UI"/>
          <w:b/>
          <w:sz w:val="27"/>
        </w:rPr>
      </w:pPr>
    </w:p>
    <w:p>
      <w:pPr>
        <w:pStyle w:val="BodyText"/>
        <w:spacing w:line="408" w:lineRule="auto"/>
        <w:ind w:left="120" w:right="117"/>
      </w:pPr>
      <w:r>
        <w:rPr>
          <w:spacing w:val="-3"/>
          <w:w w:val="95"/>
        </w:rPr>
        <w:t>指生殖细胞或受精卵的遗传物质</w:t>
      </w:r>
      <w:r>
        <w:rPr>
          <w:w w:val="95"/>
        </w:rPr>
        <w:t>（染色体和基因</w:t>
      </w:r>
      <w:r>
        <w:rPr>
          <w:spacing w:val="-29"/>
          <w:w w:val="95"/>
        </w:rPr>
        <w:t>）</w:t>
      </w:r>
      <w:r>
        <w:rPr>
          <w:spacing w:val="-3"/>
          <w:w w:val="95"/>
        </w:rPr>
        <w:t>发生突变或畸变所引起的疾病，通常具有   由亲代传至后代的垂直传递的特征。</w:t>
      </w:r>
    </w:p>
    <w:p>
      <w:pPr>
        <w:pStyle w:val="BodyText"/>
        <w:rPr>
          <w:sz w:val="22"/>
        </w:rPr>
      </w:pPr>
    </w:p>
    <w:p>
      <w:pPr>
        <w:pStyle w:val="Heading2"/>
        <w:numPr>
          <w:ilvl w:val="1"/>
          <w:numId w:val="12"/>
        </w:numPr>
        <w:tabs>
          <w:tab w:pos="676" w:val="left" w:leader="none"/>
        </w:tabs>
        <w:spacing w:line="240" w:lineRule="auto" w:before="0" w:after="0"/>
        <w:ind w:left="675" w:right="0" w:hanging="549"/>
        <w:jc w:val="left"/>
      </w:pPr>
      <w:bookmarkStart w:name="_TOC_250008" w:id="181"/>
      <w:bookmarkEnd w:id="181"/>
      <w:r>
        <w:rPr>
          <w:w w:val="95"/>
        </w:rPr>
        <w:t>先天性畸形、变形或染色体异常</w:t>
      </w:r>
    </w:p>
    <w:p>
      <w:pPr>
        <w:pStyle w:val="BodyText"/>
        <w:spacing w:before="15"/>
        <w:rPr>
          <w:rFonts w:ascii="Microsoft JhengHei UI"/>
          <w:b/>
          <w:sz w:val="27"/>
        </w:rPr>
      </w:pPr>
    </w:p>
    <w:p>
      <w:pPr>
        <w:pStyle w:val="BodyText"/>
        <w:spacing w:line="408" w:lineRule="auto"/>
        <w:ind w:left="120" w:right="119"/>
      </w:pPr>
      <w:r>
        <w:rPr>
          <w:spacing w:val="-6"/>
          <w:w w:val="95"/>
        </w:rPr>
        <w:t>指被保险人出生时就具有的畸形、变形或染色体异常。先天性畸形、变形和染色体异常依照</w:t>
      </w:r>
      <w:r>
        <w:rPr>
          <w:w w:val="99"/>
        </w:rPr>
        <w:t>世界卫生组织《疾病和有关健康问题的国际统计分类》</w:t>
      </w:r>
      <w:r>
        <w:rPr>
          <w:spacing w:val="1"/>
          <w:w w:val="99"/>
        </w:rPr>
        <w:t>（</w:t>
      </w:r>
      <w:r>
        <w:rPr>
          <w:w w:val="70"/>
        </w:rPr>
        <w:t>I</w:t>
      </w:r>
      <w:r>
        <w:rPr>
          <w:spacing w:val="-1"/>
          <w:w w:val="126"/>
        </w:rPr>
        <w:t>C</w:t>
      </w:r>
      <w:r>
        <w:rPr>
          <w:spacing w:val="-1"/>
          <w:w w:val="153"/>
        </w:rPr>
        <w:t>D</w:t>
      </w:r>
      <w:r>
        <w:rPr>
          <w:spacing w:val="-1"/>
          <w:w w:val="62"/>
        </w:rPr>
        <w:t>-</w:t>
      </w:r>
      <w:r>
        <w:rPr>
          <w:w w:val="93"/>
        </w:rPr>
        <w:t>1</w:t>
      </w:r>
      <w:r>
        <w:rPr>
          <w:spacing w:val="1"/>
          <w:w w:val="93"/>
        </w:rPr>
        <w:t>0</w:t>
      </w:r>
      <w:r>
        <w:rPr>
          <w:spacing w:val="1"/>
          <w:w w:val="99"/>
        </w:rPr>
        <w:t>）</w:t>
      </w:r>
      <w:r>
        <w:rPr>
          <w:w w:val="99"/>
        </w:rPr>
        <w:t>确定。</w:t>
      </w:r>
    </w:p>
    <w:p>
      <w:pPr>
        <w:spacing w:after="0" w:line="408" w:lineRule="auto"/>
        <w:sectPr>
          <w:pgSz w:w="11910" w:h="16840"/>
          <w:pgMar w:header="0" w:footer="1268" w:top="1460" w:bottom="1460" w:left="1680" w:right="1680"/>
        </w:sectPr>
      </w:pPr>
    </w:p>
    <w:p>
      <w:pPr>
        <w:pStyle w:val="Heading2"/>
        <w:numPr>
          <w:ilvl w:val="1"/>
          <w:numId w:val="12"/>
        </w:numPr>
        <w:tabs>
          <w:tab w:pos="676" w:val="left" w:leader="none"/>
        </w:tabs>
        <w:spacing w:line="347" w:lineRule="exact" w:before="0" w:after="0"/>
        <w:ind w:left="675" w:right="0" w:hanging="549"/>
        <w:jc w:val="left"/>
      </w:pPr>
      <w:bookmarkStart w:name="_TOC_250007" w:id="182"/>
      <w:bookmarkStart w:name="12.12现金价值" w:id="183"/>
      <w:r>
        <w:rPr>
          <w:b w:val="0"/>
        </w:rPr>
      </w:r>
      <w:bookmarkStart w:name="12.13银行转账交费" w:id="184"/>
      <w:bookmarkEnd w:id="184"/>
      <w:r>
        <w:rPr>
          <w:b w:val="0"/>
        </w:rPr>
      </w:r>
      <w:bookmarkStart w:name="12.14本条款约定利率" w:id="185"/>
      <w:bookmarkEnd w:id="185"/>
      <w:r>
        <w:rPr>
          <w:b w:val="0"/>
        </w:rPr>
      </w:r>
      <w:bookmarkStart w:name="12.15专科医生" w:id="186"/>
      <w:bookmarkEnd w:id="186"/>
      <w:r>
        <w:rPr>
          <w:b w:val="0"/>
        </w:rPr>
      </w:r>
      <w:bookmarkStart w:name="12.16肌体机能完全丧失" w:id="187"/>
      <w:bookmarkEnd w:id="187"/>
      <w:r>
        <w:rPr>
          <w:b w:val="0"/>
        </w:rPr>
      </w:r>
      <w:bookmarkStart w:name="12.17语言能力或咀嚼吞咽能力完全丧失" w:id="188"/>
      <w:bookmarkEnd w:id="188"/>
      <w:r>
        <w:rPr>
          <w:b w:val="0"/>
        </w:rPr>
      </w:r>
      <w:bookmarkStart w:name="12.17语言能力或咀嚼吞咽能力完全丧失" w:id="189"/>
      <w:bookmarkEnd w:id="182"/>
      <w:r>
        <w:rPr>
          <w:w w:val="95"/>
        </w:rPr>
        <w:t>现金价值</w:t>
      </w:r>
    </w:p>
    <w:p>
      <w:pPr>
        <w:pStyle w:val="BodyText"/>
        <w:spacing w:before="13"/>
        <w:rPr>
          <w:rFonts w:ascii="Microsoft JhengHei UI"/>
          <w:b/>
          <w:sz w:val="27"/>
        </w:rPr>
      </w:pPr>
    </w:p>
    <w:p>
      <w:pPr>
        <w:pStyle w:val="BodyText"/>
        <w:spacing w:line="408" w:lineRule="auto"/>
        <w:ind w:left="120" w:right="117"/>
      </w:pPr>
      <w:r>
        <w:rPr>
          <w:spacing w:val="-6"/>
          <w:w w:val="95"/>
        </w:rPr>
        <w:t>指保险单所具有的价值，通常体现为解除合同时，根据精算原理计算的，由本公司退还的那   部分金额。</w:t>
      </w:r>
    </w:p>
    <w:p>
      <w:pPr>
        <w:pStyle w:val="BodyText"/>
        <w:rPr>
          <w:sz w:val="22"/>
        </w:rPr>
      </w:pPr>
    </w:p>
    <w:p>
      <w:pPr>
        <w:pStyle w:val="Heading2"/>
        <w:numPr>
          <w:ilvl w:val="1"/>
          <w:numId w:val="12"/>
        </w:numPr>
        <w:tabs>
          <w:tab w:pos="676" w:val="left" w:leader="none"/>
        </w:tabs>
        <w:spacing w:line="240" w:lineRule="auto" w:before="0" w:after="0"/>
        <w:ind w:left="675" w:right="0" w:hanging="549"/>
        <w:jc w:val="left"/>
      </w:pPr>
      <w:bookmarkStart w:name="_TOC_250006" w:id="190"/>
      <w:bookmarkEnd w:id="190"/>
      <w:r>
        <w:rPr>
          <w:w w:val="95"/>
        </w:rPr>
        <w:t>银行转账交费</w:t>
      </w:r>
    </w:p>
    <w:p>
      <w:pPr>
        <w:pStyle w:val="BodyText"/>
        <w:spacing w:before="15"/>
        <w:rPr>
          <w:rFonts w:ascii="Microsoft JhengHei UI"/>
          <w:b/>
          <w:sz w:val="27"/>
        </w:rPr>
      </w:pPr>
    </w:p>
    <w:p>
      <w:pPr>
        <w:pStyle w:val="BodyText"/>
        <w:spacing w:line="408" w:lineRule="auto"/>
        <w:ind w:left="120" w:right="117"/>
      </w:pPr>
      <w:r>
        <w:rPr>
          <w:w w:val="95"/>
        </w:rPr>
        <w:t>指投保人将保险费存入本公司指定银行的活期账户内，本公司通过银行转账将保险费划转</w:t>
      </w:r>
      <w:r>
        <w:rPr>
          <w:w w:val="85"/>
        </w:rPr>
        <w:t>，  </w:t>
      </w:r>
      <w:r>
        <w:rPr>
          <w:w w:val="95"/>
        </w:rPr>
        <w:t>继而完成投保人续交保险费的交纳。</w:t>
      </w:r>
    </w:p>
    <w:p>
      <w:pPr>
        <w:pStyle w:val="BodyText"/>
        <w:spacing w:before="2"/>
        <w:rPr>
          <w:sz w:val="22"/>
        </w:rPr>
      </w:pPr>
    </w:p>
    <w:p>
      <w:pPr>
        <w:pStyle w:val="Heading2"/>
        <w:numPr>
          <w:ilvl w:val="1"/>
          <w:numId w:val="12"/>
        </w:numPr>
        <w:tabs>
          <w:tab w:pos="676" w:val="left" w:leader="none"/>
        </w:tabs>
        <w:spacing w:line="240" w:lineRule="auto" w:before="1" w:after="0"/>
        <w:ind w:left="675" w:right="0" w:hanging="549"/>
        <w:jc w:val="left"/>
      </w:pPr>
      <w:bookmarkStart w:name="_TOC_250005" w:id="191"/>
      <w:bookmarkEnd w:id="191"/>
      <w:r>
        <w:rPr>
          <w:w w:val="95"/>
        </w:rPr>
        <w:t>本条款约定利率</w:t>
      </w:r>
    </w:p>
    <w:p>
      <w:pPr>
        <w:pStyle w:val="BodyText"/>
        <w:spacing w:before="13"/>
        <w:rPr>
          <w:rFonts w:ascii="Microsoft JhengHei UI"/>
          <w:b/>
          <w:sz w:val="27"/>
        </w:rPr>
      </w:pPr>
    </w:p>
    <w:p>
      <w:pPr>
        <w:pStyle w:val="BodyText"/>
        <w:spacing w:line="408" w:lineRule="auto"/>
        <w:ind w:left="120" w:right="120"/>
      </w:pPr>
      <w:r>
        <w:rPr>
          <w:w w:val="99"/>
        </w:rPr>
        <w:t>按“同期中国人民银行每月第一个营业日适用的人民币六个月期贷款利率与</w:t>
      </w:r>
      <w:r>
        <w:rPr>
          <w:w w:val="93"/>
        </w:rPr>
        <w:t>4</w:t>
      </w:r>
      <w:r>
        <w:rPr>
          <w:w w:val="43"/>
        </w:rPr>
        <w:t>.</w:t>
      </w:r>
      <w:r>
        <w:rPr>
          <w:w w:val="93"/>
        </w:rPr>
        <w:t>5</w:t>
      </w:r>
      <w:r>
        <w:rPr>
          <w:w w:val="163"/>
        </w:rPr>
        <w:t>%</w:t>
      </w:r>
      <w:r>
        <w:rPr>
          <w:w w:val="99"/>
        </w:rPr>
        <w:t>之较大者</w:t>
      </w:r>
      <w:r>
        <w:rPr>
          <w:w w:val="56"/>
        </w:rPr>
        <w:t>”</w:t>
      </w:r>
      <w:r>
        <w:rPr>
          <w:w w:val="95"/>
        </w:rPr>
        <w:t>计算。</w:t>
      </w:r>
    </w:p>
    <w:p>
      <w:pPr>
        <w:pStyle w:val="BodyText"/>
        <w:spacing w:before="2"/>
        <w:rPr>
          <w:sz w:val="22"/>
        </w:rPr>
      </w:pPr>
    </w:p>
    <w:p>
      <w:pPr>
        <w:pStyle w:val="Heading2"/>
        <w:numPr>
          <w:ilvl w:val="1"/>
          <w:numId w:val="12"/>
        </w:numPr>
        <w:tabs>
          <w:tab w:pos="676" w:val="left" w:leader="none"/>
        </w:tabs>
        <w:spacing w:line="240" w:lineRule="auto" w:before="0" w:after="0"/>
        <w:ind w:left="675" w:right="0" w:hanging="549"/>
        <w:jc w:val="left"/>
      </w:pPr>
      <w:bookmarkStart w:name="_TOC_250004" w:id="192"/>
      <w:bookmarkEnd w:id="192"/>
      <w:r>
        <w:rPr>
          <w:w w:val="95"/>
        </w:rPr>
        <w:t>专科医生</w:t>
      </w:r>
    </w:p>
    <w:p>
      <w:pPr>
        <w:pStyle w:val="BodyText"/>
        <w:spacing w:before="15"/>
        <w:rPr>
          <w:rFonts w:ascii="Microsoft JhengHei UI"/>
          <w:b/>
          <w:sz w:val="27"/>
        </w:rPr>
      </w:pPr>
    </w:p>
    <w:p>
      <w:pPr>
        <w:pStyle w:val="BodyText"/>
        <w:ind w:left="120"/>
      </w:pPr>
      <w:r>
        <w:rPr>
          <w:spacing w:val="-1"/>
          <w:w w:val="99"/>
        </w:rPr>
        <w:t>专科医生应当同时满足以下四项资格条件</w:t>
      </w:r>
      <w:r>
        <w:rPr>
          <w:spacing w:val="-202"/>
          <w:w w:val="99"/>
        </w:rPr>
        <w:t>：</w:t>
      </w:r>
      <w:r>
        <w:rPr>
          <w:w w:val="99"/>
        </w:rPr>
        <w:t>（</w:t>
      </w:r>
      <w:r>
        <w:rPr>
          <w:w w:val="93"/>
        </w:rPr>
        <w:t>1</w:t>
      </w:r>
      <w:r>
        <w:rPr>
          <w:spacing w:val="-96"/>
          <w:w w:val="99"/>
        </w:rPr>
        <w:t>）</w:t>
      </w:r>
      <w:r>
        <w:rPr>
          <w:spacing w:val="-14"/>
          <w:w w:val="99"/>
        </w:rPr>
        <w:t>具有有效的中华人民共和国《医师资格证书》</w:t>
      </w:r>
      <w:r>
        <w:rPr>
          <w:w w:val="49"/>
        </w:rPr>
        <w:t>；</w:t>
      </w:r>
    </w:p>
    <w:p>
      <w:pPr>
        <w:pStyle w:val="BodyText"/>
        <w:spacing w:line="408" w:lineRule="auto" w:before="193"/>
        <w:ind w:left="120" w:right="115"/>
        <w:jc w:val="both"/>
      </w:pPr>
      <w:r>
        <w:rPr>
          <w:w w:val="99"/>
        </w:rPr>
        <w:t>（</w:t>
      </w:r>
      <w:r>
        <w:rPr>
          <w:w w:val="93"/>
        </w:rPr>
        <w:t>2</w:t>
      </w:r>
      <w:r>
        <w:rPr>
          <w:spacing w:val="-15"/>
          <w:w w:val="99"/>
        </w:rPr>
        <w:t>）</w:t>
      </w:r>
      <w:r>
        <w:rPr>
          <w:spacing w:val="-9"/>
          <w:w w:val="99"/>
        </w:rPr>
        <w:t>具有有效的中华人民共和国《医师执业证书》，并按期到相关部门登记注册</w:t>
      </w:r>
      <w:r>
        <w:rPr>
          <w:spacing w:val="-120"/>
          <w:w w:val="99"/>
        </w:rPr>
        <w:t>；</w:t>
      </w:r>
      <w:r>
        <w:rPr>
          <w:spacing w:val="1"/>
          <w:w w:val="99"/>
        </w:rPr>
        <w:t>（</w:t>
      </w:r>
      <w:r>
        <w:rPr>
          <w:w w:val="93"/>
        </w:rPr>
        <w:t>3</w:t>
      </w:r>
      <w:r>
        <w:rPr>
          <w:spacing w:val="-17"/>
          <w:w w:val="99"/>
        </w:rPr>
        <w:t>）</w:t>
      </w:r>
      <w:r>
        <w:rPr>
          <w:w w:val="99"/>
        </w:rPr>
        <w:t>具有</w:t>
      </w:r>
      <w:r>
        <w:rPr>
          <w:spacing w:val="-8"/>
          <w:w w:val="99"/>
        </w:rPr>
        <w:t>有效的中华人民共和国主治医师或主治医师以上职称的《医师职称证书》；</w:t>
      </w:r>
      <w:r>
        <w:rPr>
          <w:spacing w:val="1"/>
          <w:w w:val="99"/>
        </w:rPr>
        <w:t>（</w:t>
      </w:r>
      <w:r>
        <w:rPr>
          <w:w w:val="93"/>
        </w:rPr>
        <w:t>4</w:t>
      </w:r>
      <w:r>
        <w:rPr>
          <w:spacing w:val="1"/>
          <w:w w:val="99"/>
        </w:rPr>
        <w:t>）</w:t>
      </w:r>
      <w:r>
        <w:rPr>
          <w:w w:val="99"/>
        </w:rPr>
        <w:t>在二级或二</w:t>
      </w:r>
      <w:r>
        <w:rPr>
          <w:w w:val="95"/>
        </w:rPr>
        <w:t>级以上医院的相应科室从事临床工作三年以上。</w:t>
      </w:r>
    </w:p>
    <w:p>
      <w:pPr>
        <w:pStyle w:val="BodyText"/>
        <w:rPr>
          <w:sz w:val="26"/>
        </w:rPr>
      </w:pPr>
    </w:p>
    <w:p>
      <w:pPr>
        <w:pStyle w:val="BodyText"/>
        <w:spacing w:before="10"/>
        <w:rPr>
          <w:sz w:val="31"/>
        </w:rPr>
      </w:pPr>
    </w:p>
    <w:p>
      <w:pPr>
        <w:pStyle w:val="Heading2"/>
        <w:numPr>
          <w:ilvl w:val="1"/>
          <w:numId w:val="12"/>
        </w:numPr>
        <w:tabs>
          <w:tab w:pos="676" w:val="left" w:leader="none"/>
        </w:tabs>
        <w:spacing w:line="240" w:lineRule="auto" w:before="0" w:after="0"/>
        <w:ind w:left="675" w:right="0" w:hanging="549"/>
        <w:jc w:val="left"/>
      </w:pPr>
      <w:bookmarkStart w:name="_TOC_250003" w:id="193"/>
      <w:bookmarkEnd w:id="193"/>
      <w:r>
        <w:rPr>
          <w:w w:val="95"/>
        </w:rPr>
        <w:t>肌体机能完全丧失</w:t>
      </w:r>
    </w:p>
    <w:p>
      <w:pPr>
        <w:pStyle w:val="BodyText"/>
        <w:spacing w:before="15"/>
        <w:rPr>
          <w:rFonts w:ascii="Microsoft JhengHei UI"/>
          <w:b/>
          <w:sz w:val="27"/>
        </w:rPr>
      </w:pPr>
    </w:p>
    <w:p>
      <w:pPr>
        <w:pStyle w:val="BodyText"/>
        <w:spacing w:line="408" w:lineRule="auto"/>
        <w:ind w:left="120" w:right="117"/>
      </w:pPr>
      <w:r>
        <w:rPr>
          <w:spacing w:val="-5"/>
          <w:w w:val="95"/>
        </w:rPr>
        <w:t>指肢体的三大关节中的两大关节僵硬，或不能随意识活动。肢体是指包括肩关节的整个上肢   或包括髋关节的整个下肢。</w:t>
      </w:r>
    </w:p>
    <w:p>
      <w:pPr>
        <w:pStyle w:val="BodyText"/>
        <w:spacing w:before="3"/>
        <w:rPr>
          <w:sz w:val="22"/>
        </w:rPr>
      </w:pPr>
    </w:p>
    <w:p>
      <w:pPr>
        <w:pStyle w:val="Heading2"/>
        <w:numPr>
          <w:ilvl w:val="1"/>
          <w:numId w:val="12"/>
        </w:numPr>
        <w:tabs>
          <w:tab w:pos="676" w:val="left" w:leader="none"/>
        </w:tabs>
        <w:spacing w:line="240" w:lineRule="auto" w:before="0" w:after="0"/>
        <w:ind w:left="675" w:right="0" w:hanging="549"/>
        <w:jc w:val="left"/>
      </w:pPr>
      <w:bookmarkStart w:name="_TOC_250002" w:id="194"/>
      <w:bookmarkEnd w:id="194"/>
      <w:r>
        <w:rPr>
          <w:w w:val="95"/>
        </w:rPr>
        <w:t>语言能力或咀嚼吞咽能力完全丧失</w:t>
      </w:r>
    </w:p>
    <w:p>
      <w:pPr>
        <w:pStyle w:val="BodyText"/>
        <w:spacing w:before="13"/>
        <w:rPr>
          <w:rFonts w:ascii="Microsoft JhengHei UI"/>
          <w:b/>
          <w:sz w:val="27"/>
        </w:rPr>
      </w:pPr>
    </w:p>
    <w:p>
      <w:pPr>
        <w:pStyle w:val="BodyText"/>
        <w:spacing w:line="408" w:lineRule="auto"/>
        <w:ind w:left="120" w:right="121"/>
      </w:pPr>
      <w:r>
        <w:rPr>
          <w:spacing w:val="-3"/>
          <w:w w:val="95"/>
        </w:rPr>
        <w:t>语言能力完全丧失，指无法发出四种声音</w:t>
      </w:r>
      <w:r>
        <w:rPr>
          <w:w w:val="95"/>
        </w:rPr>
        <w:t>（</w:t>
      </w:r>
      <w:r>
        <w:rPr>
          <w:spacing w:val="-6"/>
          <w:w w:val="95"/>
        </w:rPr>
        <w:t>包括口唇音、齿舌音、口盖音和喉头音</w:t>
      </w:r>
      <w:r>
        <w:rPr>
          <w:spacing w:val="-20"/>
          <w:w w:val="95"/>
        </w:rPr>
        <w:t>）</w:t>
      </w:r>
      <w:r>
        <w:rPr>
          <w:w w:val="95"/>
        </w:rPr>
        <w:t>中的任   何三种、或声带全部切除，或因大脑语言中枢受伤害而患失语症。</w:t>
      </w:r>
    </w:p>
    <w:p>
      <w:pPr>
        <w:pStyle w:val="BodyText"/>
        <w:spacing w:before="46"/>
        <w:ind w:left="120"/>
      </w:pPr>
      <w:r>
        <w:rPr>
          <w:w w:val="95"/>
        </w:rPr>
        <w:t>咀嚼吞咽能力完全丧失，指因牙齿以外的原因导致器质障碍或机能障碍，以致不能作咀嚼吞</w:t>
      </w:r>
    </w:p>
    <w:p>
      <w:pPr>
        <w:spacing w:after="0"/>
        <w:sectPr>
          <w:pgSz w:w="11910" w:h="16840"/>
          <w:pgMar w:header="0" w:footer="1268" w:top="1460" w:bottom="1460" w:left="1680" w:right="1680"/>
        </w:sectPr>
      </w:pPr>
    </w:p>
    <w:p>
      <w:pPr>
        <w:pStyle w:val="BodyText"/>
        <w:spacing w:before="32"/>
        <w:ind w:left="120"/>
      </w:pPr>
      <w:bookmarkStart w:name="12.18六项基本日常生活活动" w:id="195"/>
      <w:bookmarkEnd w:id="195"/>
      <w:r>
        <w:rPr/>
      </w:r>
      <w:bookmarkStart w:name="12.19永久不可逆" w:id="196"/>
      <w:bookmarkEnd w:id="196"/>
      <w:r>
        <w:rPr/>
      </w:r>
      <w:r>
        <w:rPr>
          <w:w w:val="95"/>
        </w:rPr>
        <w:t>咽动作，除流质食物外不能摄取或吞咽的状态。</w:t>
      </w:r>
    </w:p>
    <w:p>
      <w:pPr>
        <w:pStyle w:val="BodyText"/>
        <w:spacing w:before="6"/>
        <w:rPr>
          <w:sz w:val="33"/>
        </w:rPr>
      </w:pPr>
    </w:p>
    <w:p>
      <w:pPr>
        <w:pStyle w:val="Heading2"/>
        <w:numPr>
          <w:ilvl w:val="1"/>
          <w:numId w:val="12"/>
        </w:numPr>
        <w:tabs>
          <w:tab w:pos="676" w:val="left" w:leader="none"/>
        </w:tabs>
        <w:spacing w:line="240" w:lineRule="auto" w:before="0" w:after="0"/>
        <w:ind w:left="675" w:right="0" w:hanging="549"/>
        <w:jc w:val="left"/>
      </w:pPr>
      <w:bookmarkStart w:name="_TOC_250001" w:id="197"/>
      <w:bookmarkEnd w:id="197"/>
      <w:r>
        <w:rPr>
          <w:w w:val="95"/>
        </w:rPr>
        <w:t>六项基本日常生活活动</w:t>
      </w:r>
    </w:p>
    <w:p>
      <w:pPr>
        <w:pStyle w:val="BodyText"/>
        <w:spacing w:before="13"/>
        <w:rPr>
          <w:rFonts w:ascii="Microsoft JhengHei UI"/>
          <w:b/>
          <w:sz w:val="27"/>
        </w:rPr>
      </w:pPr>
    </w:p>
    <w:p>
      <w:pPr>
        <w:pStyle w:val="BodyText"/>
        <w:spacing w:line="408" w:lineRule="auto"/>
        <w:ind w:left="120" w:right="115"/>
        <w:jc w:val="both"/>
      </w:pPr>
      <w:r>
        <w:rPr>
          <w:spacing w:val="-1"/>
          <w:w w:val="99"/>
        </w:rPr>
        <w:t>六项基本日常生活活动是指</w:t>
      </w:r>
      <w:r>
        <w:rPr>
          <w:spacing w:val="-116"/>
          <w:w w:val="99"/>
        </w:rPr>
        <w:t>：</w:t>
      </w:r>
      <w:r>
        <w:rPr>
          <w:w w:val="99"/>
        </w:rPr>
        <w:t>（</w:t>
      </w:r>
      <w:r>
        <w:rPr>
          <w:w w:val="93"/>
        </w:rPr>
        <w:t>1</w:t>
      </w:r>
      <w:r>
        <w:rPr>
          <w:spacing w:val="-12"/>
          <w:w w:val="99"/>
        </w:rPr>
        <w:t>）</w:t>
      </w:r>
      <w:r>
        <w:rPr>
          <w:spacing w:val="-3"/>
          <w:w w:val="99"/>
        </w:rPr>
        <w:t>穿衣：自己能够穿衣及脱衣</w:t>
      </w:r>
      <w:r>
        <w:rPr>
          <w:spacing w:val="-118"/>
          <w:w w:val="99"/>
        </w:rPr>
        <w:t>；</w:t>
      </w:r>
      <w:r>
        <w:rPr>
          <w:spacing w:val="1"/>
          <w:w w:val="99"/>
        </w:rPr>
        <w:t>（</w:t>
      </w:r>
      <w:r>
        <w:rPr>
          <w:w w:val="93"/>
        </w:rPr>
        <w:t>2</w:t>
      </w:r>
      <w:r>
        <w:rPr>
          <w:spacing w:val="-15"/>
          <w:w w:val="99"/>
        </w:rPr>
        <w:t>）</w:t>
      </w:r>
      <w:r>
        <w:rPr>
          <w:spacing w:val="-3"/>
          <w:w w:val="99"/>
        </w:rPr>
        <w:t>移动：自己从一个房间</w:t>
      </w:r>
      <w:r>
        <w:rPr>
          <w:spacing w:val="-16"/>
          <w:w w:val="99"/>
        </w:rPr>
        <w:t>到另一个房间；</w:t>
      </w:r>
      <w:r>
        <w:rPr>
          <w:w w:val="99"/>
        </w:rPr>
        <w:t>（</w:t>
      </w:r>
      <w:r>
        <w:rPr>
          <w:w w:val="93"/>
        </w:rPr>
        <w:t>3</w:t>
      </w:r>
      <w:r>
        <w:rPr>
          <w:spacing w:val="1"/>
          <w:w w:val="99"/>
        </w:rPr>
        <w:t>）</w:t>
      </w:r>
      <w:r>
        <w:rPr>
          <w:spacing w:val="-8"/>
          <w:w w:val="99"/>
        </w:rPr>
        <w:t>行动：自己上下床或上下轮椅；</w:t>
      </w:r>
      <w:r>
        <w:rPr>
          <w:spacing w:val="1"/>
          <w:w w:val="99"/>
        </w:rPr>
        <w:t>（</w:t>
      </w:r>
      <w:r>
        <w:rPr>
          <w:w w:val="93"/>
        </w:rPr>
        <w:t>4</w:t>
      </w:r>
      <w:r>
        <w:rPr>
          <w:spacing w:val="1"/>
          <w:w w:val="99"/>
        </w:rPr>
        <w:t>）</w:t>
      </w:r>
      <w:r>
        <w:rPr>
          <w:spacing w:val="-9"/>
          <w:w w:val="99"/>
        </w:rPr>
        <w:t>如厕：自己控制进行大小便；</w:t>
      </w:r>
      <w:r>
        <w:rPr>
          <w:spacing w:val="1"/>
          <w:w w:val="99"/>
        </w:rPr>
        <w:t>（</w:t>
      </w:r>
      <w:r>
        <w:rPr>
          <w:w w:val="93"/>
        </w:rPr>
        <w:t>5</w:t>
      </w:r>
      <w:r>
        <w:rPr>
          <w:w w:val="63"/>
        </w:rPr>
        <w:t>）</w:t>
      </w:r>
      <w:r>
        <w:rPr>
          <w:spacing w:val="-6"/>
          <w:w w:val="99"/>
        </w:rPr>
        <w:t>进食：自己从已准备好的碗或碟中取食物放入口中；</w:t>
      </w:r>
      <w:r>
        <w:rPr>
          <w:w w:val="99"/>
        </w:rPr>
        <w:t>（</w:t>
      </w:r>
      <w:r>
        <w:rPr>
          <w:w w:val="93"/>
        </w:rPr>
        <w:t>6</w:t>
      </w:r>
      <w:r>
        <w:rPr>
          <w:spacing w:val="1"/>
          <w:w w:val="99"/>
        </w:rPr>
        <w:t>）</w:t>
      </w:r>
      <w:r>
        <w:rPr>
          <w:w w:val="99"/>
        </w:rPr>
        <w:t>洗澡：自己进行淋浴或盆浴。</w:t>
      </w:r>
    </w:p>
    <w:p>
      <w:pPr>
        <w:pStyle w:val="BodyText"/>
        <w:spacing w:before="3"/>
        <w:rPr>
          <w:sz w:val="22"/>
        </w:rPr>
      </w:pPr>
    </w:p>
    <w:p>
      <w:pPr>
        <w:pStyle w:val="Heading2"/>
        <w:numPr>
          <w:ilvl w:val="1"/>
          <w:numId w:val="12"/>
        </w:numPr>
        <w:tabs>
          <w:tab w:pos="676" w:val="left" w:leader="none"/>
        </w:tabs>
        <w:spacing w:line="240" w:lineRule="auto" w:before="0" w:after="0"/>
        <w:ind w:left="675" w:right="0" w:hanging="549"/>
        <w:jc w:val="left"/>
      </w:pPr>
      <w:bookmarkStart w:name="_TOC_250000" w:id="198"/>
      <w:bookmarkEnd w:id="198"/>
      <w:r>
        <w:rPr>
          <w:w w:val="95"/>
        </w:rPr>
        <w:t>永久不可逆</w:t>
      </w:r>
    </w:p>
    <w:p>
      <w:pPr>
        <w:pStyle w:val="BodyText"/>
        <w:spacing w:before="15"/>
        <w:rPr>
          <w:rFonts w:ascii="Microsoft JhengHei UI"/>
          <w:b/>
          <w:sz w:val="27"/>
        </w:rPr>
      </w:pPr>
    </w:p>
    <w:p>
      <w:pPr>
        <w:pStyle w:val="BodyText"/>
        <w:spacing w:line="408" w:lineRule="auto"/>
        <w:ind w:left="120" w:right="115"/>
      </w:pPr>
      <w:r>
        <w:rPr>
          <w:spacing w:val="-5"/>
        </w:rPr>
        <w:t>指自疾病确诊或意外伤害发生之日起，经过积极治疗 </w:t>
      </w:r>
      <w:r>
        <w:rPr/>
        <w:t>180</w:t>
      </w:r>
      <w:r>
        <w:rPr>
          <w:spacing w:val="-11"/>
        </w:rPr>
        <w:t> 天后，仍无法通过现有医疗手段恢</w:t>
      </w:r>
      <w:r>
        <w:rPr>
          <w:spacing w:val="-11"/>
          <w:w w:val="95"/>
        </w:rPr>
        <w:t>复。</w:t>
      </w:r>
    </w:p>
    <w:sectPr>
      <w:pgSz w:w="11910" w:h="16840"/>
      <w:pgMar w:header="0" w:footer="1268" w:top="1440" w:bottom="14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 w:name="Microsoft JhengHei UI">
    <w:altName w:val="Microsoft JhengHei UI"/>
    <w:charset w:val="0"/>
    <w:family w:val="swiss"/>
    <w:pitch w:val="variable"/>
  </w:font>
  <w:font w:name="宋体">
    <w:altName w:val="宋体"/>
    <w:charset w:val="86"/>
    <w:family w:val="auto"/>
    <w:pitch w:val="variable"/>
  </w:font>
  <w:font w:name="Trebuchet MS">
    <w:altName w:val="Trebuchet MS"/>
    <w:charset w:val="0"/>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9.76001pt;margin-top:768.220032pt;width:6.5pt;height:12pt;mso-position-horizontal-relative:page;mso-position-vertical-relative:page;z-index:-28672" type="#_x0000_t202" filled="false" stroked="false">
          <v:textbox inset="0,0,0,0">
            <w:txbxContent>
              <w:p>
                <w:pPr>
                  <w:spacing w:before="12"/>
                  <w:ind w:left="20" w:right="0" w:firstLine="0"/>
                  <w:jc w:val="left"/>
                  <w:rPr>
                    <w:rFonts w:ascii="Times New Roman"/>
                    <w:sz w:val="18"/>
                  </w:rPr>
                </w:pPr>
                <w:r>
                  <w:rPr>
                    <w:rFonts w:ascii="Times New Roman"/>
                    <w:sz w:val="18"/>
                  </w:rPr>
                  <w:t>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767.90564pt;width:155pt;height:11pt;mso-position-horizontal-relative:page;mso-position-vertical-relative:page;z-index:-28624" type="#_x0000_t202" filled="false" stroked="false">
          <v:textbox inset="0,0,0,0">
            <w:txbxContent>
              <w:p>
                <w:pPr>
                  <w:spacing w:line="200" w:lineRule="exact" w:before="0"/>
                  <w:ind w:left="20" w:right="0" w:firstLine="0"/>
                  <w:jc w:val="left"/>
                  <w:rPr>
                    <w:sz w:val="18"/>
                  </w:rPr>
                </w:pPr>
                <w:r>
                  <w:rPr>
                    <w:sz w:val="18"/>
                  </w:rPr>
                  <w:t>中新大东方附加重大疾病保险合同条款</w:t>
                </w:r>
              </w:p>
            </w:txbxContent>
          </v:textbox>
          <w10:wrap type="none"/>
        </v:shape>
      </w:pict>
    </w:r>
    <w:r>
      <w:rPr/>
      <w:pict>
        <v:shape style="position:absolute;margin-left:494.320007pt;margin-top:767.5pt;width:8.5pt;height:12pt;mso-position-horizontal-relative:page;mso-position-vertical-relative:page;z-index:-286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767.90564pt;width:155pt;height:11pt;mso-position-horizontal-relative:page;mso-position-vertical-relative:page;z-index:-28576" type="#_x0000_t202" filled="false" stroked="false">
          <v:textbox inset="0,0,0,0">
            <w:txbxContent>
              <w:p>
                <w:pPr>
                  <w:spacing w:line="200" w:lineRule="exact" w:before="0"/>
                  <w:ind w:left="20" w:right="0" w:firstLine="0"/>
                  <w:jc w:val="left"/>
                  <w:rPr>
                    <w:sz w:val="18"/>
                  </w:rPr>
                </w:pPr>
                <w:r>
                  <w:rPr>
                    <w:sz w:val="18"/>
                  </w:rPr>
                  <w:t>中新大东方附加重大疾病保险合同条款</w:t>
                </w:r>
              </w:p>
            </w:txbxContent>
          </v:textbox>
          <w10:wrap type="none"/>
        </v:shape>
      </w:pict>
    </w:r>
    <w:r>
      <w:rPr/>
      <w:pict>
        <v:shape style="position:absolute;margin-left:494.320007pt;margin-top:767.5pt;width:13.1pt;height:12pt;mso-position-horizontal-relative:page;mso-position-vertical-relative:page;z-index:-285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767.90564pt;width:155pt;height:11pt;mso-position-horizontal-relative:page;mso-position-vertical-relative:page;z-index:-28528" type="#_x0000_t202" filled="false" stroked="false">
          <v:textbox inset="0,0,0,0">
            <w:txbxContent>
              <w:p>
                <w:pPr>
                  <w:spacing w:line="200" w:lineRule="exact" w:before="0"/>
                  <w:ind w:left="20" w:right="0" w:firstLine="0"/>
                  <w:jc w:val="left"/>
                  <w:rPr>
                    <w:sz w:val="18"/>
                  </w:rPr>
                </w:pPr>
                <w:r>
                  <w:rPr>
                    <w:sz w:val="18"/>
                  </w:rPr>
                  <w:t>中新大东方附加重大疾病保险合同条款</w:t>
                </w:r>
              </w:p>
            </w:txbxContent>
          </v:textbox>
          <w10:wrap type="none"/>
        </v:shape>
      </w:pict>
    </w:r>
    <w:r>
      <w:rPr/>
      <w:pict>
        <v:shape style="position:absolute;margin-left:494.320007pt;margin-top:767.5pt;width:13.1pt;height:12pt;mso-position-horizontal-relative:page;mso-position-vertical-relative:page;z-index:-285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767.90564pt;width:155pt;height:11pt;mso-position-horizontal-relative:page;mso-position-vertical-relative:page;z-index:-28480" type="#_x0000_t202" filled="false" stroked="false">
          <v:textbox inset="0,0,0,0">
            <w:txbxContent>
              <w:p>
                <w:pPr>
                  <w:spacing w:line="200" w:lineRule="exact" w:before="0"/>
                  <w:ind w:left="20" w:right="0" w:firstLine="0"/>
                  <w:jc w:val="left"/>
                  <w:rPr>
                    <w:sz w:val="18"/>
                  </w:rPr>
                </w:pPr>
                <w:r>
                  <w:rPr>
                    <w:sz w:val="18"/>
                  </w:rPr>
                  <w:t>中新大东方附加重大疾病保险合同条款</w:t>
                </w:r>
              </w:p>
            </w:txbxContent>
          </v:textbox>
          <w10:wrap type="none"/>
        </v:shape>
      </w:pict>
    </w:r>
    <w:r>
      <w:rPr/>
      <w:pict>
        <v:shape style="position:absolute;margin-left:494.320007pt;margin-top:767.5pt;width:13.1pt;height:12pt;mso-position-horizontal-relative:page;mso-position-vertical-relative:page;z-index:-284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840" w:hanging="720"/>
        <w:jc w:val="left"/>
      </w:pPr>
      <w:rPr>
        <w:rFonts w:hint="default" w:ascii="宋体" w:hAnsi="宋体" w:eastAsia="宋体" w:cs="宋体"/>
        <w:w w:val="93"/>
        <w:sz w:val="21"/>
        <w:szCs w:val="21"/>
      </w:rPr>
    </w:lvl>
    <w:lvl w:ilvl="1">
      <w:start w:val="0"/>
      <w:numFmt w:val="bullet"/>
      <w:lvlText w:val="•"/>
      <w:lvlJc w:val="left"/>
      <w:pPr>
        <w:ind w:left="1610" w:hanging="720"/>
      </w:pPr>
      <w:rPr>
        <w:rFonts w:hint="default"/>
      </w:rPr>
    </w:lvl>
    <w:lvl w:ilvl="2">
      <w:start w:val="0"/>
      <w:numFmt w:val="bullet"/>
      <w:lvlText w:val="•"/>
      <w:lvlJc w:val="left"/>
      <w:pPr>
        <w:ind w:left="2381" w:hanging="720"/>
      </w:pPr>
      <w:rPr>
        <w:rFonts w:hint="default"/>
      </w:rPr>
    </w:lvl>
    <w:lvl w:ilvl="3">
      <w:start w:val="0"/>
      <w:numFmt w:val="bullet"/>
      <w:lvlText w:val="•"/>
      <w:lvlJc w:val="left"/>
      <w:pPr>
        <w:ind w:left="3151" w:hanging="720"/>
      </w:pPr>
      <w:rPr>
        <w:rFonts w:hint="default"/>
      </w:rPr>
    </w:lvl>
    <w:lvl w:ilvl="4">
      <w:start w:val="0"/>
      <w:numFmt w:val="bullet"/>
      <w:lvlText w:val="•"/>
      <w:lvlJc w:val="left"/>
      <w:pPr>
        <w:ind w:left="3922" w:hanging="720"/>
      </w:pPr>
      <w:rPr>
        <w:rFonts w:hint="default"/>
      </w:rPr>
    </w:lvl>
    <w:lvl w:ilvl="5">
      <w:start w:val="0"/>
      <w:numFmt w:val="bullet"/>
      <w:lvlText w:val="•"/>
      <w:lvlJc w:val="left"/>
      <w:pPr>
        <w:ind w:left="4693" w:hanging="720"/>
      </w:pPr>
      <w:rPr>
        <w:rFonts w:hint="default"/>
      </w:rPr>
    </w:lvl>
    <w:lvl w:ilvl="6">
      <w:start w:val="0"/>
      <w:numFmt w:val="bullet"/>
      <w:lvlText w:val="•"/>
      <w:lvlJc w:val="left"/>
      <w:pPr>
        <w:ind w:left="5463" w:hanging="720"/>
      </w:pPr>
      <w:rPr>
        <w:rFonts w:hint="default"/>
      </w:rPr>
    </w:lvl>
    <w:lvl w:ilvl="7">
      <w:start w:val="0"/>
      <w:numFmt w:val="bullet"/>
      <w:lvlText w:val="•"/>
      <w:lvlJc w:val="left"/>
      <w:pPr>
        <w:ind w:left="6234" w:hanging="720"/>
      </w:pPr>
      <w:rPr>
        <w:rFonts w:hint="default"/>
      </w:rPr>
    </w:lvl>
    <w:lvl w:ilvl="8">
      <w:start w:val="0"/>
      <w:numFmt w:val="bullet"/>
      <w:lvlText w:val="•"/>
      <w:lvlJc w:val="left"/>
      <w:pPr>
        <w:ind w:left="7004" w:hanging="720"/>
      </w:pPr>
      <w:rPr>
        <w:rFonts w:hint="default"/>
      </w:rPr>
    </w:lvl>
  </w:abstractNum>
  <w:abstractNum w:abstractNumId="13">
    <w:multiLevelType w:val="hybridMultilevel"/>
    <w:lvl w:ilvl="0">
      <w:start w:val="1"/>
      <w:numFmt w:val="decimal"/>
      <w:lvlText w:val="（%1）"/>
      <w:lvlJc w:val="left"/>
      <w:pPr>
        <w:ind w:left="840" w:hanging="720"/>
        <w:jc w:val="left"/>
      </w:pPr>
      <w:rPr>
        <w:rFonts w:hint="default" w:ascii="宋体" w:hAnsi="宋体" w:eastAsia="宋体" w:cs="宋体"/>
        <w:w w:val="93"/>
        <w:sz w:val="21"/>
        <w:szCs w:val="21"/>
      </w:rPr>
    </w:lvl>
    <w:lvl w:ilvl="1">
      <w:start w:val="0"/>
      <w:numFmt w:val="bullet"/>
      <w:lvlText w:val="•"/>
      <w:lvlJc w:val="left"/>
      <w:pPr>
        <w:ind w:left="1610" w:hanging="720"/>
      </w:pPr>
      <w:rPr>
        <w:rFonts w:hint="default"/>
      </w:rPr>
    </w:lvl>
    <w:lvl w:ilvl="2">
      <w:start w:val="0"/>
      <w:numFmt w:val="bullet"/>
      <w:lvlText w:val="•"/>
      <w:lvlJc w:val="left"/>
      <w:pPr>
        <w:ind w:left="2381" w:hanging="720"/>
      </w:pPr>
      <w:rPr>
        <w:rFonts w:hint="default"/>
      </w:rPr>
    </w:lvl>
    <w:lvl w:ilvl="3">
      <w:start w:val="0"/>
      <w:numFmt w:val="bullet"/>
      <w:lvlText w:val="•"/>
      <w:lvlJc w:val="left"/>
      <w:pPr>
        <w:ind w:left="3151" w:hanging="720"/>
      </w:pPr>
      <w:rPr>
        <w:rFonts w:hint="default"/>
      </w:rPr>
    </w:lvl>
    <w:lvl w:ilvl="4">
      <w:start w:val="0"/>
      <w:numFmt w:val="bullet"/>
      <w:lvlText w:val="•"/>
      <w:lvlJc w:val="left"/>
      <w:pPr>
        <w:ind w:left="3922" w:hanging="720"/>
      </w:pPr>
      <w:rPr>
        <w:rFonts w:hint="default"/>
      </w:rPr>
    </w:lvl>
    <w:lvl w:ilvl="5">
      <w:start w:val="0"/>
      <w:numFmt w:val="bullet"/>
      <w:lvlText w:val="•"/>
      <w:lvlJc w:val="left"/>
      <w:pPr>
        <w:ind w:left="4693" w:hanging="720"/>
      </w:pPr>
      <w:rPr>
        <w:rFonts w:hint="default"/>
      </w:rPr>
    </w:lvl>
    <w:lvl w:ilvl="6">
      <w:start w:val="0"/>
      <w:numFmt w:val="bullet"/>
      <w:lvlText w:val="•"/>
      <w:lvlJc w:val="left"/>
      <w:pPr>
        <w:ind w:left="5463" w:hanging="720"/>
      </w:pPr>
      <w:rPr>
        <w:rFonts w:hint="default"/>
      </w:rPr>
    </w:lvl>
    <w:lvl w:ilvl="7">
      <w:start w:val="0"/>
      <w:numFmt w:val="bullet"/>
      <w:lvlText w:val="•"/>
      <w:lvlJc w:val="left"/>
      <w:pPr>
        <w:ind w:left="6234" w:hanging="720"/>
      </w:pPr>
      <w:rPr>
        <w:rFonts w:hint="default"/>
      </w:rPr>
    </w:lvl>
    <w:lvl w:ilvl="8">
      <w:start w:val="0"/>
      <w:numFmt w:val="bullet"/>
      <w:lvlText w:val="•"/>
      <w:lvlJc w:val="left"/>
      <w:pPr>
        <w:ind w:left="7004" w:hanging="720"/>
      </w:pPr>
      <w:rPr>
        <w:rFonts w:hint="default"/>
      </w:rPr>
    </w:lvl>
  </w:abstractNum>
  <w:abstractNum w:abstractNumId="12">
    <w:multiLevelType w:val="hybridMultilevel"/>
    <w:lvl w:ilvl="0">
      <w:start w:val="1"/>
      <w:numFmt w:val="upperRoman"/>
      <w:lvlText w:val="%1"/>
      <w:lvlJc w:val="left"/>
      <w:pPr>
        <w:ind w:left="300" w:hanging="180"/>
        <w:jc w:val="left"/>
      </w:pPr>
      <w:rPr>
        <w:rFonts w:hint="default" w:ascii="宋体" w:hAnsi="宋体" w:eastAsia="宋体" w:cs="宋体"/>
        <w:w w:val="70"/>
        <w:sz w:val="21"/>
        <w:szCs w:val="21"/>
      </w:rPr>
    </w:lvl>
    <w:lvl w:ilvl="1">
      <w:start w:val="0"/>
      <w:numFmt w:val="bullet"/>
      <w:lvlText w:val="•"/>
      <w:lvlJc w:val="left"/>
      <w:pPr>
        <w:ind w:left="1124" w:hanging="180"/>
      </w:pPr>
      <w:rPr>
        <w:rFonts w:hint="default"/>
      </w:rPr>
    </w:lvl>
    <w:lvl w:ilvl="2">
      <w:start w:val="0"/>
      <w:numFmt w:val="bullet"/>
      <w:lvlText w:val="•"/>
      <w:lvlJc w:val="left"/>
      <w:pPr>
        <w:ind w:left="1949" w:hanging="180"/>
      </w:pPr>
      <w:rPr>
        <w:rFonts w:hint="default"/>
      </w:rPr>
    </w:lvl>
    <w:lvl w:ilvl="3">
      <w:start w:val="0"/>
      <w:numFmt w:val="bullet"/>
      <w:lvlText w:val="•"/>
      <w:lvlJc w:val="left"/>
      <w:pPr>
        <w:ind w:left="2773" w:hanging="180"/>
      </w:pPr>
      <w:rPr>
        <w:rFonts w:hint="default"/>
      </w:rPr>
    </w:lvl>
    <w:lvl w:ilvl="4">
      <w:start w:val="0"/>
      <w:numFmt w:val="bullet"/>
      <w:lvlText w:val="•"/>
      <w:lvlJc w:val="left"/>
      <w:pPr>
        <w:ind w:left="3598" w:hanging="180"/>
      </w:pPr>
      <w:rPr>
        <w:rFonts w:hint="default"/>
      </w:rPr>
    </w:lvl>
    <w:lvl w:ilvl="5">
      <w:start w:val="0"/>
      <w:numFmt w:val="bullet"/>
      <w:lvlText w:val="•"/>
      <w:lvlJc w:val="left"/>
      <w:pPr>
        <w:ind w:left="4423" w:hanging="180"/>
      </w:pPr>
      <w:rPr>
        <w:rFonts w:hint="default"/>
      </w:rPr>
    </w:lvl>
    <w:lvl w:ilvl="6">
      <w:start w:val="0"/>
      <w:numFmt w:val="bullet"/>
      <w:lvlText w:val="•"/>
      <w:lvlJc w:val="left"/>
      <w:pPr>
        <w:ind w:left="5247" w:hanging="180"/>
      </w:pPr>
      <w:rPr>
        <w:rFonts w:hint="default"/>
      </w:rPr>
    </w:lvl>
    <w:lvl w:ilvl="7">
      <w:start w:val="0"/>
      <w:numFmt w:val="bullet"/>
      <w:lvlText w:val="•"/>
      <w:lvlJc w:val="left"/>
      <w:pPr>
        <w:ind w:left="6072" w:hanging="180"/>
      </w:pPr>
      <w:rPr>
        <w:rFonts w:hint="default"/>
      </w:rPr>
    </w:lvl>
    <w:lvl w:ilvl="8">
      <w:start w:val="0"/>
      <w:numFmt w:val="bullet"/>
      <w:lvlText w:val="•"/>
      <w:lvlJc w:val="left"/>
      <w:pPr>
        <w:ind w:left="6896" w:hanging="180"/>
      </w:pPr>
      <w:rPr>
        <w:rFonts w:hint="default"/>
      </w:rPr>
    </w:lvl>
  </w:abstractNum>
  <w:abstractNum w:abstractNumId="11">
    <w:multiLevelType w:val="hybridMultilevel"/>
    <w:lvl w:ilvl="0">
      <w:start w:val="12"/>
      <w:numFmt w:val="decimal"/>
      <w:lvlText w:val="%1."/>
      <w:lvlJc w:val="left"/>
      <w:pPr>
        <w:ind w:left="551" w:hanging="432"/>
        <w:jc w:val="left"/>
      </w:pPr>
      <w:rPr>
        <w:rFonts w:hint="default" w:ascii="Microsoft JhengHei" w:hAnsi="Microsoft JhengHei" w:eastAsia="Microsoft JhengHei" w:cs="Microsoft JhengHei"/>
        <w:b/>
        <w:bCs/>
        <w:spacing w:val="0"/>
        <w:w w:val="83"/>
        <w:sz w:val="21"/>
        <w:szCs w:val="21"/>
      </w:rPr>
    </w:lvl>
    <w:lvl w:ilvl="1">
      <w:start w:val="1"/>
      <w:numFmt w:val="decimal"/>
      <w:lvlText w:val="%1.%2"/>
      <w:lvlJc w:val="left"/>
      <w:pPr>
        <w:ind w:left="575" w:hanging="449"/>
        <w:jc w:val="left"/>
      </w:pPr>
      <w:rPr>
        <w:rFonts w:hint="default" w:ascii="Microsoft JhengHei UI" w:hAnsi="Microsoft JhengHei UI" w:eastAsia="Microsoft JhengHei UI" w:cs="Microsoft JhengHei UI"/>
        <w:b/>
        <w:bCs/>
        <w:spacing w:val="0"/>
        <w:w w:val="78"/>
        <w:sz w:val="21"/>
        <w:szCs w:val="21"/>
      </w:rPr>
    </w:lvl>
    <w:lvl w:ilvl="2">
      <w:start w:val="1"/>
      <w:numFmt w:val="decimal"/>
      <w:lvlText w:val="%1.%2.%3."/>
      <w:lvlJc w:val="left"/>
      <w:pPr>
        <w:ind w:left="846" w:hanging="720"/>
        <w:jc w:val="left"/>
      </w:pPr>
      <w:rPr>
        <w:rFonts w:hint="default" w:ascii="Microsoft JhengHei UI" w:hAnsi="Microsoft JhengHei UI" w:eastAsia="Microsoft JhengHei UI" w:cs="Microsoft JhengHei UI"/>
        <w:b/>
        <w:bCs/>
        <w:spacing w:val="0"/>
        <w:w w:val="78"/>
        <w:sz w:val="21"/>
        <w:szCs w:val="21"/>
      </w:rPr>
    </w:lvl>
    <w:lvl w:ilvl="3">
      <w:start w:val="0"/>
      <w:numFmt w:val="bullet"/>
      <w:lvlText w:val="•"/>
      <w:lvlJc w:val="left"/>
      <w:pPr>
        <w:ind w:left="1803" w:hanging="720"/>
      </w:pPr>
      <w:rPr>
        <w:rFonts w:hint="default"/>
      </w:rPr>
    </w:lvl>
    <w:lvl w:ilvl="4">
      <w:start w:val="0"/>
      <w:numFmt w:val="bullet"/>
      <w:lvlText w:val="•"/>
      <w:lvlJc w:val="left"/>
      <w:pPr>
        <w:ind w:left="2766" w:hanging="720"/>
      </w:pPr>
      <w:rPr>
        <w:rFonts w:hint="default"/>
      </w:rPr>
    </w:lvl>
    <w:lvl w:ilvl="5">
      <w:start w:val="0"/>
      <w:numFmt w:val="bullet"/>
      <w:lvlText w:val="•"/>
      <w:lvlJc w:val="left"/>
      <w:pPr>
        <w:ind w:left="3729" w:hanging="720"/>
      </w:pPr>
      <w:rPr>
        <w:rFonts w:hint="default"/>
      </w:rPr>
    </w:lvl>
    <w:lvl w:ilvl="6">
      <w:start w:val="0"/>
      <w:numFmt w:val="bullet"/>
      <w:lvlText w:val="•"/>
      <w:lvlJc w:val="left"/>
      <w:pPr>
        <w:ind w:left="4693" w:hanging="720"/>
      </w:pPr>
      <w:rPr>
        <w:rFonts w:hint="default"/>
      </w:rPr>
    </w:lvl>
    <w:lvl w:ilvl="7">
      <w:start w:val="0"/>
      <w:numFmt w:val="bullet"/>
      <w:lvlText w:val="•"/>
      <w:lvlJc w:val="left"/>
      <w:pPr>
        <w:ind w:left="5656" w:hanging="720"/>
      </w:pPr>
      <w:rPr>
        <w:rFonts w:hint="default"/>
      </w:rPr>
    </w:lvl>
    <w:lvl w:ilvl="8">
      <w:start w:val="0"/>
      <w:numFmt w:val="bullet"/>
      <w:lvlText w:val="•"/>
      <w:lvlJc w:val="left"/>
      <w:pPr>
        <w:ind w:left="6619" w:hanging="720"/>
      </w:pPr>
      <w:rPr>
        <w:rFonts w:hint="default"/>
      </w:rPr>
    </w:lvl>
  </w:abstractNum>
  <w:abstractNum w:abstractNumId="10">
    <w:multiLevelType w:val="hybridMultilevel"/>
    <w:lvl w:ilvl="0">
      <w:start w:val="1"/>
      <w:numFmt w:val="decimal"/>
      <w:lvlText w:val="%1."/>
      <w:lvlJc w:val="left"/>
      <w:pPr>
        <w:ind w:left="540" w:hanging="420"/>
        <w:jc w:val="left"/>
      </w:pPr>
      <w:rPr>
        <w:rFonts w:hint="default" w:ascii="宋体" w:hAnsi="宋体" w:eastAsia="宋体" w:cs="宋体"/>
        <w:w w:val="43"/>
        <w:sz w:val="21"/>
        <w:szCs w:val="21"/>
      </w:rPr>
    </w:lvl>
    <w:lvl w:ilvl="1">
      <w:start w:val="0"/>
      <w:numFmt w:val="bullet"/>
      <w:lvlText w:val="•"/>
      <w:lvlJc w:val="left"/>
      <w:pPr>
        <w:ind w:left="1340" w:hanging="420"/>
      </w:pPr>
      <w:rPr>
        <w:rFonts w:hint="default"/>
      </w:rPr>
    </w:lvl>
    <w:lvl w:ilvl="2">
      <w:start w:val="0"/>
      <w:numFmt w:val="bullet"/>
      <w:lvlText w:val="•"/>
      <w:lvlJc w:val="left"/>
      <w:pPr>
        <w:ind w:left="2141"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43" w:hanging="420"/>
      </w:pPr>
      <w:rPr>
        <w:rFonts w:hint="default"/>
      </w:rPr>
    </w:lvl>
    <w:lvl w:ilvl="6">
      <w:start w:val="0"/>
      <w:numFmt w:val="bullet"/>
      <w:lvlText w:val="•"/>
      <w:lvlJc w:val="left"/>
      <w:pPr>
        <w:ind w:left="5343" w:hanging="420"/>
      </w:pPr>
      <w:rPr>
        <w:rFonts w:hint="default"/>
      </w:rPr>
    </w:lvl>
    <w:lvl w:ilvl="7">
      <w:start w:val="0"/>
      <w:numFmt w:val="bullet"/>
      <w:lvlText w:val="•"/>
      <w:lvlJc w:val="left"/>
      <w:pPr>
        <w:ind w:left="6144" w:hanging="420"/>
      </w:pPr>
      <w:rPr>
        <w:rFonts w:hint="default"/>
      </w:rPr>
    </w:lvl>
    <w:lvl w:ilvl="8">
      <w:start w:val="0"/>
      <w:numFmt w:val="bullet"/>
      <w:lvlText w:val="•"/>
      <w:lvlJc w:val="left"/>
      <w:pPr>
        <w:ind w:left="6944" w:hanging="420"/>
      </w:pPr>
      <w:rPr>
        <w:rFonts w:hint="default"/>
      </w:rPr>
    </w:lvl>
  </w:abstractNum>
  <w:abstractNum w:abstractNumId="9">
    <w:multiLevelType w:val="hybridMultilevel"/>
    <w:lvl w:ilvl="0">
      <w:start w:val="6"/>
      <w:numFmt w:val="decimal"/>
      <w:lvlText w:val="%1"/>
      <w:lvlJc w:val="left"/>
      <w:pPr>
        <w:ind w:left="702" w:hanging="576"/>
        <w:jc w:val="left"/>
      </w:pPr>
      <w:rPr>
        <w:rFonts w:hint="default"/>
      </w:rPr>
    </w:lvl>
    <w:lvl w:ilvl="1">
      <w:start w:val="2"/>
      <w:numFmt w:val="decimal"/>
      <w:lvlText w:val="%1.%2."/>
      <w:lvlJc w:val="left"/>
      <w:pPr>
        <w:ind w:left="702" w:hanging="576"/>
        <w:jc w:val="left"/>
      </w:pPr>
      <w:rPr>
        <w:rFonts w:hint="default" w:ascii="Microsoft JhengHei UI" w:hAnsi="Microsoft JhengHei UI" w:eastAsia="Microsoft JhengHei UI" w:cs="Microsoft JhengHei UI"/>
        <w:b/>
        <w:bCs/>
        <w:spacing w:val="-1"/>
        <w:w w:val="78"/>
        <w:sz w:val="21"/>
        <w:szCs w:val="21"/>
      </w:rPr>
    </w:lvl>
    <w:lvl w:ilvl="2">
      <w:start w:val="1"/>
      <w:numFmt w:val="decimal"/>
      <w:lvlText w:val="%1.%2.%3"/>
      <w:lvlJc w:val="left"/>
      <w:pPr>
        <w:ind w:left="518" w:hanging="392"/>
        <w:jc w:val="left"/>
      </w:pPr>
      <w:rPr>
        <w:rFonts w:hint="default" w:ascii="Microsoft JhengHei UI" w:hAnsi="Microsoft JhengHei UI" w:eastAsia="Microsoft JhengHei UI" w:cs="Microsoft JhengHei UI"/>
        <w:b/>
        <w:bCs/>
        <w:spacing w:val="-1"/>
        <w:w w:val="78"/>
        <w:sz w:val="19"/>
        <w:szCs w:val="19"/>
      </w:rPr>
    </w:lvl>
    <w:lvl w:ilvl="3">
      <w:start w:val="1"/>
      <w:numFmt w:val="decimal"/>
      <w:lvlText w:val="%4."/>
      <w:lvlJc w:val="left"/>
      <w:pPr>
        <w:ind w:left="960" w:hanging="420"/>
        <w:jc w:val="left"/>
      </w:pPr>
      <w:rPr>
        <w:rFonts w:hint="default" w:ascii="宋体" w:hAnsi="宋体" w:eastAsia="宋体" w:cs="宋体"/>
        <w:w w:val="43"/>
        <w:sz w:val="21"/>
        <w:szCs w:val="21"/>
      </w:rPr>
    </w:lvl>
    <w:lvl w:ilvl="4">
      <w:start w:val="0"/>
      <w:numFmt w:val="bullet"/>
      <w:lvlText w:val="•"/>
      <w:lvlJc w:val="left"/>
      <w:pPr>
        <w:ind w:left="2095" w:hanging="420"/>
      </w:pPr>
      <w:rPr>
        <w:rFonts w:hint="default"/>
      </w:rPr>
    </w:lvl>
    <w:lvl w:ilvl="5">
      <w:start w:val="0"/>
      <w:numFmt w:val="bullet"/>
      <w:lvlText w:val="•"/>
      <w:lvlJc w:val="left"/>
      <w:pPr>
        <w:ind w:left="3170" w:hanging="420"/>
      </w:pPr>
      <w:rPr>
        <w:rFonts w:hint="default"/>
      </w:rPr>
    </w:lvl>
    <w:lvl w:ilvl="6">
      <w:start w:val="0"/>
      <w:numFmt w:val="bullet"/>
      <w:lvlText w:val="•"/>
      <w:lvlJc w:val="left"/>
      <w:pPr>
        <w:ind w:left="4245" w:hanging="420"/>
      </w:pPr>
      <w:rPr>
        <w:rFonts w:hint="default"/>
      </w:rPr>
    </w:lvl>
    <w:lvl w:ilvl="7">
      <w:start w:val="0"/>
      <w:numFmt w:val="bullet"/>
      <w:lvlText w:val="•"/>
      <w:lvlJc w:val="left"/>
      <w:pPr>
        <w:ind w:left="5320" w:hanging="420"/>
      </w:pPr>
      <w:rPr>
        <w:rFonts w:hint="default"/>
      </w:rPr>
    </w:lvl>
    <w:lvl w:ilvl="8">
      <w:start w:val="0"/>
      <w:numFmt w:val="bullet"/>
      <w:lvlText w:val="•"/>
      <w:lvlJc w:val="left"/>
      <w:pPr>
        <w:ind w:left="6395" w:hanging="420"/>
      </w:pPr>
      <w:rPr>
        <w:rFonts w:hint="default"/>
      </w:rPr>
    </w:lvl>
  </w:abstractNum>
  <w:abstractNum w:abstractNumId="8">
    <w:multiLevelType w:val="hybridMultilevel"/>
    <w:lvl w:ilvl="0">
      <w:start w:val="5"/>
      <w:numFmt w:val="decimal"/>
      <w:lvlText w:val="%1."/>
      <w:lvlJc w:val="left"/>
      <w:pPr>
        <w:ind w:left="551" w:hanging="432"/>
        <w:jc w:val="left"/>
      </w:pPr>
      <w:rPr>
        <w:rFonts w:hint="default" w:ascii="Microsoft JhengHei" w:hAnsi="Microsoft JhengHei" w:eastAsia="Microsoft JhengHei" w:cs="Microsoft JhengHei"/>
        <w:b/>
        <w:bCs/>
        <w:spacing w:val="0"/>
        <w:w w:val="83"/>
        <w:sz w:val="21"/>
        <w:szCs w:val="21"/>
      </w:rPr>
    </w:lvl>
    <w:lvl w:ilvl="1">
      <w:start w:val="1"/>
      <w:numFmt w:val="decimal"/>
      <w:lvlText w:val="%1.%2."/>
      <w:lvlJc w:val="left"/>
      <w:pPr>
        <w:ind w:left="702" w:hanging="576"/>
        <w:jc w:val="left"/>
      </w:pPr>
      <w:rPr>
        <w:rFonts w:hint="default" w:ascii="Microsoft JhengHei UI" w:hAnsi="Microsoft JhengHei UI" w:eastAsia="Microsoft JhengHei UI" w:cs="Microsoft JhengHei UI"/>
        <w:b/>
        <w:bCs/>
        <w:spacing w:val="-1"/>
        <w:w w:val="78"/>
        <w:sz w:val="21"/>
        <w:szCs w:val="21"/>
      </w:rPr>
    </w:lvl>
    <w:lvl w:ilvl="2">
      <w:start w:val="1"/>
      <w:numFmt w:val="decimal"/>
      <w:lvlText w:val="%1.%2.%3."/>
      <w:lvlJc w:val="left"/>
      <w:pPr>
        <w:ind w:left="834" w:hanging="708"/>
        <w:jc w:val="left"/>
      </w:pPr>
      <w:rPr>
        <w:rFonts w:hint="default" w:ascii="Microsoft JhengHei UI" w:hAnsi="Microsoft JhengHei UI" w:eastAsia="Microsoft JhengHei UI" w:cs="Microsoft JhengHei UI"/>
        <w:b/>
        <w:bCs/>
        <w:spacing w:val="-1"/>
        <w:w w:val="78"/>
        <w:sz w:val="21"/>
        <w:szCs w:val="21"/>
      </w:rPr>
    </w:lvl>
    <w:lvl w:ilvl="3">
      <w:start w:val="1"/>
      <w:numFmt w:val="decimal"/>
      <w:lvlText w:val="%4."/>
      <w:lvlJc w:val="left"/>
      <w:pPr>
        <w:ind w:left="960" w:hanging="420"/>
        <w:jc w:val="left"/>
      </w:pPr>
      <w:rPr>
        <w:rFonts w:hint="default" w:ascii="宋体" w:hAnsi="宋体" w:eastAsia="宋体" w:cs="宋体"/>
        <w:w w:val="43"/>
        <w:sz w:val="21"/>
        <w:szCs w:val="21"/>
      </w:rPr>
    </w:lvl>
    <w:lvl w:ilvl="4">
      <w:start w:val="0"/>
      <w:numFmt w:val="bullet"/>
      <w:lvlText w:val="•"/>
      <w:lvlJc w:val="left"/>
      <w:pPr>
        <w:ind w:left="840" w:hanging="420"/>
      </w:pPr>
      <w:rPr>
        <w:rFonts w:hint="default"/>
      </w:rPr>
    </w:lvl>
    <w:lvl w:ilvl="5">
      <w:start w:val="0"/>
      <w:numFmt w:val="bullet"/>
      <w:lvlText w:val="•"/>
      <w:lvlJc w:val="left"/>
      <w:pPr>
        <w:ind w:left="960" w:hanging="420"/>
      </w:pPr>
      <w:rPr>
        <w:rFonts w:hint="default"/>
      </w:rPr>
    </w:lvl>
    <w:lvl w:ilvl="6">
      <w:start w:val="0"/>
      <w:numFmt w:val="bullet"/>
      <w:lvlText w:val="•"/>
      <w:lvlJc w:val="left"/>
      <w:pPr>
        <w:ind w:left="2477" w:hanging="420"/>
      </w:pPr>
      <w:rPr>
        <w:rFonts w:hint="default"/>
      </w:rPr>
    </w:lvl>
    <w:lvl w:ilvl="7">
      <w:start w:val="0"/>
      <w:numFmt w:val="bullet"/>
      <w:lvlText w:val="•"/>
      <w:lvlJc w:val="left"/>
      <w:pPr>
        <w:ind w:left="3994" w:hanging="420"/>
      </w:pPr>
      <w:rPr>
        <w:rFonts w:hint="default"/>
      </w:rPr>
    </w:lvl>
    <w:lvl w:ilvl="8">
      <w:start w:val="0"/>
      <w:numFmt w:val="bullet"/>
      <w:lvlText w:val="•"/>
      <w:lvlJc w:val="left"/>
      <w:pPr>
        <w:ind w:left="5511" w:hanging="420"/>
      </w:pPr>
      <w:rPr>
        <w:rFonts w:hint="default"/>
      </w:rPr>
    </w:lvl>
  </w:abstractNum>
  <w:abstractNum w:abstractNumId="7">
    <w:multiLevelType w:val="hybridMultilevel"/>
    <w:lvl w:ilvl="0">
      <w:start w:val="1"/>
      <w:numFmt w:val="decimal"/>
      <w:lvlText w:val="%1."/>
      <w:lvlJc w:val="left"/>
      <w:pPr>
        <w:ind w:left="518" w:hanging="420"/>
        <w:jc w:val="left"/>
      </w:pPr>
      <w:rPr>
        <w:rFonts w:hint="default" w:ascii="Microsoft JhengHei UI" w:hAnsi="Microsoft JhengHei UI" w:eastAsia="Microsoft JhengHei UI" w:cs="Microsoft JhengHei UI"/>
        <w:b/>
        <w:bCs/>
        <w:spacing w:val="0"/>
        <w:w w:val="78"/>
        <w:sz w:val="21"/>
        <w:szCs w:val="21"/>
      </w:rPr>
    </w:lvl>
    <w:lvl w:ilvl="1">
      <w:start w:val="0"/>
      <w:numFmt w:val="bullet"/>
      <w:lvlText w:val="•"/>
      <w:lvlJc w:val="left"/>
      <w:pPr>
        <w:ind w:left="1322" w:hanging="420"/>
      </w:pPr>
      <w:rPr>
        <w:rFonts w:hint="default"/>
      </w:rPr>
    </w:lvl>
    <w:lvl w:ilvl="2">
      <w:start w:val="0"/>
      <w:numFmt w:val="bullet"/>
      <w:lvlText w:val="•"/>
      <w:lvlJc w:val="left"/>
      <w:pPr>
        <w:ind w:left="2125" w:hanging="420"/>
      </w:pPr>
      <w:rPr>
        <w:rFonts w:hint="default"/>
      </w:rPr>
    </w:lvl>
    <w:lvl w:ilvl="3">
      <w:start w:val="0"/>
      <w:numFmt w:val="bullet"/>
      <w:lvlText w:val="•"/>
      <w:lvlJc w:val="left"/>
      <w:pPr>
        <w:ind w:left="2927" w:hanging="420"/>
      </w:pPr>
      <w:rPr>
        <w:rFonts w:hint="default"/>
      </w:rPr>
    </w:lvl>
    <w:lvl w:ilvl="4">
      <w:start w:val="0"/>
      <w:numFmt w:val="bullet"/>
      <w:lvlText w:val="•"/>
      <w:lvlJc w:val="left"/>
      <w:pPr>
        <w:ind w:left="3730" w:hanging="420"/>
      </w:pPr>
      <w:rPr>
        <w:rFonts w:hint="default"/>
      </w:rPr>
    </w:lvl>
    <w:lvl w:ilvl="5">
      <w:start w:val="0"/>
      <w:numFmt w:val="bullet"/>
      <w:lvlText w:val="•"/>
      <w:lvlJc w:val="left"/>
      <w:pPr>
        <w:ind w:left="4533" w:hanging="420"/>
      </w:pPr>
      <w:rPr>
        <w:rFonts w:hint="default"/>
      </w:rPr>
    </w:lvl>
    <w:lvl w:ilvl="6">
      <w:start w:val="0"/>
      <w:numFmt w:val="bullet"/>
      <w:lvlText w:val="•"/>
      <w:lvlJc w:val="left"/>
      <w:pPr>
        <w:ind w:left="5335" w:hanging="420"/>
      </w:pPr>
      <w:rPr>
        <w:rFonts w:hint="default"/>
      </w:rPr>
    </w:lvl>
    <w:lvl w:ilvl="7">
      <w:start w:val="0"/>
      <w:numFmt w:val="bullet"/>
      <w:lvlText w:val="•"/>
      <w:lvlJc w:val="left"/>
      <w:pPr>
        <w:ind w:left="6138" w:hanging="420"/>
      </w:pPr>
      <w:rPr>
        <w:rFonts w:hint="default"/>
      </w:rPr>
    </w:lvl>
    <w:lvl w:ilvl="8">
      <w:start w:val="0"/>
      <w:numFmt w:val="bullet"/>
      <w:lvlText w:val="•"/>
      <w:lvlJc w:val="left"/>
      <w:pPr>
        <w:ind w:left="6940" w:hanging="420"/>
      </w:pPr>
      <w:rPr>
        <w:rFonts w:hint="default"/>
      </w:rPr>
    </w:lvl>
  </w:abstractNum>
  <w:abstractNum w:abstractNumId="6">
    <w:multiLevelType w:val="hybridMultilevel"/>
    <w:lvl w:ilvl="0">
      <w:start w:val="1"/>
      <w:numFmt w:val="decimal"/>
      <w:lvlText w:val="%1."/>
      <w:lvlJc w:val="left"/>
      <w:pPr>
        <w:ind w:left="551" w:hanging="432"/>
        <w:jc w:val="left"/>
      </w:pPr>
      <w:rPr>
        <w:rFonts w:hint="default" w:ascii="Microsoft JhengHei" w:hAnsi="Microsoft JhengHei" w:eastAsia="Microsoft JhengHei" w:cs="Microsoft JhengHei"/>
        <w:b/>
        <w:bCs/>
        <w:spacing w:val="0"/>
        <w:w w:val="83"/>
        <w:sz w:val="21"/>
        <w:szCs w:val="21"/>
      </w:rPr>
    </w:lvl>
    <w:lvl w:ilvl="1">
      <w:start w:val="1"/>
      <w:numFmt w:val="decimal"/>
      <w:lvlText w:val="%1.%2."/>
      <w:lvlJc w:val="left"/>
      <w:pPr>
        <w:ind w:left="702" w:hanging="576"/>
        <w:jc w:val="left"/>
      </w:pPr>
      <w:rPr>
        <w:rFonts w:hint="default" w:ascii="Microsoft JhengHei UI" w:hAnsi="Microsoft JhengHei UI" w:eastAsia="Microsoft JhengHei UI" w:cs="Microsoft JhengHei UI"/>
        <w:b/>
        <w:bCs/>
        <w:spacing w:val="-1"/>
        <w:w w:val="78"/>
        <w:sz w:val="21"/>
        <w:szCs w:val="21"/>
      </w:rPr>
    </w:lvl>
    <w:lvl w:ilvl="2">
      <w:start w:val="1"/>
      <w:numFmt w:val="decimal"/>
      <w:lvlText w:val="%1.%2.%3."/>
      <w:lvlJc w:val="left"/>
      <w:pPr>
        <w:ind w:left="688" w:hanging="543"/>
        <w:jc w:val="left"/>
      </w:pPr>
      <w:rPr>
        <w:rFonts w:hint="default" w:ascii="Microsoft JhengHei UI" w:hAnsi="Microsoft JhengHei UI" w:eastAsia="Microsoft JhengHei UI" w:cs="Microsoft JhengHei UI"/>
        <w:b/>
        <w:bCs/>
        <w:spacing w:val="-1"/>
        <w:w w:val="78"/>
        <w:sz w:val="21"/>
        <w:szCs w:val="21"/>
      </w:rPr>
    </w:lvl>
    <w:lvl w:ilvl="3">
      <w:start w:val="0"/>
      <w:numFmt w:val="bullet"/>
      <w:lvlText w:val="•"/>
      <w:lvlJc w:val="left"/>
      <w:pPr>
        <w:ind w:left="1680" w:hanging="543"/>
      </w:pPr>
      <w:rPr>
        <w:rFonts w:hint="default"/>
      </w:rPr>
    </w:lvl>
    <w:lvl w:ilvl="4">
      <w:start w:val="0"/>
      <w:numFmt w:val="bullet"/>
      <w:lvlText w:val="•"/>
      <w:lvlJc w:val="left"/>
      <w:pPr>
        <w:ind w:left="2661" w:hanging="543"/>
      </w:pPr>
      <w:rPr>
        <w:rFonts w:hint="default"/>
      </w:rPr>
    </w:lvl>
    <w:lvl w:ilvl="5">
      <w:start w:val="0"/>
      <w:numFmt w:val="bullet"/>
      <w:lvlText w:val="•"/>
      <w:lvlJc w:val="left"/>
      <w:pPr>
        <w:ind w:left="3642" w:hanging="543"/>
      </w:pPr>
      <w:rPr>
        <w:rFonts w:hint="default"/>
      </w:rPr>
    </w:lvl>
    <w:lvl w:ilvl="6">
      <w:start w:val="0"/>
      <w:numFmt w:val="bullet"/>
      <w:lvlText w:val="•"/>
      <w:lvlJc w:val="left"/>
      <w:pPr>
        <w:ind w:left="4623" w:hanging="543"/>
      </w:pPr>
      <w:rPr>
        <w:rFonts w:hint="default"/>
      </w:rPr>
    </w:lvl>
    <w:lvl w:ilvl="7">
      <w:start w:val="0"/>
      <w:numFmt w:val="bullet"/>
      <w:lvlText w:val="•"/>
      <w:lvlJc w:val="left"/>
      <w:pPr>
        <w:ind w:left="5603" w:hanging="543"/>
      </w:pPr>
      <w:rPr>
        <w:rFonts w:hint="default"/>
      </w:rPr>
    </w:lvl>
    <w:lvl w:ilvl="8">
      <w:start w:val="0"/>
      <w:numFmt w:val="bullet"/>
      <w:lvlText w:val="•"/>
      <w:lvlJc w:val="left"/>
      <w:pPr>
        <w:ind w:left="6584" w:hanging="543"/>
      </w:pPr>
      <w:rPr>
        <w:rFonts w:hint="default"/>
      </w:rPr>
    </w:lvl>
  </w:abstractNum>
  <w:abstractNum w:abstractNumId="5">
    <w:multiLevelType w:val="hybridMultilevel"/>
    <w:lvl w:ilvl="0">
      <w:start w:val="12"/>
      <w:numFmt w:val="decimal"/>
      <w:lvlText w:val="%1"/>
      <w:lvlJc w:val="left"/>
      <w:pPr>
        <w:ind w:left="1092" w:hanging="552"/>
        <w:jc w:val="left"/>
      </w:pPr>
      <w:rPr>
        <w:rFonts w:hint="default"/>
      </w:rPr>
    </w:lvl>
    <w:lvl w:ilvl="1">
      <w:start w:val="6"/>
      <w:numFmt w:val="decimal"/>
      <w:lvlText w:val="%1.%2"/>
      <w:lvlJc w:val="left"/>
      <w:pPr>
        <w:ind w:left="1092" w:hanging="552"/>
        <w:jc w:val="left"/>
      </w:pPr>
      <w:rPr>
        <w:rFonts w:hint="default" w:ascii="宋体" w:hAnsi="宋体" w:eastAsia="宋体" w:cs="宋体"/>
        <w:spacing w:val="-1"/>
        <w:w w:val="43"/>
        <w:sz w:val="21"/>
        <w:szCs w:val="21"/>
      </w:rPr>
    </w:lvl>
    <w:lvl w:ilvl="2">
      <w:start w:val="0"/>
      <w:numFmt w:val="bullet"/>
      <w:lvlText w:val="•"/>
      <w:lvlJc w:val="left"/>
      <w:pPr>
        <w:ind w:left="2589" w:hanging="552"/>
      </w:pPr>
      <w:rPr>
        <w:rFonts w:hint="default"/>
      </w:rPr>
    </w:lvl>
    <w:lvl w:ilvl="3">
      <w:start w:val="0"/>
      <w:numFmt w:val="bullet"/>
      <w:lvlText w:val="•"/>
      <w:lvlJc w:val="left"/>
      <w:pPr>
        <w:ind w:left="3333" w:hanging="552"/>
      </w:pPr>
      <w:rPr>
        <w:rFonts w:hint="default"/>
      </w:rPr>
    </w:lvl>
    <w:lvl w:ilvl="4">
      <w:start w:val="0"/>
      <w:numFmt w:val="bullet"/>
      <w:lvlText w:val="•"/>
      <w:lvlJc w:val="left"/>
      <w:pPr>
        <w:ind w:left="4078" w:hanging="552"/>
      </w:pPr>
      <w:rPr>
        <w:rFonts w:hint="default"/>
      </w:rPr>
    </w:lvl>
    <w:lvl w:ilvl="5">
      <w:start w:val="0"/>
      <w:numFmt w:val="bullet"/>
      <w:lvlText w:val="•"/>
      <w:lvlJc w:val="left"/>
      <w:pPr>
        <w:ind w:left="4823" w:hanging="552"/>
      </w:pPr>
      <w:rPr>
        <w:rFonts w:hint="default"/>
      </w:rPr>
    </w:lvl>
    <w:lvl w:ilvl="6">
      <w:start w:val="0"/>
      <w:numFmt w:val="bullet"/>
      <w:lvlText w:val="•"/>
      <w:lvlJc w:val="left"/>
      <w:pPr>
        <w:ind w:left="5567" w:hanging="552"/>
      </w:pPr>
      <w:rPr>
        <w:rFonts w:hint="default"/>
      </w:rPr>
    </w:lvl>
    <w:lvl w:ilvl="7">
      <w:start w:val="0"/>
      <w:numFmt w:val="bullet"/>
      <w:lvlText w:val="•"/>
      <w:lvlJc w:val="left"/>
      <w:pPr>
        <w:ind w:left="6312" w:hanging="552"/>
      </w:pPr>
      <w:rPr>
        <w:rFonts w:hint="default"/>
      </w:rPr>
    </w:lvl>
    <w:lvl w:ilvl="8">
      <w:start w:val="0"/>
      <w:numFmt w:val="bullet"/>
      <w:lvlText w:val="•"/>
      <w:lvlJc w:val="left"/>
      <w:pPr>
        <w:ind w:left="7056" w:hanging="552"/>
      </w:pPr>
      <w:rPr>
        <w:rFonts w:hint="default"/>
      </w:rPr>
    </w:lvl>
  </w:abstractNum>
  <w:abstractNum w:abstractNumId="4">
    <w:multiLevelType w:val="hybridMultilevel"/>
    <w:lvl w:ilvl="0">
      <w:start w:val="12"/>
      <w:numFmt w:val="decimal"/>
      <w:lvlText w:val="%1"/>
      <w:lvlJc w:val="left"/>
      <w:pPr>
        <w:ind w:left="1879" w:hanging="920"/>
        <w:jc w:val="left"/>
      </w:pPr>
      <w:rPr>
        <w:rFonts w:hint="default"/>
      </w:rPr>
    </w:lvl>
    <w:lvl w:ilvl="1">
      <w:start w:val="3"/>
      <w:numFmt w:val="decimal"/>
      <w:lvlText w:val="%1.%2"/>
      <w:lvlJc w:val="left"/>
      <w:pPr>
        <w:ind w:left="1879" w:hanging="920"/>
        <w:jc w:val="right"/>
      </w:pPr>
      <w:rPr>
        <w:rFonts w:hint="default"/>
      </w:rPr>
    </w:lvl>
    <w:lvl w:ilvl="2">
      <w:start w:val="16"/>
      <w:numFmt w:val="decimal"/>
      <w:lvlText w:val="%1.%2.%3."/>
      <w:lvlJc w:val="left"/>
      <w:pPr>
        <w:ind w:left="1879" w:hanging="920"/>
        <w:jc w:val="left"/>
      </w:pPr>
      <w:rPr>
        <w:rFonts w:hint="default" w:ascii="宋体" w:hAnsi="宋体" w:eastAsia="宋体" w:cs="宋体"/>
        <w:spacing w:val="-1"/>
        <w:w w:val="43"/>
        <w:sz w:val="21"/>
        <w:szCs w:val="21"/>
      </w:rPr>
    </w:lvl>
    <w:lvl w:ilvl="3">
      <w:start w:val="0"/>
      <w:numFmt w:val="bullet"/>
      <w:lvlText w:val="•"/>
      <w:lvlJc w:val="left"/>
      <w:pPr>
        <w:ind w:left="3879" w:hanging="920"/>
      </w:pPr>
      <w:rPr>
        <w:rFonts w:hint="default"/>
      </w:rPr>
    </w:lvl>
    <w:lvl w:ilvl="4">
      <w:start w:val="0"/>
      <w:numFmt w:val="bullet"/>
      <w:lvlText w:val="•"/>
      <w:lvlJc w:val="left"/>
      <w:pPr>
        <w:ind w:left="4546" w:hanging="920"/>
      </w:pPr>
      <w:rPr>
        <w:rFonts w:hint="default"/>
      </w:rPr>
    </w:lvl>
    <w:lvl w:ilvl="5">
      <w:start w:val="0"/>
      <w:numFmt w:val="bullet"/>
      <w:lvlText w:val="•"/>
      <w:lvlJc w:val="left"/>
      <w:pPr>
        <w:ind w:left="5213" w:hanging="920"/>
      </w:pPr>
      <w:rPr>
        <w:rFonts w:hint="default"/>
      </w:rPr>
    </w:lvl>
    <w:lvl w:ilvl="6">
      <w:start w:val="0"/>
      <w:numFmt w:val="bullet"/>
      <w:lvlText w:val="•"/>
      <w:lvlJc w:val="left"/>
      <w:pPr>
        <w:ind w:left="5879" w:hanging="920"/>
      </w:pPr>
      <w:rPr>
        <w:rFonts w:hint="default"/>
      </w:rPr>
    </w:lvl>
    <w:lvl w:ilvl="7">
      <w:start w:val="0"/>
      <w:numFmt w:val="bullet"/>
      <w:lvlText w:val="•"/>
      <w:lvlJc w:val="left"/>
      <w:pPr>
        <w:ind w:left="6546" w:hanging="920"/>
      </w:pPr>
      <w:rPr>
        <w:rFonts w:hint="default"/>
      </w:rPr>
    </w:lvl>
    <w:lvl w:ilvl="8">
      <w:start w:val="0"/>
      <w:numFmt w:val="bullet"/>
      <w:lvlText w:val="•"/>
      <w:lvlJc w:val="left"/>
      <w:pPr>
        <w:ind w:left="7212" w:hanging="920"/>
      </w:pPr>
      <w:rPr>
        <w:rFonts w:hint="default"/>
      </w:rPr>
    </w:lvl>
  </w:abstractNum>
  <w:abstractNum w:abstractNumId="3">
    <w:multiLevelType w:val="hybridMultilevel"/>
    <w:lvl w:ilvl="0">
      <w:start w:val="12"/>
      <w:numFmt w:val="decimal"/>
      <w:lvlText w:val="%1"/>
      <w:lvlJc w:val="left"/>
      <w:pPr>
        <w:ind w:left="1092" w:hanging="552"/>
        <w:jc w:val="left"/>
      </w:pPr>
      <w:rPr>
        <w:rFonts w:hint="default"/>
      </w:rPr>
    </w:lvl>
    <w:lvl w:ilvl="1">
      <w:start w:val="3"/>
      <w:numFmt w:val="decimal"/>
      <w:lvlText w:val="%1.%2"/>
      <w:lvlJc w:val="left"/>
      <w:pPr>
        <w:ind w:left="1092" w:hanging="552"/>
        <w:jc w:val="left"/>
      </w:pPr>
      <w:rPr>
        <w:rFonts w:hint="default" w:ascii="宋体" w:hAnsi="宋体" w:eastAsia="宋体" w:cs="宋体"/>
        <w:spacing w:val="-1"/>
        <w:w w:val="43"/>
        <w:sz w:val="21"/>
        <w:szCs w:val="21"/>
      </w:rPr>
    </w:lvl>
    <w:lvl w:ilvl="2">
      <w:start w:val="1"/>
      <w:numFmt w:val="decimal"/>
      <w:lvlText w:val="%1.%2.%3."/>
      <w:lvlJc w:val="left"/>
      <w:pPr>
        <w:ind w:left="1879" w:hanging="920"/>
        <w:jc w:val="left"/>
      </w:pPr>
      <w:rPr>
        <w:rFonts w:hint="default" w:ascii="宋体" w:hAnsi="宋体" w:eastAsia="宋体" w:cs="宋体"/>
        <w:spacing w:val="-1"/>
        <w:w w:val="43"/>
        <w:sz w:val="21"/>
        <w:szCs w:val="21"/>
      </w:rPr>
    </w:lvl>
    <w:lvl w:ilvl="3">
      <w:start w:val="0"/>
      <w:numFmt w:val="bullet"/>
      <w:lvlText w:val="•"/>
      <w:lvlJc w:val="left"/>
      <w:pPr>
        <w:ind w:left="3361" w:hanging="920"/>
      </w:pPr>
      <w:rPr>
        <w:rFonts w:hint="default"/>
      </w:rPr>
    </w:lvl>
    <w:lvl w:ilvl="4">
      <w:start w:val="0"/>
      <w:numFmt w:val="bullet"/>
      <w:lvlText w:val="•"/>
      <w:lvlJc w:val="left"/>
      <w:pPr>
        <w:ind w:left="4102" w:hanging="920"/>
      </w:pPr>
      <w:rPr>
        <w:rFonts w:hint="default"/>
      </w:rPr>
    </w:lvl>
    <w:lvl w:ilvl="5">
      <w:start w:val="0"/>
      <w:numFmt w:val="bullet"/>
      <w:lvlText w:val="•"/>
      <w:lvlJc w:val="left"/>
      <w:pPr>
        <w:ind w:left="4842" w:hanging="920"/>
      </w:pPr>
      <w:rPr>
        <w:rFonts w:hint="default"/>
      </w:rPr>
    </w:lvl>
    <w:lvl w:ilvl="6">
      <w:start w:val="0"/>
      <w:numFmt w:val="bullet"/>
      <w:lvlText w:val="•"/>
      <w:lvlJc w:val="left"/>
      <w:pPr>
        <w:ind w:left="5583" w:hanging="920"/>
      </w:pPr>
      <w:rPr>
        <w:rFonts w:hint="default"/>
      </w:rPr>
    </w:lvl>
    <w:lvl w:ilvl="7">
      <w:start w:val="0"/>
      <w:numFmt w:val="bullet"/>
      <w:lvlText w:val="•"/>
      <w:lvlJc w:val="left"/>
      <w:pPr>
        <w:ind w:left="6324" w:hanging="920"/>
      </w:pPr>
      <w:rPr>
        <w:rFonts w:hint="default"/>
      </w:rPr>
    </w:lvl>
    <w:lvl w:ilvl="8">
      <w:start w:val="0"/>
      <w:numFmt w:val="bullet"/>
      <w:lvlText w:val="•"/>
      <w:lvlJc w:val="left"/>
      <w:pPr>
        <w:ind w:left="7064" w:hanging="920"/>
      </w:pPr>
      <w:rPr>
        <w:rFonts w:hint="default"/>
      </w:rPr>
    </w:lvl>
  </w:abstractNum>
  <w:abstractNum w:abstractNumId="2">
    <w:multiLevelType w:val="hybridMultilevel"/>
    <w:lvl w:ilvl="0">
      <w:start w:val="6"/>
      <w:numFmt w:val="decimal"/>
      <w:lvlText w:val="%1"/>
      <w:lvlJc w:val="left"/>
      <w:pPr>
        <w:ind w:left="1346" w:hanging="387"/>
        <w:jc w:val="left"/>
      </w:pPr>
      <w:rPr>
        <w:rFonts w:hint="default"/>
      </w:rPr>
    </w:lvl>
    <w:lvl w:ilvl="1">
      <w:start w:val="3"/>
      <w:numFmt w:val="decimal"/>
      <w:lvlText w:val="%1.%2"/>
      <w:lvlJc w:val="left"/>
      <w:pPr>
        <w:ind w:left="1346" w:hanging="387"/>
        <w:jc w:val="left"/>
      </w:pPr>
      <w:rPr>
        <w:rFonts w:hint="default"/>
      </w:rPr>
    </w:lvl>
    <w:lvl w:ilvl="2">
      <w:start w:val="1"/>
      <w:numFmt w:val="decimal"/>
      <w:lvlText w:val="%1.%2.%3"/>
      <w:lvlJc w:val="left"/>
      <w:pPr>
        <w:ind w:left="1346" w:hanging="387"/>
        <w:jc w:val="left"/>
      </w:pPr>
      <w:rPr>
        <w:rFonts w:hint="default" w:ascii="宋体" w:hAnsi="宋体" w:eastAsia="宋体" w:cs="宋体"/>
        <w:spacing w:val="-1"/>
        <w:w w:val="43"/>
        <w:sz w:val="19"/>
        <w:szCs w:val="19"/>
      </w:rPr>
    </w:lvl>
    <w:lvl w:ilvl="3">
      <w:start w:val="0"/>
      <w:numFmt w:val="bullet"/>
      <w:lvlText w:val="•"/>
      <w:lvlJc w:val="left"/>
      <w:pPr>
        <w:ind w:left="3501" w:hanging="387"/>
      </w:pPr>
      <w:rPr>
        <w:rFonts w:hint="default"/>
      </w:rPr>
    </w:lvl>
    <w:lvl w:ilvl="4">
      <w:start w:val="0"/>
      <w:numFmt w:val="bullet"/>
      <w:lvlText w:val="•"/>
      <w:lvlJc w:val="left"/>
      <w:pPr>
        <w:ind w:left="4222" w:hanging="387"/>
      </w:pPr>
      <w:rPr>
        <w:rFonts w:hint="default"/>
      </w:rPr>
    </w:lvl>
    <w:lvl w:ilvl="5">
      <w:start w:val="0"/>
      <w:numFmt w:val="bullet"/>
      <w:lvlText w:val="•"/>
      <w:lvlJc w:val="left"/>
      <w:pPr>
        <w:ind w:left="4943" w:hanging="387"/>
      </w:pPr>
      <w:rPr>
        <w:rFonts w:hint="default"/>
      </w:rPr>
    </w:lvl>
    <w:lvl w:ilvl="6">
      <w:start w:val="0"/>
      <w:numFmt w:val="bullet"/>
      <w:lvlText w:val="•"/>
      <w:lvlJc w:val="left"/>
      <w:pPr>
        <w:ind w:left="5663" w:hanging="387"/>
      </w:pPr>
      <w:rPr>
        <w:rFonts w:hint="default"/>
      </w:rPr>
    </w:lvl>
    <w:lvl w:ilvl="7">
      <w:start w:val="0"/>
      <w:numFmt w:val="bullet"/>
      <w:lvlText w:val="•"/>
      <w:lvlJc w:val="left"/>
      <w:pPr>
        <w:ind w:left="6384" w:hanging="387"/>
      </w:pPr>
      <w:rPr>
        <w:rFonts w:hint="default"/>
      </w:rPr>
    </w:lvl>
    <w:lvl w:ilvl="8">
      <w:start w:val="0"/>
      <w:numFmt w:val="bullet"/>
      <w:lvlText w:val="•"/>
      <w:lvlJc w:val="left"/>
      <w:pPr>
        <w:ind w:left="7104" w:hanging="387"/>
      </w:pPr>
      <w:rPr>
        <w:rFonts w:hint="default"/>
      </w:rPr>
    </w:lvl>
  </w:abstractNum>
  <w:abstractNum w:abstractNumId="1">
    <w:multiLevelType w:val="hybridMultilevel"/>
    <w:lvl w:ilvl="0">
      <w:start w:val="1"/>
      <w:numFmt w:val="decimal"/>
      <w:lvlText w:val="%1."/>
      <w:lvlJc w:val="left"/>
      <w:pPr>
        <w:ind w:left="960" w:hanging="840"/>
        <w:jc w:val="left"/>
      </w:pPr>
      <w:rPr>
        <w:rFonts w:hint="default" w:ascii="宋体" w:hAnsi="宋体" w:eastAsia="宋体" w:cs="宋体"/>
        <w:spacing w:val="0"/>
        <w:w w:val="99"/>
        <w:sz w:val="21"/>
        <w:szCs w:val="21"/>
      </w:rPr>
    </w:lvl>
    <w:lvl w:ilvl="1">
      <w:start w:val="1"/>
      <w:numFmt w:val="decimal"/>
      <w:lvlText w:val="%1.%2."/>
      <w:lvlJc w:val="left"/>
      <w:pPr>
        <w:ind w:left="1219" w:hanging="680"/>
        <w:jc w:val="left"/>
      </w:pPr>
      <w:rPr>
        <w:rFonts w:hint="default" w:ascii="宋体" w:hAnsi="宋体" w:eastAsia="宋体" w:cs="宋体"/>
        <w:spacing w:val="-1"/>
        <w:w w:val="43"/>
        <w:sz w:val="21"/>
        <w:szCs w:val="21"/>
      </w:rPr>
    </w:lvl>
    <w:lvl w:ilvl="2">
      <w:start w:val="1"/>
      <w:numFmt w:val="decimal"/>
      <w:lvlText w:val="%1.%2.%3."/>
      <w:lvlJc w:val="left"/>
      <w:pPr>
        <w:ind w:left="1497" w:hanging="538"/>
        <w:jc w:val="left"/>
      </w:pPr>
      <w:rPr>
        <w:rFonts w:hint="default" w:ascii="宋体" w:hAnsi="宋体" w:eastAsia="宋体" w:cs="宋体"/>
        <w:spacing w:val="-1"/>
        <w:w w:val="43"/>
        <w:sz w:val="21"/>
        <w:szCs w:val="21"/>
      </w:rPr>
    </w:lvl>
    <w:lvl w:ilvl="3">
      <w:start w:val="0"/>
      <w:numFmt w:val="bullet"/>
      <w:lvlText w:val="•"/>
      <w:lvlJc w:val="left"/>
      <w:pPr>
        <w:ind w:left="1660" w:hanging="538"/>
      </w:pPr>
      <w:rPr>
        <w:rFonts w:hint="default"/>
      </w:rPr>
    </w:lvl>
    <w:lvl w:ilvl="4">
      <w:start w:val="0"/>
      <w:numFmt w:val="bullet"/>
      <w:lvlText w:val="•"/>
      <w:lvlJc w:val="left"/>
      <w:pPr>
        <w:ind w:left="2643" w:hanging="538"/>
      </w:pPr>
      <w:rPr>
        <w:rFonts w:hint="default"/>
      </w:rPr>
    </w:lvl>
    <w:lvl w:ilvl="5">
      <w:start w:val="0"/>
      <w:numFmt w:val="bullet"/>
      <w:lvlText w:val="•"/>
      <w:lvlJc w:val="left"/>
      <w:pPr>
        <w:ind w:left="3627" w:hanging="538"/>
      </w:pPr>
      <w:rPr>
        <w:rFonts w:hint="default"/>
      </w:rPr>
    </w:lvl>
    <w:lvl w:ilvl="6">
      <w:start w:val="0"/>
      <w:numFmt w:val="bullet"/>
      <w:lvlText w:val="•"/>
      <w:lvlJc w:val="left"/>
      <w:pPr>
        <w:ind w:left="4611" w:hanging="538"/>
      </w:pPr>
      <w:rPr>
        <w:rFonts w:hint="default"/>
      </w:rPr>
    </w:lvl>
    <w:lvl w:ilvl="7">
      <w:start w:val="0"/>
      <w:numFmt w:val="bullet"/>
      <w:lvlText w:val="•"/>
      <w:lvlJc w:val="left"/>
      <w:pPr>
        <w:ind w:left="5594" w:hanging="538"/>
      </w:pPr>
      <w:rPr>
        <w:rFonts w:hint="default"/>
      </w:rPr>
    </w:lvl>
    <w:lvl w:ilvl="8">
      <w:start w:val="0"/>
      <w:numFmt w:val="bullet"/>
      <w:lvlText w:val="•"/>
      <w:lvlJc w:val="left"/>
      <w:pPr>
        <w:ind w:left="6578" w:hanging="538"/>
      </w:pPr>
      <w:rPr>
        <w:rFonts w:hint="default"/>
      </w:rPr>
    </w:lvl>
  </w:abstractNum>
  <w:abstractNum w:abstractNumId="0">
    <w:multiLevelType w:val="hybridMultilevel"/>
    <w:lvl w:ilvl="0">
      <w:start w:val="0"/>
      <w:numFmt w:val="bullet"/>
      <w:lvlText w:val="�"/>
      <w:lvlJc w:val="left"/>
      <w:pPr>
        <w:ind w:left="849" w:hanging="420"/>
      </w:pPr>
      <w:rPr>
        <w:rFonts w:hint="default" w:ascii="Wingdings" w:hAnsi="Wingdings" w:eastAsia="Wingdings" w:cs="Wingdings"/>
        <w:w w:val="157"/>
        <w:sz w:val="21"/>
        <w:szCs w:val="21"/>
      </w:rPr>
    </w:lvl>
    <w:lvl w:ilvl="1">
      <w:start w:val="0"/>
      <w:numFmt w:val="bullet"/>
      <w:lvlText w:val="•"/>
      <w:lvlJc w:val="left"/>
      <w:pPr>
        <w:ind w:left="1674" w:hanging="420"/>
      </w:pPr>
      <w:rPr>
        <w:rFonts w:hint="default"/>
      </w:rPr>
    </w:lvl>
    <w:lvl w:ilvl="2">
      <w:start w:val="0"/>
      <w:numFmt w:val="bullet"/>
      <w:lvlText w:val="•"/>
      <w:lvlJc w:val="left"/>
      <w:pPr>
        <w:ind w:left="2509" w:hanging="420"/>
      </w:pPr>
      <w:rPr>
        <w:rFonts w:hint="default"/>
      </w:rPr>
    </w:lvl>
    <w:lvl w:ilvl="3">
      <w:start w:val="0"/>
      <w:numFmt w:val="bullet"/>
      <w:lvlText w:val="•"/>
      <w:lvlJc w:val="left"/>
      <w:pPr>
        <w:ind w:left="3343" w:hanging="420"/>
      </w:pPr>
      <w:rPr>
        <w:rFonts w:hint="default"/>
      </w:rPr>
    </w:lvl>
    <w:lvl w:ilvl="4">
      <w:start w:val="0"/>
      <w:numFmt w:val="bullet"/>
      <w:lvlText w:val="•"/>
      <w:lvlJc w:val="left"/>
      <w:pPr>
        <w:ind w:left="4178" w:hanging="420"/>
      </w:pPr>
      <w:rPr>
        <w:rFonts w:hint="default"/>
      </w:rPr>
    </w:lvl>
    <w:lvl w:ilvl="5">
      <w:start w:val="0"/>
      <w:numFmt w:val="bullet"/>
      <w:lvlText w:val="•"/>
      <w:lvlJc w:val="left"/>
      <w:pPr>
        <w:ind w:left="5013" w:hanging="420"/>
      </w:pPr>
      <w:rPr>
        <w:rFonts w:hint="default"/>
      </w:rPr>
    </w:lvl>
    <w:lvl w:ilvl="6">
      <w:start w:val="0"/>
      <w:numFmt w:val="bullet"/>
      <w:lvlText w:val="•"/>
      <w:lvlJc w:val="left"/>
      <w:pPr>
        <w:ind w:left="5847" w:hanging="420"/>
      </w:pPr>
      <w:rPr>
        <w:rFonts w:hint="default"/>
      </w:rPr>
    </w:lvl>
    <w:lvl w:ilvl="7">
      <w:start w:val="0"/>
      <w:numFmt w:val="bullet"/>
      <w:lvlText w:val="•"/>
      <w:lvlJc w:val="left"/>
      <w:pPr>
        <w:ind w:left="6682" w:hanging="420"/>
      </w:pPr>
      <w:rPr>
        <w:rFonts w:hint="default"/>
      </w:rPr>
    </w:lvl>
    <w:lvl w:ilvl="8">
      <w:start w:val="0"/>
      <w:numFmt w:val="bullet"/>
      <w:lvlText w:val="•"/>
      <w:lvlJc w:val="left"/>
      <w:pPr>
        <w:ind w:left="7516" w:hanging="42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960" w:hanging="840"/>
    </w:pPr>
    <w:rPr>
      <w:rFonts w:ascii="宋体" w:hAnsi="宋体" w:eastAsia="宋体" w:cs="宋体"/>
      <w:sz w:val="21"/>
      <w:szCs w:val="21"/>
    </w:rPr>
  </w:style>
  <w:style w:styleId="TOC2" w:type="paragraph">
    <w:name w:val="TOC 2"/>
    <w:basedOn w:val="Normal"/>
    <w:uiPriority w:val="1"/>
    <w:qFormat/>
    <w:pPr>
      <w:spacing w:before="21"/>
      <w:ind w:left="1219" w:hanging="679"/>
    </w:pPr>
    <w:rPr>
      <w:rFonts w:ascii="宋体" w:hAnsi="宋体" w:eastAsia="宋体" w:cs="宋体"/>
      <w:sz w:val="21"/>
      <w:szCs w:val="21"/>
    </w:rPr>
  </w:style>
  <w:style w:styleId="TOC3" w:type="paragraph">
    <w:name w:val="TOC 3"/>
    <w:basedOn w:val="Normal"/>
    <w:uiPriority w:val="1"/>
    <w:qFormat/>
    <w:pPr>
      <w:spacing w:before="21"/>
      <w:ind w:left="1879" w:hanging="919"/>
    </w:pPr>
    <w:rPr>
      <w:rFonts w:ascii="宋体" w:hAnsi="宋体" w:eastAsia="宋体" w:cs="宋体"/>
      <w:sz w:val="21"/>
      <w:szCs w:val="21"/>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429" w:lineRule="exact"/>
      <w:ind w:left="17"/>
      <w:jc w:val="center"/>
      <w:outlineLvl w:val="1"/>
    </w:pPr>
    <w:rPr>
      <w:rFonts w:ascii="Microsoft JhengHei UI" w:hAnsi="Microsoft JhengHei UI" w:eastAsia="Microsoft JhengHei UI" w:cs="Microsoft JhengHei UI"/>
      <w:b/>
      <w:bCs/>
      <w:sz w:val="28"/>
      <w:szCs w:val="28"/>
    </w:rPr>
  </w:style>
  <w:style w:styleId="Heading2" w:type="paragraph">
    <w:name w:val="Heading 2"/>
    <w:basedOn w:val="Normal"/>
    <w:uiPriority w:val="1"/>
    <w:qFormat/>
    <w:pPr>
      <w:ind w:left="846" w:hanging="720"/>
      <w:outlineLvl w:val="2"/>
    </w:pPr>
    <w:rPr>
      <w:rFonts w:ascii="Microsoft JhengHei UI" w:hAnsi="Microsoft JhengHei UI" w:eastAsia="Microsoft JhengHei UI" w:cs="Microsoft JhengHei UI"/>
      <w:b/>
      <w:bCs/>
      <w:sz w:val="21"/>
      <w:szCs w:val="21"/>
    </w:rPr>
  </w:style>
  <w:style w:styleId="ListParagraph" w:type="paragraph">
    <w:name w:val="List Paragraph"/>
    <w:basedOn w:val="Normal"/>
    <w:uiPriority w:val="1"/>
    <w:qFormat/>
    <w:pPr>
      <w:ind w:left="846" w:hanging="7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yperlink" Target="http://www.njbxw.com/data/index.asp" TargetMode="External"/><Relationship Id="rId11" Type="http://schemas.openxmlformats.org/officeDocument/2006/relationships/footer" Target="footer5.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 Corporation</dc:creator>
  <dc:title>阅读指引</dc:title>
  <dcterms:created xsi:type="dcterms:W3CDTF">2018-10-20T02:09:15Z</dcterms:created>
  <dcterms:modified xsi:type="dcterms:W3CDTF">2018-10-20T02:09:15Z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2014-07-21T00:00:00Z</vt:filetime>
  </property>
  <property fmtid="{D5CDD505-2E9C-101B-9397-08002B2CF9AE}" pid="3" name="Creator">
    <vt:lpwstr>WPS Office 个人版</vt:lpwstr>
  </property>
  <property fmtid="{D5CDD505-2E9C-101B-9397-08002B2CF9AE}" pid="4" name="LastSaved">
    <vt:filetime>2014-07-21T00:00:00Z</vt:filetime>
  </property>
</Properties>
</file>