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2" w:after="86"/>
        <w:ind w:left="0" w:right="110"/>
        <w:jc w:val="right"/>
      </w:pPr>
      <w:r>
        <w:rPr/>
        <w:t>人保健康[2015]疾病保险 010 号</w:t>
      </w:r>
    </w:p>
    <w:p>
      <w:pPr>
        <w:pStyle w:val="BodyText"/>
        <w:spacing w:before="0"/>
        <w:ind w:left="8812"/>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after="0"/>
        <w:rPr>
          <w:sz w:val="20"/>
        </w:rPr>
        <w:sectPr>
          <w:type w:val="continuous"/>
          <w:pgSz w:w="11910" w:h="16840"/>
          <w:pgMar w:top="240" w:bottom="280" w:left="720" w:right="220"/>
        </w:sectPr>
      </w:pPr>
    </w:p>
    <w:p>
      <w:pPr>
        <w:pStyle w:val="Heading1"/>
        <w:spacing w:line="305" w:lineRule="exact"/>
        <w:ind w:left="2984"/>
      </w:pPr>
      <w:r>
        <w:rPr>
          <w:w w:val="95"/>
        </w:rPr>
        <w:t>中国人民健康保险股份有限公司</w:t>
      </w:r>
    </w:p>
    <w:p>
      <w:pPr>
        <w:spacing w:before="99"/>
        <w:ind w:left="2984" w:right="0" w:firstLine="0"/>
        <w:jc w:val="left"/>
        <w:rPr>
          <w:b/>
          <w:sz w:val="32"/>
        </w:rPr>
      </w:pPr>
      <w:r>
        <w:rPr>
          <w:b/>
          <w:w w:val="95"/>
          <w:sz w:val="32"/>
        </w:rPr>
        <w:t>乐享童年少儿重大疾病保险条款</w:t>
      </w:r>
    </w:p>
    <w:p>
      <w:pPr>
        <w:pStyle w:val="BodyText"/>
        <w:spacing w:before="38"/>
        <w:ind w:left="811"/>
      </w:pPr>
      <w:r>
        <w:rPr/>
        <w:br w:type="column"/>
      </w:r>
      <w:r>
        <w:rPr/>
        <w:t>请扫描以查询验证条款</w:t>
      </w:r>
    </w:p>
    <w:p>
      <w:pPr>
        <w:spacing w:after="0"/>
        <w:sectPr>
          <w:type w:val="continuous"/>
          <w:pgSz w:w="11910" w:h="16840"/>
          <w:pgMar w:top="240" w:bottom="280" w:left="720" w:right="220"/>
          <w:cols w:num="2" w:equalWidth="0">
            <w:col w:w="7482" w:space="40"/>
            <w:col w:w="3448"/>
          </w:cols>
        </w:sectPr>
      </w:pPr>
    </w:p>
    <w:p>
      <w:pPr>
        <w:pStyle w:val="BodyText"/>
        <w:spacing w:before="3"/>
        <w:ind w:left="0"/>
        <w:rPr>
          <w:sz w:val="16"/>
        </w:rPr>
      </w:pPr>
    </w:p>
    <w:p>
      <w:pPr>
        <w:spacing w:before="8"/>
        <w:ind w:left="207" w:right="704" w:firstLine="0"/>
        <w:jc w:val="center"/>
        <w:rPr>
          <w:rFonts w:ascii="黑体" w:eastAsia="黑体" w:hint="eastAsia"/>
          <w:b/>
          <w:sz w:val="30"/>
        </w:rPr>
      </w:pPr>
      <w:r>
        <w:rPr>
          <w:rFonts w:ascii="黑体" w:eastAsia="黑体" w:hint="eastAsia"/>
          <w:b/>
          <w:w w:val="95"/>
          <w:sz w:val="30"/>
        </w:rPr>
        <w:t>阅读指引</w:t>
      </w:r>
    </w:p>
    <w:p>
      <w:pPr>
        <w:pStyle w:val="BodyText"/>
        <w:spacing w:before="146"/>
        <w:ind w:left="207" w:right="704"/>
        <w:jc w:val="center"/>
      </w:pPr>
      <w:r>
        <w:rPr/>
        <w:drawing>
          <wp:anchor distT="0" distB="0" distL="0" distR="0" allowOverlap="1" layoutInCell="1" locked="0" behindDoc="1" simplePos="0" relativeHeight="268423607">
            <wp:simplePos x="0" y="0"/>
            <wp:positionH relativeFrom="page">
              <wp:posOffset>529259</wp:posOffset>
            </wp:positionH>
            <wp:positionV relativeFrom="paragraph">
              <wp:posOffset>327381</wp:posOffset>
            </wp:positionV>
            <wp:extent cx="6506603" cy="726098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06603" cy="7260983"/>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投</w:t>
      </w:r>
      <w:r>
        <w:rPr>
          <w:spacing w:val="-63"/>
          <w:position w:val="-7"/>
        </w:rPr>
        <w:t>．</w:t>
      </w:r>
      <w:r>
        <w:rPr>
          <w:spacing w:val="-148"/>
        </w:rPr>
        <w:t>保</w:t>
      </w:r>
      <w:r>
        <w:rPr>
          <w:spacing w:val="-63"/>
          <w:position w:val="-7"/>
        </w:rPr>
        <w:t>．</w:t>
      </w:r>
      <w:r>
        <w:rPr>
          <w:spacing w:val="-148"/>
        </w:rPr>
        <w:t>人</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2"/>
        <w:spacing w:before="88"/>
        <w:ind w:left="277"/>
      </w:pPr>
      <w:r>
        <w:rPr>
          <w:rFonts w:ascii="Arial" w:hAnsi="Arial" w:eastAsia="Arial"/>
          <w:w w:val="105"/>
          <w:position w:val="-11"/>
          <w:sz w:val="52"/>
        </w:rPr>
        <w:t></w:t>
      </w:r>
      <w:r>
        <w:rPr>
          <w:rFonts w:ascii="Arial" w:hAnsi="Arial" w:eastAsia="Arial"/>
          <w:spacing w:val="58"/>
          <w:w w:val="105"/>
          <w:position w:val="-11"/>
          <w:sz w:val="52"/>
        </w:rPr>
        <w:t> </w:t>
      </w:r>
      <w:r>
        <w:rPr>
          <w:w w:val="105"/>
        </w:rPr>
        <w:t>投保人拥有的重要权益</w:t>
      </w:r>
    </w:p>
    <w:p>
      <w:pPr>
        <w:pStyle w:val="ListParagraph"/>
        <w:numPr>
          <w:ilvl w:val="0"/>
          <w:numId w:val="1"/>
        </w:numPr>
        <w:tabs>
          <w:tab w:pos="1304" w:val="left" w:leader="none"/>
          <w:tab w:pos="1305" w:val="left" w:leader="none"/>
          <w:tab w:pos="9598" w:val="right" w:leader="dot"/>
        </w:tabs>
        <w:spacing w:line="240" w:lineRule="auto" w:before="22" w:after="0"/>
        <w:ind w:left="1304" w:right="0" w:hanging="420"/>
        <w:jc w:val="left"/>
        <w:rPr>
          <w:sz w:val="21"/>
        </w:rPr>
      </w:pPr>
      <w:r>
        <w:rPr>
          <w:sz w:val="21"/>
        </w:rPr>
        <w:t>本合同为被保险人提供的保障内容在保险责任条款中列明…</w:t>
        <w:tab/>
        <w:t>2.3</w:t>
      </w:r>
    </w:p>
    <w:p>
      <w:pPr>
        <w:pStyle w:val="ListParagraph"/>
        <w:numPr>
          <w:ilvl w:val="0"/>
          <w:numId w:val="1"/>
        </w:numPr>
        <w:tabs>
          <w:tab w:pos="1304" w:val="left" w:leader="none"/>
          <w:tab w:pos="1305" w:val="left" w:leader="none"/>
          <w:tab w:pos="9598" w:val="right" w:leader="dot"/>
        </w:tabs>
        <w:spacing w:line="240" w:lineRule="auto" w:before="22" w:after="0"/>
        <w:ind w:left="1304" w:right="0" w:hanging="420"/>
        <w:jc w:val="left"/>
        <w:rPr>
          <w:sz w:val="21"/>
        </w:rPr>
      </w:pPr>
      <w:r>
        <w:rPr>
          <w:sz w:val="21"/>
        </w:rPr>
        <w:t>投保人有解除本合同的权利…</w:t>
        <w:tab/>
        <w:t>3.2</w:t>
      </w:r>
    </w:p>
    <w:p>
      <w:pPr>
        <w:pStyle w:val="Heading2"/>
        <w:spacing w:before="25"/>
        <w:ind w:left="277"/>
      </w:pPr>
      <w:r>
        <w:rPr>
          <w:rFonts w:ascii="Arial" w:hAnsi="Arial" w:eastAsia="Arial"/>
          <w:w w:val="105"/>
          <w:position w:val="-11"/>
          <w:sz w:val="52"/>
        </w:rPr>
        <w:t> </w:t>
      </w:r>
      <w:r>
        <w:rPr>
          <w:w w:val="105"/>
        </w:rPr>
        <w:t>投保人需要特别注意的事项</w:t>
      </w:r>
    </w:p>
    <w:p>
      <w:pPr>
        <w:pStyle w:val="ListParagraph"/>
        <w:numPr>
          <w:ilvl w:val="0"/>
          <w:numId w:val="1"/>
        </w:numPr>
        <w:tabs>
          <w:tab w:pos="1304" w:val="left" w:leader="none"/>
          <w:tab w:pos="1305" w:val="left" w:leader="none"/>
          <w:tab w:pos="9600" w:val="right" w:leader="dot"/>
        </w:tabs>
        <w:spacing w:line="240" w:lineRule="auto" w:before="22" w:after="0"/>
        <w:ind w:left="1304" w:right="0" w:hanging="420"/>
        <w:jc w:val="left"/>
        <w:rPr>
          <w:sz w:val="21"/>
        </w:rPr>
      </w:pPr>
      <w:r>
        <w:rPr>
          <w:sz w:val="21"/>
        </w:rPr>
        <w:t>对某些情形造成的保险事故，本公司不承担保险责任…</w:t>
        <w:tab/>
        <w:t>2.4</w:t>
      </w:r>
    </w:p>
    <w:p>
      <w:pPr>
        <w:pStyle w:val="ListParagraph"/>
        <w:numPr>
          <w:ilvl w:val="0"/>
          <w:numId w:val="1"/>
        </w:numPr>
        <w:tabs>
          <w:tab w:pos="1304" w:val="left" w:leader="none"/>
          <w:tab w:pos="1305" w:val="left" w:leader="none"/>
          <w:tab w:pos="9600" w:val="right" w:leader="dot"/>
        </w:tabs>
        <w:spacing w:line="240" w:lineRule="auto" w:before="22" w:after="0"/>
        <w:ind w:left="1304" w:right="0" w:hanging="420"/>
        <w:jc w:val="left"/>
        <w:rPr>
          <w:sz w:val="21"/>
        </w:rPr>
      </w:pPr>
      <w:r>
        <w:rPr>
          <w:sz w:val="21"/>
        </w:rPr>
        <w:t>投保人有如实告知的义务…</w:t>
        <w:tab/>
        <w:t>6.1</w:t>
      </w:r>
    </w:p>
    <w:p>
      <w:pPr>
        <w:pStyle w:val="ListParagraph"/>
        <w:numPr>
          <w:ilvl w:val="0"/>
          <w:numId w:val="1"/>
        </w:numPr>
        <w:tabs>
          <w:tab w:pos="1304" w:val="left" w:leader="none"/>
          <w:tab w:pos="1305" w:val="left" w:leader="none"/>
          <w:tab w:pos="9600" w:val="right" w:leader="dot"/>
        </w:tabs>
        <w:spacing w:line="240" w:lineRule="auto" w:before="22" w:after="0"/>
        <w:ind w:left="1304" w:right="0" w:hanging="420"/>
        <w:jc w:val="left"/>
        <w:rPr>
          <w:sz w:val="21"/>
        </w:rPr>
      </w:pPr>
      <w:r>
        <w:rPr>
          <w:sz w:val="21"/>
        </w:rPr>
        <w:t>保险事故发生后，请及时通知本公司…</w:t>
        <w:tab/>
        <w:t>5.1</w:t>
      </w:r>
    </w:p>
    <w:p>
      <w:pPr>
        <w:pStyle w:val="ListParagraph"/>
        <w:numPr>
          <w:ilvl w:val="0"/>
          <w:numId w:val="1"/>
        </w:numPr>
        <w:tabs>
          <w:tab w:pos="1304" w:val="left" w:leader="none"/>
          <w:tab w:pos="1305" w:val="left" w:leader="none"/>
          <w:tab w:pos="9600" w:val="right" w:leader="dot"/>
        </w:tabs>
        <w:spacing w:line="240" w:lineRule="auto" w:before="22" w:after="0"/>
        <w:ind w:left="1304" w:right="0" w:hanging="420"/>
        <w:jc w:val="left"/>
        <w:rPr>
          <w:sz w:val="21"/>
        </w:rPr>
      </w:pPr>
      <w:r>
        <w:rPr>
          <w:sz w:val="21"/>
        </w:rPr>
        <w:t>解除合同会造成一定的损失，请慎重抉择…</w:t>
        <w:tab/>
        <w:t>3.2</w:t>
      </w:r>
    </w:p>
    <w:p>
      <w:pPr>
        <w:pStyle w:val="ListParagraph"/>
        <w:numPr>
          <w:ilvl w:val="0"/>
          <w:numId w:val="1"/>
        </w:numPr>
        <w:tabs>
          <w:tab w:pos="1304" w:val="left" w:leader="none"/>
          <w:tab w:pos="1305" w:val="left" w:leader="none"/>
          <w:tab w:pos="9390" w:val="right" w:leader="dot"/>
        </w:tabs>
        <w:spacing w:line="240" w:lineRule="auto" w:before="22" w:after="0"/>
        <w:ind w:left="1304" w:right="0" w:hanging="420"/>
        <w:jc w:val="left"/>
        <w:rPr>
          <w:sz w:val="21"/>
        </w:rPr>
      </w:pPr>
      <w:r>
        <w:rPr>
          <w:sz w:val="21"/>
        </w:rPr>
        <w:t>本合同对条款中出现的一些重要术语进行了解释，请投保人注意…</w:t>
        <w:tab/>
        <w:t>7</w:t>
      </w:r>
    </w:p>
    <w:p>
      <w:pPr>
        <w:pStyle w:val="ListParagraph"/>
        <w:numPr>
          <w:ilvl w:val="0"/>
          <w:numId w:val="1"/>
        </w:numPr>
        <w:tabs>
          <w:tab w:pos="1304" w:val="left" w:leader="none"/>
          <w:tab w:pos="1305" w:val="left" w:leader="none"/>
          <w:tab w:pos="9703" w:val="right" w:leader="dot"/>
        </w:tabs>
        <w:spacing w:line="240" w:lineRule="auto" w:before="22" w:after="0"/>
        <w:ind w:left="1304" w:right="0" w:hanging="420"/>
        <w:jc w:val="left"/>
        <w:rPr>
          <w:sz w:val="21"/>
        </w:rPr>
      </w:pPr>
      <w:r>
        <w:rPr>
          <w:sz w:val="21"/>
        </w:rPr>
        <w:t>请投保人仔细阅读本合同对少儿重大疾病的定义…</w:t>
        <w:tab/>
        <w:t>7.14</w:t>
      </w:r>
    </w:p>
    <w:p>
      <w:pPr>
        <w:spacing w:before="25"/>
        <w:ind w:left="207" w:right="853" w:firstLine="0"/>
        <w:jc w:val="center"/>
        <w:rPr>
          <w:b/>
          <w:sz w:val="21"/>
        </w:rPr>
      </w:pPr>
      <w:r>
        <w:rPr>
          <w:rFonts w:ascii="Arial" w:hAnsi="Arial" w:eastAsia="Arial"/>
          <w:b/>
          <w:position w:val="-11"/>
          <w:sz w:val="52"/>
        </w:rPr>
        <w:t>  </w:t>
      </w:r>
      <w:r>
        <w:rPr>
          <w:b/>
          <w:sz w:val="21"/>
        </w:rPr>
        <w:t>条款中凡是以</w:t>
      </w:r>
      <w:r>
        <w:rPr>
          <w:rFonts w:ascii="黑体" w:hAnsi="黑体" w:eastAsia="黑体" w:hint="eastAsia"/>
          <w:sz w:val="21"/>
          <w:u w:val="single"/>
        </w:rPr>
        <w:t>黑体字加下划线</w:t>
      </w:r>
      <w:r>
        <w:rPr>
          <w:b/>
          <w:sz w:val="21"/>
        </w:rPr>
        <w:t>标示的内容均为免除或减轻本公司责任的条款，请投保人特别注意。</w:t>
      </w:r>
    </w:p>
    <w:p>
      <w:pPr>
        <w:pStyle w:val="Heading2"/>
        <w:spacing w:before="25"/>
        <w:ind w:left="277"/>
      </w:pPr>
      <w:r>
        <w:rPr>
          <w:rFonts w:ascii="Arial" w:hAnsi="Arial" w:eastAsia="Arial"/>
          <w:position w:val="-11"/>
          <w:sz w:val="52"/>
        </w:rPr>
        <w:t>  </w:t>
      </w:r>
      <w:r>
        <w:rPr/>
        <w:t>条款是保险合同的重要内容，为充分保障投保人的权益，请投保人仔细阅读本条款。</w:t>
      </w:r>
    </w:p>
    <w:p>
      <w:pPr>
        <w:pStyle w:val="BodyText"/>
        <w:spacing w:before="3"/>
        <w:ind w:left="0"/>
        <w:rPr>
          <w:b/>
          <w:sz w:val="16"/>
        </w:rPr>
      </w:pPr>
    </w:p>
    <w:tbl>
      <w:tblPr>
        <w:tblW w:w="0" w:type="auto"/>
        <w:jc w:val="left"/>
        <w:tblInd w:w="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0"/>
        <w:gridCol w:w="789"/>
        <w:gridCol w:w="2526"/>
        <w:gridCol w:w="3062"/>
      </w:tblGrid>
      <w:tr>
        <w:trPr>
          <w:trHeight w:val="340" w:hRule="atLeast"/>
        </w:trPr>
        <w:tc>
          <w:tcPr>
            <w:tcW w:w="9357" w:type="dxa"/>
            <w:gridSpan w:val="4"/>
            <w:tcBorders>
              <w:bottom w:val="dotted" w:sz="6" w:space="0" w:color="000000"/>
            </w:tcBorders>
          </w:tcPr>
          <w:p>
            <w:pPr>
              <w:pStyle w:val="TableParagraph"/>
              <w:spacing w:line="321" w:lineRule="exact"/>
              <w:ind w:left="-312"/>
              <w:rPr>
                <w:b/>
                <w:sz w:val="21"/>
              </w:rPr>
            </w:pPr>
            <w:r>
              <w:rPr>
                <w:rFonts w:ascii="Arial" w:hAnsi="Arial" w:eastAsia="Arial"/>
                <w:b/>
                <w:w w:val="110"/>
                <w:position w:val="-11"/>
                <w:sz w:val="52"/>
              </w:rPr>
              <w:t> </w:t>
            </w:r>
            <w:r>
              <w:rPr>
                <w:b/>
                <w:w w:val="110"/>
                <w:sz w:val="21"/>
              </w:rPr>
              <w:t>条款目录</w:t>
            </w:r>
          </w:p>
        </w:tc>
      </w:tr>
      <w:tr>
        <w:trPr>
          <w:trHeight w:val="523" w:hRule="atLeast"/>
        </w:trPr>
        <w:tc>
          <w:tcPr>
            <w:tcW w:w="2980" w:type="dxa"/>
            <w:tcBorders>
              <w:top w:val="dotted" w:sz="6" w:space="0" w:color="000000"/>
              <w:left w:val="dotted" w:sz="6" w:space="0" w:color="000000"/>
            </w:tcBorders>
          </w:tcPr>
          <w:p>
            <w:pPr>
              <w:pStyle w:val="TableParagraph"/>
              <w:spacing w:before="10"/>
              <w:rPr>
                <w:b/>
                <w:sz w:val="15"/>
              </w:rPr>
            </w:pPr>
          </w:p>
          <w:p>
            <w:pPr>
              <w:pStyle w:val="TableParagraph"/>
              <w:ind w:left="344"/>
              <w:rPr>
                <w:b/>
                <w:sz w:val="21"/>
              </w:rPr>
            </w:pPr>
            <w:r>
              <w:rPr>
                <w:b/>
                <w:w w:val="95"/>
                <w:sz w:val="21"/>
              </w:rPr>
              <w:t>1．被保险人范围</w:t>
            </w:r>
          </w:p>
        </w:tc>
        <w:tc>
          <w:tcPr>
            <w:tcW w:w="789" w:type="dxa"/>
            <w:tcBorders>
              <w:top w:val="dotted" w:sz="6" w:space="0" w:color="000000"/>
            </w:tcBorders>
          </w:tcPr>
          <w:p>
            <w:pPr>
              <w:pStyle w:val="TableParagraph"/>
              <w:spacing w:before="6"/>
              <w:rPr>
                <w:b/>
                <w:sz w:val="14"/>
              </w:rPr>
            </w:pPr>
          </w:p>
          <w:p>
            <w:pPr>
              <w:pStyle w:val="TableParagraph"/>
              <w:ind w:right="42"/>
              <w:jc w:val="right"/>
              <w:rPr>
                <w:sz w:val="21"/>
              </w:rPr>
            </w:pPr>
            <w:r>
              <w:rPr>
                <w:sz w:val="21"/>
              </w:rPr>
              <w:t>5.3</w:t>
            </w:r>
          </w:p>
        </w:tc>
        <w:tc>
          <w:tcPr>
            <w:tcW w:w="2526" w:type="dxa"/>
            <w:tcBorders>
              <w:top w:val="dotted" w:sz="6" w:space="0" w:color="000000"/>
            </w:tcBorders>
          </w:tcPr>
          <w:p>
            <w:pPr>
              <w:pStyle w:val="TableParagraph"/>
              <w:spacing w:before="6"/>
              <w:rPr>
                <w:b/>
                <w:sz w:val="14"/>
              </w:rPr>
            </w:pPr>
          </w:p>
          <w:p>
            <w:pPr>
              <w:pStyle w:val="TableParagraph"/>
              <w:ind w:left="60"/>
              <w:rPr>
                <w:sz w:val="21"/>
              </w:rPr>
            </w:pPr>
            <w:r>
              <w:rPr>
                <w:sz w:val="21"/>
              </w:rPr>
              <w:t>保险金申请资料</w:t>
            </w:r>
          </w:p>
        </w:tc>
        <w:tc>
          <w:tcPr>
            <w:tcW w:w="3062" w:type="dxa"/>
            <w:tcBorders>
              <w:top w:val="dotted" w:sz="6" w:space="0" w:color="000000"/>
              <w:right w:val="dotted" w:sz="6" w:space="0" w:color="000000"/>
            </w:tcBorders>
          </w:tcPr>
          <w:p>
            <w:pPr>
              <w:pStyle w:val="TableParagraph"/>
              <w:spacing w:before="10"/>
              <w:rPr>
                <w:b/>
                <w:sz w:val="15"/>
              </w:rPr>
            </w:pPr>
          </w:p>
          <w:p>
            <w:pPr>
              <w:pStyle w:val="TableParagraph"/>
              <w:ind w:left="174"/>
              <w:rPr>
                <w:sz w:val="21"/>
              </w:rPr>
            </w:pPr>
            <w:r>
              <w:rPr>
                <w:sz w:val="21"/>
              </w:rPr>
              <w:t>7.5 遗传性疾病</w:t>
            </w:r>
          </w:p>
        </w:tc>
      </w:tr>
      <w:tr>
        <w:trPr>
          <w:trHeight w:val="311" w:hRule="atLeast"/>
        </w:trPr>
        <w:tc>
          <w:tcPr>
            <w:tcW w:w="2980" w:type="dxa"/>
            <w:tcBorders>
              <w:left w:val="dotted" w:sz="6" w:space="0" w:color="000000"/>
            </w:tcBorders>
          </w:tcPr>
          <w:p>
            <w:pPr>
              <w:pStyle w:val="TableParagraph"/>
              <w:spacing w:line="270" w:lineRule="exact"/>
              <w:ind w:left="553"/>
              <w:rPr>
                <w:sz w:val="21"/>
              </w:rPr>
            </w:pPr>
            <w:r>
              <w:rPr>
                <w:sz w:val="21"/>
              </w:rPr>
              <w:t>1.1 被保险人范围</w:t>
            </w:r>
          </w:p>
        </w:tc>
        <w:tc>
          <w:tcPr>
            <w:tcW w:w="789" w:type="dxa"/>
          </w:tcPr>
          <w:p>
            <w:pPr>
              <w:pStyle w:val="TableParagraph"/>
              <w:spacing w:line="252" w:lineRule="exact"/>
              <w:ind w:right="42"/>
              <w:jc w:val="right"/>
              <w:rPr>
                <w:sz w:val="21"/>
              </w:rPr>
            </w:pPr>
            <w:r>
              <w:rPr>
                <w:sz w:val="21"/>
              </w:rPr>
              <w:t>5.4</w:t>
            </w:r>
          </w:p>
        </w:tc>
        <w:tc>
          <w:tcPr>
            <w:tcW w:w="2526" w:type="dxa"/>
          </w:tcPr>
          <w:p>
            <w:pPr>
              <w:pStyle w:val="TableParagraph"/>
              <w:spacing w:line="252" w:lineRule="exact"/>
              <w:ind w:left="60"/>
              <w:rPr>
                <w:sz w:val="21"/>
              </w:rPr>
            </w:pPr>
            <w:r>
              <w:rPr>
                <w:sz w:val="21"/>
              </w:rPr>
              <w:t>保险金的给付</w:t>
            </w:r>
          </w:p>
        </w:tc>
        <w:tc>
          <w:tcPr>
            <w:tcW w:w="3062" w:type="dxa"/>
            <w:tcBorders>
              <w:right w:val="dotted" w:sz="6" w:space="0" w:color="000000"/>
            </w:tcBorders>
          </w:tcPr>
          <w:p>
            <w:pPr>
              <w:pStyle w:val="TableParagraph"/>
              <w:spacing w:line="270" w:lineRule="exact"/>
              <w:ind w:left="174"/>
              <w:rPr>
                <w:sz w:val="21"/>
              </w:rPr>
            </w:pPr>
            <w:r>
              <w:rPr>
                <w:sz w:val="21"/>
              </w:rPr>
              <w:t>7.6 先天性畸形、变形或染色</w:t>
            </w:r>
          </w:p>
        </w:tc>
      </w:tr>
      <w:tr>
        <w:trPr>
          <w:trHeight w:val="311" w:hRule="atLeast"/>
        </w:trPr>
        <w:tc>
          <w:tcPr>
            <w:tcW w:w="2980" w:type="dxa"/>
            <w:tcBorders>
              <w:left w:val="dotted" w:sz="6" w:space="0" w:color="000000"/>
            </w:tcBorders>
          </w:tcPr>
          <w:p>
            <w:pPr>
              <w:pStyle w:val="TableParagraph"/>
              <w:spacing w:line="270" w:lineRule="exact"/>
              <w:ind w:left="344"/>
              <w:rPr>
                <w:b/>
                <w:sz w:val="21"/>
              </w:rPr>
            </w:pPr>
            <w:r>
              <w:rPr>
                <w:b/>
                <w:w w:val="95"/>
                <w:sz w:val="21"/>
              </w:rPr>
              <w:t>2．保险责任及责任免除</w:t>
            </w:r>
          </w:p>
        </w:tc>
        <w:tc>
          <w:tcPr>
            <w:tcW w:w="789" w:type="dxa"/>
          </w:tcPr>
          <w:p>
            <w:pPr>
              <w:pStyle w:val="TableParagraph"/>
              <w:spacing w:line="252" w:lineRule="exact"/>
              <w:ind w:right="42"/>
              <w:jc w:val="right"/>
              <w:rPr>
                <w:sz w:val="21"/>
              </w:rPr>
            </w:pPr>
            <w:r>
              <w:rPr>
                <w:sz w:val="21"/>
              </w:rPr>
              <w:t>5.5</w:t>
            </w:r>
          </w:p>
        </w:tc>
        <w:tc>
          <w:tcPr>
            <w:tcW w:w="2526" w:type="dxa"/>
          </w:tcPr>
          <w:p>
            <w:pPr>
              <w:pStyle w:val="TableParagraph"/>
              <w:spacing w:line="252" w:lineRule="exact"/>
              <w:ind w:left="60"/>
              <w:rPr>
                <w:sz w:val="21"/>
              </w:rPr>
            </w:pPr>
            <w:r>
              <w:rPr>
                <w:sz w:val="21"/>
              </w:rPr>
              <w:t>未成年人身故保险金限制</w:t>
            </w:r>
          </w:p>
        </w:tc>
        <w:tc>
          <w:tcPr>
            <w:tcW w:w="3062" w:type="dxa"/>
            <w:tcBorders>
              <w:right w:val="dotted" w:sz="6" w:space="0" w:color="000000"/>
            </w:tcBorders>
          </w:tcPr>
          <w:p>
            <w:pPr>
              <w:pStyle w:val="TableParagraph"/>
              <w:spacing w:line="270" w:lineRule="exact"/>
              <w:ind w:left="174"/>
              <w:rPr>
                <w:sz w:val="21"/>
              </w:rPr>
            </w:pPr>
            <w:r>
              <w:rPr>
                <w:sz w:val="21"/>
              </w:rPr>
              <w:t>体异常</w:t>
            </w:r>
          </w:p>
        </w:tc>
      </w:tr>
      <w:tr>
        <w:trPr>
          <w:trHeight w:val="270" w:hRule="atLeast"/>
        </w:trPr>
        <w:tc>
          <w:tcPr>
            <w:tcW w:w="2980" w:type="dxa"/>
            <w:tcBorders>
              <w:left w:val="dotted" w:sz="6" w:space="0" w:color="000000"/>
            </w:tcBorders>
          </w:tcPr>
          <w:p>
            <w:pPr>
              <w:pStyle w:val="TableParagraph"/>
              <w:spacing w:line="250" w:lineRule="exact"/>
              <w:ind w:left="553"/>
              <w:rPr>
                <w:sz w:val="21"/>
              </w:rPr>
            </w:pPr>
            <w:r>
              <w:rPr>
                <w:sz w:val="21"/>
              </w:rPr>
              <w:t>2.1 保险期间</w:t>
            </w:r>
          </w:p>
        </w:tc>
        <w:tc>
          <w:tcPr>
            <w:tcW w:w="789" w:type="dxa"/>
          </w:tcPr>
          <w:p>
            <w:pPr>
              <w:pStyle w:val="TableParagraph"/>
              <w:spacing w:line="250" w:lineRule="exact"/>
              <w:ind w:right="42"/>
              <w:jc w:val="right"/>
              <w:rPr>
                <w:sz w:val="21"/>
              </w:rPr>
            </w:pPr>
            <w:r>
              <w:rPr>
                <w:sz w:val="21"/>
              </w:rPr>
              <w:t>5.6</w:t>
            </w:r>
          </w:p>
        </w:tc>
        <w:tc>
          <w:tcPr>
            <w:tcW w:w="2526" w:type="dxa"/>
          </w:tcPr>
          <w:p>
            <w:pPr>
              <w:pStyle w:val="TableParagraph"/>
              <w:spacing w:line="250" w:lineRule="exact"/>
              <w:ind w:left="61"/>
              <w:rPr>
                <w:sz w:val="21"/>
              </w:rPr>
            </w:pPr>
            <w:r>
              <w:rPr>
                <w:sz w:val="21"/>
              </w:rPr>
              <w:t>诉讼时效</w:t>
            </w:r>
          </w:p>
        </w:tc>
        <w:tc>
          <w:tcPr>
            <w:tcW w:w="3062" w:type="dxa"/>
            <w:tcBorders>
              <w:right w:val="dotted" w:sz="6" w:space="0" w:color="000000"/>
            </w:tcBorders>
          </w:tcPr>
          <w:p>
            <w:pPr>
              <w:pStyle w:val="TableParagraph"/>
              <w:spacing w:line="250" w:lineRule="exact"/>
              <w:ind w:left="174"/>
              <w:rPr>
                <w:sz w:val="21"/>
              </w:rPr>
            </w:pPr>
            <w:r>
              <w:rPr>
                <w:sz w:val="21"/>
              </w:rPr>
              <w:t>7.7 酗酒</w:t>
            </w:r>
          </w:p>
        </w:tc>
      </w:tr>
      <w:tr>
        <w:trPr>
          <w:trHeight w:val="4112" w:hRule="atLeast"/>
        </w:trPr>
        <w:tc>
          <w:tcPr>
            <w:tcW w:w="9357" w:type="dxa"/>
            <w:gridSpan w:val="4"/>
            <w:tcBorders>
              <w:left w:val="dotted" w:sz="6" w:space="0" w:color="000000"/>
              <w:bottom w:val="dotted" w:sz="6" w:space="0" w:color="000000"/>
              <w:right w:val="dotted" w:sz="6" w:space="0" w:color="000000"/>
            </w:tcBorders>
          </w:tcPr>
          <w:p>
            <w:pPr>
              <w:pStyle w:val="TableParagraph"/>
              <w:numPr>
                <w:ilvl w:val="1"/>
                <w:numId w:val="2"/>
              </w:numPr>
              <w:tabs>
                <w:tab w:pos="974" w:val="left" w:leader="none"/>
                <w:tab w:pos="3191" w:val="left" w:leader="none"/>
                <w:tab w:pos="6461" w:val="left" w:leader="none"/>
              </w:tabs>
              <w:spacing w:line="240" w:lineRule="auto" w:before="17" w:after="0"/>
              <w:ind w:left="973" w:right="0" w:hanging="420"/>
              <w:jc w:val="left"/>
              <w:rPr>
                <w:sz w:val="21"/>
              </w:rPr>
            </w:pPr>
            <w:r>
              <w:rPr>
                <w:sz w:val="21"/>
              </w:rPr>
              <w:t>保险金额</w:t>
              <w:tab/>
            </w:r>
            <w:r>
              <w:rPr>
                <w:b/>
                <w:position w:val="2"/>
                <w:sz w:val="21"/>
              </w:rPr>
              <w:t>6．其他事项</w:t>
              <w:tab/>
            </w:r>
            <w:r>
              <w:rPr>
                <w:sz w:val="21"/>
              </w:rPr>
              <w:t>7.8</w:t>
            </w:r>
            <w:r>
              <w:rPr>
                <w:spacing w:val="-1"/>
                <w:sz w:val="21"/>
              </w:rPr>
              <w:t> </w:t>
            </w:r>
            <w:r>
              <w:rPr>
                <w:sz w:val="21"/>
              </w:rPr>
              <w:t>毒品</w:t>
            </w:r>
          </w:p>
          <w:p>
            <w:pPr>
              <w:pStyle w:val="TableParagraph"/>
              <w:numPr>
                <w:ilvl w:val="1"/>
                <w:numId w:val="2"/>
              </w:numPr>
              <w:tabs>
                <w:tab w:pos="974" w:val="left" w:leader="none"/>
                <w:tab w:pos="3401" w:val="left" w:leader="none"/>
                <w:tab w:pos="6461" w:val="left" w:leader="none"/>
              </w:tabs>
              <w:spacing w:line="240" w:lineRule="auto" w:before="17" w:after="0"/>
              <w:ind w:left="973" w:right="0" w:hanging="420"/>
              <w:jc w:val="left"/>
              <w:rPr>
                <w:sz w:val="21"/>
              </w:rPr>
            </w:pPr>
            <w:r>
              <w:rPr>
                <w:sz w:val="21"/>
              </w:rPr>
              <w:t>保险责任</w:t>
              <w:tab/>
            </w:r>
            <w:r>
              <w:rPr>
                <w:position w:val="2"/>
                <w:sz w:val="21"/>
              </w:rPr>
              <w:t>6.1</w:t>
            </w:r>
            <w:r>
              <w:rPr>
                <w:spacing w:val="-1"/>
                <w:position w:val="2"/>
                <w:sz w:val="21"/>
              </w:rPr>
              <w:t> </w:t>
            </w:r>
            <w:r>
              <w:rPr>
                <w:position w:val="2"/>
                <w:sz w:val="21"/>
              </w:rPr>
              <w:t>明确说明与如实告知</w:t>
              <w:tab/>
            </w:r>
            <w:r>
              <w:rPr>
                <w:sz w:val="21"/>
              </w:rPr>
              <w:t>7.9</w:t>
            </w:r>
            <w:r>
              <w:rPr>
                <w:spacing w:val="-2"/>
                <w:sz w:val="21"/>
              </w:rPr>
              <w:t> </w:t>
            </w:r>
            <w:r>
              <w:rPr>
                <w:sz w:val="21"/>
              </w:rPr>
              <w:t>酒后驾驶</w:t>
            </w:r>
          </w:p>
          <w:p>
            <w:pPr>
              <w:pStyle w:val="TableParagraph"/>
              <w:numPr>
                <w:ilvl w:val="1"/>
                <w:numId w:val="2"/>
              </w:numPr>
              <w:tabs>
                <w:tab w:pos="974" w:val="left" w:leader="none"/>
                <w:tab w:pos="3401" w:val="left" w:leader="none"/>
                <w:tab w:pos="6461" w:val="left" w:leader="none"/>
              </w:tabs>
              <w:spacing w:line="240" w:lineRule="auto" w:before="17" w:after="0"/>
              <w:ind w:left="973" w:right="0" w:hanging="420"/>
              <w:jc w:val="left"/>
              <w:rPr>
                <w:sz w:val="21"/>
              </w:rPr>
            </w:pPr>
            <w:r>
              <w:rPr>
                <w:sz w:val="21"/>
              </w:rPr>
              <w:t>责任免除</w:t>
              <w:tab/>
            </w:r>
            <w:r>
              <w:rPr>
                <w:position w:val="2"/>
                <w:sz w:val="21"/>
              </w:rPr>
              <w:t>6.2</w:t>
            </w:r>
            <w:r>
              <w:rPr>
                <w:spacing w:val="-1"/>
                <w:position w:val="2"/>
                <w:sz w:val="21"/>
              </w:rPr>
              <w:t> </w:t>
            </w:r>
            <w:r>
              <w:rPr>
                <w:position w:val="2"/>
                <w:sz w:val="21"/>
              </w:rPr>
              <w:t>本公司合同解除权的限制</w:t>
              <w:tab/>
            </w:r>
            <w:r>
              <w:rPr>
                <w:sz w:val="21"/>
              </w:rPr>
              <w:t>7.10</w:t>
            </w:r>
            <w:r>
              <w:rPr>
                <w:spacing w:val="-2"/>
                <w:sz w:val="21"/>
              </w:rPr>
              <w:t> </w:t>
            </w:r>
            <w:r>
              <w:rPr>
                <w:sz w:val="21"/>
              </w:rPr>
              <w:t>无合法有效驾驶证驾驶</w:t>
            </w:r>
          </w:p>
          <w:p>
            <w:pPr>
              <w:pStyle w:val="TableParagraph"/>
              <w:tabs>
                <w:tab w:pos="3401" w:val="left" w:leader="none"/>
                <w:tab w:pos="6461" w:val="left" w:leader="none"/>
              </w:tabs>
              <w:spacing w:before="17"/>
              <w:ind w:left="344"/>
              <w:rPr>
                <w:sz w:val="21"/>
              </w:rPr>
            </w:pPr>
            <w:r>
              <w:rPr>
                <w:b/>
                <w:sz w:val="21"/>
              </w:rPr>
              <w:t>3．合同效力</w:t>
              <w:tab/>
            </w:r>
            <w:r>
              <w:rPr>
                <w:position w:val="2"/>
                <w:sz w:val="21"/>
              </w:rPr>
              <w:t>6.3</w:t>
            </w:r>
            <w:r>
              <w:rPr>
                <w:spacing w:val="-1"/>
                <w:position w:val="2"/>
                <w:sz w:val="21"/>
              </w:rPr>
              <w:t> </w:t>
            </w:r>
            <w:r>
              <w:rPr>
                <w:position w:val="2"/>
                <w:sz w:val="21"/>
              </w:rPr>
              <w:t>合同内容变更</w:t>
              <w:tab/>
            </w:r>
            <w:r>
              <w:rPr>
                <w:sz w:val="21"/>
              </w:rPr>
              <w:t>7.11</w:t>
            </w:r>
            <w:r>
              <w:rPr>
                <w:spacing w:val="-2"/>
                <w:sz w:val="21"/>
              </w:rPr>
              <w:t> </w:t>
            </w:r>
            <w:r>
              <w:rPr>
                <w:sz w:val="21"/>
              </w:rPr>
              <w:t>无有效行驶证</w:t>
            </w:r>
          </w:p>
          <w:p>
            <w:pPr>
              <w:pStyle w:val="TableParagraph"/>
              <w:numPr>
                <w:ilvl w:val="1"/>
                <w:numId w:val="3"/>
              </w:numPr>
              <w:tabs>
                <w:tab w:pos="974" w:val="left" w:leader="none"/>
                <w:tab w:pos="3401" w:val="left" w:leader="none"/>
                <w:tab w:pos="6461" w:val="left" w:leader="none"/>
              </w:tabs>
              <w:spacing w:line="240" w:lineRule="auto" w:before="17" w:after="0"/>
              <w:ind w:left="973" w:right="0" w:hanging="420"/>
              <w:jc w:val="left"/>
              <w:rPr>
                <w:sz w:val="21"/>
              </w:rPr>
            </w:pPr>
            <w:r>
              <w:rPr>
                <w:sz w:val="21"/>
              </w:rPr>
              <w:t>合同成立与生效</w:t>
              <w:tab/>
            </w:r>
            <w:r>
              <w:rPr>
                <w:position w:val="2"/>
                <w:sz w:val="21"/>
              </w:rPr>
              <w:t>6.4</w:t>
            </w:r>
            <w:r>
              <w:rPr>
                <w:spacing w:val="-1"/>
                <w:position w:val="2"/>
                <w:sz w:val="21"/>
              </w:rPr>
              <w:t> </w:t>
            </w:r>
            <w:r>
              <w:rPr>
                <w:position w:val="2"/>
                <w:sz w:val="21"/>
              </w:rPr>
              <w:t>联系方式变更</w:t>
              <w:tab/>
            </w:r>
            <w:r>
              <w:rPr>
                <w:sz w:val="21"/>
              </w:rPr>
              <w:t>7.12</w:t>
            </w:r>
            <w:r>
              <w:rPr>
                <w:spacing w:val="-2"/>
                <w:sz w:val="21"/>
              </w:rPr>
              <w:t> </w:t>
            </w:r>
            <w:r>
              <w:rPr>
                <w:sz w:val="21"/>
              </w:rPr>
              <w:t>感染艾滋病病毒或患艾</w:t>
            </w:r>
          </w:p>
          <w:p>
            <w:pPr>
              <w:pStyle w:val="TableParagraph"/>
              <w:numPr>
                <w:ilvl w:val="1"/>
                <w:numId w:val="3"/>
              </w:numPr>
              <w:tabs>
                <w:tab w:pos="974" w:val="left" w:leader="none"/>
                <w:tab w:pos="3401" w:val="left" w:leader="none"/>
                <w:tab w:pos="6461" w:val="left" w:leader="none"/>
              </w:tabs>
              <w:spacing w:line="240" w:lineRule="auto" w:before="17" w:after="0"/>
              <w:ind w:left="973" w:right="0" w:hanging="420"/>
              <w:jc w:val="left"/>
              <w:rPr>
                <w:sz w:val="21"/>
              </w:rPr>
            </w:pPr>
            <w:r>
              <w:rPr>
                <w:sz w:val="21"/>
              </w:rPr>
              <w:t>解除合同的手续及风险</w:t>
              <w:tab/>
            </w:r>
            <w:r>
              <w:rPr>
                <w:position w:val="2"/>
                <w:sz w:val="21"/>
              </w:rPr>
              <w:t>6.5</w:t>
            </w:r>
            <w:r>
              <w:rPr>
                <w:spacing w:val="-1"/>
                <w:position w:val="2"/>
                <w:sz w:val="21"/>
              </w:rPr>
              <w:t> </w:t>
            </w:r>
            <w:r>
              <w:rPr>
                <w:position w:val="2"/>
                <w:sz w:val="21"/>
              </w:rPr>
              <w:t>年龄确定与错误处理</w:t>
              <w:tab/>
            </w:r>
            <w:r>
              <w:rPr>
                <w:sz w:val="21"/>
              </w:rPr>
              <w:t>滋病</w:t>
            </w:r>
          </w:p>
          <w:p>
            <w:pPr>
              <w:pStyle w:val="TableParagraph"/>
              <w:numPr>
                <w:ilvl w:val="1"/>
                <w:numId w:val="3"/>
              </w:numPr>
              <w:tabs>
                <w:tab w:pos="974" w:val="left" w:leader="none"/>
                <w:tab w:pos="3401" w:val="left" w:leader="none"/>
                <w:tab w:pos="6461" w:val="left" w:leader="none"/>
              </w:tabs>
              <w:spacing w:line="240" w:lineRule="auto" w:before="17" w:after="0"/>
              <w:ind w:left="973" w:right="0" w:hanging="420"/>
              <w:jc w:val="left"/>
              <w:rPr>
                <w:sz w:val="21"/>
              </w:rPr>
            </w:pPr>
            <w:r>
              <w:rPr>
                <w:sz w:val="21"/>
              </w:rPr>
              <w:t>续保</w:t>
              <w:tab/>
            </w:r>
            <w:r>
              <w:rPr>
                <w:position w:val="2"/>
                <w:sz w:val="21"/>
              </w:rPr>
              <w:t>6.6</w:t>
            </w:r>
            <w:r>
              <w:rPr>
                <w:spacing w:val="-1"/>
                <w:position w:val="2"/>
                <w:sz w:val="21"/>
              </w:rPr>
              <w:t> </w:t>
            </w:r>
            <w:r>
              <w:rPr>
                <w:position w:val="2"/>
                <w:sz w:val="21"/>
              </w:rPr>
              <w:t>争议处理</w:t>
              <w:tab/>
            </w:r>
            <w:r>
              <w:rPr>
                <w:sz w:val="21"/>
              </w:rPr>
              <w:t>7.13</w:t>
            </w:r>
            <w:r>
              <w:rPr>
                <w:spacing w:val="-4"/>
                <w:sz w:val="21"/>
              </w:rPr>
              <w:t> </w:t>
            </w:r>
            <w:r>
              <w:rPr>
                <w:sz w:val="21"/>
              </w:rPr>
              <w:t>现金价值</w:t>
            </w:r>
          </w:p>
          <w:p>
            <w:pPr>
              <w:pStyle w:val="TableParagraph"/>
              <w:tabs>
                <w:tab w:pos="3191" w:val="left" w:leader="none"/>
                <w:tab w:pos="6461" w:val="left" w:leader="none"/>
              </w:tabs>
              <w:spacing w:before="17"/>
              <w:ind w:left="344"/>
              <w:rPr>
                <w:sz w:val="21"/>
              </w:rPr>
            </w:pPr>
            <w:r>
              <w:rPr>
                <w:b/>
                <w:sz w:val="21"/>
              </w:rPr>
              <w:t>4．保险费</w:t>
              <w:tab/>
            </w:r>
            <w:r>
              <w:rPr>
                <w:b/>
                <w:position w:val="2"/>
                <w:sz w:val="21"/>
              </w:rPr>
              <w:t>7．名词释义</w:t>
              <w:tab/>
            </w:r>
            <w:r>
              <w:rPr>
                <w:sz w:val="21"/>
              </w:rPr>
              <w:t>7.14</w:t>
            </w:r>
            <w:r>
              <w:rPr>
                <w:spacing w:val="-3"/>
                <w:sz w:val="21"/>
              </w:rPr>
              <w:t> </w:t>
            </w:r>
            <w:r>
              <w:rPr>
                <w:sz w:val="21"/>
              </w:rPr>
              <w:t>少儿重大疾病</w:t>
            </w:r>
          </w:p>
          <w:p>
            <w:pPr>
              <w:pStyle w:val="TableParagraph"/>
              <w:tabs>
                <w:tab w:pos="3401" w:val="left" w:leader="none"/>
                <w:tab w:pos="6461" w:val="left" w:leader="none"/>
              </w:tabs>
              <w:spacing w:before="17"/>
              <w:ind w:left="553"/>
              <w:rPr>
                <w:sz w:val="21"/>
              </w:rPr>
            </w:pPr>
            <w:r>
              <w:rPr>
                <w:sz w:val="21"/>
              </w:rPr>
              <w:t>4.1</w:t>
            </w:r>
            <w:r>
              <w:rPr>
                <w:spacing w:val="-1"/>
                <w:sz w:val="21"/>
              </w:rPr>
              <w:t> </w:t>
            </w:r>
            <w:r>
              <w:rPr>
                <w:sz w:val="21"/>
              </w:rPr>
              <w:t>保险费</w:t>
              <w:tab/>
            </w:r>
            <w:r>
              <w:rPr>
                <w:position w:val="2"/>
                <w:sz w:val="21"/>
              </w:rPr>
              <w:t>7.1</w:t>
            </w:r>
            <w:r>
              <w:rPr>
                <w:spacing w:val="-1"/>
                <w:position w:val="2"/>
                <w:sz w:val="21"/>
              </w:rPr>
              <w:t> </w:t>
            </w:r>
            <w:r>
              <w:rPr>
                <w:position w:val="2"/>
                <w:sz w:val="21"/>
              </w:rPr>
              <w:t>周岁</w:t>
              <w:tab/>
            </w:r>
            <w:r>
              <w:rPr>
                <w:sz w:val="21"/>
              </w:rPr>
              <w:t>7.15</w:t>
            </w:r>
            <w:r>
              <w:rPr>
                <w:spacing w:val="-2"/>
                <w:sz w:val="21"/>
              </w:rPr>
              <w:t> </w:t>
            </w:r>
            <w:r>
              <w:rPr>
                <w:sz w:val="21"/>
              </w:rPr>
              <w:t>永久不可逆</w:t>
            </w:r>
          </w:p>
          <w:p>
            <w:pPr>
              <w:pStyle w:val="TableParagraph"/>
              <w:tabs>
                <w:tab w:pos="3401" w:val="left" w:leader="none"/>
                <w:tab w:pos="6461" w:val="left" w:leader="none"/>
              </w:tabs>
              <w:spacing w:before="17"/>
              <w:ind w:left="344"/>
              <w:rPr>
                <w:sz w:val="21"/>
              </w:rPr>
            </w:pPr>
            <w:r>
              <w:rPr>
                <w:b/>
                <w:sz w:val="21"/>
              </w:rPr>
              <w:t>5．保险金的申请及给付</w:t>
              <w:tab/>
            </w:r>
            <w:r>
              <w:rPr>
                <w:position w:val="2"/>
                <w:sz w:val="21"/>
              </w:rPr>
              <w:t>7.2</w:t>
            </w:r>
            <w:r>
              <w:rPr>
                <w:spacing w:val="-1"/>
                <w:position w:val="2"/>
                <w:sz w:val="21"/>
              </w:rPr>
              <w:t> </w:t>
            </w:r>
            <w:r>
              <w:rPr>
                <w:position w:val="2"/>
                <w:sz w:val="21"/>
              </w:rPr>
              <w:t>意外伤害</w:t>
              <w:tab/>
            </w:r>
            <w:r>
              <w:rPr>
                <w:sz w:val="21"/>
              </w:rPr>
              <w:t>7.16</w:t>
            </w:r>
            <w:r>
              <w:rPr>
                <w:spacing w:val="-2"/>
                <w:sz w:val="21"/>
              </w:rPr>
              <w:t> </w:t>
            </w:r>
            <w:r>
              <w:rPr>
                <w:sz w:val="21"/>
              </w:rPr>
              <w:t>六项基本日常生活活动</w:t>
            </w:r>
          </w:p>
          <w:p>
            <w:pPr>
              <w:pStyle w:val="TableParagraph"/>
              <w:numPr>
                <w:ilvl w:val="1"/>
                <w:numId w:val="4"/>
              </w:numPr>
              <w:tabs>
                <w:tab w:pos="974" w:val="left" w:leader="none"/>
                <w:tab w:pos="3401" w:val="left" w:leader="none"/>
              </w:tabs>
              <w:spacing w:line="240" w:lineRule="auto" w:before="17" w:after="0"/>
              <w:ind w:left="973" w:right="0" w:hanging="420"/>
              <w:jc w:val="left"/>
              <w:rPr>
                <w:sz w:val="21"/>
              </w:rPr>
            </w:pPr>
            <w:r>
              <w:rPr>
                <w:sz w:val="21"/>
              </w:rPr>
              <w:t>保险事故通知</w:t>
              <w:tab/>
            </w:r>
            <w:r>
              <w:rPr>
                <w:position w:val="2"/>
                <w:sz w:val="21"/>
              </w:rPr>
              <w:t>7.3</w:t>
            </w:r>
            <w:r>
              <w:rPr>
                <w:spacing w:val="-2"/>
                <w:position w:val="2"/>
                <w:sz w:val="21"/>
              </w:rPr>
              <w:t> </w:t>
            </w:r>
            <w:r>
              <w:rPr>
                <w:position w:val="2"/>
                <w:sz w:val="21"/>
              </w:rPr>
              <w:t>本公司认可的医院</w:t>
            </w:r>
          </w:p>
          <w:p>
            <w:pPr>
              <w:pStyle w:val="TableParagraph"/>
              <w:numPr>
                <w:ilvl w:val="1"/>
                <w:numId w:val="4"/>
              </w:numPr>
              <w:tabs>
                <w:tab w:pos="974" w:val="left" w:leader="none"/>
                <w:tab w:pos="3401" w:val="left" w:leader="none"/>
              </w:tabs>
              <w:spacing w:line="240" w:lineRule="auto" w:before="16" w:after="0"/>
              <w:ind w:left="973" w:right="0" w:hanging="420"/>
              <w:jc w:val="left"/>
              <w:rPr>
                <w:sz w:val="21"/>
              </w:rPr>
            </w:pPr>
            <w:r>
              <w:rPr>
                <w:sz w:val="21"/>
              </w:rPr>
              <w:t>受益人</w:t>
              <w:tab/>
            </w:r>
            <w:r>
              <w:rPr>
                <w:position w:val="2"/>
                <w:sz w:val="21"/>
              </w:rPr>
              <w:t>7.4</w:t>
            </w:r>
            <w:r>
              <w:rPr>
                <w:spacing w:val="-2"/>
                <w:position w:val="2"/>
                <w:sz w:val="21"/>
              </w:rPr>
              <w:t> </w:t>
            </w:r>
            <w:r>
              <w:rPr>
                <w:position w:val="2"/>
                <w:sz w:val="21"/>
              </w:rPr>
              <w:t>专科医生</w:t>
            </w:r>
          </w:p>
        </w:tc>
      </w:tr>
    </w:tbl>
    <w:p>
      <w:pPr>
        <w:spacing w:after="0" w:line="240" w:lineRule="auto"/>
        <w:jc w:val="left"/>
        <w:rPr>
          <w:sz w:val="21"/>
        </w:rPr>
        <w:sectPr>
          <w:type w:val="continuous"/>
          <w:pgSz w:w="11910" w:h="16840"/>
          <w:pgMar w:top="240" w:bottom="280" w:left="720" w:right="220"/>
        </w:sectPr>
      </w:pPr>
    </w:p>
    <w:p>
      <w:pPr>
        <w:pStyle w:val="Heading1"/>
        <w:spacing w:line="391" w:lineRule="exact"/>
      </w:pPr>
      <w:r>
        <w:rPr>
          <w:w w:val="95"/>
        </w:rPr>
        <w:t>中国人民健康保险股份有限公司</w:t>
      </w:r>
    </w:p>
    <w:p>
      <w:pPr>
        <w:spacing w:before="98"/>
        <w:ind w:left="2983" w:right="0" w:firstLine="0"/>
        <w:jc w:val="left"/>
        <w:rPr>
          <w:b/>
          <w:sz w:val="32"/>
        </w:rPr>
      </w:pPr>
      <w:r>
        <w:rPr>
          <w:b/>
          <w:w w:val="95"/>
          <w:sz w:val="32"/>
        </w:rPr>
        <w:t>乐享童年少儿重大疾病保险条款</w:t>
      </w:r>
    </w:p>
    <w:p>
      <w:pPr>
        <w:pStyle w:val="BodyText"/>
        <w:spacing w:before="0"/>
        <w:ind w:left="0"/>
        <w:rPr>
          <w:b/>
          <w:sz w:val="20"/>
        </w:rPr>
      </w:pPr>
    </w:p>
    <w:p>
      <w:pPr>
        <w:pStyle w:val="BodyText"/>
        <w:spacing w:before="0"/>
        <w:ind w:left="0"/>
        <w:rPr>
          <w:b/>
          <w:sz w:val="20"/>
        </w:rPr>
      </w:pPr>
    </w:p>
    <w:p>
      <w:pPr>
        <w:pStyle w:val="BodyText"/>
        <w:spacing w:before="4"/>
        <w:ind w:left="0"/>
        <w:rPr>
          <w:b/>
          <w:sz w:val="15"/>
        </w:rPr>
      </w:pPr>
    </w:p>
    <w:p>
      <w:pPr>
        <w:tabs>
          <w:tab w:pos="883" w:val="left" w:leader="none"/>
        </w:tabs>
        <w:spacing w:before="93"/>
        <w:ind w:left="237" w:right="0" w:firstLine="0"/>
        <w:jc w:val="left"/>
        <w:rPr>
          <w:sz w:val="21"/>
        </w:rPr>
      </w:pPr>
      <w:r>
        <w:rPr/>
        <w:pict>
          <v:shape style="position:absolute;margin-left:41.759998pt;margin-top:24.158619pt;width:511.05pt;height:19.45pt;mso-position-horizontal-relative:page;mso-position-vertical-relative:paragraph;z-index:1048;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pict>
          <v:shape style="position:absolute;margin-left:41.759998pt;margin-top:-12.981381pt;width:511.05pt;height:19.45pt;mso-position-horizontal-relative:page;mso-position-vertical-relative:paragraph;z-index:-11656"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1</w:t>
                    <w:tab/>
                    <w:t>被保险人范围</w:t>
                  </w:r>
                </w:p>
              </w:txbxContent>
            </v:textbox>
            <v:fill type="solid"/>
            <w10:wrap type="none"/>
          </v:shape>
        </w:pict>
      </w:r>
      <w:r>
        <w:rPr>
          <w:b/>
          <w:position w:val="1"/>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17</w:t>
      </w:r>
      <w:r>
        <w:rPr>
          <w:spacing w:val="-58"/>
          <w:sz w:val="21"/>
        </w:rPr>
        <w:t> </w:t>
      </w:r>
      <w:r>
        <w:rPr>
          <w:b/>
          <w:spacing w:val="-19"/>
          <w:sz w:val="21"/>
        </w:rPr>
        <w:t>周岁 </w:t>
      </w:r>
      <w:r>
        <w:rPr>
          <w:rFonts w:ascii="Times New Roman" w:eastAsia="Times New Roman"/>
          <w:b/>
          <w:i/>
          <w:position w:val="11"/>
          <w:sz w:val="16"/>
        </w:rPr>
        <w:t>7.1</w:t>
      </w:r>
      <w:r>
        <w:rPr>
          <w:sz w:val="21"/>
        </w:rPr>
        <w:t>，身体健康的个人均可作为被保险人参加本保险。</w:t>
      </w:r>
    </w:p>
    <w:p>
      <w:pPr>
        <w:pStyle w:val="ListParagraph"/>
        <w:numPr>
          <w:ilvl w:val="1"/>
          <w:numId w:val="5"/>
        </w:numPr>
        <w:tabs>
          <w:tab w:pos="882" w:val="left" w:leader="none"/>
          <w:tab w:pos="884" w:val="left" w:leader="none"/>
        </w:tabs>
        <w:spacing w:line="225" w:lineRule="exact" w:before="0" w:after="0"/>
        <w:ind w:left="883" w:right="0" w:hanging="646"/>
        <w:jc w:val="left"/>
        <w:rPr>
          <w:sz w:val="21"/>
        </w:rPr>
      </w:pPr>
      <w:r>
        <w:rPr>
          <w:b/>
          <w:spacing w:val="-1"/>
          <w:sz w:val="21"/>
        </w:rPr>
        <w:t>保险期间 </w:t>
      </w:r>
      <w:r>
        <w:rPr>
          <w:spacing w:val="-6"/>
          <w:sz w:val="21"/>
        </w:rPr>
        <w:t>本合同的保险期间为 </w:t>
      </w:r>
      <w:r>
        <w:rPr>
          <w:sz w:val="21"/>
        </w:rPr>
        <w:t>1</w:t>
      </w:r>
      <w:r>
        <w:rPr>
          <w:spacing w:val="-18"/>
          <w:sz w:val="21"/>
        </w:rPr>
        <w:t> 年。</w:t>
      </w:r>
    </w:p>
    <w:p>
      <w:pPr>
        <w:pStyle w:val="ListParagraph"/>
        <w:numPr>
          <w:ilvl w:val="1"/>
          <w:numId w:val="5"/>
        </w:numPr>
        <w:tabs>
          <w:tab w:pos="882" w:val="left" w:leader="none"/>
          <w:tab w:pos="884" w:val="left" w:leader="none"/>
        </w:tabs>
        <w:spacing w:line="240" w:lineRule="auto" w:before="66" w:after="0"/>
        <w:ind w:left="883" w:right="0" w:hanging="646"/>
        <w:jc w:val="left"/>
        <w:rPr>
          <w:sz w:val="21"/>
        </w:rPr>
      </w:pPr>
      <w:r>
        <w:rPr>
          <w:b/>
          <w:spacing w:val="-1"/>
          <w:sz w:val="21"/>
        </w:rPr>
        <w:t>保险金额 </w:t>
      </w:r>
      <w:r>
        <w:rPr>
          <w:sz w:val="21"/>
        </w:rPr>
        <w:t>由投保人与本公司共同约定被保险人的保险金额，并在保险单中载明。</w:t>
      </w:r>
    </w:p>
    <w:p>
      <w:pPr>
        <w:pStyle w:val="ListParagraph"/>
        <w:numPr>
          <w:ilvl w:val="1"/>
          <w:numId w:val="5"/>
        </w:numPr>
        <w:tabs>
          <w:tab w:pos="882" w:val="left" w:leader="none"/>
          <w:tab w:pos="884" w:val="left" w:leader="none"/>
        </w:tabs>
        <w:spacing w:line="297" w:lineRule="auto" w:before="64" w:after="0"/>
        <w:ind w:left="883" w:right="4410" w:hanging="646"/>
        <w:jc w:val="left"/>
        <w:rPr>
          <w:b/>
          <w:sz w:val="21"/>
        </w:rPr>
      </w:pPr>
      <w:r>
        <w:rPr>
          <w:b/>
          <w:spacing w:val="-1"/>
          <w:sz w:val="21"/>
        </w:rPr>
        <w:t>保险责任 </w:t>
      </w:r>
      <w:r>
        <w:rPr>
          <w:sz w:val="21"/>
        </w:rPr>
        <w:t>本合同有效期内，本公司承担下列保险责任： </w:t>
      </w:r>
      <w:r>
        <w:rPr>
          <w:b/>
          <w:w w:val="95"/>
          <w:sz w:val="21"/>
        </w:rPr>
        <w:t>少儿重大疾病保险金</w:t>
      </w:r>
    </w:p>
    <w:p>
      <w:pPr>
        <w:pStyle w:val="BodyText"/>
        <w:spacing w:before="14"/>
      </w:pPr>
      <w:r>
        <w:rPr/>
        <w:t>自保险合同生效之日起因</w:t>
      </w:r>
      <w:r>
        <w:rPr>
          <w:b/>
          <w:spacing w:val="-13"/>
        </w:rPr>
        <w:t>意外伤害 </w:t>
      </w:r>
      <w:r>
        <w:rPr>
          <w:rFonts w:ascii="Times New Roman" w:eastAsia="Times New Roman"/>
          <w:b/>
          <w:i/>
          <w:position w:val="11"/>
          <w:sz w:val="16"/>
        </w:rPr>
        <w:t>7.2 </w:t>
      </w:r>
      <w:r>
        <w:rPr>
          <w:spacing w:val="-10"/>
        </w:rPr>
        <w:t>原因，或自保险合同生效之日起 </w:t>
      </w:r>
      <w:r>
        <w:rPr/>
        <w:t>90</w:t>
      </w:r>
      <w:r>
        <w:rPr>
          <w:spacing w:val="-31"/>
        </w:rPr>
        <w:t> 天后</w:t>
      </w:r>
      <w:r>
        <w:rPr/>
        <w:t>（</w:t>
      </w:r>
      <w:r>
        <w:rPr>
          <w:spacing w:val="-6"/>
        </w:rPr>
        <w:t>续保时，自保险合同生</w:t>
      </w:r>
    </w:p>
    <w:p>
      <w:pPr>
        <w:pStyle w:val="BodyText"/>
        <w:spacing w:line="297" w:lineRule="auto" w:before="64"/>
        <w:ind w:right="191"/>
        <w:jc w:val="both"/>
      </w:pPr>
      <w:r>
        <w:rPr/>
        <w:t>效之日起</w:t>
      </w:r>
      <w:r>
        <w:rPr>
          <w:spacing w:val="-35"/>
        </w:rPr>
        <w:t>）</w:t>
      </w:r>
      <w:r>
        <w:rPr>
          <w:spacing w:val="-3"/>
        </w:rPr>
        <w:t>因意外伤害之外的其它原因，被保险人经</w:t>
      </w:r>
      <w:r>
        <w:rPr>
          <w:b/>
          <w:spacing w:val="-7"/>
        </w:rPr>
        <w:t>本公司认可的医院 </w:t>
      </w:r>
      <w:r>
        <w:rPr>
          <w:rFonts w:ascii="Times New Roman" w:eastAsia="Times New Roman"/>
          <w:b/>
          <w:i/>
          <w:position w:val="11"/>
          <w:sz w:val="16"/>
        </w:rPr>
        <w:t>7.3 </w:t>
      </w:r>
      <w:r>
        <w:rPr>
          <w:b/>
          <w:spacing w:val="-11"/>
        </w:rPr>
        <w:t>专科医生 </w:t>
      </w:r>
      <w:r>
        <w:rPr>
          <w:rFonts w:ascii="Times New Roman" w:eastAsia="Times New Roman"/>
          <w:b/>
          <w:i/>
          <w:position w:val="11"/>
          <w:sz w:val="16"/>
        </w:rPr>
        <w:t>7.4 </w:t>
      </w:r>
      <w:r>
        <w:rPr/>
        <w:t>确诊初次发生本合同约定的</w:t>
      </w:r>
      <w:r>
        <w:rPr>
          <w:b/>
          <w:spacing w:val="-9"/>
        </w:rPr>
        <w:t>少儿重大疾病 </w:t>
      </w:r>
      <w:r>
        <w:rPr>
          <w:rFonts w:ascii="Times New Roman" w:eastAsia="Times New Roman"/>
          <w:b/>
          <w:i/>
          <w:position w:val="11"/>
          <w:sz w:val="16"/>
        </w:rPr>
        <w:t>7.14</w:t>
      </w:r>
      <w:r>
        <w:rPr/>
        <w:t>，本公司按照保险金额给付少儿重大疾病保险金，同时本合同效力终止。</w:t>
      </w:r>
      <w:r>
        <w:rPr>
          <w:spacing w:val="-6"/>
        </w:rPr>
        <w:t>自保险合同生效之日起 </w:t>
      </w:r>
      <w:r>
        <w:rPr/>
        <w:t>90</w:t>
      </w:r>
      <w:r>
        <w:rPr>
          <w:spacing w:val="-22"/>
        </w:rPr>
        <w:t> 天内</w:t>
      </w:r>
      <w:r>
        <w:rPr/>
        <w:t>（续保除外）因意外伤害之外的其它原因，被保险人初次发生本合同约定的少儿重大疾病，本公司将向投保人无息返还已交纳的保险费，同时本合同效力终止。</w:t>
      </w:r>
    </w:p>
    <w:p>
      <w:pPr>
        <w:pStyle w:val="Heading2"/>
        <w:spacing w:before="14"/>
        <w:ind w:left="883"/>
      </w:pPr>
      <w:r>
        <w:rPr>
          <w:w w:val="95"/>
        </w:rPr>
        <w:t>疾病身故保险金</w:t>
      </w:r>
    </w:p>
    <w:p>
      <w:pPr>
        <w:pStyle w:val="BodyText"/>
        <w:spacing w:line="297" w:lineRule="auto"/>
        <w:ind w:right="215"/>
      </w:pPr>
      <w:r>
        <w:rPr>
          <w:spacing w:val="-7"/>
        </w:rPr>
        <w:t>自保险合同生效之日起 </w:t>
      </w:r>
      <w:r>
        <w:rPr/>
        <w:t>90</w:t>
      </w:r>
      <w:r>
        <w:rPr>
          <w:spacing w:val="-23"/>
        </w:rPr>
        <w:t> 天后</w:t>
      </w:r>
      <w:r>
        <w:rPr/>
        <w:t>（续保时，自保险合同生效之日起）因意外伤害之外的其它原因，被保险人身故，本公司按照保险金额给付疾病身故保险金，同时本合同效力终止。</w:t>
      </w:r>
    </w:p>
    <w:p>
      <w:pPr>
        <w:pStyle w:val="BodyText"/>
        <w:spacing w:line="297" w:lineRule="auto" w:before="14"/>
        <w:ind w:right="215"/>
      </w:pPr>
      <w:r>
        <w:rPr>
          <w:spacing w:val="-7"/>
        </w:rPr>
        <w:t>自保险合同生效之日起 </w:t>
      </w:r>
      <w:r>
        <w:rPr/>
        <w:t>90</w:t>
      </w:r>
      <w:r>
        <w:rPr>
          <w:spacing w:val="-23"/>
        </w:rPr>
        <w:t> 天内</w:t>
      </w:r>
      <w:r>
        <w:rPr/>
        <w:t>（续保除外）因意外伤害之外的其它原因，被保险人身故，本公司将向投保人无息返还已交纳的保险费，同时本合同效力终止。</w:t>
      </w:r>
    </w:p>
    <w:p>
      <w:pPr>
        <w:pStyle w:val="Heading2"/>
        <w:numPr>
          <w:ilvl w:val="1"/>
          <w:numId w:val="5"/>
        </w:numPr>
        <w:tabs>
          <w:tab w:pos="883" w:val="left" w:leader="none"/>
          <w:tab w:pos="884" w:val="left" w:leader="none"/>
        </w:tabs>
        <w:spacing w:line="240" w:lineRule="auto" w:before="15" w:after="0"/>
        <w:ind w:left="883" w:right="0" w:hanging="646"/>
        <w:jc w:val="left"/>
        <w:rPr>
          <w:rFonts w:ascii="黑体" w:eastAsia="黑体" w:hint="eastAsia"/>
        </w:rPr>
      </w:pPr>
      <w:r>
        <w:rPr>
          <w:rFonts w:ascii="黑体" w:eastAsia="黑体" w:hint="eastAsia"/>
        </w:rPr>
        <w:t>责任免除</w:t>
      </w:r>
    </w:p>
    <w:p>
      <w:pPr>
        <w:pStyle w:val="BodyText"/>
        <w:rPr>
          <w:rFonts w:ascii="黑体" w:eastAsia="黑体" w:hint="eastAsia"/>
        </w:rPr>
      </w:pPr>
      <w:r>
        <w:rPr>
          <w:rFonts w:ascii="黑体" w:eastAsia="黑体" w:hint="eastAsia"/>
          <w:shd w:fill="CCCCCC" w:color="auto" w:val="clear"/>
          <w:u w:val="single"/>
        </w:rPr>
        <w:t>因下列情形之一引起的保险事故，本公司不承担给付保险金的责任：</w:t>
      </w:r>
    </w:p>
    <w:p>
      <w:pPr>
        <w:pStyle w:val="ListParagraph"/>
        <w:numPr>
          <w:ilvl w:val="2"/>
          <w:numId w:val="5"/>
        </w:numPr>
        <w:tabs>
          <w:tab w:pos="1303" w:val="left" w:leader="none"/>
          <w:tab w:pos="1304" w:val="left" w:leader="none"/>
        </w:tabs>
        <w:spacing w:line="240" w:lineRule="auto" w:before="64" w:after="0"/>
        <w:ind w:left="1303" w:right="0" w:hanging="420"/>
        <w:jc w:val="left"/>
        <w:rPr>
          <w:rFonts w:ascii="黑体" w:eastAsia="黑体" w:hint="eastAsia"/>
          <w:sz w:val="21"/>
        </w:rPr>
      </w:pPr>
      <w:r>
        <w:rPr>
          <w:rFonts w:ascii="黑体" w:eastAsia="黑体" w:hint="eastAsia"/>
          <w:sz w:val="21"/>
          <w:u w:val="single"/>
        </w:rPr>
        <w:t>投保人对被保险人的故意杀害、故意伤害；</w:t>
      </w:r>
    </w:p>
    <w:p>
      <w:pPr>
        <w:pStyle w:val="ListParagraph"/>
        <w:numPr>
          <w:ilvl w:val="2"/>
          <w:numId w:val="5"/>
        </w:numPr>
        <w:tabs>
          <w:tab w:pos="1303" w:val="left" w:leader="none"/>
          <w:tab w:pos="1304" w:val="left" w:leader="none"/>
        </w:tabs>
        <w:spacing w:line="297" w:lineRule="auto" w:before="65" w:after="0"/>
        <w:ind w:left="1303" w:right="214" w:hanging="420"/>
        <w:jc w:val="left"/>
        <w:rPr>
          <w:rFonts w:ascii="黑体" w:eastAsia="黑体" w:hint="eastAsia"/>
          <w:sz w:val="21"/>
        </w:rPr>
      </w:pPr>
      <w:r>
        <w:rPr>
          <w:rFonts w:ascii="黑体" w:eastAsia="黑体" w:hint="eastAsia"/>
          <w:sz w:val="21"/>
          <w:u w:val="single"/>
        </w:rPr>
        <w:t>被保险人故意自伤、自杀（被保险人自杀时为无民事行为能力人的除外</w:t>
      </w:r>
      <w:r>
        <w:rPr>
          <w:rFonts w:ascii="黑体" w:eastAsia="黑体" w:hint="eastAsia"/>
          <w:spacing w:val="-105"/>
          <w:sz w:val="21"/>
          <w:u w:val="single"/>
        </w:rPr>
        <w:t>）</w:t>
      </w:r>
      <w:r>
        <w:rPr>
          <w:rFonts w:ascii="黑体" w:eastAsia="黑体" w:hint="eastAsia"/>
          <w:sz w:val="21"/>
          <w:u w:val="single"/>
        </w:rPr>
        <w:t>、故意犯罪或者抗拒依法采取的刑事强制措施；</w:t>
      </w:r>
    </w:p>
    <w:p>
      <w:pPr>
        <w:pStyle w:val="ListParagraph"/>
        <w:numPr>
          <w:ilvl w:val="2"/>
          <w:numId w:val="5"/>
        </w:numPr>
        <w:tabs>
          <w:tab w:pos="1304" w:val="left" w:leader="none"/>
        </w:tabs>
        <w:spacing w:line="240" w:lineRule="auto" w:before="13" w:after="0"/>
        <w:ind w:left="1303" w:right="0" w:hanging="420"/>
        <w:jc w:val="both"/>
        <w:rPr>
          <w:rFonts w:ascii="黑体" w:eastAsia="黑体" w:hint="eastAsia"/>
          <w:sz w:val="21"/>
        </w:rPr>
      </w:pPr>
      <w:r>
        <w:rPr>
          <w:rFonts w:ascii="黑体" w:eastAsia="黑体" w:hint="eastAsia"/>
          <w:sz w:val="21"/>
        </w:rPr>
        <w:t>被保险人患有</w:t>
      </w:r>
      <w:r>
        <w:rPr>
          <w:rFonts w:ascii="黑体" w:eastAsia="黑体" w:hint="eastAsia"/>
          <w:b/>
          <w:spacing w:val="-10"/>
          <w:sz w:val="21"/>
        </w:rPr>
        <w:t>遗传性疾病 </w:t>
      </w:r>
      <w:r>
        <w:rPr>
          <w:rFonts w:ascii="Times New Roman" w:eastAsia="Times New Roman"/>
          <w:b/>
          <w:i/>
          <w:position w:val="11"/>
          <w:sz w:val="16"/>
        </w:rPr>
        <w:t>7.5</w:t>
      </w:r>
      <w:r>
        <w:rPr>
          <w:rFonts w:ascii="黑体" w:eastAsia="黑体" w:hint="eastAsia"/>
          <w:sz w:val="21"/>
        </w:rPr>
        <w:t>，</w:t>
      </w:r>
      <w:r>
        <w:rPr>
          <w:rFonts w:ascii="黑体" w:eastAsia="黑体" w:hint="eastAsia"/>
          <w:b/>
          <w:spacing w:val="-4"/>
          <w:sz w:val="21"/>
        </w:rPr>
        <w:t>先天性畸形、变形或染色体异常 </w:t>
      </w:r>
      <w:r>
        <w:rPr>
          <w:rFonts w:ascii="Times New Roman" w:eastAsia="Times New Roman"/>
          <w:b/>
          <w:i/>
          <w:position w:val="11"/>
          <w:sz w:val="16"/>
        </w:rPr>
        <w:t>7.6</w:t>
      </w:r>
      <w:r>
        <w:rPr>
          <w:rFonts w:ascii="黑体" w:eastAsia="黑体" w:hint="eastAsia"/>
          <w:sz w:val="21"/>
        </w:rPr>
        <w:t>；</w:t>
      </w:r>
    </w:p>
    <w:p>
      <w:pPr>
        <w:pStyle w:val="BodyText"/>
        <w:spacing w:line="20" w:lineRule="exact" w:before="0"/>
        <w:ind w:left="1297"/>
        <w:rPr>
          <w:rFonts w:ascii="黑体"/>
          <w:sz w:val="2"/>
        </w:rPr>
      </w:pPr>
      <w:r>
        <w:rPr>
          <w:rFonts w:ascii="Times New Roman"/>
          <w:spacing w:val="2"/>
          <w:sz w:val="2"/>
        </w:rPr>
        <w:t> </w:t>
      </w:r>
      <w:r>
        <w:rPr>
          <w:rFonts w:ascii="黑体"/>
          <w:spacing w:val="2"/>
          <w:sz w:val="2"/>
        </w:rPr>
        <w:pict>
          <v:group style="width:309.6pt;height:.550pt;mso-position-horizontal-relative:char;mso-position-vertical-relative:line" coordorigin="0,0" coordsize="6192,11">
            <v:line style="position:absolute" from="0,5" to="6192,5" stroked="true" strokeweight=".53998pt" strokecolor="#000000">
              <v:stroke dashstyle="solid"/>
            </v:line>
          </v:group>
        </w:pict>
      </w:r>
      <w:r>
        <w:rPr>
          <w:rFonts w:ascii="黑体"/>
          <w:spacing w:val="2"/>
          <w:sz w:val="2"/>
        </w:rPr>
      </w:r>
    </w:p>
    <w:p>
      <w:pPr>
        <w:pStyle w:val="ListParagraph"/>
        <w:numPr>
          <w:ilvl w:val="2"/>
          <w:numId w:val="5"/>
        </w:numPr>
        <w:tabs>
          <w:tab w:pos="1304" w:val="left" w:leader="none"/>
        </w:tabs>
        <w:spacing w:line="240" w:lineRule="auto" w:before="44" w:after="0"/>
        <w:ind w:left="1303" w:right="0" w:hanging="420"/>
        <w:jc w:val="both"/>
        <w:rPr>
          <w:rFonts w:ascii="黑体" w:eastAsia="黑体" w:hint="eastAsia"/>
          <w:sz w:val="21"/>
        </w:rPr>
      </w:pPr>
      <w:r>
        <w:rPr>
          <w:rFonts w:ascii="黑体" w:eastAsia="黑体" w:hint="eastAsia"/>
          <w:sz w:val="21"/>
        </w:rPr>
        <w:t>被保险人</w:t>
      </w:r>
      <w:r>
        <w:rPr>
          <w:rFonts w:ascii="黑体" w:eastAsia="黑体" w:hint="eastAsia"/>
          <w:b/>
          <w:spacing w:val="-19"/>
          <w:sz w:val="21"/>
        </w:rPr>
        <w:t>酗酒 </w:t>
      </w:r>
      <w:r>
        <w:rPr>
          <w:rFonts w:ascii="Times New Roman" w:eastAsia="Times New Roman"/>
          <w:b/>
          <w:i/>
          <w:position w:val="11"/>
          <w:sz w:val="16"/>
        </w:rPr>
        <w:t>7.7</w:t>
      </w:r>
      <w:r>
        <w:rPr>
          <w:rFonts w:ascii="黑体" w:eastAsia="黑体" w:hint="eastAsia"/>
          <w:sz w:val="21"/>
        </w:rPr>
        <w:t>、主动吸食或注射</w:t>
      </w:r>
      <w:r>
        <w:rPr>
          <w:rFonts w:ascii="黑体" w:eastAsia="黑体" w:hint="eastAsia"/>
          <w:b/>
          <w:spacing w:val="-19"/>
          <w:sz w:val="21"/>
        </w:rPr>
        <w:t>毒品 </w:t>
      </w:r>
      <w:r>
        <w:rPr>
          <w:rFonts w:ascii="Times New Roman" w:eastAsia="Times New Roman"/>
          <w:b/>
          <w:i/>
          <w:position w:val="11"/>
          <w:sz w:val="16"/>
        </w:rPr>
        <w:t>7.8</w:t>
      </w:r>
      <w:r>
        <w:rPr>
          <w:rFonts w:ascii="黑体" w:eastAsia="黑体" w:hint="eastAsia"/>
          <w:sz w:val="21"/>
        </w:rPr>
        <w:t>；</w:t>
      </w:r>
    </w:p>
    <w:p>
      <w:pPr>
        <w:pStyle w:val="BodyText"/>
        <w:spacing w:line="20" w:lineRule="exact" w:before="0"/>
        <w:ind w:left="1297"/>
        <w:rPr>
          <w:rFonts w:ascii="黑体"/>
          <w:sz w:val="2"/>
        </w:rPr>
      </w:pPr>
      <w:r>
        <w:rPr>
          <w:rFonts w:ascii="Times New Roman"/>
          <w:spacing w:val="2"/>
          <w:sz w:val="2"/>
        </w:rPr>
        <w:t> </w:t>
      </w:r>
      <w:r>
        <w:rPr>
          <w:rFonts w:ascii="黑体"/>
          <w:spacing w:val="2"/>
          <w:sz w:val="2"/>
        </w:rPr>
        <w:pict>
          <v:group style="width:204pt;height:.550pt;mso-position-horizontal-relative:char;mso-position-vertical-relative:line" coordorigin="0,0" coordsize="4080,11">
            <v:line style="position:absolute" from="0,5" to="4080,5" stroked="true" strokeweight=".54001pt" strokecolor="#000000">
              <v:stroke dashstyle="solid"/>
            </v:line>
          </v:group>
        </w:pict>
      </w:r>
      <w:r>
        <w:rPr>
          <w:rFonts w:ascii="黑体"/>
          <w:spacing w:val="2"/>
          <w:sz w:val="2"/>
        </w:rPr>
      </w:r>
    </w:p>
    <w:p>
      <w:pPr>
        <w:pStyle w:val="ListParagraph"/>
        <w:numPr>
          <w:ilvl w:val="2"/>
          <w:numId w:val="5"/>
        </w:numPr>
        <w:tabs>
          <w:tab w:pos="1304" w:val="left" w:leader="none"/>
        </w:tabs>
        <w:spacing w:line="240" w:lineRule="auto" w:before="44" w:after="0"/>
        <w:ind w:left="1303" w:right="0" w:hanging="420"/>
        <w:jc w:val="both"/>
        <w:rPr>
          <w:rFonts w:ascii="黑体" w:eastAsia="黑体" w:hint="eastAsia"/>
          <w:sz w:val="21"/>
        </w:rPr>
      </w:pPr>
      <w:r>
        <w:rPr>
          <w:rFonts w:ascii="黑体" w:eastAsia="黑体" w:hint="eastAsia"/>
          <w:sz w:val="21"/>
        </w:rPr>
        <w:t>被保险人</w:t>
      </w:r>
      <w:r>
        <w:rPr>
          <w:rFonts w:ascii="黑体" w:eastAsia="黑体" w:hint="eastAsia"/>
          <w:b/>
          <w:spacing w:val="-12"/>
          <w:sz w:val="21"/>
        </w:rPr>
        <w:t>酒后驾驶 </w:t>
      </w:r>
      <w:r>
        <w:rPr>
          <w:rFonts w:ascii="Times New Roman" w:eastAsia="Times New Roman"/>
          <w:b/>
          <w:i/>
          <w:position w:val="11"/>
          <w:sz w:val="16"/>
        </w:rPr>
        <w:t>7.9</w:t>
      </w:r>
      <w:r>
        <w:rPr>
          <w:rFonts w:ascii="黑体" w:eastAsia="黑体" w:hint="eastAsia"/>
          <w:sz w:val="21"/>
        </w:rPr>
        <w:t>、</w:t>
      </w:r>
      <w:r>
        <w:rPr>
          <w:rFonts w:ascii="黑体" w:eastAsia="黑体" w:hint="eastAsia"/>
          <w:b/>
          <w:spacing w:val="-6"/>
          <w:sz w:val="21"/>
        </w:rPr>
        <w:t>无合法有效驾驶证驾驶 </w:t>
      </w:r>
      <w:r>
        <w:rPr>
          <w:rFonts w:ascii="Times New Roman" w:eastAsia="Times New Roman"/>
          <w:b/>
          <w:i/>
          <w:position w:val="11"/>
          <w:sz w:val="16"/>
        </w:rPr>
        <w:t>7.10</w:t>
      </w:r>
      <w:r>
        <w:rPr>
          <w:rFonts w:ascii="黑体" w:eastAsia="黑体" w:hint="eastAsia"/>
          <w:sz w:val="21"/>
        </w:rPr>
        <w:t>，或驾驶</w:t>
      </w:r>
      <w:r>
        <w:rPr>
          <w:rFonts w:ascii="黑体" w:eastAsia="黑体" w:hint="eastAsia"/>
          <w:b/>
          <w:spacing w:val="-8"/>
          <w:sz w:val="21"/>
        </w:rPr>
        <w:t>无有效行驶证 </w:t>
      </w:r>
      <w:r>
        <w:rPr>
          <w:rFonts w:ascii="Times New Roman" w:eastAsia="Times New Roman"/>
          <w:b/>
          <w:i/>
          <w:spacing w:val="-3"/>
          <w:position w:val="11"/>
          <w:sz w:val="16"/>
        </w:rPr>
        <w:t>7.11</w:t>
      </w:r>
      <w:r>
        <w:rPr>
          <w:rFonts w:ascii="Times New Roman" w:eastAsia="Times New Roman"/>
          <w:b/>
          <w:i/>
          <w:spacing w:val="-12"/>
          <w:position w:val="11"/>
          <w:sz w:val="16"/>
        </w:rPr>
        <w:t> </w:t>
      </w:r>
      <w:r>
        <w:rPr>
          <w:rFonts w:ascii="黑体" w:eastAsia="黑体" w:hint="eastAsia"/>
          <w:sz w:val="21"/>
        </w:rPr>
        <w:t>的机动车；</w:t>
      </w:r>
    </w:p>
    <w:p>
      <w:pPr>
        <w:pStyle w:val="BodyText"/>
        <w:spacing w:line="20" w:lineRule="exact" w:before="0"/>
        <w:ind w:left="1297"/>
        <w:rPr>
          <w:rFonts w:ascii="黑体"/>
          <w:sz w:val="2"/>
        </w:rPr>
      </w:pPr>
      <w:r>
        <w:rPr>
          <w:rFonts w:ascii="Times New Roman"/>
          <w:spacing w:val="2"/>
          <w:sz w:val="2"/>
        </w:rPr>
        <w:t> </w:t>
      </w:r>
      <w:r>
        <w:rPr>
          <w:rFonts w:ascii="黑体"/>
          <w:spacing w:val="2"/>
          <w:sz w:val="2"/>
        </w:rPr>
        <w:pict>
          <v:group style="width:405.25pt;height:.550pt;mso-position-horizontal-relative:char;mso-position-vertical-relative:line" coordorigin="0,0" coordsize="8105,11">
            <v:line style="position:absolute" from="0,5" to="8105,5" stroked="true" strokeweight=".54001pt" strokecolor="#000000">
              <v:stroke dashstyle="solid"/>
            </v:line>
          </v:group>
        </w:pict>
      </w:r>
      <w:r>
        <w:rPr>
          <w:rFonts w:ascii="黑体"/>
          <w:spacing w:val="2"/>
          <w:sz w:val="2"/>
        </w:rPr>
      </w:r>
    </w:p>
    <w:p>
      <w:pPr>
        <w:pStyle w:val="ListParagraph"/>
        <w:numPr>
          <w:ilvl w:val="2"/>
          <w:numId w:val="5"/>
        </w:numPr>
        <w:tabs>
          <w:tab w:pos="1304" w:val="left" w:leader="none"/>
        </w:tabs>
        <w:spacing w:line="240" w:lineRule="auto" w:before="44" w:after="0"/>
        <w:ind w:left="1303" w:right="0" w:hanging="420"/>
        <w:jc w:val="both"/>
        <w:rPr>
          <w:rFonts w:ascii="黑体" w:eastAsia="黑体" w:hint="eastAsia"/>
          <w:sz w:val="21"/>
        </w:rPr>
      </w:pPr>
      <w:r>
        <w:rPr>
          <w:rFonts w:ascii="黑体" w:eastAsia="黑体" w:hint="eastAsia"/>
          <w:sz w:val="21"/>
        </w:rPr>
        <w:t>被保险人</w:t>
      </w:r>
      <w:r>
        <w:rPr>
          <w:rFonts w:ascii="黑体" w:eastAsia="黑体" w:hint="eastAsia"/>
          <w:b/>
          <w:spacing w:val="-5"/>
          <w:sz w:val="21"/>
        </w:rPr>
        <w:t>感染艾滋病病毒或患艾滋病 </w:t>
      </w:r>
      <w:r>
        <w:rPr>
          <w:rFonts w:ascii="Times New Roman" w:eastAsia="Times New Roman"/>
          <w:b/>
          <w:i/>
          <w:position w:val="11"/>
          <w:sz w:val="16"/>
        </w:rPr>
        <w:t>7.12</w:t>
      </w:r>
      <w:r>
        <w:rPr>
          <w:rFonts w:ascii="黑体" w:eastAsia="黑体" w:hint="eastAsia"/>
          <w:sz w:val="21"/>
        </w:rPr>
        <w:t>；</w:t>
      </w:r>
    </w:p>
    <w:p>
      <w:pPr>
        <w:pStyle w:val="BodyText"/>
        <w:spacing w:line="20" w:lineRule="exact" w:before="0"/>
        <w:ind w:left="1297"/>
        <w:rPr>
          <w:rFonts w:ascii="黑体"/>
          <w:sz w:val="2"/>
        </w:rPr>
      </w:pPr>
      <w:r>
        <w:rPr>
          <w:rFonts w:ascii="Times New Roman"/>
          <w:spacing w:val="2"/>
          <w:sz w:val="2"/>
        </w:rPr>
        <w:t> </w:t>
      </w:r>
      <w:r>
        <w:rPr>
          <w:rFonts w:ascii="黑体"/>
          <w:spacing w:val="2"/>
          <w:sz w:val="2"/>
        </w:rPr>
        <w:pict>
          <v:group style="width:195.7pt;height:.550pt;mso-position-horizontal-relative:char;mso-position-vertical-relative:line" coordorigin="0,0" coordsize="3914,11">
            <v:line style="position:absolute" from="0,5" to="3913,5" stroked="true" strokeweight=".54004pt" strokecolor="#000000">
              <v:stroke dashstyle="solid"/>
            </v:line>
          </v:group>
        </w:pict>
      </w:r>
      <w:r>
        <w:rPr>
          <w:rFonts w:ascii="黑体"/>
          <w:spacing w:val="2"/>
          <w:sz w:val="2"/>
        </w:rPr>
      </w:r>
    </w:p>
    <w:p>
      <w:pPr>
        <w:pStyle w:val="ListParagraph"/>
        <w:numPr>
          <w:ilvl w:val="2"/>
          <w:numId w:val="5"/>
        </w:numPr>
        <w:tabs>
          <w:tab w:pos="1304" w:val="left" w:leader="none"/>
        </w:tabs>
        <w:spacing w:line="240" w:lineRule="auto" w:before="45" w:after="0"/>
        <w:ind w:left="1303" w:right="0" w:hanging="420"/>
        <w:jc w:val="both"/>
        <w:rPr>
          <w:rFonts w:ascii="黑体" w:eastAsia="黑体" w:hint="eastAsia"/>
          <w:sz w:val="21"/>
        </w:rPr>
      </w:pPr>
      <w:r>
        <w:rPr>
          <w:rFonts w:ascii="黑体" w:eastAsia="黑体" w:hint="eastAsia"/>
          <w:sz w:val="21"/>
          <w:u w:val="single"/>
        </w:rPr>
        <w:t>战争、军事冲突、暴乱或武装叛乱；</w:t>
      </w:r>
    </w:p>
    <w:p>
      <w:pPr>
        <w:pStyle w:val="ListParagraph"/>
        <w:numPr>
          <w:ilvl w:val="2"/>
          <w:numId w:val="5"/>
        </w:numPr>
        <w:tabs>
          <w:tab w:pos="1304" w:val="left" w:leader="none"/>
        </w:tabs>
        <w:spacing w:line="240" w:lineRule="auto" w:before="65" w:after="0"/>
        <w:ind w:left="1303" w:right="0" w:hanging="420"/>
        <w:jc w:val="both"/>
        <w:rPr>
          <w:rFonts w:ascii="黑体" w:eastAsia="黑体" w:hint="eastAsia"/>
          <w:sz w:val="21"/>
        </w:rPr>
      </w:pPr>
      <w:r>
        <w:rPr>
          <w:rFonts w:ascii="黑体" w:eastAsia="黑体" w:hint="eastAsia"/>
          <w:sz w:val="21"/>
          <w:u w:val="single"/>
        </w:rPr>
        <w:t>核爆炸、核辐射或核污染。</w:t>
      </w:r>
    </w:p>
    <w:p>
      <w:pPr>
        <w:pStyle w:val="BodyText"/>
        <w:spacing w:line="295" w:lineRule="auto" w:before="66"/>
        <w:ind w:right="214"/>
        <w:jc w:val="both"/>
        <w:rPr>
          <w:rFonts w:ascii="黑体" w:eastAsia="黑体" w:hint="eastAsia"/>
        </w:rPr>
      </w:pPr>
      <w:r>
        <w:rPr/>
        <w:pict>
          <v:shape style="position:absolute;margin-left:41.759998pt;margin-top:56.783516pt;width:511.05pt;height:19.45pt;mso-position-horizontal-relative:page;mso-position-vertical-relative:paragraph;z-index:1168;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pict>
          <v:line style="position:absolute;mso-position-horizontal-relative:page;mso-position-vertical-relative:paragraph;z-index:-11680" from="80.160004pt,35.093521pt" to="547.440004pt,35.093521pt" stroked="true" strokeweight=".53999pt" strokecolor="#000000">
            <v:stroke dashstyle="solid"/>
            <w10:wrap type="none"/>
          </v:line>
        </w:pict>
      </w:r>
      <w:r>
        <w:rPr>
          <w:rFonts w:ascii="黑体" w:eastAsia="黑体" w:hint="eastAsia"/>
          <w:u w:val="single"/>
        </w:rPr>
        <w:t>因上述情况导致被保险人身故或初次发Th</w:t>
      </w:r>
      <w:r>
        <w:rPr>
          <w:rFonts w:ascii="黑体" w:eastAsia="黑体" w:hint="eastAsia"/>
          <w:spacing w:val="-7"/>
          <w:u w:val="single"/>
        </w:rPr>
        <w:t>本合同约定的少儿重大疾病的，本合同效力终止，本公司向投</w:t>
      </w:r>
      <w:r>
        <w:rPr>
          <w:rFonts w:ascii="黑体" w:eastAsia="黑体" w:hint="eastAsia"/>
          <w:spacing w:val="-7"/>
        </w:rPr>
        <w:t>保人退还本合同的</w:t>
      </w:r>
      <w:r>
        <w:rPr>
          <w:rFonts w:ascii="黑体" w:eastAsia="黑体" w:hint="eastAsia"/>
          <w:b/>
          <w:spacing w:val="-17"/>
        </w:rPr>
        <w:t>现金价值 </w:t>
      </w:r>
      <w:r>
        <w:rPr>
          <w:rFonts w:ascii="Times New Roman" w:eastAsia="Times New Roman"/>
          <w:b/>
          <w:i/>
          <w:position w:val="11"/>
          <w:sz w:val="16"/>
        </w:rPr>
        <w:t>7.13</w:t>
      </w:r>
      <w:r>
        <w:rPr>
          <w:rFonts w:ascii="黑体" w:eastAsia="黑体" w:hint="eastAsia"/>
          <w:spacing w:val="-4"/>
        </w:rPr>
        <w:t>。但因投保人对被保险人的故意杀害、故意伤害导致被保险人身故或初</w:t>
      </w:r>
      <w:r>
        <w:rPr>
          <w:rFonts w:ascii="黑体" w:eastAsia="黑体" w:hint="eastAsia"/>
          <w:spacing w:val="-4"/>
          <w:u w:val="single"/>
        </w:rPr>
        <w:t>次发Th本合同约定的少儿重大疾病的，本公司向受益人退还本合同的现金价值。</w:t>
      </w:r>
    </w:p>
    <w:p>
      <w:pPr>
        <w:pStyle w:val="Heading2"/>
        <w:numPr>
          <w:ilvl w:val="1"/>
          <w:numId w:val="6"/>
        </w:numPr>
        <w:tabs>
          <w:tab w:pos="882" w:val="left" w:leader="none"/>
          <w:tab w:pos="883" w:val="left" w:leader="none"/>
        </w:tabs>
        <w:spacing w:line="225" w:lineRule="exact" w:before="0" w:after="0"/>
        <w:ind w:left="883" w:right="0" w:hanging="646"/>
        <w:jc w:val="left"/>
      </w:pPr>
      <w:r>
        <w:rPr>
          <w:w w:val="95"/>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6"/>
        <w:ind w:right="213"/>
      </w:pPr>
      <w:r>
        <w:rPr>
          <w:spacing w:val="-9"/>
        </w:rPr>
        <w:t>除另有约定外，自本合同成立，本公司收取保险费并签发保险单的次日零时起本合同生效，本公司自载明于保险单上的生效日开始承担本合同约定的保险责任。</w:t>
      </w:r>
    </w:p>
    <w:p>
      <w:pPr>
        <w:pStyle w:val="Heading2"/>
        <w:numPr>
          <w:ilvl w:val="1"/>
          <w:numId w:val="6"/>
        </w:numPr>
        <w:tabs>
          <w:tab w:pos="882" w:val="left" w:leader="none"/>
          <w:tab w:pos="883" w:val="left" w:leader="none"/>
        </w:tabs>
        <w:spacing w:line="240" w:lineRule="auto" w:before="15" w:after="0"/>
        <w:ind w:left="882" w:right="0" w:hanging="645"/>
        <w:jc w:val="left"/>
      </w:pPr>
      <w:r>
        <w:rPr>
          <w:w w:val="95"/>
        </w:rPr>
        <w:t>解除合同的手续及风险</w:t>
      </w:r>
    </w:p>
    <w:p>
      <w:pPr>
        <w:spacing w:after="0" w:line="240" w:lineRule="auto"/>
        <w:jc w:val="left"/>
        <w:sectPr>
          <w:footerReference w:type="default" r:id="rId7"/>
          <w:pgSz w:w="11910" w:h="16840"/>
          <w:pgMar w:footer="1008" w:header="0" w:top="1280" w:bottom="1200" w:left="720" w:right="740"/>
          <w:pgNumType w:start="1"/>
        </w:sectPr>
      </w:pPr>
    </w:p>
    <w:p>
      <w:pPr>
        <w:pStyle w:val="BodyText"/>
        <w:spacing w:before="9"/>
      </w:pPr>
      <w:r>
        <w:rPr/>
        <w:t>如投保人申请解除本合同，应填写解除合同申请书并向本公司提供下列资料：</w:t>
      </w:r>
    </w:p>
    <w:p>
      <w:pPr>
        <w:pStyle w:val="ListParagraph"/>
        <w:numPr>
          <w:ilvl w:val="2"/>
          <w:numId w:val="6"/>
        </w:numPr>
        <w:tabs>
          <w:tab w:pos="1303" w:val="left" w:leader="none"/>
          <w:tab w:pos="1304" w:val="left" w:leader="none"/>
        </w:tabs>
        <w:spacing w:line="240" w:lineRule="auto" w:before="64" w:after="0"/>
        <w:ind w:left="1303" w:right="0" w:hanging="420"/>
        <w:jc w:val="left"/>
        <w:rPr>
          <w:sz w:val="21"/>
        </w:rPr>
      </w:pPr>
      <w:r>
        <w:rPr>
          <w:sz w:val="21"/>
        </w:rPr>
        <w:t>保险合同；</w:t>
      </w:r>
    </w:p>
    <w:p>
      <w:pPr>
        <w:pStyle w:val="ListParagraph"/>
        <w:numPr>
          <w:ilvl w:val="2"/>
          <w:numId w:val="6"/>
        </w:numPr>
        <w:tabs>
          <w:tab w:pos="1303" w:val="left" w:leader="none"/>
          <w:tab w:pos="1304" w:val="left" w:leader="none"/>
        </w:tabs>
        <w:spacing w:line="240" w:lineRule="auto" w:before="65" w:after="0"/>
        <w:ind w:left="1303" w:right="0" w:hanging="420"/>
        <w:jc w:val="left"/>
        <w:rPr>
          <w:sz w:val="21"/>
        </w:rPr>
      </w:pPr>
      <w:r>
        <w:rPr>
          <w:sz w:val="21"/>
        </w:rPr>
        <w:t>投保人的有效身份证件。</w:t>
      </w:r>
    </w:p>
    <w:p>
      <w:pPr>
        <w:pStyle w:val="BodyText"/>
        <w:spacing w:line="297" w:lineRule="auto"/>
        <w:ind w:right="213"/>
      </w:pPr>
      <w:r>
        <w:rPr>
          <w:spacing w:val="-2"/>
        </w:rPr>
        <w:t>自本公司收到解除合同申请书时起，本合同效力终止。本公司自收到解除合同申请书之日起 </w:t>
      </w:r>
      <w:r>
        <w:rPr/>
        <w:t>30</w:t>
      </w:r>
      <w:r>
        <w:rPr>
          <w:spacing w:val="-18"/>
        </w:rPr>
        <w:t> 日内向投保人退还本合同的现金价值。</w:t>
      </w:r>
    </w:p>
    <w:p>
      <w:pPr>
        <w:pStyle w:val="BodyText"/>
        <w:spacing w:before="15"/>
      </w:pPr>
      <w:r>
        <w:rPr/>
        <w:t>投保人解除合同会遭受一定损失。</w:t>
      </w:r>
    </w:p>
    <w:p>
      <w:pPr>
        <w:pStyle w:val="ListParagraph"/>
        <w:numPr>
          <w:ilvl w:val="1"/>
          <w:numId w:val="6"/>
        </w:numPr>
        <w:tabs>
          <w:tab w:pos="882" w:val="left" w:leader="none"/>
          <w:tab w:pos="883" w:val="left" w:leader="none"/>
        </w:tabs>
        <w:spacing w:line="297" w:lineRule="auto" w:before="66" w:after="0"/>
        <w:ind w:left="883" w:right="214" w:hanging="646"/>
        <w:jc w:val="left"/>
        <w:rPr>
          <w:sz w:val="21"/>
        </w:rPr>
      </w:pPr>
      <w:r>
        <w:rPr/>
        <w:pict>
          <v:shape style="position:absolute;margin-left:41.759998pt;margin-top:39.083096pt;width:511.05pt;height:19.45pt;mso-position-horizontal-relative:page;mso-position-vertical-relative:paragraph;z-index:1240;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b/>
          <w:spacing w:val="-2"/>
          <w:sz w:val="21"/>
        </w:rPr>
        <w:t>续保 </w:t>
      </w:r>
      <w:r>
        <w:rPr>
          <w:sz w:val="21"/>
        </w:rPr>
        <w:t>在合同到期日前，如果本公司和投保人均未提出终止本保险，本公司按续保当时被保险人年龄所对应的费率收取相应的续保保险费后，将根据本合同的约定继续承担相应的保险责任。</w:t>
      </w:r>
    </w:p>
    <w:p>
      <w:pPr>
        <w:pStyle w:val="BodyText"/>
        <w:tabs>
          <w:tab w:pos="882" w:val="left" w:leader="none"/>
        </w:tabs>
        <w:spacing w:line="225" w:lineRule="exact" w:before="0"/>
        <w:ind w:left="237"/>
      </w:pPr>
      <w:r>
        <w:rPr>
          <w:b/>
        </w:rPr>
        <w:t>4.1</w:t>
        <w:tab/>
        <w:t>保险费 </w:t>
      </w:r>
      <w:r>
        <w:rPr>
          <w:spacing w:val="-8"/>
        </w:rPr>
        <w:t>保险费将根据投保人与本公司约定的保障内容及被保险人的风险状况进行确定，投保人应一次性</w:t>
      </w:r>
    </w:p>
    <w:p>
      <w:pPr>
        <w:pStyle w:val="BodyText"/>
        <w:spacing w:before="66"/>
      </w:pPr>
      <w:r>
        <w:rPr/>
        <w:pict>
          <v:shape style="position:absolute;margin-left:41.759998pt;margin-top:22.103523pt;width:511.05pt;height:19.45pt;mso-position-horizontal-relative:page;mso-position-vertical-relative:paragraph;z-index:1264;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向本公司交清保险费。</w:t>
      </w:r>
    </w:p>
    <w:p>
      <w:pPr>
        <w:pStyle w:val="Heading2"/>
        <w:numPr>
          <w:ilvl w:val="1"/>
          <w:numId w:val="7"/>
        </w:numPr>
        <w:tabs>
          <w:tab w:pos="882" w:val="left" w:leader="none"/>
          <w:tab w:pos="883" w:val="left" w:leader="none"/>
        </w:tabs>
        <w:spacing w:line="225" w:lineRule="exact" w:before="0" w:after="0"/>
        <w:ind w:left="883" w:right="0" w:hanging="646"/>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109"/>
      </w:pPr>
      <w:r>
        <w:rPr>
          <w:spacing w:val="-8"/>
        </w:rPr>
        <w:t>如果投保人、被保险人或受益人故意或者因重大过失未及时通知，致使保险事故的性质、原因、损失程</w:t>
      </w:r>
      <w:r>
        <w:rPr>
          <w:spacing w:val="-13"/>
        </w:rPr>
        <w:t>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7"/>
        </w:numPr>
        <w:tabs>
          <w:tab w:pos="882" w:val="left" w:leader="none"/>
          <w:tab w:pos="883" w:val="left" w:leader="none"/>
        </w:tabs>
        <w:spacing w:line="240" w:lineRule="auto" w:before="15" w:after="0"/>
        <w:ind w:left="883" w:right="0" w:hanging="646"/>
        <w:jc w:val="left"/>
      </w:pPr>
      <w:r>
        <w:rPr/>
        <w:t>受益人</w:t>
      </w:r>
    </w:p>
    <w:p>
      <w:pPr>
        <w:pStyle w:val="BodyText"/>
        <w:spacing w:before="66"/>
      </w:pPr>
      <w:r>
        <w:rPr/>
        <w:t>投保人或者被保险人可以指定一人或多人为身故保险金受益人。</w:t>
      </w:r>
    </w:p>
    <w:p>
      <w:pPr>
        <w:pStyle w:val="BodyText"/>
        <w:spacing w:line="297" w:lineRule="auto" w:before="66"/>
        <w:ind w:right="213" w:hanging="1"/>
        <w:jc w:val="both"/>
      </w:pPr>
      <w:r>
        <w:rPr>
          <w:spacing w:val="-7"/>
        </w:rPr>
        <w:t>身故保险金受益人为多人时，投保人或者被保险人可以确定受益顺序和受益份额；同一受益顺序如果没</w:t>
      </w:r>
      <w:r>
        <w:rPr>
          <w:spacing w:val="-12"/>
        </w:rPr>
        <w:t>有确定受益份额，各受益人按照相等份额享有受益权；没有确定受益顺序的，各受益人按同一顺序享有受益权。</w:t>
      </w:r>
    </w:p>
    <w:p>
      <w:pPr>
        <w:pStyle w:val="BodyText"/>
        <w:spacing w:before="15"/>
      </w:pPr>
      <w:r>
        <w:rPr/>
        <w:t>被保险人为无民事行为能力人或限制民事行为能力人的，可以由其监护人指定受益人。</w:t>
      </w:r>
    </w:p>
    <w:p>
      <w:pPr>
        <w:pStyle w:val="BodyText"/>
        <w:spacing w:line="297" w:lineRule="auto" w:before="64"/>
        <w:ind w:right="214"/>
      </w:pPr>
      <w:r>
        <w:rPr>
          <w:spacing w:val="-4"/>
        </w:rPr>
        <w:t>投保人或者被保险人可以变更身故保险金受益人并书面通知本公司。本公司收到变更受益人的书面通知后，在保险单或其他保险凭证上批注或附贴批单。</w:t>
      </w:r>
    </w:p>
    <w:p>
      <w:pPr>
        <w:pStyle w:val="BodyText"/>
        <w:spacing w:before="15"/>
      </w:pPr>
      <w:r>
        <w:rPr/>
        <w:t>投保人在指定和变更身故保险金受益人时，必须经过被保险人书面同意。</w:t>
      </w:r>
    </w:p>
    <w:p>
      <w:pPr>
        <w:pStyle w:val="BodyText"/>
        <w:spacing w:line="297" w:lineRule="auto" w:before="64"/>
        <w:ind w:right="214"/>
      </w:pPr>
      <w:r>
        <w:rPr>
          <w:spacing w:val="-8"/>
        </w:rPr>
        <w:t>被保险人身故后，有下列情形之一的，保险金作为被保险人的遗产，由本公司依照《中华人民共和国继承法》的规定履行给付保险金的义务：</w:t>
      </w:r>
    </w:p>
    <w:p>
      <w:pPr>
        <w:pStyle w:val="ListParagraph"/>
        <w:numPr>
          <w:ilvl w:val="2"/>
          <w:numId w:val="7"/>
        </w:numPr>
        <w:tabs>
          <w:tab w:pos="1303" w:val="left" w:leader="none"/>
          <w:tab w:pos="1304" w:val="left" w:leader="none"/>
        </w:tabs>
        <w:spacing w:line="240" w:lineRule="auto" w:before="15" w:after="0"/>
        <w:ind w:left="1303" w:right="0" w:hanging="420"/>
        <w:jc w:val="left"/>
        <w:rPr>
          <w:sz w:val="21"/>
        </w:rPr>
      </w:pPr>
      <w:r>
        <w:rPr>
          <w:sz w:val="21"/>
        </w:rPr>
        <w:t>没有指定受益人，或者受益人指定不明无法确定的；</w:t>
      </w:r>
    </w:p>
    <w:p>
      <w:pPr>
        <w:pStyle w:val="ListParagraph"/>
        <w:numPr>
          <w:ilvl w:val="2"/>
          <w:numId w:val="7"/>
        </w:numPr>
        <w:tabs>
          <w:tab w:pos="1303" w:val="left" w:leader="none"/>
          <w:tab w:pos="1304" w:val="left" w:leader="none"/>
        </w:tabs>
        <w:spacing w:line="240" w:lineRule="auto" w:before="64" w:after="0"/>
        <w:ind w:left="1303" w:right="0" w:hanging="420"/>
        <w:jc w:val="left"/>
        <w:rPr>
          <w:sz w:val="21"/>
        </w:rPr>
      </w:pPr>
      <w:r>
        <w:rPr>
          <w:sz w:val="21"/>
        </w:rPr>
        <w:t>受益人先于被保险人身故，没有其他受益人的；</w:t>
      </w:r>
    </w:p>
    <w:p>
      <w:pPr>
        <w:pStyle w:val="ListParagraph"/>
        <w:numPr>
          <w:ilvl w:val="2"/>
          <w:numId w:val="7"/>
        </w:numPr>
        <w:tabs>
          <w:tab w:pos="1303" w:val="left" w:leader="none"/>
          <w:tab w:pos="1304" w:val="left" w:leader="none"/>
        </w:tabs>
        <w:spacing w:line="240" w:lineRule="auto" w:before="65" w:after="0"/>
        <w:ind w:left="1303" w:right="0" w:hanging="420"/>
        <w:jc w:val="left"/>
        <w:rPr>
          <w:sz w:val="21"/>
        </w:rPr>
      </w:pPr>
      <w:r>
        <w:rPr>
          <w:sz w:val="21"/>
        </w:rPr>
        <w:t>受益人依法丧失受益权或者放弃受益权，没有其他受益人的。</w:t>
      </w:r>
    </w:p>
    <w:p>
      <w:pPr>
        <w:pStyle w:val="BodyText"/>
      </w:pPr>
      <w:r>
        <w:rPr/>
        <w:t>受益人与被保险人在同一事件中身故，且不能确定身故先后顺序的，推定受益人身故在先。</w:t>
      </w:r>
    </w:p>
    <w:p>
      <w:pPr>
        <w:pStyle w:val="BodyText"/>
        <w:spacing w:line="297" w:lineRule="auto"/>
        <w:ind w:right="109"/>
      </w:pPr>
      <w:r>
        <w:rPr/>
        <w:t>受益人故意造成被保险人身故、伤残、疾病的，或者故意杀害被保险人未遂的，该受益人丧失受益权。除本合同另有约定外，少儿重大疾病保险金的受益人为被保险人本人。</w:t>
      </w:r>
    </w:p>
    <w:p>
      <w:pPr>
        <w:pStyle w:val="ListParagraph"/>
        <w:numPr>
          <w:ilvl w:val="1"/>
          <w:numId w:val="7"/>
        </w:numPr>
        <w:tabs>
          <w:tab w:pos="882" w:val="left" w:leader="none"/>
          <w:tab w:pos="883" w:val="left" w:leader="none"/>
        </w:tabs>
        <w:spacing w:line="297" w:lineRule="auto" w:before="15" w:after="0"/>
        <w:ind w:left="883" w:right="1678" w:hanging="646"/>
        <w:jc w:val="left"/>
        <w:rPr>
          <w:b/>
          <w:sz w:val="21"/>
        </w:rPr>
      </w:pPr>
      <w:r>
        <w:rPr>
          <w:b/>
          <w:spacing w:val="-1"/>
          <w:sz w:val="21"/>
        </w:rPr>
        <w:t>保险金申请资料 </w:t>
      </w:r>
      <w:r>
        <w:rPr>
          <w:sz w:val="21"/>
        </w:rPr>
        <w:t>申请人应提供下列资料，本公司有权保留申请资料的原件或复印件： </w:t>
      </w:r>
      <w:r>
        <w:rPr>
          <w:b/>
          <w:w w:val="95"/>
          <w:sz w:val="21"/>
        </w:rPr>
        <w:t>少儿重大疾病保险金</w:t>
      </w:r>
    </w:p>
    <w:p>
      <w:pPr>
        <w:pStyle w:val="ListParagraph"/>
        <w:numPr>
          <w:ilvl w:val="2"/>
          <w:numId w:val="7"/>
        </w:numPr>
        <w:tabs>
          <w:tab w:pos="1303" w:val="left" w:leader="none"/>
          <w:tab w:pos="1304" w:val="left" w:leader="none"/>
        </w:tabs>
        <w:spacing w:line="240" w:lineRule="auto" w:before="14" w:after="0"/>
        <w:ind w:left="1303" w:right="0" w:hanging="420"/>
        <w:jc w:val="left"/>
        <w:rPr>
          <w:sz w:val="21"/>
        </w:rPr>
      </w:pPr>
      <w:r>
        <w:rPr>
          <w:sz w:val="21"/>
        </w:rPr>
        <w:t>申请人和受益人的有效身份证件；</w:t>
      </w:r>
    </w:p>
    <w:p>
      <w:pPr>
        <w:pStyle w:val="ListParagraph"/>
        <w:numPr>
          <w:ilvl w:val="2"/>
          <w:numId w:val="7"/>
        </w:numPr>
        <w:tabs>
          <w:tab w:pos="1303" w:val="left" w:leader="none"/>
          <w:tab w:pos="1304" w:val="left" w:leader="none"/>
        </w:tabs>
        <w:spacing w:line="297" w:lineRule="auto" w:before="65" w:after="0"/>
        <w:ind w:left="1303" w:right="214" w:hanging="420"/>
        <w:jc w:val="left"/>
        <w:rPr>
          <w:sz w:val="21"/>
        </w:rPr>
      </w:pPr>
      <w:r>
        <w:rPr>
          <w:spacing w:val="-5"/>
          <w:sz w:val="21"/>
        </w:rPr>
        <w:t>由本公司认可的医院专科医生出具的疾病诊断证明书、病历记录，以及由本公司认可的医院出具的确诊疾病必需的病理显微镜检查、血液检查、影像学检查及其他科学检验报告；</w:t>
      </w:r>
    </w:p>
    <w:p>
      <w:pPr>
        <w:pStyle w:val="ListParagraph"/>
        <w:numPr>
          <w:ilvl w:val="2"/>
          <w:numId w:val="7"/>
        </w:numPr>
        <w:tabs>
          <w:tab w:pos="1303" w:val="left" w:leader="none"/>
          <w:tab w:pos="1304" w:val="left" w:leader="none"/>
        </w:tabs>
        <w:spacing w:line="240" w:lineRule="auto" w:before="13" w:after="0"/>
        <w:ind w:left="1303" w:right="0" w:hanging="420"/>
        <w:jc w:val="left"/>
        <w:rPr>
          <w:sz w:val="21"/>
        </w:rPr>
      </w:pPr>
      <w:r>
        <w:rPr>
          <w:sz w:val="21"/>
        </w:rPr>
        <w:t>所能提供的与确认保险事故的性质、原因等有关的其他证明和资料。</w:t>
      </w:r>
    </w:p>
    <w:p>
      <w:pPr>
        <w:spacing w:after="0" w:line="240" w:lineRule="auto"/>
        <w:jc w:val="left"/>
        <w:rPr>
          <w:sz w:val="21"/>
        </w:rPr>
        <w:sectPr>
          <w:pgSz w:w="11910" w:h="16840"/>
          <w:pgMar w:header="0" w:footer="1008" w:top="1260" w:bottom="1200" w:left="720" w:right="740"/>
        </w:sectPr>
      </w:pPr>
    </w:p>
    <w:p>
      <w:pPr>
        <w:pStyle w:val="Heading2"/>
        <w:spacing w:before="9"/>
        <w:ind w:left="883"/>
      </w:pPr>
      <w:r>
        <w:rPr>
          <w:w w:val="95"/>
        </w:rPr>
        <w:t>疾病身故保险金</w:t>
      </w:r>
    </w:p>
    <w:p>
      <w:pPr>
        <w:pStyle w:val="ListParagraph"/>
        <w:numPr>
          <w:ilvl w:val="0"/>
          <w:numId w:val="8"/>
        </w:numPr>
        <w:tabs>
          <w:tab w:pos="1303" w:val="left" w:leader="none"/>
          <w:tab w:pos="1304" w:val="left" w:leader="none"/>
        </w:tabs>
        <w:spacing w:line="240" w:lineRule="auto" w:before="64" w:after="0"/>
        <w:ind w:left="883" w:right="0" w:firstLine="0"/>
        <w:jc w:val="left"/>
        <w:rPr>
          <w:sz w:val="21"/>
        </w:rPr>
      </w:pPr>
      <w:r>
        <w:rPr>
          <w:sz w:val="21"/>
        </w:rPr>
        <w:t>申请人和受益人的有效身份证件；</w:t>
      </w:r>
    </w:p>
    <w:p>
      <w:pPr>
        <w:pStyle w:val="ListParagraph"/>
        <w:numPr>
          <w:ilvl w:val="0"/>
          <w:numId w:val="8"/>
        </w:numPr>
        <w:tabs>
          <w:tab w:pos="1303" w:val="left" w:leader="none"/>
          <w:tab w:pos="1304" w:val="left" w:leader="none"/>
        </w:tabs>
        <w:spacing w:line="240" w:lineRule="auto" w:before="65" w:after="0"/>
        <w:ind w:left="883" w:right="0" w:firstLine="0"/>
        <w:jc w:val="left"/>
        <w:rPr>
          <w:sz w:val="21"/>
        </w:rPr>
      </w:pPr>
      <w:r>
        <w:rPr>
          <w:sz w:val="21"/>
        </w:rPr>
        <w:t>被保险人户籍注销证明；</w:t>
      </w:r>
    </w:p>
    <w:p>
      <w:pPr>
        <w:pStyle w:val="ListParagraph"/>
        <w:numPr>
          <w:ilvl w:val="0"/>
          <w:numId w:val="8"/>
        </w:numPr>
        <w:tabs>
          <w:tab w:pos="1303" w:val="left" w:leader="none"/>
          <w:tab w:pos="1304" w:val="left" w:leader="none"/>
        </w:tabs>
        <w:spacing w:line="240" w:lineRule="auto" w:before="65" w:after="0"/>
        <w:ind w:left="883" w:right="0" w:firstLine="0"/>
        <w:jc w:val="left"/>
        <w:rPr>
          <w:sz w:val="21"/>
        </w:rPr>
      </w:pPr>
      <w:r>
        <w:rPr>
          <w:sz w:val="21"/>
        </w:rPr>
        <w:t>国家卫生行政部门认定的医疗机构、公安部门或其他相关机构出具的被保险人的死亡证明；</w:t>
      </w:r>
    </w:p>
    <w:p>
      <w:pPr>
        <w:pStyle w:val="ListParagraph"/>
        <w:numPr>
          <w:ilvl w:val="0"/>
          <w:numId w:val="8"/>
        </w:numPr>
        <w:tabs>
          <w:tab w:pos="1303" w:val="left" w:leader="none"/>
          <w:tab w:pos="1304" w:val="left" w:leader="none"/>
        </w:tabs>
        <w:spacing w:line="297" w:lineRule="auto" w:before="64" w:after="0"/>
        <w:ind w:left="883" w:right="2629"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5"/>
      </w:pPr>
      <w:r>
        <w:rPr/>
        <w:t>以上证明和资料不完整的，本公司将及时一次性通知申请人补充提供有关证明和资料。</w:t>
      </w:r>
    </w:p>
    <w:p>
      <w:pPr>
        <w:pStyle w:val="Heading2"/>
        <w:numPr>
          <w:ilvl w:val="1"/>
          <w:numId w:val="7"/>
        </w:numPr>
        <w:tabs>
          <w:tab w:pos="882" w:val="left" w:leader="none"/>
          <w:tab w:pos="883" w:val="left" w:leader="none"/>
        </w:tabs>
        <w:spacing w:line="240" w:lineRule="auto" w:before="65" w:after="0"/>
        <w:ind w:left="883" w:right="0" w:hanging="646"/>
        <w:jc w:val="left"/>
      </w:pPr>
      <w:r>
        <w:rPr>
          <w:w w:val="95"/>
        </w:rPr>
        <w:t>保险金的给付</w:t>
      </w:r>
    </w:p>
    <w:p>
      <w:pPr>
        <w:pStyle w:val="BodyText"/>
        <w:spacing w:before="64"/>
      </w:pPr>
      <w:r>
        <w:rPr/>
        <w:t>本公司在收到保险金给付申请书及合同约定的证明和资料后，将在 5 日内作出核定；情形复杂的，在</w:t>
      </w:r>
    </w:p>
    <w:p>
      <w:pPr>
        <w:pStyle w:val="BodyText"/>
        <w:spacing w:line="297" w:lineRule="auto"/>
        <w:ind w:right="214"/>
      </w:pPr>
      <w:r>
        <w:rPr/>
        <w:t>30</w:t>
      </w:r>
      <w:r>
        <w:rPr>
          <w:spacing w:val="-12"/>
        </w:rPr>
        <w:t> 日内作出核定。对属于保险责任的，本公司在与受益人达成给付保险金的协议后 </w:t>
      </w:r>
      <w:r>
        <w:rPr/>
        <w:t>10</w:t>
      </w:r>
      <w:r>
        <w:rPr>
          <w:spacing w:val="-11"/>
        </w:rPr>
        <w:t> 日内，履行给付保险金义务。</w:t>
      </w:r>
    </w:p>
    <w:p>
      <w:pPr>
        <w:pStyle w:val="BodyText"/>
        <w:spacing w:before="13"/>
      </w:pPr>
      <w:r>
        <w:rPr/>
        <w:t>本公司未及时履行前款规定义务的，除支付保险金外，应当赔偿受益人因此受到的损失。</w:t>
      </w:r>
    </w:p>
    <w:p>
      <w:pPr>
        <w:pStyle w:val="BodyText"/>
        <w:spacing w:line="297" w:lineRule="auto"/>
        <w:ind w:right="214"/>
      </w:pPr>
      <w:r>
        <w:rPr/>
        <w:t>对不属于保险责任的，本公司自作出核定之日起 3 日内向受益人发出拒绝给付保险金通知书并说明理由。</w:t>
      </w:r>
    </w:p>
    <w:p>
      <w:pPr>
        <w:pStyle w:val="BodyText"/>
        <w:spacing w:line="297" w:lineRule="auto" w:before="14"/>
        <w:ind w:right="214"/>
        <w:jc w:val="both"/>
      </w:pPr>
      <w:r>
        <w:rPr>
          <w:spacing w:val="-3"/>
        </w:rPr>
        <w:t>本公司在收到保险金给付申请书及有关证明和资料之日起 </w:t>
      </w:r>
      <w:r>
        <w:rPr/>
        <w:t>60</w:t>
      </w:r>
      <w:r>
        <w:rPr>
          <w:spacing w:val="-9"/>
        </w:rPr>
        <w:t> 日内，对给付保险金的数额不能确定的， </w:t>
      </w:r>
      <w:r>
        <w:rPr>
          <w:spacing w:val="-14"/>
        </w:rPr>
        <w:t>根据已有证明和资料可以确定的数额先予支付；本公司最终确定给付保险金的数额后，将支付相应的差额。</w:t>
      </w:r>
    </w:p>
    <w:p>
      <w:pPr>
        <w:pStyle w:val="ListParagraph"/>
        <w:numPr>
          <w:ilvl w:val="1"/>
          <w:numId w:val="7"/>
        </w:numPr>
        <w:tabs>
          <w:tab w:pos="882" w:val="left" w:leader="none"/>
          <w:tab w:pos="883" w:val="left" w:leader="none"/>
        </w:tabs>
        <w:spacing w:line="297" w:lineRule="auto" w:before="14" w:after="0"/>
        <w:ind w:left="883" w:right="214" w:hanging="646"/>
        <w:jc w:val="left"/>
        <w:rPr>
          <w:sz w:val="21"/>
        </w:rPr>
      </w:pPr>
      <w:r>
        <w:rPr>
          <w:b/>
          <w:spacing w:val="-1"/>
          <w:sz w:val="21"/>
        </w:rPr>
        <w:t>未成年人身故保险金限制 </w:t>
      </w:r>
      <w:r>
        <w:rPr>
          <w:spacing w:val="-1"/>
          <w:sz w:val="21"/>
        </w:rPr>
        <w:t>为未成年子女投保的人身保险，因被保险人身故给付的保险金总和不得超过国务院保险监督管理机构规定的限额，身故给付的保险金额总和约定也不得超过前述限额。</w:t>
      </w:r>
    </w:p>
    <w:p>
      <w:pPr>
        <w:pStyle w:val="ListParagraph"/>
        <w:numPr>
          <w:ilvl w:val="1"/>
          <w:numId w:val="7"/>
        </w:numPr>
        <w:tabs>
          <w:tab w:pos="882" w:val="left" w:leader="none"/>
          <w:tab w:pos="884" w:val="left" w:leader="none"/>
        </w:tabs>
        <w:spacing w:line="297" w:lineRule="auto" w:before="15" w:after="0"/>
        <w:ind w:left="883" w:right="213" w:hanging="646"/>
        <w:jc w:val="left"/>
        <w:rPr>
          <w:sz w:val="21"/>
        </w:rPr>
      </w:pPr>
      <w:r>
        <w:rPr/>
        <w:pict>
          <v:shape style="position:absolute;margin-left:41.759998pt;margin-top:36.530807pt;width:511.05pt;height:19.45pt;mso-position-horizontal-relative:page;mso-position-vertical-relative:paragraph;z-index:1288;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3"/>
          <w:sz w:val="21"/>
        </w:rPr>
        <w:t>受益人向本公司请求给付保险金的诉讼时效期间为 </w:t>
      </w:r>
      <w:r>
        <w:rPr>
          <w:sz w:val="21"/>
        </w:rPr>
        <w:t>2</w:t>
      </w:r>
      <w:r>
        <w:rPr>
          <w:spacing w:val="-8"/>
          <w:sz w:val="21"/>
        </w:rPr>
        <w:t> 年，自其知道或者应当知道保险事故发生之日起计算。</w:t>
      </w:r>
    </w:p>
    <w:p>
      <w:pPr>
        <w:pStyle w:val="Heading2"/>
        <w:numPr>
          <w:ilvl w:val="1"/>
          <w:numId w:val="9"/>
        </w:numPr>
        <w:tabs>
          <w:tab w:pos="882" w:val="left" w:leader="none"/>
          <w:tab w:pos="883" w:val="left" w:leader="none"/>
        </w:tabs>
        <w:spacing w:line="225" w:lineRule="exact" w:before="0" w:after="0"/>
        <w:ind w:left="883" w:right="0" w:hanging="646"/>
        <w:jc w:val="left"/>
      </w:pPr>
      <w:r>
        <w:rPr>
          <w:w w:val="95"/>
        </w:rPr>
        <w:t>明确说明与如实告知</w:t>
      </w:r>
    </w:p>
    <w:p>
      <w:pPr>
        <w:pStyle w:val="BodyText"/>
        <w:spacing w:before="66"/>
      </w:pPr>
      <w:r>
        <w:rPr/>
        <w:t>订立本合同时，本公司应向投保人说明本合同的内容。</w:t>
      </w:r>
    </w:p>
    <w:p>
      <w:pPr>
        <w:pStyle w:val="BodyText"/>
        <w:spacing w:before="66"/>
      </w:pPr>
      <w:r>
        <w:rPr/>
        <w:t>本公司就投保人和被保险人的有关情况提出询问，投保人应当如实告知。</w:t>
      </w:r>
    </w:p>
    <w:p>
      <w:pPr>
        <w:pStyle w:val="BodyText"/>
        <w:spacing w:line="297" w:lineRule="auto" w:before="64"/>
        <w:ind w:right="214"/>
      </w:pPr>
      <w:r>
        <w:rPr>
          <w:spacing w:val="-4"/>
        </w:rPr>
        <w:t>如果投保人故意或者因重大过失未履行前款规定的如实告知义务，足以影响本公司决定是否同意承保或者提高保险费率的，本公司有权解除本合同。</w:t>
      </w:r>
    </w:p>
    <w:p>
      <w:pPr>
        <w:pStyle w:val="BodyText"/>
        <w:spacing w:line="297" w:lineRule="auto" w:before="15"/>
        <w:ind w:right="214" w:hanging="1"/>
      </w:pPr>
      <w:r>
        <w:rPr>
          <w:spacing w:val="-6"/>
        </w:rPr>
        <w:t>如果投保人故意不履行如实告知义务，对于本合同解除前发生的保险事故，本公司不承担给付保险金的责任，并不退还保险费。</w:t>
      </w:r>
    </w:p>
    <w:p>
      <w:pPr>
        <w:pStyle w:val="BodyText"/>
        <w:spacing w:line="297" w:lineRule="auto" w:before="14"/>
        <w:ind w:right="214" w:hanging="1"/>
      </w:pPr>
      <w:r>
        <w:rPr>
          <w:spacing w:val="-5"/>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right="213"/>
      </w:pPr>
      <w:r>
        <w:rPr>
          <w:spacing w:val="-4"/>
        </w:rPr>
        <w:t>本公司在合同订立时已经知道投保人未如实告知的情况的，本公司不得解除合同；发生保险事故的，本公司承担给付保险金的责任。</w:t>
      </w:r>
    </w:p>
    <w:p>
      <w:pPr>
        <w:pStyle w:val="ListParagraph"/>
        <w:numPr>
          <w:ilvl w:val="1"/>
          <w:numId w:val="9"/>
        </w:numPr>
        <w:tabs>
          <w:tab w:pos="882" w:val="left" w:leader="none"/>
          <w:tab w:pos="884" w:val="left" w:leader="none"/>
        </w:tabs>
        <w:spacing w:line="297" w:lineRule="auto" w:before="15" w:after="0"/>
        <w:ind w:left="883" w:right="312" w:hanging="646"/>
        <w:jc w:val="left"/>
        <w:rPr>
          <w:sz w:val="21"/>
        </w:rPr>
      </w:pPr>
      <w:r>
        <w:rPr>
          <w:b/>
          <w:spacing w:val="-2"/>
          <w:sz w:val="21"/>
        </w:rPr>
        <w:t>本公司合同解除权的限制 </w:t>
      </w:r>
      <w:r>
        <w:rPr>
          <w:spacing w:val="-3"/>
          <w:sz w:val="21"/>
        </w:rPr>
        <w:t>前条规定的合同解除权，自本公司知道有解除事由之日起，超过 </w:t>
      </w:r>
      <w:r>
        <w:rPr>
          <w:sz w:val="21"/>
        </w:rPr>
        <w:t>30</w:t>
      </w:r>
      <w:r>
        <w:rPr>
          <w:spacing w:val="-16"/>
          <w:sz w:val="21"/>
        </w:rPr>
        <w:t> 日不行使而消灭。</w:t>
      </w:r>
    </w:p>
    <w:p>
      <w:pPr>
        <w:pStyle w:val="ListParagraph"/>
        <w:numPr>
          <w:ilvl w:val="1"/>
          <w:numId w:val="9"/>
        </w:numPr>
        <w:tabs>
          <w:tab w:pos="849" w:val="left" w:leader="none"/>
          <w:tab w:pos="850" w:val="left" w:leader="none"/>
        </w:tabs>
        <w:spacing w:line="297" w:lineRule="auto" w:before="14" w:after="0"/>
        <w:ind w:left="874" w:right="211" w:hanging="637"/>
        <w:jc w:val="left"/>
        <w:rPr>
          <w:sz w:val="21"/>
        </w:rPr>
      </w:pPr>
      <w:r>
        <w:rPr>
          <w:b/>
          <w:spacing w:val="1"/>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9"/>
        </w:numPr>
        <w:tabs>
          <w:tab w:pos="882" w:val="left" w:leader="none"/>
          <w:tab w:pos="883" w:val="left" w:leader="none"/>
        </w:tabs>
        <w:spacing w:line="240" w:lineRule="auto" w:before="15" w:after="0"/>
        <w:ind w:left="882" w:right="0" w:hanging="645"/>
        <w:jc w:val="left"/>
      </w:pPr>
      <w:r>
        <w:rPr>
          <w:w w:val="95"/>
        </w:rPr>
        <w:t>联系方式变更</w:t>
      </w:r>
    </w:p>
    <w:p>
      <w:pPr>
        <w:pStyle w:val="BodyText"/>
        <w:spacing w:before="64"/>
      </w:pPr>
      <w:r>
        <w:rPr/>
        <w:t>本合同有效期内，投保人的住址、通讯地址或联系电话发生变更时，应及时通知本公司。</w:t>
      </w:r>
    </w:p>
    <w:p>
      <w:pPr>
        <w:pStyle w:val="BodyText"/>
        <w:spacing w:before="66"/>
        <w:ind w:left="849"/>
      </w:pPr>
      <w:r>
        <w:rPr>
          <w:spacing w:val="-14"/>
        </w:rPr>
        <w:t>如果未通知本公司，本公司将按本合同注明的最后住址或通讯地址发送有关通知，并视为已送达投保人。</w:t>
      </w:r>
    </w:p>
    <w:p>
      <w:pPr>
        <w:pStyle w:val="Heading2"/>
        <w:numPr>
          <w:ilvl w:val="1"/>
          <w:numId w:val="9"/>
        </w:numPr>
        <w:tabs>
          <w:tab w:pos="882" w:val="left" w:leader="none"/>
          <w:tab w:pos="883" w:val="left" w:leader="none"/>
        </w:tabs>
        <w:spacing w:line="240" w:lineRule="auto" w:before="66" w:after="0"/>
        <w:ind w:left="882" w:right="0" w:hanging="645"/>
        <w:jc w:val="left"/>
      </w:pPr>
      <w:r>
        <w:rPr>
          <w:w w:val="95"/>
        </w:rPr>
        <w:t>年龄确定与错误处理</w:t>
      </w:r>
    </w:p>
    <w:p>
      <w:pPr>
        <w:spacing w:after="0" w:line="240" w:lineRule="auto"/>
        <w:jc w:val="left"/>
        <w:sectPr>
          <w:pgSz w:w="11910" w:h="16840"/>
          <w:pgMar w:header="0" w:footer="1008" w:top="1260" w:bottom="1200" w:left="720" w:right="740"/>
        </w:sectPr>
      </w:pPr>
    </w:p>
    <w:p>
      <w:pPr>
        <w:pStyle w:val="BodyText"/>
        <w:spacing w:line="297" w:lineRule="auto" w:before="9"/>
        <w:ind w:right="213"/>
        <w:jc w:val="both"/>
      </w:pPr>
      <w:r>
        <w:rPr>
          <w:spacing w:val="-5"/>
        </w:rPr>
        <w:t>被保险人的年龄按周岁计算，其中投保年龄以本合同生效日时的周岁为准。在投保本保险时，投保人应将被保险人的真实年龄在投保单上填明。</w:t>
      </w:r>
    </w:p>
    <w:p>
      <w:pPr>
        <w:pStyle w:val="BodyText"/>
        <w:spacing w:line="297" w:lineRule="auto" w:before="15"/>
        <w:ind w:right="213" w:hanging="1"/>
        <w:jc w:val="both"/>
      </w:pPr>
      <w:r>
        <w:rPr>
          <w:spacing w:val="-5"/>
        </w:rPr>
        <w:t>如果投保人申报的被保险人年龄不真实，并且其真实年龄不符合本合同约定投保年龄限制的，本公司有</w:t>
      </w:r>
      <w:r>
        <w:rPr>
          <w:spacing w:val="-10"/>
        </w:rPr>
        <w:t>权解除合同，并对合同解除前发生的保险事故不承担给付保险金的责任。解除本合同的，本公司向投保</w:t>
      </w:r>
      <w:r>
        <w:rPr>
          <w:spacing w:val="-14"/>
        </w:rPr>
        <w:t>人退还本合同的现金价值。本公司行使合同解除权适用本条款第 </w:t>
      </w:r>
      <w:r>
        <w:rPr/>
        <w:t>6.2</w:t>
      </w:r>
      <w:r>
        <w:rPr>
          <w:spacing w:val="-12"/>
        </w:rPr>
        <w:t> 条“本公司合同解除权的限制”的规定。</w:t>
      </w:r>
    </w:p>
    <w:p>
      <w:pPr>
        <w:pStyle w:val="ListParagraph"/>
        <w:numPr>
          <w:ilvl w:val="1"/>
          <w:numId w:val="9"/>
        </w:numPr>
        <w:tabs>
          <w:tab w:pos="882" w:val="left" w:leader="none"/>
          <w:tab w:pos="884" w:val="left" w:leader="none"/>
        </w:tabs>
        <w:spacing w:line="297" w:lineRule="auto" w:before="15" w:after="0"/>
        <w:ind w:left="883" w:right="213" w:hanging="646"/>
        <w:jc w:val="left"/>
        <w:rPr>
          <w:sz w:val="21"/>
        </w:rPr>
      </w:pPr>
      <w:r>
        <w:rPr/>
        <w:pict>
          <v:shape style="position:absolute;margin-left:41.759998pt;margin-top:36.533096pt;width:511.05pt;height:19.45pt;mso-position-horizontal-relative:page;mso-position-vertical-relative:paragraph;z-index:1312;mso-wrap-distance-left:0;mso-wrap-distance-right:0" type="#_x0000_t202" filled="true" fillcolor="#cccccc" stroked="false">
            <v:textbox inset="0,0,0,0">
              <w:txbxContent>
                <w:p>
                  <w:pPr>
                    <w:tabs>
                      <w:tab w:pos="767" w:val="left" w:leader="none"/>
                    </w:tabs>
                    <w:spacing w:line="275" w:lineRule="exact" w:before="0"/>
                    <w:ind w:left="122" w:right="0" w:firstLine="0"/>
                    <w:jc w:val="left"/>
                    <w:rPr>
                      <w:b/>
                      <w:sz w:val="24"/>
                    </w:rPr>
                  </w:pPr>
                  <w:r>
                    <w:rPr>
                      <w:b/>
                      <w:sz w:val="24"/>
                    </w:rPr>
                    <w:t>7</w:t>
                    <w:tab/>
                    <w:t>名词释义</w:t>
                  </w:r>
                </w:p>
              </w:txbxContent>
            </v:textbox>
            <v:fill type="solid"/>
            <w10:wrap type="topAndBottom"/>
          </v:shape>
        </w:pict>
      </w:r>
      <w:r>
        <w:rPr>
          <w:b/>
          <w:spacing w:val="-2"/>
          <w:sz w:val="21"/>
        </w:rPr>
        <w:t>争议处理 </w:t>
      </w:r>
      <w:r>
        <w:rPr>
          <w:sz w:val="21"/>
        </w:rPr>
        <w:t>因履行本合同发生的争议，由当事人协商解决，协商不成的，依法向被告所在地人民法院起诉。</w:t>
      </w:r>
    </w:p>
    <w:p>
      <w:pPr>
        <w:pStyle w:val="ListParagraph"/>
        <w:numPr>
          <w:ilvl w:val="1"/>
          <w:numId w:val="10"/>
        </w:numPr>
        <w:tabs>
          <w:tab w:pos="882" w:val="left" w:leader="none"/>
          <w:tab w:pos="883" w:val="left" w:leader="none"/>
        </w:tabs>
        <w:spacing w:line="225" w:lineRule="exact" w:before="0" w:after="0"/>
        <w:ind w:left="883" w:right="0" w:hanging="646"/>
        <w:jc w:val="left"/>
        <w:rPr>
          <w:sz w:val="21"/>
        </w:rPr>
      </w:pPr>
      <w:r>
        <w:rPr>
          <w:b/>
          <w:spacing w:val="-1"/>
          <w:sz w:val="21"/>
        </w:rPr>
        <w:t>周岁 </w:t>
      </w:r>
      <w:r>
        <w:rPr>
          <w:sz w:val="21"/>
        </w:rPr>
        <w:t>以法定身份证明文件中记载的出生日期为基础计算。</w:t>
      </w:r>
    </w:p>
    <w:p>
      <w:pPr>
        <w:pStyle w:val="ListParagraph"/>
        <w:numPr>
          <w:ilvl w:val="1"/>
          <w:numId w:val="10"/>
        </w:numPr>
        <w:tabs>
          <w:tab w:pos="882" w:val="left" w:leader="none"/>
          <w:tab w:pos="884" w:val="left" w:leader="none"/>
        </w:tabs>
        <w:spacing w:line="240" w:lineRule="auto" w:before="66" w:after="0"/>
        <w:ind w:left="883" w:right="0" w:hanging="646"/>
        <w:jc w:val="left"/>
        <w:rPr>
          <w:sz w:val="21"/>
        </w:rPr>
      </w:pPr>
      <w:r>
        <w:rPr>
          <w:b/>
          <w:spacing w:val="-1"/>
          <w:sz w:val="21"/>
        </w:rPr>
        <w:t>意外伤害 </w:t>
      </w:r>
      <w:r>
        <w:rPr>
          <w:sz w:val="21"/>
        </w:rPr>
        <w:t>指因遭受外来的、突发的、非本意的、非疾病的客观事件而使身体受到伤害。</w:t>
      </w:r>
    </w:p>
    <w:p>
      <w:pPr>
        <w:pStyle w:val="ListParagraph"/>
        <w:numPr>
          <w:ilvl w:val="1"/>
          <w:numId w:val="10"/>
        </w:numPr>
        <w:tabs>
          <w:tab w:pos="882" w:val="left" w:leader="none"/>
          <w:tab w:pos="883" w:val="left" w:leader="none"/>
        </w:tabs>
        <w:spacing w:line="297" w:lineRule="auto" w:before="66" w:after="0"/>
        <w:ind w:left="883" w:right="223" w:hanging="646"/>
        <w:jc w:val="left"/>
        <w:rPr>
          <w:rFonts w:ascii="黑体" w:eastAsia="黑体" w:hint="eastAsia"/>
          <w:sz w:val="21"/>
        </w:rPr>
      </w:pPr>
      <w:r>
        <w:rPr>
          <w:b/>
          <w:spacing w:val="-1"/>
          <w:sz w:val="21"/>
        </w:rPr>
        <w:t>本公司认可的医院 </w:t>
      </w:r>
      <w:r>
        <w:rPr>
          <w:spacing w:val="-1"/>
          <w:sz w:val="21"/>
        </w:rPr>
        <w:t>指依法设立的国家卫生部医院等级分类中的二级甲等或二级甲等以上医疗机构，</w:t>
      </w:r>
      <w:r>
        <w:rPr>
          <w:rFonts w:ascii="黑体" w:eastAsia="黑体" w:hint="eastAsia"/>
          <w:sz w:val="21"/>
          <w:u w:val="single"/>
        </w:rPr>
        <w:t>但不包括疗养院、护理院、康复中心、戒酒或戒毒中心、精神心理治疗中心以及无相应医护人员或设备的二级或三级医院的联合医院或联合病房。</w:t>
      </w:r>
    </w:p>
    <w:p>
      <w:pPr>
        <w:pStyle w:val="Heading2"/>
        <w:numPr>
          <w:ilvl w:val="1"/>
          <w:numId w:val="10"/>
        </w:numPr>
        <w:tabs>
          <w:tab w:pos="882" w:val="left" w:leader="none"/>
          <w:tab w:pos="884" w:val="left" w:leader="none"/>
        </w:tabs>
        <w:spacing w:line="240" w:lineRule="auto" w:before="15" w:after="0"/>
        <w:ind w:left="883" w:right="0" w:hanging="646"/>
        <w:jc w:val="left"/>
      </w:pPr>
      <w:r>
        <w:rPr/>
        <w:t>专科医生</w:t>
      </w:r>
    </w:p>
    <w:p>
      <w:pPr>
        <w:pStyle w:val="BodyText"/>
      </w:pPr>
      <w:r>
        <w:rPr/>
        <w:t>指应当同时满足以下四项资格条件：</w:t>
      </w:r>
    </w:p>
    <w:p>
      <w:pPr>
        <w:pStyle w:val="ListParagraph"/>
        <w:numPr>
          <w:ilvl w:val="2"/>
          <w:numId w:val="10"/>
        </w:numPr>
        <w:tabs>
          <w:tab w:pos="1303" w:val="left" w:leader="none"/>
          <w:tab w:pos="1304" w:val="left" w:leader="none"/>
        </w:tabs>
        <w:spacing w:line="240" w:lineRule="auto" w:before="64" w:after="0"/>
        <w:ind w:left="1303" w:right="0" w:hanging="420"/>
        <w:jc w:val="left"/>
        <w:rPr>
          <w:sz w:val="21"/>
        </w:rPr>
      </w:pPr>
      <w:r>
        <w:rPr>
          <w:spacing w:val="-6"/>
          <w:sz w:val="21"/>
        </w:rPr>
        <w:t>具有有效的中华人民共和国《医师资格证书》；</w:t>
      </w:r>
    </w:p>
    <w:p>
      <w:pPr>
        <w:pStyle w:val="ListParagraph"/>
        <w:numPr>
          <w:ilvl w:val="2"/>
          <w:numId w:val="10"/>
        </w:numPr>
        <w:tabs>
          <w:tab w:pos="1303" w:val="left" w:leader="none"/>
          <w:tab w:pos="1304" w:val="left" w:leader="none"/>
        </w:tabs>
        <w:spacing w:line="240" w:lineRule="auto" w:before="65" w:after="0"/>
        <w:ind w:left="1303" w:right="0" w:hanging="420"/>
        <w:jc w:val="left"/>
        <w:rPr>
          <w:sz w:val="21"/>
        </w:rPr>
      </w:pPr>
      <w:r>
        <w:rPr>
          <w:spacing w:val="-7"/>
          <w:sz w:val="21"/>
        </w:rPr>
        <w:t>具有有效的中华人民共和国《医师执业证书》，并按期到相关部门登记注册；</w:t>
      </w:r>
    </w:p>
    <w:p>
      <w:pPr>
        <w:pStyle w:val="ListParagraph"/>
        <w:numPr>
          <w:ilvl w:val="2"/>
          <w:numId w:val="10"/>
        </w:numPr>
        <w:tabs>
          <w:tab w:pos="1303" w:val="left" w:leader="none"/>
          <w:tab w:pos="1304" w:val="left" w:leader="none"/>
        </w:tabs>
        <w:spacing w:line="240" w:lineRule="auto" w:before="65" w:after="0"/>
        <w:ind w:left="1303" w:right="0" w:hanging="420"/>
        <w:jc w:val="left"/>
        <w:rPr>
          <w:sz w:val="21"/>
        </w:rPr>
      </w:pPr>
      <w:r>
        <w:rPr>
          <w:spacing w:val="-4"/>
          <w:sz w:val="21"/>
        </w:rPr>
        <w:t>具有有效的中华人民共和国主治医师或主治医师以上职称的《医师职称证书》；</w:t>
      </w:r>
    </w:p>
    <w:p>
      <w:pPr>
        <w:pStyle w:val="ListParagraph"/>
        <w:numPr>
          <w:ilvl w:val="2"/>
          <w:numId w:val="10"/>
        </w:numPr>
        <w:tabs>
          <w:tab w:pos="1303" w:val="left" w:leader="none"/>
          <w:tab w:pos="1304" w:val="left" w:leader="none"/>
        </w:tabs>
        <w:spacing w:line="240" w:lineRule="auto" w:before="64" w:after="0"/>
        <w:ind w:left="1303" w:right="0" w:hanging="420"/>
        <w:jc w:val="left"/>
        <w:rPr>
          <w:sz w:val="21"/>
        </w:rPr>
      </w:pPr>
      <w:r>
        <w:rPr>
          <w:sz w:val="21"/>
        </w:rPr>
        <w:t>在二级或二级以上医院的相应科室从事临床工作三年以上。</w:t>
      </w:r>
    </w:p>
    <w:p>
      <w:pPr>
        <w:pStyle w:val="ListParagraph"/>
        <w:numPr>
          <w:ilvl w:val="1"/>
          <w:numId w:val="10"/>
        </w:numPr>
        <w:tabs>
          <w:tab w:pos="882" w:val="left" w:leader="none"/>
          <w:tab w:pos="883" w:val="left" w:leader="none"/>
        </w:tabs>
        <w:spacing w:line="297" w:lineRule="auto" w:before="65" w:after="0"/>
        <w:ind w:left="883" w:right="224" w:hanging="646"/>
        <w:jc w:val="left"/>
        <w:rPr>
          <w:sz w:val="21"/>
        </w:rPr>
      </w:pPr>
      <w:r>
        <w:rPr>
          <w:b/>
          <w:spacing w:val="-1"/>
          <w:sz w:val="21"/>
        </w:rPr>
        <w:t>遗传性疾病 </w:t>
      </w:r>
      <w:r>
        <w:rPr>
          <w:spacing w:val="-1"/>
          <w:sz w:val="21"/>
        </w:rPr>
        <w:t>指生殖细胞或受精卵的遗传物质</w:t>
      </w:r>
      <w:r>
        <w:rPr>
          <w:sz w:val="21"/>
        </w:rPr>
        <w:t>（染色体和基因</w:t>
      </w:r>
      <w:r>
        <w:rPr>
          <w:spacing w:val="-5"/>
          <w:sz w:val="21"/>
        </w:rPr>
        <w:t>）</w:t>
      </w:r>
      <w:r>
        <w:rPr>
          <w:spacing w:val="-1"/>
          <w:sz w:val="21"/>
        </w:rPr>
        <w:t>发生突变或畸变所引起的疾病，通常具有由亲代传至后代的垂直传递的特征。</w:t>
      </w:r>
    </w:p>
    <w:p>
      <w:pPr>
        <w:pStyle w:val="ListParagraph"/>
        <w:numPr>
          <w:ilvl w:val="1"/>
          <w:numId w:val="10"/>
        </w:numPr>
        <w:tabs>
          <w:tab w:pos="882" w:val="left" w:leader="none"/>
          <w:tab w:pos="883" w:val="left" w:leader="none"/>
        </w:tabs>
        <w:spacing w:line="297" w:lineRule="auto" w:before="13" w:after="0"/>
        <w:ind w:left="883" w:right="202" w:hanging="646"/>
        <w:jc w:val="left"/>
        <w:rPr>
          <w:sz w:val="21"/>
        </w:rPr>
      </w:pPr>
      <w:r>
        <w:rPr>
          <w:b/>
          <w:spacing w:val="-1"/>
          <w:sz w:val="21"/>
        </w:rPr>
        <w:t>先天性畸形、变形或染色体异常 </w:t>
      </w:r>
      <w:r>
        <w:rPr>
          <w:sz w:val="21"/>
        </w:rPr>
        <w:t>指被保险人出生时就具有的畸形、变形或染色体异常。先天性畸形、</w:t>
      </w:r>
      <w:r>
        <w:rPr>
          <w:spacing w:val="-5"/>
          <w:sz w:val="21"/>
        </w:rPr>
        <w:t>变形和染色体异常依照世界卫生组织《疾病和有关健康问题的国际统计分类》</w:t>
      </w:r>
      <w:r>
        <w:rPr>
          <w:sz w:val="21"/>
        </w:rPr>
        <w:t>（ICD-10）确定。</w:t>
      </w:r>
    </w:p>
    <w:p>
      <w:pPr>
        <w:pStyle w:val="ListParagraph"/>
        <w:numPr>
          <w:ilvl w:val="1"/>
          <w:numId w:val="10"/>
        </w:numPr>
        <w:tabs>
          <w:tab w:pos="882" w:val="left" w:leader="none"/>
          <w:tab w:pos="883" w:val="left" w:leader="none"/>
        </w:tabs>
        <w:spacing w:line="297" w:lineRule="auto" w:before="15" w:after="0"/>
        <w:ind w:left="883" w:right="224" w:hanging="646"/>
        <w:jc w:val="left"/>
        <w:rPr>
          <w:sz w:val="21"/>
        </w:rPr>
      </w:pPr>
      <w:r>
        <w:rPr>
          <w:b/>
          <w:spacing w:val="-1"/>
          <w:sz w:val="21"/>
        </w:rPr>
        <w:t>酗酒 </w:t>
      </w:r>
      <w:r>
        <w:rPr>
          <w:spacing w:val="-2"/>
          <w:sz w:val="21"/>
        </w:rPr>
        <w:t>指酒精摄入过量。长期过量饮酒导致身体脏器严重损害，或一次大量饮酒导致急性酒精中毒或自制力丧失导致自身伤害、斗殴肇事或交通肇事。酒精摄入过量由医疗机构或公安部门判定。</w:t>
      </w:r>
    </w:p>
    <w:p>
      <w:pPr>
        <w:pStyle w:val="ListParagraph"/>
        <w:numPr>
          <w:ilvl w:val="1"/>
          <w:numId w:val="10"/>
        </w:numPr>
        <w:tabs>
          <w:tab w:pos="883" w:val="left" w:leader="none"/>
        </w:tabs>
        <w:spacing w:line="297" w:lineRule="auto" w:before="15" w:after="0"/>
        <w:ind w:left="883" w:right="317" w:hanging="646"/>
        <w:jc w:val="both"/>
        <w:rPr>
          <w:sz w:val="21"/>
        </w:rPr>
      </w:pPr>
      <w:r>
        <w:rPr>
          <w:b/>
          <w:spacing w:val="-1"/>
          <w:sz w:val="21"/>
        </w:rPr>
        <w:t>毒品 </w:t>
      </w:r>
      <w:r>
        <w:rPr>
          <w:sz w:val="21"/>
        </w:rPr>
        <w:t>指中华人民共和国刑法规定的鸦片、海洛因、甲基苯丙胺（冰毒</w:t>
      </w:r>
      <w:r>
        <w:rPr>
          <w:spacing w:val="-106"/>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1"/>
          <w:numId w:val="10"/>
        </w:numPr>
        <w:tabs>
          <w:tab w:pos="882" w:val="left" w:leader="none"/>
          <w:tab w:pos="884" w:val="left" w:leader="none"/>
        </w:tabs>
        <w:spacing w:line="297" w:lineRule="auto" w:before="13" w:after="0"/>
        <w:ind w:left="883" w:right="223" w:hanging="646"/>
        <w:jc w:val="left"/>
        <w:rPr>
          <w:sz w:val="21"/>
        </w:rPr>
      </w:pPr>
      <w:r>
        <w:rPr>
          <w:b/>
          <w:spacing w:val="-1"/>
          <w:sz w:val="21"/>
        </w:rPr>
        <w:t>酒后驾驶 </w:t>
      </w:r>
      <w:r>
        <w:rPr>
          <w:spacing w:val="-2"/>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0"/>
        </w:numPr>
        <w:tabs>
          <w:tab w:pos="883" w:val="left" w:leader="none"/>
          <w:tab w:pos="884" w:val="left" w:leader="none"/>
        </w:tabs>
        <w:spacing w:line="297" w:lineRule="auto" w:before="15" w:after="0"/>
        <w:ind w:left="883" w:right="7452" w:hanging="646"/>
        <w:jc w:val="left"/>
        <w:rPr>
          <w:sz w:val="21"/>
        </w:rPr>
      </w:pPr>
      <w:r>
        <w:rPr>
          <w:b/>
          <w:sz w:val="21"/>
        </w:rPr>
        <w:t>无合法有效驾驶证驾驶</w:t>
      </w:r>
      <w:r>
        <w:rPr>
          <w:sz w:val="21"/>
        </w:rPr>
        <w:t>指下列情况之一：</w:t>
      </w:r>
    </w:p>
    <w:p>
      <w:pPr>
        <w:pStyle w:val="ListParagraph"/>
        <w:numPr>
          <w:ilvl w:val="2"/>
          <w:numId w:val="10"/>
        </w:numPr>
        <w:tabs>
          <w:tab w:pos="1303" w:val="left" w:leader="none"/>
          <w:tab w:pos="1304" w:val="left" w:leader="none"/>
        </w:tabs>
        <w:spacing w:line="240" w:lineRule="auto" w:before="15" w:after="0"/>
        <w:ind w:left="1303" w:right="0" w:hanging="420"/>
        <w:jc w:val="left"/>
        <w:rPr>
          <w:sz w:val="21"/>
        </w:rPr>
      </w:pPr>
      <w:r>
        <w:rPr>
          <w:sz w:val="21"/>
        </w:rPr>
        <w:t>未依法取得驾驶证驾驶；</w:t>
      </w:r>
    </w:p>
    <w:p>
      <w:pPr>
        <w:pStyle w:val="ListParagraph"/>
        <w:numPr>
          <w:ilvl w:val="2"/>
          <w:numId w:val="10"/>
        </w:numPr>
        <w:tabs>
          <w:tab w:pos="1303" w:val="left" w:leader="none"/>
          <w:tab w:pos="1304" w:val="left" w:leader="none"/>
        </w:tabs>
        <w:spacing w:line="240" w:lineRule="auto" w:before="65" w:after="0"/>
        <w:ind w:left="1303" w:right="0" w:hanging="420"/>
        <w:jc w:val="left"/>
        <w:rPr>
          <w:sz w:val="21"/>
        </w:rPr>
      </w:pPr>
      <w:r>
        <w:rPr>
          <w:sz w:val="21"/>
        </w:rPr>
        <w:t>驾驶证被依法扣留期间驾驶；</w:t>
      </w:r>
    </w:p>
    <w:p>
      <w:pPr>
        <w:pStyle w:val="ListParagraph"/>
        <w:numPr>
          <w:ilvl w:val="2"/>
          <w:numId w:val="10"/>
        </w:numPr>
        <w:tabs>
          <w:tab w:pos="1303" w:val="left" w:leader="none"/>
          <w:tab w:pos="1304" w:val="left" w:leader="none"/>
        </w:tabs>
        <w:spacing w:line="240" w:lineRule="auto" w:before="64" w:after="0"/>
        <w:ind w:left="1303" w:right="0" w:hanging="420"/>
        <w:jc w:val="left"/>
        <w:rPr>
          <w:sz w:val="21"/>
        </w:rPr>
      </w:pPr>
      <w:r>
        <w:rPr>
          <w:sz w:val="21"/>
        </w:rPr>
        <w:t>驾驶与驾驶证准驾车型不相符合的车辆；</w:t>
      </w:r>
    </w:p>
    <w:p>
      <w:pPr>
        <w:pStyle w:val="ListParagraph"/>
        <w:numPr>
          <w:ilvl w:val="2"/>
          <w:numId w:val="10"/>
        </w:numPr>
        <w:tabs>
          <w:tab w:pos="1303" w:val="left" w:leader="none"/>
          <w:tab w:pos="1304" w:val="left" w:leader="none"/>
        </w:tabs>
        <w:spacing w:line="240" w:lineRule="auto" w:before="65" w:after="0"/>
        <w:ind w:left="1303" w:right="0" w:hanging="420"/>
        <w:jc w:val="left"/>
        <w:rPr>
          <w:sz w:val="21"/>
        </w:rPr>
      </w:pPr>
      <w:r>
        <w:rPr>
          <w:sz w:val="21"/>
        </w:rPr>
        <w:t>持未经审验或者超过有效期限的驾驶证驾驶；</w:t>
      </w:r>
    </w:p>
    <w:p>
      <w:pPr>
        <w:pStyle w:val="ListParagraph"/>
        <w:numPr>
          <w:ilvl w:val="2"/>
          <w:numId w:val="10"/>
        </w:numPr>
        <w:tabs>
          <w:tab w:pos="1303" w:val="left" w:leader="none"/>
          <w:tab w:pos="1304" w:val="left" w:leader="none"/>
        </w:tabs>
        <w:spacing w:line="240" w:lineRule="auto" w:before="65" w:after="0"/>
        <w:ind w:left="1303" w:right="0" w:hanging="420"/>
        <w:jc w:val="left"/>
        <w:rPr>
          <w:sz w:val="21"/>
        </w:rPr>
      </w:pPr>
      <w:r>
        <w:rPr>
          <w:sz w:val="21"/>
        </w:rPr>
        <w:t>持学习驾驶证学习驾车时，无教练员随车指导，或不按指定时间、路线学习驾车；</w:t>
      </w:r>
    </w:p>
    <w:p>
      <w:pPr>
        <w:pStyle w:val="ListParagraph"/>
        <w:numPr>
          <w:ilvl w:val="2"/>
          <w:numId w:val="10"/>
        </w:numPr>
        <w:tabs>
          <w:tab w:pos="1303" w:val="left" w:leader="none"/>
          <w:tab w:pos="1304" w:val="left" w:leader="none"/>
        </w:tabs>
        <w:spacing w:line="240" w:lineRule="auto" w:before="64" w:after="0"/>
        <w:ind w:left="1303" w:right="0" w:hanging="420"/>
        <w:jc w:val="left"/>
        <w:rPr>
          <w:sz w:val="21"/>
        </w:rPr>
      </w:pPr>
      <w:r>
        <w:rPr>
          <w:sz w:val="21"/>
        </w:rPr>
        <w:t>公安交通管理部门认定的其他无有效驾驶证驾驶的情况。</w:t>
      </w:r>
    </w:p>
    <w:p>
      <w:pPr>
        <w:pStyle w:val="Heading2"/>
        <w:numPr>
          <w:ilvl w:val="1"/>
          <w:numId w:val="10"/>
        </w:numPr>
        <w:tabs>
          <w:tab w:pos="883" w:val="left" w:leader="none"/>
          <w:tab w:pos="884" w:val="left" w:leader="none"/>
        </w:tabs>
        <w:spacing w:line="240" w:lineRule="auto" w:before="65" w:after="0"/>
        <w:ind w:left="883" w:right="0" w:hanging="646"/>
        <w:jc w:val="left"/>
      </w:pPr>
      <w:r>
        <w:rPr>
          <w:w w:val="95"/>
        </w:rPr>
        <w:t>无有效行驶证</w:t>
      </w:r>
    </w:p>
    <w:p>
      <w:pPr>
        <w:pStyle w:val="BodyText"/>
      </w:pPr>
      <w:r>
        <w:rPr/>
        <w:t>指下列情形之一：</w:t>
      </w:r>
    </w:p>
    <w:p>
      <w:pPr>
        <w:spacing w:after="0"/>
        <w:sectPr>
          <w:pgSz w:w="11910" w:h="16840"/>
          <w:pgMar w:header="0" w:footer="1008" w:top="1260" w:bottom="1200" w:left="720" w:right="740"/>
        </w:sectPr>
      </w:pPr>
    </w:p>
    <w:p>
      <w:pPr>
        <w:pStyle w:val="ListParagraph"/>
        <w:numPr>
          <w:ilvl w:val="2"/>
          <w:numId w:val="10"/>
        </w:numPr>
        <w:tabs>
          <w:tab w:pos="1183" w:val="left" w:leader="none"/>
          <w:tab w:pos="1184" w:val="left" w:leader="none"/>
        </w:tabs>
        <w:spacing w:line="240" w:lineRule="auto" w:before="9" w:after="0"/>
        <w:ind w:left="1183" w:right="0" w:hanging="420"/>
        <w:jc w:val="left"/>
        <w:rPr>
          <w:sz w:val="21"/>
        </w:rPr>
      </w:pPr>
      <w:r>
        <w:rPr>
          <w:sz w:val="21"/>
        </w:rPr>
        <w:t>机动车被依法注销登记的；</w:t>
      </w:r>
    </w:p>
    <w:p>
      <w:pPr>
        <w:pStyle w:val="ListParagraph"/>
        <w:numPr>
          <w:ilvl w:val="2"/>
          <w:numId w:val="10"/>
        </w:numPr>
        <w:tabs>
          <w:tab w:pos="1183" w:val="left" w:leader="none"/>
          <w:tab w:pos="1184" w:val="left" w:leader="none"/>
        </w:tabs>
        <w:spacing w:line="240" w:lineRule="auto" w:before="64" w:after="0"/>
        <w:ind w:left="1183" w:right="0" w:hanging="420"/>
        <w:jc w:val="left"/>
        <w:rPr>
          <w:sz w:val="21"/>
        </w:rPr>
      </w:pPr>
      <w:r>
        <w:rPr>
          <w:sz w:val="21"/>
        </w:rPr>
        <w:t>未依法按时进行或通过机动车安全技术检验。</w:t>
      </w:r>
    </w:p>
    <w:p>
      <w:pPr>
        <w:pStyle w:val="Heading2"/>
        <w:numPr>
          <w:ilvl w:val="1"/>
          <w:numId w:val="10"/>
        </w:numPr>
        <w:tabs>
          <w:tab w:pos="763" w:val="left" w:leader="none"/>
          <w:tab w:pos="764" w:val="left" w:leader="none"/>
        </w:tabs>
        <w:spacing w:line="240" w:lineRule="auto" w:before="65" w:after="0"/>
        <w:ind w:left="763" w:right="0" w:hanging="646"/>
        <w:jc w:val="left"/>
      </w:pPr>
      <w:r>
        <w:rPr>
          <w:w w:val="95"/>
        </w:rPr>
        <w:t>感染艾滋病病毒或患艾滋病</w:t>
      </w:r>
    </w:p>
    <w:p>
      <w:pPr>
        <w:pStyle w:val="BodyText"/>
        <w:spacing w:line="297" w:lineRule="auto"/>
        <w:ind w:left="763" w:right="204"/>
      </w:pPr>
      <w:r>
        <w:rPr>
          <w:spacing w:val="-6"/>
        </w:rPr>
        <w:t>艾滋病病毒指人类免疫缺陷病毒，英文缩写为 </w:t>
      </w:r>
      <w:r>
        <w:rPr/>
        <w:t>HIV</w:t>
      </w:r>
      <w:r>
        <w:rPr>
          <w:spacing w:val="-6"/>
        </w:rPr>
        <w:t>。艾滋病指人类免疫缺陷病毒引起的获得性免疫缺陷</w:t>
      </w:r>
      <w:r>
        <w:rPr>
          <w:spacing w:val="-11"/>
        </w:rPr>
        <w:t>综合征，英文缩写为 </w:t>
      </w:r>
      <w:r>
        <w:rPr/>
        <w:t>AIDS。</w:t>
      </w:r>
    </w:p>
    <w:p>
      <w:pPr>
        <w:pStyle w:val="BodyText"/>
        <w:spacing w:line="297" w:lineRule="auto" w:before="15"/>
        <w:ind w:left="763" w:right="204"/>
      </w:pPr>
      <w:r>
        <w:rPr/>
        <w:t>在人体血液或其它样本中检测到艾滋病病毒或其抗体呈阳性，没有出现临床症状或体征的，为感染艾滋病病毒；如果同时出现了明显临床症状或体征的，为患艾滋病。</w:t>
      </w:r>
    </w:p>
    <w:p>
      <w:pPr>
        <w:pStyle w:val="Heading2"/>
        <w:numPr>
          <w:ilvl w:val="1"/>
          <w:numId w:val="10"/>
        </w:numPr>
        <w:tabs>
          <w:tab w:pos="763" w:val="left" w:leader="none"/>
          <w:tab w:pos="764" w:val="left" w:leader="none"/>
        </w:tabs>
        <w:spacing w:line="240" w:lineRule="auto" w:before="15" w:after="0"/>
        <w:ind w:left="763" w:right="0" w:hanging="646"/>
        <w:jc w:val="left"/>
      </w:pPr>
      <w:r>
        <w:rPr/>
        <w:t>现金价值</w:t>
      </w:r>
    </w:p>
    <w:p>
      <w:pPr>
        <w:pStyle w:val="BodyText"/>
        <w:spacing w:line="297" w:lineRule="auto" w:before="64"/>
        <w:ind w:left="763" w:right="59"/>
      </w:pPr>
      <w:r>
        <w:rPr/>
        <w:t>指保险单所具有的价值，通常体现为解除合同时，根据精算原理计算的，由本公司退还的那部分金额。现金价值金额=保险费×（1-10%）×（1-保单经过天数/365）</w:t>
      </w:r>
    </w:p>
    <w:p>
      <w:pPr>
        <w:pStyle w:val="ListParagraph"/>
        <w:numPr>
          <w:ilvl w:val="1"/>
          <w:numId w:val="10"/>
        </w:numPr>
        <w:tabs>
          <w:tab w:pos="763" w:val="left" w:leader="none"/>
          <w:tab w:pos="764" w:val="left" w:leader="none"/>
        </w:tabs>
        <w:spacing w:line="240" w:lineRule="auto" w:before="15" w:after="0"/>
        <w:ind w:left="763" w:right="0" w:hanging="646"/>
        <w:jc w:val="left"/>
        <w:rPr>
          <w:sz w:val="21"/>
        </w:rPr>
      </w:pPr>
      <w:r>
        <w:rPr>
          <w:b/>
          <w:spacing w:val="-2"/>
          <w:sz w:val="21"/>
        </w:rPr>
        <w:t>少儿重大疾病 </w:t>
      </w:r>
      <w:r>
        <w:rPr>
          <w:sz w:val="21"/>
        </w:rPr>
        <w:t>指符合下列定义的疾病，各种少儿重大疾病必须由专科医生明确诊断。</w:t>
      </w:r>
    </w:p>
    <w:p>
      <w:pPr>
        <w:pStyle w:val="Heading2"/>
        <w:spacing w:before="64"/>
      </w:pPr>
      <w:r>
        <w:rPr>
          <w:w w:val="95"/>
        </w:rPr>
        <w:t>（1）恶性肿瘤</w:t>
      </w:r>
    </w:p>
    <w:p>
      <w:pPr>
        <w:pStyle w:val="BodyText"/>
        <w:spacing w:line="297" w:lineRule="auto"/>
        <w:ind w:left="763" w:right="204"/>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15"/>
        <w:ind w:left="763"/>
        <w:rPr>
          <w:rFonts w:ascii="黑体" w:eastAsia="黑体" w:hint="eastAsia"/>
        </w:rPr>
      </w:pPr>
      <w:r>
        <w:rPr>
          <w:rFonts w:ascii="黑体" w:eastAsia="黑体" w:hint="eastAsia"/>
          <w:u w:val="single"/>
        </w:rPr>
        <w:t>下列疾病不在保障范围内：</w:t>
      </w:r>
    </w:p>
    <w:p>
      <w:pPr>
        <w:pStyle w:val="ListParagraph"/>
        <w:numPr>
          <w:ilvl w:val="2"/>
          <w:numId w:val="10"/>
        </w:numPr>
        <w:tabs>
          <w:tab w:pos="1183" w:val="left" w:leader="none"/>
          <w:tab w:pos="1184" w:val="left" w:leader="none"/>
        </w:tabs>
        <w:spacing w:line="240" w:lineRule="auto" w:before="66" w:after="0"/>
        <w:ind w:left="1183" w:right="0" w:hanging="420"/>
        <w:jc w:val="left"/>
        <w:rPr>
          <w:rFonts w:ascii="黑体" w:eastAsia="黑体" w:hint="eastAsia"/>
          <w:sz w:val="21"/>
        </w:rPr>
      </w:pPr>
      <w:r>
        <w:rPr>
          <w:rFonts w:ascii="黑体" w:eastAsia="黑体" w:hint="eastAsia"/>
          <w:sz w:val="21"/>
          <w:u w:val="single"/>
        </w:rPr>
        <w:t>原位癌；</w:t>
      </w:r>
    </w:p>
    <w:p>
      <w:pPr>
        <w:pStyle w:val="ListParagraph"/>
        <w:numPr>
          <w:ilvl w:val="2"/>
          <w:numId w:val="10"/>
        </w:numPr>
        <w:tabs>
          <w:tab w:pos="1183" w:val="left" w:leader="none"/>
          <w:tab w:pos="1184" w:val="left" w:leader="none"/>
        </w:tabs>
        <w:spacing w:line="240" w:lineRule="auto" w:before="64" w:after="0"/>
        <w:ind w:left="1183" w:right="0" w:hanging="420"/>
        <w:jc w:val="left"/>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Binet</w:t>
      </w:r>
      <w:r>
        <w:rPr>
          <w:rFonts w:ascii="黑体" w:eastAsia="黑体" w:hint="eastAsia"/>
          <w:spacing w:val="-2"/>
          <w:sz w:val="21"/>
          <w:u w:val="single"/>
        </w:rPr>
        <w:t> 分期方案</w:t>
      </w:r>
      <w:r>
        <w:rPr>
          <w:rFonts w:ascii="黑体" w:eastAsia="黑体" w:hint="eastAsia"/>
          <w:sz w:val="21"/>
          <w:u w:val="single"/>
        </w:rPr>
        <w:t>A</w:t>
      </w:r>
      <w:r>
        <w:rPr>
          <w:rFonts w:ascii="黑体" w:eastAsia="黑体" w:hint="eastAsia"/>
          <w:spacing w:val="-8"/>
          <w:sz w:val="21"/>
          <w:u w:val="single"/>
        </w:rPr>
        <w:t> 期程度的慢性淋巴细胞白血病；</w:t>
      </w:r>
    </w:p>
    <w:p>
      <w:pPr>
        <w:pStyle w:val="ListParagraph"/>
        <w:numPr>
          <w:ilvl w:val="2"/>
          <w:numId w:val="10"/>
        </w:numPr>
        <w:tabs>
          <w:tab w:pos="1183" w:val="left" w:leader="none"/>
          <w:tab w:pos="1184" w:val="left" w:leader="none"/>
        </w:tabs>
        <w:spacing w:line="240" w:lineRule="auto" w:before="65" w:after="0"/>
        <w:ind w:left="1183" w:right="0" w:hanging="420"/>
        <w:jc w:val="left"/>
        <w:rPr>
          <w:rFonts w:ascii="黑体" w:eastAsia="黑体" w:hint="eastAsia"/>
          <w:sz w:val="21"/>
        </w:rPr>
      </w:pPr>
      <w:r>
        <w:rPr>
          <w:rFonts w:ascii="黑体" w:eastAsia="黑体" w:hint="eastAsia"/>
          <w:spacing w:val="-14"/>
          <w:sz w:val="21"/>
          <w:u w:val="single"/>
        </w:rPr>
        <w:t>相当于 </w:t>
      </w:r>
      <w:r>
        <w:rPr>
          <w:rFonts w:ascii="黑体" w:eastAsia="黑体" w:hint="eastAsia"/>
          <w:sz w:val="21"/>
          <w:u w:val="single"/>
        </w:rPr>
        <w:t>Ann</w:t>
      </w:r>
      <w:r>
        <w:rPr>
          <w:rFonts w:ascii="黑体" w:eastAsia="黑体" w:hint="eastAsia"/>
          <w:spacing w:val="-2"/>
          <w:sz w:val="21"/>
          <w:u w:val="single"/>
        </w:rPr>
        <w:t> </w:t>
      </w:r>
      <w:r>
        <w:rPr>
          <w:rFonts w:ascii="黑体" w:eastAsia="黑体" w:hint="eastAsia"/>
          <w:sz w:val="21"/>
          <w:u w:val="single"/>
        </w:rPr>
        <w:t>Arbor</w:t>
      </w:r>
      <w:r>
        <w:rPr>
          <w:rFonts w:ascii="黑体" w:eastAsia="黑体" w:hint="eastAsia"/>
          <w:spacing w:val="-19"/>
          <w:sz w:val="21"/>
          <w:u w:val="single"/>
        </w:rPr>
        <w:t> 分期方案 </w:t>
      </w:r>
      <w:r>
        <w:rPr>
          <w:rFonts w:ascii="黑体" w:eastAsia="黑体" w:hint="eastAsia"/>
          <w:sz w:val="21"/>
          <w:u w:val="single"/>
        </w:rPr>
        <w:t>I</w:t>
      </w:r>
      <w:r>
        <w:rPr>
          <w:rFonts w:ascii="黑体" w:eastAsia="黑体" w:hint="eastAsia"/>
          <w:spacing w:val="-8"/>
          <w:sz w:val="21"/>
          <w:u w:val="single"/>
        </w:rPr>
        <w:t> 期程度的何杰金氏病；</w:t>
      </w:r>
    </w:p>
    <w:p>
      <w:pPr>
        <w:pStyle w:val="ListParagraph"/>
        <w:numPr>
          <w:ilvl w:val="2"/>
          <w:numId w:val="10"/>
        </w:numPr>
        <w:tabs>
          <w:tab w:pos="1183" w:val="left" w:leader="none"/>
          <w:tab w:pos="1184" w:val="left" w:leader="none"/>
        </w:tabs>
        <w:spacing w:line="240" w:lineRule="auto" w:before="65" w:after="0"/>
        <w:ind w:left="1183" w:right="0" w:hanging="420"/>
        <w:jc w:val="left"/>
        <w:rPr>
          <w:rFonts w:ascii="黑体" w:eastAsia="黑体" w:hint="eastAsia"/>
          <w:sz w:val="21"/>
        </w:rPr>
      </w:pPr>
      <w:r>
        <w:rPr>
          <w:rFonts w:ascii="黑体" w:eastAsia="黑体" w:hint="eastAsia"/>
          <w:sz w:val="21"/>
          <w:u w:val="single"/>
        </w:rPr>
        <w:t>皮肤癌（不包括恶性黑色素瘤及已发Th转移的皮肤癌</w:t>
      </w:r>
      <w:r>
        <w:rPr>
          <w:rFonts w:ascii="黑体" w:eastAsia="黑体" w:hint="eastAsia"/>
          <w:spacing w:val="-105"/>
          <w:sz w:val="21"/>
          <w:u w:val="single"/>
        </w:rPr>
        <w:t>）</w:t>
      </w:r>
      <w:r>
        <w:rPr>
          <w:rFonts w:ascii="黑体" w:eastAsia="黑体" w:hint="eastAsia"/>
          <w:sz w:val="21"/>
          <w:u w:val="single"/>
        </w:rPr>
        <w:t>；</w:t>
      </w:r>
    </w:p>
    <w:p>
      <w:pPr>
        <w:pStyle w:val="ListParagraph"/>
        <w:numPr>
          <w:ilvl w:val="2"/>
          <w:numId w:val="10"/>
        </w:numPr>
        <w:tabs>
          <w:tab w:pos="1183" w:val="left" w:leader="none"/>
          <w:tab w:pos="1184" w:val="left" w:leader="none"/>
        </w:tabs>
        <w:spacing w:line="240" w:lineRule="auto" w:before="63" w:after="0"/>
        <w:ind w:left="1183" w:right="0" w:hanging="420"/>
        <w:jc w:val="left"/>
        <w:rPr>
          <w:rFonts w:ascii="黑体" w:eastAsia="黑体" w:hint="eastAsia"/>
          <w:sz w:val="21"/>
        </w:rPr>
      </w:pPr>
      <w:r>
        <w:rPr>
          <w:rFonts w:ascii="黑体" w:eastAsia="黑体" w:hint="eastAsia"/>
          <w:position w:val="1"/>
          <w:sz w:val="21"/>
          <w:u w:val="single"/>
        </w:rPr>
        <w:t>TNM</w:t>
      </w:r>
      <w:r>
        <w:rPr>
          <w:rFonts w:ascii="黑体" w:eastAsia="黑体" w:hint="eastAsia"/>
          <w:spacing w:val="-1"/>
          <w:position w:val="1"/>
          <w:sz w:val="21"/>
          <w:u w:val="single"/>
        </w:rPr>
        <w:t> 分期为</w:t>
      </w:r>
      <w:r>
        <w:rPr>
          <w:rFonts w:ascii="黑体" w:eastAsia="黑体" w:hint="eastAsia"/>
          <w:position w:val="1"/>
          <w:sz w:val="21"/>
          <w:u w:val="single"/>
        </w:rPr>
        <w:t>T</w:t>
      </w:r>
      <w:r>
        <w:rPr>
          <w:rFonts w:ascii="黑体" w:eastAsia="黑体" w:hint="eastAsia"/>
          <w:sz w:val="11"/>
          <w:u w:val="single"/>
        </w:rPr>
        <w:t>1</w:t>
      </w:r>
      <w:r>
        <w:rPr>
          <w:rFonts w:ascii="黑体" w:eastAsia="黑体" w:hint="eastAsia"/>
          <w:position w:val="1"/>
          <w:sz w:val="21"/>
          <w:u w:val="single"/>
        </w:rPr>
        <w:t>N</w:t>
      </w:r>
      <w:r>
        <w:rPr>
          <w:rFonts w:ascii="黑体" w:eastAsia="黑体" w:hint="eastAsia"/>
          <w:sz w:val="11"/>
          <w:u w:val="single"/>
        </w:rPr>
        <w:t>0</w:t>
      </w:r>
      <w:r>
        <w:rPr>
          <w:rFonts w:ascii="黑体" w:eastAsia="黑体" w:hint="eastAsia"/>
          <w:position w:val="1"/>
          <w:sz w:val="21"/>
          <w:u w:val="single"/>
        </w:rPr>
        <w:t>M</w:t>
      </w:r>
      <w:r>
        <w:rPr>
          <w:rFonts w:ascii="黑体" w:eastAsia="黑体" w:hint="eastAsia"/>
          <w:sz w:val="11"/>
          <w:u w:val="single"/>
        </w:rPr>
        <w:t>0</w:t>
      </w:r>
      <w:r>
        <w:rPr>
          <w:rFonts w:ascii="黑体" w:eastAsia="黑体" w:hint="eastAsia"/>
          <w:spacing w:val="-29"/>
          <w:sz w:val="11"/>
          <w:u w:val="single"/>
        </w:rPr>
        <w:t> </w:t>
      </w:r>
      <w:r>
        <w:rPr>
          <w:rFonts w:ascii="黑体" w:eastAsia="黑体" w:hint="eastAsia"/>
          <w:position w:val="1"/>
          <w:sz w:val="21"/>
          <w:u w:val="single"/>
        </w:rPr>
        <w:t>期或更轻分期的前列腺癌；</w:t>
      </w:r>
    </w:p>
    <w:p>
      <w:pPr>
        <w:pStyle w:val="ListParagraph"/>
        <w:numPr>
          <w:ilvl w:val="2"/>
          <w:numId w:val="10"/>
        </w:numPr>
        <w:tabs>
          <w:tab w:pos="1183" w:val="left" w:leader="none"/>
          <w:tab w:pos="1184" w:val="left" w:leader="none"/>
        </w:tabs>
        <w:spacing w:line="240" w:lineRule="auto" w:before="65" w:after="0"/>
        <w:ind w:left="1183" w:right="0" w:hanging="420"/>
        <w:jc w:val="left"/>
        <w:rPr>
          <w:rFonts w:ascii="黑体" w:eastAsia="黑体" w:hint="eastAsia"/>
          <w:sz w:val="21"/>
        </w:rPr>
      </w:pPr>
      <w:r>
        <w:rPr>
          <w:rFonts w:ascii="黑体" w:eastAsia="黑体" w:hint="eastAsia"/>
          <w:sz w:val="21"/>
          <w:u w:val="single"/>
        </w:rPr>
        <w:t>感染艾滋病病毒或患艾滋病期间所患恶性肿瘤。</w:t>
      </w:r>
    </w:p>
    <w:p>
      <w:pPr>
        <w:pStyle w:val="Heading2"/>
        <w:spacing w:before="65"/>
      </w:pPr>
      <w:r>
        <w:rPr>
          <w:w w:val="95"/>
        </w:rPr>
        <w:t>（2）重大器官移植术或造血干细胞移植术</w:t>
      </w:r>
    </w:p>
    <w:p>
      <w:pPr>
        <w:pStyle w:val="BodyText"/>
        <w:spacing w:line="297" w:lineRule="auto"/>
        <w:ind w:left="763" w:right="204"/>
      </w:pPr>
      <w:r>
        <w:rPr/>
        <w:t>重大器官移植术，指因相应器官功能衰竭，已经实施了肾脏、肝脏、心脏或肺脏的异体移植手术。 造血干细胞移植术，指因造血功能损害或造血系统恶性肿瘤，已经实施了造血干细胞（包括骨髓造血干细胞、外周血造血干细胞和脐血造血干细胞）的异体移植手术。</w:t>
      </w:r>
    </w:p>
    <w:p>
      <w:pPr>
        <w:pStyle w:val="Heading2"/>
      </w:pPr>
      <w:r>
        <w:rPr>
          <w:w w:val="95"/>
        </w:rPr>
        <w:t>（3）终末期肾病（或称慢性肾功能衰竭尿毒症期）</w:t>
      </w:r>
    </w:p>
    <w:p>
      <w:pPr>
        <w:pStyle w:val="BodyText"/>
        <w:spacing w:line="297" w:lineRule="auto"/>
        <w:ind w:left="763" w:right="204"/>
      </w:pPr>
      <w:r>
        <w:rPr>
          <w:spacing w:val="-4"/>
        </w:rPr>
        <w:t>指双肾功能慢性不可逆性衰竭，达到尿毒症期，经诊断后已经进行了至少 </w:t>
      </w:r>
      <w:r>
        <w:rPr/>
        <w:t>90</w:t>
      </w:r>
      <w:r>
        <w:rPr>
          <w:spacing w:val="-9"/>
        </w:rPr>
        <w:t> 天的规律性透析治疗或实施了肾脏移植手术。</w:t>
      </w:r>
    </w:p>
    <w:p>
      <w:pPr>
        <w:pStyle w:val="Heading2"/>
      </w:pPr>
      <w:r>
        <w:rPr>
          <w:w w:val="95"/>
        </w:rPr>
        <w:t>（4）多个肢体缺失</w:t>
      </w:r>
    </w:p>
    <w:p>
      <w:pPr>
        <w:pStyle w:val="BodyText"/>
        <w:spacing w:before="64"/>
        <w:ind w:left="763"/>
      </w:pPr>
      <w:r>
        <w:rPr/>
        <w:t>指因疾病或意外伤害导致两个或两个以上肢体自腕关节或踝关节近端（靠近躯干端）以上完全性断离。</w:t>
      </w:r>
    </w:p>
    <w:p>
      <w:pPr>
        <w:pStyle w:val="Heading2"/>
        <w:spacing w:before="66"/>
      </w:pPr>
      <w:r>
        <w:rPr>
          <w:w w:val="95"/>
        </w:rPr>
        <w:t>（5）急性或亚急性重症肝炎</w:t>
      </w:r>
    </w:p>
    <w:p>
      <w:pPr>
        <w:pStyle w:val="BodyText"/>
        <w:spacing w:line="297" w:lineRule="auto" w:before="66"/>
        <w:ind w:left="763" w:right="204"/>
      </w:pPr>
      <w:r>
        <w:rPr/>
        <w:t>指因肝炎病毒感染引起肝脏组织弥漫性坏死，导致急性肝功能衰竭，且经血清学或病毒学检查证实， 并须满足下列全部条件：</w:t>
      </w:r>
    </w:p>
    <w:p>
      <w:pPr>
        <w:pStyle w:val="ListParagraph"/>
        <w:numPr>
          <w:ilvl w:val="0"/>
          <w:numId w:val="11"/>
        </w:numPr>
        <w:tabs>
          <w:tab w:pos="1183" w:val="left" w:leader="none"/>
          <w:tab w:pos="1184" w:val="left" w:leader="none"/>
        </w:tabs>
        <w:spacing w:line="240" w:lineRule="auto" w:before="15" w:after="0"/>
        <w:ind w:left="1183" w:right="0" w:hanging="420"/>
        <w:jc w:val="left"/>
        <w:rPr>
          <w:sz w:val="21"/>
        </w:rPr>
      </w:pPr>
      <w:r>
        <w:rPr>
          <w:sz w:val="21"/>
        </w:rPr>
        <w:t>重度黄疸或黄疸迅速加重；</w:t>
      </w:r>
    </w:p>
    <w:p>
      <w:pPr>
        <w:pStyle w:val="ListParagraph"/>
        <w:numPr>
          <w:ilvl w:val="0"/>
          <w:numId w:val="11"/>
        </w:numPr>
        <w:tabs>
          <w:tab w:pos="1183" w:val="left" w:leader="none"/>
          <w:tab w:pos="1184" w:val="left" w:leader="none"/>
        </w:tabs>
        <w:spacing w:line="240" w:lineRule="auto" w:before="65" w:after="0"/>
        <w:ind w:left="1183" w:right="0" w:hanging="420"/>
        <w:jc w:val="left"/>
        <w:rPr>
          <w:sz w:val="21"/>
        </w:rPr>
      </w:pPr>
      <w:r>
        <w:rPr>
          <w:sz w:val="21"/>
        </w:rPr>
        <w:t>肝性脑病；</w:t>
      </w:r>
    </w:p>
    <w:p>
      <w:pPr>
        <w:pStyle w:val="ListParagraph"/>
        <w:numPr>
          <w:ilvl w:val="0"/>
          <w:numId w:val="11"/>
        </w:numPr>
        <w:tabs>
          <w:tab w:pos="1183" w:val="left" w:leader="none"/>
          <w:tab w:pos="1184" w:val="left" w:leader="none"/>
        </w:tabs>
        <w:spacing w:line="240" w:lineRule="auto" w:before="65" w:after="0"/>
        <w:ind w:left="1183" w:right="0" w:hanging="420"/>
        <w:jc w:val="left"/>
        <w:rPr>
          <w:sz w:val="21"/>
        </w:rPr>
      </w:pPr>
      <w:r>
        <w:rPr>
          <w:sz w:val="21"/>
        </w:rPr>
        <w:t>B</w:t>
      </w:r>
      <w:r>
        <w:rPr>
          <w:spacing w:val="-9"/>
          <w:sz w:val="21"/>
        </w:rPr>
        <w:t> 超或其它影像学检查显示肝脏体积急速萎缩；</w:t>
      </w:r>
    </w:p>
    <w:p>
      <w:pPr>
        <w:pStyle w:val="ListParagraph"/>
        <w:numPr>
          <w:ilvl w:val="0"/>
          <w:numId w:val="11"/>
        </w:numPr>
        <w:tabs>
          <w:tab w:pos="1183" w:val="left" w:leader="none"/>
          <w:tab w:pos="1184" w:val="left" w:leader="none"/>
        </w:tabs>
        <w:spacing w:line="240" w:lineRule="auto" w:before="64" w:after="0"/>
        <w:ind w:left="1183" w:right="0" w:hanging="420"/>
        <w:jc w:val="left"/>
        <w:rPr>
          <w:sz w:val="21"/>
        </w:rPr>
      </w:pPr>
      <w:r>
        <w:rPr>
          <w:sz w:val="21"/>
        </w:rPr>
        <w:t>肝功能指标进行性恶化。</w:t>
      </w:r>
    </w:p>
    <w:p>
      <w:pPr>
        <w:pStyle w:val="Heading2"/>
        <w:spacing w:before="65"/>
      </w:pPr>
      <w:r>
        <w:rPr>
          <w:w w:val="95"/>
        </w:rPr>
        <w:t>（6）良性脑肿瘤</w:t>
      </w:r>
    </w:p>
    <w:p>
      <w:pPr>
        <w:pStyle w:val="BodyText"/>
        <w:spacing w:line="297" w:lineRule="auto"/>
        <w:ind w:left="763" w:right="200"/>
        <w:jc w:val="both"/>
      </w:pPr>
      <w:r>
        <w:rPr/>
        <w:t>指脑的良性肿瘤，已经引起颅内压增高，临床表现为视神经乳头水肿、精神症状、癫痫及运动感觉障</w:t>
      </w:r>
      <w:r>
        <w:rPr>
          <w:spacing w:val="-2"/>
        </w:rPr>
        <w:t>碍等，并危及生命。须由头颅断层扫描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等影像学检查证实，并须满足下列至少一项条件：</w:t>
      </w:r>
    </w:p>
    <w:p>
      <w:pPr>
        <w:spacing w:after="0" w:line="297" w:lineRule="auto"/>
        <w:jc w:val="both"/>
        <w:sectPr>
          <w:pgSz w:w="11910" w:h="16840"/>
          <w:pgMar w:header="0" w:footer="1008" w:top="1260" w:bottom="1200" w:left="840" w:right="760"/>
        </w:sectPr>
      </w:pPr>
    </w:p>
    <w:p>
      <w:pPr>
        <w:pStyle w:val="ListParagraph"/>
        <w:numPr>
          <w:ilvl w:val="0"/>
          <w:numId w:val="12"/>
        </w:numPr>
        <w:tabs>
          <w:tab w:pos="524" w:val="left" w:leader="none"/>
        </w:tabs>
        <w:spacing w:line="240" w:lineRule="auto" w:before="9" w:after="0"/>
        <w:ind w:left="523" w:right="0" w:hanging="420"/>
        <w:jc w:val="both"/>
        <w:rPr>
          <w:sz w:val="21"/>
        </w:rPr>
      </w:pPr>
      <w:r>
        <w:rPr>
          <w:sz w:val="21"/>
        </w:rPr>
        <w:t>实际实施了开颅进行的脑肿瘤完全切除或部分切除的手术；</w:t>
      </w:r>
    </w:p>
    <w:p>
      <w:pPr>
        <w:pStyle w:val="ListParagraph"/>
        <w:numPr>
          <w:ilvl w:val="0"/>
          <w:numId w:val="12"/>
        </w:numPr>
        <w:tabs>
          <w:tab w:pos="524" w:val="left" w:leader="none"/>
        </w:tabs>
        <w:spacing w:line="240" w:lineRule="auto" w:before="64" w:after="0"/>
        <w:ind w:left="523" w:right="0" w:hanging="420"/>
        <w:jc w:val="both"/>
        <w:rPr>
          <w:sz w:val="21"/>
        </w:rPr>
      </w:pPr>
      <w:r>
        <w:rPr>
          <w:sz w:val="21"/>
        </w:rPr>
        <w:t>实际实施了对脑肿瘤进行的放射治疗。</w:t>
      </w:r>
    </w:p>
    <w:p>
      <w:pPr>
        <w:pStyle w:val="BodyText"/>
        <w:ind w:left="103"/>
        <w:jc w:val="both"/>
        <w:rPr>
          <w:rFonts w:ascii="黑体" w:eastAsia="黑体" w:hint="eastAsia"/>
        </w:rPr>
      </w:pPr>
      <w:r>
        <w:rPr>
          <w:rFonts w:ascii="黑体" w:eastAsia="黑体" w:hint="eastAsia"/>
          <w:u w:val="single"/>
        </w:rPr>
        <w:t>脑垂体瘤、脑囊肿、脑血管性疾病不在保障范围内。</w:t>
      </w:r>
    </w:p>
    <w:p>
      <w:pPr>
        <w:pStyle w:val="Heading2"/>
        <w:spacing w:before="65"/>
        <w:ind w:left="103"/>
        <w:jc w:val="both"/>
      </w:pPr>
      <w:r>
        <w:rPr>
          <w:w w:val="95"/>
        </w:rPr>
        <w:t>（7）深度昏迷</w:t>
      </w:r>
    </w:p>
    <w:p>
      <w:pPr>
        <w:pStyle w:val="BodyText"/>
        <w:spacing w:line="297" w:lineRule="auto" w:before="64"/>
        <w:ind w:left="103" w:right="223"/>
        <w:jc w:val="both"/>
      </w:pPr>
      <w:r>
        <w:rPr/>
        <w:t>指因疾病或意外伤害导致意识丧失，对外界刺激和体内需求均无反应，昏迷程度按照格拉斯哥昏迷分级（Glasgow</w:t>
      </w:r>
      <w:r>
        <w:rPr>
          <w:spacing w:val="-13"/>
        </w:rPr>
        <w:t> </w:t>
      </w:r>
      <w:r>
        <w:rPr/>
        <w:t>coma</w:t>
      </w:r>
      <w:r>
        <w:rPr>
          <w:spacing w:val="-13"/>
        </w:rPr>
        <w:t> </w:t>
      </w:r>
      <w:r>
        <w:rPr/>
        <w:t>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8"/>
        </w:rPr>
        <w:t> 小时以上。</w:t>
      </w:r>
    </w:p>
    <w:p>
      <w:pPr>
        <w:pStyle w:val="BodyText"/>
        <w:spacing w:before="15"/>
        <w:ind w:left="103"/>
        <w:jc w:val="both"/>
        <w:rPr>
          <w:rFonts w:ascii="黑体" w:eastAsia="黑体" w:hint="eastAsia"/>
        </w:rPr>
      </w:pPr>
      <w:r>
        <w:rPr>
          <w:rFonts w:ascii="黑体" w:eastAsia="黑体" w:hint="eastAsia"/>
          <w:u w:val="single"/>
        </w:rPr>
        <w:t>因酗酒或药物滥用导致的深度昏迷不在保障范围内。</w:t>
      </w:r>
    </w:p>
    <w:p>
      <w:pPr>
        <w:pStyle w:val="Heading2"/>
        <w:spacing w:before="64"/>
        <w:ind w:left="103"/>
        <w:jc w:val="both"/>
      </w:pPr>
      <w:r>
        <w:rPr>
          <w:w w:val="95"/>
        </w:rPr>
        <w:t>（8）双耳失聪</w:t>
      </w:r>
    </w:p>
    <w:p>
      <w:pPr>
        <w:pStyle w:val="BodyText"/>
        <w:ind w:left="103"/>
        <w:jc w:val="both"/>
      </w:pPr>
      <w:r>
        <w:rPr/>
        <w:t>指因疾病或意外伤害导致双耳听力</w:t>
      </w:r>
      <w:r>
        <w:rPr>
          <w:b/>
          <w:spacing w:val="-10"/>
        </w:rPr>
        <w:t>永久不可逆 </w:t>
      </w:r>
      <w:r>
        <w:rPr>
          <w:rFonts w:ascii="Times New Roman" w:eastAsia="Times New Roman"/>
          <w:b/>
          <w:i/>
          <w:position w:val="11"/>
          <w:sz w:val="16"/>
        </w:rPr>
        <w:t>7.15 </w:t>
      </w:r>
      <w:r>
        <w:rPr>
          <w:spacing w:val="-12"/>
        </w:rPr>
        <w:t>性丧失，在 </w:t>
      </w:r>
      <w:r>
        <w:rPr/>
        <w:t>500</w:t>
      </w:r>
      <w:r>
        <w:rPr>
          <w:spacing w:val="-17"/>
        </w:rPr>
        <w:t> 赫兹、</w:t>
      </w:r>
      <w:r>
        <w:rPr/>
        <w:t>1000</w:t>
      </w:r>
      <w:r>
        <w:rPr>
          <w:spacing w:val="-24"/>
        </w:rPr>
        <w:t> 赫兹和 </w:t>
      </w:r>
      <w:r>
        <w:rPr/>
        <w:t>2000</w:t>
      </w:r>
      <w:r>
        <w:rPr>
          <w:spacing w:val="-10"/>
        </w:rPr>
        <w:t> 赫兹语音频</w:t>
      </w:r>
    </w:p>
    <w:p>
      <w:pPr>
        <w:pStyle w:val="BodyText"/>
        <w:spacing w:before="66"/>
        <w:ind w:left="103"/>
        <w:jc w:val="both"/>
      </w:pPr>
      <w:r>
        <w:rPr/>
        <w:t>率下，平均听阈大于 90 分贝，且经纯音听力测试、声导抗检测或听觉诱发电位检测等证实。</w:t>
      </w:r>
    </w:p>
    <w:p>
      <w:pPr>
        <w:pStyle w:val="BodyText"/>
        <w:spacing w:before="64"/>
        <w:ind w:left="103"/>
        <w:jc w:val="both"/>
      </w:pPr>
      <w:r>
        <w:rPr>
          <w:rFonts w:ascii="黑体" w:eastAsia="黑体" w:hint="eastAsia"/>
          <w:u w:val="single"/>
        </w:rPr>
        <w:t>被保险人申请理赔时年龄必须在三周岁以上，</w:t>
      </w:r>
      <w:r>
        <w:rPr/>
        <w:t>并且提供理赔当时的听力丧失诊断及检查证据。</w:t>
      </w:r>
    </w:p>
    <w:p>
      <w:pPr>
        <w:pStyle w:val="Heading2"/>
        <w:spacing w:before="65"/>
        <w:ind w:left="103"/>
        <w:jc w:val="both"/>
      </w:pPr>
      <w:r>
        <w:rPr>
          <w:w w:val="95"/>
        </w:rPr>
        <w:t>（9）双目失明</w:t>
      </w:r>
    </w:p>
    <w:p>
      <w:pPr>
        <w:pStyle w:val="BodyText"/>
        <w:ind w:left="103"/>
        <w:jc w:val="both"/>
      </w:pPr>
      <w:r>
        <w:rPr/>
        <w:t>指因疾病或意外伤害导致双眼视力永久不可逆性丧失，双眼中较好眼须满足下列至少一项条件：</w:t>
      </w:r>
    </w:p>
    <w:p>
      <w:pPr>
        <w:pStyle w:val="ListParagraph"/>
        <w:numPr>
          <w:ilvl w:val="0"/>
          <w:numId w:val="13"/>
        </w:numPr>
        <w:tabs>
          <w:tab w:pos="524" w:val="left" w:leader="none"/>
        </w:tabs>
        <w:spacing w:line="240" w:lineRule="auto" w:before="64" w:after="0"/>
        <w:ind w:left="523" w:right="0" w:hanging="420"/>
        <w:jc w:val="both"/>
        <w:rPr>
          <w:sz w:val="21"/>
        </w:rPr>
      </w:pPr>
      <w:r>
        <w:rPr>
          <w:sz w:val="21"/>
        </w:rPr>
        <w:t>眼球缺失或摘除；</w:t>
      </w:r>
    </w:p>
    <w:p>
      <w:pPr>
        <w:pStyle w:val="ListParagraph"/>
        <w:numPr>
          <w:ilvl w:val="0"/>
          <w:numId w:val="13"/>
        </w:numPr>
        <w:tabs>
          <w:tab w:pos="524" w:val="left" w:leader="none"/>
        </w:tabs>
        <w:spacing w:line="240" w:lineRule="auto" w:before="66" w:after="0"/>
        <w:ind w:left="523" w:right="0" w:hanging="420"/>
        <w:jc w:val="both"/>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3"/>
        </w:numPr>
        <w:tabs>
          <w:tab w:pos="524" w:val="left" w:leader="none"/>
        </w:tabs>
        <w:spacing w:line="240" w:lineRule="auto" w:before="66" w:after="0"/>
        <w:ind w:left="523" w:right="0" w:hanging="420"/>
        <w:jc w:val="both"/>
        <w:rPr>
          <w:sz w:val="21"/>
        </w:rPr>
      </w:pPr>
      <w:r>
        <w:rPr>
          <w:spacing w:val="-8"/>
          <w:sz w:val="21"/>
        </w:rPr>
        <w:t>视野半径小于 </w:t>
      </w:r>
      <w:r>
        <w:rPr>
          <w:sz w:val="21"/>
        </w:rPr>
        <w:t>5</w:t>
      </w:r>
      <w:r>
        <w:rPr>
          <w:spacing w:val="-19"/>
          <w:sz w:val="21"/>
        </w:rPr>
        <w:t> 度。</w:t>
      </w:r>
    </w:p>
    <w:p>
      <w:pPr>
        <w:pStyle w:val="BodyText"/>
        <w:spacing w:before="66"/>
        <w:ind w:left="103"/>
        <w:jc w:val="both"/>
      </w:pPr>
      <w:r>
        <w:rPr>
          <w:rFonts w:ascii="黑体" w:eastAsia="黑体" w:hint="eastAsia"/>
          <w:u w:val="single"/>
        </w:rPr>
        <w:t>被保险人申请理赔时年龄必须在三周岁以上，</w:t>
      </w:r>
      <w:r>
        <w:rPr/>
        <w:t>并且提供理赔当时的视力丧失诊断及检查证据。</w:t>
      </w:r>
    </w:p>
    <w:p>
      <w:pPr>
        <w:pStyle w:val="Heading2"/>
        <w:spacing w:before="65"/>
        <w:ind w:left="103"/>
        <w:jc w:val="both"/>
      </w:pPr>
      <w:r>
        <w:rPr>
          <w:w w:val="95"/>
        </w:rPr>
        <w:t>（10）瘫痪</w:t>
      </w:r>
    </w:p>
    <w:p>
      <w:pPr>
        <w:pStyle w:val="BodyText"/>
        <w:spacing w:line="297" w:lineRule="auto" w:before="66"/>
        <w:ind w:left="103" w:right="77"/>
      </w:pPr>
      <w:r>
        <w:rPr/>
        <w:t>指因疾病或意外伤害导致两肢或两肢以上肢体机能永久完全丧失。肢体机能永久完全丧失，指疾病确诊 180 天后或意外伤害发生 180 天后，每肢三大关节中的两大关节仍然完全僵硬，或不能随意识活动。</w:t>
      </w:r>
    </w:p>
    <w:p>
      <w:pPr>
        <w:pStyle w:val="Heading2"/>
        <w:spacing w:before="14"/>
        <w:ind w:left="103"/>
      </w:pPr>
      <w:r>
        <w:rPr>
          <w:w w:val="95"/>
        </w:rPr>
        <w:t>（11）心脏瓣膜手术</w:t>
      </w:r>
    </w:p>
    <w:p>
      <w:pPr>
        <w:pStyle w:val="BodyText"/>
        <w:ind w:left="103"/>
      </w:pPr>
      <w:r>
        <w:rPr/>
        <w:t>指为治疗心脏瓣膜疾病，实际实施了开胸进行的心脏瓣膜置换或修复的手术。</w:t>
      </w:r>
    </w:p>
    <w:p>
      <w:pPr>
        <w:pStyle w:val="Heading2"/>
        <w:spacing w:before="65"/>
        <w:ind w:left="103"/>
      </w:pPr>
      <w:r>
        <w:rPr>
          <w:w w:val="95"/>
        </w:rPr>
        <w:t>（12）严重脑损伤</w:t>
      </w:r>
    </w:p>
    <w:p>
      <w:pPr>
        <w:pStyle w:val="BodyText"/>
        <w:spacing w:line="297" w:lineRule="auto" w:before="64"/>
        <w:ind w:left="103" w:right="224"/>
        <w:jc w:val="both"/>
      </w:pPr>
      <w:r>
        <w:rPr/>
        <w:t>指因头部遭受机械性外力，引起脑重要部位损伤，导致神经系统永久性的功能障碍。须由头颅断层扫</w:t>
      </w:r>
      <w:r>
        <w:rPr>
          <w:spacing w:val="-2"/>
        </w:rPr>
        <w:t>描</w:t>
      </w:r>
      <w:r>
        <w:rPr/>
        <w:t>（C</w:t>
      </w:r>
      <w:r>
        <w:rPr>
          <w:spacing w:val="-1"/>
        </w:rPr>
        <w:t>T</w:t>
      </w:r>
      <w:r>
        <w:rPr>
          <w:spacing w:val="-105"/>
        </w:rPr>
        <w:t>）</w:t>
      </w:r>
      <w:r>
        <w:rPr>
          <w:spacing w:val="-2"/>
        </w:rPr>
        <w:t>、核磁共振检查</w:t>
      </w:r>
      <w:r>
        <w:rPr>
          <w:spacing w:val="-1"/>
        </w:rPr>
        <w:t>（MRI</w:t>
      </w:r>
      <w:r>
        <w:rPr>
          <w:spacing w:val="-2"/>
        </w:rPr>
        <w:t>）或正电子发射断层扫描</w:t>
      </w:r>
      <w:r>
        <w:rPr>
          <w:spacing w:val="-1"/>
        </w:rPr>
        <w:t>（PET</w:t>
      </w:r>
      <w:r>
        <w:rPr>
          <w:spacing w:val="-2"/>
        </w:rPr>
        <w:t>）等影像学检查证实。神经系统永久性的</w:t>
      </w:r>
      <w:r>
        <w:rPr>
          <w:spacing w:val="-6"/>
        </w:rPr>
        <w:t>功能障碍，指脑损伤 </w:t>
      </w:r>
      <w:r>
        <w:rPr/>
        <w:t>180</w:t>
      </w:r>
      <w:r>
        <w:rPr>
          <w:spacing w:val="-8"/>
        </w:rPr>
        <w:t> 天后，仍遗留下列一种或一种以上障碍：</w:t>
      </w:r>
    </w:p>
    <w:p>
      <w:pPr>
        <w:pStyle w:val="ListParagraph"/>
        <w:numPr>
          <w:ilvl w:val="0"/>
          <w:numId w:val="14"/>
        </w:numPr>
        <w:tabs>
          <w:tab w:pos="524" w:val="left" w:leader="none"/>
        </w:tabs>
        <w:spacing w:line="240" w:lineRule="auto" w:before="14" w:after="0"/>
        <w:ind w:left="523" w:right="0" w:hanging="420"/>
        <w:jc w:val="both"/>
        <w:rPr>
          <w:sz w:val="21"/>
        </w:rPr>
      </w:pPr>
      <w:r>
        <w:rPr>
          <w:sz w:val="21"/>
        </w:rPr>
        <w:t>一肢或一肢以上肢体机能完全丧失；</w:t>
      </w:r>
    </w:p>
    <w:p>
      <w:pPr>
        <w:pStyle w:val="ListParagraph"/>
        <w:numPr>
          <w:ilvl w:val="0"/>
          <w:numId w:val="14"/>
        </w:numPr>
        <w:tabs>
          <w:tab w:pos="524" w:val="left" w:leader="none"/>
        </w:tabs>
        <w:spacing w:line="240" w:lineRule="auto" w:before="66" w:after="0"/>
        <w:ind w:left="523" w:right="0" w:hanging="420"/>
        <w:jc w:val="both"/>
        <w:rPr>
          <w:sz w:val="21"/>
        </w:rPr>
      </w:pPr>
      <w:r>
        <w:rPr>
          <w:sz w:val="21"/>
        </w:rPr>
        <w:t>语言能力或咀嚼吞咽能力完全丧失；</w:t>
      </w:r>
    </w:p>
    <w:p>
      <w:pPr>
        <w:pStyle w:val="ListParagraph"/>
        <w:numPr>
          <w:ilvl w:val="0"/>
          <w:numId w:val="14"/>
        </w:numPr>
        <w:tabs>
          <w:tab w:pos="524" w:val="left" w:leader="none"/>
        </w:tabs>
        <w:spacing w:line="240" w:lineRule="auto" w:before="65" w:after="0"/>
        <w:ind w:left="523" w:right="0" w:hanging="420"/>
        <w:jc w:val="both"/>
        <w:rPr>
          <w:sz w:val="21"/>
        </w:rPr>
      </w:pPr>
      <w:r>
        <w:rPr>
          <w:sz w:val="21"/>
        </w:rPr>
        <w:t>自主生活能力完全丧失，无法独立完成</w:t>
      </w:r>
      <w:r>
        <w:rPr>
          <w:b/>
          <w:spacing w:val="-6"/>
          <w:sz w:val="21"/>
        </w:rPr>
        <w:t>六项基本日常生活活动 </w:t>
      </w:r>
      <w:r>
        <w:rPr>
          <w:rFonts w:ascii="Times New Roman" w:eastAsia="Times New Roman"/>
          <w:b/>
          <w:i/>
          <w:position w:val="11"/>
          <w:sz w:val="16"/>
        </w:rPr>
        <w:t>7.16</w:t>
      </w:r>
      <w:r>
        <w:rPr>
          <w:rFonts w:ascii="Times New Roman" w:eastAsia="Times New Roman"/>
          <w:b/>
          <w:i/>
          <w:spacing w:val="-13"/>
          <w:position w:val="11"/>
          <w:sz w:val="16"/>
        </w:rPr>
        <w:t> </w:t>
      </w:r>
      <w:r>
        <w:rPr>
          <w:sz w:val="21"/>
        </w:rPr>
        <w:t>中的三项或三项以上。</w:t>
      </w:r>
    </w:p>
    <w:p>
      <w:pPr>
        <w:pStyle w:val="Heading2"/>
        <w:spacing w:before="66"/>
        <w:ind w:left="103"/>
        <w:jc w:val="both"/>
      </w:pPr>
      <w:r>
        <w:rPr>
          <w:w w:val="95"/>
        </w:rPr>
        <w:t>（13）严重Ⅲ度烧伤</w:t>
      </w:r>
    </w:p>
    <w:p>
      <w:pPr>
        <w:pStyle w:val="BodyText"/>
        <w:spacing w:line="297" w:lineRule="auto"/>
        <w:ind w:left="103" w:right="222"/>
      </w:pPr>
      <w:r>
        <w:rPr>
          <w:spacing w:val="-3"/>
        </w:rPr>
        <w:t>指烧伤程度为Ⅲ度，且Ⅲ度烧伤的面积达到全身体表面积的 </w:t>
      </w:r>
      <w:r>
        <w:rPr/>
        <w:t>20</w:t>
      </w:r>
      <w:r>
        <w:rPr>
          <w:spacing w:val="-19"/>
        </w:rPr>
        <w:t>％或 </w:t>
      </w:r>
      <w:r>
        <w:rPr/>
        <w:t>20％</w:t>
      </w:r>
      <w:r>
        <w:rPr>
          <w:spacing w:val="-2"/>
        </w:rPr>
        <w:t>以上。体表面积根据《中国新九分法》计算。</w:t>
      </w:r>
    </w:p>
    <w:p>
      <w:pPr>
        <w:pStyle w:val="Heading2"/>
        <w:ind w:left="103"/>
      </w:pPr>
      <w:r>
        <w:rPr>
          <w:w w:val="95"/>
        </w:rPr>
        <w:t>（14）语言能力丧失</w:t>
      </w:r>
    </w:p>
    <w:p>
      <w:pPr>
        <w:pStyle w:val="BodyText"/>
        <w:spacing w:line="297" w:lineRule="auto" w:before="64"/>
        <w:ind w:left="103" w:right="117"/>
      </w:pPr>
      <w:r>
        <w:rPr>
          <w:spacing w:val="-10"/>
        </w:rPr>
        <w:t>指因疾病或意外伤害导致完全丧失语言能力，经过积极治疗至少</w:t>
      </w:r>
      <w:r>
        <w:rPr>
          <w:spacing w:val="-2"/>
        </w:rPr>
        <w:t>1</w:t>
      </w:r>
      <w:r>
        <w:rPr/>
        <w:t>2</w:t>
      </w:r>
      <w:r>
        <w:rPr>
          <w:spacing w:val="-63"/>
        </w:rPr>
        <w:t> 个月</w:t>
      </w:r>
      <w:r>
        <w:rPr>
          <w:spacing w:val="-4"/>
        </w:rPr>
        <w:t>（</w:t>
      </w:r>
      <w:r>
        <w:rPr>
          <w:spacing w:val="-5"/>
        </w:rPr>
        <w:t>声带完全切除不受此时间限制</w:t>
      </w:r>
      <w:r>
        <w:rPr>
          <w:spacing w:val="-106"/>
        </w:rPr>
        <w:t>）</w:t>
      </w:r>
      <w:r>
        <w:rPr/>
        <w:t>，</w:t>
      </w:r>
      <w:r>
        <w:rPr>
          <w:spacing w:val="-5"/>
        </w:rPr>
        <w:t>仍无法通过现有医疗手段恢复。</w:t>
      </w:r>
    </w:p>
    <w:p>
      <w:pPr>
        <w:pStyle w:val="BodyText"/>
        <w:spacing w:before="15"/>
        <w:ind w:left="103"/>
        <w:jc w:val="both"/>
        <w:rPr>
          <w:rFonts w:ascii="黑体" w:eastAsia="黑体" w:hint="eastAsia"/>
        </w:rPr>
      </w:pPr>
      <w:r>
        <w:rPr>
          <w:rFonts w:ascii="黑体" w:eastAsia="黑体" w:hint="eastAsia"/>
          <w:u w:val="single"/>
        </w:rPr>
        <w:t>精神心理因素所致的语言能力丧失不在保障范围内。</w:t>
      </w:r>
    </w:p>
    <w:p>
      <w:pPr>
        <w:pStyle w:val="BodyText"/>
        <w:spacing w:before="64"/>
        <w:ind w:left="103"/>
        <w:jc w:val="both"/>
      </w:pPr>
      <w:r>
        <w:rPr>
          <w:rFonts w:ascii="黑体" w:eastAsia="黑体" w:hint="eastAsia"/>
          <w:u w:val="single"/>
        </w:rPr>
        <w:t>被保险人申请理赔时年龄必须在三周岁以上，</w:t>
      </w:r>
      <w:r>
        <w:rPr/>
        <w:t>并且提供理赔当时的语言能力丧失诊断及检查证据。</w:t>
      </w:r>
    </w:p>
    <w:p>
      <w:pPr>
        <w:pStyle w:val="Heading2"/>
        <w:spacing w:before="66"/>
        <w:ind w:left="103"/>
        <w:jc w:val="both"/>
      </w:pPr>
      <w:r>
        <w:rPr>
          <w:w w:val="95"/>
        </w:rPr>
        <w:t>（15）重型再生障碍性贫血</w:t>
      </w:r>
    </w:p>
    <w:p>
      <w:pPr>
        <w:pStyle w:val="BodyText"/>
        <w:spacing w:before="66"/>
        <w:ind w:left="103"/>
        <w:jc w:val="both"/>
      </w:pPr>
      <w:r>
        <w:rPr/>
        <w:t>指因骨髓造血功能慢性持续性衰竭导致的贫血、中性粒细胞减少及血小板减少。须满足下列全部条件：</w:t>
      </w:r>
    </w:p>
    <w:p>
      <w:pPr>
        <w:pStyle w:val="ListParagraph"/>
        <w:numPr>
          <w:ilvl w:val="0"/>
          <w:numId w:val="15"/>
        </w:numPr>
        <w:tabs>
          <w:tab w:pos="524" w:val="left" w:leader="none"/>
        </w:tabs>
        <w:spacing w:line="240" w:lineRule="auto" w:before="66" w:after="0"/>
        <w:ind w:left="523" w:right="0" w:hanging="420"/>
        <w:jc w:val="both"/>
        <w:rPr>
          <w:sz w:val="21"/>
        </w:rPr>
      </w:pPr>
      <w:r>
        <w:rPr>
          <w:sz w:val="21"/>
        </w:rPr>
        <w:t>骨髓穿刺检查或骨髓活检结果支持诊断；</w:t>
      </w:r>
    </w:p>
    <w:p>
      <w:pPr>
        <w:spacing w:after="0" w:line="240" w:lineRule="auto"/>
        <w:jc w:val="both"/>
        <w:rPr>
          <w:sz w:val="21"/>
        </w:rPr>
        <w:sectPr>
          <w:pgSz w:w="11910" w:h="16840"/>
          <w:pgMar w:header="0" w:footer="1008" w:top="1260" w:bottom="1200" w:left="1500" w:right="740"/>
        </w:sectPr>
      </w:pPr>
    </w:p>
    <w:p>
      <w:pPr>
        <w:pStyle w:val="ListParagraph"/>
        <w:numPr>
          <w:ilvl w:val="0"/>
          <w:numId w:val="15"/>
        </w:numPr>
        <w:tabs>
          <w:tab w:pos="1183" w:val="left" w:leader="none"/>
          <w:tab w:pos="1184" w:val="left" w:leader="none"/>
        </w:tabs>
        <w:spacing w:line="240" w:lineRule="auto" w:before="9" w:after="0"/>
        <w:ind w:left="1183" w:right="0" w:hanging="420"/>
        <w:jc w:val="left"/>
        <w:rPr>
          <w:sz w:val="21"/>
        </w:rPr>
      </w:pPr>
      <w:r>
        <w:rPr>
          <w:sz w:val="21"/>
        </w:rPr>
        <w:t>外周血象须具备以下三项条件：</w:t>
      </w:r>
    </w:p>
    <w:p>
      <w:pPr>
        <w:pStyle w:val="BodyText"/>
        <w:spacing w:before="64"/>
        <w:ind w:left="1077"/>
      </w:pPr>
      <w:r>
        <w:rPr/>
        <w:t>① 中性粒细胞绝对值≤0.5×10</w:t>
      </w:r>
      <w:r>
        <w:rPr>
          <w:position w:val="11"/>
          <w:sz w:val="11"/>
        </w:rPr>
        <w:t>9</w:t>
      </w:r>
      <w:r>
        <w:rPr/>
        <w:t>/L；</w:t>
      </w:r>
    </w:p>
    <w:p>
      <w:pPr>
        <w:pStyle w:val="BodyText"/>
        <w:ind w:left="1077"/>
      </w:pPr>
      <w:r>
        <w:rPr/>
        <w:t>② 网织红细胞＜1%；</w:t>
      </w:r>
    </w:p>
    <w:p>
      <w:pPr>
        <w:pStyle w:val="BodyText"/>
        <w:ind w:left="1077"/>
      </w:pPr>
      <w:r>
        <w:rPr/>
        <w:t>③ 血小板绝对值≤20×10</w:t>
      </w:r>
      <w:r>
        <w:rPr>
          <w:position w:val="11"/>
          <w:sz w:val="11"/>
        </w:rPr>
        <w:t>9</w:t>
      </w:r>
      <w:r>
        <w:rPr/>
        <w:t>/L。</w:t>
      </w:r>
    </w:p>
    <w:p>
      <w:pPr>
        <w:pStyle w:val="Heading2"/>
        <w:spacing w:before="64"/>
      </w:pPr>
      <w:r>
        <w:rPr>
          <w:w w:val="95"/>
        </w:rPr>
        <w:t>（16）严重幼年型类风湿关节炎</w:t>
      </w:r>
    </w:p>
    <w:p>
      <w:pPr>
        <w:pStyle w:val="BodyText"/>
        <w:spacing w:line="297" w:lineRule="auto" w:before="66"/>
        <w:ind w:left="763" w:right="104"/>
        <w:jc w:val="both"/>
      </w:pPr>
      <w:r>
        <w:rPr/>
        <w:t>一种幼年发病的慢性关节炎，特点为关节炎发生数月前出现高热和系统性疾病体征。主要临床表现包括：每日高热、迅速消散的皮疹、关节炎、脾肿大、淋巴结病、浆膜炎、体重减轻、嗜中性粒细胞增多、急性时蛋白升高和血清抗核抗体（ANA）及类风湿因子（RF）阴性。</w:t>
      </w:r>
    </w:p>
    <w:p>
      <w:pPr>
        <w:pStyle w:val="BodyText"/>
        <w:spacing w:before="14"/>
        <w:ind w:left="763"/>
      </w:pPr>
      <w:r>
        <w:rPr/>
        <w:t>本合同仅对实际接受了膝关节或髋关节置换手术治疗的严重的幼年型类风湿关节炎予以理赔。</w:t>
      </w:r>
    </w:p>
    <w:p>
      <w:pPr>
        <w:pStyle w:val="Heading2"/>
        <w:spacing w:before="65"/>
      </w:pPr>
      <w:r>
        <w:rPr>
          <w:w w:val="95"/>
        </w:rPr>
        <w:t>（17）脑炎后遗症或脑膜炎后遗症</w:t>
      </w:r>
    </w:p>
    <w:p>
      <w:pPr>
        <w:pStyle w:val="BodyText"/>
        <w:spacing w:line="297" w:lineRule="auto"/>
        <w:ind w:left="763" w:right="103"/>
      </w:pPr>
      <w:r>
        <w:rPr>
          <w:spacing w:val="-5"/>
        </w:rPr>
        <w:t>指因患脑炎或脑膜炎导致的神经系统永久性的功能障碍。神经系统永久性的功能障碍，指疾病确诊 </w:t>
      </w:r>
      <w:r>
        <w:rPr/>
        <w:t>180 天后，仍遗留下列一种或一种以上障碍：</w:t>
      </w:r>
    </w:p>
    <w:p>
      <w:pPr>
        <w:pStyle w:val="ListParagraph"/>
        <w:numPr>
          <w:ilvl w:val="0"/>
          <w:numId w:val="16"/>
        </w:numPr>
        <w:tabs>
          <w:tab w:pos="1183" w:val="left" w:leader="none"/>
          <w:tab w:pos="1184" w:val="left" w:leader="none"/>
        </w:tabs>
        <w:spacing w:line="240" w:lineRule="auto" w:before="15" w:after="0"/>
        <w:ind w:left="1183" w:right="0" w:hanging="420"/>
        <w:jc w:val="left"/>
        <w:rPr>
          <w:sz w:val="21"/>
        </w:rPr>
      </w:pPr>
      <w:r>
        <w:rPr>
          <w:sz w:val="21"/>
        </w:rPr>
        <w:t>一肢或一肢以上肢体机能完全丧失；</w:t>
      </w:r>
    </w:p>
    <w:p>
      <w:pPr>
        <w:pStyle w:val="ListParagraph"/>
        <w:numPr>
          <w:ilvl w:val="0"/>
          <w:numId w:val="16"/>
        </w:numPr>
        <w:tabs>
          <w:tab w:pos="1183" w:val="left" w:leader="none"/>
          <w:tab w:pos="1184" w:val="left" w:leader="none"/>
        </w:tabs>
        <w:spacing w:line="240" w:lineRule="auto" w:before="66" w:after="0"/>
        <w:ind w:left="1183" w:right="0" w:hanging="420"/>
        <w:jc w:val="left"/>
        <w:rPr>
          <w:sz w:val="21"/>
        </w:rPr>
      </w:pPr>
      <w:r>
        <w:rPr>
          <w:sz w:val="21"/>
        </w:rPr>
        <w:t>语言能力或咀嚼吞咽能力完全丧失；</w:t>
      </w:r>
    </w:p>
    <w:p>
      <w:pPr>
        <w:pStyle w:val="ListParagraph"/>
        <w:numPr>
          <w:ilvl w:val="0"/>
          <w:numId w:val="16"/>
        </w:numPr>
        <w:tabs>
          <w:tab w:pos="1183" w:val="left" w:leader="none"/>
          <w:tab w:pos="1184" w:val="left" w:leader="none"/>
        </w:tabs>
        <w:spacing w:line="240" w:lineRule="auto" w:before="65" w:after="0"/>
        <w:ind w:left="1183" w:right="0" w:hanging="420"/>
        <w:jc w:val="left"/>
        <w:rPr>
          <w:sz w:val="21"/>
        </w:rPr>
      </w:pPr>
      <w:r>
        <w:rPr>
          <w:sz w:val="21"/>
        </w:rPr>
        <w:t>自主生活能力完全丧失，无法独立完成六项基本日常生活活动中的三项或三项以上。</w:t>
      </w:r>
    </w:p>
    <w:p>
      <w:pPr>
        <w:pStyle w:val="Heading2"/>
        <w:spacing w:before="66"/>
      </w:pPr>
      <w:r>
        <w:rPr>
          <w:w w:val="95"/>
        </w:rPr>
        <w:t>（18）严重脊髓灰质炎</w:t>
      </w:r>
    </w:p>
    <w:p>
      <w:pPr>
        <w:pStyle w:val="BodyText"/>
        <w:spacing w:line="297" w:lineRule="auto" w:before="66"/>
        <w:ind w:left="763" w:right="103"/>
        <w:rPr>
          <w:rFonts w:ascii="黑体" w:hAnsi="黑体" w:eastAsia="黑体" w:hint="eastAsia"/>
        </w:rPr>
      </w:pPr>
      <w:r>
        <w:rPr/>
        <w:t>指由于急性脊髓灰质炎病毒感染所导致的运动功能障碍的瘫痪性疾病。本病须经专科医生出具医学诊</w:t>
      </w:r>
      <w:r>
        <w:rPr>
          <w:spacing w:val="-2"/>
        </w:rPr>
        <w:t>断证明，并提供相关的脊髓灰质炎病毒感染的证据</w:t>
      </w:r>
      <w:r>
        <w:rPr/>
        <w:t>（</w:t>
      </w:r>
      <w:r>
        <w:rPr>
          <w:spacing w:val="-1"/>
        </w:rPr>
        <w:t>例如：脑脊液检查或血清学抗体检查报告</w:t>
      </w:r>
      <w:r>
        <w:rPr>
          <w:spacing w:val="-105"/>
        </w:rPr>
        <w:t>）</w:t>
      </w:r>
      <w:r>
        <w:rPr>
          <w:spacing w:val="-2"/>
        </w:rPr>
        <w:t>，且脊髓灰质炎造成的神经系统功能损害导致被保险人一肢或一肢以上肢体机能永久完全丧失。肢体机能永</w:t>
      </w:r>
      <w:r>
        <w:rPr>
          <w:spacing w:val="-7"/>
        </w:rPr>
        <w:t>久完全丧失，指疾病确诊 </w:t>
      </w:r>
      <w:r>
        <w:rPr/>
        <w:t>180</w:t>
      </w:r>
      <w:r>
        <w:rPr>
          <w:spacing w:val="-8"/>
        </w:rPr>
        <w:t> 天后，每肢三大关节中的两大关节仍然完全僵硬，或不能随意识活动。</w:t>
      </w:r>
      <w:r>
        <w:rPr>
          <w:rFonts w:ascii="黑体" w:hAnsi="黑体" w:eastAsia="黑体" w:hint="eastAsia"/>
          <w:spacing w:val="-8"/>
          <w:u w:val="single"/>
        </w:rPr>
        <w:t>格林—巴利综合征（急性感染性多发性神经炎）不在保障范围内。</w:t>
      </w:r>
    </w:p>
    <w:p>
      <w:pPr>
        <w:pStyle w:val="Heading2"/>
      </w:pPr>
      <w:r>
        <w:rPr>
          <w:w w:val="95"/>
        </w:rPr>
        <w:t>（19）重症肌无力</w:t>
      </w:r>
    </w:p>
    <w:p>
      <w:pPr>
        <w:pStyle w:val="BodyText"/>
        <w:spacing w:line="297" w:lineRule="auto"/>
        <w:ind w:left="763" w:right="104"/>
        <w:jc w:val="both"/>
      </w:pPr>
      <w:r>
        <w:rPr/>
        <w:t>指一种神经与肌肉接头部位传递障碍的自身免疫性疾病，临床特征是局部或全身横纹肌于活动时易于疲劳无力，颅神经眼外肌最易累及，也可涉及呼吸肌、下肢近端肌群乃至全身肌肉。本病须经专科医生出具医学诊断证明，并且同时满足下列条件：</w:t>
      </w:r>
    </w:p>
    <w:p>
      <w:pPr>
        <w:pStyle w:val="ListParagraph"/>
        <w:numPr>
          <w:ilvl w:val="0"/>
          <w:numId w:val="17"/>
        </w:numPr>
        <w:tabs>
          <w:tab w:pos="1183" w:val="left" w:leader="none"/>
          <w:tab w:pos="1184" w:val="left" w:leader="none"/>
        </w:tabs>
        <w:spacing w:line="297" w:lineRule="auto" w:before="15" w:after="0"/>
        <w:ind w:left="1183" w:right="102" w:hanging="420"/>
        <w:jc w:val="left"/>
        <w:rPr>
          <w:sz w:val="21"/>
        </w:rPr>
      </w:pPr>
      <w:r>
        <w:rPr>
          <w:sz w:val="21"/>
        </w:rPr>
        <w:t>出现眼睑下垂，或构音困难、进食呛咳，或由于肌无力累及呼吸肌而致机体呼吸功能不正常的危急状态即肌无力危象；</w:t>
      </w:r>
    </w:p>
    <w:p>
      <w:pPr>
        <w:pStyle w:val="ListParagraph"/>
        <w:numPr>
          <w:ilvl w:val="0"/>
          <w:numId w:val="17"/>
        </w:numPr>
        <w:tabs>
          <w:tab w:pos="1183" w:val="left" w:leader="none"/>
          <w:tab w:pos="1184" w:val="left" w:leader="none"/>
        </w:tabs>
        <w:spacing w:line="240" w:lineRule="auto" w:before="14" w:after="0"/>
        <w:ind w:left="1183" w:right="0" w:hanging="420"/>
        <w:jc w:val="left"/>
        <w:rPr>
          <w:sz w:val="21"/>
        </w:rPr>
      </w:pPr>
      <w:r>
        <w:rPr>
          <w:spacing w:val="-5"/>
          <w:sz w:val="21"/>
        </w:rPr>
        <w:t>经胸腺切除或药物治疗 </w:t>
      </w:r>
      <w:r>
        <w:rPr>
          <w:sz w:val="21"/>
        </w:rPr>
        <w:t>180</w:t>
      </w:r>
      <w:r>
        <w:rPr>
          <w:spacing w:val="-8"/>
          <w:sz w:val="21"/>
        </w:rPr>
        <w:t> 天以上仍无法控制病情。</w:t>
      </w:r>
    </w:p>
    <w:p>
      <w:pPr>
        <w:pStyle w:val="BodyText"/>
        <w:spacing w:before="66"/>
        <w:ind w:left="763"/>
        <w:rPr>
          <w:rFonts w:ascii="黑体" w:eastAsia="黑体" w:hint="eastAsia"/>
        </w:rPr>
      </w:pPr>
      <w:r>
        <w:rPr>
          <w:rFonts w:ascii="黑体" w:eastAsia="黑体" w:hint="eastAsia"/>
          <w:u w:val="single"/>
        </w:rPr>
        <w:t>单纯眼肌型重症肌无力不在保障范围内。</w:t>
      </w:r>
    </w:p>
    <w:p>
      <w:pPr>
        <w:pStyle w:val="Heading2"/>
        <w:spacing w:before="66"/>
      </w:pPr>
      <w:r>
        <w:rPr>
          <w:w w:val="95"/>
        </w:rPr>
        <w:t>（20）因输血感染艾滋病病毒</w:t>
      </w:r>
    </w:p>
    <w:p>
      <w:pPr>
        <w:pStyle w:val="BodyText"/>
        <w:spacing w:before="64"/>
        <w:ind w:left="763"/>
      </w:pPr>
      <w:r>
        <w:rPr/>
        <w:t>被保险人感染艾滋病病毒（HIV</w:t>
      </w:r>
      <w:r>
        <w:rPr>
          <w:spacing w:val="-105"/>
        </w:rPr>
        <w:t>）</w:t>
      </w:r>
      <w:r>
        <w:rPr>
          <w:spacing w:val="-1"/>
        </w:rPr>
        <w:t>，且须满足下列全部条件：</w:t>
      </w:r>
    </w:p>
    <w:p>
      <w:pPr>
        <w:pStyle w:val="ListParagraph"/>
        <w:numPr>
          <w:ilvl w:val="0"/>
          <w:numId w:val="18"/>
        </w:numPr>
        <w:tabs>
          <w:tab w:pos="1183" w:val="left" w:leader="none"/>
          <w:tab w:pos="1184" w:val="left" w:leader="none"/>
        </w:tabs>
        <w:spacing w:line="240" w:lineRule="auto" w:before="65" w:after="0"/>
        <w:ind w:left="1183" w:right="0" w:hanging="420"/>
        <w:jc w:val="left"/>
        <w:rPr>
          <w:sz w:val="21"/>
        </w:rPr>
      </w:pPr>
      <w:r>
        <w:rPr>
          <w:sz w:val="21"/>
        </w:rPr>
        <w:t>因输血而感染；</w:t>
      </w:r>
    </w:p>
    <w:p>
      <w:pPr>
        <w:pStyle w:val="ListParagraph"/>
        <w:numPr>
          <w:ilvl w:val="0"/>
          <w:numId w:val="18"/>
        </w:numPr>
        <w:tabs>
          <w:tab w:pos="1183" w:val="left" w:leader="none"/>
          <w:tab w:pos="1184" w:val="left" w:leader="none"/>
        </w:tabs>
        <w:spacing w:line="297" w:lineRule="auto" w:before="65" w:after="0"/>
        <w:ind w:left="1183" w:right="199" w:hanging="420"/>
        <w:jc w:val="left"/>
        <w:rPr>
          <w:sz w:val="21"/>
        </w:rPr>
      </w:pPr>
      <w:r>
        <w:rPr>
          <w:sz w:val="21"/>
        </w:rPr>
        <w:t>提供输血治疗的输血中心或医院出具该项输血感染属医疗责任事故的报告，或者法院终审判决或裁定为医疗责任；</w:t>
      </w:r>
    </w:p>
    <w:p>
      <w:pPr>
        <w:pStyle w:val="ListParagraph"/>
        <w:numPr>
          <w:ilvl w:val="0"/>
          <w:numId w:val="18"/>
        </w:numPr>
        <w:tabs>
          <w:tab w:pos="1183" w:val="left" w:leader="none"/>
          <w:tab w:pos="1184" w:val="left" w:leader="none"/>
        </w:tabs>
        <w:spacing w:line="240" w:lineRule="auto" w:before="15" w:after="0"/>
        <w:ind w:left="1183" w:right="0" w:hanging="420"/>
        <w:jc w:val="left"/>
        <w:rPr>
          <w:sz w:val="21"/>
        </w:rPr>
      </w:pPr>
      <w:r>
        <w:rPr>
          <w:sz w:val="21"/>
        </w:rPr>
        <w:t>受感染的被保险人不是血友病患者。</w:t>
      </w:r>
    </w:p>
    <w:p>
      <w:pPr>
        <w:pStyle w:val="BodyText"/>
        <w:spacing w:line="297" w:lineRule="auto" w:before="66"/>
        <w:ind w:left="763" w:right="409"/>
      </w:pPr>
      <w:r>
        <w:rPr/>
        <w:t>本公司具有获得和使用被保险人的所有血液样本的权利以及能够对这些样本进行独立检验的权利。本条款责任免除中“感染艾滋病病毒”的规定，不适用于本条。</w:t>
      </w:r>
    </w:p>
    <w:p>
      <w:pPr>
        <w:pStyle w:val="ListParagraph"/>
        <w:numPr>
          <w:ilvl w:val="1"/>
          <w:numId w:val="10"/>
        </w:numPr>
        <w:tabs>
          <w:tab w:pos="763" w:val="left" w:leader="none"/>
          <w:tab w:pos="764" w:val="left" w:leader="none"/>
        </w:tabs>
        <w:spacing w:line="297" w:lineRule="auto" w:before="14" w:after="0"/>
        <w:ind w:left="763" w:right="100" w:hanging="646"/>
        <w:jc w:val="left"/>
        <w:rPr>
          <w:sz w:val="21"/>
        </w:rPr>
      </w:pPr>
      <w:r>
        <w:rPr>
          <w:b/>
          <w:spacing w:val="0"/>
          <w:w w:val="99"/>
          <w:sz w:val="21"/>
        </w:rPr>
        <w:t>永久不可逆</w:t>
      </w:r>
      <w:r>
        <w:rPr>
          <w:b/>
          <w:spacing w:val="3"/>
          <w:sz w:val="21"/>
        </w:rPr>
        <w:t> </w:t>
      </w:r>
      <w:r>
        <w:rPr>
          <w:spacing w:val="-7"/>
          <w:sz w:val="21"/>
        </w:rPr>
        <w:t>少儿重大疾病定义中的“永久不可逆”，指自疾病确诊或意外伤害发生之日起，经过积极</w:t>
      </w:r>
      <w:r>
        <w:rPr>
          <w:spacing w:val="-23"/>
          <w:sz w:val="21"/>
        </w:rPr>
        <w:t>治疗 </w:t>
      </w:r>
      <w:r>
        <w:rPr>
          <w:sz w:val="21"/>
        </w:rPr>
        <w:t>180</w:t>
      </w:r>
      <w:r>
        <w:rPr>
          <w:spacing w:val="-8"/>
          <w:sz w:val="21"/>
        </w:rPr>
        <w:t> 天后仍无法通过现有医疗手段恢复。</w:t>
      </w:r>
    </w:p>
    <w:p>
      <w:pPr>
        <w:pStyle w:val="Heading2"/>
        <w:numPr>
          <w:ilvl w:val="1"/>
          <w:numId w:val="10"/>
        </w:numPr>
        <w:tabs>
          <w:tab w:pos="763" w:val="left" w:leader="none"/>
          <w:tab w:pos="764" w:val="left" w:leader="none"/>
        </w:tabs>
        <w:spacing w:line="240" w:lineRule="auto" w:before="15" w:after="0"/>
        <w:ind w:left="763" w:right="0" w:hanging="646"/>
        <w:jc w:val="left"/>
      </w:pPr>
      <w:r>
        <w:rPr>
          <w:w w:val="95"/>
        </w:rPr>
        <w:t>六项基本日常生活活动</w:t>
      </w:r>
    </w:p>
    <w:p>
      <w:pPr>
        <w:pStyle w:val="BodyText"/>
        <w:spacing w:before="64"/>
        <w:ind w:left="763"/>
      </w:pPr>
      <w:r>
        <w:rPr/>
        <w:t>少儿重大疾病定义中所指的“六项基本日常生活活动”是指：</w:t>
      </w:r>
    </w:p>
    <w:p>
      <w:pPr>
        <w:pStyle w:val="ListParagraph"/>
        <w:numPr>
          <w:ilvl w:val="2"/>
          <w:numId w:val="10"/>
        </w:numPr>
        <w:tabs>
          <w:tab w:pos="1183" w:val="left" w:leader="none"/>
          <w:tab w:pos="1184" w:val="left" w:leader="none"/>
        </w:tabs>
        <w:spacing w:line="240" w:lineRule="auto" w:before="65" w:after="0"/>
        <w:ind w:left="1183" w:right="0" w:hanging="420"/>
        <w:jc w:val="left"/>
        <w:rPr>
          <w:sz w:val="21"/>
        </w:rPr>
      </w:pPr>
      <w:r>
        <w:rPr>
          <w:sz w:val="21"/>
        </w:rPr>
        <w:t>穿衣：自己能够穿衣及脱衣；</w:t>
      </w:r>
    </w:p>
    <w:p>
      <w:pPr>
        <w:spacing w:after="0" w:line="240" w:lineRule="auto"/>
        <w:jc w:val="left"/>
        <w:rPr>
          <w:sz w:val="21"/>
        </w:rPr>
        <w:sectPr>
          <w:pgSz w:w="11910" w:h="16840"/>
          <w:pgMar w:header="0" w:footer="1008" w:top="1260" w:bottom="1200" w:left="840" w:right="860"/>
        </w:sectPr>
      </w:pPr>
    </w:p>
    <w:p>
      <w:pPr>
        <w:pStyle w:val="ListParagraph"/>
        <w:numPr>
          <w:ilvl w:val="2"/>
          <w:numId w:val="10"/>
        </w:numPr>
        <w:tabs>
          <w:tab w:pos="523" w:val="left" w:leader="none"/>
          <w:tab w:pos="524" w:val="left" w:leader="none"/>
        </w:tabs>
        <w:spacing w:line="240" w:lineRule="auto" w:before="9" w:after="0"/>
        <w:ind w:left="523" w:right="0" w:hanging="420"/>
        <w:jc w:val="left"/>
        <w:rPr>
          <w:sz w:val="21"/>
        </w:rPr>
      </w:pPr>
      <w:r>
        <w:rPr>
          <w:sz w:val="21"/>
        </w:rPr>
        <w:t>移动：自己从一个房间到另一个房间；</w:t>
      </w:r>
    </w:p>
    <w:p>
      <w:pPr>
        <w:pStyle w:val="ListParagraph"/>
        <w:numPr>
          <w:ilvl w:val="2"/>
          <w:numId w:val="10"/>
        </w:numPr>
        <w:tabs>
          <w:tab w:pos="523" w:val="left" w:leader="none"/>
          <w:tab w:pos="524" w:val="left" w:leader="none"/>
        </w:tabs>
        <w:spacing w:line="240" w:lineRule="auto" w:before="64" w:after="0"/>
        <w:ind w:left="523" w:right="0" w:hanging="420"/>
        <w:jc w:val="left"/>
        <w:rPr>
          <w:sz w:val="21"/>
        </w:rPr>
      </w:pPr>
      <w:r>
        <w:rPr>
          <w:sz w:val="21"/>
        </w:rPr>
        <w:t>行动：自己上下床或上下轮椅；</w:t>
      </w:r>
    </w:p>
    <w:p>
      <w:pPr>
        <w:pStyle w:val="ListParagraph"/>
        <w:numPr>
          <w:ilvl w:val="2"/>
          <w:numId w:val="10"/>
        </w:numPr>
        <w:tabs>
          <w:tab w:pos="523" w:val="left" w:leader="none"/>
          <w:tab w:pos="524" w:val="left" w:leader="none"/>
        </w:tabs>
        <w:spacing w:line="240" w:lineRule="auto" w:before="65" w:after="0"/>
        <w:ind w:left="523" w:right="0" w:hanging="420"/>
        <w:jc w:val="left"/>
        <w:rPr>
          <w:sz w:val="21"/>
        </w:rPr>
      </w:pPr>
      <w:r>
        <w:rPr>
          <w:sz w:val="21"/>
        </w:rPr>
        <w:t>如厕：自己控制进行大小便；</w:t>
      </w:r>
    </w:p>
    <w:p>
      <w:pPr>
        <w:pStyle w:val="ListParagraph"/>
        <w:numPr>
          <w:ilvl w:val="2"/>
          <w:numId w:val="10"/>
        </w:numPr>
        <w:tabs>
          <w:tab w:pos="523" w:val="left" w:leader="none"/>
          <w:tab w:pos="524" w:val="left" w:leader="none"/>
        </w:tabs>
        <w:spacing w:line="240" w:lineRule="auto" w:before="65" w:after="0"/>
        <w:ind w:left="523" w:right="0" w:hanging="420"/>
        <w:jc w:val="left"/>
        <w:rPr>
          <w:sz w:val="21"/>
        </w:rPr>
      </w:pPr>
      <w:r>
        <w:rPr>
          <w:sz w:val="21"/>
        </w:rPr>
        <w:t>进食：自己从已准备好的碗或碟中取食物放入口中；</w:t>
      </w:r>
    </w:p>
    <w:p>
      <w:pPr>
        <w:pStyle w:val="ListParagraph"/>
        <w:numPr>
          <w:ilvl w:val="2"/>
          <w:numId w:val="10"/>
        </w:numPr>
        <w:tabs>
          <w:tab w:pos="523" w:val="left" w:leader="none"/>
          <w:tab w:pos="524" w:val="left" w:leader="none"/>
        </w:tabs>
        <w:spacing w:line="240" w:lineRule="auto" w:before="64" w:after="0"/>
        <w:ind w:left="523" w:right="0" w:hanging="420"/>
        <w:jc w:val="left"/>
        <w:rPr>
          <w:sz w:val="21"/>
        </w:rPr>
      </w:pPr>
      <w:r>
        <w:rPr>
          <w:sz w:val="21"/>
        </w:rPr>
        <w:t>洗澡：自己进行淋浴或盆浴。</w:t>
      </w:r>
    </w:p>
    <w:sectPr>
      <w:pgSz w:w="11910" w:h="16840"/>
      <w:pgMar w:header="0" w:footer="1008" w:top="1260" w:bottom="1200" w:left="15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62.880005pt;margin-top:780.579651pt;width:69.5pt;height:12pt;mso-position-horizontal-relative:page;mso-position-vertical-relative:page;z-index:-1184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w:t>
                </w:r>
                <w:r>
                  <w:rPr/>
                  <w:fldChar w:fldCharType="end"/>
                </w:r>
                <w:r>
                  <w:rPr>
                    <w:rFonts w:ascii="Times New Roman" w:eastAsia="Times New Roman"/>
                    <w:sz w:val="18"/>
                  </w:rPr>
                  <w:t>  </w:t>
                </w:r>
                <w:r>
                  <w:rPr>
                    <w:sz w:val="18"/>
                  </w:rPr>
                  <w:t>页 共 </w:t>
                </w:r>
                <w:r>
                  <w:rPr>
                    <w:rFonts w:ascii="Times New Roman" w:eastAsia="Times New Roman"/>
                    <w:sz w:val="18"/>
                  </w:rPr>
                  <w:t>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183" w:hanging="420"/>
        <w:jc w:val="left"/>
      </w:pPr>
      <w:rPr>
        <w:rFonts w:hint="default" w:ascii="宋体" w:hAnsi="宋体" w:eastAsia="宋体" w:cs="宋体"/>
        <w:w w:val="100"/>
        <w:sz w:val="21"/>
        <w:szCs w:val="21"/>
      </w:rPr>
    </w:lvl>
    <w:lvl w:ilvl="1">
      <w:start w:val="0"/>
      <w:numFmt w:val="bullet"/>
      <w:lvlText w:val="•"/>
      <w:lvlJc w:val="left"/>
      <w:pPr>
        <w:ind w:left="208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3887" w:hanging="420"/>
      </w:pPr>
      <w:rPr>
        <w:rFonts w:hint="default"/>
      </w:rPr>
    </w:lvl>
    <w:lvl w:ilvl="4">
      <w:start w:val="0"/>
      <w:numFmt w:val="bullet"/>
      <w:lvlText w:val="•"/>
      <w:lvlJc w:val="left"/>
      <w:pPr>
        <w:ind w:left="4789" w:hanging="420"/>
      </w:pPr>
      <w:rPr>
        <w:rFonts w:hint="default"/>
      </w:rPr>
    </w:lvl>
    <w:lvl w:ilvl="5">
      <w:start w:val="0"/>
      <w:numFmt w:val="bullet"/>
      <w:lvlText w:val="•"/>
      <w:lvlJc w:val="left"/>
      <w:pPr>
        <w:ind w:left="5692" w:hanging="420"/>
      </w:pPr>
      <w:rPr>
        <w:rFonts w:hint="default"/>
      </w:rPr>
    </w:lvl>
    <w:lvl w:ilvl="6">
      <w:start w:val="0"/>
      <w:numFmt w:val="bullet"/>
      <w:lvlText w:val="•"/>
      <w:lvlJc w:val="left"/>
      <w:pPr>
        <w:ind w:left="6594" w:hanging="420"/>
      </w:pPr>
      <w:rPr>
        <w:rFonts w:hint="default"/>
      </w:rPr>
    </w:lvl>
    <w:lvl w:ilvl="7">
      <w:start w:val="0"/>
      <w:numFmt w:val="bullet"/>
      <w:lvlText w:val="•"/>
      <w:lvlJc w:val="left"/>
      <w:pPr>
        <w:ind w:left="7497" w:hanging="420"/>
      </w:pPr>
      <w:rPr>
        <w:rFonts w:hint="default"/>
      </w:rPr>
    </w:lvl>
    <w:lvl w:ilvl="8">
      <w:start w:val="0"/>
      <w:numFmt w:val="bullet"/>
      <w:lvlText w:val="•"/>
      <w:lvlJc w:val="left"/>
      <w:pPr>
        <w:ind w:left="8399" w:hanging="420"/>
      </w:pPr>
      <w:rPr>
        <w:rFonts w:hint="default"/>
      </w:rPr>
    </w:lvl>
  </w:abstractNum>
  <w:abstractNum w:abstractNumId="16">
    <w:multiLevelType w:val="hybridMultilevel"/>
    <w:lvl w:ilvl="0">
      <w:start w:val="1"/>
      <w:numFmt w:val="decimal"/>
      <w:lvlText w:val="%1)"/>
      <w:lvlJc w:val="left"/>
      <w:pPr>
        <w:ind w:left="1183" w:hanging="420"/>
        <w:jc w:val="left"/>
      </w:pPr>
      <w:rPr>
        <w:rFonts w:hint="default" w:ascii="宋体" w:hAnsi="宋体" w:eastAsia="宋体" w:cs="宋体"/>
        <w:w w:val="100"/>
        <w:sz w:val="21"/>
        <w:szCs w:val="21"/>
      </w:rPr>
    </w:lvl>
    <w:lvl w:ilvl="1">
      <w:start w:val="0"/>
      <w:numFmt w:val="bullet"/>
      <w:lvlText w:val="•"/>
      <w:lvlJc w:val="left"/>
      <w:pPr>
        <w:ind w:left="208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3887" w:hanging="420"/>
      </w:pPr>
      <w:rPr>
        <w:rFonts w:hint="default"/>
      </w:rPr>
    </w:lvl>
    <w:lvl w:ilvl="4">
      <w:start w:val="0"/>
      <w:numFmt w:val="bullet"/>
      <w:lvlText w:val="•"/>
      <w:lvlJc w:val="left"/>
      <w:pPr>
        <w:ind w:left="4789" w:hanging="420"/>
      </w:pPr>
      <w:rPr>
        <w:rFonts w:hint="default"/>
      </w:rPr>
    </w:lvl>
    <w:lvl w:ilvl="5">
      <w:start w:val="0"/>
      <w:numFmt w:val="bullet"/>
      <w:lvlText w:val="•"/>
      <w:lvlJc w:val="left"/>
      <w:pPr>
        <w:ind w:left="5692" w:hanging="420"/>
      </w:pPr>
      <w:rPr>
        <w:rFonts w:hint="default"/>
      </w:rPr>
    </w:lvl>
    <w:lvl w:ilvl="6">
      <w:start w:val="0"/>
      <w:numFmt w:val="bullet"/>
      <w:lvlText w:val="•"/>
      <w:lvlJc w:val="left"/>
      <w:pPr>
        <w:ind w:left="6594" w:hanging="420"/>
      </w:pPr>
      <w:rPr>
        <w:rFonts w:hint="default"/>
      </w:rPr>
    </w:lvl>
    <w:lvl w:ilvl="7">
      <w:start w:val="0"/>
      <w:numFmt w:val="bullet"/>
      <w:lvlText w:val="•"/>
      <w:lvlJc w:val="left"/>
      <w:pPr>
        <w:ind w:left="7497" w:hanging="420"/>
      </w:pPr>
      <w:rPr>
        <w:rFonts w:hint="default"/>
      </w:rPr>
    </w:lvl>
    <w:lvl w:ilvl="8">
      <w:start w:val="0"/>
      <w:numFmt w:val="bullet"/>
      <w:lvlText w:val="•"/>
      <w:lvlJc w:val="left"/>
      <w:pPr>
        <w:ind w:left="8399" w:hanging="420"/>
      </w:pPr>
      <w:rPr>
        <w:rFonts w:hint="default"/>
      </w:rPr>
    </w:lvl>
  </w:abstractNum>
  <w:abstractNum w:abstractNumId="15">
    <w:multiLevelType w:val="hybridMultilevel"/>
    <w:lvl w:ilvl="0">
      <w:start w:val="1"/>
      <w:numFmt w:val="decimal"/>
      <w:lvlText w:val="%1)"/>
      <w:lvlJc w:val="left"/>
      <w:pPr>
        <w:ind w:left="1183" w:hanging="420"/>
        <w:jc w:val="left"/>
      </w:pPr>
      <w:rPr>
        <w:rFonts w:hint="default" w:ascii="宋体" w:hAnsi="宋体" w:eastAsia="宋体" w:cs="宋体"/>
        <w:w w:val="100"/>
        <w:sz w:val="21"/>
        <w:szCs w:val="21"/>
      </w:rPr>
    </w:lvl>
    <w:lvl w:ilvl="1">
      <w:start w:val="0"/>
      <w:numFmt w:val="bullet"/>
      <w:lvlText w:val="•"/>
      <w:lvlJc w:val="left"/>
      <w:pPr>
        <w:ind w:left="2082" w:hanging="420"/>
      </w:pPr>
      <w:rPr>
        <w:rFonts w:hint="default"/>
      </w:rPr>
    </w:lvl>
    <w:lvl w:ilvl="2">
      <w:start w:val="0"/>
      <w:numFmt w:val="bullet"/>
      <w:lvlText w:val="•"/>
      <w:lvlJc w:val="left"/>
      <w:pPr>
        <w:ind w:left="2984" w:hanging="420"/>
      </w:pPr>
      <w:rPr>
        <w:rFonts w:hint="default"/>
      </w:rPr>
    </w:lvl>
    <w:lvl w:ilvl="3">
      <w:start w:val="0"/>
      <w:numFmt w:val="bullet"/>
      <w:lvlText w:val="•"/>
      <w:lvlJc w:val="left"/>
      <w:pPr>
        <w:ind w:left="3887" w:hanging="420"/>
      </w:pPr>
      <w:rPr>
        <w:rFonts w:hint="default"/>
      </w:rPr>
    </w:lvl>
    <w:lvl w:ilvl="4">
      <w:start w:val="0"/>
      <w:numFmt w:val="bullet"/>
      <w:lvlText w:val="•"/>
      <w:lvlJc w:val="left"/>
      <w:pPr>
        <w:ind w:left="4789" w:hanging="420"/>
      </w:pPr>
      <w:rPr>
        <w:rFonts w:hint="default"/>
      </w:rPr>
    </w:lvl>
    <w:lvl w:ilvl="5">
      <w:start w:val="0"/>
      <w:numFmt w:val="bullet"/>
      <w:lvlText w:val="•"/>
      <w:lvlJc w:val="left"/>
      <w:pPr>
        <w:ind w:left="5692" w:hanging="420"/>
      </w:pPr>
      <w:rPr>
        <w:rFonts w:hint="default"/>
      </w:rPr>
    </w:lvl>
    <w:lvl w:ilvl="6">
      <w:start w:val="0"/>
      <w:numFmt w:val="bullet"/>
      <w:lvlText w:val="•"/>
      <w:lvlJc w:val="left"/>
      <w:pPr>
        <w:ind w:left="6594" w:hanging="420"/>
      </w:pPr>
      <w:rPr>
        <w:rFonts w:hint="default"/>
      </w:rPr>
    </w:lvl>
    <w:lvl w:ilvl="7">
      <w:start w:val="0"/>
      <w:numFmt w:val="bullet"/>
      <w:lvlText w:val="•"/>
      <w:lvlJc w:val="left"/>
      <w:pPr>
        <w:ind w:left="7497" w:hanging="420"/>
      </w:pPr>
      <w:rPr>
        <w:rFonts w:hint="default"/>
      </w:rPr>
    </w:lvl>
    <w:lvl w:ilvl="8">
      <w:start w:val="0"/>
      <w:numFmt w:val="bullet"/>
      <w:lvlText w:val="•"/>
      <w:lvlJc w:val="left"/>
      <w:pPr>
        <w:ind w:left="8399" w:hanging="420"/>
      </w:pPr>
      <w:rPr>
        <w:rFonts w:hint="default"/>
      </w:rPr>
    </w:lvl>
  </w:abstractNum>
  <w:abstractNum w:abstractNumId="14">
    <w:multiLevelType w:val="hybridMultilevel"/>
    <w:lvl w:ilvl="0">
      <w:start w:val="1"/>
      <w:numFmt w:val="decimal"/>
      <w:lvlText w:val="%1)"/>
      <w:lvlJc w:val="left"/>
      <w:pPr>
        <w:ind w:left="523" w:hanging="420"/>
        <w:jc w:val="right"/>
      </w:pPr>
      <w:rPr>
        <w:rFonts w:hint="default" w:ascii="宋体" w:hAnsi="宋体" w:eastAsia="宋体" w:cs="宋体"/>
        <w:spacing w:val="-1"/>
        <w:w w:val="100"/>
        <w:sz w:val="21"/>
        <w:szCs w:val="21"/>
      </w:rPr>
    </w:lvl>
    <w:lvl w:ilvl="1">
      <w:start w:val="0"/>
      <w:numFmt w:val="bullet"/>
      <w:lvlText w:val="•"/>
      <w:lvlJc w:val="left"/>
      <w:pPr>
        <w:ind w:left="143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263" w:hanging="420"/>
      </w:pPr>
      <w:rPr>
        <w:rFonts w:hint="default"/>
      </w:rPr>
    </w:lvl>
    <w:lvl w:ilvl="4">
      <w:start w:val="0"/>
      <w:numFmt w:val="bullet"/>
      <w:lvlText w:val="•"/>
      <w:lvlJc w:val="left"/>
      <w:pPr>
        <w:ind w:left="4177" w:hanging="420"/>
      </w:pPr>
      <w:rPr>
        <w:rFonts w:hint="default"/>
      </w:rPr>
    </w:lvl>
    <w:lvl w:ilvl="5">
      <w:start w:val="0"/>
      <w:numFmt w:val="bullet"/>
      <w:lvlText w:val="•"/>
      <w:lvlJc w:val="left"/>
      <w:pPr>
        <w:ind w:left="5092" w:hanging="420"/>
      </w:pPr>
      <w:rPr>
        <w:rFonts w:hint="default"/>
      </w:rPr>
    </w:lvl>
    <w:lvl w:ilvl="6">
      <w:start w:val="0"/>
      <w:numFmt w:val="bullet"/>
      <w:lvlText w:val="•"/>
      <w:lvlJc w:val="left"/>
      <w:pPr>
        <w:ind w:left="600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835" w:hanging="420"/>
      </w:pPr>
      <w:rPr>
        <w:rFonts w:hint="default"/>
      </w:rPr>
    </w:lvl>
  </w:abstractNum>
  <w:abstractNum w:abstractNumId="13">
    <w:multiLevelType w:val="hybridMultilevel"/>
    <w:lvl w:ilvl="0">
      <w:start w:val="1"/>
      <w:numFmt w:val="decimal"/>
      <w:lvlText w:val="%1)"/>
      <w:lvlJc w:val="left"/>
      <w:pPr>
        <w:ind w:left="523" w:hanging="420"/>
        <w:jc w:val="left"/>
      </w:pPr>
      <w:rPr>
        <w:rFonts w:hint="default" w:ascii="宋体" w:hAnsi="宋体" w:eastAsia="宋体" w:cs="宋体"/>
        <w:spacing w:val="-1"/>
        <w:w w:val="100"/>
        <w:sz w:val="21"/>
        <w:szCs w:val="21"/>
      </w:rPr>
    </w:lvl>
    <w:lvl w:ilvl="1">
      <w:start w:val="0"/>
      <w:numFmt w:val="bullet"/>
      <w:lvlText w:val="•"/>
      <w:lvlJc w:val="left"/>
      <w:pPr>
        <w:ind w:left="143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263" w:hanging="420"/>
      </w:pPr>
      <w:rPr>
        <w:rFonts w:hint="default"/>
      </w:rPr>
    </w:lvl>
    <w:lvl w:ilvl="4">
      <w:start w:val="0"/>
      <w:numFmt w:val="bullet"/>
      <w:lvlText w:val="•"/>
      <w:lvlJc w:val="left"/>
      <w:pPr>
        <w:ind w:left="4177" w:hanging="420"/>
      </w:pPr>
      <w:rPr>
        <w:rFonts w:hint="default"/>
      </w:rPr>
    </w:lvl>
    <w:lvl w:ilvl="5">
      <w:start w:val="0"/>
      <w:numFmt w:val="bullet"/>
      <w:lvlText w:val="•"/>
      <w:lvlJc w:val="left"/>
      <w:pPr>
        <w:ind w:left="5092" w:hanging="420"/>
      </w:pPr>
      <w:rPr>
        <w:rFonts w:hint="default"/>
      </w:rPr>
    </w:lvl>
    <w:lvl w:ilvl="6">
      <w:start w:val="0"/>
      <w:numFmt w:val="bullet"/>
      <w:lvlText w:val="•"/>
      <w:lvlJc w:val="left"/>
      <w:pPr>
        <w:ind w:left="600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835" w:hanging="420"/>
      </w:pPr>
      <w:rPr>
        <w:rFonts w:hint="default"/>
      </w:rPr>
    </w:lvl>
  </w:abstractNum>
  <w:abstractNum w:abstractNumId="12">
    <w:multiLevelType w:val="hybridMultilevel"/>
    <w:lvl w:ilvl="0">
      <w:start w:val="1"/>
      <w:numFmt w:val="decimal"/>
      <w:lvlText w:val="%1)"/>
      <w:lvlJc w:val="left"/>
      <w:pPr>
        <w:ind w:left="523" w:hanging="420"/>
        <w:jc w:val="left"/>
      </w:pPr>
      <w:rPr>
        <w:rFonts w:hint="default" w:ascii="宋体" w:hAnsi="宋体" w:eastAsia="宋体" w:cs="宋体"/>
        <w:spacing w:val="-1"/>
        <w:w w:val="100"/>
        <w:sz w:val="21"/>
        <w:szCs w:val="21"/>
      </w:rPr>
    </w:lvl>
    <w:lvl w:ilvl="1">
      <w:start w:val="0"/>
      <w:numFmt w:val="bullet"/>
      <w:lvlText w:val="•"/>
      <w:lvlJc w:val="left"/>
      <w:pPr>
        <w:ind w:left="143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263" w:hanging="420"/>
      </w:pPr>
      <w:rPr>
        <w:rFonts w:hint="default"/>
      </w:rPr>
    </w:lvl>
    <w:lvl w:ilvl="4">
      <w:start w:val="0"/>
      <w:numFmt w:val="bullet"/>
      <w:lvlText w:val="•"/>
      <w:lvlJc w:val="left"/>
      <w:pPr>
        <w:ind w:left="4177" w:hanging="420"/>
      </w:pPr>
      <w:rPr>
        <w:rFonts w:hint="default"/>
      </w:rPr>
    </w:lvl>
    <w:lvl w:ilvl="5">
      <w:start w:val="0"/>
      <w:numFmt w:val="bullet"/>
      <w:lvlText w:val="•"/>
      <w:lvlJc w:val="left"/>
      <w:pPr>
        <w:ind w:left="5092" w:hanging="420"/>
      </w:pPr>
      <w:rPr>
        <w:rFonts w:hint="default"/>
      </w:rPr>
    </w:lvl>
    <w:lvl w:ilvl="6">
      <w:start w:val="0"/>
      <w:numFmt w:val="bullet"/>
      <w:lvlText w:val="•"/>
      <w:lvlJc w:val="left"/>
      <w:pPr>
        <w:ind w:left="600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835" w:hanging="420"/>
      </w:pPr>
      <w:rPr>
        <w:rFonts w:hint="default"/>
      </w:rPr>
    </w:lvl>
  </w:abstractNum>
  <w:abstractNum w:abstractNumId="11">
    <w:multiLevelType w:val="hybridMultilevel"/>
    <w:lvl w:ilvl="0">
      <w:start w:val="1"/>
      <w:numFmt w:val="decimal"/>
      <w:lvlText w:val="%1)"/>
      <w:lvlJc w:val="left"/>
      <w:pPr>
        <w:ind w:left="523" w:hanging="420"/>
        <w:jc w:val="left"/>
      </w:pPr>
      <w:rPr>
        <w:rFonts w:hint="default" w:ascii="宋体" w:hAnsi="宋体" w:eastAsia="宋体" w:cs="宋体"/>
        <w:spacing w:val="-1"/>
        <w:w w:val="100"/>
        <w:sz w:val="21"/>
        <w:szCs w:val="21"/>
      </w:rPr>
    </w:lvl>
    <w:lvl w:ilvl="1">
      <w:start w:val="0"/>
      <w:numFmt w:val="bullet"/>
      <w:lvlText w:val="•"/>
      <w:lvlJc w:val="left"/>
      <w:pPr>
        <w:ind w:left="143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263" w:hanging="420"/>
      </w:pPr>
      <w:rPr>
        <w:rFonts w:hint="default"/>
      </w:rPr>
    </w:lvl>
    <w:lvl w:ilvl="4">
      <w:start w:val="0"/>
      <w:numFmt w:val="bullet"/>
      <w:lvlText w:val="•"/>
      <w:lvlJc w:val="left"/>
      <w:pPr>
        <w:ind w:left="4177" w:hanging="420"/>
      </w:pPr>
      <w:rPr>
        <w:rFonts w:hint="default"/>
      </w:rPr>
    </w:lvl>
    <w:lvl w:ilvl="5">
      <w:start w:val="0"/>
      <w:numFmt w:val="bullet"/>
      <w:lvlText w:val="•"/>
      <w:lvlJc w:val="left"/>
      <w:pPr>
        <w:ind w:left="5092" w:hanging="420"/>
      </w:pPr>
      <w:rPr>
        <w:rFonts w:hint="default"/>
      </w:rPr>
    </w:lvl>
    <w:lvl w:ilvl="6">
      <w:start w:val="0"/>
      <w:numFmt w:val="bullet"/>
      <w:lvlText w:val="•"/>
      <w:lvlJc w:val="left"/>
      <w:pPr>
        <w:ind w:left="6006" w:hanging="420"/>
      </w:pPr>
      <w:rPr>
        <w:rFonts w:hint="default"/>
      </w:rPr>
    </w:lvl>
    <w:lvl w:ilvl="7">
      <w:start w:val="0"/>
      <w:numFmt w:val="bullet"/>
      <w:lvlText w:val="•"/>
      <w:lvlJc w:val="left"/>
      <w:pPr>
        <w:ind w:left="6921" w:hanging="420"/>
      </w:pPr>
      <w:rPr>
        <w:rFonts w:hint="default"/>
      </w:rPr>
    </w:lvl>
    <w:lvl w:ilvl="8">
      <w:start w:val="0"/>
      <w:numFmt w:val="bullet"/>
      <w:lvlText w:val="•"/>
      <w:lvlJc w:val="left"/>
      <w:pPr>
        <w:ind w:left="7835" w:hanging="420"/>
      </w:pPr>
      <w:rPr>
        <w:rFonts w:hint="default"/>
      </w:rPr>
    </w:lvl>
  </w:abstractNum>
  <w:abstractNum w:abstractNumId="10">
    <w:multiLevelType w:val="hybridMultilevel"/>
    <w:lvl w:ilvl="0">
      <w:start w:val="1"/>
      <w:numFmt w:val="decimal"/>
      <w:lvlText w:val="%1)"/>
      <w:lvlJc w:val="left"/>
      <w:pPr>
        <w:ind w:left="1183" w:hanging="420"/>
        <w:jc w:val="left"/>
      </w:pPr>
      <w:rPr>
        <w:rFonts w:hint="default" w:ascii="宋体" w:hAnsi="宋体" w:eastAsia="宋体" w:cs="宋体"/>
        <w:w w:val="100"/>
        <w:sz w:val="21"/>
        <w:szCs w:val="21"/>
      </w:rPr>
    </w:lvl>
    <w:lvl w:ilvl="1">
      <w:start w:val="0"/>
      <w:numFmt w:val="bullet"/>
      <w:lvlText w:val="•"/>
      <w:lvlJc w:val="left"/>
      <w:pPr>
        <w:ind w:left="2092" w:hanging="420"/>
      </w:pPr>
      <w:rPr>
        <w:rFonts w:hint="default"/>
      </w:rPr>
    </w:lvl>
    <w:lvl w:ilvl="2">
      <w:start w:val="0"/>
      <w:numFmt w:val="bullet"/>
      <w:lvlText w:val="•"/>
      <w:lvlJc w:val="left"/>
      <w:pPr>
        <w:ind w:left="3004" w:hanging="420"/>
      </w:pPr>
      <w:rPr>
        <w:rFonts w:hint="default"/>
      </w:rPr>
    </w:lvl>
    <w:lvl w:ilvl="3">
      <w:start w:val="0"/>
      <w:numFmt w:val="bullet"/>
      <w:lvlText w:val="•"/>
      <w:lvlJc w:val="left"/>
      <w:pPr>
        <w:ind w:left="3917" w:hanging="420"/>
      </w:pPr>
      <w:rPr>
        <w:rFonts w:hint="default"/>
      </w:rPr>
    </w:lvl>
    <w:lvl w:ilvl="4">
      <w:start w:val="0"/>
      <w:numFmt w:val="bullet"/>
      <w:lvlText w:val="•"/>
      <w:lvlJc w:val="left"/>
      <w:pPr>
        <w:ind w:left="4829" w:hanging="420"/>
      </w:pPr>
      <w:rPr>
        <w:rFonts w:hint="default"/>
      </w:rPr>
    </w:lvl>
    <w:lvl w:ilvl="5">
      <w:start w:val="0"/>
      <w:numFmt w:val="bullet"/>
      <w:lvlText w:val="•"/>
      <w:lvlJc w:val="left"/>
      <w:pPr>
        <w:ind w:left="5742" w:hanging="420"/>
      </w:pPr>
      <w:rPr>
        <w:rFonts w:hint="default"/>
      </w:rPr>
    </w:lvl>
    <w:lvl w:ilvl="6">
      <w:start w:val="0"/>
      <w:numFmt w:val="bullet"/>
      <w:lvlText w:val="•"/>
      <w:lvlJc w:val="left"/>
      <w:pPr>
        <w:ind w:left="6654" w:hanging="420"/>
      </w:pPr>
      <w:rPr>
        <w:rFonts w:hint="default"/>
      </w:rPr>
    </w:lvl>
    <w:lvl w:ilvl="7">
      <w:start w:val="0"/>
      <w:numFmt w:val="bullet"/>
      <w:lvlText w:val="•"/>
      <w:lvlJc w:val="left"/>
      <w:pPr>
        <w:ind w:left="7567" w:hanging="420"/>
      </w:pPr>
      <w:rPr>
        <w:rFonts w:hint="default"/>
      </w:rPr>
    </w:lvl>
    <w:lvl w:ilvl="8">
      <w:start w:val="0"/>
      <w:numFmt w:val="bullet"/>
      <w:lvlText w:val="•"/>
      <w:lvlJc w:val="left"/>
      <w:pPr>
        <w:ind w:left="8479" w:hanging="420"/>
      </w:pPr>
      <w:rPr>
        <w:rFonts w:hint="default"/>
      </w:rPr>
    </w:lvl>
  </w:abstractNum>
  <w:abstractNum w:abstractNumId="9">
    <w:multiLevelType w:val="hybridMultilevel"/>
    <w:lvl w:ilvl="0">
      <w:start w:val="7"/>
      <w:numFmt w:val="decimal"/>
      <w:lvlText w:val="%1"/>
      <w:lvlJc w:val="left"/>
      <w:pPr>
        <w:ind w:left="882" w:hanging="646"/>
        <w:jc w:val="left"/>
      </w:pPr>
      <w:rPr>
        <w:rFonts w:hint="default"/>
      </w:rPr>
    </w:lvl>
    <w:lvl w:ilvl="1">
      <w:start w:val="1"/>
      <w:numFmt w:val="decimal"/>
      <w:lvlText w:val="%1.%2"/>
      <w:lvlJc w:val="left"/>
      <w:pPr>
        <w:ind w:left="883" w:hanging="646"/>
        <w:jc w:val="right"/>
      </w:pPr>
      <w:rPr>
        <w:rFonts w:hint="default" w:ascii="宋体" w:hAnsi="宋体" w:eastAsia="宋体" w:cs="宋体"/>
        <w:b/>
        <w:bCs/>
        <w:w w:val="99"/>
        <w:sz w:val="21"/>
        <w:szCs w:val="21"/>
      </w:rPr>
    </w:lvl>
    <w:lvl w:ilvl="2">
      <w:start w:val="1"/>
      <w:numFmt w:val="decimal"/>
      <w:lvlText w:val="%3)"/>
      <w:lvlJc w:val="left"/>
      <w:pPr>
        <w:ind w:left="1183" w:hanging="420"/>
        <w:jc w:val="right"/>
      </w:pPr>
      <w:rPr>
        <w:rFonts w:hint="default"/>
        <w:w w:val="100"/>
      </w:rPr>
    </w:lvl>
    <w:lvl w:ilvl="3">
      <w:start w:val="0"/>
      <w:numFmt w:val="bullet"/>
      <w:lvlText w:val="•"/>
      <w:lvlJc w:val="left"/>
      <w:pPr>
        <w:ind w:left="2413" w:hanging="420"/>
      </w:pPr>
      <w:rPr>
        <w:rFonts w:hint="default"/>
      </w:rPr>
    </w:lvl>
    <w:lvl w:ilvl="4">
      <w:start w:val="0"/>
      <w:numFmt w:val="bullet"/>
      <w:lvlText w:val="•"/>
      <w:lvlJc w:val="left"/>
      <w:pPr>
        <w:ind w:left="3526" w:hanging="420"/>
      </w:pPr>
      <w:rPr>
        <w:rFonts w:hint="default"/>
      </w:rPr>
    </w:lvl>
    <w:lvl w:ilvl="5">
      <w:start w:val="0"/>
      <w:numFmt w:val="bullet"/>
      <w:lvlText w:val="•"/>
      <w:lvlJc w:val="left"/>
      <w:pPr>
        <w:ind w:left="4639" w:hanging="420"/>
      </w:pPr>
      <w:rPr>
        <w:rFonts w:hint="default"/>
      </w:rPr>
    </w:lvl>
    <w:lvl w:ilvl="6">
      <w:start w:val="0"/>
      <w:numFmt w:val="bullet"/>
      <w:lvlText w:val="•"/>
      <w:lvlJc w:val="left"/>
      <w:pPr>
        <w:ind w:left="5752" w:hanging="420"/>
      </w:pPr>
      <w:rPr>
        <w:rFonts w:hint="default"/>
      </w:rPr>
    </w:lvl>
    <w:lvl w:ilvl="7">
      <w:start w:val="0"/>
      <w:numFmt w:val="bullet"/>
      <w:lvlText w:val="•"/>
      <w:lvlJc w:val="left"/>
      <w:pPr>
        <w:ind w:left="6865" w:hanging="420"/>
      </w:pPr>
      <w:rPr>
        <w:rFonts w:hint="default"/>
      </w:rPr>
    </w:lvl>
    <w:lvl w:ilvl="8">
      <w:start w:val="0"/>
      <w:numFmt w:val="bullet"/>
      <w:lvlText w:val="•"/>
      <w:lvlJc w:val="left"/>
      <w:pPr>
        <w:ind w:left="7978" w:hanging="420"/>
      </w:pPr>
      <w:rPr>
        <w:rFonts w:hint="default"/>
      </w:rPr>
    </w:lvl>
  </w:abstractNum>
  <w:abstractNum w:abstractNumId="8">
    <w:multiLevelType w:val="hybridMultilevel"/>
    <w:lvl w:ilvl="0">
      <w:start w:val="6"/>
      <w:numFmt w:val="decimal"/>
      <w:lvlText w:val="%1"/>
      <w:lvlJc w:val="left"/>
      <w:pPr>
        <w:ind w:left="883" w:hanging="646"/>
        <w:jc w:val="left"/>
      </w:pPr>
      <w:rPr>
        <w:rFonts w:hint="default"/>
      </w:rPr>
    </w:lvl>
    <w:lvl w:ilvl="1">
      <w:start w:val="1"/>
      <w:numFmt w:val="decimal"/>
      <w:lvlText w:val="%1.%2"/>
      <w:lvlJc w:val="left"/>
      <w:pPr>
        <w:ind w:left="883" w:hanging="646"/>
        <w:jc w:val="left"/>
      </w:pPr>
      <w:rPr>
        <w:rFonts w:hint="default" w:ascii="宋体" w:hAnsi="宋体" w:eastAsia="宋体" w:cs="宋体"/>
        <w:b/>
        <w:bCs/>
        <w:spacing w:val="0"/>
        <w:w w:val="99"/>
        <w:sz w:val="21"/>
        <w:szCs w:val="21"/>
      </w:rPr>
    </w:lvl>
    <w:lvl w:ilvl="2">
      <w:start w:val="0"/>
      <w:numFmt w:val="bullet"/>
      <w:lvlText w:val="•"/>
      <w:lvlJc w:val="left"/>
      <w:pPr>
        <w:ind w:left="2792" w:hanging="646"/>
      </w:pPr>
      <w:rPr>
        <w:rFonts w:hint="default"/>
      </w:rPr>
    </w:lvl>
    <w:lvl w:ilvl="3">
      <w:start w:val="0"/>
      <w:numFmt w:val="bullet"/>
      <w:lvlText w:val="•"/>
      <w:lvlJc w:val="left"/>
      <w:pPr>
        <w:ind w:left="3749" w:hanging="646"/>
      </w:pPr>
      <w:rPr>
        <w:rFonts w:hint="default"/>
      </w:rPr>
    </w:lvl>
    <w:lvl w:ilvl="4">
      <w:start w:val="0"/>
      <w:numFmt w:val="bullet"/>
      <w:lvlText w:val="•"/>
      <w:lvlJc w:val="left"/>
      <w:pPr>
        <w:ind w:left="4705" w:hanging="646"/>
      </w:pPr>
      <w:rPr>
        <w:rFonts w:hint="default"/>
      </w:rPr>
    </w:lvl>
    <w:lvl w:ilvl="5">
      <w:start w:val="0"/>
      <w:numFmt w:val="bullet"/>
      <w:lvlText w:val="•"/>
      <w:lvlJc w:val="left"/>
      <w:pPr>
        <w:ind w:left="5662" w:hanging="646"/>
      </w:pPr>
      <w:rPr>
        <w:rFonts w:hint="default"/>
      </w:rPr>
    </w:lvl>
    <w:lvl w:ilvl="6">
      <w:start w:val="0"/>
      <w:numFmt w:val="bullet"/>
      <w:lvlText w:val="•"/>
      <w:lvlJc w:val="left"/>
      <w:pPr>
        <w:ind w:left="6618" w:hanging="646"/>
      </w:pPr>
      <w:rPr>
        <w:rFonts w:hint="default"/>
      </w:rPr>
    </w:lvl>
    <w:lvl w:ilvl="7">
      <w:start w:val="0"/>
      <w:numFmt w:val="bullet"/>
      <w:lvlText w:val="•"/>
      <w:lvlJc w:val="left"/>
      <w:pPr>
        <w:ind w:left="7575" w:hanging="646"/>
      </w:pPr>
      <w:rPr>
        <w:rFonts w:hint="default"/>
      </w:rPr>
    </w:lvl>
    <w:lvl w:ilvl="8">
      <w:start w:val="0"/>
      <w:numFmt w:val="bullet"/>
      <w:lvlText w:val="•"/>
      <w:lvlJc w:val="left"/>
      <w:pPr>
        <w:ind w:left="8531" w:hanging="646"/>
      </w:pPr>
      <w:rPr>
        <w:rFonts w:hint="default"/>
      </w:rPr>
    </w:lvl>
  </w:abstractNum>
  <w:abstractNum w:abstractNumId="7">
    <w:multiLevelType w:val="hybridMultilevel"/>
    <w:lvl w:ilvl="0">
      <w:start w:val="1"/>
      <w:numFmt w:val="decimal"/>
      <w:lvlText w:val="%1)"/>
      <w:lvlJc w:val="left"/>
      <w:pPr>
        <w:ind w:left="883" w:hanging="420"/>
        <w:jc w:val="left"/>
      </w:pPr>
      <w:rPr>
        <w:rFonts w:hint="default" w:ascii="宋体" w:hAnsi="宋体" w:eastAsia="宋体" w:cs="宋体"/>
        <w:w w:val="100"/>
        <w:sz w:val="21"/>
        <w:szCs w:val="21"/>
      </w:rPr>
    </w:lvl>
    <w:lvl w:ilvl="1">
      <w:start w:val="0"/>
      <w:numFmt w:val="bullet"/>
      <w:lvlText w:val="•"/>
      <w:lvlJc w:val="left"/>
      <w:pPr>
        <w:ind w:left="1836" w:hanging="420"/>
      </w:pPr>
      <w:rPr>
        <w:rFonts w:hint="default"/>
      </w:rPr>
    </w:lvl>
    <w:lvl w:ilvl="2">
      <w:start w:val="0"/>
      <w:numFmt w:val="bullet"/>
      <w:lvlText w:val="•"/>
      <w:lvlJc w:val="left"/>
      <w:pPr>
        <w:ind w:left="2792" w:hanging="420"/>
      </w:pPr>
      <w:rPr>
        <w:rFonts w:hint="default"/>
      </w:rPr>
    </w:lvl>
    <w:lvl w:ilvl="3">
      <w:start w:val="0"/>
      <w:numFmt w:val="bullet"/>
      <w:lvlText w:val="•"/>
      <w:lvlJc w:val="left"/>
      <w:pPr>
        <w:ind w:left="3749" w:hanging="420"/>
      </w:pPr>
      <w:rPr>
        <w:rFonts w:hint="default"/>
      </w:rPr>
    </w:lvl>
    <w:lvl w:ilvl="4">
      <w:start w:val="0"/>
      <w:numFmt w:val="bullet"/>
      <w:lvlText w:val="•"/>
      <w:lvlJc w:val="left"/>
      <w:pPr>
        <w:ind w:left="4705" w:hanging="420"/>
      </w:pPr>
      <w:rPr>
        <w:rFonts w:hint="default"/>
      </w:rPr>
    </w:lvl>
    <w:lvl w:ilvl="5">
      <w:start w:val="0"/>
      <w:numFmt w:val="bullet"/>
      <w:lvlText w:val="•"/>
      <w:lvlJc w:val="left"/>
      <w:pPr>
        <w:ind w:left="5662" w:hanging="420"/>
      </w:pPr>
      <w:rPr>
        <w:rFonts w:hint="default"/>
      </w:rPr>
    </w:lvl>
    <w:lvl w:ilvl="6">
      <w:start w:val="0"/>
      <w:numFmt w:val="bullet"/>
      <w:lvlText w:val="•"/>
      <w:lvlJc w:val="left"/>
      <w:pPr>
        <w:ind w:left="6618" w:hanging="420"/>
      </w:pPr>
      <w:rPr>
        <w:rFonts w:hint="default"/>
      </w:rPr>
    </w:lvl>
    <w:lvl w:ilvl="7">
      <w:start w:val="0"/>
      <w:numFmt w:val="bullet"/>
      <w:lvlText w:val="•"/>
      <w:lvlJc w:val="left"/>
      <w:pPr>
        <w:ind w:left="7575" w:hanging="420"/>
      </w:pPr>
      <w:rPr>
        <w:rFonts w:hint="default"/>
      </w:rPr>
    </w:lvl>
    <w:lvl w:ilvl="8">
      <w:start w:val="0"/>
      <w:numFmt w:val="bullet"/>
      <w:lvlText w:val="•"/>
      <w:lvlJc w:val="left"/>
      <w:pPr>
        <w:ind w:left="8531" w:hanging="420"/>
      </w:pPr>
      <w:rPr>
        <w:rFonts w:hint="default"/>
      </w:rPr>
    </w:lvl>
  </w:abstractNum>
  <w:abstractNum w:abstractNumId="6">
    <w:multiLevelType w:val="hybridMultilevel"/>
    <w:lvl w:ilvl="0">
      <w:start w:val="5"/>
      <w:numFmt w:val="decimal"/>
      <w:lvlText w:val="%1"/>
      <w:lvlJc w:val="left"/>
      <w:pPr>
        <w:ind w:left="882" w:hanging="646"/>
        <w:jc w:val="left"/>
      </w:pPr>
      <w:rPr>
        <w:rFonts w:hint="default"/>
      </w:rPr>
    </w:lvl>
    <w:lvl w:ilvl="1">
      <w:start w:val="1"/>
      <w:numFmt w:val="decimal"/>
      <w:lvlText w:val="%1.%2"/>
      <w:lvlJc w:val="left"/>
      <w:pPr>
        <w:ind w:left="883" w:hanging="646"/>
        <w:jc w:val="left"/>
      </w:pPr>
      <w:rPr>
        <w:rFonts w:hint="default" w:ascii="宋体" w:hAnsi="宋体" w:eastAsia="宋体" w:cs="宋体"/>
        <w:b/>
        <w:bCs/>
        <w:w w:val="99"/>
        <w:sz w:val="21"/>
        <w:szCs w:val="21"/>
      </w:rPr>
    </w:lvl>
    <w:lvl w:ilvl="2">
      <w:start w:val="1"/>
      <w:numFmt w:val="decimal"/>
      <w:lvlText w:val="%3)"/>
      <w:lvlJc w:val="left"/>
      <w:pPr>
        <w:ind w:left="1303" w:hanging="420"/>
        <w:jc w:val="left"/>
      </w:pPr>
      <w:rPr>
        <w:rFonts w:hint="default" w:ascii="宋体" w:hAnsi="宋体" w:eastAsia="宋体" w:cs="宋体"/>
        <w:w w:val="100"/>
        <w:sz w:val="21"/>
        <w:szCs w:val="21"/>
      </w:rPr>
    </w:lvl>
    <w:lvl w:ilvl="3">
      <w:start w:val="0"/>
      <w:numFmt w:val="bullet"/>
      <w:lvlText w:val="•"/>
      <w:lvlJc w:val="left"/>
      <w:pPr>
        <w:ind w:left="3332" w:hanging="420"/>
      </w:pPr>
      <w:rPr>
        <w:rFonts w:hint="default"/>
      </w:rPr>
    </w:lvl>
    <w:lvl w:ilvl="4">
      <w:start w:val="0"/>
      <w:numFmt w:val="bullet"/>
      <w:lvlText w:val="•"/>
      <w:lvlJc w:val="left"/>
      <w:pPr>
        <w:ind w:left="4348" w:hanging="420"/>
      </w:pPr>
      <w:rPr>
        <w:rFonts w:hint="default"/>
      </w:rPr>
    </w:lvl>
    <w:lvl w:ilvl="5">
      <w:start w:val="0"/>
      <w:numFmt w:val="bullet"/>
      <w:lvlText w:val="•"/>
      <w:lvlJc w:val="left"/>
      <w:pPr>
        <w:ind w:left="5364" w:hanging="420"/>
      </w:pPr>
      <w:rPr>
        <w:rFonts w:hint="default"/>
      </w:rPr>
    </w:lvl>
    <w:lvl w:ilvl="6">
      <w:start w:val="0"/>
      <w:numFmt w:val="bullet"/>
      <w:lvlText w:val="•"/>
      <w:lvlJc w:val="left"/>
      <w:pPr>
        <w:ind w:left="6380" w:hanging="420"/>
      </w:pPr>
      <w:rPr>
        <w:rFonts w:hint="default"/>
      </w:rPr>
    </w:lvl>
    <w:lvl w:ilvl="7">
      <w:start w:val="0"/>
      <w:numFmt w:val="bullet"/>
      <w:lvlText w:val="•"/>
      <w:lvlJc w:val="left"/>
      <w:pPr>
        <w:ind w:left="7396" w:hanging="420"/>
      </w:pPr>
      <w:rPr>
        <w:rFonts w:hint="default"/>
      </w:rPr>
    </w:lvl>
    <w:lvl w:ilvl="8">
      <w:start w:val="0"/>
      <w:numFmt w:val="bullet"/>
      <w:lvlText w:val="•"/>
      <w:lvlJc w:val="left"/>
      <w:pPr>
        <w:ind w:left="8412" w:hanging="420"/>
      </w:pPr>
      <w:rPr>
        <w:rFonts w:hint="default"/>
      </w:rPr>
    </w:lvl>
  </w:abstractNum>
  <w:abstractNum w:abstractNumId="5">
    <w:multiLevelType w:val="hybridMultilevel"/>
    <w:lvl w:ilvl="0">
      <w:start w:val="3"/>
      <w:numFmt w:val="decimal"/>
      <w:lvlText w:val="%1"/>
      <w:lvlJc w:val="left"/>
      <w:pPr>
        <w:ind w:left="882" w:hanging="646"/>
        <w:jc w:val="left"/>
      </w:pPr>
      <w:rPr>
        <w:rFonts w:hint="default"/>
      </w:rPr>
    </w:lvl>
    <w:lvl w:ilvl="1">
      <w:start w:val="1"/>
      <w:numFmt w:val="decimal"/>
      <w:lvlText w:val="%1.%2"/>
      <w:lvlJc w:val="left"/>
      <w:pPr>
        <w:ind w:left="883" w:hanging="646"/>
        <w:jc w:val="left"/>
      </w:pPr>
      <w:rPr>
        <w:rFonts w:hint="default" w:ascii="宋体" w:hAnsi="宋体" w:eastAsia="宋体" w:cs="宋体"/>
        <w:b/>
        <w:bCs/>
        <w:w w:val="99"/>
        <w:sz w:val="21"/>
        <w:szCs w:val="21"/>
      </w:rPr>
    </w:lvl>
    <w:lvl w:ilvl="2">
      <w:start w:val="1"/>
      <w:numFmt w:val="decimal"/>
      <w:lvlText w:val="%3)"/>
      <w:lvlJc w:val="left"/>
      <w:pPr>
        <w:ind w:left="1303" w:hanging="420"/>
        <w:jc w:val="left"/>
      </w:pPr>
      <w:rPr>
        <w:rFonts w:hint="default" w:ascii="宋体" w:hAnsi="宋体" w:eastAsia="宋体" w:cs="宋体"/>
        <w:w w:val="100"/>
        <w:sz w:val="21"/>
        <w:szCs w:val="21"/>
      </w:rPr>
    </w:lvl>
    <w:lvl w:ilvl="3">
      <w:start w:val="0"/>
      <w:numFmt w:val="bullet"/>
      <w:lvlText w:val="•"/>
      <w:lvlJc w:val="left"/>
      <w:pPr>
        <w:ind w:left="3332" w:hanging="420"/>
      </w:pPr>
      <w:rPr>
        <w:rFonts w:hint="default"/>
      </w:rPr>
    </w:lvl>
    <w:lvl w:ilvl="4">
      <w:start w:val="0"/>
      <w:numFmt w:val="bullet"/>
      <w:lvlText w:val="•"/>
      <w:lvlJc w:val="left"/>
      <w:pPr>
        <w:ind w:left="4348" w:hanging="420"/>
      </w:pPr>
      <w:rPr>
        <w:rFonts w:hint="default"/>
      </w:rPr>
    </w:lvl>
    <w:lvl w:ilvl="5">
      <w:start w:val="0"/>
      <w:numFmt w:val="bullet"/>
      <w:lvlText w:val="•"/>
      <w:lvlJc w:val="left"/>
      <w:pPr>
        <w:ind w:left="5364" w:hanging="420"/>
      </w:pPr>
      <w:rPr>
        <w:rFonts w:hint="default"/>
      </w:rPr>
    </w:lvl>
    <w:lvl w:ilvl="6">
      <w:start w:val="0"/>
      <w:numFmt w:val="bullet"/>
      <w:lvlText w:val="•"/>
      <w:lvlJc w:val="left"/>
      <w:pPr>
        <w:ind w:left="6380" w:hanging="420"/>
      </w:pPr>
      <w:rPr>
        <w:rFonts w:hint="default"/>
      </w:rPr>
    </w:lvl>
    <w:lvl w:ilvl="7">
      <w:start w:val="0"/>
      <w:numFmt w:val="bullet"/>
      <w:lvlText w:val="•"/>
      <w:lvlJc w:val="left"/>
      <w:pPr>
        <w:ind w:left="7396" w:hanging="420"/>
      </w:pPr>
      <w:rPr>
        <w:rFonts w:hint="default"/>
      </w:rPr>
    </w:lvl>
    <w:lvl w:ilvl="8">
      <w:start w:val="0"/>
      <w:numFmt w:val="bullet"/>
      <w:lvlText w:val="•"/>
      <w:lvlJc w:val="left"/>
      <w:pPr>
        <w:ind w:left="8412" w:hanging="420"/>
      </w:pPr>
      <w:rPr>
        <w:rFonts w:hint="default"/>
      </w:rPr>
    </w:lvl>
  </w:abstractNum>
  <w:abstractNum w:abstractNumId="4">
    <w:multiLevelType w:val="hybridMultilevel"/>
    <w:lvl w:ilvl="0">
      <w:start w:val="2"/>
      <w:numFmt w:val="decimal"/>
      <w:lvlText w:val="%1"/>
      <w:lvlJc w:val="left"/>
      <w:pPr>
        <w:ind w:left="883" w:hanging="646"/>
        <w:jc w:val="left"/>
      </w:pPr>
      <w:rPr>
        <w:rFonts w:hint="default"/>
      </w:rPr>
    </w:lvl>
    <w:lvl w:ilvl="1">
      <w:start w:val="1"/>
      <w:numFmt w:val="decimal"/>
      <w:lvlText w:val="%1.%2"/>
      <w:lvlJc w:val="left"/>
      <w:pPr>
        <w:ind w:left="883" w:hanging="646"/>
        <w:jc w:val="left"/>
      </w:pPr>
      <w:rPr>
        <w:rFonts w:hint="default" w:ascii="宋体" w:hAnsi="宋体" w:eastAsia="宋体" w:cs="宋体"/>
        <w:b/>
        <w:bCs/>
        <w:spacing w:val="0"/>
        <w:w w:val="99"/>
        <w:sz w:val="21"/>
        <w:szCs w:val="21"/>
      </w:rPr>
    </w:lvl>
    <w:lvl w:ilvl="2">
      <w:start w:val="1"/>
      <w:numFmt w:val="decimal"/>
      <w:lvlText w:val="%3)"/>
      <w:lvlJc w:val="left"/>
      <w:pPr>
        <w:ind w:left="1303" w:hanging="420"/>
        <w:jc w:val="left"/>
      </w:pPr>
      <w:rPr>
        <w:rFonts w:hint="default" w:ascii="黑体" w:hAnsi="黑体" w:eastAsia="黑体" w:cs="黑体"/>
        <w:w w:val="100"/>
        <w:sz w:val="21"/>
        <w:szCs w:val="21"/>
      </w:rPr>
    </w:lvl>
    <w:lvl w:ilvl="3">
      <w:start w:val="0"/>
      <w:numFmt w:val="bullet"/>
      <w:lvlText w:val="•"/>
      <w:lvlJc w:val="left"/>
      <w:pPr>
        <w:ind w:left="3332" w:hanging="420"/>
      </w:pPr>
      <w:rPr>
        <w:rFonts w:hint="default"/>
      </w:rPr>
    </w:lvl>
    <w:lvl w:ilvl="4">
      <w:start w:val="0"/>
      <w:numFmt w:val="bullet"/>
      <w:lvlText w:val="•"/>
      <w:lvlJc w:val="left"/>
      <w:pPr>
        <w:ind w:left="4348" w:hanging="420"/>
      </w:pPr>
      <w:rPr>
        <w:rFonts w:hint="default"/>
      </w:rPr>
    </w:lvl>
    <w:lvl w:ilvl="5">
      <w:start w:val="0"/>
      <w:numFmt w:val="bullet"/>
      <w:lvlText w:val="•"/>
      <w:lvlJc w:val="left"/>
      <w:pPr>
        <w:ind w:left="5364" w:hanging="420"/>
      </w:pPr>
      <w:rPr>
        <w:rFonts w:hint="default"/>
      </w:rPr>
    </w:lvl>
    <w:lvl w:ilvl="6">
      <w:start w:val="0"/>
      <w:numFmt w:val="bullet"/>
      <w:lvlText w:val="•"/>
      <w:lvlJc w:val="left"/>
      <w:pPr>
        <w:ind w:left="6380" w:hanging="420"/>
      </w:pPr>
      <w:rPr>
        <w:rFonts w:hint="default"/>
      </w:rPr>
    </w:lvl>
    <w:lvl w:ilvl="7">
      <w:start w:val="0"/>
      <w:numFmt w:val="bullet"/>
      <w:lvlText w:val="•"/>
      <w:lvlJc w:val="left"/>
      <w:pPr>
        <w:ind w:left="7396" w:hanging="420"/>
      </w:pPr>
      <w:rPr>
        <w:rFonts w:hint="default"/>
      </w:rPr>
    </w:lvl>
    <w:lvl w:ilvl="8">
      <w:start w:val="0"/>
      <w:numFmt w:val="bullet"/>
      <w:lvlText w:val="•"/>
      <w:lvlJc w:val="left"/>
      <w:pPr>
        <w:ind w:left="8412" w:hanging="420"/>
      </w:pPr>
      <w:rPr>
        <w:rFonts w:hint="default"/>
      </w:rPr>
    </w:lvl>
  </w:abstractNum>
  <w:abstractNum w:abstractNumId="3">
    <w:multiLevelType w:val="hybridMultilevel"/>
    <w:lvl w:ilvl="0">
      <w:start w:val="5"/>
      <w:numFmt w:val="decimal"/>
      <w:lvlText w:val="%1"/>
      <w:lvlJc w:val="left"/>
      <w:pPr>
        <w:ind w:left="973" w:hanging="421"/>
        <w:jc w:val="left"/>
      </w:pPr>
      <w:rPr>
        <w:rFonts w:hint="default"/>
      </w:rPr>
    </w:lvl>
    <w:lvl w:ilvl="1">
      <w:start w:val="1"/>
      <w:numFmt w:val="decimal"/>
      <w:lvlText w:val="%1.%2"/>
      <w:lvlJc w:val="left"/>
      <w:pPr>
        <w:ind w:left="973" w:hanging="421"/>
        <w:jc w:val="left"/>
      </w:pPr>
      <w:rPr>
        <w:rFonts w:hint="default" w:ascii="宋体" w:hAnsi="宋体" w:eastAsia="宋体" w:cs="宋体"/>
        <w:spacing w:val="-2"/>
        <w:w w:val="100"/>
        <w:sz w:val="21"/>
        <w:szCs w:val="21"/>
      </w:rPr>
    </w:lvl>
    <w:lvl w:ilvl="2">
      <w:start w:val="0"/>
      <w:numFmt w:val="bullet"/>
      <w:lvlText w:val="•"/>
      <w:lvlJc w:val="left"/>
      <w:pPr>
        <w:ind w:left="2652" w:hanging="421"/>
      </w:pPr>
      <w:rPr>
        <w:rFonts w:hint="default"/>
      </w:rPr>
    </w:lvl>
    <w:lvl w:ilvl="3">
      <w:start w:val="0"/>
      <w:numFmt w:val="bullet"/>
      <w:lvlText w:val="•"/>
      <w:lvlJc w:val="left"/>
      <w:pPr>
        <w:ind w:left="3488" w:hanging="421"/>
      </w:pPr>
      <w:rPr>
        <w:rFonts w:hint="default"/>
      </w:rPr>
    </w:lvl>
    <w:lvl w:ilvl="4">
      <w:start w:val="0"/>
      <w:numFmt w:val="bullet"/>
      <w:lvlText w:val="•"/>
      <w:lvlJc w:val="left"/>
      <w:pPr>
        <w:ind w:left="4324" w:hanging="421"/>
      </w:pPr>
      <w:rPr>
        <w:rFonts w:hint="default"/>
      </w:rPr>
    </w:lvl>
    <w:lvl w:ilvl="5">
      <w:start w:val="0"/>
      <w:numFmt w:val="bullet"/>
      <w:lvlText w:val="•"/>
      <w:lvlJc w:val="left"/>
      <w:pPr>
        <w:ind w:left="5161" w:hanging="421"/>
      </w:pPr>
      <w:rPr>
        <w:rFonts w:hint="default"/>
      </w:rPr>
    </w:lvl>
    <w:lvl w:ilvl="6">
      <w:start w:val="0"/>
      <w:numFmt w:val="bullet"/>
      <w:lvlText w:val="•"/>
      <w:lvlJc w:val="left"/>
      <w:pPr>
        <w:ind w:left="5997" w:hanging="421"/>
      </w:pPr>
      <w:rPr>
        <w:rFonts w:hint="default"/>
      </w:rPr>
    </w:lvl>
    <w:lvl w:ilvl="7">
      <w:start w:val="0"/>
      <w:numFmt w:val="bullet"/>
      <w:lvlText w:val="•"/>
      <w:lvlJc w:val="left"/>
      <w:pPr>
        <w:ind w:left="6833" w:hanging="421"/>
      </w:pPr>
      <w:rPr>
        <w:rFonts w:hint="default"/>
      </w:rPr>
    </w:lvl>
    <w:lvl w:ilvl="8">
      <w:start w:val="0"/>
      <w:numFmt w:val="bullet"/>
      <w:lvlText w:val="•"/>
      <w:lvlJc w:val="left"/>
      <w:pPr>
        <w:ind w:left="7669" w:hanging="421"/>
      </w:pPr>
      <w:rPr>
        <w:rFonts w:hint="default"/>
      </w:rPr>
    </w:lvl>
  </w:abstractNum>
  <w:abstractNum w:abstractNumId="2">
    <w:multiLevelType w:val="hybridMultilevel"/>
    <w:lvl w:ilvl="0">
      <w:start w:val="3"/>
      <w:numFmt w:val="decimal"/>
      <w:lvlText w:val="%1"/>
      <w:lvlJc w:val="left"/>
      <w:pPr>
        <w:ind w:left="973" w:hanging="421"/>
        <w:jc w:val="left"/>
      </w:pPr>
      <w:rPr>
        <w:rFonts w:hint="default"/>
      </w:rPr>
    </w:lvl>
    <w:lvl w:ilvl="1">
      <w:start w:val="1"/>
      <w:numFmt w:val="decimal"/>
      <w:lvlText w:val="%1.%2"/>
      <w:lvlJc w:val="left"/>
      <w:pPr>
        <w:ind w:left="973" w:hanging="421"/>
        <w:jc w:val="left"/>
      </w:pPr>
      <w:rPr>
        <w:rFonts w:hint="default" w:ascii="宋体" w:hAnsi="宋体" w:eastAsia="宋体" w:cs="宋体"/>
        <w:spacing w:val="-2"/>
        <w:w w:val="100"/>
        <w:sz w:val="21"/>
        <w:szCs w:val="21"/>
      </w:rPr>
    </w:lvl>
    <w:lvl w:ilvl="2">
      <w:start w:val="0"/>
      <w:numFmt w:val="bullet"/>
      <w:lvlText w:val="•"/>
      <w:lvlJc w:val="left"/>
      <w:pPr>
        <w:ind w:left="2652" w:hanging="421"/>
      </w:pPr>
      <w:rPr>
        <w:rFonts w:hint="default"/>
      </w:rPr>
    </w:lvl>
    <w:lvl w:ilvl="3">
      <w:start w:val="0"/>
      <w:numFmt w:val="bullet"/>
      <w:lvlText w:val="•"/>
      <w:lvlJc w:val="left"/>
      <w:pPr>
        <w:ind w:left="3488" w:hanging="421"/>
      </w:pPr>
      <w:rPr>
        <w:rFonts w:hint="default"/>
      </w:rPr>
    </w:lvl>
    <w:lvl w:ilvl="4">
      <w:start w:val="0"/>
      <w:numFmt w:val="bullet"/>
      <w:lvlText w:val="•"/>
      <w:lvlJc w:val="left"/>
      <w:pPr>
        <w:ind w:left="4324" w:hanging="421"/>
      </w:pPr>
      <w:rPr>
        <w:rFonts w:hint="default"/>
      </w:rPr>
    </w:lvl>
    <w:lvl w:ilvl="5">
      <w:start w:val="0"/>
      <w:numFmt w:val="bullet"/>
      <w:lvlText w:val="•"/>
      <w:lvlJc w:val="left"/>
      <w:pPr>
        <w:ind w:left="5161" w:hanging="421"/>
      </w:pPr>
      <w:rPr>
        <w:rFonts w:hint="default"/>
      </w:rPr>
    </w:lvl>
    <w:lvl w:ilvl="6">
      <w:start w:val="0"/>
      <w:numFmt w:val="bullet"/>
      <w:lvlText w:val="•"/>
      <w:lvlJc w:val="left"/>
      <w:pPr>
        <w:ind w:left="5997" w:hanging="421"/>
      </w:pPr>
      <w:rPr>
        <w:rFonts w:hint="default"/>
      </w:rPr>
    </w:lvl>
    <w:lvl w:ilvl="7">
      <w:start w:val="0"/>
      <w:numFmt w:val="bullet"/>
      <w:lvlText w:val="•"/>
      <w:lvlJc w:val="left"/>
      <w:pPr>
        <w:ind w:left="6833" w:hanging="421"/>
      </w:pPr>
      <w:rPr>
        <w:rFonts w:hint="default"/>
      </w:rPr>
    </w:lvl>
    <w:lvl w:ilvl="8">
      <w:start w:val="0"/>
      <w:numFmt w:val="bullet"/>
      <w:lvlText w:val="•"/>
      <w:lvlJc w:val="left"/>
      <w:pPr>
        <w:ind w:left="7669" w:hanging="421"/>
      </w:pPr>
      <w:rPr>
        <w:rFonts w:hint="default"/>
      </w:rPr>
    </w:lvl>
  </w:abstractNum>
  <w:abstractNum w:abstractNumId="1">
    <w:multiLevelType w:val="hybridMultilevel"/>
    <w:lvl w:ilvl="0">
      <w:start w:val="2"/>
      <w:numFmt w:val="decimal"/>
      <w:lvlText w:val="%1"/>
      <w:lvlJc w:val="left"/>
      <w:pPr>
        <w:ind w:left="973" w:hanging="421"/>
        <w:jc w:val="left"/>
      </w:pPr>
      <w:rPr>
        <w:rFonts w:hint="default"/>
      </w:rPr>
    </w:lvl>
    <w:lvl w:ilvl="1">
      <w:start w:val="2"/>
      <w:numFmt w:val="decimal"/>
      <w:lvlText w:val="%1.%2"/>
      <w:lvlJc w:val="left"/>
      <w:pPr>
        <w:ind w:left="973" w:hanging="421"/>
        <w:jc w:val="left"/>
      </w:pPr>
      <w:rPr>
        <w:rFonts w:hint="default" w:ascii="宋体" w:hAnsi="宋体" w:eastAsia="宋体" w:cs="宋体"/>
        <w:spacing w:val="-2"/>
        <w:w w:val="99"/>
        <w:sz w:val="21"/>
        <w:szCs w:val="21"/>
      </w:rPr>
    </w:lvl>
    <w:lvl w:ilvl="2">
      <w:start w:val="0"/>
      <w:numFmt w:val="bullet"/>
      <w:lvlText w:val="•"/>
      <w:lvlJc w:val="left"/>
      <w:pPr>
        <w:ind w:left="2652" w:hanging="421"/>
      </w:pPr>
      <w:rPr>
        <w:rFonts w:hint="default"/>
      </w:rPr>
    </w:lvl>
    <w:lvl w:ilvl="3">
      <w:start w:val="0"/>
      <w:numFmt w:val="bullet"/>
      <w:lvlText w:val="•"/>
      <w:lvlJc w:val="left"/>
      <w:pPr>
        <w:ind w:left="3488" w:hanging="421"/>
      </w:pPr>
      <w:rPr>
        <w:rFonts w:hint="default"/>
      </w:rPr>
    </w:lvl>
    <w:lvl w:ilvl="4">
      <w:start w:val="0"/>
      <w:numFmt w:val="bullet"/>
      <w:lvlText w:val="•"/>
      <w:lvlJc w:val="left"/>
      <w:pPr>
        <w:ind w:left="4324" w:hanging="421"/>
      </w:pPr>
      <w:rPr>
        <w:rFonts w:hint="default"/>
      </w:rPr>
    </w:lvl>
    <w:lvl w:ilvl="5">
      <w:start w:val="0"/>
      <w:numFmt w:val="bullet"/>
      <w:lvlText w:val="•"/>
      <w:lvlJc w:val="left"/>
      <w:pPr>
        <w:ind w:left="5161" w:hanging="421"/>
      </w:pPr>
      <w:rPr>
        <w:rFonts w:hint="default"/>
      </w:rPr>
    </w:lvl>
    <w:lvl w:ilvl="6">
      <w:start w:val="0"/>
      <w:numFmt w:val="bullet"/>
      <w:lvlText w:val="•"/>
      <w:lvlJc w:val="left"/>
      <w:pPr>
        <w:ind w:left="5997" w:hanging="421"/>
      </w:pPr>
      <w:rPr>
        <w:rFonts w:hint="default"/>
      </w:rPr>
    </w:lvl>
    <w:lvl w:ilvl="7">
      <w:start w:val="0"/>
      <w:numFmt w:val="bullet"/>
      <w:lvlText w:val="•"/>
      <w:lvlJc w:val="left"/>
      <w:pPr>
        <w:ind w:left="6833" w:hanging="421"/>
      </w:pPr>
      <w:rPr>
        <w:rFonts w:hint="default"/>
      </w:rPr>
    </w:lvl>
    <w:lvl w:ilvl="8">
      <w:start w:val="0"/>
      <w:numFmt w:val="bullet"/>
      <w:lvlText w:val="•"/>
      <w:lvlJc w:val="left"/>
      <w:pPr>
        <w:ind w:left="7669" w:hanging="421"/>
      </w:pPr>
      <w:rPr>
        <w:rFonts w:hint="default"/>
      </w:rPr>
    </w:lvl>
  </w:abstractNum>
  <w:abstractNum w:abstractNumId="0">
    <w:multiLevelType w:val="hybridMultilevel"/>
    <w:lvl w:ilvl="0">
      <w:start w:val="0"/>
      <w:numFmt w:val="bullet"/>
      <w:lvlText w:val=""/>
      <w:lvlJc w:val="left"/>
      <w:pPr>
        <w:ind w:left="1304" w:hanging="420"/>
      </w:pPr>
      <w:rPr>
        <w:rFonts w:hint="default" w:ascii="Wingdings" w:hAnsi="Wingdings" w:eastAsia="Wingdings" w:cs="Wingdings"/>
        <w:w w:val="100"/>
        <w:sz w:val="21"/>
        <w:szCs w:val="21"/>
      </w:rPr>
    </w:lvl>
    <w:lvl w:ilvl="1">
      <w:start w:val="0"/>
      <w:numFmt w:val="bullet"/>
      <w:lvlText w:val="•"/>
      <w:lvlJc w:val="left"/>
      <w:pPr>
        <w:ind w:left="2266" w:hanging="420"/>
      </w:pPr>
      <w:rPr>
        <w:rFonts w:hint="default"/>
      </w:rPr>
    </w:lvl>
    <w:lvl w:ilvl="2">
      <w:start w:val="0"/>
      <w:numFmt w:val="bullet"/>
      <w:lvlText w:val="•"/>
      <w:lvlJc w:val="left"/>
      <w:pPr>
        <w:ind w:left="3232" w:hanging="420"/>
      </w:pPr>
      <w:rPr>
        <w:rFonts w:hint="default"/>
      </w:rPr>
    </w:lvl>
    <w:lvl w:ilvl="3">
      <w:start w:val="0"/>
      <w:numFmt w:val="bullet"/>
      <w:lvlText w:val="•"/>
      <w:lvlJc w:val="left"/>
      <w:pPr>
        <w:ind w:left="4199" w:hanging="420"/>
      </w:pPr>
      <w:rPr>
        <w:rFonts w:hint="default"/>
      </w:rPr>
    </w:lvl>
    <w:lvl w:ilvl="4">
      <w:start w:val="0"/>
      <w:numFmt w:val="bullet"/>
      <w:lvlText w:val="•"/>
      <w:lvlJc w:val="left"/>
      <w:pPr>
        <w:ind w:left="5165" w:hanging="420"/>
      </w:pPr>
      <w:rPr>
        <w:rFonts w:hint="default"/>
      </w:rPr>
    </w:lvl>
    <w:lvl w:ilvl="5">
      <w:start w:val="0"/>
      <w:numFmt w:val="bullet"/>
      <w:lvlText w:val="•"/>
      <w:lvlJc w:val="left"/>
      <w:pPr>
        <w:ind w:left="6132" w:hanging="420"/>
      </w:pPr>
      <w:rPr>
        <w:rFonts w:hint="default"/>
      </w:rPr>
    </w:lvl>
    <w:lvl w:ilvl="6">
      <w:start w:val="0"/>
      <w:numFmt w:val="bullet"/>
      <w:lvlText w:val="•"/>
      <w:lvlJc w:val="left"/>
      <w:pPr>
        <w:ind w:left="7098" w:hanging="420"/>
      </w:pPr>
      <w:rPr>
        <w:rFonts w:hint="default"/>
      </w:rPr>
    </w:lvl>
    <w:lvl w:ilvl="7">
      <w:start w:val="0"/>
      <w:numFmt w:val="bullet"/>
      <w:lvlText w:val="•"/>
      <w:lvlJc w:val="left"/>
      <w:pPr>
        <w:ind w:left="8065" w:hanging="420"/>
      </w:pPr>
      <w:rPr>
        <w:rFonts w:hint="default"/>
      </w:rPr>
    </w:lvl>
    <w:lvl w:ilvl="8">
      <w:start w:val="0"/>
      <w:numFmt w:val="bullet"/>
      <w:lvlText w:val="•"/>
      <w:lvlJc w:val="left"/>
      <w:pPr>
        <w:ind w:left="9031"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883"/>
    </w:pPr>
    <w:rPr>
      <w:rFonts w:ascii="宋体" w:hAnsi="宋体" w:eastAsia="宋体" w:cs="宋体"/>
      <w:sz w:val="21"/>
      <w:szCs w:val="21"/>
    </w:rPr>
  </w:style>
  <w:style w:styleId="Heading1" w:type="paragraph">
    <w:name w:val="Heading 1"/>
    <w:basedOn w:val="Normal"/>
    <w:uiPriority w:val="1"/>
    <w:qFormat/>
    <w:pPr>
      <w:ind w:left="2983"/>
      <w:outlineLvl w:val="1"/>
    </w:pPr>
    <w:rPr>
      <w:rFonts w:ascii="宋体" w:hAnsi="宋体" w:eastAsia="宋体" w:cs="宋体"/>
      <w:b/>
      <w:bCs/>
      <w:sz w:val="32"/>
      <w:szCs w:val="32"/>
    </w:rPr>
  </w:style>
  <w:style w:styleId="Heading2" w:type="paragraph">
    <w:name w:val="Heading 2"/>
    <w:basedOn w:val="Normal"/>
    <w:uiPriority w:val="1"/>
    <w:qFormat/>
    <w:pPr>
      <w:spacing w:before="15"/>
      <w:ind w:left="763"/>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88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&lt;4D6963726F736F667420576F7264202D20A1B6C0D6CFEDCDAFC4EAC9D9B6F9D6D8B4F3BCB2B2A1B1A3CFD5A1B7CCF5BFEEA3A8BAACB6FECEACC2EBA3A92E646F63&gt;</dc:title>
  <dcterms:created xsi:type="dcterms:W3CDTF">2018-10-20T01:41:55Z</dcterms:created>
  <dcterms:modified xsi:type="dcterms:W3CDTF">2018-10-20T01:41:55Z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2015-09-14T00:00:00Z</vt:filetime>
  </property>
  <property fmtid="{D5CDD505-2E9C-101B-9397-08002B2CF9AE}" pid="3" name="Creator">
    <vt:lpwstr>PScript5.dll Version 5.2.2</vt:lpwstr>
  </property>
  <property fmtid="{D5CDD505-2E9C-101B-9397-08002B2CF9AE}" pid="4" name="LastSaved">
    <vt:filetime>2018-10-19T00:00:00Z</vt:filetime>
  </property>
</Properties>
</file>