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68" w:lineRule="exact" w:before="0"/>
        <w:ind w:left="1659" w:right="0" w:firstLine="0"/>
        <w:jc w:val="left"/>
        <w:rPr>
          <w:rFonts w:ascii="Microsoft JhengHei" w:eastAsia="Microsoft JhengHei" w:hint="eastAsia"/>
          <w:b/>
          <w:sz w:val="44"/>
        </w:rPr>
      </w:pPr>
      <w:r>
        <w:rPr>
          <w:rFonts w:ascii="Microsoft JhengHei" w:eastAsia="Microsoft JhengHei" w:hint="eastAsia"/>
          <w:b/>
          <w:sz w:val="44"/>
        </w:rPr>
        <w:t>光大永明人寿保险有限公司</w:t>
      </w:r>
    </w:p>
    <w:p>
      <w:pPr>
        <w:spacing w:line="418" w:lineRule="exact" w:before="0"/>
        <w:ind w:left="1298" w:right="0" w:firstLine="0"/>
        <w:jc w:val="left"/>
        <w:rPr>
          <w:rFonts w:ascii="Microsoft JhengHei" w:eastAsia="Microsoft JhengHei" w:hint="eastAsia"/>
          <w:b/>
          <w:sz w:val="30"/>
        </w:rPr>
      </w:pPr>
      <w:r>
        <w:rPr>
          <w:rFonts w:ascii="Microsoft JhengHei" w:eastAsia="Microsoft JhengHei" w:hint="eastAsia"/>
          <w:b/>
          <w:sz w:val="30"/>
        </w:rPr>
        <w:t>光大永明附加康顺无忧提前给付重大疾病保险</w:t>
      </w:r>
    </w:p>
    <w:p>
      <w:pPr>
        <w:pStyle w:val="BodyText"/>
        <w:spacing w:before="2"/>
        <w:ind w:left="0"/>
        <w:rPr>
          <w:rFonts w:ascii="Microsoft JhengHei"/>
          <w:b/>
          <w:sz w:val="19"/>
        </w:rPr>
      </w:pPr>
    </w:p>
    <w:p>
      <w:pPr>
        <w:spacing w:line="201" w:lineRule="auto" w:before="0"/>
        <w:ind w:left="117" w:right="150" w:firstLine="0"/>
        <w:jc w:val="left"/>
        <w:rPr>
          <w:rFonts w:ascii="Microsoft JhengHei" w:eastAsia="Microsoft JhengHei" w:hint="eastAsia"/>
          <w:b/>
          <w:sz w:val="24"/>
        </w:rPr>
      </w:pPr>
      <w:r>
        <w:rPr>
          <w:rFonts w:ascii="Microsoft JhengHei" w:eastAsia="Microsoft JhengHei" w:hint="eastAsia"/>
          <w:b/>
          <w:sz w:val="24"/>
        </w:rPr>
        <w:t>感谢您选择了光大永明人寿。为了帮助您更好的理解本条款，在阅读本条款前， 请您注意阅读提示和名词说明。</w:t>
      </w:r>
    </w:p>
    <w:p>
      <w:pPr>
        <w:pStyle w:val="BodyText"/>
        <w:spacing w:before="12"/>
        <w:ind w:left="0"/>
        <w:rPr>
          <w:rFonts w:ascii="Microsoft JhengHei"/>
          <w:b/>
          <w:sz w:val="12"/>
        </w:rPr>
      </w:pPr>
    </w:p>
    <w:p>
      <w:pPr>
        <w:spacing w:line="482" w:lineRule="exact" w:before="1"/>
        <w:ind w:left="3056" w:right="3138" w:firstLine="0"/>
        <w:jc w:val="center"/>
        <w:rPr>
          <w:rFonts w:ascii="Microsoft JhengHei" w:eastAsia="Microsoft JhengHei" w:hint="eastAsia"/>
          <w:b/>
          <w:sz w:val="28"/>
        </w:rPr>
      </w:pPr>
      <w:r>
        <w:rPr>
          <w:rFonts w:ascii="Microsoft JhengHei" w:eastAsia="Microsoft JhengHei" w:hint="eastAsia"/>
          <w:b/>
          <w:sz w:val="28"/>
        </w:rPr>
        <w:t>阅读提示</w:t>
      </w:r>
    </w:p>
    <w:p>
      <w:pPr>
        <w:spacing w:line="413" w:lineRule="exact" w:before="0"/>
        <w:ind w:left="3131" w:right="3138" w:firstLine="0"/>
        <w:jc w:val="center"/>
        <w:rPr>
          <w:rFonts w:ascii="Microsoft JhengHei" w:eastAsia="Microsoft JhengHei" w:hint="eastAsia"/>
          <w:b/>
          <w:sz w:val="24"/>
        </w:rPr>
      </w:pPr>
      <w:r>
        <w:rPr/>
        <w:pict>
          <v:line style="position:absolute;mso-position-horizontal-relative:page;mso-position-vertical-relative:paragraph;z-index:-12400" from="89.879997pt,.476365pt" to="512.519997pt,.476365pt" stroked="true" strokeweight=".48004pt" strokecolor="#000000">
            <v:stroke dashstyle="solid"/>
            <w10:wrap type="none"/>
          </v:line>
        </w:pict>
      </w:r>
      <w:r>
        <w:rPr>
          <w:rFonts w:ascii="Microsoft JhengHei" w:eastAsia="Microsoft JhengHei" w:hint="eastAsia"/>
          <w:b/>
          <w:sz w:val="24"/>
        </w:rPr>
        <w:t>您所享有的重要权益</w:t>
      </w:r>
    </w:p>
    <w:p>
      <w:pPr>
        <w:pStyle w:val="BodyText"/>
        <w:spacing w:before="11"/>
        <w:ind w:left="0"/>
        <w:rPr>
          <w:rFonts w:ascii="Microsoft JhengHei"/>
          <w:b/>
          <w:sz w:val="6"/>
        </w:rPr>
      </w:pPr>
    </w:p>
    <w:p>
      <w:pPr>
        <w:pStyle w:val="BodyText"/>
        <w:tabs>
          <w:tab w:pos="7245" w:val="left" w:leader="none"/>
          <w:tab w:pos="7751" w:val="left" w:leader="none"/>
          <w:tab w:pos="8258" w:val="left" w:leader="none"/>
        </w:tabs>
        <w:spacing w:before="42"/>
        <w:ind w:left="225"/>
        <w:rPr>
          <w:b/>
        </w:rPr>
      </w:pPr>
      <w:r>
        <w:rPr/>
        <w:t>本附加合同所提供的保障</w:t>
      </w:r>
      <w:r>
        <w:rPr>
          <w:rFonts w:ascii="Times New Roman" w:hAnsi="Times New Roman" w:eastAsia="Times New Roman"/>
        </w:rPr>
        <w:t>............................................……………………….....</w:t>
        <w:tab/>
      </w:r>
      <w:r>
        <w:rPr>
          <w:b/>
        </w:rPr>
        <w:t>第</w:t>
        <w:tab/>
        <w:t>八</w:t>
        <w:tab/>
        <w:t>条</w:t>
      </w:r>
    </w:p>
    <w:p>
      <w:pPr>
        <w:pStyle w:val="BodyText"/>
        <w:tabs>
          <w:tab w:pos="7245" w:val="left" w:leader="none"/>
        </w:tabs>
        <w:spacing w:before="105"/>
        <w:ind w:left="225"/>
        <w:rPr>
          <w:rFonts w:ascii="Microsoft JhengHei" w:hAnsi="Microsoft JhengHei" w:eastAsia="Microsoft JhengHei" w:hint="eastAsia"/>
          <w:b/>
        </w:rPr>
      </w:pPr>
      <w:r>
        <w:rPr/>
        <w:t>签收保险合同后十天内</w:t>
      </w:r>
      <w:r>
        <w:rPr>
          <w:spacing w:val="-74"/>
        </w:rPr>
        <w:t>，</w:t>
      </w:r>
      <w:r>
        <w:rPr/>
        <w:t>您可以要求退还保险费</w:t>
      </w:r>
      <w:r>
        <w:rPr>
          <w:rFonts w:ascii="Times New Roman" w:hAnsi="Times New Roman" w:eastAsia="Times New Roman"/>
        </w:rPr>
        <w:t>..........................…………….</w:t>
        <w:tab/>
      </w:r>
      <w:r>
        <w:rPr>
          <w:rFonts w:ascii="Microsoft JhengHei" w:hAnsi="Microsoft JhengHei" w:eastAsia="Microsoft JhengHei" w:hint="eastAsia"/>
          <w:b/>
        </w:rPr>
        <w:t>第   十   四</w:t>
      </w:r>
      <w:r>
        <w:rPr>
          <w:rFonts w:ascii="Microsoft JhengHei" w:hAnsi="Microsoft JhengHei" w:eastAsia="Microsoft JhengHei" w:hint="eastAsia"/>
          <w:b/>
          <w:spacing w:val="15"/>
        </w:rPr>
        <w:t> </w:t>
      </w:r>
      <w:r>
        <w:rPr>
          <w:rFonts w:ascii="Microsoft JhengHei" w:hAnsi="Microsoft JhengHei" w:eastAsia="Microsoft JhengHei" w:hint="eastAsia"/>
          <w:b/>
        </w:rPr>
        <w:t>条</w:t>
      </w:r>
    </w:p>
    <w:p>
      <w:pPr>
        <w:spacing w:before="54"/>
        <w:ind w:left="3131" w:right="3138" w:firstLine="0"/>
        <w:jc w:val="center"/>
        <w:rPr>
          <w:rFonts w:ascii="Microsoft JhengHei" w:eastAsia="Microsoft JhengHei" w:hint="eastAsia"/>
          <w:b/>
          <w:sz w:val="24"/>
        </w:rPr>
      </w:pPr>
      <w:r>
        <w:rPr>
          <w:rFonts w:ascii="Microsoft JhengHei" w:eastAsia="Microsoft JhengHei" w:hint="eastAsia"/>
          <w:b/>
          <w:sz w:val="24"/>
        </w:rPr>
        <w:t>您应当特别注意的事项</w:t>
      </w:r>
    </w:p>
    <w:p>
      <w:pPr>
        <w:pStyle w:val="BodyText"/>
        <w:spacing w:line="304" w:lineRule="auto" w:before="91"/>
        <w:ind w:left="225" w:right="232"/>
        <w:jc w:val="both"/>
        <w:rPr>
          <w:rFonts w:ascii="Microsoft JhengHei" w:hAnsi="Microsoft JhengHei" w:eastAsia="Microsoft JhengHei" w:hint="eastAsia"/>
          <w:b/>
        </w:rPr>
      </w:pPr>
      <w:r>
        <w:rPr>
          <w:spacing w:val="-9"/>
        </w:rPr>
        <w:t>在某些情况下，我们不承担保险责任</w:t>
      </w:r>
      <w:r>
        <w:rPr>
          <w:rFonts w:ascii="Times New Roman" w:hAnsi="Times New Roman" w:eastAsia="Times New Roman"/>
        </w:rPr>
        <w:t>............................................................…...   </w:t>
      </w:r>
      <w:r>
        <w:rPr>
          <w:rFonts w:ascii="Microsoft JhengHei" w:hAnsi="Microsoft JhengHei" w:eastAsia="Microsoft JhengHei" w:hint="eastAsia"/>
          <w:b/>
          <w:spacing w:val="2"/>
        </w:rPr>
        <w:t>第    九    条</w:t>
      </w:r>
      <w:r>
        <w:rPr>
          <w:spacing w:val="2"/>
        </w:rPr>
        <w:t>如何申领保险金</w:t>
      </w:r>
      <w:r>
        <w:rPr>
          <w:rFonts w:ascii="Times New Roman" w:hAnsi="Times New Roman" w:eastAsia="Times New Roman"/>
          <w:spacing w:val="2"/>
        </w:rPr>
        <w:t>.............................................................................................…… </w:t>
      </w:r>
      <w:r>
        <w:rPr>
          <w:rFonts w:ascii="Microsoft JhengHei" w:hAnsi="Microsoft JhengHei" w:eastAsia="Microsoft JhengHei" w:hint="eastAsia"/>
          <w:b/>
          <w:spacing w:val="1"/>
        </w:rPr>
        <w:t>第  十  一  条</w:t>
      </w:r>
      <w:r>
        <w:rPr>
          <w:spacing w:val="-6"/>
        </w:rPr>
        <w:t>您有解除合同的权利，请您慎重决定</w:t>
      </w:r>
      <w:r>
        <w:rPr>
          <w:rFonts w:ascii="Times New Roman" w:hAnsi="Times New Roman" w:eastAsia="Times New Roman"/>
        </w:rPr>
        <w:t>..............................................................….   </w:t>
      </w:r>
      <w:r>
        <w:rPr>
          <w:rFonts w:ascii="Microsoft JhengHei" w:hAnsi="Microsoft JhengHei" w:eastAsia="Microsoft JhengHei" w:hint="eastAsia"/>
          <w:b/>
          <w:spacing w:val="2"/>
        </w:rPr>
        <w:t>第  十  四  条</w:t>
      </w:r>
    </w:p>
    <w:p>
      <w:pPr>
        <w:pStyle w:val="BodyText"/>
        <w:spacing w:before="4"/>
        <w:ind w:left="0"/>
        <w:rPr>
          <w:rFonts w:ascii="Microsoft JhengHei"/>
          <w:b/>
          <w:sz w:val="32"/>
        </w:rPr>
      </w:pPr>
    </w:p>
    <w:p>
      <w:pPr>
        <w:spacing w:line="476" w:lineRule="exact" w:before="0"/>
        <w:ind w:left="3056" w:right="3138" w:firstLine="0"/>
        <w:jc w:val="center"/>
        <w:rPr>
          <w:rFonts w:ascii="Microsoft JhengHei" w:eastAsia="Microsoft JhengHei" w:hint="eastAsia"/>
          <w:b/>
          <w:sz w:val="28"/>
        </w:rPr>
      </w:pPr>
      <w:r>
        <w:rPr>
          <w:rFonts w:ascii="Microsoft JhengHei" w:eastAsia="Microsoft JhengHei" w:hint="eastAsia"/>
          <w:b/>
          <w:sz w:val="28"/>
        </w:rPr>
        <w:t>名词说明</w:t>
      </w:r>
    </w:p>
    <w:p>
      <w:pPr>
        <w:tabs>
          <w:tab w:pos="2011" w:val="left" w:leader="none"/>
        </w:tabs>
        <w:spacing w:line="346" w:lineRule="exact" w:before="0"/>
        <w:ind w:left="225" w:right="0" w:firstLine="0"/>
        <w:jc w:val="both"/>
        <w:rPr>
          <w:sz w:val="21"/>
        </w:rPr>
      </w:pPr>
      <w:r>
        <w:rPr/>
        <w:pict>
          <v:line style="position:absolute;mso-position-horizontal-relative:page;mso-position-vertical-relative:paragraph;z-index:-12376" from="89.879997pt,.801755pt" to="514.199997pt,.801755pt" stroked="true" strokeweight=".48001pt" strokecolor="#000000">
            <v:stroke dashstyle="solid"/>
            <w10:wrap type="none"/>
          </v:line>
        </w:pict>
      </w:r>
      <w:r>
        <w:rPr>
          <w:rFonts w:ascii="Microsoft JhengHei" w:eastAsia="Microsoft JhengHei" w:hint="eastAsia"/>
          <w:b/>
          <w:sz w:val="21"/>
        </w:rPr>
        <w:t>我们</w:t>
        <w:tab/>
        <w:t>：</w:t>
      </w:r>
      <w:r>
        <w:rPr>
          <w:rFonts w:ascii="Microsoft JhengHei" w:eastAsia="Microsoft JhengHei" w:hint="eastAsia"/>
          <w:b/>
          <w:spacing w:val="-28"/>
          <w:sz w:val="21"/>
        </w:rPr>
        <w:t> </w:t>
      </w:r>
      <w:r>
        <w:rPr>
          <w:sz w:val="21"/>
        </w:rPr>
        <w:t>指光大永明人寿保险有限公司。</w:t>
      </w:r>
    </w:p>
    <w:p>
      <w:pPr>
        <w:tabs>
          <w:tab w:pos="2011" w:val="left" w:leader="none"/>
        </w:tabs>
        <w:spacing w:line="350" w:lineRule="exact" w:before="0"/>
        <w:ind w:left="225" w:right="0" w:firstLine="0"/>
        <w:jc w:val="both"/>
        <w:rPr>
          <w:sz w:val="21"/>
        </w:rPr>
      </w:pPr>
      <w:r>
        <w:rPr>
          <w:rFonts w:ascii="Microsoft JhengHei" w:eastAsia="Microsoft JhengHei" w:hint="eastAsia"/>
          <w:b/>
          <w:sz w:val="21"/>
        </w:rPr>
        <w:t>您</w:t>
        <w:tab/>
        <w:t>：</w:t>
      </w:r>
      <w:r>
        <w:rPr>
          <w:rFonts w:ascii="Microsoft JhengHei" w:eastAsia="Microsoft JhengHei" w:hint="eastAsia"/>
          <w:b/>
          <w:spacing w:val="-28"/>
          <w:sz w:val="21"/>
        </w:rPr>
        <w:t> </w:t>
      </w:r>
      <w:r>
        <w:rPr>
          <w:sz w:val="21"/>
        </w:rPr>
        <w:t>指投保人。</w:t>
      </w:r>
    </w:p>
    <w:p>
      <w:pPr>
        <w:tabs>
          <w:tab w:pos="2011" w:val="left" w:leader="none"/>
        </w:tabs>
        <w:spacing w:line="357" w:lineRule="exact" w:before="0"/>
        <w:ind w:left="225" w:right="0" w:firstLine="0"/>
        <w:jc w:val="both"/>
        <w:rPr>
          <w:sz w:val="21"/>
        </w:rPr>
      </w:pPr>
      <w:r>
        <w:rPr>
          <w:rFonts w:ascii="Microsoft JhengHei" w:eastAsia="Microsoft JhengHei" w:hint="eastAsia"/>
          <w:b/>
          <w:sz w:val="21"/>
        </w:rPr>
        <w:t>保险条款</w:t>
        <w:tab/>
        <w:t>：</w:t>
      </w:r>
      <w:r>
        <w:rPr>
          <w:rFonts w:ascii="Microsoft JhengHei" w:eastAsia="Microsoft JhengHei" w:hint="eastAsia"/>
          <w:b/>
          <w:spacing w:val="-28"/>
          <w:sz w:val="21"/>
        </w:rPr>
        <w:t> </w:t>
      </w:r>
      <w:r>
        <w:rPr>
          <w:sz w:val="21"/>
        </w:rPr>
        <w:t>指本条款。</w:t>
      </w:r>
    </w:p>
    <w:p>
      <w:pPr>
        <w:spacing w:after="0" w:line="357" w:lineRule="exact"/>
        <w:jc w:val="both"/>
        <w:rPr>
          <w:sz w:val="21"/>
        </w:rPr>
        <w:sectPr>
          <w:footerReference w:type="default" r:id="rId5"/>
          <w:type w:val="continuous"/>
          <w:pgSz w:w="11910" w:h="16840"/>
          <w:pgMar w:footer="998" w:top="1260" w:bottom="1180" w:left="1680" w:right="1520"/>
          <w:pgNumType w:start="1"/>
        </w:sectPr>
      </w:pPr>
    </w:p>
    <w:p>
      <w:pPr>
        <w:spacing w:line="432" w:lineRule="exact" w:before="0"/>
        <w:ind w:left="3606" w:right="3590" w:firstLine="0"/>
        <w:jc w:val="center"/>
        <w:rPr>
          <w:rFonts w:ascii="黑体" w:eastAsia="黑体" w:hint="eastAsia"/>
          <w:b/>
          <w:sz w:val="36"/>
        </w:rPr>
      </w:pPr>
      <w:r>
        <w:rPr>
          <w:rFonts w:ascii="黑体" w:eastAsia="黑体" w:hint="eastAsia"/>
          <w:b/>
          <w:w w:val="95"/>
          <w:sz w:val="36"/>
        </w:rPr>
        <w:t>条款目录</w:t>
      </w:r>
    </w:p>
    <w:sdt>
      <w:sdtPr>
        <w:docPartObj>
          <w:docPartGallery w:val="Table of Contents"/>
          <w:docPartUnique/>
        </w:docPartObj>
      </w:sdtPr>
      <w:sdtEndPr/>
      <w:sdtContent>
        <w:p>
          <w:pPr>
            <w:pStyle w:val="TOC1"/>
            <w:tabs>
              <w:tab w:pos="1197" w:val="left" w:leader="none"/>
              <w:tab w:pos="8491" w:val="right" w:leader="dot"/>
            </w:tabs>
            <w:spacing w:line="240" w:lineRule="auto" w:before="50"/>
            <w:rPr>
              <w:rFonts w:ascii="Times New Roman" w:eastAsia="Times New Roman"/>
            </w:rPr>
          </w:pPr>
          <w:r>
            <w:fldChar w:fldCharType="begin"/>
          </w:r>
          <w:r>
            <w:instrText>TOC \o "1-2" \h \z \u </w:instrText>
          </w:r>
          <w:r>
            <w:fldChar w:fldCharType="separate"/>
          </w:r>
          <w:hyperlink w:history="true" w:anchor="_TOC_250020">
            <w:r>
              <w:rPr/>
              <w:t>第一部分</w:t>
              <w:tab/>
              <w:t>您与我们的合同</w:t>
              <w:tab/>
            </w:r>
            <w:r>
              <w:rPr>
                <w:rFonts w:ascii="Times New Roman" w:eastAsia="Times New Roman"/>
              </w:rPr>
              <w:t>1</w:t>
            </w:r>
          </w:hyperlink>
        </w:p>
        <w:p>
          <w:pPr>
            <w:pStyle w:val="TOC2"/>
            <w:tabs>
              <w:tab w:pos="1917" w:val="left" w:leader="none"/>
              <w:tab w:pos="8491" w:val="right" w:leader="dot"/>
            </w:tabs>
            <w:spacing w:before="13"/>
            <w:rPr>
              <w:rFonts w:ascii="Times New Roman" w:eastAsia="Times New Roman"/>
            </w:rPr>
          </w:pPr>
          <w:hyperlink w:history="true" w:anchor="_TOC_250019">
            <w:r>
              <w:rPr/>
              <w:t>第一条</w:t>
              <w:tab/>
              <w:t>附加保险合同的构成</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8">
            <w:r>
              <w:rPr/>
              <w:t>第二条</w:t>
              <w:tab/>
              <w:t>投保条件</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7">
            <w:r>
              <w:rPr/>
              <w:t>第三条</w:t>
              <w:tab/>
              <w:t>受益人的指定</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6">
            <w:r>
              <w:rPr/>
              <w:t>第四条</w:t>
              <w:tab/>
              <w:t>保险责任的开始</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5">
            <w:r>
              <w:rPr/>
              <w:t>第五条</w:t>
              <w:tab/>
              <w:t>保险期间</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4">
            <w:r>
              <w:rPr/>
              <w:t>第六条</w:t>
              <w:tab/>
              <w:t>保险合同的中止</w:t>
              <w:tab/>
            </w:r>
            <w:r>
              <w:rPr>
                <w:rFonts w:ascii="Times New Roman" w:eastAsia="Times New Roman"/>
              </w:rPr>
              <w:t>1</w:t>
            </w:r>
          </w:hyperlink>
        </w:p>
        <w:p>
          <w:pPr>
            <w:pStyle w:val="TOC2"/>
            <w:tabs>
              <w:tab w:pos="1917" w:val="left" w:leader="none"/>
              <w:tab w:pos="8491" w:val="right" w:leader="dot"/>
            </w:tabs>
            <w:spacing w:line="268" w:lineRule="exact"/>
            <w:rPr>
              <w:rFonts w:ascii="Times New Roman" w:eastAsia="Times New Roman"/>
            </w:rPr>
          </w:pPr>
          <w:hyperlink w:history="true" w:anchor="_TOC_250013">
            <w:r>
              <w:rPr/>
              <w:t>第七条</w:t>
              <w:tab/>
              <w:t>保险责任的终止</w:t>
              <w:tab/>
            </w:r>
            <w:r>
              <w:rPr>
                <w:rFonts w:ascii="Times New Roman" w:eastAsia="Times New Roman"/>
              </w:rPr>
              <w:t>1</w:t>
            </w:r>
          </w:hyperlink>
        </w:p>
        <w:p>
          <w:pPr>
            <w:pStyle w:val="TOC1"/>
            <w:tabs>
              <w:tab w:pos="1197" w:val="left" w:leader="none"/>
              <w:tab w:pos="8491" w:val="right" w:leader="dot"/>
            </w:tabs>
            <w:rPr>
              <w:rFonts w:ascii="Times New Roman" w:eastAsia="Times New Roman"/>
            </w:rPr>
          </w:pPr>
          <w:hyperlink w:history="true" w:anchor="_TOC_250012">
            <w:r>
              <w:rPr/>
              <w:t>第二部分</w:t>
              <w:tab/>
              <w:t>我们提供的保障</w:t>
              <w:tab/>
            </w:r>
            <w:r>
              <w:rPr>
                <w:rFonts w:ascii="Times New Roman" w:eastAsia="Times New Roman"/>
              </w:rPr>
              <w:t>2</w:t>
            </w:r>
          </w:hyperlink>
        </w:p>
        <w:p>
          <w:pPr>
            <w:pStyle w:val="TOC2"/>
            <w:tabs>
              <w:tab w:pos="1917" w:val="left" w:leader="none"/>
              <w:tab w:pos="8491" w:val="right" w:leader="dot"/>
            </w:tabs>
            <w:spacing w:before="13"/>
            <w:rPr>
              <w:rFonts w:ascii="Times New Roman" w:eastAsia="Times New Roman"/>
            </w:rPr>
          </w:pPr>
          <w:hyperlink w:history="true" w:anchor="_TOC_250011">
            <w:r>
              <w:rPr/>
              <w:t>第八条</w:t>
              <w:tab/>
              <w:t>保险责任</w:t>
              <w:tab/>
            </w:r>
            <w:r>
              <w:rPr>
                <w:rFonts w:ascii="Times New Roman" w:eastAsia="Times New Roman"/>
              </w:rPr>
              <w:t>2</w:t>
            </w:r>
          </w:hyperlink>
        </w:p>
        <w:p>
          <w:pPr>
            <w:pStyle w:val="TOC2"/>
            <w:tabs>
              <w:tab w:pos="1917" w:val="left" w:leader="none"/>
              <w:tab w:pos="8491" w:val="right" w:leader="dot"/>
            </w:tabs>
            <w:spacing w:before="20"/>
            <w:rPr>
              <w:rFonts w:ascii="Times New Roman" w:eastAsia="Times New Roman"/>
            </w:rPr>
          </w:pPr>
          <w:hyperlink w:history="true" w:anchor="_TOC_250010">
            <w:r>
              <w:rPr/>
              <w:t>第九条</w:t>
              <w:tab/>
              <w:t>责任免除</w:t>
              <w:tab/>
            </w:r>
            <w:r>
              <w:rPr>
                <w:rFonts w:ascii="Times New Roman" w:eastAsia="Times New Roman"/>
              </w:rPr>
              <w:t>3</w:t>
            </w:r>
          </w:hyperlink>
        </w:p>
        <w:p>
          <w:pPr>
            <w:pStyle w:val="TOC2"/>
            <w:tabs>
              <w:tab w:pos="1917" w:val="left" w:leader="none"/>
              <w:tab w:pos="8491" w:val="right" w:leader="dot"/>
            </w:tabs>
            <w:spacing w:line="268" w:lineRule="exact" w:before="20"/>
            <w:rPr>
              <w:rFonts w:ascii="Times New Roman" w:eastAsia="Times New Roman"/>
            </w:rPr>
          </w:pPr>
          <w:hyperlink w:history="true" w:anchor="_TOC_250009">
            <w:r>
              <w:rPr/>
              <w:t>第十条</w:t>
              <w:tab/>
              <w:t>保险金额及其变更</w:t>
              <w:tab/>
            </w:r>
            <w:r>
              <w:rPr>
                <w:rFonts w:ascii="Times New Roman" w:eastAsia="Times New Roman"/>
              </w:rPr>
              <w:t>3</w:t>
            </w:r>
          </w:hyperlink>
        </w:p>
        <w:p>
          <w:pPr>
            <w:pStyle w:val="TOC1"/>
            <w:tabs>
              <w:tab w:pos="1197" w:val="left" w:leader="none"/>
              <w:tab w:pos="8490" w:val="right" w:leader="dot"/>
            </w:tabs>
            <w:rPr>
              <w:rFonts w:ascii="Times New Roman" w:eastAsia="Times New Roman"/>
            </w:rPr>
          </w:pPr>
          <w:hyperlink w:history="true" w:anchor="_TOC_250008">
            <w:r>
              <w:rPr/>
              <w:t>第三部分</w:t>
              <w:tab/>
              <w:t>如何领取保险金</w:t>
              <w:tab/>
            </w:r>
            <w:r>
              <w:rPr>
                <w:rFonts w:ascii="Times New Roman" w:eastAsia="Times New Roman"/>
              </w:rPr>
              <w:t>3</w:t>
            </w:r>
          </w:hyperlink>
        </w:p>
        <w:p>
          <w:pPr>
            <w:pStyle w:val="TOC2"/>
            <w:tabs>
              <w:tab w:pos="1917" w:val="left" w:leader="none"/>
              <w:tab w:pos="8491" w:val="right" w:leader="dot"/>
            </w:tabs>
            <w:spacing w:line="268" w:lineRule="exact" w:before="14"/>
            <w:rPr>
              <w:rFonts w:ascii="Times New Roman" w:eastAsia="Times New Roman"/>
            </w:rPr>
          </w:pPr>
          <w:hyperlink w:history="true" w:anchor="_TOC_250007">
            <w:r>
              <w:rPr/>
              <w:t>第十一条</w:t>
              <w:tab/>
              <w:t>保险金的申领</w:t>
              <w:tab/>
            </w:r>
            <w:r>
              <w:rPr>
                <w:rFonts w:ascii="Times New Roman" w:eastAsia="Times New Roman"/>
              </w:rPr>
              <w:t>3</w:t>
            </w:r>
          </w:hyperlink>
        </w:p>
        <w:p>
          <w:pPr>
            <w:pStyle w:val="TOC1"/>
            <w:tabs>
              <w:tab w:pos="1197" w:val="left" w:leader="none"/>
              <w:tab w:pos="8490" w:val="right" w:leader="dot"/>
            </w:tabs>
            <w:rPr>
              <w:rFonts w:ascii="Times New Roman" w:eastAsia="Times New Roman"/>
            </w:rPr>
          </w:pPr>
          <w:hyperlink w:history="true" w:anchor="_TOC_250006">
            <w:r>
              <w:rPr/>
              <w:t>第四部分</w:t>
              <w:tab/>
              <w:t>保险费的交纳</w:t>
              <w:tab/>
            </w:r>
            <w:r>
              <w:rPr>
                <w:rFonts w:ascii="Times New Roman" w:eastAsia="Times New Roman"/>
              </w:rPr>
              <w:t>4</w:t>
            </w:r>
          </w:hyperlink>
        </w:p>
        <w:p>
          <w:pPr>
            <w:pStyle w:val="TOC2"/>
            <w:tabs>
              <w:tab w:pos="1917" w:val="left" w:leader="none"/>
              <w:tab w:pos="8490" w:val="right" w:leader="dot"/>
            </w:tabs>
            <w:spacing w:line="268" w:lineRule="exact" w:before="13"/>
            <w:rPr>
              <w:rFonts w:ascii="Times New Roman" w:eastAsia="Times New Roman"/>
            </w:rPr>
          </w:pPr>
          <w:hyperlink w:history="true" w:anchor="_TOC_250005">
            <w:r>
              <w:rPr/>
              <w:t>第十二条</w:t>
              <w:tab/>
              <w:t>保险费的交纳</w:t>
              <w:tab/>
            </w:r>
            <w:r>
              <w:rPr>
                <w:rFonts w:ascii="Times New Roman" w:eastAsia="Times New Roman"/>
              </w:rPr>
              <w:t>4</w:t>
            </w:r>
          </w:hyperlink>
        </w:p>
        <w:p>
          <w:pPr>
            <w:pStyle w:val="TOC1"/>
            <w:tabs>
              <w:tab w:pos="1197" w:val="left" w:leader="none"/>
              <w:tab w:pos="8490" w:val="right" w:leader="dot"/>
            </w:tabs>
            <w:rPr>
              <w:rFonts w:ascii="Times New Roman" w:eastAsia="Times New Roman"/>
            </w:rPr>
          </w:pPr>
          <w:hyperlink w:history="true" w:anchor="_TOC_250004">
            <w:r>
              <w:rPr/>
              <w:t>第五部分</w:t>
              <w:tab/>
              <w:t>您所拥有的重要权益</w:t>
              <w:tab/>
            </w:r>
            <w:r>
              <w:rPr>
                <w:rFonts w:ascii="Times New Roman" w:eastAsia="Times New Roman"/>
              </w:rPr>
              <w:t>4</w:t>
            </w:r>
          </w:hyperlink>
        </w:p>
        <w:p>
          <w:pPr>
            <w:pStyle w:val="TOC2"/>
            <w:tabs>
              <w:tab w:pos="1917" w:val="left" w:leader="none"/>
              <w:tab w:pos="8490" w:val="right" w:leader="dot"/>
            </w:tabs>
            <w:spacing w:before="13"/>
            <w:rPr>
              <w:rFonts w:ascii="Times New Roman" w:eastAsia="Times New Roman"/>
            </w:rPr>
          </w:pPr>
          <w:hyperlink w:history="true" w:anchor="_TOC_250003">
            <w:r>
              <w:rPr/>
              <w:t>第十三条</w:t>
              <w:tab/>
              <w:t>保险费自动垫交</w:t>
              <w:tab/>
            </w:r>
            <w:r>
              <w:rPr>
                <w:rFonts w:ascii="Times New Roman" w:eastAsia="Times New Roman"/>
              </w:rPr>
              <w:t>4</w:t>
            </w:r>
          </w:hyperlink>
        </w:p>
        <w:p>
          <w:pPr>
            <w:pStyle w:val="TOC2"/>
            <w:tabs>
              <w:tab w:pos="1917" w:val="left" w:leader="none"/>
              <w:tab w:pos="8490" w:val="right" w:leader="dot"/>
            </w:tabs>
            <w:spacing w:line="268" w:lineRule="exact"/>
            <w:rPr>
              <w:rFonts w:ascii="Times New Roman" w:eastAsia="Times New Roman"/>
            </w:rPr>
          </w:pPr>
          <w:hyperlink w:history="true" w:anchor="_TOC_250002">
            <w:r>
              <w:rPr/>
              <w:t>第十四条</w:t>
              <w:tab/>
              <w:t>合同解除权</w:t>
              <w:tab/>
            </w:r>
            <w:r>
              <w:rPr>
                <w:rFonts w:ascii="Times New Roman" w:eastAsia="Times New Roman"/>
              </w:rPr>
              <w:t>5</w:t>
            </w:r>
          </w:hyperlink>
        </w:p>
        <w:p>
          <w:pPr>
            <w:pStyle w:val="TOC1"/>
            <w:tabs>
              <w:tab w:pos="1197" w:val="left" w:leader="none"/>
              <w:tab w:pos="8490" w:val="right" w:leader="dot"/>
            </w:tabs>
            <w:spacing w:line="316" w:lineRule="exact"/>
            <w:rPr>
              <w:rFonts w:ascii="Times New Roman" w:eastAsia="Times New Roman"/>
            </w:rPr>
          </w:pPr>
          <w:hyperlink w:history="true" w:anchor="_TOC_250001">
            <w:r>
              <w:rPr/>
              <w:t>第六部分</w:t>
              <w:tab/>
              <w:t>就医须知</w:t>
              <w:tab/>
            </w:r>
            <w:r>
              <w:rPr>
                <w:rFonts w:ascii="Times New Roman" w:eastAsia="Times New Roman"/>
              </w:rPr>
              <w:t>5</w:t>
            </w:r>
          </w:hyperlink>
        </w:p>
        <w:p>
          <w:pPr>
            <w:pStyle w:val="TOC1"/>
            <w:tabs>
              <w:tab w:pos="1197" w:val="left" w:leader="none"/>
              <w:tab w:pos="8490" w:val="right" w:leader="dot"/>
            </w:tabs>
            <w:spacing w:line="339" w:lineRule="exact"/>
            <w:rPr>
              <w:rFonts w:ascii="Times New Roman" w:eastAsia="Times New Roman"/>
            </w:rPr>
          </w:pPr>
          <w:hyperlink w:history="true" w:anchor="_TOC_250000">
            <w:r>
              <w:rPr/>
              <w:t>第七部分</w:t>
              <w:tab/>
              <w:t>名词释义</w:t>
              <w:tab/>
            </w:r>
            <w:r>
              <w:rPr>
                <w:rFonts w:ascii="Times New Roman" w:eastAsia="Times New Roman"/>
              </w:rPr>
              <w:t>5</w:t>
            </w:r>
          </w:hyperlink>
        </w:p>
        <w:p>
          <w:pPr/>
          <w:r>
            <w:fldChar w:fldCharType="end"/>
          </w:r>
        </w:p>
      </w:sdtContent>
    </w:sdt>
    <w:p>
      <w:pPr>
        <w:spacing w:after="0"/>
        <w:sectPr>
          <w:pgSz w:w="11910" w:h="16840"/>
          <w:pgMar w:header="0" w:footer="998" w:top="1500" w:bottom="1180" w:left="1680" w:right="1620"/>
        </w:sectPr>
      </w:pPr>
    </w:p>
    <w:p>
      <w:pPr>
        <w:pStyle w:val="BodyText"/>
        <w:spacing w:before="7"/>
        <w:ind w:left="0"/>
        <w:rPr>
          <w:rFonts w:ascii="Times New Roman"/>
          <w:b/>
          <w:sz w:val="35"/>
        </w:rPr>
      </w:pPr>
    </w:p>
    <w:p>
      <w:pPr>
        <w:pStyle w:val="Heading1"/>
        <w:tabs>
          <w:tab w:pos="3675" w:val="left" w:leader="none"/>
        </w:tabs>
      </w:pPr>
      <w:bookmarkStart w:name="_TOC_250020" w:id="1"/>
      <w:r>
        <w:rPr/>
        <w:t>第一部分</w:t>
        <w:tab/>
      </w:r>
      <w:bookmarkEnd w:id="1"/>
      <w:r>
        <w:rPr>
          <w:w w:val="95"/>
        </w:rPr>
        <w:t>您与我们的合同</w:t>
      </w:r>
    </w:p>
    <w:p>
      <w:pPr>
        <w:pStyle w:val="BodyText"/>
        <w:spacing w:before="12"/>
        <w:ind w:left="0"/>
        <w:rPr>
          <w:rFonts w:ascii="黑体"/>
          <w:b/>
          <w:sz w:val="27"/>
        </w:rPr>
      </w:pPr>
    </w:p>
    <w:p>
      <w:pPr>
        <w:pStyle w:val="Heading2"/>
        <w:spacing w:before="1"/>
      </w:pPr>
      <w:bookmarkStart w:name="_TOC_250019" w:id="2"/>
      <w:bookmarkEnd w:id="2"/>
      <w:r>
        <w:rPr/>
        <w:t>第一条  附加保险合同的构成</w:t>
      </w:r>
    </w:p>
    <w:p>
      <w:pPr>
        <w:pStyle w:val="BodyText"/>
        <w:spacing w:before="15"/>
        <w:ind w:left="0"/>
        <w:rPr>
          <w:rFonts w:ascii="Microsoft JhengHei"/>
          <w:b/>
          <w:sz w:val="20"/>
        </w:rPr>
      </w:pPr>
    </w:p>
    <w:p>
      <w:pPr>
        <w:pStyle w:val="BodyText"/>
        <w:spacing w:line="230" w:lineRule="auto" w:before="0"/>
        <w:ind w:left="117" w:right="102" w:firstLine="420"/>
      </w:pPr>
      <w:r>
        <w:rPr>
          <w:spacing w:val="-5"/>
        </w:rPr>
        <w:t>本附加保险合同</w:t>
      </w:r>
      <w:r>
        <w:rPr/>
        <w:t>（以下简称</w:t>
      </w:r>
      <w:r>
        <w:rPr>
          <w:rFonts w:ascii="Times New Roman" w:hAnsi="Times New Roman" w:eastAsia="Times New Roman"/>
        </w:rPr>
        <w:t>“</w:t>
      </w:r>
      <w:r>
        <w:rPr/>
        <w:t>本附加合同</w:t>
      </w:r>
      <w:r>
        <w:rPr>
          <w:rFonts w:ascii="Times New Roman" w:hAnsi="Times New Roman" w:eastAsia="Times New Roman"/>
          <w:spacing w:val="-17"/>
        </w:rPr>
        <w:t>”</w:t>
      </w:r>
      <w:r>
        <w:rPr>
          <w:spacing w:val="-17"/>
        </w:rPr>
        <w:t>）</w:t>
      </w:r>
      <w:r>
        <w:rPr>
          <w:spacing w:val="-8"/>
        </w:rPr>
        <w:t>可附加于《光大永明康顺无忧两全保险》上。</w:t>
      </w:r>
      <w:r>
        <w:rPr>
          <w:spacing w:val="-11"/>
        </w:rPr>
        <w:t>主合同所包含的条款、投保书及与本附加合同有关的其他投保文件、合法有效的声明、批注和其他书面协议，凡与本附加合同相关者，均为本附加合同的构成部分。</w:t>
      </w:r>
    </w:p>
    <w:p>
      <w:pPr>
        <w:pStyle w:val="BodyText"/>
        <w:spacing w:line="272" w:lineRule="exact" w:before="0"/>
        <w:ind w:left="537"/>
      </w:pPr>
      <w:r>
        <w:rPr/>
        <w:t>除本附加合同另有约定外，主合同条款适用于本附加合同。</w:t>
      </w:r>
    </w:p>
    <w:p>
      <w:pPr>
        <w:pStyle w:val="BodyText"/>
        <w:spacing w:before="6"/>
        <w:ind w:left="0"/>
        <w:rPr>
          <w:sz w:val="20"/>
        </w:rPr>
      </w:pPr>
    </w:p>
    <w:p>
      <w:pPr>
        <w:pStyle w:val="Heading2"/>
      </w:pPr>
      <w:bookmarkStart w:name="_TOC_250018" w:id="3"/>
      <w:bookmarkEnd w:id="3"/>
      <w:r>
        <w:rPr/>
        <w:t>第二条  投保条件</w:t>
      </w:r>
    </w:p>
    <w:p>
      <w:pPr>
        <w:pStyle w:val="BodyText"/>
        <w:spacing w:before="6"/>
        <w:ind w:left="0"/>
        <w:rPr>
          <w:rFonts w:ascii="Microsoft JhengHei"/>
          <w:b/>
          <w:sz w:val="20"/>
        </w:rPr>
      </w:pPr>
    </w:p>
    <w:p>
      <w:pPr>
        <w:pStyle w:val="BodyText"/>
        <w:spacing w:line="237" w:lineRule="auto" w:before="0"/>
        <w:ind w:left="117" w:right="148" w:firstLine="420"/>
      </w:pPr>
      <w:r>
        <w:rPr/>
        <w:t>凡投保时身体健康、能正常工作或学习的主合同被保险人，均可作为本附加合同的被保险人。</w:t>
      </w:r>
    </w:p>
    <w:p>
      <w:pPr>
        <w:pStyle w:val="BodyText"/>
        <w:spacing w:before="5"/>
        <w:ind w:left="0"/>
        <w:rPr>
          <w:sz w:val="20"/>
        </w:rPr>
      </w:pPr>
    </w:p>
    <w:p>
      <w:pPr>
        <w:pStyle w:val="Heading2"/>
      </w:pPr>
      <w:bookmarkStart w:name="_TOC_250017" w:id="4"/>
      <w:bookmarkEnd w:id="4"/>
      <w:r>
        <w:rPr/>
        <w:t>第三条  受益人的指定</w:t>
      </w:r>
    </w:p>
    <w:p>
      <w:pPr>
        <w:pStyle w:val="BodyText"/>
        <w:spacing w:before="4"/>
        <w:ind w:left="0"/>
        <w:rPr>
          <w:rFonts w:ascii="Microsoft JhengHei"/>
          <w:b/>
          <w:sz w:val="20"/>
        </w:rPr>
      </w:pPr>
    </w:p>
    <w:p>
      <w:pPr>
        <w:pStyle w:val="BodyText"/>
        <w:spacing w:before="0"/>
        <w:ind w:left="537"/>
      </w:pPr>
      <w:r>
        <w:rPr/>
        <w:t>本附加合同的受益人应为被保险人本人。</w:t>
      </w:r>
    </w:p>
    <w:p>
      <w:pPr>
        <w:pStyle w:val="BodyText"/>
        <w:spacing w:before="5"/>
        <w:ind w:left="0"/>
        <w:rPr>
          <w:sz w:val="20"/>
        </w:rPr>
      </w:pPr>
    </w:p>
    <w:p>
      <w:pPr>
        <w:pStyle w:val="Heading2"/>
      </w:pPr>
      <w:bookmarkStart w:name="_TOC_250016" w:id="5"/>
      <w:bookmarkEnd w:id="5"/>
      <w:r>
        <w:rPr/>
        <w:t>第四条  保险责任的开始</w:t>
      </w:r>
    </w:p>
    <w:p>
      <w:pPr>
        <w:pStyle w:val="BodyText"/>
        <w:spacing w:before="5"/>
        <w:ind w:left="0"/>
        <w:rPr>
          <w:rFonts w:ascii="Microsoft JhengHei"/>
          <w:b/>
          <w:sz w:val="20"/>
        </w:rPr>
      </w:pPr>
    </w:p>
    <w:p>
      <w:pPr>
        <w:pStyle w:val="BodyText"/>
        <w:spacing w:line="237" w:lineRule="auto" w:before="0"/>
        <w:ind w:left="117" w:right="150" w:firstLine="420"/>
      </w:pPr>
      <w:r>
        <w:rPr/>
        <w:t>我们在收取首期保险费并同意承保后，将签发保险单或批注作为保险凭证。我们自本附加合同生效日零时起承担保险责任。</w:t>
      </w:r>
    </w:p>
    <w:p>
      <w:pPr>
        <w:pStyle w:val="BodyText"/>
        <w:spacing w:line="271" w:lineRule="exact" w:before="0"/>
        <w:ind w:left="537"/>
      </w:pPr>
      <w:r>
        <w:rPr/>
        <w:t>本附加合同的生效日与主合同相同。</w:t>
      </w:r>
    </w:p>
    <w:p>
      <w:pPr>
        <w:pStyle w:val="BodyText"/>
        <w:spacing w:line="237" w:lineRule="auto" w:before="2"/>
        <w:ind w:left="117" w:right="150" w:firstLine="420"/>
      </w:pPr>
      <w:r>
        <w:rPr/>
        <w:t>本附加合同的保险单周年日、保险单年度、保险费到期日均以本附加合同生效日为基础计算。</w:t>
      </w:r>
    </w:p>
    <w:p>
      <w:pPr>
        <w:pStyle w:val="BodyText"/>
        <w:spacing w:before="5"/>
        <w:ind w:left="0"/>
        <w:rPr>
          <w:sz w:val="20"/>
        </w:rPr>
      </w:pPr>
    </w:p>
    <w:p>
      <w:pPr>
        <w:pStyle w:val="Heading2"/>
      </w:pPr>
      <w:bookmarkStart w:name="_TOC_250015" w:id="6"/>
      <w:bookmarkEnd w:id="6"/>
      <w:r>
        <w:rPr/>
        <w:t>第五条  保险期间</w:t>
      </w:r>
    </w:p>
    <w:p>
      <w:pPr>
        <w:pStyle w:val="BodyText"/>
        <w:spacing w:before="3"/>
        <w:ind w:left="0"/>
        <w:rPr>
          <w:rFonts w:ascii="Microsoft JhengHei"/>
          <w:b/>
          <w:sz w:val="20"/>
        </w:rPr>
      </w:pPr>
    </w:p>
    <w:p>
      <w:pPr>
        <w:pStyle w:val="BodyText"/>
        <w:spacing w:before="0"/>
        <w:ind w:left="537"/>
      </w:pPr>
      <w:r>
        <w:rPr/>
        <w:t>本附加合同的保险期间与主合同保险期间相同。</w:t>
      </w:r>
    </w:p>
    <w:p>
      <w:pPr>
        <w:pStyle w:val="BodyText"/>
        <w:spacing w:before="5"/>
        <w:ind w:left="0"/>
        <w:rPr>
          <w:sz w:val="20"/>
        </w:rPr>
      </w:pPr>
    </w:p>
    <w:p>
      <w:pPr>
        <w:pStyle w:val="Heading2"/>
      </w:pPr>
      <w:bookmarkStart w:name="_TOC_250014" w:id="7"/>
      <w:bookmarkEnd w:id="7"/>
      <w:r>
        <w:rPr/>
        <w:t>第六条  保险合同的中止</w:t>
      </w:r>
    </w:p>
    <w:p>
      <w:pPr>
        <w:pStyle w:val="BodyText"/>
        <w:spacing w:before="4"/>
        <w:ind w:left="0"/>
        <w:rPr>
          <w:rFonts w:ascii="Microsoft JhengHei"/>
          <w:b/>
          <w:sz w:val="20"/>
        </w:rPr>
      </w:pPr>
    </w:p>
    <w:p>
      <w:pPr>
        <w:pStyle w:val="BodyText"/>
        <w:spacing w:line="264" w:lineRule="auto" w:before="0"/>
        <w:ind w:left="117" w:right="150" w:firstLine="420"/>
      </w:pPr>
      <w:r>
        <w:rPr/>
        <w:t>若本附加合同因其他条款所列情况而导致效力中止，在效力中止期间，我们不承担保险责任。</w:t>
      </w:r>
    </w:p>
    <w:p>
      <w:pPr>
        <w:pStyle w:val="BodyText"/>
        <w:spacing w:before="12"/>
        <w:ind w:left="0"/>
        <w:rPr>
          <w:sz w:val="20"/>
        </w:rPr>
      </w:pPr>
    </w:p>
    <w:p>
      <w:pPr>
        <w:pStyle w:val="Heading2"/>
      </w:pPr>
      <w:bookmarkStart w:name="_TOC_250013" w:id="8"/>
      <w:bookmarkEnd w:id="8"/>
      <w:r>
        <w:rPr/>
        <w:t>第七条  保险责任的终止</w:t>
      </w:r>
    </w:p>
    <w:p>
      <w:pPr>
        <w:pStyle w:val="BodyText"/>
        <w:spacing w:before="9"/>
        <w:ind w:left="0"/>
        <w:rPr>
          <w:rFonts w:ascii="Microsoft JhengHei"/>
          <w:b/>
          <w:sz w:val="20"/>
        </w:rPr>
      </w:pPr>
    </w:p>
    <w:p>
      <w:pPr>
        <w:pStyle w:val="BodyText"/>
        <w:spacing w:before="0"/>
        <w:ind w:left="537"/>
      </w:pPr>
      <w:r>
        <w:rPr/>
        <w:t>发生下列情况之一时，本附加合同终止：</w:t>
      </w:r>
    </w:p>
    <w:p>
      <w:pPr>
        <w:pStyle w:val="ListParagraph"/>
        <w:numPr>
          <w:ilvl w:val="0"/>
          <w:numId w:val="1"/>
        </w:numPr>
        <w:tabs>
          <w:tab w:pos="957" w:val="left" w:leader="none"/>
          <w:tab w:pos="958" w:val="left" w:leader="none"/>
        </w:tabs>
        <w:spacing w:line="240" w:lineRule="auto" w:before="37" w:after="0"/>
        <w:ind w:left="957" w:right="0" w:hanging="420"/>
        <w:jc w:val="left"/>
        <w:rPr>
          <w:sz w:val="21"/>
        </w:rPr>
      </w:pPr>
      <w:r>
        <w:rPr>
          <w:sz w:val="21"/>
        </w:rPr>
        <w:t>本附加合同保险期间届满；</w:t>
      </w:r>
    </w:p>
    <w:p>
      <w:pPr>
        <w:spacing w:after="0" w:line="240" w:lineRule="auto"/>
        <w:jc w:val="left"/>
        <w:rPr>
          <w:sz w:val="21"/>
        </w:rPr>
        <w:sectPr>
          <w:headerReference w:type="default" r:id="rId6"/>
          <w:footerReference w:type="default" r:id="rId7"/>
          <w:pgSz w:w="11910" w:h="16840"/>
          <w:pgMar w:header="896" w:footer="1008" w:top="1280" w:bottom="1200" w:left="1680" w:right="1540"/>
          <w:pgNumType w:start="1"/>
        </w:sectPr>
      </w:pPr>
    </w:p>
    <w:p>
      <w:pPr>
        <w:pStyle w:val="ListParagraph"/>
        <w:numPr>
          <w:ilvl w:val="0"/>
          <w:numId w:val="1"/>
        </w:numPr>
        <w:tabs>
          <w:tab w:pos="957" w:val="left" w:leader="none"/>
          <w:tab w:pos="958" w:val="left" w:leader="none"/>
        </w:tabs>
        <w:spacing w:line="240" w:lineRule="auto" w:before="119" w:after="0"/>
        <w:ind w:left="957" w:right="0" w:hanging="420"/>
        <w:jc w:val="left"/>
        <w:rPr>
          <w:sz w:val="21"/>
        </w:rPr>
      </w:pPr>
      <w:r>
        <w:rPr>
          <w:sz w:val="21"/>
        </w:rPr>
        <w:t>您于本附加合同有效期内向我们申请解除本附加合同；</w:t>
      </w:r>
    </w:p>
    <w:p>
      <w:pPr>
        <w:pStyle w:val="ListParagraph"/>
        <w:numPr>
          <w:ilvl w:val="0"/>
          <w:numId w:val="1"/>
        </w:numPr>
        <w:tabs>
          <w:tab w:pos="957" w:val="left" w:leader="none"/>
          <w:tab w:pos="958" w:val="left" w:leader="none"/>
        </w:tabs>
        <w:spacing w:line="256" w:lineRule="auto" w:before="21" w:after="0"/>
        <w:ind w:left="957" w:right="119" w:hanging="420"/>
        <w:jc w:val="left"/>
        <w:rPr>
          <w:sz w:val="21"/>
        </w:rPr>
      </w:pPr>
      <w:r>
        <w:rPr>
          <w:spacing w:val="-3"/>
          <w:sz w:val="21"/>
        </w:rPr>
        <w:t>本附加合同因其他条款所列情况而效力中止，且未按【合同效力恢复】条款办理复效；</w:t>
      </w:r>
    </w:p>
    <w:p>
      <w:pPr>
        <w:pStyle w:val="ListParagraph"/>
        <w:numPr>
          <w:ilvl w:val="0"/>
          <w:numId w:val="1"/>
        </w:numPr>
        <w:tabs>
          <w:tab w:pos="957" w:val="left" w:leader="none"/>
          <w:tab w:pos="958" w:val="left" w:leader="none"/>
        </w:tabs>
        <w:spacing w:line="256" w:lineRule="auto" w:before="22" w:after="0"/>
        <w:ind w:left="957" w:right="120" w:hanging="420"/>
        <w:jc w:val="left"/>
        <w:rPr>
          <w:sz w:val="21"/>
        </w:rPr>
      </w:pPr>
      <w:r>
        <w:rPr>
          <w:spacing w:val="-1"/>
          <w:sz w:val="21"/>
        </w:rPr>
        <w:t>被保险人患本附加合同约定的重大疾病，但被保险人患有本附加合同约定的重大疾病中所列的癌症除外；</w:t>
      </w:r>
    </w:p>
    <w:p>
      <w:pPr>
        <w:pStyle w:val="ListParagraph"/>
        <w:numPr>
          <w:ilvl w:val="0"/>
          <w:numId w:val="1"/>
        </w:numPr>
        <w:tabs>
          <w:tab w:pos="957" w:val="left" w:leader="none"/>
          <w:tab w:pos="958" w:val="left" w:leader="none"/>
        </w:tabs>
        <w:spacing w:line="240" w:lineRule="auto" w:before="22" w:after="0"/>
        <w:ind w:left="957" w:right="0" w:hanging="420"/>
        <w:jc w:val="left"/>
        <w:rPr>
          <w:sz w:val="21"/>
        </w:rPr>
      </w:pPr>
      <w:r>
        <w:rPr>
          <w:sz w:val="21"/>
        </w:rPr>
        <w:t>因本附加合同其他条款所列情况而终止；</w:t>
      </w:r>
    </w:p>
    <w:p>
      <w:pPr>
        <w:pStyle w:val="ListParagraph"/>
        <w:numPr>
          <w:ilvl w:val="0"/>
          <w:numId w:val="1"/>
        </w:numPr>
        <w:tabs>
          <w:tab w:pos="957" w:val="left" w:leader="none"/>
          <w:tab w:pos="958" w:val="left" w:leader="none"/>
        </w:tabs>
        <w:spacing w:line="256" w:lineRule="auto" w:before="21" w:after="0"/>
        <w:ind w:left="957" w:right="120" w:hanging="420"/>
        <w:jc w:val="left"/>
        <w:rPr>
          <w:sz w:val="21"/>
        </w:rPr>
      </w:pPr>
      <w:r>
        <w:rPr>
          <w:spacing w:val="-3"/>
          <w:sz w:val="21"/>
        </w:rPr>
        <w:t>主合同终止，但因被保险人患有本附加合同约定的重大疾病中所列的癌症导致主合同终止的除外；</w:t>
      </w:r>
    </w:p>
    <w:p>
      <w:pPr>
        <w:pStyle w:val="ListParagraph"/>
        <w:numPr>
          <w:ilvl w:val="0"/>
          <w:numId w:val="1"/>
        </w:numPr>
        <w:tabs>
          <w:tab w:pos="957" w:val="left" w:leader="none"/>
          <w:tab w:pos="958" w:val="left" w:leader="none"/>
        </w:tabs>
        <w:spacing w:line="240" w:lineRule="auto" w:before="22" w:after="0"/>
        <w:ind w:left="957" w:right="0" w:hanging="420"/>
        <w:jc w:val="left"/>
        <w:rPr>
          <w:sz w:val="21"/>
        </w:rPr>
      </w:pPr>
      <w:r>
        <w:rPr>
          <w:sz w:val="21"/>
        </w:rPr>
        <w:t>主合同转为减额交清保险。</w:t>
      </w:r>
    </w:p>
    <w:p>
      <w:pPr>
        <w:pStyle w:val="BodyText"/>
        <w:spacing w:before="10"/>
        <w:ind w:left="0"/>
        <w:rPr>
          <w:sz w:val="23"/>
        </w:rPr>
      </w:pPr>
    </w:p>
    <w:p>
      <w:pPr>
        <w:pStyle w:val="Heading1"/>
        <w:tabs>
          <w:tab w:pos="3675" w:val="left" w:leader="none"/>
        </w:tabs>
      </w:pPr>
      <w:bookmarkStart w:name="_TOC_250012" w:id="9"/>
      <w:r>
        <w:rPr/>
        <w:t>第二部分</w:t>
        <w:tab/>
      </w:r>
      <w:bookmarkEnd w:id="9"/>
      <w:r>
        <w:rPr>
          <w:w w:val="95"/>
        </w:rPr>
        <w:t>我们提供的保障</w:t>
      </w:r>
    </w:p>
    <w:p>
      <w:pPr>
        <w:pStyle w:val="BodyText"/>
        <w:spacing w:before="12"/>
        <w:ind w:left="0"/>
        <w:rPr>
          <w:rFonts w:ascii="黑体"/>
          <w:b/>
          <w:sz w:val="27"/>
        </w:rPr>
      </w:pPr>
    </w:p>
    <w:p>
      <w:pPr>
        <w:pStyle w:val="Heading2"/>
      </w:pPr>
      <w:bookmarkStart w:name="_TOC_250011" w:id="10"/>
      <w:bookmarkEnd w:id="10"/>
      <w:r>
        <w:rPr/>
        <w:t>第八条  保险责任</w:t>
      </w:r>
    </w:p>
    <w:p>
      <w:pPr>
        <w:pStyle w:val="BodyText"/>
        <w:spacing w:before="2"/>
        <w:ind w:left="0"/>
        <w:rPr>
          <w:rFonts w:ascii="Microsoft JhengHei"/>
          <w:b/>
          <w:sz w:val="20"/>
        </w:rPr>
      </w:pPr>
    </w:p>
    <w:p>
      <w:pPr>
        <w:pStyle w:val="BodyText"/>
        <w:spacing w:line="256" w:lineRule="auto" w:before="1"/>
        <w:ind w:left="535" w:right="3464" w:firstLine="2"/>
      </w:pPr>
      <w:r>
        <w:rPr/>
        <w:t>在本附加合同有效期内，我们承担下列保险责任： 一、重大疾病保险金</w:t>
      </w:r>
    </w:p>
    <w:p>
      <w:pPr>
        <w:pStyle w:val="BodyText"/>
        <w:spacing w:line="273" w:lineRule="auto" w:before="22"/>
        <w:ind w:left="117" w:right="119" w:firstLine="420"/>
        <w:jc w:val="both"/>
      </w:pPr>
      <w:r>
        <w:rPr>
          <w:spacing w:val="-1"/>
        </w:rPr>
        <w:t>被保险人经定点医疗机构诊断于本附加合同生效</w:t>
      </w:r>
      <w:r>
        <w:rPr/>
        <w:t>（或复效</w:t>
      </w:r>
      <w:r>
        <w:rPr>
          <w:spacing w:val="-8"/>
        </w:rPr>
        <w:t>）</w:t>
      </w:r>
      <w:r>
        <w:rPr/>
        <w:t>一百八十天后初次患有本附</w:t>
      </w:r>
      <w:r>
        <w:rPr>
          <w:spacing w:val="-2"/>
        </w:rPr>
        <w:t>加合同约定的重大疾病中的一项或多项，并且被保险人仍生存时，我们将提前向被保险人支</w:t>
      </w:r>
      <w:r>
        <w:rPr>
          <w:spacing w:val="-3"/>
        </w:rPr>
        <w:t>付等值于主合同身故保险金的重大疾病保险金。本附加合同及主合同根据以下所列情形进行处理：</w:t>
      </w:r>
    </w:p>
    <w:p>
      <w:pPr>
        <w:pStyle w:val="ListParagraph"/>
        <w:numPr>
          <w:ilvl w:val="0"/>
          <w:numId w:val="2"/>
        </w:numPr>
        <w:tabs>
          <w:tab w:pos="957" w:val="left" w:leader="none"/>
          <w:tab w:pos="958" w:val="left" w:leader="none"/>
        </w:tabs>
        <w:spacing w:line="256" w:lineRule="auto" w:before="7" w:after="0"/>
        <w:ind w:left="957" w:right="120" w:hanging="420"/>
        <w:jc w:val="left"/>
        <w:rPr>
          <w:sz w:val="21"/>
        </w:rPr>
      </w:pPr>
      <w:r>
        <w:rPr>
          <w:spacing w:val="-1"/>
          <w:sz w:val="21"/>
        </w:rPr>
        <w:t>若被保险人患本附加合同约定的除癌症以外的其他的重大疾病，我们向被保险人支付重大疾病保险金，本附加合同终止，同时主合同终止；</w:t>
      </w:r>
    </w:p>
    <w:p>
      <w:pPr>
        <w:pStyle w:val="ListParagraph"/>
        <w:numPr>
          <w:ilvl w:val="0"/>
          <w:numId w:val="2"/>
        </w:numPr>
        <w:tabs>
          <w:tab w:pos="958" w:val="left" w:leader="none"/>
        </w:tabs>
        <w:spacing w:line="264" w:lineRule="auto" w:before="22" w:after="0"/>
        <w:ind w:left="957" w:right="119" w:hanging="420"/>
        <w:jc w:val="both"/>
        <w:rPr>
          <w:sz w:val="21"/>
        </w:rPr>
      </w:pPr>
      <w:r>
        <w:rPr>
          <w:spacing w:val="-1"/>
          <w:sz w:val="21"/>
        </w:rPr>
        <w:t>若被保险人患有本附加合同约定的重大疾病中所列的癌症，我们向被保险人支付重</w:t>
      </w:r>
      <w:r>
        <w:rPr>
          <w:spacing w:val="-4"/>
          <w:sz w:val="21"/>
        </w:rPr>
        <w:t>大疾病保险金，本附加合同的此项保险责任终止，现金价值降低为零，同时主合同终止。</w:t>
      </w:r>
    </w:p>
    <w:p>
      <w:pPr>
        <w:pStyle w:val="BodyText"/>
        <w:spacing w:line="273" w:lineRule="auto" w:before="16"/>
        <w:ind w:left="117" w:right="76" w:firstLine="420"/>
      </w:pPr>
      <w:r>
        <w:rPr/>
        <w:t>当被保险人经定点医疗机构诊断患有本附加合同约定的重大疾病中所列的癌症，并且我们已批准并支付重大疾病保险金时，我们将免除本附加合同的后续保险费。</w:t>
      </w:r>
    </w:p>
    <w:p>
      <w:pPr>
        <w:pStyle w:val="BodyText"/>
        <w:spacing w:before="8"/>
        <w:ind w:left="535"/>
      </w:pPr>
      <w:r>
        <w:rPr/>
        <w:t>二、癌症额外给付</w:t>
      </w:r>
    </w:p>
    <w:p>
      <w:pPr>
        <w:pStyle w:val="BodyText"/>
        <w:spacing w:line="273" w:lineRule="auto" w:before="37"/>
        <w:ind w:left="117" w:right="76" w:firstLine="420"/>
      </w:pPr>
      <w:r>
        <w:rPr/>
        <w:t>当被保险人符合下列所有条件时，我们向被保险人支付本附加合同保险金额的百分之二十作为癌症额外给付，本附加合同终止：</w:t>
      </w:r>
    </w:p>
    <w:p>
      <w:pPr>
        <w:pStyle w:val="ListParagraph"/>
        <w:numPr>
          <w:ilvl w:val="0"/>
          <w:numId w:val="3"/>
        </w:numPr>
        <w:tabs>
          <w:tab w:pos="957" w:val="left" w:leader="none"/>
          <w:tab w:pos="958" w:val="left" w:leader="none"/>
        </w:tabs>
        <w:spacing w:line="256" w:lineRule="auto" w:before="7" w:after="0"/>
        <w:ind w:left="957" w:right="120" w:hanging="420"/>
        <w:jc w:val="left"/>
        <w:rPr>
          <w:sz w:val="21"/>
        </w:rPr>
      </w:pPr>
      <w:r>
        <w:rPr>
          <w:spacing w:val="-1"/>
          <w:sz w:val="21"/>
        </w:rPr>
        <w:t>被保险人经定点医疗机构诊断患有本附加合同约定的重大疾病中所列的癌症，并且我们已批准并支付重大疾病保险金；</w:t>
      </w:r>
    </w:p>
    <w:p>
      <w:pPr>
        <w:pStyle w:val="ListParagraph"/>
        <w:numPr>
          <w:ilvl w:val="0"/>
          <w:numId w:val="3"/>
        </w:numPr>
        <w:tabs>
          <w:tab w:pos="957" w:val="left" w:leader="none"/>
          <w:tab w:pos="958" w:val="left" w:leader="none"/>
        </w:tabs>
        <w:spacing w:line="256" w:lineRule="auto" w:before="22" w:after="0"/>
        <w:ind w:left="957" w:right="120" w:hanging="420"/>
        <w:jc w:val="left"/>
        <w:rPr>
          <w:sz w:val="21"/>
        </w:rPr>
      </w:pPr>
      <w:r>
        <w:rPr>
          <w:spacing w:val="-1"/>
          <w:sz w:val="21"/>
        </w:rPr>
        <w:t>被保险人自诊断患有本附加合同约定的重大疾病中所列的癌症后生存三年</w:t>
      </w:r>
      <w:r>
        <w:rPr>
          <w:sz w:val="21"/>
        </w:rPr>
        <w:t>（以下称为癌症生存期</w:t>
      </w:r>
      <w:r>
        <w:rPr>
          <w:spacing w:val="-105"/>
          <w:sz w:val="21"/>
        </w:rPr>
        <w:t>）</w:t>
      </w:r>
      <w:r>
        <w:rPr>
          <w:sz w:val="21"/>
        </w:rPr>
        <w:t>；</w:t>
      </w:r>
    </w:p>
    <w:p>
      <w:pPr>
        <w:pStyle w:val="ListParagraph"/>
        <w:numPr>
          <w:ilvl w:val="0"/>
          <w:numId w:val="3"/>
        </w:numPr>
        <w:tabs>
          <w:tab w:pos="957" w:val="left" w:leader="none"/>
          <w:tab w:pos="958" w:val="left" w:leader="none"/>
        </w:tabs>
        <w:spacing w:line="256" w:lineRule="auto" w:before="22" w:after="0"/>
        <w:ind w:left="957" w:right="120" w:hanging="420"/>
        <w:jc w:val="left"/>
        <w:rPr>
          <w:sz w:val="21"/>
        </w:rPr>
      </w:pPr>
      <w:r>
        <w:rPr>
          <w:spacing w:val="-2"/>
          <w:sz w:val="21"/>
        </w:rPr>
        <w:t>癌症生存期结束后三年内，被保险人经定点医疗机构诊断患有本附加合同约定的重大疾病中所列的癌症。</w:t>
      </w:r>
    </w:p>
    <w:p>
      <w:pPr>
        <w:pStyle w:val="BodyText"/>
        <w:spacing w:before="22"/>
        <w:ind w:left="535"/>
      </w:pPr>
      <w:r>
        <w:rPr/>
        <w:t>三、保险费返还</w:t>
      </w:r>
    </w:p>
    <w:p>
      <w:pPr>
        <w:pStyle w:val="BodyText"/>
        <w:spacing w:line="273" w:lineRule="auto" w:before="37"/>
        <w:ind w:left="117" w:right="119" w:firstLine="420"/>
        <w:jc w:val="both"/>
      </w:pPr>
      <w:r>
        <w:rPr>
          <w:spacing w:val="-1"/>
        </w:rPr>
        <w:t>被保险人于本附加合同生效</w:t>
      </w:r>
      <w:r>
        <w:rPr/>
        <w:t>（或复效</w:t>
      </w:r>
      <w:r>
        <w:rPr>
          <w:spacing w:val="-8"/>
        </w:rPr>
        <w:t>）</w:t>
      </w:r>
      <w:r>
        <w:rPr/>
        <w:t>日起一百八十天内因疾病导致身故或高度残疾或</w:t>
      </w:r>
      <w:r>
        <w:rPr>
          <w:spacing w:val="-1"/>
        </w:rPr>
        <w:t>经诊断于本附加合同生效</w:t>
      </w:r>
      <w:r>
        <w:rPr/>
        <w:t>（或复效</w:t>
      </w:r>
      <w:r>
        <w:rPr>
          <w:spacing w:val="-8"/>
        </w:rPr>
        <w:t>）</w:t>
      </w:r>
      <w:r>
        <w:rPr/>
        <w:t>一百八十天内初次患有本附加合同约定的重大疾病中的</w:t>
      </w:r>
      <w:r>
        <w:rPr>
          <w:spacing w:val="-3"/>
        </w:rPr>
        <w:t>一项或多项时，我们向您无息返还已交保险费</w:t>
      </w:r>
      <w:r>
        <w:rPr/>
        <w:t>（复效情况下返还最后一次申请复效时所交保险费</w:t>
      </w:r>
      <w:r>
        <w:rPr>
          <w:spacing w:val="-105"/>
        </w:rPr>
        <w:t>）</w:t>
      </w:r>
      <w:r>
        <w:rPr>
          <w:spacing w:val="-1"/>
        </w:rPr>
        <w:t>，本附加合同及主合同同时终止。</w:t>
      </w:r>
    </w:p>
    <w:p>
      <w:pPr>
        <w:spacing w:after="0" w:line="273" w:lineRule="auto"/>
        <w:jc w:val="both"/>
        <w:sectPr>
          <w:pgSz w:w="11910" w:h="16840"/>
          <w:pgMar w:header="896" w:footer="1008" w:top="1280" w:bottom="1200" w:left="1680" w:right="1600"/>
        </w:sectPr>
      </w:pPr>
    </w:p>
    <w:p>
      <w:pPr>
        <w:pStyle w:val="BodyText"/>
        <w:spacing w:before="1"/>
        <w:ind w:left="0"/>
        <w:rPr>
          <w:sz w:val="16"/>
        </w:rPr>
      </w:pPr>
    </w:p>
    <w:p>
      <w:pPr>
        <w:pStyle w:val="Heading2"/>
        <w:spacing w:line="434" w:lineRule="exact"/>
      </w:pPr>
      <w:bookmarkStart w:name="_TOC_250010" w:id="11"/>
      <w:bookmarkEnd w:id="11"/>
      <w:r>
        <w:rPr/>
        <w:t>第九条  责任免除</w:t>
      </w:r>
    </w:p>
    <w:p>
      <w:pPr>
        <w:pStyle w:val="BodyText"/>
        <w:spacing w:before="7"/>
        <w:ind w:left="0"/>
        <w:rPr>
          <w:rFonts w:ascii="Microsoft JhengHei"/>
          <w:b/>
        </w:rPr>
      </w:pPr>
    </w:p>
    <w:p>
      <w:pPr>
        <w:pStyle w:val="BodyText"/>
        <w:spacing w:before="0"/>
        <w:ind w:left="529"/>
        <w:rPr>
          <w:rFonts w:ascii="黑体" w:eastAsia="黑体" w:hint="eastAsia"/>
        </w:rPr>
      </w:pPr>
      <w:r>
        <w:rPr>
          <w:rFonts w:ascii="黑体" w:eastAsia="黑体" w:hint="eastAsia"/>
        </w:rPr>
        <w:t>被保险人因下列情形之一导致患重大疾病的，我们不承担保险责任：</w:t>
      </w:r>
    </w:p>
    <w:p>
      <w:pPr>
        <w:pStyle w:val="ListParagraph"/>
        <w:numPr>
          <w:ilvl w:val="0"/>
          <w:numId w:val="4"/>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您、受益人对被保险人的故意行为；</w:t>
      </w:r>
    </w:p>
    <w:p>
      <w:pPr>
        <w:pStyle w:val="ListParagraph"/>
        <w:numPr>
          <w:ilvl w:val="0"/>
          <w:numId w:val="4"/>
        </w:numPr>
        <w:tabs>
          <w:tab w:pos="957" w:val="left" w:leader="none"/>
          <w:tab w:pos="958" w:val="left" w:leader="none"/>
        </w:tabs>
        <w:spacing w:line="240" w:lineRule="auto" w:before="21" w:after="0"/>
        <w:ind w:left="957" w:right="0" w:hanging="420"/>
        <w:jc w:val="left"/>
        <w:rPr>
          <w:rFonts w:ascii="黑体" w:eastAsia="黑体" w:hint="eastAsia"/>
          <w:sz w:val="21"/>
        </w:rPr>
      </w:pPr>
      <w:r>
        <w:rPr>
          <w:rFonts w:ascii="黑体" w:eastAsia="黑体" w:hint="eastAsia"/>
          <w:sz w:val="21"/>
        </w:rPr>
        <w:t>被保险人犯罪、拒捕；</w:t>
      </w:r>
    </w:p>
    <w:p>
      <w:pPr>
        <w:pStyle w:val="ListParagraph"/>
        <w:numPr>
          <w:ilvl w:val="0"/>
          <w:numId w:val="4"/>
        </w:numPr>
        <w:tabs>
          <w:tab w:pos="957" w:val="left" w:leader="none"/>
          <w:tab w:pos="958" w:val="left" w:leader="none"/>
        </w:tabs>
        <w:spacing w:line="240" w:lineRule="auto" w:before="21" w:after="0"/>
        <w:ind w:left="957" w:right="0" w:hanging="420"/>
        <w:jc w:val="left"/>
        <w:rPr>
          <w:rFonts w:ascii="黑体" w:eastAsia="黑体" w:hint="eastAsia"/>
          <w:sz w:val="21"/>
        </w:rPr>
      </w:pPr>
      <w:r>
        <w:rPr>
          <w:rFonts w:ascii="黑体" w:eastAsia="黑体" w:hint="eastAsia"/>
          <w:sz w:val="21"/>
        </w:rPr>
        <w:t>被保险人服用、吸食或注射毒品；</w:t>
      </w:r>
    </w:p>
    <w:p>
      <w:pPr>
        <w:pStyle w:val="ListParagraph"/>
        <w:numPr>
          <w:ilvl w:val="0"/>
          <w:numId w:val="4"/>
        </w:numPr>
        <w:tabs>
          <w:tab w:pos="957" w:val="left" w:leader="none"/>
          <w:tab w:pos="958" w:val="left" w:leader="none"/>
        </w:tabs>
        <w:spacing w:line="240" w:lineRule="auto" w:before="21" w:after="0"/>
        <w:ind w:left="957" w:right="0" w:hanging="420"/>
        <w:jc w:val="left"/>
        <w:rPr>
          <w:rFonts w:ascii="黑体" w:eastAsia="黑体" w:hint="eastAsia"/>
          <w:sz w:val="21"/>
        </w:rPr>
      </w:pPr>
      <w:r>
        <w:rPr>
          <w:rFonts w:ascii="黑体" w:eastAsia="黑体" w:hint="eastAsia"/>
          <w:sz w:val="21"/>
        </w:rPr>
        <w:t>被保险人在本附加合同Th效日起两年内或最后复效日起两年内自杀或故意自伤；</w:t>
      </w:r>
    </w:p>
    <w:p>
      <w:pPr>
        <w:pStyle w:val="ListParagraph"/>
        <w:numPr>
          <w:ilvl w:val="0"/>
          <w:numId w:val="4"/>
        </w:numPr>
        <w:tabs>
          <w:tab w:pos="957" w:val="left" w:leader="none"/>
          <w:tab w:pos="958" w:val="left" w:leader="none"/>
        </w:tabs>
        <w:spacing w:line="240" w:lineRule="auto" w:before="21" w:after="0"/>
        <w:ind w:left="957" w:right="0" w:hanging="420"/>
        <w:jc w:val="left"/>
        <w:rPr>
          <w:rFonts w:ascii="黑体" w:eastAsia="黑体" w:hint="eastAsia"/>
          <w:sz w:val="21"/>
        </w:rPr>
      </w:pPr>
      <w:r>
        <w:rPr>
          <w:rFonts w:ascii="黑体" w:eastAsia="黑体" w:hint="eastAsia"/>
          <w:sz w:val="21"/>
        </w:rPr>
        <w:t>被保险人酒后驾驶、无有效驾驶证件驾驶或驾驶无有效行驶证件的机动交通工具；</w:t>
      </w:r>
    </w:p>
    <w:p>
      <w:pPr>
        <w:pStyle w:val="ListParagraph"/>
        <w:numPr>
          <w:ilvl w:val="0"/>
          <w:numId w:val="4"/>
        </w:numPr>
        <w:tabs>
          <w:tab w:pos="957" w:val="left" w:leader="none"/>
          <w:tab w:pos="958" w:val="left" w:leader="none"/>
        </w:tabs>
        <w:spacing w:line="256" w:lineRule="auto" w:before="21" w:after="0"/>
        <w:ind w:left="957" w:right="173" w:hanging="420"/>
        <w:jc w:val="left"/>
        <w:rPr>
          <w:rFonts w:ascii="黑体" w:eastAsia="黑体" w:hint="eastAsia"/>
          <w:sz w:val="21"/>
        </w:rPr>
      </w:pPr>
      <w:r>
        <w:rPr>
          <w:rFonts w:ascii="黑体" w:eastAsia="黑体" w:hint="eastAsia"/>
          <w:sz w:val="21"/>
        </w:rPr>
        <w:t>被保险人患艾滋病</w:t>
      </w:r>
      <w:r>
        <w:rPr>
          <w:rFonts w:ascii="Times New Roman" w:eastAsia="Times New Roman"/>
          <w:sz w:val="21"/>
          <w:vertAlign w:val="superscript"/>
        </w:rPr>
        <w:t>1</w:t>
      </w:r>
      <w:r>
        <w:rPr>
          <w:rFonts w:ascii="Times New Roman" w:eastAsia="Times New Roman"/>
          <w:sz w:val="21"/>
          <w:vertAlign w:val="baseline"/>
        </w:rPr>
      </w:r>
      <w:r>
        <w:rPr>
          <w:rFonts w:ascii="黑体" w:eastAsia="黑体" w:hint="eastAsia"/>
          <w:sz w:val="21"/>
          <w:vertAlign w:val="baseline"/>
        </w:rPr>
        <w:t>或感染艾滋病病毒</w:t>
      </w:r>
      <w:r>
        <w:rPr>
          <w:rFonts w:ascii="Times New Roman" w:eastAsia="Times New Roman"/>
          <w:sz w:val="21"/>
          <w:vertAlign w:val="superscript"/>
        </w:rPr>
        <w:t>2</w:t>
      </w:r>
      <w:r>
        <w:rPr>
          <w:rFonts w:ascii="Times New Roman" w:eastAsia="Times New Roman"/>
          <w:sz w:val="21"/>
          <w:vertAlign w:val="baseline"/>
        </w:rPr>
      </w:r>
      <w:r>
        <w:rPr>
          <w:rFonts w:ascii="黑体" w:eastAsia="黑体" w:hint="eastAsia"/>
          <w:sz w:val="21"/>
          <w:vertAlign w:val="baseline"/>
        </w:rPr>
        <w:t>期间，但不包括【名词释义】中所定义的由输血或输液而感染艾滋病病毒；</w:t>
      </w:r>
    </w:p>
    <w:p>
      <w:pPr>
        <w:pStyle w:val="ListParagraph"/>
        <w:numPr>
          <w:ilvl w:val="0"/>
          <w:numId w:val="4"/>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黑体" w:eastAsia="黑体" w:hint="eastAsia"/>
          <w:sz w:val="21"/>
        </w:rPr>
        <w:t>战争、军事行动、暴乱或武装叛乱；</w:t>
      </w:r>
    </w:p>
    <w:p>
      <w:pPr>
        <w:pStyle w:val="ListParagraph"/>
        <w:numPr>
          <w:ilvl w:val="0"/>
          <w:numId w:val="4"/>
        </w:numPr>
        <w:tabs>
          <w:tab w:pos="957" w:val="left" w:leader="none"/>
          <w:tab w:pos="958" w:val="left" w:leader="none"/>
        </w:tabs>
        <w:spacing w:line="240" w:lineRule="auto" w:before="20"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line="273" w:lineRule="auto" w:before="20"/>
        <w:ind w:left="109" w:right="117" w:firstLine="420"/>
        <w:rPr>
          <w:rFonts w:ascii="黑体" w:eastAsia="黑体" w:hint="eastAsia"/>
        </w:rPr>
      </w:pPr>
      <w:r>
        <w:rPr>
          <w:rFonts w:ascii="黑体" w:eastAsia="黑体" w:hint="eastAsia"/>
        </w:rPr>
        <w:t>发Th上列情形，本附加合同终止。除法律及本附加合同另有规定外，我们将按【合同解除权】第二款处理。</w:t>
      </w:r>
    </w:p>
    <w:p>
      <w:pPr>
        <w:pStyle w:val="BodyText"/>
        <w:spacing w:before="7"/>
        <w:ind w:left="0"/>
        <w:rPr>
          <w:rFonts w:ascii="黑体"/>
          <w:sz w:val="19"/>
        </w:rPr>
      </w:pPr>
    </w:p>
    <w:p>
      <w:pPr>
        <w:pStyle w:val="Heading2"/>
        <w:spacing w:before="1"/>
      </w:pPr>
      <w:bookmarkStart w:name="_TOC_250009" w:id="12"/>
      <w:bookmarkEnd w:id="12"/>
      <w:r>
        <w:rPr/>
        <w:t>第十条  保险金额及其变更</w:t>
      </w:r>
    </w:p>
    <w:p>
      <w:pPr>
        <w:pStyle w:val="BodyText"/>
        <w:spacing w:before="6"/>
        <w:ind w:left="0"/>
        <w:rPr>
          <w:rFonts w:ascii="Microsoft JhengHei"/>
          <w:b/>
        </w:rPr>
      </w:pPr>
    </w:p>
    <w:p>
      <w:pPr>
        <w:pStyle w:val="BodyText"/>
        <w:spacing w:before="0"/>
        <w:ind w:left="529"/>
      </w:pPr>
      <w:r>
        <w:rPr/>
        <w:t>本附加合同所称保险金额与主合同保险金额相同。</w:t>
      </w:r>
    </w:p>
    <w:p>
      <w:pPr>
        <w:pStyle w:val="BodyText"/>
        <w:spacing w:line="273" w:lineRule="auto" w:before="36"/>
        <w:ind w:left="109" w:right="114" w:firstLine="420"/>
        <w:jc w:val="both"/>
      </w:pPr>
      <w:r>
        <w:rPr/>
        <w:t>若您申请减少主合同保险金额，本附加合同的保险金额应进行相应减少，本附加合同的保险金额以减少后的金额为准。减少后的保险金额不得低于申请减额时我们的最低承保金额。其减少的部分视为您解除合同，我们将退还给您减少部分所对应的当时的现金价值。本附加合同的保险金额不可单独申请变更。</w:t>
      </w:r>
    </w:p>
    <w:p>
      <w:pPr>
        <w:pStyle w:val="BodyText"/>
        <w:spacing w:before="7"/>
        <w:ind w:left="529"/>
      </w:pPr>
      <w:r>
        <w:rPr/>
        <w:t>若被保险人已患有本附加合同约定的重大疾病，本附加合同的保险金额不可变更。</w:t>
      </w:r>
    </w:p>
    <w:p>
      <w:pPr>
        <w:pStyle w:val="BodyText"/>
        <w:spacing w:before="12"/>
        <w:ind w:left="0"/>
        <w:rPr>
          <w:sz w:val="23"/>
        </w:rPr>
      </w:pPr>
    </w:p>
    <w:p>
      <w:pPr>
        <w:pStyle w:val="Heading1"/>
        <w:tabs>
          <w:tab w:pos="3675" w:val="left" w:leader="none"/>
        </w:tabs>
      </w:pPr>
      <w:bookmarkStart w:name="_TOC_250008" w:id="13"/>
      <w:r>
        <w:rPr/>
        <w:t>第三部分</w:t>
        <w:tab/>
      </w:r>
      <w:bookmarkEnd w:id="13"/>
      <w:r>
        <w:rPr>
          <w:w w:val="95"/>
        </w:rPr>
        <w:t>如何领取保险金</w:t>
      </w:r>
    </w:p>
    <w:p>
      <w:pPr>
        <w:pStyle w:val="BodyText"/>
        <w:spacing w:before="12"/>
        <w:ind w:left="0"/>
        <w:rPr>
          <w:rFonts w:ascii="黑体"/>
          <w:b/>
          <w:sz w:val="27"/>
        </w:rPr>
      </w:pPr>
    </w:p>
    <w:p>
      <w:pPr>
        <w:pStyle w:val="Heading2"/>
        <w:spacing w:before="1"/>
      </w:pPr>
      <w:bookmarkStart w:name="_TOC_250007" w:id="14"/>
      <w:bookmarkEnd w:id="14"/>
      <w:r>
        <w:rPr/>
        <w:t>第十一条保险金的申领</w:t>
      </w:r>
    </w:p>
    <w:p>
      <w:pPr>
        <w:pStyle w:val="BodyText"/>
        <w:spacing w:before="6"/>
        <w:ind w:left="0"/>
        <w:rPr>
          <w:rFonts w:ascii="Microsoft JhengHei"/>
          <w:b/>
        </w:rPr>
      </w:pPr>
    </w:p>
    <w:p>
      <w:pPr>
        <w:pStyle w:val="BodyText"/>
        <w:spacing w:before="0"/>
        <w:ind w:left="535"/>
      </w:pPr>
      <w:r>
        <w:rPr/>
        <w:t>一、重大疾病保险金</w:t>
      </w:r>
    </w:p>
    <w:p>
      <w:pPr>
        <w:pStyle w:val="BodyText"/>
        <w:spacing w:line="273" w:lineRule="auto" w:before="36"/>
        <w:ind w:left="109" w:right="77" w:firstLine="426"/>
      </w:pPr>
      <w:r>
        <w:rPr/>
        <w:t>若被保险人初次患本合同约定的重大疾病且申请理赔时仍生存，需由索赔权利人填写保险金给付申请书并凭下列证明材料向我们申请理赔：</w:t>
      </w:r>
    </w:p>
    <w:p>
      <w:pPr>
        <w:pStyle w:val="BodyText"/>
        <w:spacing w:before="7"/>
        <w:ind w:left="537"/>
      </w:pPr>
      <w:r>
        <w:rPr>
          <w:rFonts w:ascii="Times New Roman" w:eastAsia="Times New Roman"/>
        </w:rPr>
        <w:t>1</w:t>
      </w:r>
      <w:r>
        <w:rPr/>
        <w:t>、本附加合同；</w:t>
      </w:r>
    </w:p>
    <w:p>
      <w:pPr>
        <w:pStyle w:val="BodyText"/>
        <w:ind w:left="537"/>
      </w:pPr>
      <w:r>
        <w:rPr>
          <w:rFonts w:ascii="Times New Roman" w:eastAsia="Times New Roman"/>
        </w:rPr>
        <w:t>2</w:t>
      </w:r>
      <w:r>
        <w:rPr/>
        <w:t>、被保险人的身份证明；</w:t>
      </w:r>
    </w:p>
    <w:p>
      <w:pPr>
        <w:pStyle w:val="BodyText"/>
        <w:ind w:left="537"/>
      </w:pPr>
      <w:r>
        <w:rPr>
          <w:rFonts w:ascii="Times New Roman" w:eastAsia="Times New Roman"/>
        </w:rPr>
        <w:t>3</w:t>
      </w:r>
      <w:r>
        <w:rPr/>
        <w:t>、定点医疗机构出具的医学诊断证明及相关资料；</w:t>
      </w:r>
    </w:p>
    <w:p>
      <w:pPr>
        <w:pStyle w:val="BodyText"/>
        <w:spacing w:line="256" w:lineRule="auto"/>
        <w:ind w:left="535" w:right="1890" w:firstLine="2"/>
      </w:pPr>
      <w:r>
        <w:rPr>
          <w:rFonts w:ascii="Times New Roman" w:eastAsia="Times New Roman"/>
        </w:rPr>
        <w:t>4</w:t>
      </w:r>
      <w:r>
        <w:rPr/>
        <w:t>、我们所需的并且索赔权利人能够提供的与事故有关的其他材料。二、癌症额外给付</w:t>
      </w:r>
    </w:p>
    <w:p>
      <w:pPr>
        <w:pStyle w:val="BodyText"/>
        <w:spacing w:before="22"/>
        <w:ind w:left="537"/>
      </w:pPr>
      <w:r>
        <w:rPr/>
        <w:t>若被保险人满足癌症额外给付条件，需由索赔权利人填写保险金给付申请书并凭下列证</w:t>
      </w:r>
    </w:p>
    <w:p>
      <w:pPr>
        <w:pStyle w:val="BodyText"/>
        <w:spacing w:before="7"/>
        <w:ind w:left="0"/>
        <w:rPr>
          <w:sz w:val="15"/>
        </w:rPr>
      </w:pPr>
      <w:r>
        <w:rPr/>
        <w:pict>
          <v:line style="position:absolute;mso-position-horizontal-relative:page;mso-position-vertical-relative:paragraph;z-index:1072;mso-wrap-distance-left:0;mso-wrap-distance-right:0" from="89.879997pt,12.457829pt" to="233.879997pt,12.457829pt" stroked="true" strokeweight=".54001pt" strokecolor="#000000">
            <v:stroke dashstyle="solid"/>
            <w10:wrap type="topAndBottom"/>
          </v:line>
        </w:pict>
      </w:r>
    </w:p>
    <w:p>
      <w:pPr>
        <w:spacing w:line="234" w:lineRule="exact" w:before="30"/>
        <w:ind w:left="117" w:right="0" w:firstLine="0"/>
        <w:jc w:val="left"/>
        <w:rPr>
          <w:sz w:val="18"/>
        </w:rPr>
      </w:pPr>
      <w:r>
        <w:rPr>
          <w:rFonts w:ascii="Times New Roman" w:eastAsia="Times New Roman"/>
          <w:position w:val="8"/>
          <w:sz w:val="12"/>
        </w:rPr>
        <w:t>1</w:t>
      </w:r>
      <w:r>
        <w:rPr>
          <w:sz w:val="18"/>
        </w:rPr>
        <w:t>艾滋病：获得性免疫力缺乏综合征（AIDS）的简称</w:t>
      </w:r>
    </w:p>
    <w:p>
      <w:pPr>
        <w:spacing w:line="240" w:lineRule="exact" w:before="0"/>
        <w:ind w:left="117" w:right="0" w:firstLine="0"/>
        <w:jc w:val="left"/>
        <w:rPr>
          <w:sz w:val="18"/>
        </w:rPr>
      </w:pPr>
      <w:r>
        <w:rPr>
          <w:rFonts w:ascii="Times New Roman" w:eastAsia="Times New Roman"/>
          <w:w w:val="95"/>
          <w:position w:val="8"/>
          <w:sz w:val="12"/>
        </w:rPr>
        <w:t>2</w:t>
      </w:r>
      <w:r>
        <w:rPr>
          <w:w w:val="95"/>
          <w:sz w:val="18"/>
        </w:rPr>
        <w:t>艾滋病病毒：获得性免疫力缺乏综合征病毒（</w:t>
      </w:r>
      <w:r>
        <w:rPr>
          <w:rFonts w:ascii="Times New Roman" w:eastAsia="Times New Roman"/>
          <w:w w:val="95"/>
          <w:sz w:val="18"/>
        </w:rPr>
        <w:t>HIV</w:t>
      </w:r>
      <w:r>
        <w:rPr>
          <w:w w:val="95"/>
          <w:sz w:val="18"/>
        </w:rPr>
        <w:t>）的简称。获得性免疫力缺乏综合征的定义应按世界卫</w:t>
      </w:r>
    </w:p>
    <w:p>
      <w:pPr>
        <w:spacing w:line="237" w:lineRule="auto" w:before="0"/>
        <w:ind w:left="117" w:right="119" w:firstLine="0"/>
        <w:jc w:val="left"/>
        <w:rPr>
          <w:sz w:val="18"/>
        </w:rPr>
      </w:pPr>
      <w:r>
        <w:rPr>
          <w:spacing w:val="-5"/>
          <w:sz w:val="18"/>
        </w:rPr>
        <w:t>生组织制定的定义为准，如在血液样本中发现获得性免疫力缺乏综合征病毒或其抗体，则可认定为感染艾滋病或艾滋病病毒。</w:t>
      </w:r>
    </w:p>
    <w:p>
      <w:pPr>
        <w:spacing w:after="0" w:line="237" w:lineRule="auto"/>
        <w:jc w:val="left"/>
        <w:rPr>
          <w:sz w:val="18"/>
        </w:rPr>
        <w:sectPr>
          <w:pgSz w:w="11910" w:h="16840"/>
          <w:pgMar w:header="896" w:footer="1008" w:top="1280" w:bottom="1200" w:left="1680" w:right="1600"/>
        </w:sectPr>
      </w:pPr>
    </w:p>
    <w:p>
      <w:pPr>
        <w:pStyle w:val="BodyText"/>
        <w:spacing w:before="133"/>
        <w:ind w:left="117"/>
      </w:pPr>
      <w:r>
        <w:rPr/>
        <w:t>明材料向我们申请理赔：</w:t>
      </w:r>
    </w:p>
    <w:p>
      <w:pPr>
        <w:pStyle w:val="BodyText"/>
        <w:spacing w:before="36"/>
        <w:ind w:left="537"/>
      </w:pPr>
      <w:r>
        <w:rPr>
          <w:rFonts w:ascii="Times New Roman" w:eastAsia="Times New Roman"/>
        </w:rPr>
        <w:t>1</w:t>
      </w:r>
      <w:r>
        <w:rPr/>
        <w:t>、本附加合同；</w:t>
      </w:r>
    </w:p>
    <w:p>
      <w:pPr>
        <w:pStyle w:val="BodyText"/>
        <w:spacing w:before="20"/>
        <w:ind w:left="537"/>
      </w:pPr>
      <w:r>
        <w:rPr>
          <w:rFonts w:ascii="Times New Roman" w:eastAsia="Times New Roman"/>
        </w:rPr>
        <w:t>2</w:t>
      </w:r>
      <w:r>
        <w:rPr/>
        <w:t>、被保险人的身份证明；</w:t>
      </w:r>
    </w:p>
    <w:p>
      <w:pPr>
        <w:pStyle w:val="BodyText"/>
        <w:spacing w:before="20"/>
        <w:ind w:left="537"/>
      </w:pPr>
      <w:r>
        <w:rPr>
          <w:rFonts w:ascii="Times New Roman" w:eastAsia="Times New Roman"/>
        </w:rPr>
        <w:t>3</w:t>
      </w:r>
      <w:r>
        <w:rPr/>
        <w:t>、定点医疗机构出具的医学诊断证明及相关资料；</w:t>
      </w:r>
    </w:p>
    <w:p>
      <w:pPr>
        <w:pStyle w:val="BodyText"/>
        <w:spacing w:line="256" w:lineRule="auto" w:before="20"/>
        <w:ind w:left="535" w:right="1890" w:firstLine="2"/>
      </w:pPr>
      <w:r>
        <w:rPr>
          <w:rFonts w:ascii="Times New Roman" w:eastAsia="Times New Roman"/>
        </w:rPr>
        <w:t>4</w:t>
      </w:r>
      <w:r>
        <w:rPr/>
        <w:t>、我们所需的并且索赔权利人能够提供的与事故有关的其他材料。三、保险费返还</w:t>
      </w:r>
    </w:p>
    <w:p>
      <w:pPr>
        <w:pStyle w:val="BodyText"/>
        <w:spacing w:line="273" w:lineRule="auto"/>
        <w:ind w:left="117" w:right="120" w:firstLine="420"/>
        <w:jc w:val="both"/>
      </w:pPr>
      <w:r>
        <w:rPr>
          <w:spacing w:val="-2"/>
        </w:rPr>
        <w:t>若被保险人满足保险费返还条件，需由索赔权利人填写保险金给付申请书并凭下列证明材料向我们申请理赔：</w:t>
      </w:r>
    </w:p>
    <w:p>
      <w:pPr>
        <w:pStyle w:val="BodyText"/>
        <w:spacing w:before="7"/>
        <w:ind w:left="537"/>
      </w:pPr>
      <w:r>
        <w:rPr>
          <w:rFonts w:ascii="Times New Roman" w:eastAsia="Times New Roman"/>
        </w:rPr>
        <w:t>1</w:t>
      </w:r>
      <w:r>
        <w:rPr/>
        <w:t>、本附加合同；</w:t>
      </w:r>
    </w:p>
    <w:p>
      <w:pPr>
        <w:pStyle w:val="BodyText"/>
        <w:ind w:left="537"/>
      </w:pPr>
      <w:r>
        <w:rPr>
          <w:rFonts w:ascii="Times New Roman" w:eastAsia="Times New Roman"/>
        </w:rPr>
        <w:t>2</w:t>
      </w:r>
      <w:r>
        <w:rPr/>
        <w:t>、被保险人的身份证明；</w:t>
      </w:r>
    </w:p>
    <w:p>
      <w:pPr>
        <w:pStyle w:val="BodyText"/>
        <w:ind w:left="537"/>
      </w:pPr>
      <w:r>
        <w:rPr>
          <w:rFonts w:ascii="Times New Roman" w:eastAsia="Times New Roman"/>
        </w:rPr>
        <w:t>3</w:t>
      </w:r>
      <w:r>
        <w:rPr/>
        <w:t>、被保险人身故或高度残疾证明或定点医疗机构出具的医学诊断证明及相关资料；</w:t>
      </w:r>
    </w:p>
    <w:p>
      <w:pPr>
        <w:pStyle w:val="BodyText"/>
        <w:ind w:left="537"/>
      </w:pPr>
      <w:r>
        <w:rPr>
          <w:rFonts w:ascii="Times New Roman" w:eastAsia="Times New Roman"/>
        </w:rPr>
        <w:t>4</w:t>
      </w:r>
      <w:r>
        <w:rPr/>
        <w:t>、我们所需的并且索赔权利人能够提供的与事故有关的其他材料。</w:t>
      </w:r>
    </w:p>
    <w:p>
      <w:pPr>
        <w:pStyle w:val="BodyText"/>
        <w:spacing w:before="5"/>
        <w:ind w:left="0"/>
        <w:rPr>
          <w:sz w:val="25"/>
        </w:rPr>
      </w:pPr>
    </w:p>
    <w:p>
      <w:pPr>
        <w:pStyle w:val="BodyText"/>
        <w:spacing w:line="273" w:lineRule="auto" w:before="1"/>
        <w:ind w:left="117" w:right="119" w:firstLine="420"/>
        <w:jc w:val="both"/>
      </w:pPr>
      <w:r>
        <w:rPr>
          <w:spacing w:val="-2"/>
        </w:rPr>
        <w:t>我们收到申请人保险金给付申请书及相应的证明材料后，对确属保险责任范围的，在与</w:t>
      </w:r>
      <w:r>
        <w:rPr>
          <w:spacing w:val="-4"/>
        </w:rPr>
        <w:t>申请人达成有关给付保险金数额的协议后十日内，履行给付保险金责任；对不属于保险责任范围的，向申请人发出拒绝给付保险金通知书。</w:t>
      </w:r>
    </w:p>
    <w:p>
      <w:pPr>
        <w:pStyle w:val="BodyText"/>
        <w:spacing w:line="237" w:lineRule="auto" w:before="0"/>
        <w:ind w:left="117" w:right="145" w:firstLine="420"/>
        <w:jc w:val="both"/>
      </w:pPr>
      <w:r>
        <w:rPr>
          <w:spacing w:val="-2"/>
        </w:rPr>
        <w:t>我们自收到申请人的保险金给付申请书及相应的证明材料之日起六十日内，对属于保险</w:t>
      </w:r>
      <w:r>
        <w:rPr>
          <w:spacing w:val="-4"/>
        </w:rPr>
        <w:t>责任而给付保险金的数额暂时不能确定的，根据已有的证明材料，按可以确定的最低数额先予支付，我们最终确定给付保险金数额后，再支付相应的差额。</w:t>
      </w:r>
    </w:p>
    <w:p>
      <w:pPr>
        <w:pStyle w:val="BodyText"/>
        <w:spacing w:before="0"/>
        <w:ind w:left="0"/>
        <w:rPr>
          <w:sz w:val="20"/>
        </w:rPr>
      </w:pPr>
    </w:p>
    <w:p>
      <w:pPr>
        <w:pStyle w:val="BodyText"/>
        <w:spacing w:before="8"/>
        <w:ind w:left="0"/>
      </w:pPr>
    </w:p>
    <w:p>
      <w:pPr>
        <w:pStyle w:val="Heading1"/>
        <w:tabs>
          <w:tab w:pos="1865" w:val="left" w:leader="none"/>
        </w:tabs>
        <w:ind w:left="0" w:right="607"/>
        <w:jc w:val="center"/>
      </w:pPr>
      <w:bookmarkStart w:name="_TOC_250006" w:id="15"/>
      <w:r>
        <w:rPr/>
        <w:t>第四部分</w:t>
        <w:tab/>
      </w:r>
      <w:bookmarkEnd w:id="15"/>
      <w:r>
        <w:rPr>
          <w:w w:val="95"/>
        </w:rPr>
        <w:t>保险费的交纳</w:t>
      </w:r>
    </w:p>
    <w:p>
      <w:pPr>
        <w:pStyle w:val="BodyText"/>
        <w:spacing w:before="12"/>
        <w:ind w:left="0"/>
        <w:rPr>
          <w:rFonts w:ascii="黑体"/>
          <w:b/>
          <w:sz w:val="27"/>
        </w:rPr>
      </w:pPr>
    </w:p>
    <w:p>
      <w:pPr>
        <w:pStyle w:val="Heading2"/>
      </w:pPr>
      <w:bookmarkStart w:name="_TOC_250005" w:id="16"/>
      <w:bookmarkEnd w:id="16"/>
      <w:r>
        <w:rPr/>
        <w:t>第十二条保险费的交纳</w:t>
      </w:r>
    </w:p>
    <w:p>
      <w:pPr>
        <w:pStyle w:val="BodyText"/>
        <w:spacing w:before="5"/>
        <w:ind w:left="0"/>
        <w:rPr>
          <w:rFonts w:ascii="Microsoft JhengHei"/>
          <w:b/>
        </w:rPr>
      </w:pPr>
    </w:p>
    <w:p>
      <w:pPr>
        <w:pStyle w:val="BodyText"/>
        <w:spacing w:before="1"/>
        <w:ind w:left="537"/>
      </w:pPr>
      <w:r>
        <w:rPr/>
        <w:t>本附加合同的交费方式及交费期限与主合同相同。</w:t>
      </w:r>
    </w:p>
    <w:p>
      <w:pPr>
        <w:pStyle w:val="BodyText"/>
        <w:spacing w:before="12"/>
        <w:ind w:left="0"/>
        <w:rPr>
          <w:sz w:val="23"/>
        </w:rPr>
      </w:pPr>
    </w:p>
    <w:p>
      <w:pPr>
        <w:pStyle w:val="Heading1"/>
        <w:tabs>
          <w:tab w:pos="1865" w:val="left" w:leader="none"/>
        </w:tabs>
        <w:ind w:left="0" w:right="608"/>
        <w:jc w:val="center"/>
      </w:pPr>
      <w:bookmarkStart w:name="_TOC_250004" w:id="17"/>
      <w:r>
        <w:rPr/>
        <w:t>第五部分</w:t>
        <w:tab/>
      </w:r>
      <w:bookmarkEnd w:id="17"/>
      <w:r>
        <w:rPr>
          <w:w w:val="95"/>
        </w:rPr>
        <w:t>您所拥有的重要权益</w:t>
      </w:r>
    </w:p>
    <w:p>
      <w:pPr>
        <w:pStyle w:val="BodyText"/>
        <w:spacing w:before="12"/>
        <w:ind w:left="0"/>
        <w:rPr>
          <w:rFonts w:ascii="黑体"/>
          <w:b/>
          <w:sz w:val="27"/>
        </w:rPr>
      </w:pPr>
    </w:p>
    <w:p>
      <w:pPr>
        <w:pStyle w:val="Heading2"/>
      </w:pPr>
      <w:bookmarkStart w:name="_TOC_250003" w:id="18"/>
      <w:bookmarkEnd w:id="18"/>
      <w:r>
        <w:rPr/>
        <w:t>第十三条保险费自动垫交</w:t>
      </w:r>
    </w:p>
    <w:p>
      <w:pPr>
        <w:pStyle w:val="BodyText"/>
        <w:spacing w:before="6"/>
        <w:ind w:left="0"/>
        <w:rPr>
          <w:rFonts w:ascii="Microsoft JhengHei"/>
          <w:b/>
        </w:rPr>
      </w:pPr>
    </w:p>
    <w:p>
      <w:pPr>
        <w:pStyle w:val="BodyText"/>
        <w:spacing w:line="266" w:lineRule="auto" w:before="1"/>
        <w:ind w:left="117" w:right="119" w:firstLine="420"/>
        <w:jc w:val="both"/>
      </w:pPr>
      <w:r>
        <w:rPr>
          <w:spacing w:val="-2"/>
        </w:rPr>
        <w:t>如果您选择了保险费自动垫交，且在宽限期结束时您仍未交付保险费，我们将对主合同</w:t>
      </w:r>
      <w:r>
        <w:rPr>
          <w:spacing w:val="-3"/>
        </w:rPr>
        <w:t>及所有附加合同</w:t>
      </w:r>
      <w:r>
        <w:rPr/>
        <w:t>（如果您投保了多个附加险</w:t>
      </w:r>
      <w:r>
        <w:rPr>
          <w:spacing w:val="-5"/>
        </w:rPr>
        <w:t>）</w:t>
      </w:r>
      <w:r>
        <w:rPr>
          <w:spacing w:val="-1"/>
        </w:rPr>
        <w:t>作保险费自动垫交处理。若当时本附加合同现金价值净值</w:t>
      </w:r>
      <w:r>
        <w:rPr>
          <w:rFonts w:ascii="Times New Roman" w:eastAsia="Times New Roman"/>
          <w:spacing w:val="-1"/>
          <w:vertAlign w:val="superscript"/>
        </w:rPr>
        <w:t>3</w:t>
      </w:r>
      <w:r>
        <w:rPr>
          <w:rFonts w:ascii="Times New Roman" w:eastAsia="Times New Roman"/>
          <w:spacing w:val="-1"/>
          <w:vertAlign w:val="baseline"/>
        </w:rPr>
      </w:r>
      <w:r>
        <w:rPr>
          <w:spacing w:val="-9"/>
          <w:vertAlign w:val="baseline"/>
        </w:rPr>
        <w:t>足以垫交全部到期保险费，我们将同时自动垫交主合同及所有附加合同应交保险</w:t>
      </w:r>
      <w:r>
        <w:rPr>
          <w:spacing w:val="-5"/>
          <w:vertAlign w:val="baseline"/>
        </w:rPr>
        <w:t>费，使主合同及附加合同继续有效。在本附加合同的保险费自动垫交期间，我们将按我们定期公布的保险单借款利率</w:t>
      </w:r>
      <w:r>
        <w:rPr>
          <w:rFonts w:ascii="Times New Roman" w:eastAsia="Times New Roman"/>
          <w:spacing w:val="-5"/>
          <w:vertAlign w:val="superscript"/>
        </w:rPr>
        <w:t>4</w:t>
      </w:r>
      <w:r>
        <w:rPr>
          <w:rFonts w:ascii="Times New Roman" w:eastAsia="Times New Roman"/>
          <w:spacing w:val="-5"/>
          <w:vertAlign w:val="baseline"/>
        </w:rPr>
      </w:r>
      <w:r>
        <w:rPr>
          <w:spacing w:val="-12"/>
          <w:vertAlign w:val="baseline"/>
        </w:rPr>
        <w:t>计算保险费自动垫交的利息。若本附加合同现金价值净值不足以垫</w:t>
      </w:r>
      <w:r>
        <w:rPr>
          <w:spacing w:val="-10"/>
          <w:vertAlign w:val="baseline"/>
        </w:rPr>
        <w:t>交全部到期保险费，则按当时本附加合同现金价值净值折算可垫交天数，同样进行前述垫交处理。</w:t>
      </w:r>
    </w:p>
    <w:p>
      <w:pPr>
        <w:pStyle w:val="BodyText"/>
        <w:spacing w:before="14"/>
        <w:ind w:left="537"/>
      </w:pPr>
      <w:r>
        <w:rPr/>
        <w:t>当保险单现金价值净值为零时，主合同及所有附加合同效力同时中止。</w:t>
      </w:r>
    </w:p>
    <w:p>
      <w:pPr>
        <w:pStyle w:val="BodyText"/>
        <w:spacing w:before="7"/>
        <w:ind w:left="0"/>
        <w:rPr>
          <w:sz w:val="19"/>
        </w:rPr>
      </w:pPr>
      <w:r>
        <w:rPr/>
        <w:pict>
          <v:line style="position:absolute;mso-position-horizontal-relative:page;mso-position-vertical-relative:paragraph;z-index:1096;mso-wrap-distance-left:0;mso-wrap-distance-right:0" from="89.879997pt,15.047703pt" to="233.879997pt,15.047703pt" stroked="true" strokeweight=".54001pt" strokecolor="#000000">
            <v:stroke dashstyle="solid"/>
            <w10:wrap type="topAndBottom"/>
          </v:line>
        </w:pict>
      </w:r>
    </w:p>
    <w:p>
      <w:pPr>
        <w:spacing w:line="234" w:lineRule="exact" w:before="30"/>
        <w:ind w:left="117" w:right="0" w:firstLine="0"/>
        <w:jc w:val="left"/>
        <w:rPr>
          <w:sz w:val="18"/>
        </w:rPr>
      </w:pPr>
      <w:r>
        <w:rPr>
          <w:rFonts w:ascii="Times New Roman" w:eastAsia="Times New Roman"/>
          <w:position w:val="8"/>
          <w:sz w:val="12"/>
        </w:rPr>
        <w:t>3  </w:t>
      </w:r>
      <w:r>
        <w:rPr>
          <w:sz w:val="18"/>
        </w:rPr>
        <w:t>现金价值净值：本合同现金价值扣除保险单借款、垫交保险费及上述款项应付利息后的余额。</w:t>
      </w:r>
    </w:p>
    <w:p>
      <w:pPr>
        <w:spacing w:line="234" w:lineRule="exact" w:before="0"/>
        <w:ind w:left="117" w:right="0" w:firstLine="0"/>
        <w:jc w:val="left"/>
        <w:rPr>
          <w:sz w:val="18"/>
        </w:rPr>
      </w:pPr>
      <w:r>
        <w:rPr>
          <w:rFonts w:ascii="Times New Roman" w:eastAsia="Times New Roman"/>
          <w:position w:val="8"/>
          <w:sz w:val="12"/>
        </w:rPr>
        <w:t>4  </w:t>
      </w:r>
      <w:r>
        <w:rPr>
          <w:sz w:val="18"/>
        </w:rPr>
        <w:t>保险单借款利率：我们参照同期中国人民银行公布的一年期流动资金贷款法定利率制订，并定期公布。</w:t>
      </w:r>
    </w:p>
    <w:p>
      <w:pPr>
        <w:spacing w:after="0" w:line="234" w:lineRule="exact"/>
        <w:jc w:val="left"/>
        <w:rPr>
          <w:sz w:val="18"/>
        </w:rPr>
        <w:sectPr>
          <w:pgSz w:w="11910" w:h="16840"/>
          <w:pgMar w:header="896" w:footer="1008" w:top="1280" w:bottom="1200" w:left="1680" w:right="1600"/>
        </w:sectPr>
      </w:pPr>
    </w:p>
    <w:p>
      <w:pPr>
        <w:pStyle w:val="BodyText"/>
        <w:spacing w:line="273" w:lineRule="auto" w:before="133"/>
        <w:ind w:left="117" w:right="136" w:firstLine="420"/>
      </w:pPr>
      <w:r>
        <w:rPr/>
        <w:t>您可以在宽限期结束前到本公司办理取消保险费自动垫交手续，则本附加合同自宽限期结束的次日起效力中止。</w:t>
      </w:r>
    </w:p>
    <w:p>
      <w:pPr>
        <w:pStyle w:val="BodyText"/>
        <w:spacing w:before="7"/>
        <w:ind w:left="0"/>
        <w:rPr>
          <w:sz w:val="19"/>
        </w:rPr>
      </w:pPr>
    </w:p>
    <w:p>
      <w:pPr>
        <w:pStyle w:val="Heading2"/>
        <w:spacing w:before="1"/>
      </w:pPr>
      <w:bookmarkStart w:name="_TOC_250002" w:id="19"/>
      <w:bookmarkEnd w:id="19"/>
      <w:r>
        <w:rPr/>
        <w:t>第十四条合同解除权</w:t>
      </w:r>
    </w:p>
    <w:p>
      <w:pPr>
        <w:pStyle w:val="BodyText"/>
        <w:spacing w:before="6"/>
        <w:ind w:left="0"/>
        <w:rPr>
          <w:rFonts w:ascii="Microsoft JhengHei"/>
          <w:b/>
          <w:sz w:val="20"/>
        </w:rPr>
      </w:pPr>
    </w:p>
    <w:p>
      <w:pPr>
        <w:pStyle w:val="BodyText"/>
        <w:spacing w:line="237" w:lineRule="auto" w:before="0"/>
        <w:ind w:left="117" w:right="101" w:firstLine="420"/>
      </w:pPr>
      <w:r>
        <w:rPr>
          <w:spacing w:val="-4"/>
        </w:rPr>
        <w:t>在本附加合同有效期内，您可以申请解除本附加合同。我们收到解除合同申请书时，本</w:t>
      </w:r>
      <w:r>
        <w:rPr>
          <w:spacing w:val="-13"/>
        </w:rPr>
        <w:t>附加合同终止。为了让您能够更清楚地了解相关的保险条款和内容，以及有更多的考虑时间， 我们将您签收本附加合同之日起十天定义为犹豫期。</w:t>
      </w:r>
    </w:p>
    <w:p>
      <w:pPr>
        <w:pStyle w:val="BodyText"/>
        <w:spacing w:line="283" w:lineRule="exact" w:before="0"/>
        <w:ind w:left="537"/>
      </w:pPr>
      <w:r>
        <w:rPr>
          <w:rFonts w:ascii="Microsoft JhengHei" w:eastAsia="Microsoft JhengHei" w:hint="eastAsia"/>
          <w:b/>
        </w:rPr>
        <w:t>一</w:t>
      </w:r>
      <w:r>
        <w:rPr/>
        <w:t>、您在犹豫期内要求解除本附加合同的，我们无息退还已收保险费，若被保险人经我</w:t>
      </w:r>
    </w:p>
    <w:p>
      <w:pPr>
        <w:pStyle w:val="BodyText"/>
        <w:spacing w:line="260" w:lineRule="exact" w:before="0"/>
        <w:ind w:left="117"/>
      </w:pPr>
      <w:r>
        <w:rPr/>
        <w:t>们体检，须扣除体检费。</w:t>
      </w:r>
    </w:p>
    <w:p>
      <w:pPr>
        <w:pStyle w:val="BodyText"/>
        <w:spacing w:line="237" w:lineRule="auto" w:before="1"/>
        <w:ind w:left="117" w:right="205" w:firstLine="420"/>
      </w:pPr>
      <w:r>
        <w:rPr>
          <w:spacing w:val="-6"/>
        </w:rPr>
        <w:t>二、您在犹豫期后要求解除本附加合同的，我们将于收到本条第三款所列证明材料后三十日内向您退还本附加合同终止时的保险单现金价值。</w:t>
      </w:r>
    </w:p>
    <w:p>
      <w:pPr>
        <w:pStyle w:val="BodyText"/>
        <w:spacing w:line="271" w:lineRule="exact" w:before="0"/>
        <w:ind w:left="537"/>
      </w:pPr>
      <w:r>
        <w:rPr/>
        <w:t>三、您要求解除本附加合同时，应提供下列证明材料：</w:t>
      </w:r>
    </w:p>
    <w:p>
      <w:pPr>
        <w:pStyle w:val="BodyText"/>
        <w:spacing w:line="280" w:lineRule="exact" w:before="0"/>
        <w:ind w:left="537"/>
      </w:pPr>
      <w:r>
        <w:rPr>
          <w:rFonts w:ascii="Times New Roman" w:eastAsia="Times New Roman"/>
        </w:rPr>
        <w:t>1</w:t>
      </w:r>
      <w:r>
        <w:rPr/>
        <w:t>、 本附加合同；</w:t>
      </w:r>
    </w:p>
    <w:p>
      <w:pPr>
        <w:pStyle w:val="BodyText"/>
        <w:spacing w:line="272" w:lineRule="exact" w:before="0"/>
        <w:ind w:left="537"/>
      </w:pPr>
      <w:r>
        <w:rPr>
          <w:rFonts w:ascii="Times New Roman" w:eastAsia="Times New Roman"/>
        </w:rPr>
        <w:t>2</w:t>
      </w:r>
      <w:r>
        <w:rPr/>
        <w:t>、 解除合同申请书；</w:t>
      </w:r>
    </w:p>
    <w:p>
      <w:pPr>
        <w:pStyle w:val="BodyText"/>
        <w:spacing w:line="239" w:lineRule="exact" w:before="0"/>
        <w:ind w:left="537"/>
      </w:pPr>
      <w:r>
        <w:rPr>
          <w:rFonts w:ascii="Times New Roman" w:eastAsia="Times New Roman"/>
        </w:rPr>
        <w:t>3</w:t>
      </w:r>
      <w:r>
        <w:rPr/>
        <w:t>、 您的身份证明。</w:t>
      </w:r>
    </w:p>
    <w:p>
      <w:pPr>
        <w:pStyle w:val="Heading3"/>
        <w:ind w:left="539"/>
      </w:pPr>
      <w:r>
        <w:rPr/>
        <w:t>特别提示您，如您申请解除本附加合同，主合同将同时被解除。</w:t>
      </w:r>
    </w:p>
    <w:p>
      <w:pPr>
        <w:pStyle w:val="BodyText"/>
        <w:spacing w:before="6"/>
        <w:ind w:left="0"/>
        <w:rPr>
          <w:rFonts w:ascii="Microsoft JhengHei"/>
          <w:b/>
          <w:sz w:val="29"/>
        </w:rPr>
      </w:pPr>
    </w:p>
    <w:p>
      <w:pPr>
        <w:pStyle w:val="Heading1"/>
        <w:tabs>
          <w:tab w:pos="4217" w:val="left" w:leader="none"/>
        </w:tabs>
        <w:spacing w:before="1"/>
        <w:ind w:left="2352"/>
      </w:pPr>
      <w:bookmarkStart w:name="_TOC_250001" w:id="20"/>
      <w:r>
        <w:rPr/>
        <w:t>第六部分</w:t>
        <w:tab/>
      </w:r>
      <w:bookmarkEnd w:id="20"/>
      <w:r>
        <w:rPr>
          <w:w w:val="95"/>
        </w:rPr>
        <w:t>就医须知</w:t>
      </w:r>
    </w:p>
    <w:p>
      <w:pPr>
        <w:pStyle w:val="BodyText"/>
        <w:spacing w:before="12"/>
        <w:ind w:left="0"/>
        <w:rPr>
          <w:rFonts w:ascii="黑体"/>
          <w:b/>
          <w:sz w:val="25"/>
        </w:rPr>
      </w:pPr>
    </w:p>
    <w:p>
      <w:pPr>
        <w:pStyle w:val="BodyText"/>
        <w:spacing w:line="237" w:lineRule="auto" w:before="0"/>
        <w:ind w:left="117" w:right="101" w:firstLine="420"/>
      </w:pPr>
      <w:r>
        <w:rPr>
          <w:spacing w:val="-8"/>
        </w:rPr>
        <w:t>被保险人须在定点医疗机构接受治疗，但被保险人紧急抢救不受此限制，在病情稳定后， 应转入定点医疗机构继续治疗。</w:t>
      </w:r>
    </w:p>
    <w:p>
      <w:pPr>
        <w:pStyle w:val="BodyText"/>
        <w:spacing w:before="5"/>
        <w:ind w:left="0"/>
        <w:rPr>
          <w:sz w:val="22"/>
        </w:rPr>
      </w:pPr>
    </w:p>
    <w:p>
      <w:pPr>
        <w:pStyle w:val="Heading1"/>
        <w:tabs>
          <w:tab w:pos="4217" w:val="left" w:leader="none"/>
        </w:tabs>
        <w:spacing w:before="1"/>
        <w:ind w:left="2352"/>
      </w:pPr>
      <w:bookmarkStart w:name="_TOC_250000" w:id="21"/>
      <w:r>
        <w:rPr/>
        <w:t>第七部分</w:t>
        <w:tab/>
      </w:r>
      <w:bookmarkEnd w:id="21"/>
      <w:r>
        <w:rPr>
          <w:w w:val="95"/>
        </w:rPr>
        <w:t>名词释义</w:t>
      </w:r>
    </w:p>
    <w:p>
      <w:pPr>
        <w:pStyle w:val="BodyText"/>
        <w:spacing w:line="249" w:lineRule="auto" w:before="290"/>
        <w:ind w:left="117" w:right="136"/>
      </w:pPr>
      <w:r>
        <w:rPr>
          <w:rFonts w:ascii="Microsoft JhengHei" w:eastAsia="Microsoft JhengHei" w:hint="eastAsia"/>
          <w:b/>
        </w:rPr>
        <w:t>定点医疗机构：</w:t>
      </w:r>
      <w:r>
        <w:rPr/>
        <w:t>我们为被保险人提供多家不同层次的专业医疗机构名单，供被保险人在此范围内选择，定点医疗机构名单请见合同附件。</w:t>
      </w:r>
    </w:p>
    <w:p>
      <w:pPr>
        <w:pStyle w:val="Heading3"/>
        <w:spacing w:line="327" w:lineRule="exact"/>
      </w:pPr>
      <w:r>
        <w:rPr/>
        <w:t>重大疾病：</w:t>
      </w:r>
    </w:p>
    <w:p>
      <w:pPr>
        <w:pStyle w:val="BodyText"/>
        <w:spacing w:line="264" w:lineRule="auto" w:before="13"/>
        <w:ind w:left="599" w:right="179" w:hanging="483"/>
        <w:jc w:val="both"/>
      </w:pPr>
      <w:r>
        <w:rPr>
          <w:rFonts w:ascii="Times New Roman" w:eastAsia="Times New Roman"/>
        </w:rPr>
        <w:t>1</w:t>
      </w:r>
      <w:r>
        <w:rPr>
          <w:spacing w:val="-2"/>
        </w:rPr>
        <w:t>、 癌症：本附加合同所指的癌症为医学上所称的恶性肿瘤。是指恶性肿瘤细胞不受控制的</w:t>
      </w:r>
      <w:r>
        <w:rPr>
          <w:spacing w:val="-8"/>
        </w:rPr>
        <w:t>增长和蔓延并侵犯到正常组织。癌症的诊断必须由定点医疗机构的专科医生依据病理学检验结果做出。但不包括：</w:t>
      </w:r>
    </w:p>
    <w:p>
      <w:pPr>
        <w:pStyle w:val="ListParagraph"/>
        <w:numPr>
          <w:ilvl w:val="0"/>
          <w:numId w:val="5"/>
        </w:numPr>
        <w:tabs>
          <w:tab w:pos="960" w:val="left" w:leader="none"/>
        </w:tabs>
        <w:spacing w:line="240" w:lineRule="auto" w:before="15" w:after="0"/>
        <w:ind w:left="1017" w:right="0" w:hanging="418"/>
        <w:jc w:val="left"/>
        <w:rPr>
          <w:sz w:val="21"/>
        </w:rPr>
      </w:pPr>
      <w:r>
        <w:rPr>
          <w:sz w:val="21"/>
        </w:rPr>
        <w:t>原位癌和癌前病变</w:t>
      </w:r>
    </w:p>
    <w:p>
      <w:pPr>
        <w:pStyle w:val="ListParagraph"/>
        <w:numPr>
          <w:ilvl w:val="0"/>
          <w:numId w:val="5"/>
        </w:numPr>
        <w:tabs>
          <w:tab w:pos="1018" w:val="left" w:leader="none"/>
        </w:tabs>
        <w:spacing w:line="240" w:lineRule="auto" w:before="20" w:after="0"/>
        <w:ind w:left="1017" w:right="0" w:hanging="418"/>
        <w:jc w:val="left"/>
        <w:rPr>
          <w:sz w:val="21"/>
        </w:rPr>
      </w:pPr>
      <w:r>
        <w:rPr>
          <w:sz w:val="21"/>
        </w:rPr>
        <w:t>恶性黑色素瘤以外的皮肤癌</w:t>
      </w:r>
    </w:p>
    <w:p>
      <w:pPr>
        <w:pStyle w:val="ListParagraph"/>
        <w:numPr>
          <w:ilvl w:val="0"/>
          <w:numId w:val="5"/>
        </w:numPr>
        <w:tabs>
          <w:tab w:pos="1018" w:val="left" w:leader="none"/>
        </w:tabs>
        <w:spacing w:line="240" w:lineRule="auto" w:before="20" w:after="0"/>
        <w:ind w:left="1017" w:right="0" w:hanging="418"/>
        <w:jc w:val="left"/>
        <w:rPr>
          <w:sz w:val="21"/>
        </w:rPr>
      </w:pPr>
      <w:r>
        <w:rPr>
          <w:sz w:val="21"/>
        </w:rPr>
        <w:t>第一期何杰金氏病</w:t>
      </w:r>
    </w:p>
    <w:p>
      <w:pPr>
        <w:pStyle w:val="ListParagraph"/>
        <w:numPr>
          <w:ilvl w:val="0"/>
          <w:numId w:val="5"/>
        </w:numPr>
        <w:tabs>
          <w:tab w:pos="1018" w:val="left" w:leader="none"/>
        </w:tabs>
        <w:spacing w:line="240" w:lineRule="auto" w:before="20" w:after="0"/>
        <w:ind w:left="1017" w:right="0" w:hanging="418"/>
        <w:jc w:val="left"/>
        <w:rPr>
          <w:sz w:val="21"/>
        </w:rPr>
      </w:pPr>
      <w:r>
        <w:rPr>
          <w:sz w:val="21"/>
        </w:rPr>
        <w:t>慢性淋巴性白血病</w:t>
      </w:r>
    </w:p>
    <w:p>
      <w:pPr>
        <w:pStyle w:val="ListParagraph"/>
        <w:numPr>
          <w:ilvl w:val="0"/>
          <w:numId w:val="5"/>
        </w:numPr>
        <w:tabs>
          <w:tab w:pos="1018" w:val="left" w:leader="none"/>
        </w:tabs>
        <w:spacing w:line="240" w:lineRule="auto" w:before="20" w:after="0"/>
        <w:ind w:left="1017" w:right="0" w:hanging="418"/>
        <w:jc w:val="left"/>
        <w:rPr>
          <w:sz w:val="21"/>
        </w:rPr>
      </w:pPr>
      <w:r>
        <w:rPr>
          <w:sz w:val="21"/>
        </w:rPr>
        <w:t>早期前列腺癌（</w:t>
      </w:r>
      <w:r>
        <w:rPr>
          <w:rFonts w:ascii="Times New Roman" w:eastAsia="Times New Roman"/>
          <w:sz w:val="21"/>
        </w:rPr>
        <w:t>TNM</w:t>
      </w:r>
      <w:r>
        <w:rPr>
          <w:rFonts w:ascii="Times New Roman" w:eastAsia="Times New Roman"/>
          <w:spacing w:val="-3"/>
          <w:sz w:val="21"/>
        </w:rPr>
        <w:t> </w:t>
      </w:r>
      <w:r>
        <w:rPr>
          <w:spacing w:val="-14"/>
          <w:sz w:val="21"/>
        </w:rPr>
        <w:t>分期为 </w:t>
      </w:r>
      <w:r>
        <w:rPr>
          <w:rFonts w:ascii="Times New Roman" w:eastAsia="Times New Roman"/>
          <w:sz w:val="21"/>
        </w:rPr>
        <w:t>T1a</w:t>
      </w:r>
      <w:r>
        <w:rPr>
          <w:sz w:val="21"/>
        </w:rPr>
        <w:t>、</w:t>
      </w:r>
      <w:r>
        <w:rPr>
          <w:rFonts w:ascii="Times New Roman" w:eastAsia="Times New Roman"/>
          <w:sz w:val="21"/>
        </w:rPr>
        <w:t>T1b</w:t>
      </w:r>
      <w:r>
        <w:rPr>
          <w:rFonts w:ascii="Times New Roman" w:eastAsia="Times New Roman"/>
          <w:spacing w:val="-3"/>
          <w:sz w:val="21"/>
        </w:rPr>
        <w:t> </w:t>
      </w:r>
      <w:r>
        <w:rPr>
          <w:sz w:val="21"/>
        </w:rPr>
        <w:t>或更早）</w:t>
      </w:r>
    </w:p>
    <w:p>
      <w:pPr>
        <w:pStyle w:val="ListParagraph"/>
        <w:numPr>
          <w:ilvl w:val="0"/>
          <w:numId w:val="5"/>
        </w:numPr>
        <w:tabs>
          <w:tab w:pos="1018" w:val="left" w:leader="none"/>
        </w:tabs>
        <w:spacing w:line="256" w:lineRule="auto" w:before="20" w:after="0"/>
        <w:ind w:left="1017" w:right="180" w:hanging="418"/>
        <w:jc w:val="left"/>
        <w:rPr>
          <w:sz w:val="21"/>
        </w:rPr>
      </w:pPr>
      <w:r>
        <w:rPr>
          <w:spacing w:val="-5"/>
          <w:sz w:val="21"/>
        </w:rPr>
        <w:t>与艾滋病病毒感染或艾滋病相关的癌症，但不包括【名词释义】中所定义的由输血或输液而感染艾滋病病毒。</w:t>
      </w:r>
    </w:p>
    <w:p>
      <w:pPr>
        <w:pStyle w:val="BodyText"/>
        <w:spacing w:line="256" w:lineRule="auto" w:before="22"/>
        <w:ind w:left="599" w:right="102" w:hanging="483"/>
        <w:jc w:val="both"/>
      </w:pPr>
      <w:r>
        <w:rPr>
          <w:rFonts w:ascii="Times New Roman" w:eastAsia="Times New Roman"/>
        </w:rPr>
        <w:t>2</w:t>
      </w:r>
      <w:r>
        <w:rPr/>
        <w:t>、 急性心肌梗死：指因冠状动脉急性、机械性阻塞所导致的持久而严重的心肌缺血坏死， 该疾病的诊断须经定点医疗机构的专科医生做出。</w:t>
      </w:r>
    </w:p>
    <w:p>
      <w:pPr>
        <w:pStyle w:val="BodyText"/>
        <w:spacing w:line="264" w:lineRule="auto" w:before="22"/>
        <w:ind w:left="599" w:right="179" w:hanging="483"/>
        <w:jc w:val="both"/>
      </w:pPr>
      <w:r>
        <w:rPr>
          <w:rFonts w:ascii="Times New Roman" w:eastAsia="Times New Roman"/>
        </w:rPr>
        <w:t>3</w:t>
      </w:r>
      <w:r>
        <w:rPr>
          <w:spacing w:val="-4"/>
        </w:rPr>
        <w:t>、 冠状动脉旁路移植手术：指确已进行的开胸手术以矫正冠状动脉狭窄或阻塞，但不包括</w:t>
      </w:r>
      <w:r>
        <w:rPr>
          <w:spacing w:val="-10"/>
        </w:rPr>
        <w:t>血管成形术、激光治疗或其它冠状动脉手术。索赔时必须提供冠状动脉造影报告且该报告显示冠状动脉有严重阻塞。</w:t>
      </w:r>
    </w:p>
    <w:p>
      <w:pPr>
        <w:spacing w:after="0" w:line="264" w:lineRule="auto"/>
        <w:jc w:val="both"/>
        <w:sectPr>
          <w:pgSz w:w="11910" w:h="16840"/>
          <w:pgMar w:header="896" w:footer="1008" w:top="1280" w:bottom="1200" w:left="1680" w:right="1540"/>
        </w:sectPr>
      </w:pPr>
    </w:p>
    <w:p>
      <w:pPr>
        <w:pStyle w:val="BodyText"/>
        <w:spacing w:line="256" w:lineRule="auto" w:before="133"/>
        <w:ind w:left="599" w:right="178" w:hanging="483"/>
        <w:jc w:val="both"/>
      </w:pPr>
      <w:r>
        <w:rPr>
          <w:rFonts w:ascii="Times New Roman" w:eastAsia="Times New Roman"/>
        </w:rPr>
        <w:t>4</w:t>
      </w:r>
      <w:r>
        <w:rPr>
          <w:spacing w:val="-2"/>
        </w:rPr>
        <w:t>、 主动脉手术：指因心脏主动脉疾病而接受切除及置换移植血管手术，但只包括胸、腹部的主动脉，而非其分支血管。</w:t>
      </w:r>
    </w:p>
    <w:p>
      <w:pPr>
        <w:pStyle w:val="BodyText"/>
        <w:spacing w:line="256" w:lineRule="auto" w:before="22"/>
        <w:ind w:left="599" w:right="179" w:hanging="483"/>
        <w:jc w:val="both"/>
      </w:pPr>
      <w:r>
        <w:rPr>
          <w:rFonts w:ascii="Times New Roman" w:eastAsia="Times New Roman"/>
        </w:rPr>
        <w:t>5</w:t>
      </w:r>
      <w:r>
        <w:rPr>
          <w:spacing w:val="-2"/>
        </w:rPr>
        <w:t>、 心脏瓣膜置换手术：因心脏瓣膜疾患确已接受心脏瓣膜置换手术</w:t>
      </w:r>
      <w:r>
        <w:rPr/>
        <w:t>（瓣膜包括生物瓣膜和机械瓣膜</w:t>
      </w:r>
      <w:r>
        <w:rPr>
          <w:spacing w:val="-105"/>
        </w:rPr>
        <w:t>）</w:t>
      </w:r>
      <w:r>
        <w:rPr>
          <w:spacing w:val="-1"/>
        </w:rPr>
        <w:t>，但瓣膜修复手术除外。</w:t>
      </w:r>
    </w:p>
    <w:p>
      <w:pPr>
        <w:pStyle w:val="BodyText"/>
        <w:spacing w:line="261" w:lineRule="auto" w:before="22"/>
        <w:ind w:left="599" w:right="178" w:hanging="483"/>
        <w:jc w:val="both"/>
      </w:pPr>
      <w:r>
        <w:rPr>
          <w:rFonts w:ascii="Times New Roman" w:eastAsia="Times New Roman"/>
        </w:rPr>
        <w:t>6</w:t>
      </w:r>
      <w:r>
        <w:rPr/>
        <w:t>、 原发性心肌病：指经定点医疗机构的专科医生确诊被保险人因心肌病包括扩张型心肌病、肥厚型心肌病及限制型心肌病而导致出现明显的心功能衰竭</w:t>
      </w:r>
      <w:r>
        <w:rPr>
          <w:rFonts w:ascii="Times New Roman" w:eastAsia="Times New Roman"/>
        </w:rPr>
        <w:t>(</w:t>
      </w:r>
      <w:r>
        <w:rPr/>
        <w:t>纽约心脏病协会分类标准心功能至少达四级</w:t>
      </w:r>
      <w:r>
        <w:rPr>
          <w:rFonts w:ascii="Times New Roman" w:eastAsia="Times New Roman"/>
        </w:rPr>
        <w:t>*)</w:t>
      </w:r>
      <w:r>
        <w:rPr/>
        <w:t>。继发于酒精滥用性的心肌病不在此保障范围之内。</w:t>
      </w:r>
      <w:r>
        <w:rPr>
          <w:rFonts w:ascii="Times New Roman" w:eastAsia="Times New Roman"/>
        </w:rPr>
        <w:t>*</w:t>
      </w:r>
      <w:r>
        <w:rPr/>
        <w:t>纽约心</w:t>
      </w:r>
      <w:r>
        <w:rPr>
          <w:spacing w:val="-3"/>
        </w:rPr>
        <w:t>脏病协会分类标准心功能四级是指尽管病人已进行了药物治疗及饮食调节，但其在日常活动中仍出现心衰的症状，并且体检及实验室检查显示有心功能异常的证据。</w:t>
      </w:r>
    </w:p>
    <w:p>
      <w:pPr>
        <w:pStyle w:val="BodyText"/>
        <w:spacing w:line="256" w:lineRule="auto" w:before="17"/>
        <w:ind w:left="599" w:right="179" w:hanging="483"/>
        <w:jc w:val="both"/>
      </w:pPr>
      <w:r>
        <w:rPr>
          <w:rFonts w:ascii="Times New Roman" w:eastAsia="Times New Roman"/>
        </w:rPr>
        <w:t>7</w:t>
      </w:r>
      <w:r>
        <w:rPr>
          <w:spacing w:val="-2"/>
        </w:rPr>
        <w:t>、 原发性肺动脉高压：指由定点医疗机构确诊并经临床检验</w:t>
      </w:r>
      <w:r>
        <w:rPr/>
        <w:t>（包括心导管或肺血管造影检查）证实，同时符合以下各项指标：</w:t>
      </w:r>
    </w:p>
    <w:p>
      <w:pPr>
        <w:pStyle w:val="ListParagraph"/>
        <w:numPr>
          <w:ilvl w:val="0"/>
          <w:numId w:val="6"/>
        </w:numPr>
        <w:tabs>
          <w:tab w:pos="960" w:val="left" w:leader="none"/>
        </w:tabs>
        <w:spacing w:line="240" w:lineRule="auto" w:before="22" w:after="0"/>
        <w:ind w:left="959" w:right="0" w:hanging="360"/>
        <w:jc w:val="left"/>
        <w:rPr>
          <w:rFonts w:ascii="Times New Roman" w:eastAsia="Times New Roman"/>
          <w:sz w:val="21"/>
        </w:rPr>
      </w:pPr>
      <w:r>
        <w:rPr>
          <w:spacing w:val="-6"/>
          <w:sz w:val="21"/>
        </w:rPr>
        <w:t>肺动脉平均压力超过 </w:t>
      </w:r>
      <w:r>
        <w:rPr>
          <w:rFonts w:ascii="Times New Roman" w:eastAsia="Times New Roman"/>
          <w:sz w:val="21"/>
        </w:rPr>
        <w:t>40mmHg;</w:t>
      </w:r>
    </w:p>
    <w:p>
      <w:pPr>
        <w:pStyle w:val="ListParagraph"/>
        <w:numPr>
          <w:ilvl w:val="0"/>
          <w:numId w:val="6"/>
        </w:numPr>
        <w:tabs>
          <w:tab w:pos="960" w:val="left" w:leader="none"/>
        </w:tabs>
        <w:spacing w:line="240" w:lineRule="auto" w:before="21" w:after="0"/>
        <w:ind w:left="959" w:right="0" w:hanging="360"/>
        <w:jc w:val="left"/>
        <w:rPr>
          <w:rFonts w:ascii="Times New Roman" w:eastAsia="Times New Roman"/>
          <w:sz w:val="21"/>
        </w:rPr>
      </w:pPr>
      <w:r>
        <w:rPr>
          <w:spacing w:val="-5"/>
          <w:sz w:val="21"/>
        </w:rPr>
        <w:t>右心室舒张末期压力超过 </w:t>
      </w:r>
      <w:r>
        <w:rPr>
          <w:rFonts w:ascii="Times New Roman" w:eastAsia="Times New Roman"/>
          <w:sz w:val="21"/>
        </w:rPr>
        <w:t>8mmHg;</w:t>
      </w:r>
    </w:p>
    <w:p>
      <w:pPr>
        <w:pStyle w:val="ListParagraph"/>
        <w:numPr>
          <w:ilvl w:val="0"/>
          <w:numId w:val="6"/>
        </w:numPr>
        <w:tabs>
          <w:tab w:pos="960" w:val="left" w:leader="none"/>
        </w:tabs>
        <w:spacing w:line="240" w:lineRule="auto" w:before="21" w:after="0"/>
        <w:ind w:left="959" w:right="0" w:hanging="360"/>
        <w:jc w:val="left"/>
        <w:rPr>
          <w:sz w:val="21"/>
        </w:rPr>
      </w:pPr>
      <w:r>
        <w:rPr>
          <w:sz w:val="21"/>
        </w:rPr>
        <w:t>右心失代偿、右心衰的症状。</w:t>
      </w:r>
    </w:p>
    <w:p>
      <w:pPr>
        <w:pStyle w:val="BodyText"/>
        <w:spacing w:line="256" w:lineRule="auto"/>
        <w:ind w:left="599" w:right="178" w:hanging="483"/>
        <w:jc w:val="both"/>
      </w:pPr>
      <w:r>
        <w:rPr>
          <w:rFonts w:ascii="Times New Roman" w:hAnsi="Times New Roman" w:eastAsia="Times New Roman"/>
        </w:rPr>
        <w:t>8</w:t>
      </w:r>
      <w:r>
        <w:rPr/>
        <w:t>、 肢体缺失：因治疗的需要或意外事故所致，两肢或两肢以上完全离断。肢体的</w:t>
      </w:r>
      <w:r>
        <w:rPr>
          <w:rFonts w:ascii="Times New Roman" w:hAnsi="Times New Roman" w:eastAsia="Times New Roman"/>
        </w:rPr>
        <w:t>“</w:t>
      </w:r>
      <w:r>
        <w:rPr/>
        <w:t>完全离断</w:t>
      </w:r>
      <w:r>
        <w:rPr>
          <w:rFonts w:ascii="Times New Roman" w:hAnsi="Times New Roman" w:eastAsia="Times New Roman"/>
        </w:rPr>
        <w:t>”</w:t>
      </w:r>
      <w:r>
        <w:rPr/>
        <w:t>是指肢体自腕关节或踝关节以上远端离断。</w:t>
      </w:r>
    </w:p>
    <w:p>
      <w:pPr>
        <w:pStyle w:val="BodyText"/>
        <w:spacing w:line="264" w:lineRule="auto" w:before="4"/>
        <w:ind w:left="599" w:right="179" w:hanging="483"/>
        <w:jc w:val="both"/>
      </w:pPr>
      <w:r>
        <w:rPr>
          <w:rFonts w:ascii="Times New Roman" w:eastAsia="Times New Roman"/>
        </w:rPr>
        <w:t>9</w:t>
      </w:r>
      <w:r>
        <w:rPr>
          <w:spacing w:val="-2"/>
        </w:rPr>
        <w:t>、 肢体瘫痪：指因意外或疾病所致的肢体机能永久完全丧失，四肢中任意两肢中各有三大</w:t>
      </w:r>
      <w:r>
        <w:rPr>
          <w:spacing w:val="-6"/>
        </w:rPr>
        <w:t>关节中的两大关节以上机能永久完全丧失。关节机能永久完全丧失是指关节永久完全僵硬或关节不能随意活动超过六个月者。</w:t>
      </w:r>
    </w:p>
    <w:p>
      <w:pPr>
        <w:pStyle w:val="BodyText"/>
        <w:spacing w:line="273" w:lineRule="auto" w:before="15"/>
        <w:ind w:left="537" w:right="3944"/>
      </w:pPr>
      <w:r>
        <w:rPr/>
        <w:t>上肢三大关节包括肩关节、肘关节、腕关节。下肢三大关节包括髋关节、膝关节、踝关节。</w:t>
      </w:r>
    </w:p>
    <w:p>
      <w:pPr>
        <w:pStyle w:val="BodyText"/>
        <w:spacing w:line="256" w:lineRule="auto" w:before="7"/>
        <w:ind w:left="599" w:right="102" w:hanging="483"/>
        <w:jc w:val="both"/>
      </w:pPr>
      <w:r>
        <w:rPr>
          <w:rFonts w:ascii="Times New Roman" w:eastAsia="Times New Roman"/>
        </w:rPr>
        <w:t>10</w:t>
      </w:r>
      <w:r>
        <w:rPr>
          <w:spacing w:val="-12"/>
        </w:rPr>
        <w:t>、 脑中风后遗症：指因脑血管出血、脑栓塞、脑梗塞致永久性神经机能障碍者。所谓永久性神经机能障碍，是指发病六个月后，经定点医疗机构认定，仍遗留下列障碍之一者：</w:t>
      </w:r>
    </w:p>
    <w:p>
      <w:pPr>
        <w:pStyle w:val="ListParagraph"/>
        <w:numPr>
          <w:ilvl w:val="0"/>
          <w:numId w:val="7"/>
        </w:numPr>
        <w:tabs>
          <w:tab w:pos="960" w:val="left" w:leader="none"/>
        </w:tabs>
        <w:spacing w:line="240" w:lineRule="auto" w:before="22" w:after="0"/>
        <w:ind w:left="844" w:right="0" w:hanging="245"/>
        <w:jc w:val="left"/>
        <w:rPr>
          <w:sz w:val="21"/>
        </w:rPr>
      </w:pPr>
      <w:r>
        <w:rPr>
          <w:sz w:val="21"/>
        </w:rPr>
        <w:t>一肢及以上肢体机能永久性完全丧失；</w:t>
      </w:r>
    </w:p>
    <w:p>
      <w:pPr>
        <w:pStyle w:val="ListParagraph"/>
        <w:numPr>
          <w:ilvl w:val="0"/>
          <w:numId w:val="7"/>
        </w:numPr>
        <w:tabs>
          <w:tab w:pos="960" w:val="left" w:leader="none"/>
        </w:tabs>
        <w:spacing w:line="240" w:lineRule="auto" w:before="21" w:after="0"/>
        <w:ind w:left="959" w:right="0" w:hanging="360"/>
        <w:jc w:val="left"/>
        <w:rPr>
          <w:sz w:val="21"/>
        </w:rPr>
      </w:pPr>
      <w:r>
        <w:rPr>
          <w:sz w:val="21"/>
        </w:rPr>
        <w:t>两肢及以上运动或感觉障碍而完全丧失基本日常生活活动的自理能力；</w:t>
      </w:r>
    </w:p>
    <w:p>
      <w:pPr>
        <w:pStyle w:val="ListParagraph"/>
        <w:numPr>
          <w:ilvl w:val="0"/>
          <w:numId w:val="7"/>
        </w:numPr>
        <w:tabs>
          <w:tab w:pos="960" w:val="left" w:leader="none"/>
        </w:tabs>
        <w:spacing w:line="240" w:lineRule="auto" w:before="21" w:after="0"/>
        <w:ind w:left="959" w:right="0" w:hanging="360"/>
        <w:jc w:val="left"/>
        <w:rPr>
          <w:sz w:val="21"/>
        </w:rPr>
      </w:pPr>
      <w:r>
        <w:rPr>
          <w:sz w:val="21"/>
        </w:rPr>
        <w:t>完全及永久丧失语言能力；</w:t>
      </w:r>
    </w:p>
    <w:p>
      <w:pPr>
        <w:pStyle w:val="ListParagraph"/>
        <w:numPr>
          <w:ilvl w:val="0"/>
          <w:numId w:val="7"/>
        </w:numPr>
        <w:tabs>
          <w:tab w:pos="960" w:val="left" w:leader="none"/>
        </w:tabs>
        <w:spacing w:line="240" w:lineRule="auto" w:before="21" w:after="0"/>
        <w:ind w:left="959" w:right="0" w:hanging="360"/>
        <w:jc w:val="left"/>
        <w:rPr>
          <w:sz w:val="21"/>
        </w:rPr>
      </w:pPr>
      <w:r>
        <w:rPr>
          <w:sz w:val="21"/>
        </w:rPr>
        <w:t>完全及永久丧失吞咽功能，必须永久使用鼻饲管；</w:t>
      </w:r>
    </w:p>
    <w:p>
      <w:pPr>
        <w:pStyle w:val="ListParagraph"/>
        <w:numPr>
          <w:ilvl w:val="0"/>
          <w:numId w:val="7"/>
        </w:numPr>
        <w:tabs>
          <w:tab w:pos="960" w:val="left" w:leader="none"/>
        </w:tabs>
        <w:spacing w:line="256" w:lineRule="auto" w:before="21" w:after="0"/>
        <w:ind w:left="844" w:right="179" w:hanging="245"/>
        <w:jc w:val="left"/>
        <w:rPr>
          <w:sz w:val="21"/>
        </w:rPr>
      </w:pPr>
      <w:r>
        <w:rPr>
          <w:spacing w:val="-2"/>
          <w:sz w:val="21"/>
        </w:rPr>
        <w:t>中枢神经系统或胸、腹部器官的功能失常，致完全丧失基本日常生活活动的自理能力。</w:t>
      </w:r>
    </w:p>
    <w:p>
      <w:pPr>
        <w:pStyle w:val="BodyText"/>
        <w:spacing w:line="264" w:lineRule="auto" w:before="22"/>
        <w:ind w:left="599" w:right="178" w:hanging="483"/>
        <w:jc w:val="both"/>
      </w:pPr>
      <w:r>
        <w:rPr>
          <w:rFonts w:ascii="Times New Roman" w:eastAsia="Times New Roman"/>
        </w:rPr>
        <w:t>11</w:t>
      </w:r>
      <w:r>
        <w:rPr>
          <w:spacing w:val="-11"/>
        </w:rPr>
        <w:t>、 昏迷：指因脑部功能衰竭造成意识丧失的状态，并对外界刺激完全无反应，同时使用呼</w:t>
      </w:r>
      <w:r>
        <w:rPr>
          <w:spacing w:val="-14"/>
        </w:rPr>
        <w:t>吸机和静脉注射营养液等生命维持系统至少持续一周以上，但因酒精或药物滥用或医疗上使用镇定剂所致的昏迷除外。</w:t>
      </w:r>
    </w:p>
    <w:p>
      <w:pPr>
        <w:pStyle w:val="BodyText"/>
        <w:spacing w:line="256" w:lineRule="auto" w:before="16"/>
        <w:ind w:left="599" w:right="179" w:hanging="483"/>
        <w:jc w:val="both"/>
      </w:pPr>
      <w:r>
        <w:rPr>
          <w:rFonts w:ascii="Times New Roman" w:eastAsia="Times New Roman"/>
        </w:rPr>
        <w:t>12</w:t>
      </w:r>
      <w:r>
        <w:rPr>
          <w:spacing w:val="-11"/>
        </w:rPr>
        <w:t>、 严重脑损伤：因意外伤害事故引起的大脑损伤造成神经缺陷，导致永久性的脑神经功能障碍。所谓永久性功能障碍是指事故发生 </w:t>
      </w:r>
      <w:r>
        <w:rPr>
          <w:rFonts w:ascii="Times New Roman" w:eastAsia="Times New Roman"/>
        </w:rPr>
        <w:t>6 </w:t>
      </w:r>
      <w:r>
        <w:rPr>
          <w:spacing w:val="-6"/>
        </w:rPr>
        <w:t>个月后，经定点医疗机构认定无法独立完成三项以上基本日常生活活动。</w:t>
      </w:r>
    </w:p>
    <w:p>
      <w:pPr>
        <w:pStyle w:val="BodyText"/>
        <w:spacing w:line="256" w:lineRule="auto" w:before="22"/>
        <w:ind w:left="599" w:right="102" w:hanging="483"/>
      </w:pPr>
      <w:r>
        <w:rPr>
          <w:rFonts w:ascii="Times New Roman" w:eastAsia="Times New Roman"/>
        </w:rPr>
        <w:t>13</w:t>
      </w:r>
      <w:r>
        <w:rPr>
          <w:spacing w:val="-7"/>
        </w:rPr>
        <w:t>、 良性脑肿瘤：指由定点医疗机构确认的危及生命的非恶性脑肿瘤，引起颅内压的增高， 导致视神经乳头水肿、意识障碍、癫痫发作和感觉功能损害等症状</w:t>
      </w:r>
      <w:r>
        <w:rPr>
          <w:rFonts w:ascii="Times New Roman" w:eastAsia="Times New Roman"/>
          <w:spacing w:val="-7"/>
        </w:rPr>
        <w:t>,</w:t>
      </w:r>
      <w:r>
        <w:rPr>
          <w:spacing w:val="-7"/>
        </w:rPr>
        <w:t>且须经开颅手术后病理证实。囊肿、肉芽肿、垂体腺瘤、脑膜瘤不在此保障范围以内。</w:t>
      </w:r>
    </w:p>
    <w:p>
      <w:pPr>
        <w:pStyle w:val="BodyText"/>
        <w:spacing w:line="256" w:lineRule="auto" w:before="22"/>
        <w:ind w:left="599" w:right="178" w:hanging="483"/>
        <w:jc w:val="both"/>
      </w:pPr>
      <w:r>
        <w:rPr>
          <w:rFonts w:ascii="Times New Roman" w:eastAsia="Times New Roman"/>
        </w:rPr>
        <w:t>14</w:t>
      </w:r>
      <w:r>
        <w:rPr>
          <w:spacing w:val="-11"/>
        </w:rPr>
        <w:t>、 脑动脉瘤开颅手术：指确已进行开颅手术以夹闭、修复或切除脑动脉瘤。但不包括导管及血管内手术。</w:t>
      </w:r>
    </w:p>
    <w:p>
      <w:pPr>
        <w:pStyle w:val="BodyText"/>
        <w:spacing w:before="22"/>
        <w:ind w:left="117"/>
      </w:pPr>
      <w:r>
        <w:rPr>
          <w:rFonts w:ascii="Times New Roman" w:eastAsia="Times New Roman"/>
        </w:rPr>
        <w:t>15</w:t>
      </w:r>
      <w:r>
        <w:rPr/>
        <w:t>、 重症细菌性脑膜炎后遗症</w:t>
      </w:r>
    </w:p>
    <w:p>
      <w:pPr>
        <w:pStyle w:val="BodyText"/>
        <w:spacing w:line="273" w:lineRule="auto"/>
        <w:ind w:left="475" w:right="227" w:firstLine="420"/>
      </w:pPr>
      <w:r>
        <w:rPr/>
        <w:t>指由于细菌感染引起的脑膜重症炎症，导致严重的、无法恢复的永久性神经系统缺陷。此病症须由定点医疗机构的专科医生根据腰穿检查化验确诊患有细菌性脑膜炎，导</w:t>
      </w:r>
    </w:p>
    <w:p>
      <w:pPr>
        <w:spacing w:after="0" w:line="273" w:lineRule="auto"/>
        <w:sectPr>
          <w:pgSz w:w="11910" w:h="16840"/>
          <w:pgMar w:header="896" w:footer="1008" w:top="1280" w:bottom="1200" w:left="1680" w:right="1540"/>
        </w:sectPr>
      </w:pPr>
    </w:p>
    <w:p>
      <w:pPr>
        <w:pStyle w:val="BodyText"/>
        <w:spacing w:line="256" w:lineRule="auto" w:before="133"/>
        <w:ind w:left="475" w:right="54"/>
      </w:pPr>
      <w:r>
        <w:rPr/>
        <w:t>致出现有以下一项或以上永久性神经系统缺陷持续</w:t>
      </w:r>
      <w:r>
        <w:rPr>
          <w:rFonts w:ascii="Times New Roman" w:eastAsia="Times New Roman"/>
        </w:rPr>
        <w:t>6</w:t>
      </w:r>
      <w:r>
        <w:rPr/>
        <w:t>个月以上。此神经系统缺陷须由定点医疗机构的神经专科医生确诊。神经系统缺陷有：</w:t>
      </w:r>
    </w:p>
    <w:p>
      <w:pPr>
        <w:pStyle w:val="ListParagraph"/>
        <w:numPr>
          <w:ilvl w:val="0"/>
          <w:numId w:val="8"/>
        </w:numPr>
        <w:tabs>
          <w:tab w:pos="960" w:val="left" w:leader="none"/>
        </w:tabs>
        <w:spacing w:line="240" w:lineRule="auto" w:before="22" w:after="0"/>
        <w:ind w:left="959" w:right="0" w:hanging="360"/>
        <w:jc w:val="left"/>
        <w:rPr>
          <w:sz w:val="21"/>
        </w:rPr>
      </w:pPr>
      <w:r>
        <w:rPr>
          <w:sz w:val="21"/>
        </w:rPr>
        <w:t>双侧或单侧耳聋；</w:t>
      </w:r>
    </w:p>
    <w:p>
      <w:pPr>
        <w:pStyle w:val="ListParagraph"/>
        <w:numPr>
          <w:ilvl w:val="0"/>
          <w:numId w:val="8"/>
        </w:numPr>
        <w:tabs>
          <w:tab w:pos="960" w:val="left" w:leader="none"/>
        </w:tabs>
        <w:spacing w:line="240" w:lineRule="auto" w:before="21" w:after="0"/>
        <w:ind w:left="959" w:right="0" w:hanging="360"/>
        <w:jc w:val="left"/>
        <w:rPr>
          <w:sz w:val="21"/>
        </w:rPr>
      </w:pPr>
      <w:r>
        <w:rPr>
          <w:sz w:val="21"/>
        </w:rPr>
        <w:t>眼肌瘫痪；</w:t>
      </w:r>
    </w:p>
    <w:p>
      <w:pPr>
        <w:pStyle w:val="ListParagraph"/>
        <w:numPr>
          <w:ilvl w:val="0"/>
          <w:numId w:val="8"/>
        </w:numPr>
        <w:tabs>
          <w:tab w:pos="960" w:val="left" w:leader="none"/>
        </w:tabs>
        <w:spacing w:line="240" w:lineRule="auto" w:before="21" w:after="0"/>
        <w:ind w:left="959" w:right="0" w:hanging="360"/>
        <w:jc w:val="left"/>
        <w:rPr>
          <w:sz w:val="21"/>
        </w:rPr>
      </w:pPr>
      <w:r>
        <w:rPr>
          <w:sz w:val="21"/>
        </w:rPr>
        <w:t>失语；</w:t>
      </w:r>
    </w:p>
    <w:p>
      <w:pPr>
        <w:pStyle w:val="ListParagraph"/>
        <w:numPr>
          <w:ilvl w:val="0"/>
          <w:numId w:val="8"/>
        </w:numPr>
        <w:tabs>
          <w:tab w:pos="960" w:val="left" w:leader="none"/>
        </w:tabs>
        <w:spacing w:line="240" w:lineRule="auto" w:before="21" w:after="0"/>
        <w:ind w:left="959" w:right="0" w:hanging="360"/>
        <w:jc w:val="left"/>
        <w:rPr>
          <w:sz w:val="21"/>
        </w:rPr>
      </w:pPr>
      <w:r>
        <w:rPr>
          <w:sz w:val="21"/>
        </w:rPr>
        <w:t>双眼或单眼失明；</w:t>
      </w:r>
    </w:p>
    <w:p>
      <w:pPr>
        <w:pStyle w:val="ListParagraph"/>
        <w:numPr>
          <w:ilvl w:val="0"/>
          <w:numId w:val="8"/>
        </w:numPr>
        <w:tabs>
          <w:tab w:pos="960" w:val="left" w:leader="none"/>
        </w:tabs>
        <w:spacing w:line="240" w:lineRule="auto" w:before="21" w:after="0"/>
        <w:ind w:left="959" w:right="0" w:hanging="360"/>
        <w:jc w:val="left"/>
        <w:rPr>
          <w:sz w:val="21"/>
        </w:rPr>
      </w:pPr>
      <w:r>
        <w:rPr>
          <w:sz w:val="21"/>
        </w:rPr>
        <w:t>脑积水。</w:t>
      </w:r>
    </w:p>
    <w:p>
      <w:pPr>
        <w:pStyle w:val="BodyText"/>
        <w:spacing w:line="256" w:lineRule="auto"/>
        <w:ind w:left="599" w:right="119" w:hanging="483"/>
        <w:jc w:val="both"/>
      </w:pPr>
      <w:r>
        <w:rPr>
          <w:rFonts w:ascii="Times New Roman" w:eastAsia="Times New Roman"/>
        </w:rPr>
        <w:t>16</w:t>
      </w:r>
      <w:r>
        <w:rPr>
          <w:spacing w:val="-10"/>
        </w:rPr>
        <w:t>、 脑炎后遗症：指因严重的脑实质</w:t>
      </w:r>
      <w:r>
        <w:rPr/>
        <w:t>（</w:t>
      </w:r>
      <w:r>
        <w:rPr>
          <w:spacing w:val="-4"/>
        </w:rPr>
        <w:t>大脑半球、脑干或小脑</w:t>
      </w:r>
      <w:r>
        <w:rPr>
          <w:spacing w:val="-20"/>
        </w:rPr>
        <w:t>）</w:t>
      </w:r>
      <w:r>
        <w:rPr/>
        <w:t>炎症导致永久性神经机能障碍。</w:t>
      </w:r>
    </w:p>
    <w:p>
      <w:pPr>
        <w:pStyle w:val="BodyText"/>
        <w:spacing w:line="273" w:lineRule="auto" w:before="22"/>
        <w:ind w:left="537" w:right="75"/>
      </w:pPr>
      <w:r>
        <w:rPr/>
        <w:t>所谓永久性神经机能障碍，是指发病六个月后，经定点医疗机构的专科医生认定，仍遗留下列障碍之一者：</w:t>
      </w:r>
    </w:p>
    <w:p>
      <w:pPr>
        <w:pStyle w:val="ListParagraph"/>
        <w:numPr>
          <w:ilvl w:val="0"/>
          <w:numId w:val="9"/>
        </w:numPr>
        <w:tabs>
          <w:tab w:pos="960" w:val="left" w:leader="none"/>
        </w:tabs>
        <w:spacing w:line="240" w:lineRule="auto" w:before="7" w:after="0"/>
        <w:ind w:left="844" w:right="0" w:hanging="245"/>
        <w:jc w:val="left"/>
        <w:rPr>
          <w:sz w:val="21"/>
        </w:rPr>
      </w:pPr>
      <w:r>
        <w:rPr>
          <w:sz w:val="21"/>
        </w:rPr>
        <w:t>一肢及以上肢体机能永久性完全丧失；</w:t>
      </w:r>
    </w:p>
    <w:p>
      <w:pPr>
        <w:pStyle w:val="ListParagraph"/>
        <w:numPr>
          <w:ilvl w:val="0"/>
          <w:numId w:val="9"/>
        </w:numPr>
        <w:tabs>
          <w:tab w:pos="960" w:val="left" w:leader="none"/>
        </w:tabs>
        <w:spacing w:line="240" w:lineRule="auto" w:before="20" w:after="0"/>
        <w:ind w:left="959" w:right="0" w:hanging="360"/>
        <w:jc w:val="left"/>
        <w:rPr>
          <w:sz w:val="21"/>
        </w:rPr>
      </w:pPr>
      <w:r>
        <w:rPr>
          <w:sz w:val="21"/>
        </w:rPr>
        <w:t>两肢及以上运动或感觉障碍而完全丧失基本日常生活活动的自理能力；</w:t>
      </w:r>
    </w:p>
    <w:p>
      <w:pPr>
        <w:pStyle w:val="ListParagraph"/>
        <w:numPr>
          <w:ilvl w:val="0"/>
          <w:numId w:val="9"/>
        </w:numPr>
        <w:tabs>
          <w:tab w:pos="960" w:val="left" w:leader="none"/>
        </w:tabs>
        <w:spacing w:line="240" w:lineRule="auto" w:before="20" w:after="0"/>
        <w:ind w:left="959" w:right="0" w:hanging="360"/>
        <w:jc w:val="left"/>
        <w:rPr>
          <w:sz w:val="21"/>
        </w:rPr>
      </w:pPr>
      <w:r>
        <w:rPr>
          <w:sz w:val="21"/>
        </w:rPr>
        <w:t>完全及永久丧失语言能力；</w:t>
      </w:r>
    </w:p>
    <w:p>
      <w:pPr>
        <w:pStyle w:val="ListParagraph"/>
        <w:numPr>
          <w:ilvl w:val="0"/>
          <w:numId w:val="9"/>
        </w:numPr>
        <w:tabs>
          <w:tab w:pos="960" w:val="left" w:leader="none"/>
        </w:tabs>
        <w:spacing w:line="240" w:lineRule="auto" w:before="20" w:after="0"/>
        <w:ind w:left="959" w:right="0" w:hanging="360"/>
        <w:jc w:val="left"/>
        <w:rPr>
          <w:sz w:val="21"/>
        </w:rPr>
      </w:pPr>
      <w:r>
        <w:rPr>
          <w:sz w:val="21"/>
        </w:rPr>
        <w:t>完全及永久丧失吞咽功能，必须永久使用鼻饲管；</w:t>
      </w:r>
    </w:p>
    <w:p>
      <w:pPr>
        <w:pStyle w:val="ListParagraph"/>
        <w:numPr>
          <w:ilvl w:val="0"/>
          <w:numId w:val="9"/>
        </w:numPr>
        <w:tabs>
          <w:tab w:pos="960" w:val="left" w:leader="none"/>
        </w:tabs>
        <w:spacing w:line="256" w:lineRule="auto" w:before="20" w:after="0"/>
        <w:ind w:left="844" w:right="119" w:hanging="245"/>
        <w:jc w:val="left"/>
        <w:rPr>
          <w:sz w:val="21"/>
        </w:rPr>
      </w:pPr>
      <w:r>
        <w:rPr>
          <w:spacing w:val="-2"/>
          <w:sz w:val="21"/>
        </w:rPr>
        <w:t>中枢神经系统或胸、腹部器官的功能失常，致完全丧失基本日常生活活动的自理能力。</w:t>
      </w:r>
    </w:p>
    <w:p>
      <w:pPr>
        <w:pStyle w:val="BodyText"/>
        <w:spacing w:line="264" w:lineRule="auto"/>
        <w:ind w:left="599" w:right="118" w:hanging="483"/>
        <w:jc w:val="both"/>
      </w:pPr>
      <w:r>
        <w:rPr>
          <w:rFonts w:ascii="Times New Roman" w:eastAsia="Times New Roman"/>
        </w:rPr>
        <w:t>17</w:t>
      </w:r>
      <w:r>
        <w:rPr>
          <w:spacing w:val="-11"/>
        </w:rPr>
        <w:t>、 帕金森氏病：渐进性中枢神经系统的退行性疾病，主要症状包括静止性震颤、肌张力增</w:t>
      </w:r>
      <w:r>
        <w:rPr>
          <w:spacing w:val="-10"/>
        </w:rPr>
        <w:t>高、行动迟缓、反应迟钝及联合动作减少。须由定点医疗机构的专科医生作出判断，且应同时满足下列各项：</w:t>
      </w:r>
    </w:p>
    <w:p>
      <w:pPr>
        <w:pStyle w:val="ListParagraph"/>
        <w:numPr>
          <w:ilvl w:val="0"/>
          <w:numId w:val="10"/>
        </w:numPr>
        <w:tabs>
          <w:tab w:pos="960" w:val="left" w:leader="none"/>
        </w:tabs>
        <w:spacing w:line="240" w:lineRule="auto" w:before="15" w:after="0"/>
        <w:ind w:left="959" w:right="0" w:hanging="360"/>
        <w:jc w:val="left"/>
        <w:rPr>
          <w:sz w:val="21"/>
        </w:rPr>
      </w:pPr>
      <w:r>
        <w:rPr>
          <w:sz w:val="21"/>
        </w:rPr>
        <w:t>无法以医疗方法控制；</w:t>
      </w:r>
    </w:p>
    <w:p>
      <w:pPr>
        <w:pStyle w:val="ListParagraph"/>
        <w:numPr>
          <w:ilvl w:val="0"/>
          <w:numId w:val="10"/>
        </w:numPr>
        <w:tabs>
          <w:tab w:pos="960" w:val="left" w:leader="none"/>
        </w:tabs>
        <w:spacing w:line="240" w:lineRule="auto" w:before="21" w:after="0"/>
        <w:ind w:left="959" w:right="0" w:hanging="360"/>
        <w:jc w:val="left"/>
        <w:rPr>
          <w:sz w:val="21"/>
        </w:rPr>
      </w:pPr>
      <w:r>
        <w:rPr>
          <w:sz w:val="21"/>
        </w:rPr>
        <w:t>被保险人无法独立完成三项以上基本日常生活活动；</w:t>
      </w:r>
    </w:p>
    <w:p>
      <w:pPr>
        <w:pStyle w:val="ListParagraph"/>
        <w:numPr>
          <w:ilvl w:val="0"/>
          <w:numId w:val="10"/>
        </w:numPr>
        <w:tabs>
          <w:tab w:pos="960" w:val="left" w:leader="none"/>
        </w:tabs>
        <w:spacing w:line="240" w:lineRule="auto" w:before="21" w:after="0"/>
        <w:ind w:left="959" w:right="0" w:hanging="360"/>
        <w:jc w:val="left"/>
        <w:rPr>
          <w:sz w:val="21"/>
        </w:rPr>
      </w:pPr>
      <w:r>
        <w:rPr>
          <w:sz w:val="21"/>
        </w:rPr>
        <w:t>病因不明，有明确病因如食物中毒、滥用药品或毒品引起者除外。</w:t>
      </w:r>
    </w:p>
    <w:p>
      <w:pPr>
        <w:pStyle w:val="BodyText"/>
        <w:spacing w:line="261" w:lineRule="auto"/>
        <w:ind w:left="599" w:right="118" w:hanging="483"/>
        <w:jc w:val="both"/>
      </w:pPr>
      <w:r>
        <w:rPr>
          <w:rFonts w:ascii="Times New Roman" w:eastAsia="Times New Roman"/>
        </w:rPr>
        <w:t>18</w:t>
      </w:r>
      <w:r>
        <w:rPr>
          <w:spacing w:val="-7"/>
        </w:rPr>
        <w:t>、 阿耳茨海默氏症</w:t>
      </w:r>
      <w:r>
        <w:rPr>
          <w:rFonts w:ascii="Times New Roman" w:eastAsia="Times New Roman"/>
        </w:rPr>
        <w:t>(</w:t>
      </w:r>
      <w:r>
        <w:rPr/>
        <w:t>老年性痴呆和早老年性痴呆</w:t>
      </w:r>
      <w:r>
        <w:rPr>
          <w:rFonts w:ascii="Times New Roman" w:eastAsia="Times New Roman"/>
          <w:spacing w:val="-5"/>
        </w:rPr>
        <w:t>)</w:t>
      </w:r>
      <w:r>
        <w:rPr>
          <w:spacing w:val="-2"/>
        </w:rPr>
        <w:t>：指慢性进行性脑病变所致的智能衰退或</w:t>
      </w:r>
      <w:r>
        <w:rPr>
          <w:spacing w:val="-9"/>
        </w:rPr>
        <w:t>丧失，主要表现为基本日常生活活动不能自理。阿耳茨海默氏症须由定点医疗机构的专</w:t>
      </w:r>
      <w:r>
        <w:rPr>
          <w:spacing w:val="-11"/>
        </w:rPr>
        <w:t>科医生确诊；并经临床验证和标准问答证实；同时须经 </w:t>
      </w:r>
      <w:r>
        <w:rPr>
          <w:rFonts w:ascii="Times New Roman" w:eastAsia="Times New Roman"/>
        </w:rPr>
        <w:t>CT </w:t>
      </w:r>
      <w:r>
        <w:rPr>
          <w:spacing w:val="-1"/>
        </w:rPr>
        <w:t>检查或核磁共振检查，显示有广泛的脑萎缩。但神经官能症及精神病除外。</w:t>
      </w:r>
    </w:p>
    <w:p>
      <w:pPr>
        <w:pStyle w:val="BodyText"/>
        <w:spacing w:line="256" w:lineRule="auto" w:before="18"/>
        <w:ind w:left="599" w:right="119" w:hanging="483"/>
        <w:jc w:val="both"/>
      </w:pPr>
      <w:r>
        <w:rPr>
          <w:rFonts w:ascii="Times New Roman" w:eastAsia="Times New Roman"/>
        </w:rPr>
        <w:t>19</w:t>
      </w:r>
      <w:r>
        <w:rPr>
          <w:spacing w:val="-12"/>
        </w:rPr>
        <w:t>、 多发性硬化：经定点医疗机构的专科医生诊断证实有典型中枢神经系统脱髓鞘病变及永</w:t>
      </w:r>
      <w:r>
        <w:rPr>
          <w:spacing w:val="-16"/>
        </w:rPr>
        <w:t>久性神经功能障碍，且此不可逆性神经功能障碍诊断需于第一次诊断 </w:t>
      </w:r>
      <w:r>
        <w:rPr>
          <w:rFonts w:ascii="Times New Roman" w:eastAsia="Times New Roman"/>
        </w:rPr>
        <w:t>6 </w:t>
      </w:r>
      <w:r>
        <w:rPr/>
        <w:t>个月后做出方有</w:t>
      </w:r>
      <w:r>
        <w:rPr>
          <w:spacing w:val="-5"/>
        </w:rPr>
        <w:t>效。诊断须由神经科检查确定</w:t>
      </w:r>
      <w:r>
        <w:rPr/>
        <w:t>（</w:t>
      </w:r>
      <w:r>
        <w:rPr>
          <w:spacing w:val="-26"/>
        </w:rPr>
        <w:t>由 </w:t>
      </w:r>
      <w:r>
        <w:rPr>
          <w:rFonts w:ascii="Times New Roman" w:eastAsia="Times New Roman"/>
        </w:rPr>
        <w:t>CT </w:t>
      </w:r>
      <w:r>
        <w:rPr/>
        <w:t>检查或核磁共振等检查来确定有中枢神经系统的脱髓鞘病变）</w:t>
      </w:r>
    </w:p>
    <w:p>
      <w:pPr>
        <w:pStyle w:val="BodyText"/>
        <w:spacing w:line="256" w:lineRule="auto" w:before="22"/>
        <w:ind w:left="599" w:right="119" w:hanging="483"/>
        <w:jc w:val="both"/>
      </w:pPr>
      <w:r>
        <w:rPr>
          <w:rFonts w:ascii="Times New Roman" w:eastAsia="Times New Roman"/>
        </w:rPr>
        <w:t>20</w:t>
      </w:r>
      <w:r>
        <w:rPr>
          <w:spacing w:val="-11"/>
        </w:rPr>
        <w:t>、 暴发性肝炎：指肝炎病毒感染导致大部分肝脏坏死并失去功能</w:t>
      </w:r>
      <w:r>
        <w:rPr/>
        <w:t>（自行服毒或酒精中毒者除外</w:t>
      </w:r>
      <w:r>
        <w:rPr>
          <w:spacing w:val="-105"/>
        </w:rPr>
        <w:t>）</w:t>
      </w:r>
      <w:r>
        <w:rPr>
          <w:spacing w:val="-1"/>
        </w:rPr>
        <w:t>，其诊断必须同时具备下列条件：</w:t>
      </w:r>
    </w:p>
    <w:p>
      <w:pPr>
        <w:pStyle w:val="ListParagraph"/>
        <w:numPr>
          <w:ilvl w:val="0"/>
          <w:numId w:val="11"/>
        </w:numPr>
        <w:tabs>
          <w:tab w:pos="960" w:val="left" w:leader="none"/>
        </w:tabs>
        <w:spacing w:line="240" w:lineRule="auto" w:before="22" w:after="0"/>
        <w:ind w:left="959" w:right="0" w:hanging="360"/>
        <w:jc w:val="left"/>
        <w:rPr>
          <w:sz w:val="21"/>
        </w:rPr>
      </w:pPr>
      <w:r>
        <w:rPr>
          <w:sz w:val="21"/>
        </w:rPr>
        <w:t>肝脏急剧缩小；</w:t>
      </w:r>
    </w:p>
    <w:p>
      <w:pPr>
        <w:pStyle w:val="ListParagraph"/>
        <w:numPr>
          <w:ilvl w:val="0"/>
          <w:numId w:val="11"/>
        </w:numPr>
        <w:tabs>
          <w:tab w:pos="960" w:val="left" w:leader="none"/>
        </w:tabs>
        <w:spacing w:line="240" w:lineRule="auto" w:before="21" w:after="0"/>
        <w:ind w:left="959" w:right="0" w:hanging="360"/>
        <w:jc w:val="left"/>
        <w:rPr>
          <w:sz w:val="21"/>
        </w:rPr>
      </w:pPr>
      <w:r>
        <w:rPr>
          <w:sz w:val="21"/>
        </w:rPr>
        <w:t>肝细胞大量坏死；</w:t>
      </w:r>
    </w:p>
    <w:p>
      <w:pPr>
        <w:pStyle w:val="ListParagraph"/>
        <w:numPr>
          <w:ilvl w:val="0"/>
          <w:numId w:val="11"/>
        </w:numPr>
        <w:tabs>
          <w:tab w:pos="960" w:val="left" w:leader="none"/>
        </w:tabs>
        <w:spacing w:line="240" w:lineRule="auto" w:before="21" w:after="0"/>
        <w:ind w:left="959" w:right="0" w:hanging="360"/>
        <w:jc w:val="left"/>
        <w:rPr>
          <w:sz w:val="21"/>
        </w:rPr>
      </w:pPr>
      <w:r>
        <w:rPr>
          <w:sz w:val="21"/>
        </w:rPr>
        <w:t>肝功能迅速恶化；</w:t>
      </w:r>
    </w:p>
    <w:p>
      <w:pPr>
        <w:pStyle w:val="ListParagraph"/>
        <w:numPr>
          <w:ilvl w:val="0"/>
          <w:numId w:val="11"/>
        </w:numPr>
        <w:tabs>
          <w:tab w:pos="960" w:val="left" w:leader="none"/>
        </w:tabs>
        <w:spacing w:line="240" w:lineRule="auto" w:before="21" w:after="0"/>
        <w:ind w:left="959" w:right="0" w:hanging="360"/>
        <w:jc w:val="left"/>
        <w:rPr>
          <w:rFonts w:ascii="Times New Roman" w:eastAsia="Times New Roman"/>
          <w:sz w:val="21"/>
        </w:rPr>
      </w:pPr>
      <w:r>
        <w:rPr>
          <w:sz w:val="21"/>
        </w:rPr>
        <w:t>肝性脑病</w:t>
      </w:r>
      <w:r>
        <w:rPr>
          <w:rFonts w:ascii="Times New Roman" w:eastAsia="Times New Roman"/>
          <w:sz w:val="21"/>
        </w:rPr>
        <w:t>;</w:t>
      </w:r>
    </w:p>
    <w:p>
      <w:pPr>
        <w:pStyle w:val="BodyText"/>
        <w:ind w:left="117"/>
      </w:pPr>
      <w:r>
        <w:rPr>
          <w:rFonts w:ascii="Times New Roman" w:eastAsia="Times New Roman"/>
        </w:rPr>
        <w:t>21</w:t>
      </w:r>
      <w:r>
        <w:rPr/>
        <w:t>、 肝脏疾病终末期：经定点医疗机构的专科医生确认须同时具备下列情况：</w:t>
      </w:r>
    </w:p>
    <w:p>
      <w:pPr>
        <w:pStyle w:val="ListParagraph"/>
        <w:numPr>
          <w:ilvl w:val="0"/>
          <w:numId w:val="12"/>
        </w:numPr>
        <w:tabs>
          <w:tab w:pos="960" w:val="left" w:leader="none"/>
        </w:tabs>
        <w:spacing w:line="240" w:lineRule="auto" w:before="21" w:after="0"/>
        <w:ind w:left="959" w:right="0" w:hanging="360"/>
        <w:jc w:val="left"/>
        <w:rPr>
          <w:sz w:val="21"/>
        </w:rPr>
      </w:pPr>
      <w:r>
        <w:rPr>
          <w:sz w:val="21"/>
        </w:rPr>
        <w:t>肝脏结构严重紊乱；</w:t>
      </w:r>
    </w:p>
    <w:p>
      <w:pPr>
        <w:pStyle w:val="ListParagraph"/>
        <w:numPr>
          <w:ilvl w:val="0"/>
          <w:numId w:val="12"/>
        </w:numPr>
        <w:tabs>
          <w:tab w:pos="960" w:val="left" w:leader="none"/>
        </w:tabs>
        <w:spacing w:line="240" w:lineRule="auto" w:before="21" w:after="0"/>
        <w:ind w:left="959" w:right="0" w:hanging="360"/>
        <w:jc w:val="left"/>
        <w:rPr>
          <w:sz w:val="21"/>
        </w:rPr>
      </w:pPr>
      <w:r>
        <w:rPr>
          <w:sz w:val="21"/>
        </w:rPr>
        <w:t>肝功能明显异常；</w:t>
      </w:r>
    </w:p>
    <w:p>
      <w:pPr>
        <w:pStyle w:val="ListParagraph"/>
        <w:numPr>
          <w:ilvl w:val="0"/>
          <w:numId w:val="12"/>
        </w:numPr>
        <w:tabs>
          <w:tab w:pos="960" w:val="left" w:leader="none"/>
        </w:tabs>
        <w:spacing w:line="240" w:lineRule="auto" w:before="21" w:after="0"/>
        <w:ind w:left="959" w:right="0" w:hanging="360"/>
        <w:jc w:val="left"/>
        <w:rPr>
          <w:sz w:val="21"/>
        </w:rPr>
      </w:pPr>
      <w:r>
        <w:rPr>
          <w:sz w:val="21"/>
        </w:rPr>
        <w:t>腹水；</w:t>
      </w:r>
    </w:p>
    <w:p>
      <w:pPr>
        <w:pStyle w:val="ListParagraph"/>
        <w:numPr>
          <w:ilvl w:val="0"/>
          <w:numId w:val="12"/>
        </w:numPr>
        <w:tabs>
          <w:tab w:pos="960" w:val="left" w:leader="none"/>
        </w:tabs>
        <w:spacing w:line="240" w:lineRule="auto" w:before="21" w:after="0"/>
        <w:ind w:left="959" w:right="0" w:hanging="360"/>
        <w:jc w:val="left"/>
        <w:rPr>
          <w:sz w:val="21"/>
        </w:rPr>
      </w:pPr>
      <w:r>
        <w:rPr>
          <w:sz w:val="21"/>
        </w:rPr>
        <w:t>肝性脑病；</w:t>
      </w:r>
    </w:p>
    <w:p>
      <w:pPr>
        <w:pStyle w:val="ListParagraph"/>
        <w:numPr>
          <w:ilvl w:val="0"/>
          <w:numId w:val="12"/>
        </w:numPr>
        <w:tabs>
          <w:tab w:pos="960" w:val="left" w:leader="none"/>
        </w:tabs>
        <w:spacing w:line="240" w:lineRule="auto" w:before="21" w:after="0"/>
        <w:ind w:left="959" w:right="0" w:hanging="360"/>
        <w:jc w:val="left"/>
        <w:rPr>
          <w:sz w:val="21"/>
        </w:rPr>
      </w:pPr>
      <w:r>
        <w:rPr>
          <w:sz w:val="21"/>
        </w:rPr>
        <w:t>持久性黄疸。</w:t>
      </w:r>
    </w:p>
    <w:p>
      <w:pPr>
        <w:spacing w:after="0" w:line="240" w:lineRule="auto"/>
        <w:jc w:val="left"/>
        <w:rPr>
          <w:sz w:val="21"/>
        </w:rPr>
        <w:sectPr>
          <w:pgSz w:w="11910" w:h="16840"/>
          <w:pgMar w:header="896" w:footer="1008" w:top="1280" w:bottom="1200" w:left="1680" w:right="1600"/>
        </w:sectPr>
      </w:pPr>
    </w:p>
    <w:p>
      <w:pPr>
        <w:pStyle w:val="BodyText"/>
        <w:spacing w:before="133"/>
        <w:ind w:left="600"/>
      </w:pPr>
      <w:r>
        <w:rPr/>
        <w:t>因酒精、药物滥用及误用所致的继发性肝病除外。</w:t>
      </w:r>
    </w:p>
    <w:p>
      <w:pPr>
        <w:pStyle w:val="BodyText"/>
        <w:spacing w:line="256" w:lineRule="auto" w:before="36"/>
        <w:ind w:left="599" w:right="219" w:hanging="483"/>
        <w:jc w:val="both"/>
      </w:pPr>
      <w:r>
        <w:rPr>
          <w:rFonts w:ascii="Times New Roman" w:eastAsia="Times New Roman"/>
        </w:rPr>
        <w:t>2</w:t>
      </w:r>
      <w:r>
        <w:rPr>
          <w:rFonts w:ascii="Times New Roman" w:eastAsia="Times New Roman"/>
          <w:spacing w:val="-1"/>
        </w:rPr>
        <w:t>2</w:t>
      </w:r>
      <w:r>
        <w:rPr>
          <w:spacing w:val="-6"/>
        </w:rPr>
        <w:t>、 慢性肾功能衰竭</w:t>
      </w:r>
      <w:r>
        <w:rPr/>
        <w:t>（尿毒症期</w:t>
      </w:r>
      <w:r>
        <w:rPr>
          <w:spacing w:val="-105"/>
        </w:rPr>
        <w:t>）</w:t>
      </w:r>
      <w:r>
        <w:rPr/>
        <w:t>：指两个肾脏慢性且不可复原的功能衰竭，确已接受八周以上定期的透析治疗者。</w:t>
      </w:r>
    </w:p>
    <w:p>
      <w:pPr>
        <w:pStyle w:val="BodyText"/>
        <w:spacing w:line="256" w:lineRule="auto" w:before="22"/>
        <w:ind w:left="599" w:right="220" w:hanging="483"/>
        <w:jc w:val="both"/>
      </w:pPr>
      <w:r>
        <w:rPr>
          <w:rFonts w:ascii="Times New Roman" w:eastAsia="Times New Roman"/>
        </w:rPr>
        <w:t>23</w:t>
      </w:r>
      <w:r>
        <w:rPr>
          <w:spacing w:val="-12"/>
        </w:rPr>
        <w:t>、 重要器官移植手术：指被保险人作为受体确已接受心脏、肺脏、肝脏、胰腺、肾脏或骨髓移植手术，其它器官或组织的移植手术不包括在内。</w:t>
      </w:r>
    </w:p>
    <w:p>
      <w:pPr>
        <w:pStyle w:val="BodyText"/>
        <w:spacing w:line="264" w:lineRule="auto" w:before="22"/>
        <w:ind w:left="599" w:right="219" w:hanging="483"/>
        <w:jc w:val="both"/>
      </w:pPr>
      <w:r>
        <w:rPr>
          <w:rFonts w:ascii="Times New Roman" w:hAnsi="Times New Roman" w:eastAsia="Times New Roman"/>
        </w:rPr>
        <w:t>24</w:t>
      </w:r>
      <w:r>
        <w:rPr>
          <w:spacing w:val="-10"/>
        </w:rPr>
        <w:t>、 严重烧伤：指全身皮肤百分之二十以上受到</w:t>
      </w:r>
      <w:r>
        <w:rPr>
          <w:rFonts w:ascii="新宋体" w:hAnsi="新宋体" w:eastAsia="新宋体" w:hint="eastAsia"/>
        </w:rPr>
        <w:t>Ⅲ</w:t>
      </w:r>
      <w:r>
        <w:rPr>
          <w:spacing w:val="-13"/>
        </w:rPr>
        <w:t>度烧伤</w:t>
      </w:r>
      <w:r>
        <w:rPr/>
        <w:t>（计算方法根据烧伤面积中国九分法</w:t>
      </w:r>
      <w:r>
        <w:rPr>
          <w:spacing w:val="-105"/>
        </w:rPr>
        <w:t>）</w:t>
      </w:r>
      <w:r>
        <w:rPr/>
        <w:t>。但若烧伤为被保险人自发性或蓄意行为所致，不论当时清醒与否，皆不在本附加合同保障范围之内。</w:t>
      </w:r>
    </w:p>
    <w:p>
      <w:pPr>
        <w:pStyle w:val="BodyText"/>
        <w:spacing w:line="264" w:lineRule="auto" w:before="15"/>
        <w:ind w:left="599" w:right="219" w:hanging="483"/>
        <w:jc w:val="both"/>
      </w:pPr>
      <w:r>
        <w:rPr>
          <w:rFonts w:ascii="Times New Roman" w:eastAsia="Times New Roman"/>
        </w:rPr>
        <w:t>25</w:t>
      </w:r>
      <w:r>
        <w:rPr>
          <w:spacing w:val="-12"/>
        </w:rPr>
        <w:t>、 再生障碍性贫血：指因慢性永久完全性的骨髓造血功能衰竭而导致的以全血细胞减少为</w:t>
      </w:r>
      <w:r>
        <w:rPr>
          <w:spacing w:val="-15"/>
        </w:rPr>
        <w:t>主要表现的一组综合征，因药物或放射线导致者除外。须经骨髓检查确诊为再生障碍性贫血，且确已接受下列至少一项的治疗：</w:t>
      </w:r>
    </w:p>
    <w:p>
      <w:pPr>
        <w:pStyle w:val="ListParagraph"/>
        <w:numPr>
          <w:ilvl w:val="0"/>
          <w:numId w:val="13"/>
        </w:numPr>
        <w:tabs>
          <w:tab w:pos="960" w:val="left" w:leader="none"/>
        </w:tabs>
        <w:spacing w:line="240" w:lineRule="auto" w:before="15" w:after="0"/>
        <w:ind w:left="959" w:right="0" w:hanging="360"/>
        <w:jc w:val="left"/>
        <w:rPr>
          <w:sz w:val="21"/>
        </w:rPr>
      </w:pPr>
      <w:r>
        <w:rPr>
          <w:sz w:val="21"/>
        </w:rPr>
        <w:t>定期输血（历时九十天以上</w:t>
      </w:r>
      <w:r>
        <w:rPr>
          <w:spacing w:val="-105"/>
          <w:sz w:val="21"/>
        </w:rPr>
        <w:t>）</w:t>
      </w:r>
      <w:r>
        <w:rPr>
          <w:sz w:val="21"/>
        </w:rPr>
        <w:t>；</w:t>
      </w:r>
    </w:p>
    <w:p>
      <w:pPr>
        <w:pStyle w:val="ListParagraph"/>
        <w:numPr>
          <w:ilvl w:val="0"/>
          <w:numId w:val="13"/>
        </w:numPr>
        <w:tabs>
          <w:tab w:pos="960" w:val="left" w:leader="none"/>
        </w:tabs>
        <w:spacing w:line="240" w:lineRule="auto" w:before="20" w:after="0"/>
        <w:ind w:left="959" w:right="0" w:hanging="360"/>
        <w:jc w:val="left"/>
        <w:rPr>
          <w:sz w:val="21"/>
        </w:rPr>
      </w:pPr>
      <w:r>
        <w:rPr>
          <w:sz w:val="21"/>
        </w:rPr>
        <w:t>骨髓刺激性药物（历时九十天以上</w:t>
      </w:r>
      <w:r>
        <w:rPr>
          <w:spacing w:val="-106"/>
          <w:sz w:val="21"/>
        </w:rPr>
        <w:t>）</w:t>
      </w:r>
      <w:r>
        <w:rPr>
          <w:sz w:val="21"/>
        </w:rPr>
        <w:t>；</w:t>
      </w:r>
    </w:p>
    <w:p>
      <w:pPr>
        <w:pStyle w:val="ListParagraph"/>
        <w:numPr>
          <w:ilvl w:val="0"/>
          <w:numId w:val="13"/>
        </w:numPr>
        <w:tabs>
          <w:tab w:pos="960" w:val="left" w:leader="none"/>
        </w:tabs>
        <w:spacing w:line="240" w:lineRule="auto" w:before="20" w:after="0"/>
        <w:ind w:left="959" w:right="0" w:hanging="360"/>
        <w:jc w:val="left"/>
        <w:rPr>
          <w:sz w:val="21"/>
        </w:rPr>
      </w:pPr>
      <w:r>
        <w:rPr>
          <w:sz w:val="21"/>
        </w:rPr>
        <w:t>免疫抑制剂（历时九十天以上</w:t>
      </w:r>
      <w:r>
        <w:rPr>
          <w:spacing w:val="-105"/>
          <w:sz w:val="21"/>
        </w:rPr>
        <w:t>）</w:t>
      </w:r>
      <w:r>
        <w:rPr>
          <w:sz w:val="21"/>
        </w:rPr>
        <w:t>；</w:t>
      </w:r>
    </w:p>
    <w:p>
      <w:pPr>
        <w:pStyle w:val="ListParagraph"/>
        <w:numPr>
          <w:ilvl w:val="0"/>
          <w:numId w:val="13"/>
        </w:numPr>
        <w:tabs>
          <w:tab w:pos="960" w:val="left" w:leader="none"/>
        </w:tabs>
        <w:spacing w:line="240" w:lineRule="auto" w:before="20" w:after="0"/>
        <w:ind w:left="959" w:right="0" w:hanging="360"/>
        <w:jc w:val="left"/>
        <w:rPr>
          <w:sz w:val="21"/>
        </w:rPr>
      </w:pPr>
      <w:r>
        <w:rPr>
          <w:sz w:val="21"/>
        </w:rPr>
        <w:t>骨髓移植。</w:t>
      </w:r>
    </w:p>
    <w:p>
      <w:pPr>
        <w:pStyle w:val="BodyText"/>
        <w:spacing w:line="256" w:lineRule="auto" w:before="20"/>
        <w:ind w:left="599" w:right="218" w:hanging="483"/>
        <w:jc w:val="both"/>
      </w:pPr>
      <w:r>
        <w:rPr>
          <w:rFonts w:ascii="Times New Roman" w:eastAsia="Times New Roman"/>
        </w:rPr>
        <w:t>26</w:t>
      </w:r>
      <w:r>
        <w:rPr>
          <w:spacing w:val="-11"/>
        </w:rPr>
        <w:t>、 听力丧失：因急性疾病或意外造成不可恢复性的双耳听力丧失，且持续一年以上。听力丧失须经定点医疗机构的专科医生检验证明。</w:t>
      </w:r>
    </w:p>
    <w:p>
      <w:pPr>
        <w:pStyle w:val="BodyText"/>
        <w:spacing w:line="256" w:lineRule="auto" w:before="22"/>
        <w:ind w:left="599" w:right="218" w:hanging="483"/>
        <w:jc w:val="both"/>
      </w:pPr>
      <w:r>
        <w:rPr>
          <w:rFonts w:ascii="Times New Roman" w:eastAsia="Times New Roman"/>
        </w:rPr>
        <w:t>27</w:t>
      </w:r>
      <w:r>
        <w:rPr>
          <w:spacing w:val="-11"/>
        </w:rPr>
        <w:t>、 语言机能丧失：指完全不可恢复性地失去说话能力，且持续一年以上，由于精神心理因素所致的语言机能障碍不属于本附加合同保障责任范围。</w:t>
      </w:r>
    </w:p>
    <w:p>
      <w:pPr>
        <w:pStyle w:val="BodyText"/>
        <w:spacing w:before="22"/>
        <w:ind w:left="117"/>
      </w:pPr>
      <w:r>
        <w:rPr>
          <w:rFonts w:ascii="Times New Roman" w:eastAsia="Times New Roman"/>
        </w:rPr>
        <w:t>28</w:t>
      </w:r>
      <w:r>
        <w:rPr/>
        <w:t>、 </w:t>
      </w:r>
      <w:r>
        <w:rPr>
          <w:rFonts w:ascii="Times New Roman" w:eastAsia="Times New Roman"/>
        </w:rPr>
        <w:t>1 </w:t>
      </w:r>
      <w:r>
        <w:rPr/>
        <w:t>型糖尿病：严重的胰岛素缺乏和依赖外源性胰岛素以防止酮症酸中毒和保全生命。此</w:t>
      </w:r>
    </w:p>
    <w:p>
      <w:pPr>
        <w:pStyle w:val="BodyText"/>
        <w:spacing w:before="20"/>
        <w:ind w:left="599"/>
      </w:pPr>
      <w:r>
        <w:rPr/>
        <w:t>病症须由定点医疗机构的专科医生确诊并应用胰岛素治疗 </w:t>
      </w:r>
      <w:r>
        <w:rPr>
          <w:rFonts w:ascii="Times New Roman" w:eastAsia="Times New Roman"/>
        </w:rPr>
        <w:t>6 </w:t>
      </w:r>
      <w:r>
        <w:rPr/>
        <w:t>个月以上。</w:t>
      </w:r>
    </w:p>
    <w:p>
      <w:pPr>
        <w:pStyle w:val="BodyText"/>
        <w:spacing w:before="20"/>
        <w:ind w:left="117"/>
      </w:pPr>
      <w:r>
        <w:rPr>
          <w:rFonts w:ascii="Times New Roman" w:eastAsia="Times New Roman"/>
        </w:rPr>
        <w:t>29</w:t>
      </w:r>
      <w:r>
        <w:rPr/>
        <w:t>、 由输血或输液而感染艾滋病病毒</w:t>
      </w:r>
    </w:p>
    <w:p>
      <w:pPr>
        <w:pStyle w:val="BodyText"/>
        <w:spacing w:line="264" w:lineRule="auto" w:before="20"/>
        <w:ind w:left="475" w:right="219" w:firstLine="420"/>
        <w:jc w:val="both"/>
      </w:pPr>
      <w:r>
        <w:rPr>
          <w:spacing w:val="-4"/>
        </w:rPr>
        <w:t>艾滋病病毒：获得性免疫力缺乏综合征病毒</w:t>
      </w:r>
      <w:r>
        <w:rPr>
          <w:rFonts w:ascii="Times New Roman" w:eastAsia="Times New Roman"/>
        </w:rPr>
        <w:t>(HIV)</w:t>
      </w:r>
      <w:r>
        <w:rPr>
          <w:spacing w:val="-5"/>
        </w:rPr>
        <w:t>的简称。获得性免疫力缺乏综合征的定义应按世界卫生组织制定的定义为准，如在血液样本中发现获得性免疫力缺乏综合征病毒或其抗体，则可认定为感染艾滋病或艾滋病病毒。此病症须同时满足以下条件：</w:t>
      </w:r>
    </w:p>
    <w:p>
      <w:pPr>
        <w:pStyle w:val="ListParagraph"/>
        <w:numPr>
          <w:ilvl w:val="0"/>
          <w:numId w:val="14"/>
        </w:numPr>
        <w:tabs>
          <w:tab w:pos="960" w:val="left" w:leader="none"/>
        </w:tabs>
        <w:spacing w:line="256" w:lineRule="auto" w:before="15" w:after="0"/>
        <w:ind w:left="844" w:right="220" w:hanging="245"/>
        <w:jc w:val="left"/>
        <w:rPr>
          <w:sz w:val="21"/>
        </w:rPr>
      </w:pPr>
      <w:r>
        <w:rPr>
          <w:spacing w:val="-1"/>
          <w:sz w:val="21"/>
        </w:rPr>
        <w:t>被保险人在本附加合同生效</w:t>
      </w:r>
      <w:r>
        <w:rPr>
          <w:sz w:val="21"/>
        </w:rPr>
        <w:t>（或复效</w:t>
      </w:r>
      <w:r>
        <w:rPr>
          <w:spacing w:val="-7"/>
          <w:sz w:val="21"/>
        </w:rPr>
        <w:t>）</w:t>
      </w:r>
      <w:r>
        <w:rPr>
          <w:spacing w:val="-1"/>
          <w:sz w:val="21"/>
        </w:rPr>
        <w:t>一百八十天后，在中华人民共和国司法管辖区范围内因医疗而接受输血或输液，并因该次输血或输液而感染上述病毒；</w:t>
      </w:r>
    </w:p>
    <w:p>
      <w:pPr>
        <w:pStyle w:val="ListParagraph"/>
        <w:numPr>
          <w:ilvl w:val="0"/>
          <w:numId w:val="14"/>
        </w:numPr>
        <w:tabs>
          <w:tab w:pos="960" w:val="left" w:leader="none"/>
        </w:tabs>
        <w:spacing w:line="240" w:lineRule="auto" w:before="22" w:after="0"/>
        <w:ind w:left="959" w:right="0" w:hanging="360"/>
        <w:jc w:val="left"/>
        <w:rPr>
          <w:sz w:val="21"/>
        </w:rPr>
      </w:pPr>
      <w:r>
        <w:rPr>
          <w:sz w:val="21"/>
        </w:rPr>
        <w:t>医疗机构确认该项输血或输液医疗行为是在该医疗机构进行的；</w:t>
      </w:r>
    </w:p>
    <w:p>
      <w:pPr>
        <w:pStyle w:val="ListParagraph"/>
        <w:numPr>
          <w:ilvl w:val="0"/>
          <w:numId w:val="14"/>
        </w:numPr>
        <w:tabs>
          <w:tab w:pos="960" w:val="left" w:leader="none"/>
        </w:tabs>
        <w:spacing w:line="240" w:lineRule="auto" w:before="21" w:after="0"/>
        <w:ind w:left="959" w:right="0" w:hanging="360"/>
        <w:jc w:val="left"/>
        <w:rPr>
          <w:sz w:val="21"/>
        </w:rPr>
      </w:pPr>
      <w:r>
        <w:rPr>
          <w:sz w:val="21"/>
        </w:rPr>
        <w:t>被保险人并非地中海贫血患者、血友病或再生障碍性贫血患者；</w:t>
      </w:r>
    </w:p>
    <w:p>
      <w:pPr>
        <w:pStyle w:val="BodyText"/>
        <w:spacing w:line="273" w:lineRule="auto"/>
        <w:ind w:left="117" w:right="220" w:firstLine="525"/>
      </w:pPr>
      <w:r>
        <w:rPr/>
        <w:t>如果感染前可能治愈、或者被保险人在感染前选择不接受有效的疫苗，保险公司不承担给付保险金的责任。</w:t>
      </w:r>
    </w:p>
    <w:p>
      <w:pPr>
        <w:pStyle w:val="BodyText"/>
        <w:spacing w:before="7"/>
        <w:ind w:left="117"/>
      </w:pPr>
      <w:r>
        <w:rPr>
          <w:rFonts w:ascii="Times New Roman" w:eastAsia="Times New Roman"/>
        </w:rPr>
        <w:t>30</w:t>
      </w:r>
      <w:r>
        <w:rPr/>
        <w:t>、 幼年类风湿性关节炎</w:t>
      </w:r>
      <w:r>
        <w:rPr>
          <w:rFonts w:ascii="Times New Roman" w:eastAsia="Times New Roman"/>
        </w:rPr>
        <w:t>-</w:t>
      </w:r>
      <w:r>
        <w:rPr/>
        <w:t>斯蒂尔病且已接受关节置换手术</w:t>
      </w:r>
    </w:p>
    <w:p>
      <w:pPr>
        <w:pStyle w:val="BodyText"/>
        <w:spacing w:line="273" w:lineRule="auto" w:before="20"/>
        <w:ind w:left="657" w:right="73" w:hanging="16"/>
      </w:pPr>
      <w:r>
        <w:rPr/>
        <w:t>指小儿时期的一种常见的结缔组织病，可有持续高热，慢性关节炎，皮肤、肌肉、肝、脾和淋巴结受累，类风湿因子阳性；是一种或一组以慢性滑囊炎和一些关节外症状为表现的疾病。此病症须由定点医疗机构的专科医生确诊并确已接受关节置换手术治疗。</w:t>
      </w:r>
    </w:p>
    <w:p>
      <w:pPr>
        <w:pStyle w:val="BodyText"/>
        <w:spacing w:line="264" w:lineRule="auto" w:before="7"/>
        <w:ind w:left="599" w:right="219" w:hanging="483"/>
        <w:jc w:val="both"/>
      </w:pPr>
      <w:r>
        <w:rPr>
          <w:rFonts w:ascii="Times New Roman" w:eastAsia="Times New Roman"/>
        </w:rPr>
        <w:t>31</w:t>
      </w:r>
      <w:r>
        <w:rPr>
          <w:spacing w:val="-11"/>
        </w:rPr>
        <w:t>、 急性坏死性胰腺炎：是指由定点医疗机构的专科医生确诊为急性坏死性胰腺炎，需进行</w:t>
      </w:r>
      <w:r>
        <w:rPr>
          <w:spacing w:val="-13"/>
        </w:rPr>
        <w:t>坏死组织清除、病灶切除或胰腺部分切除的手术治疗，但不包括因酒精中毒引起的急性坏死性胰腺炎。</w:t>
      </w:r>
    </w:p>
    <w:p>
      <w:pPr>
        <w:pStyle w:val="BodyText"/>
        <w:spacing w:line="266" w:lineRule="auto" w:before="16"/>
        <w:ind w:left="599" w:right="219" w:hanging="483"/>
        <w:jc w:val="both"/>
      </w:pPr>
      <w:r>
        <w:rPr>
          <w:rFonts w:ascii="Times New Roman" w:eastAsia="Times New Roman"/>
        </w:rPr>
        <w:t>32</w:t>
      </w:r>
      <w:r>
        <w:rPr>
          <w:spacing w:val="-12"/>
        </w:rPr>
        <w:t>、 运动神经元疾病：为一组选择性地累及脊髓前角、脑干颅神经运动神经核细胞以及大脑</w:t>
      </w:r>
      <w:r>
        <w:rPr>
          <w:spacing w:val="-16"/>
        </w:rPr>
        <w:t>运动皮质锥体细胞的进行性、变性疾病。包括肌萎缩侧索硬化、进行性脊肌萎缩症、进</w:t>
      </w:r>
      <w:r>
        <w:rPr>
          <w:spacing w:val="-14"/>
        </w:rPr>
        <w:t>行性延髓麻痹、原发性侧索硬化。此病症须经定点医疗机构的专科医生确诊有进行性和不可逆性的神经系统受损。</w:t>
      </w:r>
    </w:p>
    <w:p>
      <w:pPr>
        <w:pStyle w:val="BodyText"/>
        <w:spacing w:before="14"/>
        <w:ind w:left="117"/>
      </w:pPr>
      <w:r>
        <w:rPr>
          <w:rFonts w:ascii="Times New Roman" w:eastAsia="Times New Roman"/>
        </w:rPr>
        <w:t>33</w:t>
      </w:r>
      <w:r>
        <w:rPr/>
        <w:t>、 失明：是指由意外伤害或疾病引起器质性损伤，导致双眼视力永久完全丧失。双目失明</w:t>
      </w:r>
    </w:p>
    <w:p>
      <w:pPr>
        <w:spacing w:after="0"/>
        <w:sectPr>
          <w:pgSz w:w="11910" w:h="16840"/>
          <w:pgMar w:header="896" w:footer="1008" w:top="1280" w:bottom="1200" w:left="1680" w:right="1500"/>
        </w:sectPr>
      </w:pPr>
    </w:p>
    <w:p>
      <w:pPr>
        <w:pStyle w:val="BodyText"/>
        <w:spacing w:line="264" w:lineRule="auto" w:before="133"/>
        <w:ind w:left="600" w:right="219"/>
        <w:jc w:val="both"/>
      </w:pPr>
      <w:r>
        <w:rPr>
          <w:spacing w:val="-6"/>
        </w:rPr>
        <w:t>包括两眼眼球缺失或摘除、或不能辨别明暗、或仅能辨别眼前手动者。同时最佳矫正视</w:t>
      </w:r>
      <w:r>
        <w:rPr>
          <w:spacing w:val="-11"/>
        </w:rPr>
        <w:t>力低于国际标准视力表 </w:t>
      </w:r>
      <w:r>
        <w:rPr>
          <w:rFonts w:ascii="Times New Roman" w:eastAsia="Times New Roman"/>
          <w:spacing w:val="-9"/>
        </w:rPr>
        <w:t>0.02</w:t>
      </w:r>
      <w:r>
        <w:rPr>
          <w:spacing w:val="-9"/>
        </w:rPr>
        <w:t>，或视野半径小于 </w:t>
      </w:r>
      <w:r>
        <w:rPr>
          <w:rFonts w:ascii="Times New Roman" w:eastAsia="Times New Roman"/>
        </w:rPr>
        <w:t>5 </w:t>
      </w:r>
      <w:r>
        <w:rPr>
          <w:spacing w:val="-7"/>
        </w:rPr>
        <w:t>度，并经定点医疗机构的专科医生出具医疗诊断证明。白内障引起的失明不属于本附加合同所述的双目失明。</w:t>
      </w:r>
    </w:p>
    <w:p>
      <w:pPr>
        <w:pStyle w:val="BodyText"/>
        <w:spacing w:before="15"/>
        <w:ind w:left="117"/>
      </w:pPr>
      <w:r>
        <w:rPr>
          <w:rFonts w:ascii="Times New Roman" w:eastAsia="Times New Roman"/>
        </w:rPr>
        <w:t>34</w:t>
      </w:r>
      <w:r>
        <w:rPr/>
        <w:t>、 严重的类风湿性关节炎</w:t>
      </w:r>
    </w:p>
    <w:p>
      <w:pPr>
        <w:pStyle w:val="BodyText"/>
        <w:spacing w:line="273" w:lineRule="auto" w:before="20"/>
        <w:ind w:left="657" w:right="114"/>
        <w:jc w:val="both"/>
      </w:pPr>
      <w:r>
        <w:rPr/>
        <w:t>广泛的关节损坏，临床上存在三个或三个以上下列关节的畸形：手、腕、肘、颈椎、膝、踝、蹠－趾关节。并且由定点医疗机构的专科医生确认被保险人在无他人协助下</w:t>
      </w:r>
      <w:r>
        <w:rPr>
          <w:spacing w:val="-4"/>
        </w:rPr>
        <w:t>无法独立完成以下至少三项日常生活活动。上述畸形及功能异常须持续至少达 </w:t>
      </w:r>
      <w:r>
        <w:rPr>
          <w:rFonts w:ascii="Times New Roman" w:eastAsia="Times New Roman"/>
        </w:rPr>
        <w:t>180 </w:t>
      </w:r>
      <w:r>
        <w:rPr/>
        <w:t>天。</w:t>
      </w:r>
    </w:p>
    <w:p>
      <w:pPr>
        <w:pStyle w:val="ListParagraph"/>
        <w:numPr>
          <w:ilvl w:val="0"/>
          <w:numId w:val="15"/>
        </w:numPr>
        <w:tabs>
          <w:tab w:pos="961" w:val="left" w:leader="none"/>
        </w:tabs>
        <w:spacing w:line="279" w:lineRule="exact" w:before="0" w:after="0"/>
        <w:ind w:left="960" w:right="0" w:hanging="360"/>
        <w:jc w:val="both"/>
        <w:rPr>
          <w:sz w:val="21"/>
        </w:rPr>
      </w:pPr>
      <w:r>
        <w:rPr>
          <w:spacing w:val="-1"/>
          <w:sz w:val="21"/>
        </w:rPr>
        <w:t>穿衣 自己能够穿衣及脱衣。</w:t>
      </w:r>
    </w:p>
    <w:p>
      <w:pPr>
        <w:pStyle w:val="ListParagraph"/>
        <w:numPr>
          <w:ilvl w:val="0"/>
          <w:numId w:val="15"/>
        </w:numPr>
        <w:tabs>
          <w:tab w:pos="960" w:val="left" w:leader="none"/>
        </w:tabs>
        <w:spacing w:line="240" w:lineRule="auto" w:before="22" w:after="0"/>
        <w:ind w:left="959" w:right="0" w:hanging="359"/>
        <w:jc w:val="both"/>
        <w:rPr>
          <w:sz w:val="21"/>
        </w:rPr>
      </w:pPr>
      <w:r>
        <w:rPr>
          <w:spacing w:val="-1"/>
          <w:sz w:val="21"/>
        </w:rPr>
        <w:t>移动 自己从一个房间到另一个房间。</w:t>
      </w:r>
    </w:p>
    <w:p>
      <w:pPr>
        <w:pStyle w:val="ListParagraph"/>
        <w:numPr>
          <w:ilvl w:val="0"/>
          <w:numId w:val="15"/>
        </w:numPr>
        <w:tabs>
          <w:tab w:pos="960" w:val="left" w:leader="none"/>
        </w:tabs>
        <w:spacing w:line="240" w:lineRule="auto" w:before="21" w:after="0"/>
        <w:ind w:left="959" w:right="0" w:hanging="360"/>
        <w:jc w:val="both"/>
        <w:rPr>
          <w:sz w:val="21"/>
        </w:rPr>
      </w:pPr>
      <w:r>
        <w:rPr>
          <w:spacing w:val="-1"/>
          <w:sz w:val="21"/>
        </w:rPr>
        <w:t>行动 自己上下床或上下轮椅。</w:t>
      </w:r>
    </w:p>
    <w:p>
      <w:pPr>
        <w:pStyle w:val="ListParagraph"/>
        <w:numPr>
          <w:ilvl w:val="0"/>
          <w:numId w:val="15"/>
        </w:numPr>
        <w:tabs>
          <w:tab w:pos="960" w:val="left" w:leader="none"/>
        </w:tabs>
        <w:spacing w:line="240" w:lineRule="auto" w:before="21" w:after="0"/>
        <w:ind w:left="959" w:right="0" w:hanging="360"/>
        <w:jc w:val="both"/>
        <w:rPr>
          <w:sz w:val="21"/>
        </w:rPr>
      </w:pPr>
      <w:r>
        <w:rPr>
          <w:spacing w:val="-1"/>
          <w:sz w:val="21"/>
        </w:rPr>
        <w:t>卫生 自己控制进行大小便。</w:t>
      </w:r>
    </w:p>
    <w:p>
      <w:pPr>
        <w:pStyle w:val="ListParagraph"/>
        <w:numPr>
          <w:ilvl w:val="0"/>
          <w:numId w:val="15"/>
        </w:numPr>
        <w:tabs>
          <w:tab w:pos="960" w:val="left" w:leader="none"/>
        </w:tabs>
        <w:spacing w:line="240" w:lineRule="auto" w:before="21" w:after="0"/>
        <w:ind w:left="959" w:right="0" w:hanging="360"/>
        <w:jc w:val="both"/>
        <w:rPr>
          <w:sz w:val="21"/>
        </w:rPr>
      </w:pPr>
      <w:r>
        <w:rPr>
          <w:spacing w:val="-1"/>
          <w:sz w:val="21"/>
        </w:rPr>
        <w:t>进食 自己从已准备好的碗</w:t>
      </w:r>
      <w:r>
        <w:rPr>
          <w:rFonts w:ascii="Times New Roman" w:eastAsia="Times New Roman"/>
          <w:sz w:val="21"/>
        </w:rPr>
        <w:t>/</w:t>
      </w:r>
      <w:r>
        <w:rPr>
          <w:sz w:val="21"/>
        </w:rPr>
        <w:t>碟中摄取食物放入口中。</w:t>
      </w:r>
    </w:p>
    <w:p>
      <w:pPr>
        <w:pStyle w:val="ListParagraph"/>
        <w:numPr>
          <w:ilvl w:val="0"/>
          <w:numId w:val="15"/>
        </w:numPr>
        <w:tabs>
          <w:tab w:pos="960" w:val="left" w:leader="none"/>
        </w:tabs>
        <w:spacing w:line="240" w:lineRule="auto" w:before="21" w:after="0"/>
        <w:ind w:left="959" w:right="0" w:hanging="360"/>
        <w:jc w:val="both"/>
        <w:rPr>
          <w:sz w:val="21"/>
        </w:rPr>
      </w:pPr>
      <w:r>
        <w:rPr>
          <w:spacing w:val="-1"/>
          <w:sz w:val="21"/>
        </w:rPr>
        <w:t>洗澡 自己进行淋浴或盆浴。</w:t>
      </w:r>
    </w:p>
    <w:p>
      <w:pPr>
        <w:pStyle w:val="BodyText"/>
        <w:spacing w:line="256" w:lineRule="auto"/>
        <w:ind w:left="599" w:right="219" w:hanging="483"/>
      </w:pPr>
      <w:r>
        <w:rPr>
          <w:rFonts w:ascii="Times New Roman" w:eastAsia="Times New Roman"/>
        </w:rPr>
        <w:t>35</w:t>
      </w:r>
      <w:r>
        <w:rPr>
          <w:spacing w:val="-12"/>
        </w:rPr>
        <w:t>、 肌营养不良症：是一组原发于肌肉的遗传性疾病。主要临床特征为受累骨骼肌肉的无力和萎缩。经定点医疗机构的专科医生确认符合以下四项诊断指标中的三项：</w:t>
      </w:r>
    </w:p>
    <w:p>
      <w:pPr>
        <w:pStyle w:val="ListParagraph"/>
        <w:numPr>
          <w:ilvl w:val="0"/>
          <w:numId w:val="16"/>
        </w:numPr>
        <w:tabs>
          <w:tab w:pos="960" w:val="left" w:leader="none"/>
        </w:tabs>
        <w:spacing w:line="240" w:lineRule="auto" w:before="22" w:after="0"/>
        <w:ind w:left="959" w:right="0" w:hanging="360"/>
        <w:jc w:val="both"/>
        <w:rPr>
          <w:sz w:val="21"/>
        </w:rPr>
      </w:pPr>
      <w:r>
        <w:rPr>
          <w:sz w:val="21"/>
        </w:rPr>
        <w:t>家族史中有其他成员患相同疾病；</w:t>
      </w:r>
    </w:p>
    <w:p>
      <w:pPr>
        <w:pStyle w:val="ListParagraph"/>
        <w:numPr>
          <w:ilvl w:val="0"/>
          <w:numId w:val="16"/>
        </w:numPr>
        <w:tabs>
          <w:tab w:pos="960" w:val="left" w:leader="none"/>
        </w:tabs>
        <w:spacing w:line="240" w:lineRule="auto" w:before="21" w:after="0"/>
        <w:ind w:left="959" w:right="0" w:hanging="360"/>
        <w:jc w:val="both"/>
        <w:rPr>
          <w:sz w:val="21"/>
        </w:rPr>
      </w:pPr>
      <w:r>
        <w:rPr>
          <w:sz w:val="21"/>
        </w:rPr>
        <w:t>临床表现包括：无感觉神经紊乱，正常脑脊液及轻微腱反射的减退；</w:t>
      </w:r>
    </w:p>
    <w:p>
      <w:pPr>
        <w:pStyle w:val="ListParagraph"/>
        <w:numPr>
          <w:ilvl w:val="0"/>
          <w:numId w:val="16"/>
        </w:numPr>
        <w:tabs>
          <w:tab w:pos="960" w:val="left" w:leader="none"/>
        </w:tabs>
        <w:spacing w:line="240" w:lineRule="auto" w:before="21" w:after="0"/>
        <w:ind w:left="959" w:right="0" w:hanging="360"/>
        <w:jc w:val="both"/>
        <w:rPr>
          <w:sz w:val="21"/>
        </w:rPr>
      </w:pPr>
      <w:r>
        <w:rPr>
          <w:sz w:val="21"/>
        </w:rPr>
        <w:t>典型的肌电图；</w:t>
      </w:r>
    </w:p>
    <w:p>
      <w:pPr>
        <w:pStyle w:val="ListParagraph"/>
        <w:numPr>
          <w:ilvl w:val="0"/>
          <w:numId w:val="16"/>
        </w:numPr>
        <w:tabs>
          <w:tab w:pos="960" w:val="left" w:leader="none"/>
        </w:tabs>
        <w:spacing w:line="240" w:lineRule="auto" w:before="21" w:after="0"/>
        <w:ind w:left="959" w:right="0" w:hanging="360"/>
        <w:jc w:val="both"/>
        <w:rPr>
          <w:sz w:val="21"/>
        </w:rPr>
      </w:pPr>
      <w:r>
        <w:rPr>
          <w:sz w:val="21"/>
        </w:rPr>
        <w:t>临床推测必须有肌肉或组织检查加以证实。</w:t>
      </w:r>
    </w:p>
    <w:p>
      <w:pPr>
        <w:pStyle w:val="BodyText"/>
        <w:ind w:left="117"/>
      </w:pPr>
      <w:r>
        <w:rPr>
          <w:rFonts w:ascii="Times New Roman" w:eastAsia="Times New Roman"/>
        </w:rPr>
        <w:t>36</w:t>
      </w:r>
      <w:r>
        <w:rPr/>
        <w:t>、 系统性红斑狼疮性肾炎</w:t>
      </w:r>
    </w:p>
    <w:p>
      <w:pPr>
        <w:pStyle w:val="BodyText"/>
        <w:spacing w:line="264" w:lineRule="auto"/>
        <w:ind w:left="117" w:right="220" w:firstLine="478"/>
        <w:jc w:val="both"/>
      </w:pPr>
      <w:r>
        <w:rPr>
          <w:spacing w:val="-7"/>
        </w:rPr>
        <w:t>系统性红斑狼疮性肾炎：是指系统性红斑狼疮患者并发狼疮性肾炎而影响和损害肾脏功</w:t>
      </w:r>
      <w:r>
        <w:rPr>
          <w:spacing w:val="-11"/>
        </w:rPr>
        <w:t>能，且肌酐清除率持续低于 </w:t>
      </w:r>
      <w:r>
        <w:rPr>
          <w:rFonts w:ascii="Times New Roman" w:eastAsia="Times New Roman"/>
        </w:rPr>
        <w:t>30ml/</w:t>
      </w:r>
      <w:r>
        <w:rPr/>
        <w:t>分。系统性红斑狼疮性肾炎的诊断必须经定点医疗机构确诊，并满足下列条件：</w:t>
      </w:r>
    </w:p>
    <w:p>
      <w:pPr>
        <w:pStyle w:val="ListParagraph"/>
        <w:numPr>
          <w:ilvl w:val="0"/>
          <w:numId w:val="17"/>
        </w:numPr>
        <w:tabs>
          <w:tab w:pos="960" w:val="left" w:leader="none"/>
        </w:tabs>
        <w:spacing w:line="240" w:lineRule="auto" w:before="16" w:after="0"/>
        <w:ind w:left="959" w:right="0" w:hanging="360"/>
        <w:jc w:val="both"/>
        <w:rPr>
          <w:sz w:val="21"/>
        </w:rPr>
      </w:pPr>
      <w:r>
        <w:rPr>
          <w:sz w:val="21"/>
        </w:rPr>
        <w:t>临床表现至少具备下列条件的四个：</w:t>
      </w:r>
    </w:p>
    <w:p>
      <w:pPr>
        <w:pStyle w:val="ListParagraph"/>
        <w:numPr>
          <w:ilvl w:val="1"/>
          <w:numId w:val="17"/>
        </w:numPr>
        <w:tabs>
          <w:tab w:pos="1798" w:val="left" w:leader="none"/>
        </w:tabs>
        <w:spacing w:line="240" w:lineRule="auto" w:before="21" w:after="0"/>
        <w:ind w:left="1797" w:right="0" w:hanging="420"/>
        <w:jc w:val="left"/>
        <w:rPr>
          <w:sz w:val="21"/>
        </w:rPr>
      </w:pPr>
      <w:r>
        <w:rPr>
          <w:w w:val="95"/>
          <w:sz w:val="21"/>
        </w:rPr>
        <w:t>蝶形红斑或盘形红斑；</w:t>
      </w:r>
    </w:p>
    <w:p>
      <w:pPr>
        <w:pStyle w:val="ListParagraph"/>
        <w:numPr>
          <w:ilvl w:val="1"/>
          <w:numId w:val="17"/>
        </w:numPr>
        <w:tabs>
          <w:tab w:pos="1798" w:val="left" w:leader="none"/>
        </w:tabs>
        <w:spacing w:line="240" w:lineRule="auto" w:before="21" w:after="0"/>
        <w:ind w:left="1797" w:right="0" w:hanging="420"/>
        <w:jc w:val="left"/>
        <w:rPr>
          <w:sz w:val="21"/>
        </w:rPr>
      </w:pPr>
      <w:r>
        <w:rPr>
          <w:sz w:val="21"/>
        </w:rPr>
        <w:t>光敏感；</w:t>
      </w:r>
    </w:p>
    <w:p>
      <w:pPr>
        <w:pStyle w:val="ListParagraph"/>
        <w:numPr>
          <w:ilvl w:val="1"/>
          <w:numId w:val="17"/>
        </w:numPr>
        <w:tabs>
          <w:tab w:pos="1798" w:val="left" w:leader="none"/>
        </w:tabs>
        <w:spacing w:line="240" w:lineRule="auto" w:before="21" w:after="0"/>
        <w:ind w:left="1797" w:right="0" w:hanging="420"/>
        <w:jc w:val="left"/>
        <w:rPr>
          <w:sz w:val="21"/>
        </w:rPr>
      </w:pPr>
      <w:r>
        <w:rPr>
          <w:w w:val="95"/>
          <w:sz w:val="21"/>
        </w:rPr>
        <w:t>口鼻腔黏膜溃疡；</w:t>
      </w:r>
    </w:p>
    <w:p>
      <w:pPr>
        <w:pStyle w:val="ListParagraph"/>
        <w:numPr>
          <w:ilvl w:val="1"/>
          <w:numId w:val="17"/>
        </w:numPr>
        <w:tabs>
          <w:tab w:pos="1798" w:val="left" w:leader="none"/>
        </w:tabs>
        <w:spacing w:line="240" w:lineRule="auto" w:before="21" w:after="0"/>
        <w:ind w:left="1797" w:right="0" w:hanging="420"/>
        <w:jc w:val="left"/>
        <w:rPr>
          <w:sz w:val="21"/>
        </w:rPr>
      </w:pPr>
      <w:r>
        <w:rPr>
          <w:w w:val="95"/>
          <w:sz w:val="21"/>
        </w:rPr>
        <w:t>非畸形性关节炎或多关节痛；</w:t>
      </w:r>
    </w:p>
    <w:p>
      <w:pPr>
        <w:pStyle w:val="ListParagraph"/>
        <w:numPr>
          <w:ilvl w:val="1"/>
          <w:numId w:val="17"/>
        </w:numPr>
        <w:tabs>
          <w:tab w:pos="1798" w:val="left" w:leader="none"/>
        </w:tabs>
        <w:spacing w:line="240" w:lineRule="auto" w:before="21" w:after="0"/>
        <w:ind w:left="1797" w:right="0" w:hanging="420"/>
        <w:jc w:val="left"/>
        <w:rPr>
          <w:sz w:val="21"/>
        </w:rPr>
      </w:pPr>
      <w:r>
        <w:rPr>
          <w:w w:val="95"/>
          <w:sz w:val="21"/>
        </w:rPr>
        <w:t>胸膜炎或心包炎；</w:t>
      </w:r>
    </w:p>
    <w:p>
      <w:pPr>
        <w:pStyle w:val="ListParagraph"/>
        <w:numPr>
          <w:ilvl w:val="1"/>
          <w:numId w:val="17"/>
        </w:numPr>
        <w:tabs>
          <w:tab w:pos="1798" w:val="left" w:leader="none"/>
        </w:tabs>
        <w:spacing w:line="240" w:lineRule="auto" w:before="21" w:after="0"/>
        <w:ind w:left="1797" w:right="0" w:hanging="420"/>
        <w:jc w:val="left"/>
        <w:rPr>
          <w:sz w:val="21"/>
        </w:rPr>
      </w:pPr>
      <w:r>
        <w:rPr>
          <w:w w:val="95"/>
          <w:sz w:val="21"/>
        </w:rPr>
        <w:t>癫痫或精神症状；</w:t>
      </w:r>
    </w:p>
    <w:p>
      <w:pPr>
        <w:pStyle w:val="ListParagraph"/>
        <w:numPr>
          <w:ilvl w:val="1"/>
          <w:numId w:val="17"/>
        </w:numPr>
        <w:tabs>
          <w:tab w:pos="1798" w:val="left" w:leader="none"/>
        </w:tabs>
        <w:spacing w:line="240" w:lineRule="auto" w:before="21" w:after="0"/>
        <w:ind w:left="1797" w:right="0" w:hanging="420"/>
        <w:jc w:val="left"/>
        <w:rPr>
          <w:sz w:val="21"/>
        </w:rPr>
      </w:pPr>
      <w:r>
        <w:rPr>
          <w:sz w:val="21"/>
        </w:rPr>
        <w:t>血象异常</w:t>
      </w:r>
      <w:r>
        <w:rPr>
          <w:rFonts w:ascii="Times New Roman" w:hAnsi="Times New Roman" w:eastAsia="Times New Roman"/>
          <w:sz w:val="21"/>
        </w:rPr>
        <w:t>(</w:t>
      </w:r>
      <w:r>
        <w:rPr>
          <w:spacing w:val="-10"/>
          <w:sz w:val="21"/>
        </w:rPr>
        <w:t>白细胞小于 </w:t>
      </w:r>
      <w:r>
        <w:rPr>
          <w:rFonts w:ascii="Times New Roman" w:hAnsi="Times New Roman" w:eastAsia="Times New Roman"/>
          <w:sz w:val="21"/>
        </w:rPr>
        <w:t>4×10</w:t>
      </w:r>
      <w:r>
        <w:rPr>
          <w:rFonts w:ascii="Times New Roman" w:hAnsi="Times New Roman" w:eastAsia="Times New Roman"/>
          <w:sz w:val="21"/>
          <w:vertAlign w:val="superscript"/>
        </w:rPr>
        <w:t>9</w:t>
      </w:r>
      <w:r>
        <w:rPr>
          <w:rFonts w:ascii="Times New Roman" w:hAnsi="Times New Roman" w:eastAsia="Times New Roman"/>
          <w:sz w:val="21"/>
          <w:vertAlign w:val="baseline"/>
        </w:rPr>
        <w:t>/L</w:t>
      </w:r>
      <w:r>
        <w:rPr>
          <w:rFonts w:ascii="Times New Roman" w:hAnsi="Times New Roman" w:eastAsia="Times New Roman"/>
          <w:spacing w:val="-5"/>
          <w:sz w:val="21"/>
          <w:vertAlign w:val="baseline"/>
        </w:rPr>
        <w:t> </w:t>
      </w:r>
      <w:r>
        <w:rPr>
          <w:spacing w:val="-9"/>
          <w:sz w:val="21"/>
          <w:vertAlign w:val="baseline"/>
        </w:rPr>
        <w:t>或血小板小于 </w:t>
      </w:r>
      <w:r>
        <w:rPr>
          <w:rFonts w:ascii="Times New Roman" w:hAnsi="Times New Roman" w:eastAsia="Times New Roman"/>
          <w:sz w:val="21"/>
          <w:vertAlign w:val="baseline"/>
        </w:rPr>
        <w:t>100×10</w:t>
      </w:r>
      <w:r>
        <w:rPr>
          <w:rFonts w:ascii="Times New Roman" w:hAnsi="Times New Roman" w:eastAsia="Times New Roman"/>
          <w:sz w:val="21"/>
          <w:vertAlign w:val="superscript"/>
        </w:rPr>
        <w:t>9</w:t>
      </w:r>
      <w:r>
        <w:rPr>
          <w:rFonts w:ascii="Times New Roman" w:hAnsi="Times New Roman" w:eastAsia="Times New Roman"/>
          <w:sz w:val="21"/>
          <w:vertAlign w:val="baseline"/>
        </w:rPr>
        <w:t>/L</w:t>
      </w:r>
      <w:r>
        <w:rPr>
          <w:rFonts w:ascii="Times New Roman" w:hAnsi="Times New Roman" w:eastAsia="Times New Roman"/>
          <w:spacing w:val="-5"/>
          <w:sz w:val="21"/>
          <w:vertAlign w:val="baseline"/>
        </w:rPr>
        <w:t> </w:t>
      </w:r>
      <w:r>
        <w:rPr>
          <w:sz w:val="21"/>
          <w:vertAlign w:val="baseline"/>
        </w:rPr>
        <w:t>或溶血性贫血</w:t>
      </w:r>
      <w:r>
        <w:rPr>
          <w:rFonts w:ascii="Times New Roman" w:hAnsi="Times New Roman" w:eastAsia="Times New Roman"/>
          <w:sz w:val="21"/>
          <w:vertAlign w:val="baseline"/>
        </w:rPr>
        <w:t>)</w:t>
      </w:r>
      <w:r>
        <w:rPr>
          <w:sz w:val="21"/>
          <w:vertAlign w:val="baseline"/>
        </w:rPr>
        <w:t>。</w:t>
      </w:r>
    </w:p>
    <w:p>
      <w:pPr>
        <w:pStyle w:val="ListParagraph"/>
        <w:numPr>
          <w:ilvl w:val="0"/>
          <w:numId w:val="17"/>
        </w:numPr>
        <w:tabs>
          <w:tab w:pos="960" w:val="left" w:leader="none"/>
        </w:tabs>
        <w:spacing w:line="240" w:lineRule="auto" w:before="21" w:after="0"/>
        <w:ind w:left="959" w:right="0" w:hanging="360"/>
        <w:jc w:val="both"/>
        <w:rPr>
          <w:sz w:val="21"/>
        </w:rPr>
      </w:pPr>
      <w:r>
        <w:rPr>
          <w:sz w:val="21"/>
        </w:rPr>
        <w:t>检测结果至少具备下列条件的两个：</w:t>
      </w:r>
    </w:p>
    <w:p>
      <w:pPr>
        <w:pStyle w:val="ListParagraph"/>
        <w:numPr>
          <w:ilvl w:val="1"/>
          <w:numId w:val="17"/>
        </w:numPr>
        <w:tabs>
          <w:tab w:pos="1798" w:val="left" w:leader="none"/>
        </w:tabs>
        <w:spacing w:line="240" w:lineRule="auto" w:before="21" w:after="0"/>
        <w:ind w:left="1797" w:right="0" w:hanging="420"/>
        <w:jc w:val="left"/>
        <w:rPr>
          <w:sz w:val="21"/>
        </w:rPr>
      </w:pPr>
      <w:r>
        <w:rPr>
          <w:spacing w:val="-28"/>
          <w:sz w:val="21"/>
        </w:rPr>
        <w:t>抗 </w:t>
      </w:r>
      <w:r>
        <w:rPr>
          <w:rFonts w:ascii="Times New Roman" w:eastAsia="Times New Roman"/>
          <w:sz w:val="21"/>
        </w:rPr>
        <w:t>dsDNA</w:t>
      </w:r>
      <w:r>
        <w:rPr>
          <w:rFonts w:ascii="Times New Roman" w:eastAsia="Times New Roman"/>
          <w:spacing w:val="-2"/>
          <w:sz w:val="21"/>
        </w:rPr>
        <w:t> </w:t>
      </w:r>
      <w:r>
        <w:rPr>
          <w:sz w:val="21"/>
        </w:rPr>
        <w:t>抗体阳性；</w:t>
      </w:r>
    </w:p>
    <w:p>
      <w:pPr>
        <w:pStyle w:val="ListParagraph"/>
        <w:numPr>
          <w:ilvl w:val="1"/>
          <w:numId w:val="17"/>
        </w:numPr>
        <w:tabs>
          <w:tab w:pos="1798" w:val="left" w:leader="none"/>
        </w:tabs>
        <w:spacing w:line="240" w:lineRule="auto" w:before="21" w:after="0"/>
        <w:ind w:left="1797" w:right="0" w:hanging="420"/>
        <w:jc w:val="left"/>
        <w:rPr>
          <w:sz w:val="21"/>
        </w:rPr>
      </w:pPr>
      <w:r>
        <w:rPr>
          <w:spacing w:val="-27"/>
          <w:sz w:val="21"/>
        </w:rPr>
        <w:t>抗 </w:t>
      </w:r>
      <w:r>
        <w:rPr>
          <w:rFonts w:ascii="Times New Roman" w:eastAsia="Times New Roman"/>
          <w:sz w:val="21"/>
        </w:rPr>
        <w:t>Sm</w:t>
      </w:r>
      <w:r>
        <w:rPr>
          <w:rFonts w:ascii="Times New Roman" w:eastAsia="Times New Roman"/>
          <w:spacing w:val="-4"/>
          <w:sz w:val="21"/>
        </w:rPr>
        <w:t> </w:t>
      </w:r>
      <w:r>
        <w:rPr>
          <w:sz w:val="21"/>
        </w:rPr>
        <w:t>抗体阳性；</w:t>
      </w:r>
    </w:p>
    <w:p>
      <w:pPr>
        <w:pStyle w:val="ListParagraph"/>
        <w:numPr>
          <w:ilvl w:val="1"/>
          <w:numId w:val="17"/>
        </w:numPr>
        <w:tabs>
          <w:tab w:pos="1798" w:val="left" w:leader="none"/>
        </w:tabs>
        <w:spacing w:line="240" w:lineRule="auto" w:before="21" w:after="0"/>
        <w:ind w:left="1797" w:right="0" w:hanging="420"/>
        <w:jc w:val="left"/>
        <w:rPr>
          <w:sz w:val="21"/>
        </w:rPr>
      </w:pPr>
      <w:r>
        <w:rPr>
          <w:w w:val="95"/>
          <w:sz w:val="21"/>
        </w:rPr>
        <w:t>抗核抗体阳性；</w:t>
      </w:r>
    </w:p>
    <w:p>
      <w:pPr>
        <w:pStyle w:val="ListParagraph"/>
        <w:numPr>
          <w:ilvl w:val="1"/>
          <w:numId w:val="17"/>
        </w:numPr>
        <w:tabs>
          <w:tab w:pos="1798" w:val="left" w:leader="none"/>
        </w:tabs>
        <w:spacing w:line="240" w:lineRule="auto" w:before="21" w:after="0"/>
        <w:ind w:left="1797" w:right="0" w:hanging="420"/>
        <w:jc w:val="left"/>
        <w:rPr>
          <w:sz w:val="21"/>
        </w:rPr>
      </w:pPr>
      <w:r>
        <w:rPr>
          <w:spacing w:val="-1"/>
          <w:w w:val="95"/>
          <w:sz w:val="21"/>
        </w:rPr>
        <w:t>皮肤狼疮带试验</w:t>
      </w:r>
      <w:r>
        <w:rPr>
          <w:rFonts w:ascii="Times New Roman" w:eastAsia="Times New Roman"/>
          <w:w w:val="95"/>
          <w:sz w:val="21"/>
        </w:rPr>
        <w:t>(</w:t>
      </w:r>
      <w:r>
        <w:rPr>
          <w:w w:val="95"/>
          <w:sz w:val="21"/>
        </w:rPr>
        <w:t>非病损部位</w:t>
      </w:r>
      <w:r>
        <w:rPr>
          <w:rFonts w:ascii="Times New Roman" w:eastAsia="Times New Roman"/>
          <w:w w:val="95"/>
          <w:sz w:val="21"/>
        </w:rPr>
        <w:t>)</w:t>
      </w:r>
      <w:r>
        <w:rPr>
          <w:w w:val="95"/>
          <w:sz w:val="21"/>
        </w:rPr>
        <w:t>或肾活检阳性；</w:t>
      </w:r>
    </w:p>
    <w:p>
      <w:pPr>
        <w:pStyle w:val="ListParagraph"/>
        <w:numPr>
          <w:ilvl w:val="1"/>
          <w:numId w:val="17"/>
        </w:numPr>
        <w:tabs>
          <w:tab w:pos="1798" w:val="left" w:leader="none"/>
        </w:tabs>
        <w:spacing w:line="240" w:lineRule="auto" w:before="21" w:after="0"/>
        <w:ind w:left="1797" w:right="0" w:hanging="420"/>
        <w:jc w:val="left"/>
        <w:rPr>
          <w:sz w:val="21"/>
        </w:rPr>
      </w:pPr>
      <w:r>
        <w:rPr>
          <w:rFonts w:ascii="Times New Roman" w:eastAsia="Times New Roman"/>
          <w:sz w:val="21"/>
        </w:rPr>
        <w:t>C3</w:t>
      </w:r>
      <w:r>
        <w:rPr>
          <w:rFonts w:ascii="Times New Roman" w:eastAsia="Times New Roman"/>
          <w:spacing w:val="-2"/>
          <w:sz w:val="21"/>
        </w:rPr>
        <w:t> </w:t>
      </w:r>
      <w:r>
        <w:rPr>
          <w:sz w:val="21"/>
        </w:rPr>
        <w:t>降低。</w:t>
      </w:r>
    </w:p>
    <w:p>
      <w:pPr>
        <w:pStyle w:val="BodyText"/>
        <w:ind w:left="117"/>
      </w:pPr>
      <w:r>
        <w:rPr>
          <w:rFonts w:ascii="Times New Roman" w:eastAsia="Times New Roman"/>
        </w:rPr>
        <w:t>37</w:t>
      </w:r>
      <w:r>
        <w:rPr/>
        <w:t>、 终末期肺病</w:t>
      </w:r>
    </w:p>
    <w:p>
      <w:pPr>
        <w:pStyle w:val="BodyText"/>
        <w:spacing w:line="273" w:lineRule="auto"/>
        <w:ind w:left="117" w:right="216" w:firstLine="420"/>
      </w:pPr>
      <w:r>
        <w:rPr/>
        <w:t>本保障是指被保险人必须经定点医疗机构的专科医生确诊患有终末期肺病而出现慢性呼吸功能衰竭，其诊断标准包括以下各项：</w:t>
      </w:r>
    </w:p>
    <w:p>
      <w:pPr>
        <w:pStyle w:val="ListParagraph"/>
        <w:numPr>
          <w:ilvl w:val="0"/>
          <w:numId w:val="18"/>
        </w:numPr>
        <w:tabs>
          <w:tab w:pos="960" w:val="left" w:leader="none"/>
        </w:tabs>
        <w:spacing w:line="240" w:lineRule="auto" w:before="7" w:after="0"/>
        <w:ind w:left="959" w:right="0" w:hanging="360"/>
        <w:jc w:val="both"/>
        <w:rPr>
          <w:rFonts w:ascii="Times New Roman" w:eastAsia="Times New Roman"/>
          <w:sz w:val="21"/>
        </w:rPr>
      </w:pPr>
      <w:r>
        <w:rPr>
          <w:spacing w:val="-8"/>
          <w:sz w:val="21"/>
        </w:rPr>
        <w:t>肺功能测试其 </w:t>
      </w:r>
      <w:r>
        <w:rPr>
          <w:rFonts w:ascii="Times New Roman" w:eastAsia="Times New Roman"/>
          <w:sz w:val="21"/>
        </w:rPr>
        <w:t>FEV1</w:t>
      </w:r>
      <w:r>
        <w:rPr>
          <w:rFonts w:ascii="Times New Roman" w:eastAsia="Times New Roman"/>
          <w:spacing w:val="-2"/>
          <w:sz w:val="21"/>
        </w:rPr>
        <w:t> </w:t>
      </w:r>
      <w:r>
        <w:rPr>
          <w:spacing w:val="-11"/>
          <w:sz w:val="21"/>
        </w:rPr>
        <w:t>持续低于 </w:t>
      </w:r>
      <w:r>
        <w:rPr>
          <w:rFonts w:ascii="Times New Roman" w:eastAsia="Times New Roman"/>
          <w:sz w:val="21"/>
        </w:rPr>
        <w:t>1</w:t>
      </w:r>
      <w:r>
        <w:rPr>
          <w:rFonts w:ascii="Times New Roman" w:eastAsia="Times New Roman"/>
          <w:spacing w:val="-2"/>
          <w:sz w:val="21"/>
        </w:rPr>
        <w:t> </w:t>
      </w:r>
      <w:r>
        <w:rPr>
          <w:sz w:val="21"/>
        </w:rPr>
        <w:t>升</w:t>
      </w:r>
      <w:r>
        <w:rPr>
          <w:rFonts w:ascii="Times New Roman" w:eastAsia="Times New Roman"/>
          <w:sz w:val="21"/>
        </w:rPr>
        <w:t>;</w:t>
      </w:r>
    </w:p>
    <w:p>
      <w:pPr>
        <w:pStyle w:val="ListParagraph"/>
        <w:numPr>
          <w:ilvl w:val="0"/>
          <w:numId w:val="18"/>
        </w:numPr>
        <w:tabs>
          <w:tab w:pos="960" w:val="left" w:leader="none"/>
        </w:tabs>
        <w:spacing w:line="240" w:lineRule="auto" w:before="20" w:after="0"/>
        <w:ind w:left="959" w:right="0" w:hanging="360"/>
        <w:jc w:val="both"/>
        <w:rPr>
          <w:rFonts w:ascii="Times New Roman" w:eastAsia="Times New Roman"/>
          <w:sz w:val="21"/>
        </w:rPr>
      </w:pPr>
      <w:r>
        <w:rPr>
          <w:spacing w:val="-5"/>
          <w:sz w:val="21"/>
        </w:rPr>
        <w:t>气道内阻力增加，至少达到 </w:t>
      </w:r>
      <w:r>
        <w:rPr>
          <w:rFonts w:ascii="Times New Roman" w:eastAsia="Times New Roman"/>
          <w:sz w:val="21"/>
        </w:rPr>
        <w:t>0.5kPa/l/s;</w:t>
      </w:r>
    </w:p>
    <w:p>
      <w:pPr>
        <w:pStyle w:val="ListParagraph"/>
        <w:numPr>
          <w:ilvl w:val="0"/>
          <w:numId w:val="18"/>
        </w:numPr>
        <w:tabs>
          <w:tab w:pos="960" w:val="left" w:leader="none"/>
        </w:tabs>
        <w:spacing w:line="240" w:lineRule="auto" w:before="20" w:after="0"/>
        <w:ind w:left="959" w:right="0" w:hanging="360"/>
        <w:jc w:val="both"/>
        <w:rPr>
          <w:rFonts w:ascii="Times New Roman" w:eastAsia="Times New Roman"/>
          <w:sz w:val="21"/>
        </w:rPr>
      </w:pPr>
      <w:r>
        <w:rPr>
          <w:spacing w:val="-4"/>
          <w:sz w:val="21"/>
        </w:rPr>
        <w:t>动脉血气分析氧分压等于或低于 </w:t>
      </w:r>
      <w:r>
        <w:rPr>
          <w:rFonts w:ascii="Times New Roman" w:eastAsia="Times New Roman"/>
          <w:sz w:val="21"/>
        </w:rPr>
        <w:t>55mmHg;</w:t>
      </w:r>
    </w:p>
    <w:p>
      <w:pPr>
        <w:spacing w:after="0" w:line="240" w:lineRule="auto"/>
        <w:jc w:val="both"/>
        <w:rPr>
          <w:rFonts w:ascii="Times New Roman" w:eastAsia="Times New Roman"/>
          <w:sz w:val="21"/>
        </w:rPr>
        <w:sectPr>
          <w:pgSz w:w="11910" w:h="16840"/>
          <w:pgMar w:header="896" w:footer="1008" w:top="1280" w:bottom="1200" w:left="1680" w:right="1500"/>
        </w:sectPr>
      </w:pPr>
    </w:p>
    <w:p>
      <w:pPr>
        <w:pStyle w:val="ListParagraph"/>
        <w:numPr>
          <w:ilvl w:val="0"/>
          <w:numId w:val="18"/>
        </w:numPr>
        <w:tabs>
          <w:tab w:pos="960" w:val="left" w:leader="none"/>
        </w:tabs>
        <w:spacing w:line="240" w:lineRule="auto" w:before="133" w:after="0"/>
        <w:ind w:left="959" w:right="0" w:hanging="359"/>
        <w:jc w:val="left"/>
        <w:rPr>
          <w:sz w:val="21"/>
        </w:rPr>
      </w:pPr>
      <w:r>
        <w:rPr>
          <w:sz w:val="21"/>
        </w:rPr>
        <w:t>残气容积占肺总量（</w:t>
      </w:r>
      <w:r>
        <w:rPr>
          <w:rFonts w:ascii="Times New Roman" w:eastAsia="Times New Roman"/>
          <w:sz w:val="21"/>
        </w:rPr>
        <w:t>TLC</w:t>
      </w:r>
      <w:r>
        <w:rPr>
          <w:sz w:val="21"/>
        </w:rPr>
        <w:t>）</w:t>
      </w:r>
      <w:r>
        <w:rPr>
          <w:spacing w:val="-28"/>
          <w:sz w:val="21"/>
        </w:rPr>
        <w:t>的 </w:t>
      </w:r>
      <w:r>
        <w:rPr>
          <w:rFonts w:ascii="Times New Roman" w:eastAsia="Times New Roman"/>
          <w:sz w:val="21"/>
        </w:rPr>
        <w:t>60%</w:t>
      </w:r>
      <w:r>
        <w:rPr>
          <w:sz w:val="21"/>
        </w:rPr>
        <w:t>以上；</w:t>
      </w:r>
    </w:p>
    <w:p>
      <w:pPr>
        <w:pStyle w:val="ListParagraph"/>
        <w:numPr>
          <w:ilvl w:val="0"/>
          <w:numId w:val="18"/>
        </w:numPr>
        <w:tabs>
          <w:tab w:pos="960" w:val="left" w:leader="none"/>
        </w:tabs>
        <w:spacing w:line="240" w:lineRule="auto" w:before="20" w:after="0"/>
        <w:ind w:left="959" w:right="0" w:hanging="360"/>
        <w:jc w:val="left"/>
        <w:rPr>
          <w:sz w:val="21"/>
        </w:rPr>
      </w:pPr>
      <w:r>
        <w:rPr>
          <w:sz w:val="21"/>
        </w:rPr>
        <w:t>休息时出现呼吸困难。</w:t>
      </w:r>
    </w:p>
    <w:p>
      <w:pPr>
        <w:spacing w:line="273" w:lineRule="auto" w:before="20"/>
        <w:ind w:left="599" w:right="116" w:hanging="483"/>
        <w:jc w:val="both"/>
        <w:rPr>
          <w:sz w:val="20"/>
        </w:rPr>
      </w:pPr>
      <w:r>
        <w:rPr>
          <w:rFonts w:ascii="Times New Roman" w:eastAsia="Times New Roman"/>
          <w:sz w:val="21"/>
        </w:rPr>
        <w:t>38</w:t>
      </w:r>
      <w:r>
        <w:rPr>
          <w:spacing w:val="-10"/>
          <w:sz w:val="21"/>
        </w:rPr>
        <w:t>、 重症肌无力：</w:t>
      </w:r>
      <w:r>
        <w:rPr>
          <w:sz w:val="20"/>
        </w:rPr>
        <w:t>重症肌无力是一种神经</w:t>
      </w:r>
      <w:r>
        <w:rPr>
          <w:rFonts w:ascii="Times New Roman" w:eastAsia="Times New Roman"/>
          <w:sz w:val="20"/>
        </w:rPr>
        <w:t>-</w:t>
      </w:r>
      <w:r>
        <w:rPr>
          <w:sz w:val="20"/>
        </w:rPr>
        <w:t>肌肉接头部位因乙酰胆硷受体减少而出现传递障碍的</w:t>
      </w:r>
      <w:r>
        <w:rPr>
          <w:spacing w:val="-9"/>
          <w:sz w:val="20"/>
        </w:rPr>
        <w:t>自家免疫性疾病，临床特征是局部或全身横纹肌于活动时易于疲劳乏力，颅神经眼外肌最易累及，也可涉及呼吸肌、下肢近端肌群乃至全身肌肉，须经</w:t>
      </w:r>
      <w:r>
        <w:rPr>
          <w:spacing w:val="-9"/>
          <w:sz w:val="21"/>
        </w:rPr>
        <w:t>定点医疗机构的</w:t>
      </w:r>
      <w:r>
        <w:rPr>
          <w:spacing w:val="-9"/>
          <w:sz w:val="20"/>
        </w:rPr>
        <w:t>神经科医师确</w:t>
      </w:r>
      <w:r>
        <w:rPr>
          <w:spacing w:val="-1"/>
          <w:sz w:val="20"/>
        </w:rPr>
        <w:t>诊。其诊断必须同时具有下列情况：</w:t>
      </w:r>
    </w:p>
    <w:p>
      <w:pPr>
        <w:pStyle w:val="ListParagraph"/>
        <w:numPr>
          <w:ilvl w:val="0"/>
          <w:numId w:val="19"/>
        </w:numPr>
        <w:tabs>
          <w:tab w:pos="960" w:val="left" w:leader="none"/>
        </w:tabs>
        <w:spacing w:line="240" w:lineRule="auto" w:before="12" w:after="0"/>
        <w:ind w:left="844" w:right="0" w:hanging="244"/>
        <w:jc w:val="left"/>
        <w:rPr>
          <w:sz w:val="21"/>
        </w:rPr>
      </w:pPr>
      <w:r>
        <w:rPr>
          <w:sz w:val="21"/>
        </w:rPr>
        <w:t>经药物、胸腺手术治疗一年以上无法控制病情，丧失正常工作能力；</w:t>
      </w:r>
    </w:p>
    <w:p>
      <w:pPr>
        <w:pStyle w:val="ListParagraph"/>
        <w:numPr>
          <w:ilvl w:val="0"/>
          <w:numId w:val="19"/>
        </w:numPr>
        <w:tabs>
          <w:tab w:pos="960" w:val="left" w:leader="none"/>
        </w:tabs>
        <w:spacing w:line="256" w:lineRule="auto" w:before="21" w:after="0"/>
        <w:ind w:left="844" w:right="120" w:hanging="245"/>
        <w:jc w:val="left"/>
        <w:rPr>
          <w:sz w:val="21"/>
        </w:rPr>
      </w:pPr>
      <w:r>
        <w:rPr>
          <w:spacing w:val="-3"/>
          <w:sz w:val="21"/>
        </w:rPr>
        <w:t>出现眼睑下垂，或延髓肌受累引起的构音困难、进食呛咳，或由于肌无力累及延髓肌、呼吸肌而致机体呼吸功能不正常的危急状态即肌无力危象；</w:t>
      </w:r>
    </w:p>
    <w:p>
      <w:pPr>
        <w:pStyle w:val="ListParagraph"/>
        <w:numPr>
          <w:ilvl w:val="0"/>
          <w:numId w:val="19"/>
        </w:numPr>
        <w:tabs>
          <w:tab w:pos="960" w:val="left" w:leader="none"/>
        </w:tabs>
        <w:spacing w:line="240" w:lineRule="auto" w:before="22" w:after="0"/>
        <w:ind w:left="959" w:right="0" w:hanging="360"/>
        <w:jc w:val="left"/>
        <w:rPr>
          <w:sz w:val="21"/>
        </w:rPr>
      </w:pPr>
      <w:r>
        <w:rPr>
          <w:sz w:val="21"/>
        </w:rPr>
        <w:t>症状缓解、复发及恶化交替出现，临床接受新斯的明等抗胆碱酶药物治疗的历史。</w:t>
      </w:r>
    </w:p>
    <w:p>
      <w:pPr>
        <w:spacing w:line="271" w:lineRule="auto" w:before="23"/>
        <w:ind w:left="600" w:right="118" w:hanging="483"/>
        <w:jc w:val="both"/>
        <w:rPr>
          <w:sz w:val="20"/>
        </w:rPr>
      </w:pPr>
      <w:r>
        <w:rPr>
          <w:rFonts w:ascii="Times New Roman" w:eastAsia="Times New Roman"/>
          <w:sz w:val="21"/>
        </w:rPr>
        <w:t>39</w:t>
      </w:r>
      <w:r>
        <w:rPr>
          <w:spacing w:val="-25"/>
          <w:sz w:val="21"/>
        </w:rPr>
        <w:t>、 </w:t>
      </w:r>
      <w:r>
        <w:rPr>
          <w:spacing w:val="-8"/>
          <w:sz w:val="20"/>
        </w:rPr>
        <w:t>主动脉夹层瘤：是指主动脉壁在受到某些病理因素的破坏后，高速、高压的主动脉血流将其</w:t>
      </w:r>
      <w:r>
        <w:rPr>
          <w:spacing w:val="-10"/>
          <w:sz w:val="20"/>
        </w:rPr>
        <w:t>内膜撕裂，以致主动脉腔内的血流通过主动脉内膜的破裂口进入主动脉内壁而形成血肿。被保险人需通过电脑断层扫描（</w:t>
      </w:r>
      <w:r>
        <w:rPr>
          <w:rFonts w:ascii="Times New Roman" w:eastAsia="Times New Roman"/>
          <w:spacing w:val="-10"/>
          <w:sz w:val="20"/>
        </w:rPr>
        <w:t>CT</w:t>
      </w:r>
      <w:r>
        <w:rPr>
          <w:spacing w:val="-10"/>
          <w:sz w:val="20"/>
        </w:rPr>
        <w:t>）、磁共振扫描（</w:t>
      </w:r>
      <w:r>
        <w:rPr>
          <w:rFonts w:ascii="Times New Roman" w:eastAsia="Times New Roman"/>
          <w:spacing w:val="-10"/>
          <w:sz w:val="20"/>
        </w:rPr>
        <w:t>MRI</w:t>
      </w:r>
      <w:r>
        <w:rPr>
          <w:spacing w:val="-10"/>
          <w:sz w:val="20"/>
        </w:rPr>
        <w:t>）、磁共振血管检验法（</w:t>
      </w:r>
      <w:r>
        <w:rPr>
          <w:rFonts w:ascii="Times New Roman" w:eastAsia="Times New Roman"/>
          <w:spacing w:val="-10"/>
          <w:sz w:val="20"/>
        </w:rPr>
        <w:t>MRA</w:t>
      </w:r>
      <w:r>
        <w:rPr>
          <w:spacing w:val="-10"/>
          <w:sz w:val="20"/>
        </w:rPr>
        <w:t>）或</w:t>
      </w:r>
      <w:r>
        <w:rPr>
          <w:spacing w:val="-1"/>
          <w:sz w:val="20"/>
        </w:rPr>
        <w:t>血管扫描等检查</w:t>
      </w:r>
      <w:r>
        <w:rPr>
          <w:rFonts w:ascii="Times New Roman" w:eastAsia="Times New Roman"/>
          <w:spacing w:val="-1"/>
          <w:sz w:val="20"/>
        </w:rPr>
        <w:t>,</w:t>
      </w:r>
      <w:r>
        <w:rPr>
          <w:spacing w:val="-1"/>
          <w:sz w:val="20"/>
        </w:rPr>
        <w:t>并须经</w:t>
      </w:r>
      <w:r>
        <w:rPr>
          <w:spacing w:val="-1"/>
          <w:sz w:val="21"/>
        </w:rPr>
        <w:t>定点医疗机构的</w:t>
      </w:r>
      <w:r>
        <w:rPr>
          <w:sz w:val="20"/>
        </w:rPr>
        <w:t>心血管专科医师确诊。</w:t>
      </w:r>
    </w:p>
    <w:p>
      <w:pPr>
        <w:spacing w:line="266" w:lineRule="auto" w:before="0"/>
        <w:ind w:left="600" w:right="119" w:hanging="483"/>
        <w:jc w:val="both"/>
        <w:rPr>
          <w:sz w:val="20"/>
        </w:rPr>
      </w:pPr>
      <w:r>
        <w:rPr>
          <w:rFonts w:ascii="Times New Roman" w:eastAsia="Times New Roman"/>
          <w:sz w:val="21"/>
        </w:rPr>
        <w:t>40</w:t>
      </w:r>
      <w:r>
        <w:rPr>
          <w:spacing w:val="-11"/>
          <w:sz w:val="21"/>
        </w:rPr>
        <w:t>、 </w:t>
      </w:r>
      <w:r>
        <w:rPr>
          <w:sz w:val="20"/>
        </w:rPr>
        <w:t>植物人：指经</w:t>
      </w:r>
      <w:r>
        <w:rPr>
          <w:sz w:val="21"/>
        </w:rPr>
        <w:t>定点医疗机构的</w:t>
      </w:r>
      <w:r>
        <w:rPr>
          <w:sz w:val="20"/>
        </w:rPr>
        <w:t>神经科医生确诊，大脑皮质全面坏死，意识完全丧失，但脑</w:t>
      </w:r>
      <w:r>
        <w:rPr>
          <w:spacing w:val="-1"/>
          <w:sz w:val="20"/>
        </w:rPr>
        <w:t>干仍保持完好，且此情况维持一个月以上。</w:t>
      </w:r>
    </w:p>
    <w:sectPr>
      <w:pgSz w:w="11910" w:h="16840"/>
      <w:pgMar w:header="896" w:footer="1008" w:top="1280" w:bottom="120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新宋体">
    <w:altName w:val="新宋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4.940308pt;margin-top:781.119568pt;width:9.050pt;height:12pt;mso-position-horizontal-relative:page;mso-position-vertical-relative:page;z-index:-12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59.160004pt;margin-top:780.579651pt;width:80.75pt;height:12pt;mso-position-horizontal-relative:page;mso-position-vertical-relative:page;z-index:-1232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页，共 </w:t>
                </w:r>
                <w:r>
                  <w:rPr>
                    <w:rFonts w:ascii="Times New Roman" w:eastAsia="Times New Roman"/>
                    <w:sz w:val="18"/>
                  </w:rPr>
                  <w:t>10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12376" from="89.82pt,64.199997pt" to="509.82pt,64.199997pt" stroked="true" strokeweight=".75pt" strokecolor="#000000">
          <v:stroke dashstyle="solid"/>
          <w10:wrap type="none"/>
        </v:line>
      </w:pict>
    </w:r>
    <w:r>
      <w:rPr/>
      <w:pict>
        <v:shape style="position:absolute;margin-left:315.380005pt;margin-top:43.792511pt;width:194.8pt;height:18.05pt;mso-position-horizontal-relative:page;mso-position-vertical-relative:page;z-index:-12352" type="#_x0000_t202" filled="false" stroked="false">
          <v:textbox inset="0,0,0,0">
            <w:txbxContent>
              <w:p>
                <w:pPr>
                  <w:spacing w:line="360" w:lineRule="exact" w:before="0"/>
                  <w:ind w:left="20" w:right="0" w:firstLine="0"/>
                  <w:jc w:val="left"/>
                  <w:rPr>
                    <w:rFonts w:ascii="Microsoft JhengHei" w:eastAsia="Microsoft JhengHei" w:hint="eastAsia"/>
                    <w:b/>
                    <w:sz w:val="32"/>
                  </w:rPr>
                </w:pPr>
                <w:r>
                  <w:rPr>
                    <w:rFonts w:ascii="Microsoft JhengHei" w:eastAsia="Microsoft JhengHei" w:hint="eastAsia"/>
                    <w:b/>
                    <w:sz w:val="32"/>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844"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18" w:hanging="360"/>
      </w:pPr>
      <w:rPr>
        <w:rFonts w:hint="default"/>
      </w:rPr>
    </w:lvl>
    <w:lvl w:ilvl="2">
      <w:start w:val="0"/>
      <w:numFmt w:val="bullet"/>
      <w:lvlText w:val="•"/>
      <w:lvlJc w:val="left"/>
      <w:pPr>
        <w:ind w:left="2396" w:hanging="360"/>
      </w:pPr>
      <w:rPr>
        <w:rFonts w:hint="default"/>
      </w:rPr>
    </w:lvl>
    <w:lvl w:ilvl="3">
      <w:start w:val="0"/>
      <w:numFmt w:val="bullet"/>
      <w:lvlText w:val="•"/>
      <w:lvlJc w:val="left"/>
      <w:pPr>
        <w:ind w:left="3175" w:hanging="360"/>
      </w:pPr>
      <w:rPr>
        <w:rFonts w:hint="default"/>
      </w:rPr>
    </w:lvl>
    <w:lvl w:ilvl="4">
      <w:start w:val="0"/>
      <w:numFmt w:val="bullet"/>
      <w:lvlText w:val="•"/>
      <w:lvlJc w:val="left"/>
      <w:pPr>
        <w:ind w:left="3953" w:hanging="360"/>
      </w:pPr>
      <w:rPr>
        <w:rFonts w:hint="default"/>
      </w:rPr>
    </w:lvl>
    <w:lvl w:ilvl="5">
      <w:start w:val="0"/>
      <w:numFmt w:val="bullet"/>
      <w:lvlText w:val="•"/>
      <w:lvlJc w:val="left"/>
      <w:pPr>
        <w:ind w:left="4732" w:hanging="360"/>
      </w:pPr>
      <w:rPr>
        <w:rFonts w:hint="default"/>
      </w:rPr>
    </w:lvl>
    <w:lvl w:ilvl="6">
      <w:start w:val="0"/>
      <w:numFmt w:val="bullet"/>
      <w:lvlText w:val="•"/>
      <w:lvlJc w:val="left"/>
      <w:pPr>
        <w:ind w:left="5510" w:hanging="360"/>
      </w:pPr>
      <w:rPr>
        <w:rFonts w:hint="default"/>
      </w:rPr>
    </w:lvl>
    <w:lvl w:ilvl="7">
      <w:start w:val="0"/>
      <w:numFmt w:val="bullet"/>
      <w:lvlText w:val="•"/>
      <w:lvlJc w:val="left"/>
      <w:pPr>
        <w:ind w:left="6289" w:hanging="360"/>
      </w:pPr>
      <w:rPr>
        <w:rFonts w:hint="default"/>
      </w:rPr>
    </w:lvl>
    <w:lvl w:ilvl="8">
      <w:start w:val="0"/>
      <w:numFmt w:val="bullet"/>
      <w:lvlText w:val="•"/>
      <w:lvlJc w:val="left"/>
      <w:pPr>
        <w:ind w:left="7067" w:hanging="360"/>
      </w:pPr>
      <w:rPr>
        <w:rFonts w:hint="default"/>
      </w:rPr>
    </w:lvl>
  </w:abstractNum>
  <w:abstractNum w:abstractNumId="17">
    <w:multiLevelType w:val="hybridMultilevel"/>
    <w:lvl w:ilvl="0">
      <w:start w:val="1"/>
      <w:numFmt w:val="decimal"/>
      <w:lvlText w:val="%1）"/>
      <w:lvlJc w:val="left"/>
      <w:pPr>
        <w:ind w:left="959"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3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065" w:hanging="360"/>
      </w:pPr>
      <w:rPr>
        <w:rFonts w:hint="default"/>
      </w:rPr>
    </w:lvl>
    <w:lvl w:ilvl="5">
      <w:start w:val="0"/>
      <w:numFmt w:val="bullet"/>
      <w:lvlText w:val="•"/>
      <w:lvlJc w:val="left"/>
      <w:pPr>
        <w:ind w:left="4842" w:hanging="360"/>
      </w:pPr>
      <w:rPr>
        <w:rFonts w:hint="default"/>
      </w:rPr>
    </w:lvl>
    <w:lvl w:ilvl="6">
      <w:start w:val="0"/>
      <w:numFmt w:val="bullet"/>
      <w:lvlText w:val="•"/>
      <w:lvlJc w:val="left"/>
      <w:pPr>
        <w:ind w:left="5618" w:hanging="360"/>
      </w:pPr>
      <w:rPr>
        <w:rFonts w:hint="default"/>
      </w:rPr>
    </w:lvl>
    <w:lvl w:ilvl="7">
      <w:start w:val="0"/>
      <w:numFmt w:val="bullet"/>
      <w:lvlText w:val="•"/>
      <w:lvlJc w:val="left"/>
      <w:pPr>
        <w:ind w:left="6395" w:hanging="360"/>
      </w:pPr>
      <w:rPr>
        <w:rFonts w:hint="default"/>
      </w:rPr>
    </w:lvl>
    <w:lvl w:ilvl="8">
      <w:start w:val="0"/>
      <w:numFmt w:val="bullet"/>
      <w:lvlText w:val="•"/>
      <w:lvlJc w:val="left"/>
      <w:pPr>
        <w:ind w:left="7171" w:hanging="360"/>
      </w:pPr>
      <w:rPr>
        <w:rFonts w:hint="default"/>
      </w:rPr>
    </w:lvl>
  </w:abstractNum>
  <w:abstractNum w:abstractNumId="16">
    <w:multiLevelType w:val="hybridMultilevel"/>
    <w:lvl w:ilvl="0">
      <w:start w:val="1"/>
      <w:numFmt w:val="decimal"/>
      <w:lvlText w:val="%1）"/>
      <w:lvlJc w:val="left"/>
      <w:pPr>
        <w:ind w:left="959" w:hanging="360"/>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1797" w:hanging="420"/>
        <w:jc w:val="left"/>
      </w:pPr>
      <w:rPr>
        <w:rFonts w:hint="default" w:ascii="Times New Roman" w:hAnsi="Times New Roman" w:eastAsia="Times New Roman" w:cs="Times New Roman"/>
        <w:w w:val="99"/>
        <w:sz w:val="21"/>
        <w:szCs w:val="21"/>
      </w:rPr>
    </w:lvl>
    <w:lvl w:ilvl="2">
      <w:start w:val="0"/>
      <w:numFmt w:val="bullet"/>
      <w:lvlText w:val="•"/>
      <w:lvlJc w:val="left"/>
      <w:pPr>
        <w:ind w:left="2569" w:hanging="420"/>
      </w:pPr>
      <w:rPr>
        <w:rFonts w:hint="default"/>
      </w:rPr>
    </w:lvl>
    <w:lvl w:ilvl="3">
      <w:start w:val="0"/>
      <w:numFmt w:val="bullet"/>
      <w:lvlText w:val="•"/>
      <w:lvlJc w:val="left"/>
      <w:pPr>
        <w:ind w:left="3338" w:hanging="420"/>
      </w:pPr>
      <w:rPr>
        <w:rFonts w:hint="default"/>
      </w:rPr>
    </w:lvl>
    <w:lvl w:ilvl="4">
      <w:start w:val="0"/>
      <w:numFmt w:val="bullet"/>
      <w:lvlText w:val="•"/>
      <w:lvlJc w:val="left"/>
      <w:pPr>
        <w:ind w:left="4108" w:hanging="420"/>
      </w:pPr>
      <w:rPr>
        <w:rFonts w:hint="default"/>
      </w:rPr>
    </w:lvl>
    <w:lvl w:ilvl="5">
      <w:start w:val="0"/>
      <w:numFmt w:val="bullet"/>
      <w:lvlText w:val="•"/>
      <w:lvlJc w:val="left"/>
      <w:pPr>
        <w:ind w:left="4877" w:hanging="420"/>
      </w:pPr>
      <w:rPr>
        <w:rFonts w:hint="default"/>
      </w:rPr>
    </w:lvl>
    <w:lvl w:ilvl="6">
      <w:start w:val="0"/>
      <w:numFmt w:val="bullet"/>
      <w:lvlText w:val="•"/>
      <w:lvlJc w:val="left"/>
      <w:pPr>
        <w:ind w:left="5646" w:hanging="420"/>
      </w:pPr>
      <w:rPr>
        <w:rFonts w:hint="default"/>
      </w:rPr>
    </w:lvl>
    <w:lvl w:ilvl="7">
      <w:start w:val="0"/>
      <w:numFmt w:val="bullet"/>
      <w:lvlText w:val="•"/>
      <w:lvlJc w:val="left"/>
      <w:pPr>
        <w:ind w:left="6416" w:hanging="420"/>
      </w:pPr>
      <w:rPr>
        <w:rFonts w:hint="default"/>
      </w:rPr>
    </w:lvl>
    <w:lvl w:ilvl="8">
      <w:start w:val="0"/>
      <w:numFmt w:val="bullet"/>
      <w:lvlText w:val="•"/>
      <w:lvlJc w:val="left"/>
      <w:pPr>
        <w:ind w:left="7185" w:hanging="420"/>
      </w:pPr>
      <w:rPr>
        <w:rFonts w:hint="default"/>
      </w:rPr>
    </w:lvl>
  </w:abstractNum>
  <w:abstractNum w:abstractNumId="15">
    <w:multiLevelType w:val="hybridMultilevel"/>
    <w:lvl w:ilvl="0">
      <w:start w:val="1"/>
      <w:numFmt w:val="decimal"/>
      <w:lvlText w:val="%1）"/>
      <w:lvlJc w:val="left"/>
      <w:pPr>
        <w:ind w:left="959"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3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065" w:hanging="360"/>
      </w:pPr>
      <w:rPr>
        <w:rFonts w:hint="default"/>
      </w:rPr>
    </w:lvl>
    <w:lvl w:ilvl="5">
      <w:start w:val="0"/>
      <w:numFmt w:val="bullet"/>
      <w:lvlText w:val="•"/>
      <w:lvlJc w:val="left"/>
      <w:pPr>
        <w:ind w:left="4842" w:hanging="360"/>
      </w:pPr>
      <w:rPr>
        <w:rFonts w:hint="default"/>
      </w:rPr>
    </w:lvl>
    <w:lvl w:ilvl="6">
      <w:start w:val="0"/>
      <w:numFmt w:val="bullet"/>
      <w:lvlText w:val="•"/>
      <w:lvlJc w:val="left"/>
      <w:pPr>
        <w:ind w:left="5618" w:hanging="360"/>
      </w:pPr>
      <w:rPr>
        <w:rFonts w:hint="default"/>
      </w:rPr>
    </w:lvl>
    <w:lvl w:ilvl="7">
      <w:start w:val="0"/>
      <w:numFmt w:val="bullet"/>
      <w:lvlText w:val="•"/>
      <w:lvlJc w:val="left"/>
      <w:pPr>
        <w:ind w:left="6395" w:hanging="360"/>
      </w:pPr>
      <w:rPr>
        <w:rFonts w:hint="default"/>
      </w:rPr>
    </w:lvl>
    <w:lvl w:ilvl="8">
      <w:start w:val="0"/>
      <w:numFmt w:val="bullet"/>
      <w:lvlText w:val="•"/>
      <w:lvlJc w:val="left"/>
      <w:pPr>
        <w:ind w:left="7171" w:hanging="360"/>
      </w:pPr>
      <w:rPr>
        <w:rFonts w:hint="default"/>
      </w:rPr>
    </w:lvl>
  </w:abstractNum>
  <w:abstractNum w:abstractNumId="14">
    <w:multiLevelType w:val="hybridMultilevel"/>
    <w:lvl w:ilvl="0">
      <w:start w:val="1"/>
      <w:numFmt w:val="decimal"/>
      <w:lvlText w:val="%1）"/>
      <w:lvlJc w:val="left"/>
      <w:pPr>
        <w:ind w:left="960"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3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065" w:hanging="360"/>
      </w:pPr>
      <w:rPr>
        <w:rFonts w:hint="default"/>
      </w:rPr>
    </w:lvl>
    <w:lvl w:ilvl="5">
      <w:start w:val="0"/>
      <w:numFmt w:val="bullet"/>
      <w:lvlText w:val="•"/>
      <w:lvlJc w:val="left"/>
      <w:pPr>
        <w:ind w:left="4842" w:hanging="360"/>
      </w:pPr>
      <w:rPr>
        <w:rFonts w:hint="default"/>
      </w:rPr>
    </w:lvl>
    <w:lvl w:ilvl="6">
      <w:start w:val="0"/>
      <w:numFmt w:val="bullet"/>
      <w:lvlText w:val="•"/>
      <w:lvlJc w:val="left"/>
      <w:pPr>
        <w:ind w:left="5618" w:hanging="360"/>
      </w:pPr>
      <w:rPr>
        <w:rFonts w:hint="default"/>
      </w:rPr>
    </w:lvl>
    <w:lvl w:ilvl="7">
      <w:start w:val="0"/>
      <w:numFmt w:val="bullet"/>
      <w:lvlText w:val="•"/>
      <w:lvlJc w:val="left"/>
      <w:pPr>
        <w:ind w:left="6395" w:hanging="360"/>
      </w:pPr>
      <w:rPr>
        <w:rFonts w:hint="default"/>
      </w:rPr>
    </w:lvl>
    <w:lvl w:ilvl="8">
      <w:start w:val="0"/>
      <w:numFmt w:val="bullet"/>
      <w:lvlText w:val="•"/>
      <w:lvlJc w:val="left"/>
      <w:pPr>
        <w:ind w:left="7171" w:hanging="360"/>
      </w:pPr>
      <w:rPr>
        <w:rFonts w:hint="default"/>
      </w:rPr>
    </w:lvl>
  </w:abstractNum>
  <w:abstractNum w:abstractNumId="13">
    <w:multiLevelType w:val="hybridMultilevel"/>
    <w:lvl w:ilvl="0">
      <w:start w:val="1"/>
      <w:numFmt w:val="decimal"/>
      <w:lvlText w:val="%1）"/>
      <w:lvlJc w:val="left"/>
      <w:pPr>
        <w:ind w:left="844"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28" w:hanging="360"/>
      </w:pPr>
      <w:rPr>
        <w:rFonts w:hint="default"/>
      </w:rPr>
    </w:lvl>
    <w:lvl w:ilvl="2">
      <w:start w:val="0"/>
      <w:numFmt w:val="bullet"/>
      <w:lvlText w:val="•"/>
      <w:lvlJc w:val="left"/>
      <w:pPr>
        <w:ind w:left="2416" w:hanging="360"/>
      </w:pPr>
      <w:rPr>
        <w:rFonts w:hint="default"/>
      </w:rPr>
    </w:lvl>
    <w:lvl w:ilvl="3">
      <w:start w:val="0"/>
      <w:numFmt w:val="bullet"/>
      <w:lvlText w:val="•"/>
      <w:lvlJc w:val="left"/>
      <w:pPr>
        <w:ind w:left="3205" w:hanging="360"/>
      </w:pPr>
      <w:rPr>
        <w:rFonts w:hint="default"/>
      </w:rPr>
    </w:lvl>
    <w:lvl w:ilvl="4">
      <w:start w:val="0"/>
      <w:numFmt w:val="bullet"/>
      <w:lvlText w:val="•"/>
      <w:lvlJc w:val="left"/>
      <w:pPr>
        <w:ind w:left="3993" w:hanging="360"/>
      </w:pPr>
      <w:rPr>
        <w:rFonts w:hint="default"/>
      </w:rPr>
    </w:lvl>
    <w:lvl w:ilvl="5">
      <w:start w:val="0"/>
      <w:numFmt w:val="bullet"/>
      <w:lvlText w:val="•"/>
      <w:lvlJc w:val="left"/>
      <w:pPr>
        <w:ind w:left="4782" w:hanging="360"/>
      </w:pPr>
      <w:rPr>
        <w:rFonts w:hint="default"/>
      </w:rPr>
    </w:lvl>
    <w:lvl w:ilvl="6">
      <w:start w:val="0"/>
      <w:numFmt w:val="bullet"/>
      <w:lvlText w:val="•"/>
      <w:lvlJc w:val="left"/>
      <w:pPr>
        <w:ind w:left="5570" w:hanging="360"/>
      </w:pPr>
      <w:rPr>
        <w:rFonts w:hint="default"/>
      </w:rPr>
    </w:lvl>
    <w:lvl w:ilvl="7">
      <w:start w:val="0"/>
      <w:numFmt w:val="bullet"/>
      <w:lvlText w:val="•"/>
      <w:lvlJc w:val="left"/>
      <w:pPr>
        <w:ind w:left="6359" w:hanging="360"/>
      </w:pPr>
      <w:rPr>
        <w:rFonts w:hint="default"/>
      </w:rPr>
    </w:lvl>
    <w:lvl w:ilvl="8">
      <w:start w:val="0"/>
      <w:numFmt w:val="bullet"/>
      <w:lvlText w:val="•"/>
      <w:lvlJc w:val="left"/>
      <w:pPr>
        <w:ind w:left="7147" w:hanging="360"/>
      </w:pPr>
      <w:rPr>
        <w:rFonts w:hint="default"/>
      </w:rPr>
    </w:lvl>
  </w:abstractNum>
  <w:abstractNum w:abstractNumId="12">
    <w:multiLevelType w:val="hybridMultilevel"/>
    <w:lvl w:ilvl="0">
      <w:start w:val="1"/>
      <w:numFmt w:val="decimal"/>
      <w:lvlText w:val="%1）"/>
      <w:lvlJc w:val="left"/>
      <w:pPr>
        <w:ind w:left="959"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36" w:hanging="360"/>
      </w:pPr>
      <w:rPr>
        <w:rFonts w:hint="default"/>
      </w:rPr>
    </w:lvl>
    <w:lvl w:ilvl="2">
      <w:start w:val="0"/>
      <w:numFmt w:val="bullet"/>
      <w:lvlText w:val="•"/>
      <w:lvlJc w:val="left"/>
      <w:pPr>
        <w:ind w:left="2512" w:hanging="360"/>
      </w:pPr>
      <w:rPr>
        <w:rFonts w:hint="default"/>
      </w:rPr>
    </w:lvl>
    <w:lvl w:ilvl="3">
      <w:start w:val="0"/>
      <w:numFmt w:val="bullet"/>
      <w:lvlText w:val="•"/>
      <w:lvlJc w:val="left"/>
      <w:pPr>
        <w:ind w:left="3289" w:hanging="360"/>
      </w:pPr>
      <w:rPr>
        <w:rFonts w:hint="default"/>
      </w:rPr>
    </w:lvl>
    <w:lvl w:ilvl="4">
      <w:start w:val="0"/>
      <w:numFmt w:val="bullet"/>
      <w:lvlText w:val="•"/>
      <w:lvlJc w:val="left"/>
      <w:pPr>
        <w:ind w:left="4065" w:hanging="360"/>
      </w:pPr>
      <w:rPr>
        <w:rFonts w:hint="default"/>
      </w:rPr>
    </w:lvl>
    <w:lvl w:ilvl="5">
      <w:start w:val="0"/>
      <w:numFmt w:val="bullet"/>
      <w:lvlText w:val="•"/>
      <w:lvlJc w:val="left"/>
      <w:pPr>
        <w:ind w:left="4842" w:hanging="360"/>
      </w:pPr>
      <w:rPr>
        <w:rFonts w:hint="default"/>
      </w:rPr>
    </w:lvl>
    <w:lvl w:ilvl="6">
      <w:start w:val="0"/>
      <w:numFmt w:val="bullet"/>
      <w:lvlText w:val="•"/>
      <w:lvlJc w:val="left"/>
      <w:pPr>
        <w:ind w:left="5618" w:hanging="360"/>
      </w:pPr>
      <w:rPr>
        <w:rFonts w:hint="default"/>
      </w:rPr>
    </w:lvl>
    <w:lvl w:ilvl="7">
      <w:start w:val="0"/>
      <w:numFmt w:val="bullet"/>
      <w:lvlText w:val="•"/>
      <w:lvlJc w:val="left"/>
      <w:pPr>
        <w:ind w:left="6395" w:hanging="360"/>
      </w:pPr>
      <w:rPr>
        <w:rFonts w:hint="default"/>
      </w:rPr>
    </w:lvl>
    <w:lvl w:ilvl="8">
      <w:start w:val="0"/>
      <w:numFmt w:val="bullet"/>
      <w:lvlText w:val="•"/>
      <w:lvlJc w:val="left"/>
      <w:pPr>
        <w:ind w:left="7171" w:hanging="360"/>
      </w:pPr>
      <w:rPr>
        <w:rFonts w:hint="default"/>
      </w:rPr>
    </w:lvl>
  </w:abstractNum>
  <w:abstractNum w:abstractNumId="11">
    <w:multiLevelType w:val="hybridMultilevel"/>
    <w:lvl w:ilvl="0">
      <w:start w:val="1"/>
      <w:numFmt w:val="decimal"/>
      <w:lvlText w:val="%1）"/>
      <w:lvlJc w:val="left"/>
      <w:pPr>
        <w:ind w:left="959"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26" w:hanging="360"/>
      </w:pPr>
      <w:rPr>
        <w:rFonts w:hint="default"/>
      </w:rPr>
    </w:lvl>
    <w:lvl w:ilvl="2">
      <w:start w:val="0"/>
      <w:numFmt w:val="bullet"/>
      <w:lvlText w:val="•"/>
      <w:lvlJc w:val="left"/>
      <w:pPr>
        <w:ind w:left="2492" w:hanging="360"/>
      </w:pPr>
      <w:rPr>
        <w:rFonts w:hint="default"/>
      </w:rPr>
    </w:lvl>
    <w:lvl w:ilvl="3">
      <w:start w:val="0"/>
      <w:numFmt w:val="bullet"/>
      <w:lvlText w:val="•"/>
      <w:lvlJc w:val="left"/>
      <w:pPr>
        <w:ind w:left="3259" w:hanging="360"/>
      </w:pPr>
      <w:rPr>
        <w:rFonts w:hint="default"/>
      </w:rPr>
    </w:lvl>
    <w:lvl w:ilvl="4">
      <w:start w:val="0"/>
      <w:numFmt w:val="bullet"/>
      <w:lvlText w:val="•"/>
      <w:lvlJc w:val="left"/>
      <w:pPr>
        <w:ind w:left="4025" w:hanging="360"/>
      </w:pPr>
      <w:rPr>
        <w:rFonts w:hint="default"/>
      </w:rPr>
    </w:lvl>
    <w:lvl w:ilvl="5">
      <w:start w:val="0"/>
      <w:numFmt w:val="bullet"/>
      <w:lvlText w:val="•"/>
      <w:lvlJc w:val="left"/>
      <w:pPr>
        <w:ind w:left="4792" w:hanging="360"/>
      </w:pPr>
      <w:rPr>
        <w:rFonts w:hint="default"/>
      </w:rPr>
    </w:lvl>
    <w:lvl w:ilvl="6">
      <w:start w:val="0"/>
      <w:numFmt w:val="bullet"/>
      <w:lvlText w:val="•"/>
      <w:lvlJc w:val="left"/>
      <w:pPr>
        <w:ind w:left="5558" w:hanging="360"/>
      </w:pPr>
      <w:rPr>
        <w:rFonts w:hint="default"/>
      </w:rPr>
    </w:lvl>
    <w:lvl w:ilvl="7">
      <w:start w:val="0"/>
      <w:numFmt w:val="bullet"/>
      <w:lvlText w:val="•"/>
      <w:lvlJc w:val="left"/>
      <w:pPr>
        <w:ind w:left="6325" w:hanging="360"/>
      </w:pPr>
      <w:rPr>
        <w:rFonts w:hint="default"/>
      </w:rPr>
    </w:lvl>
    <w:lvl w:ilvl="8">
      <w:start w:val="0"/>
      <w:numFmt w:val="bullet"/>
      <w:lvlText w:val="•"/>
      <w:lvlJc w:val="left"/>
      <w:pPr>
        <w:ind w:left="7091" w:hanging="360"/>
      </w:pPr>
      <w:rPr>
        <w:rFonts w:hint="default"/>
      </w:rPr>
    </w:lvl>
  </w:abstractNum>
  <w:abstractNum w:abstractNumId="10">
    <w:multiLevelType w:val="hybridMultilevel"/>
    <w:lvl w:ilvl="0">
      <w:start w:val="1"/>
      <w:numFmt w:val="decimal"/>
      <w:lvlText w:val="%1）"/>
      <w:lvlJc w:val="left"/>
      <w:pPr>
        <w:ind w:left="959"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26" w:hanging="360"/>
      </w:pPr>
      <w:rPr>
        <w:rFonts w:hint="default"/>
      </w:rPr>
    </w:lvl>
    <w:lvl w:ilvl="2">
      <w:start w:val="0"/>
      <w:numFmt w:val="bullet"/>
      <w:lvlText w:val="•"/>
      <w:lvlJc w:val="left"/>
      <w:pPr>
        <w:ind w:left="2492" w:hanging="360"/>
      </w:pPr>
      <w:rPr>
        <w:rFonts w:hint="default"/>
      </w:rPr>
    </w:lvl>
    <w:lvl w:ilvl="3">
      <w:start w:val="0"/>
      <w:numFmt w:val="bullet"/>
      <w:lvlText w:val="•"/>
      <w:lvlJc w:val="left"/>
      <w:pPr>
        <w:ind w:left="3259" w:hanging="360"/>
      </w:pPr>
      <w:rPr>
        <w:rFonts w:hint="default"/>
      </w:rPr>
    </w:lvl>
    <w:lvl w:ilvl="4">
      <w:start w:val="0"/>
      <w:numFmt w:val="bullet"/>
      <w:lvlText w:val="•"/>
      <w:lvlJc w:val="left"/>
      <w:pPr>
        <w:ind w:left="4025" w:hanging="360"/>
      </w:pPr>
      <w:rPr>
        <w:rFonts w:hint="default"/>
      </w:rPr>
    </w:lvl>
    <w:lvl w:ilvl="5">
      <w:start w:val="0"/>
      <w:numFmt w:val="bullet"/>
      <w:lvlText w:val="•"/>
      <w:lvlJc w:val="left"/>
      <w:pPr>
        <w:ind w:left="4792" w:hanging="360"/>
      </w:pPr>
      <w:rPr>
        <w:rFonts w:hint="default"/>
      </w:rPr>
    </w:lvl>
    <w:lvl w:ilvl="6">
      <w:start w:val="0"/>
      <w:numFmt w:val="bullet"/>
      <w:lvlText w:val="•"/>
      <w:lvlJc w:val="left"/>
      <w:pPr>
        <w:ind w:left="5558" w:hanging="360"/>
      </w:pPr>
      <w:rPr>
        <w:rFonts w:hint="default"/>
      </w:rPr>
    </w:lvl>
    <w:lvl w:ilvl="7">
      <w:start w:val="0"/>
      <w:numFmt w:val="bullet"/>
      <w:lvlText w:val="•"/>
      <w:lvlJc w:val="left"/>
      <w:pPr>
        <w:ind w:left="6325" w:hanging="360"/>
      </w:pPr>
      <w:rPr>
        <w:rFonts w:hint="default"/>
      </w:rPr>
    </w:lvl>
    <w:lvl w:ilvl="8">
      <w:start w:val="0"/>
      <w:numFmt w:val="bullet"/>
      <w:lvlText w:val="•"/>
      <w:lvlJc w:val="left"/>
      <w:pPr>
        <w:ind w:left="7091" w:hanging="360"/>
      </w:pPr>
      <w:rPr>
        <w:rFonts w:hint="default"/>
      </w:rPr>
    </w:lvl>
  </w:abstractNum>
  <w:abstractNum w:abstractNumId="9">
    <w:multiLevelType w:val="hybridMultilevel"/>
    <w:lvl w:ilvl="0">
      <w:start w:val="1"/>
      <w:numFmt w:val="decimal"/>
      <w:lvlText w:val="%1）"/>
      <w:lvlJc w:val="left"/>
      <w:pPr>
        <w:ind w:left="959"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26" w:hanging="360"/>
      </w:pPr>
      <w:rPr>
        <w:rFonts w:hint="default"/>
      </w:rPr>
    </w:lvl>
    <w:lvl w:ilvl="2">
      <w:start w:val="0"/>
      <w:numFmt w:val="bullet"/>
      <w:lvlText w:val="•"/>
      <w:lvlJc w:val="left"/>
      <w:pPr>
        <w:ind w:left="2492" w:hanging="360"/>
      </w:pPr>
      <w:rPr>
        <w:rFonts w:hint="default"/>
      </w:rPr>
    </w:lvl>
    <w:lvl w:ilvl="3">
      <w:start w:val="0"/>
      <w:numFmt w:val="bullet"/>
      <w:lvlText w:val="•"/>
      <w:lvlJc w:val="left"/>
      <w:pPr>
        <w:ind w:left="3259" w:hanging="360"/>
      </w:pPr>
      <w:rPr>
        <w:rFonts w:hint="default"/>
      </w:rPr>
    </w:lvl>
    <w:lvl w:ilvl="4">
      <w:start w:val="0"/>
      <w:numFmt w:val="bullet"/>
      <w:lvlText w:val="•"/>
      <w:lvlJc w:val="left"/>
      <w:pPr>
        <w:ind w:left="4025" w:hanging="360"/>
      </w:pPr>
      <w:rPr>
        <w:rFonts w:hint="default"/>
      </w:rPr>
    </w:lvl>
    <w:lvl w:ilvl="5">
      <w:start w:val="0"/>
      <w:numFmt w:val="bullet"/>
      <w:lvlText w:val="•"/>
      <w:lvlJc w:val="left"/>
      <w:pPr>
        <w:ind w:left="4792" w:hanging="360"/>
      </w:pPr>
      <w:rPr>
        <w:rFonts w:hint="default"/>
      </w:rPr>
    </w:lvl>
    <w:lvl w:ilvl="6">
      <w:start w:val="0"/>
      <w:numFmt w:val="bullet"/>
      <w:lvlText w:val="•"/>
      <w:lvlJc w:val="left"/>
      <w:pPr>
        <w:ind w:left="5558" w:hanging="360"/>
      </w:pPr>
      <w:rPr>
        <w:rFonts w:hint="default"/>
      </w:rPr>
    </w:lvl>
    <w:lvl w:ilvl="7">
      <w:start w:val="0"/>
      <w:numFmt w:val="bullet"/>
      <w:lvlText w:val="•"/>
      <w:lvlJc w:val="left"/>
      <w:pPr>
        <w:ind w:left="6325" w:hanging="360"/>
      </w:pPr>
      <w:rPr>
        <w:rFonts w:hint="default"/>
      </w:rPr>
    </w:lvl>
    <w:lvl w:ilvl="8">
      <w:start w:val="0"/>
      <w:numFmt w:val="bullet"/>
      <w:lvlText w:val="•"/>
      <w:lvlJc w:val="left"/>
      <w:pPr>
        <w:ind w:left="7091" w:hanging="360"/>
      </w:pPr>
      <w:rPr>
        <w:rFonts w:hint="default"/>
      </w:rPr>
    </w:lvl>
  </w:abstractNum>
  <w:abstractNum w:abstractNumId="8">
    <w:multiLevelType w:val="hybridMultilevel"/>
    <w:lvl w:ilvl="0">
      <w:start w:val="1"/>
      <w:numFmt w:val="decimal"/>
      <w:lvlText w:val="%1）"/>
      <w:lvlJc w:val="left"/>
      <w:pPr>
        <w:ind w:left="844"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18" w:hanging="360"/>
      </w:pPr>
      <w:rPr>
        <w:rFonts w:hint="default"/>
      </w:rPr>
    </w:lvl>
    <w:lvl w:ilvl="2">
      <w:start w:val="0"/>
      <w:numFmt w:val="bullet"/>
      <w:lvlText w:val="•"/>
      <w:lvlJc w:val="left"/>
      <w:pPr>
        <w:ind w:left="2396" w:hanging="360"/>
      </w:pPr>
      <w:rPr>
        <w:rFonts w:hint="default"/>
      </w:rPr>
    </w:lvl>
    <w:lvl w:ilvl="3">
      <w:start w:val="0"/>
      <w:numFmt w:val="bullet"/>
      <w:lvlText w:val="•"/>
      <w:lvlJc w:val="left"/>
      <w:pPr>
        <w:ind w:left="3175" w:hanging="360"/>
      </w:pPr>
      <w:rPr>
        <w:rFonts w:hint="default"/>
      </w:rPr>
    </w:lvl>
    <w:lvl w:ilvl="4">
      <w:start w:val="0"/>
      <w:numFmt w:val="bullet"/>
      <w:lvlText w:val="•"/>
      <w:lvlJc w:val="left"/>
      <w:pPr>
        <w:ind w:left="3953" w:hanging="360"/>
      </w:pPr>
      <w:rPr>
        <w:rFonts w:hint="default"/>
      </w:rPr>
    </w:lvl>
    <w:lvl w:ilvl="5">
      <w:start w:val="0"/>
      <w:numFmt w:val="bullet"/>
      <w:lvlText w:val="•"/>
      <w:lvlJc w:val="left"/>
      <w:pPr>
        <w:ind w:left="4732" w:hanging="360"/>
      </w:pPr>
      <w:rPr>
        <w:rFonts w:hint="default"/>
      </w:rPr>
    </w:lvl>
    <w:lvl w:ilvl="6">
      <w:start w:val="0"/>
      <w:numFmt w:val="bullet"/>
      <w:lvlText w:val="•"/>
      <w:lvlJc w:val="left"/>
      <w:pPr>
        <w:ind w:left="5510" w:hanging="360"/>
      </w:pPr>
      <w:rPr>
        <w:rFonts w:hint="default"/>
      </w:rPr>
    </w:lvl>
    <w:lvl w:ilvl="7">
      <w:start w:val="0"/>
      <w:numFmt w:val="bullet"/>
      <w:lvlText w:val="•"/>
      <w:lvlJc w:val="left"/>
      <w:pPr>
        <w:ind w:left="6289" w:hanging="360"/>
      </w:pPr>
      <w:rPr>
        <w:rFonts w:hint="default"/>
      </w:rPr>
    </w:lvl>
    <w:lvl w:ilvl="8">
      <w:start w:val="0"/>
      <w:numFmt w:val="bullet"/>
      <w:lvlText w:val="•"/>
      <w:lvlJc w:val="left"/>
      <w:pPr>
        <w:ind w:left="7067" w:hanging="360"/>
      </w:pPr>
      <w:rPr>
        <w:rFonts w:hint="default"/>
      </w:rPr>
    </w:lvl>
  </w:abstractNum>
  <w:abstractNum w:abstractNumId="7">
    <w:multiLevelType w:val="hybridMultilevel"/>
    <w:lvl w:ilvl="0">
      <w:start w:val="1"/>
      <w:numFmt w:val="decimal"/>
      <w:lvlText w:val="%1）"/>
      <w:lvlJc w:val="left"/>
      <w:pPr>
        <w:ind w:left="959"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26" w:hanging="360"/>
      </w:pPr>
      <w:rPr>
        <w:rFonts w:hint="default"/>
      </w:rPr>
    </w:lvl>
    <w:lvl w:ilvl="2">
      <w:start w:val="0"/>
      <w:numFmt w:val="bullet"/>
      <w:lvlText w:val="•"/>
      <w:lvlJc w:val="left"/>
      <w:pPr>
        <w:ind w:left="2492" w:hanging="360"/>
      </w:pPr>
      <w:rPr>
        <w:rFonts w:hint="default"/>
      </w:rPr>
    </w:lvl>
    <w:lvl w:ilvl="3">
      <w:start w:val="0"/>
      <w:numFmt w:val="bullet"/>
      <w:lvlText w:val="•"/>
      <w:lvlJc w:val="left"/>
      <w:pPr>
        <w:ind w:left="3259" w:hanging="360"/>
      </w:pPr>
      <w:rPr>
        <w:rFonts w:hint="default"/>
      </w:rPr>
    </w:lvl>
    <w:lvl w:ilvl="4">
      <w:start w:val="0"/>
      <w:numFmt w:val="bullet"/>
      <w:lvlText w:val="•"/>
      <w:lvlJc w:val="left"/>
      <w:pPr>
        <w:ind w:left="4025" w:hanging="360"/>
      </w:pPr>
      <w:rPr>
        <w:rFonts w:hint="default"/>
      </w:rPr>
    </w:lvl>
    <w:lvl w:ilvl="5">
      <w:start w:val="0"/>
      <w:numFmt w:val="bullet"/>
      <w:lvlText w:val="•"/>
      <w:lvlJc w:val="left"/>
      <w:pPr>
        <w:ind w:left="4792" w:hanging="360"/>
      </w:pPr>
      <w:rPr>
        <w:rFonts w:hint="default"/>
      </w:rPr>
    </w:lvl>
    <w:lvl w:ilvl="6">
      <w:start w:val="0"/>
      <w:numFmt w:val="bullet"/>
      <w:lvlText w:val="•"/>
      <w:lvlJc w:val="left"/>
      <w:pPr>
        <w:ind w:left="5558" w:hanging="360"/>
      </w:pPr>
      <w:rPr>
        <w:rFonts w:hint="default"/>
      </w:rPr>
    </w:lvl>
    <w:lvl w:ilvl="7">
      <w:start w:val="0"/>
      <w:numFmt w:val="bullet"/>
      <w:lvlText w:val="•"/>
      <w:lvlJc w:val="left"/>
      <w:pPr>
        <w:ind w:left="6325" w:hanging="360"/>
      </w:pPr>
      <w:rPr>
        <w:rFonts w:hint="default"/>
      </w:rPr>
    </w:lvl>
    <w:lvl w:ilvl="8">
      <w:start w:val="0"/>
      <w:numFmt w:val="bullet"/>
      <w:lvlText w:val="•"/>
      <w:lvlJc w:val="left"/>
      <w:pPr>
        <w:ind w:left="7091" w:hanging="360"/>
      </w:pPr>
      <w:rPr>
        <w:rFonts w:hint="default"/>
      </w:rPr>
    </w:lvl>
  </w:abstractNum>
  <w:abstractNum w:abstractNumId="6">
    <w:multiLevelType w:val="hybridMultilevel"/>
    <w:lvl w:ilvl="0">
      <w:start w:val="1"/>
      <w:numFmt w:val="decimal"/>
      <w:lvlText w:val="%1）"/>
      <w:lvlJc w:val="left"/>
      <w:pPr>
        <w:ind w:left="844"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24" w:hanging="360"/>
      </w:pPr>
      <w:rPr>
        <w:rFonts w:hint="default"/>
      </w:rPr>
    </w:lvl>
    <w:lvl w:ilvl="2">
      <w:start w:val="0"/>
      <w:numFmt w:val="bullet"/>
      <w:lvlText w:val="•"/>
      <w:lvlJc w:val="left"/>
      <w:pPr>
        <w:ind w:left="2408"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77" w:hanging="360"/>
      </w:pPr>
      <w:rPr>
        <w:rFonts w:hint="default"/>
      </w:rPr>
    </w:lvl>
    <w:lvl w:ilvl="5">
      <w:start w:val="0"/>
      <w:numFmt w:val="bullet"/>
      <w:lvlText w:val="•"/>
      <w:lvlJc w:val="left"/>
      <w:pPr>
        <w:ind w:left="4762" w:hanging="360"/>
      </w:pPr>
      <w:rPr>
        <w:rFonts w:hint="default"/>
      </w:rPr>
    </w:lvl>
    <w:lvl w:ilvl="6">
      <w:start w:val="0"/>
      <w:numFmt w:val="bullet"/>
      <w:lvlText w:val="•"/>
      <w:lvlJc w:val="left"/>
      <w:pPr>
        <w:ind w:left="5546" w:hanging="360"/>
      </w:pPr>
      <w:rPr>
        <w:rFonts w:hint="default"/>
      </w:rPr>
    </w:lvl>
    <w:lvl w:ilvl="7">
      <w:start w:val="0"/>
      <w:numFmt w:val="bullet"/>
      <w:lvlText w:val="•"/>
      <w:lvlJc w:val="left"/>
      <w:pPr>
        <w:ind w:left="6331" w:hanging="360"/>
      </w:pPr>
      <w:rPr>
        <w:rFonts w:hint="default"/>
      </w:rPr>
    </w:lvl>
    <w:lvl w:ilvl="8">
      <w:start w:val="0"/>
      <w:numFmt w:val="bullet"/>
      <w:lvlText w:val="•"/>
      <w:lvlJc w:val="left"/>
      <w:pPr>
        <w:ind w:left="7115" w:hanging="360"/>
      </w:pPr>
      <w:rPr>
        <w:rFonts w:hint="default"/>
      </w:rPr>
    </w:lvl>
  </w:abstractNum>
  <w:abstractNum w:abstractNumId="5">
    <w:multiLevelType w:val="hybridMultilevel"/>
    <w:lvl w:ilvl="0">
      <w:start w:val="1"/>
      <w:numFmt w:val="decimal"/>
      <w:lvlText w:val="%1）"/>
      <w:lvlJc w:val="left"/>
      <w:pPr>
        <w:ind w:left="959"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32" w:hanging="360"/>
      </w:pPr>
      <w:rPr>
        <w:rFonts w:hint="default"/>
      </w:rPr>
    </w:lvl>
    <w:lvl w:ilvl="2">
      <w:start w:val="0"/>
      <w:numFmt w:val="bullet"/>
      <w:lvlText w:val="•"/>
      <w:lvlJc w:val="left"/>
      <w:pPr>
        <w:ind w:left="2504" w:hanging="360"/>
      </w:pPr>
      <w:rPr>
        <w:rFonts w:hint="default"/>
      </w:rPr>
    </w:lvl>
    <w:lvl w:ilvl="3">
      <w:start w:val="0"/>
      <w:numFmt w:val="bullet"/>
      <w:lvlText w:val="•"/>
      <w:lvlJc w:val="left"/>
      <w:pPr>
        <w:ind w:left="3277" w:hanging="360"/>
      </w:pPr>
      <w:rPr>
        <w:rFonts w:hint="default"/>
      </w:rPr>
    </w:lvl>
    <w:lvl w:ilvl="4">
      <w:start w:val="0"/>
      <w:numFmt w:val="bullet"/>
      <w:lvlText w:val="•"/>
      <w:lvlJc w:val="left"/>
      <w:pPr>
        <w:ind w:left="4049" w:hanging="360"/>
      </w:pPr>
      <w:rPr>
        <w:rFonts w:hint="default"/>
      </w:rPr>
    </w:lvl>
    <w:lvl w:ilvl="5">
      <w:start w:val="0"/>
      <w:numFmt w:val="bullet"/>
      <w:lvlText w:val="•"/>
      <w:lvlJc w:val="left"/>
      <w:pPr>
        <w:ind w:left="4822" w:hanging="360"/>
      </w:pPr>
      <w:rPr>
        <w:rFonts w:hint="default"/>
      </w:rPr>
    </w:lvl>
    <w:lvl w:ilvl="6">
      <w:start w:val="0"/>
      <w:numFmt w:val="bullet"/>
      <w:lvlText w:val="•"/>
      <w:lvlJc w:val="left"/>
      <w:pPr>
        <w:ind w:left="5594" w:hanging="360"/>
      </w:pPr>
      <w:rPr>
        <w:rFonts w:hint="default"/>
      </w:rPr>
    </w:lvl>
    <w:lvl w:ilvl="7">
      <w:start w:val="0"/>
      <w:numFmt w:val="bullet"/>
      <w:lvlText w:val="•"/>
      <w:lvlJc w:val="left"/>
      <w:pPr>
        <w:ind w:left="6367" w:hanging="360"/>
      </w:pPr>
      <w:rPr>
        <w:rFonts w:hint="default"/>
      </w:rPr>
    </w:lvl>
    <w:lvl w:ilvl="8">
      <w:start w:val="0"/>
      <w:numFmt w:val="bullet"/>
      <w:lvlText w:val="•"/>
      <w:lvlJc w:val="left"/>
      <w:pPr>
        <w:ind w:left="7139" w:hanging="360"/>
      </w:pPr>
      <w:rPr>
        <w:rFonts w:hint="default"/>
      </w:rPr>
    </w:lvl>
  </w:abstractNum>
  <w:abstractNum w:abstractNumId="4">
    <w:multiLevelType w:val="hybridMultilevel"/>
    <w:lvl w:ilvl="0">
      <w:start w:val="1"/>
      <w:numFmt w:val="decimal"/>
      <w:lvlText w:val="%1）"/>
      <w:lvlJc w:val="left"/>
      <w:pPr>
        <w:ind w:left="1017" w:hanging="36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86" w:hanging="360"/>
      </w:pPr>
      <w:rPr>
        <w:rFonts w:hint="default"/>
      </w:rPr>
    </w:lvl>
    <w:lvl w:ilvl="2">
      <w:start w:val="0"/>
      <w:numFmt w:val="bullet"/>
      <w:lvlText w:val="•"/>
      <w:lvlJc w:val="left"/>
      <w:pPr>
        <w:ind w:left="2552" w:hanging="360"/>
      </w:pPr>
      <w:rPr>
        <w:rFonts w:hint="default"/>
      </w:rPr>
    </w:lvl>
    <w:lvl w:ilvl="3">
      <w:start w:val="0"/>
      <w:numFmt w:val="bullet"/>
      <w:lvlText w:val="•"/>
      <w:lvlJc w:val="left"/>
      <w:pPr>
        <w:ind w:left="3319" w:hanging="360"/>
      </w:pPr>
      <w:rPr>
        <w:rFonts w:hint="default"/>
      </w:rPr>
    </w:lvl>
    <w:lvl w:ilvl="4">
      <w:start w:val="0"/>
      <w:numFmt w:val="bullet"/>
      <w:lvlText w:val="•"/>
      <w:lvlJc w:val="left"/>
      <w:pPr>
        <w:ind w:left="4085" w:hanging="360"/>
      </w:pPr>
      <w:rPr>
        <w:rFonts w:hint="default"/>
      </w:rPr>
    </w:lvl>
    <w:lvl w:ilvl="5">
      <w:start w:val="0"/>
      <w:numFmt w:val="bullet"/>
      <w:lvlText w:val="•"/>
      <w:lvlJc w:val="left"/>
      <w:pPr>
        <w:ind w:left="4852" w:hanging="360"/>
      </w:pPr>
      <w:rPr>
        <w:rFonts w:hint="default"/>
      </w:rPr>
    </w:lvl>
    <w:lvl w:ilvl="6">
      <w:start w:val="0"/>
      <w:numFmt w:val="bullet"/>
      <w:lvlText w:val="•"/>
      <w:lvlJc w:val="left"/>
      <w:pPr>
        <w:ind w:left="5618" w:hanging="360"/>
      </w:pPr>
      <w:rPr>
        <w:rFonts w:hint="default"/>
      </w:rPr>
    </w:lvl>
    <w:lvl w:ilvl="7">
      <w:start w:val="0"/>
      <w:numFmt w:val="bullet"/>
      <w:lvlText w:val="•"/>
      <w:lvlJc w:val="left"/>
      <w:pPr>
        <w:ind w:left="6385" w:hanging="360"/>
      </w:pPr>
      <w:rPr>
        <w:rFonts w:hint="default"/>
      </w:rPr>
    </w:lvl>
    <w:lvl w:ilvl="8">
      <w:start w:val="0"/>
      <w:numFmt w:val="bullet"/>
      <w:lvlText w:val="•"/>
      <w:lvlJc w:val="left"/>
      <w:pPr>
        <w:ind w:left="7151" w:hanging="360"/>
      </w:pPr>
      <w:rPr>
        <w:rFonts w:hint="default"/>
      </w:rPr>
    </w:lvl>
  </w:abstractNum>
  <w:abstractNum w:abstractNumId="3">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abstractNum w:abstractNumId="2">
    <w:multiLevelType w:val="hybridMultilevel"/>
    <w:lvl w:ilvl="0">
      <w:start w:val="1"/>
      <w:numFmt w:val="decimal"/>
      <w:lvlText w:val="%1."/>
      <w:lvlJc w:val="left"/>
      <w:pPr>
        <w:ind w:left="957" w:hanging="420"/>
        <w:jc w:val="left"/>
      </w:pPr>
      <w:rPr>
        <w:rFonts w:hint="default" w:ascii="Times New Roman" w:hAnsi="Times New Roman" w:eastAsia="Times New Roman" w:cs="Times New Roman"/>
        <w:spacing w:val="-15"/>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abstractNum w:abstractNumId="1">
    <w:multiLevelType w:val="hybridMultilevel"/>
    <w:lvl w:ilvl="0">
      <w:start w:val="1"/>
      <w:numFmt w:val="decimal"/>
      <w:lvlText w:val="%1."/>
      <w:lvlJc w:val="left"/>
      <w:pPr>
        <w:ind w:left="957" w:hanging="420"/>
        <w:jc w:val="left"/>
      </w:pPr>
      <w:rPr>
        <w:rFonts w:hint="default" w:ascii="Times New Roman" w:hAnsi="Times New Roman" w:eastAsia="Times New Roman" w:cs="Times New Roman"/>
        <w:spacing w:val="-15"/>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abstractNum w:abstractNumId="0">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32" w:hanging="420"/>
      </w:pPr>
      <w:rPr>
        <w:rFonts w:hint="default"/>
      </w:rPr>
    </w:lvl>
    <w:lvl w:ilvl="2">
      <w:start w:val="0"/>
      <w:numFmt w:val="bullet"/>
      <w:lvlText w:val="•"/>
      <w:lvlJc w:val="left"/>
      <w:pPr>
        <w:ind w:left="2504"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049" w:hanging="420"/>
      </w:pPr>
      <w:rPr>
        <w:rFonts w:hint="default"/>
      </w:rPr>
    </w:lvl>
    <w:lvl w:ilvl="5">
      <w:start w:val="0"/>
      <w:numFmt w:val="bullet"/>
      <w:lvlText w:val="•"/>
      <w:lvlJc w:val="left"/>
      <w:pPr>
        <w:ind w:left="4822" w:hanging="420"/>
      </w:pPr>
      <w:rPr>
        <w:rFonts w:hint="default"/>
      </w:rPr>
    </w:lvl>
    <w:lvl w:ilvl="6">
      <w:start w:val="0"/>
      <w:numFmt w:val="bullet"/>
      <w:lvlText w:val="•"/>
      <w:lvlJc w:val="left"/>
      <w:pPr>
        <w:ind w:left="5594" w:hanging="420"/>
      </w:pPr>
      <w:rPr>
        <w:rFonts w:hint="default"/>
      </w:rPr>
    </w:lvl>
    <w:lvl w:ilvl="7">
      <w:start w:val="0"/>
      <w:numFmt w:val="bullet"/>
      <w:lvlText w:val="•"/>
      <w:lvlJc w:val="left"/>
      <w:pPr>
        <w:ind w:left="6367" w:hanging="420"/>
      </w:pPr>
      <w:rPr>
        <w:rFonts w:hint="default"/>
      </w:rPr>
    </w:lvl>
    <w:lvl w:ilvl="8">
      <w:start w:val="0"/>
      <w:numFmt w:val="bullet"/>
      <w:lvlText w:val="•"/>
      <w:lvlJc w:val="left"/>
      <w:pPr>
        <w:ind w:left="7139" w:hanging="4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43" w:lineRule="exact"/>
      <w:ind w:left="117"/>
    </w:pPr>
    <w:rPr>
      <w:rFonts w:ascii="Microsoft JhengHei" w:hAnsi="Microsoft JhengHei" w:eastAsia="Microsoft JhengHei" w:cs="Microsoft JhengHei"/>
      <w:b/>
      <w:bCs/>
      <w:sz w:val="21"/>
      <w:szCs w:val="21"/>
    </w:rPr>
  </w:style>
  <w:style w:styleId="TOC2" w:type="paragraph">
    <w:name w:val="TOC 2"/>
    <w:basedOn w:val="Normal"/>
    <w:uiPriority w:val="1"/>
    <w:qFormat/>
    <w:pPr>
      <w:spacing w:before="21"/>
      <w:ind w:left="747"/>
    </w:pPr>
    <w:rPr>
      <w:rFonts w:ascii="宋体" w:hAnsi="宋体" w:eastAsia="宋体" w:cs="宋体"/>
      <w:sz w:val="21"/>
      <w:szCs w:val="21"/>
    </w:rPr>
  </w:style>
  <w:style w:styleId="BodyText" w:type="paragraph">
    <w:name w:val="Body Text"/>
    <w:basedOn w:val="Normal"/>
    <w:uiPriority w:val="1"/>
    <w:qFormat/>
    <w:pPr>
      <w:spacing w:before="21"/>
      <w:ind w:left="959"/>
    </w:pPr>
    <w:rPr>
      <w:rFonts w:ascii="宋体" w:hAnsi="宋体" w:eastAsia="宋体" w:cs="宋体"/>
      <w:sz w:val="21"/>
      <w:szCs w:val="21"/>
    </w:rPr>
  </w:style>
  <w:style w:styleId="Heading1" w:type="paragraph">
    <w:name w:val="Heading 1"/>
    <w:basedOn w:val="Normal"/>
    <w:uiPriority w:val="1"/>
    <w:qFormat/>
    <w:pPr>
      <w:ind w:left="1809"/>
      <w:outlineLvl w:val="1"/>
    </w:pPr>
    <w:rPr>
      <w:rFonts w:ascii="黑体" w:hAnsi="黑体" w:eastAsia="黑体" w:cs="黑体"/>
      <w:b/>
      <w:bCs/>
      <w:sz w:val="36"/>
      <w:szCs w:val="36"/>
    </w:rPr>
  </w:style>
  <w:style w:styleId="Heading2" w:type="paragraph">
    <w:name w:val="Heading 2"/>
    <w:basedOn w:val="Normal"/>
    <w:uiPriority w:val="1"/>
    <w:qFormat/>
    <w:pPr>
      <w:ind w:left="117"/>
      <w:outlineLvl w:val="2"/>
    </w:pPr>
    <w:rPr>
      <w:rFonts w:ascii="Microsoft JhengHei" w:hAnsi="Microsoft JhengHei" w:eastAsia="Microsoft JhengHei" w:cs="Microsoft JhengHei"/>
      <w:b/>
      <w:bCs/>
      <w:sz w:val="30"/>
      <w:szCs w:val="30"/>
    </w:rPr>
  </w:style>
  <w:style w:styleId="Heading3" w:type="paragraph">
    <w:name w:val="Heading 3"/>
    <w:basedOn w:val="Normal"/>
    <w:uiPriority w:val="1"/>
    <w:qFormat/>
    <w:pPr>
      <w:spacing w:line="323" w:lineRule="exact"/>
      <w:ind w:left="117"/>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1"/>
      <w:ind w:left="959"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wgao</dc:creator>
  <dc:title>&lt;4D6963726F736F667420576F7264202D20B8BDBCFE20322D303220B9E2B4F3D3C0C3F7B8BDBCD3BFB5CBB3CEDED3C7CCE1C7B0B8F8B8B6D6D8B4F3BCB2B2A1B1A3CFD5B2FAC6B7CCF5BFEE2E646F63&gt;</dc:title>
  <dcterms:created xsi:type="dcterms:W3CDTF">2018-10-20T02:41:03Z</dcterms:created>
  <dcterms:modified xsi:type="dcterms:W3CDTF">2018-10-20T02:41:03Z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2006-12-05T00:00:00Z</vt:filetime>
  </property>
  <property fmtid="{D5CDD505-2E9C-101B-9397-08002B2CF9AE}" pid="3" name="Creator">
    <vt:lpwstr>PScript5.dll Version 5.2</vt:lpwstr>
  </property>
  <property fmtid="{D5CDD505-2E9C-101B-9397-08002B2CF9AE}" pid="4" name="LastSaved">
    <vt:filetime>2018-10-19T00:00:00Z</vt:filetime>
  </property>
</Properties>
</file>