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938" w:firstLine="0"/>
        <w:jc w:val="right"/>
        <w:rPr>
          <w:sz w:val="16"/>
        </w:rPr>
      </w:pPr>
      <w:r>
        <w:rPr/>
        <w:drawing>
          <wp:anchor distT="0" distB="0" distL="0" distR="0" allowOverlap="1" layoutInCell="1" locked="0" behindDoc="0" simplePos="0" relativeHeight="0">
            <wp:simplePos x="0" y="0"/>
            <wp:positionH relativeFrom="page">
              <wp:posOffset>5369052</wp:posOffset>
            </wp:positionH>
            <wp:positionV relativeFrom="paragraph">
              <wp:posOffset>161087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幸福人寿﹝2013﹞疾病保险 016 号</w:t>
      </w:r>
    </w:p>
    <w:p>
      <w:pPr>
        <w:spacing w:before="0"/>
        <w:ind w:left="0" w:right="1339" w:firstLine="0"/>
        <w:jc w:val="right"/>
        <w:rPr>
          <w:sz w:val="16"/>
        </w:rPr>
      </w:pPr>
      <w:r>
        <w:rPr>
          <w:w w:val="95"/>
          <w:sz w:val="16"/>
        </w:rPr>
        <w:t>请扫描以查询验证条款</w:t>
      </w:r>
    </w:p>
    <w:p>
      <w:pPr>
        <w:pStyle w:val="BodyText"/>
        <w:spacing w:before="10"/>
        <w:ind w:left="0"/>
        <w:rPr>
          <w:sz w:val="15"/>
        </w:rPr>
      </w:pPr>
    </w:p>
    <w:p>
      <w:pPr>
        <w:spacing w:before="7"/>
        <w:ind w:left="1946" w:right="2008" w:firstLine="0"/>
        <w:jc w:val="center"/>
        <w:rPr>
          <w:b/>
          <w:sz w:val="30"/>
        </w:rPr>
      </w:pPr>
      <w:r>
        <w:rPr>
          <w:b/>
          <w:w w:val="95"/>
          <w:sz w:val="30"/>
        </w:rPr>
        <w:t>幸福人寿保险股份有限公司</w:t>
      </w:r>
    </w:p>
    <w:p>
      <w:pPr>
        <w:spacing w:before="99"/>
        <w:ind w:left="1947" w:right="2008" w:firstLine="0"/>
        <w:jc w:val="center"/>
        <w:rPr>
          <w:b/>
          <w:sz w:val="30"/>
        </w:rPr>
      </w:pPr>
      <w:r>
        <w:rPr>
          <w:b/>
          <w:sz w:val="30"/>
        </w:rPr>
        <w:t>幸福附加祥鸿提前给付重大疾病保险</w:t>
      </w:r>
      <w:r>
        <w:rPr>
          <w:rFonts w:ascii="Times New Roman" w:eastAsia="Times New Roman"/>
          <w:b/>
          <w:sz w:val="30"/>
        </w:rPr>
        <w:t>(C </w:t>
      </w:r>
      <w:r>
        <w:rPr>
          <w:b/>
          <w:sz w:val="30"/>
        </w:rPr>
        <w:t>款</w:t>
      </w:r>
      <w:r>
        <w:rPr>
          <w:rFonts w:ascii="Times New Roman" w:eastAsia="Times New Roman"/>
          <w:b/>
          <w:sz w:val="30"/>
        </w:rPr>
        <w:t>)</w:t>
      </w:r>
      <w:r>
        <w:rPr>
          <w:b/>
          <w:sz w:val="30"/>
        </w:rPr>
        <w:t>条款</w:t>
      </w:r>
    </w:p>
    <w:p>
      <w:pPr>
        <w:pStyle w:val="BodyText"/>
        <w:spacing w:before="5"/>
        <w:ind w:left="0"/>
        <w:rPr>
          <w:b/>
          <w:sz w:val="28"/>
        </w:rPr>
      </w:pPr>
    </w:p>
    <w:p>
      <w:pPr>
        <w:pStyle w:val="BodyText"/>
        <w:spacing w:before="0"/>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1947" w:right="1588"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4" w:after="0"/>
            <w:ind w:left="434" w:right="0" w:hanging="317"/>
            <w:jc w:val="left"/>
            <w:rPr>
              <w:rFonts w:ascii="Times New Roman" w:eastAsia="Times New Roman"/>
            </w:rPr>
          </w:pPr>
          <w:hyperlink w:history="true" w:anchor="_TOC_250023">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22">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21">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20">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9">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8">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2">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1">
            <w:r>
              <w:rPr/>
              <w:t>诉讼时效</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10">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9">
            <w:r>
              <w:rPr/>
              <w:t>保险费的交纳</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08">
            <w:r>
              <w:rPr/>
              <w:t>合同效力的中止与恢复</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7">
            <w:r>
              <w:rPr/>
              <w:t>合同效力的中止</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6">
            <w:r>
              <w:rPr/>
              <w:t>合同效力的恢复</w:t>
              <w:tab/>
            </w:r>
            <w:r>
              <w:rPr>
                <w:rFonts w:ascii="Times New Roman" w:eastAsia="Times New Roman"/>
              </w:rPr>
              <w:t>5</w:t>
            </w:r>
          </w:hyperlink>
        </w:p>
        <w:p>
          <w:pPr>
            <w:pStyle w:val="TOC1"/>
            <w:numPr>
              <w:ilvl w:val="0"/>
              <w:numId w:val="1"/>
            </w:numPr>
            <w:tabs>
              <w:tab w:pos="435" w:val="left" w:leader="none"/>
              <w:tab w:pos="9745" w:val="right" w:leader="dot"/>
            </w:tabs>
            <w:spacing w:line="240" w:lineRule="auto" w:before="66" w:after="0"/>
            <w:ind w:left="434" w:right="0" w:hanging="317"/>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6"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21"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6</w:t>
            </w:r>
          </w:hyperlink>
        </w:p>
        <w:p>
          <w:pPr>
            <w:pStyle w:val="TOC2"/>
            <w:tabs>
              <w:tab w:pos="9761" w:val="right" w:leader="dot"/>
            </w:tabs>
            <w:ind w:left="537" w:firstLine="0"/>
            <w:rPr>
              <w:rFonts w:ascii="Times New Roman" w:eastAsia="Times New Roman"/>
            </w:rPr>
          </w:pPr>
          <w:r>
            <w:rPr/>
            <w:t>附件一：重大疾病名称及定义，男</w:t>
          </w:r>
          <w:r>
            <w:rPr>
              <w:rFonts w:ascii="Times New Roman" w:eastAsia="Times New Roman"/>
            </w:rPr>
            <w:t>/</w:t>
          </w:r>
          <w:r>
            <w:rPr/>
            <w:t>女性重大疾病名称及定义和早期治疗保险金疾病名称及定义</w:t>
            <w:tab/>
          </w:r>
          <w:r>
            <w:rPr>
              <w:rFonts w:ascii="Times New Roman" w:eastAsia="Times New Roman"/>
            </w:rPr>
            <w:t>6</w:t>
          </w:r>
        </w:p>
      </w:sdtContent>
    </w:sdt>
    <w:p>
      <w:pPr>
        <w:spacing w:after="0"/>
        <w:rPr>
          <w:rFonts w:ascii="Times New Roman" w:eastAsia="Times New Roman"/>
        </w:rPr>
        <w:sectPr>
          <w:type w:val="continuous"/>
          <w:pgSz w:w="11910" w:h="16840"/>
          <w:pgMar w:top="760" w:bottom="280" w:left="960" w:right="7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spacing w:before="154"/>
        <w:ind w:left="0" w:right="0" w:firstLine="0"/>
        <w:jc w:val="right"/>
        <w:rPr>
          <w:sz w:val="18"/>
        </w:rPr>
      </w:pPr>
      <w:r>
        <w:rPr>
          <w:sz w:val="18"/>
        </w:rPr>
        <w:t>第</w:t>
      </w:r>
      <w:r>
        <w:rPr>
          <w:rFonts w:ascii="Times New Roman" w:eastAsia="Times New Roman"/>
          <w:sz w:val="18"/>
        </w:rPr>
        <w:t>1</w:t>
      </w:r>
      <w:r>
        <w:rPr>
          <w:sz w:val="18"/>
        </w:rPr>
        <w:t>页 共</w:t>
      </w:r>
      <w:r>
        <w:rPr>
          <w:rFonts w:ascii="Times New Roman" w:eastAsia="Times New Roman"/>
          <w:sz w:val="18"/>
        </w:rPr>
        <w:t>13</w:t>
      </w:r>
      <w:r>
        <w:rPr>
          <w:sz w:val="18"/>
        </w:rPr>
        <w:t>页</w:t>
      </w:r>
    </w:p>
    <w:p>
      <w:pPr>
        <w:pStyle w:val="BodyText"/>
        <w:spacing w:before="0"/>
        <w:ind w:left="0"/>
        <w:rPr>
          <w:sz w:val="22"/>
        </w:rPr>
      </w:pPr>
      <w:r>
        <w:rPr/>
        <w:br w:type="column"/>
      </w:r>
      <w:r>
        <w:rPr>
          <w:sz w:val="22"/>
        </w:rPr>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184"/>
        <w:ind w:left="2851"/>
        <w:rPr>
          <w:rFonts w:ascii="Times New Roman"/>
        </w:rPr>
      </w:pPr>
      <w:r>
        <w:rPr>
          <w:rFonts w:ascii="Times New Roman"/>
        </w:rPr>
        <w:t>0103</w:t>
      </w:r>
    </w:p>
    <w:p>
      <w:pPr>
        <w:spacing w:after="0"/>
        <w:rPr>
          <w:rFonts w:ascii="Times New Roman"/>
        </w:rPr>
        <w:sectPr>
          <w:type w:val="continuous"/>
          <w:pgSz w:w="11910" w:h="16840"/>
          <w:pgMar w:top="760" w:bottom="280" w:left="960" w:right="740"/>
          <w:cols w:num="2" w:equalWidth="0">
            <w:col w:w="5611" w:space="40"/>
            <w:col w:w="4559"/>
          </w:cols>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3"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2" w:id="2"/>
      <w:bookmarkEnd w:id="2"/>
      <w:r>
        <w:rPr>
          <w:w w:val="95"/>
        </w:rPr>
        <w:t>合同构成</w:t>
      </w:r>
    </w:p>
    <w:p>
      <w:pPr>
        <w:pStyle w:val="BodyText"/>
        <w:spacing w:line="223" w:lineRule="auto" w:before="10"/>
        <w:ind w:left="117" w:right="160" w:firstLine="420"/>
        <w:jc w:val="both"/>
      </w:pPr>
      <w:r>
        <w:rPr/>
        <w:t>幸福附加祥鸿提前给付重大疾病保险（</w:t>
      </w:r>
      <w:r>
        <w:rPr>
          <w:rFonts w:ascii="Times New Roman" w:eastAsia="Times New Roman"/>
        </w:rPr>
        <w:t>C </w:t>
      </w:r>
      <w:r>
        <w:rPr/>
        <w:t>款）合同（以下简称本附加险合同）由以下几个部分构成：本保险条款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8"/>
        <w:ind w:left="0"/>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21"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8"/>
        <w:ind w:left="117" w:right="157" w:firstLine="420"/>
        <w:jc w:val="both"/>
      </w:pPr>
      <w:r>
        <w:rPr/>
        <w:t>本附加险合同自我们同意承保、收取首期保险费并签发保险单开始生效，具体生效日以保险单所载的日期为准。我们自生效日零时起开始承担本附加险合同约定的保险责任，</w:t>
      </w:r>
      <w:r>
        <w:rPr>
          <w:b/>
        </w:rPr>
        <w:t>保单年度</w:t>
      </w:r>
      <w:r>
        <w:rPr>
          <w:rFonts w:ascii="Times New Roman" w:eastAsia="Times New Roman"/>
          <w:b/>
          <w:vertAlign w:val="superscript"/>
        </w:rPr>
        <w:t>1</w:t>
      </w:r>
      <w:r>
        <w:rPr>
          <w:rFonts w:ascii="Times New Roman" w:eastAsia="Times New Roman"/>
          <w:b/>
          <w:vertAlign w:val="baseline"/>
        </w:rPr>
      </w:r>
      <w:r>
        <w:rPr>
          <w:vertAlign w:val="baseline"/>
        </w:rPr>
        <w:t>、</w:t>
      </w:r>
      <w:r>
        <w:rPr>
          <w:b/>
          <w:vertAlign w:val="baseline"/>
        </w:rPr>
        <w:t>保险费约定支付日</w:t>
      </w:r>
      <w:r>
        <w:rPr>
          <w:rFonts w:ascii="Times New Roman" w:eastAsia="Times New Roman"/>
          <w:b/>
          <w:vertAlign w:val="superscript"/>
        </w:rPr>
        <w:t>2</w:t>
      </w:r>
      <w:r>
        <w:rPr>
          <w:rFonts w:ascii="Times New Roman" w:eastAsia="Times New Roman"/>
          <w:b/>
          <w:vertAlign w:val="baseline"/>
        </w:rPr>
      </w:r>
      <w:r>
        <w:rPr>
          <w:vertAlign w:val="baseline"/>
        </w:rPr>
        <w:t>均以该日期计算。</w:t>
      </w:r>
    </w:p>
    <w:p>
      <w:pPr>
        <w:pStyle w:val="BodyText"/>
        <w:spacing w:before="0"/>
        <w:ind w:left="0"/>
        <w:rPr>
          <w:sz w:val="20"/>
        </w:rPr>
      </w:pPr>
    </w:p>
    <w:p>
      <w:pPr>
        <w:pStyle w:val="BodyText"/>
        <w:spacing w:before="4"/>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20" w:id="4"/>
      <w:bookmarkEnd w:id="4"/>
      <w:r>
        <w:rPr>
          <w:w w:val="95"/>
        </w:rPr>
        <w:t>投保范围</w:t>
      </w:r>
    </w:p>
    <w:p>
      <w:pPr>
        <w:pStyle w:val="BodyText"/>
        <w:spacing w:before="9"/>
        <w:ind w:left="537"/>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7"/>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9" w:id="5"/>
      <w:bookmarkEnd w:id="5"/>
      <w:r>
        <w:rPr>
          <w:w w:val="95"/>
        </w:rPr>
        <w:t>保险期间</w:t>
      </w:r>
    </w:p>
    <w:p>
      <w:pPr>
        <w:pStyle w:val="BodyText"/>
        <w:spacing w:line="256" w:lineRule="auto" w:before="0"/>
        <w:ind w:left="117" w:right="157" w:firstLine="435"/>
      </w:pPr>
      <w:r>
        <w:rPr>
          <w:spacing w:val="-5"/>
        </w:rPr>
        <w:t>本附加险合同的保险期间为 </w:t>
      </w:r>
      <w:r>
        <w:rPr>
          <w:rFonts w:ascii="Times New Roman" w:eastAsia="Times New Roman"/>
        </w:rPr>
        <w:t>30 </w:t>
      </w:r>
      <w:r>
        <w:rPr>
          <w:spacing w:val="-22"/>
        </w:rPr>
        <w:t>年、</w:t>
      </w:r>
      <w:r>
        <w:rPr>
          <w:rFonts w:ascii="Times New Roman" w:eastAsia="Times New Roman"/>
        </w:rPr>
        <w:t>40 </w:t>
      </w:r>
      <w:r>
        <w:rPr>
          <w:spacing w:val="-22"/>
        </w:rPr>
        <w:t>年、</w:t>
      </w:r>
      <w:r>
        <w:rPr>
          <w:rFonts w:ascii="Times New Roman" w:eastAsia="Times New Roman"/>
        </w:rPr>
        <w:t>50 </w:t>
      </w:r>
      <w:r>
        <w:rPr>
          <w:spacing w:val="-4"/>
        </w:rPr>
        <w:t>年或自生效日零时起至被保险人满 </w:t>
      </w:r>
      <w:r>
        <w:rPr>
          <w:rFonts w:ascii="Times New Roman" w:eastAsia="Times New Roman"/>
        </w:rPr>
        <w:t>88 </w:t>
      </w:r>
      <w:r>
        <w:rPr/>
        <w:t>周岁后的首个</w:t>
      </w:r>
      <w:r>
        <w:rPr>
          <w:b/>
        </w:rPr>
        <w:t>保险单</w:t>
      </w:r>
      <w:r>
        <w:rPr>
          <w:b/>
          <w:w w:val="95"/>
        </w:rPr>
        <w:t>周年日</w:t>
      </w:r>
      <w:r>
        <w:rPr>
          <w:rFonts w:ascii="Times New Roman" w:eastAsia="Times New Roman"/>
          <w:w w:val="95"/>
          <w:vertAlign w:val="superscript"/>
        </w:rPr>
        <w:t>4</w:t>
      </w:r>
      <w:r>
        <w:rPr>
          <w:rFonts w:ascii="Times New Roman" w:eastAsia="Times New Roman"/>
          <w:w w:val="95"/>
          <w:vertAlign w:val="baseline"/>
        </w:rPr>
      </w:r>
      <w:r>
        <w:rPr>
          <w:w w:val="95"/>
          <w:vertAlign w:val="baseline"/>
        </w:rPr>
        <w:t>零时止。本附加险合同的保险期间由您与我们约定并于保险单上载明。</w:t>
      </w:r>
    </w:p>
    <w:p>
      <w:pPr>
        <w:pStyle w:val="BodyText"/>
        <w:spacing w:before="0"/>
        <w:ind w:left="0"/>
        <w:rPr>
          <w:sz w:val="24"/>
        </w:rPr>
      </w:pPr>
    </w:p>
    <w:p>
      <w:pPr>
        <w:pStyle w:val="BodyText"/>
        <w:spacing w:before="6"/>
        <w:ind w:left="0"/>
        <w:rPr>
          <w:sz w:val="17"/>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8"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7"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before="22"/>
        <w:ind w:left="117" w:right="158" w:firstLine="435"/>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在本附加险合同有效期内，本附加险合同的基本保险金额等于主险合同的基本保险金额。</w:t>
      </w:r>
    </w:p>
    <w:p>
      <w:pPr>
        <w:pStyle w:val="BodyText"/>
        <w:spacing w:before="9"/>
        <w:ind w:left="117"/>
      </w:pPr>
      <w:r>
        <w:rPr/>
        <w:t>（</w:t>
      </w:r>
      <w:r>
        <w:rPr>
          <w:rFonts w:ascii="Times New Roman" w:eastAsia="Times New Roman"/>
        </w:rPr>
        <w:t>2</w:t>
      </w:r>
      <w:r>
        <w:rPr/>
        <w:t>）保险金额</w:t>
      </w:r>
    </w:p>
    <w:p>
      <w:pPr>
        <w:pStyle w:val="BodyText"/>
        <w:spacing w:before="0"/>
        <w:ind w:left="537"/>
      </w:pPr>
      <w:r>
        <w:rPr/>
        <w:t>本附加险合同的保险金额等于基本保险金额。</w:t>
      </w:r>
    </w:p>
    <w:p>
      <w:pPr>
        <w:pStyle w:val="BodyText"/>
        <w:spacing w:before="8"/>
        <w:ind w:left="0"/>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8"/>
      <w:bookmarkEnd w:id="8"/>
      <w:r>
        <w:rPr>
          <w:w w:val="95"/>
        </w:rPr>
        <w:t>保险责任</w:t>
      </w:r>
    </w:p>
    <w:p>
      <w:pPr>
        <w:pStyle w:val="BodyText"/>
        <w:spacing w:before="9"/>
        <w:ind w:left="537"/>
      </w:pPr>
      <w:r>
        <w:rPr/>
        <w:t>在本附加险合同有效期内，我们承担以下保险责任：</w:t>
      </w:r>
    </w:p>
    <w:p>
      <w:pPr>
        <w:pStyle w:val="BodyText"/>
        <w:spacing w:before="36"/>
        <w:ind w:left="117"/>
      </w:pPr>
      <w:r>
        <w:rPr/>
        <w:t>（</w:t>
      </w:r>
      <w:r>
        <w:rPr>
          <w:rFonts w:ascii="Times New Roman" w:eastAsia="Times New Roman"/>
        </w:rPr>
        <w:t>1</w:t>
      </w:r>
      <w:r>
        <w:rPr/>
        <w:t>）重大疾病保险金</w:t>
      </w:r>
    </w:p>
    <w:p>
      <w:pPr>
        <w:pStyle w:val="BodyText"/>
        <w:spacing w:before="20"/>
        <w:ind w:left="537"/>
      </w:pPr>
      <w:r>
        <w:rPr>
          <w:w w:val="95"/>
        </w:rPr>
        <w:t>自本附加险合同生效日或最后复效日（以较迟者为准）起</w:t>
      </w:r>
      <w:r>
        <w:rPr>
          <w:rFonts w:ascii="Times New Roman" w:eastAsia="Times New Roman"/>
          <w:w w:val="95"/>
        </w:rPr>
        <w:t>180</w:t>
      </w:r>
      <w:r>
        <w:rPr>
          <w:w w:val="95"/>
        </w:rPr>
        <w:t>天后，被保险人经</w:t>
      </w:r>
      <w:r>
        <w:rPr>
          <w:b/>
          <w:w w:val="95"/>
        </w:rPr>
        <w:t>医院</w:t>
      </w:r>
      <w:r>
        <w:rPr>
          <w:b/>
          <w:w w:val="95"/>
          <w:position w:val="11"/>
          <w:sz w:val="11"/>
        </w:rPr>
        <w:t>5</w:t>
      </w:r>
      <w:r>
        <w:rPr>
          <w:w w:val="95"/>
        </w:rPr>
        <w:t>确诊首次患一项或</w:t>
      </w:r>
    </w:p>
    <w:p>
      <w:pPr>
        <w:pStyle w:val="BodyText"/>
        <w:spacing w:before="0"/>
        <w:ind w:left="0"/>
        <w:rPr>
          <w:sz w:val="20"/>
        </w:rPr>
      </w:pPr>
    </w:p>
    <w:p>
      <w:pPr>
        <w:pStyle w:val="BodyText"/>
        <w:spacing w:before="0"/>
        <w:ind w:left="0"/>
        <w:rPr>
          <w:sz w:val="15"/>
        </w:rPr>
      </w:pPr>
      <w:r>
        <w:rPr/>
        <w:pict>
          <v:line style="position:absolute;mso-position-horizontal-relative:page;mso-position-vertical-relative:paragraph;z-index:1048;mso-wrap-distance-left:0;mso-wrap-distance-right:0" from="53.880001pt,12.08416pt" to="197.880001pt,12.08416pt" stroked="true" strokeweight=".53999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从保险合同生效日起的每个合同生效对应日到次年的合同生效对应日的前一日，为一个保单年度。从保险合同生效</w:t>
      </w:r>
    </w:p>
    <w:p>
      <w:pPr>
        <w:spacing w:line="233" w:lineRule="exact" w:before="0"/>
        <w:ind w:left="117" w:right="0" w:firstLine="0"/>
        <w:jc w:val="left"/>
        <w:rPr>
          <w:rFonts w:ascii="楷体" w:eastAsia="楷体" w:hint="eastAsia"/>
          <w:sz w:val="18"/>
        </w:rPr>
      </w:pPr>
      <w:r>
        <w:rPr>
          <w:rFonts w:ascii="楷体" w:eastAsia="楷体" w:hint="eastAsia"/>
          <w:sz w:val="18"/>
        </w:rPr>
        <w:t>日起到次年的合同生效对应日的前一日为第一个保单年度，以后依次为第二个保单年度、第三个保单年度等。</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3"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4"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line="233" w:lineRule="exact" w:before="0"/>
        <w:ind w:left="117" w:right="0" w:firstLine="0"/>
        <w:jc w:val="left"/>
        <w:rPr>
          <w:rFonts w:ascii="楷体" w:eastAsia="楷体" w:hint="eastAsia"/>
          <w:sz w:val="18"/>
        </w:rPr>
      </w:pPr>
      <w:r>
        <w:rPr>
          <w:rFonts w:ascii="Times New Roman" w:eastAsia="Times New Roman"/>
          <w:position w:val="8"/>
          <w:sz w:val="12"/>
        </w:rPr>
        <w:t>5</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before="0"/>
        <w:ind w:left="117" w:right="15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after="0"/>
        <w:jc w:val="left"/>
        <w:rPr>
          <w:rFonts w:ascii="楷体" w:eastAsia="楷体" w:hint="eastAsia"/>
          <w:sz w:val="18"/>
        </w:rPr>
        <w:sectPr>
          <w:footerReference w:type="default" r:id="rId6"/>
          <w:pgSz w:w="11910" w:h="16840"/>
          <w:pgMar w:footer="1673" w:header="0" w:top="1380" w:bottom="1860" w:left="960" w:right="760"/>
          <w:pgNumType w:start="2"/>
        </w:sectPr>
      </w:pPr>
    </w:p>
    <w:p>
      <w:pPr>
        <w:pStyle w:val="BodyText"/>
        <w:spacing w:line="256" w:lineRule="auto" w:before="45"/>
        <w:ind w:left="117" w:right="114" w:hanging="1"/>
      </w:pPr>
      <w:r>
        <w:rPr/>
        <w:t>多项本条款附件一所定义的重大疾病（但因遭受</w:t>
      </w:r>
      <w:r>
        <w:rPr>
          <w:b/>
        </w:rPr>
        <w:t>意外伤害事故</w:t>
      </w:r>
      <w:r>
        <w:rPr>
          <w:b/>
          <w:position w:val="11"/>
          <w:sz w:val="11"/>
        </w:rPr>
        <w:t>6</w:t>
      </w:r>
      <w:r>
        <w:rPr/>
        <w:t>导致重大疾病不受此</w:t>
      </w:r>
      <w:r>
        <w:rPr>
          <w:rFonts w:ascii="Times New Roman" w:eastAsia="Times New Roman"/>
        </w:rPr>
        <w:t>180</w:t>
      </w:r>
      <w:r>
        <w:rPr/>
        <w:t>天限制），我们按本</w:t>
      </w:r>
      <w:r>
        <w:rPr>
          <w:spacing w:val="-3"/>
        </w:rPr>
        <w:t>附加险合同约定的基本保险金额给付重大疾病保险金，除本附加险合同另有约定外，本附加险合同效力终止。</w:t>
      </w:r>
    </w:p>
    <w:p>
      <w:pPr>
        <w:pStyle w:val="BodyText"/>
        <w:spacing w:line="264" w:lineRule="auto" w:before="22"/>
        <w:ind w:left="117" w:right="25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天内（含第180天），被保险人经医院确诊患一项或多项本条款附件一所定义的重大疾病（但因遭受意外伤害事故导致重大疾病的除外），我们无息退还本附加险合同已交保险费，本附加险合同效力终止。</w:t>
      </w:r>
    </w:p>
    <w:p>
      <w:pPr>
        <w:pStyle w:val="BodyText"/>
        <w:spacing w:before="8"/>
        <w:ind w:left="0"/>
        <w:rPr>
          <w:sz w:val="26"/>
        </w:rPr>
      </w:pPr>
    </w:p>
    <w:p>
      <w:pPr>
        <w:pStyle w:val="BodyText"/>
        <w:spacing w:before="0"/>
        <w:ind w:left="117"/>
      </w:pPr>
      <w:r>
        <w:rPr/>
        <w:t>（</w:t>
      </w:r>
      <w:r>
        <w:rPr>
          <w:rFonts w:ascii="Times New Roman" w:eastAsia="Times New Roman"/>
        </w:rPr>
        <w:t>2</w:t>
      </w:r>
      <w:r>
        <w:rPr/>
        <w:t>）男</w:t>
      </w:r>
      <w:r>
        <w:rPr>
          <w:rFonts w:ascii="Times New Roman" w:eastAsia="Times New Roman"/>
        </w:rPr>
        <w:t>/</w:t>
      </w:r>
      <w:r>
        <w:rPr/>
        <w:t>女性重大疾病特别保险金</w:t>
      </w:r>
    </w:p>
    <w:p>
      <w:pPr>
        <w:pStyle w:val="BodyText"/>
        <w:spacing w:line="256" w:lineRule="auto" w:before="19"/>
        <w:ind w:left="117" w:right="114" w:firstLine="419"/>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天后，被保险人经医院确诊首次患一项或多项本条款附件一所定义的男/</w:t>
      </w:r>
      <w:r>
        <w:rPr>
          <w:spacing w:val="-17"/>
        </w:rPr>
        <w:t>女性重大疾病</w:t>
      </w:r>
      <w:r>
        <w:rPr/>
        <w:t>（</w:t>
      </w:r>
      <w:r>
        <w:rPr>
          <w:spacing w:val="-1"/>
        </w:rPr>
        <w:t>但因遭受意外伤害事故导致男</w:t>
      </w:r>
      <w:r>
        <w:rPr/>
        <w:t>/</w:t>
      </w:r>
      <w:r>
        <w:rPr>
          <w:spacing w:val="-1"/>
        </w:rPr>
        <w:t>女性重大疾病不受此</w:t>
      </w:r>
      <w:r>
        <w:rPr>
          <w:rFonts w:ascii="Times New Roman" w:eastAsia="Times New Roman"/>
          <w:spacing w:val="-1"/>
        </w:rPr>
        <w:t>1</w:t>
      </w:r>
      <w:r>
        <w:rPr>
          <w:rFonts w:ascii="Times New Roman" w:eastAsia="Times New Roman"/>
        </w:rPr>
        <w:t>80</w:t>
      </w:r>
      <w:r>
        <w:rPr>
          <w:spacing w:val="-1"/>
        </w:rPr>
        <w:t>天限制</w:t>
      </w:r>
      <w:r>
        <w:rPr>
          <w:spacing w:val="-86"/>
        </w:rPr>
        <w:t>）</w:t>
      </w:r>
      <w:r>
        <w:rPr/>
        <w:t>，</w:t>
      </w:r>
      <w:r>
        <w:rPr>
          <w:spacing w:val="-2"/>
        </w:rPr>
        <w:t>我们除给付重大疾病保险金外，还将按照本附加险合同约定的基本保险金额的百分之五十额外给付男</w:t>
      </w:r>
      <w:r>
        <w:rPr>
          <w:rFonts w:ascii="Times New Roman" w:eastAsia="Times New Roman"/>
        </w:rPr>
        <w:t>/</w:t>
      </w:r>
      <w:r>
        <w:rPr/>
        <w:t>女性重大疾病特别保险金，本附加险合同效力终止。</w:t>
      </w:r>
    </w:p>
    <w:p>
      <w:pPr>
        <w:pStyle w:val="BodyText"/>
        <w:spacing w:line="264" w:lineRule="auto"/>
        <w:ind w:left="117" w:right="256" w:firstLine="420"/>
      </w:pPr>
      <w:r>
        <w:rPr/>
        <w:t>自本附加险合同生效日或最后复效日（以较迟者为准）起</w:t>
      </w:r>
      <w:r>
        <w:rPr>
          <w:rFonts w:ascii="Times New Roman" w:eastAsia="Times New Roman"/>
        </w:rPr>
        <w:t>180</w:t>
      </w:r>
      <w:r>
        <w:rPr/>
        <w:t>天内（含第180天），被保险人经医院确诊患一项或多项本条款附件一所定义的男/女性重大疾病（但因遭受意外伤害事故导致男/女性重大疾病的除 </w:t>
      </w:r>
      <w:r>
        <w:rPr>
          <w:spacing w:val="-1"/>
        </w:rPr>
        <w:t>外），</w:t>
      </w:r>
      <w:r>
        <w:rPr/>
        <w:t>我们仅按照上述第（1）条规定无息退还本附加险合同已交保险费，本附加险合同效力终止。</w:t>
      </w:r>
    </w:p>
    <w:p>
      <w:pPr>
        <w:pStyle w:val="BodyText"/>
        <w:spacing w:before="7"/>
        <w:ind w:left="0"/>
        <w:rPr>
          <w:sz w:val="26"/>
        </w:rPr>
      </w:pPr>
    </w:p>
    <w:p>
      <w:pPr>
        <w:pStyle w:val="BodyText"/>
        <w:spacing w:before="0"/>
        <w:ind w:left="117"/>
      </w:pPr>
      <w:r>
        <w:rPr/>
        <w:t>（</w:t>
      </w:r>
      <w:r>
        <w:rPr>
          <w:rFonts w:ascii="Times New Roman" w:eastAsia="Times New Roman"/>
        </w:rPr>
        <w:t>3</w:t>
      </w:r>
      <w:r>
        <w:rPr/>
        <w:t>）早期治疗保险金</w:t>
      </w:r>
    </w:p>
    <w:p>
      <w:pPr>
        <w:pStyle w:val="BodyText"/>
        <w:spacing w:line="266" w:lineRule="auto" w:before="20"/>
        <w:ind w:left="117" w:right="218" w:firstLine="419"/>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天后，被保险人经医院确诊首次患一项或多</w:t>
      </w:r>
      <w:r>
        <w:rPr>
          <w:spacing w:val="-6"/>
        </w:rPr>
        <w:t>项本条款附件一所定义的早期治疗保险金疾病</w:t>
      </w:r>
      <w:r>
        <w:rPr/>
        <w:t>（但因遭受意外伤害事故导致的不受此180天限制</w:t>
      </w:r>
      <w:r>
        <w:rPr>
          <w:spacing w:val="-23"/>
        </w:rPr>
        <w:t>），</w:t>
      </w:r>
      <w:r>
        <w:rPr/>
        <w:t>我们按被保险人确诊时本附加险合同约定的基本保险金额的百分之二十给付早期治疗保险金，本项责任终止。给付早期治疗保险金后，主险合同的基本保险金额并不随之减少相应给付额度。</w:t>
      </w:r>
    </w:p>
    <w:p>
      <w:pPr>
        <w:pStyle w:val="BodyText"/>
        <w:spacing w:line="264" w:lineRule="auto" w:before="13"/>
        <w:ind w:left="117" w:right="25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天内（含第180天），被保险人经医院确诊患一项或多项本条款附件一中所定义的早期治疗保险金疾病（但因遭受意外伤害事故导致的除外），我们无息退还本附加险合同已交保险费，本附加险合同效力终止。</w:t>
      </w:r>
    </w:p>
    <w:p>
      <w:pPr>
        <w:pStyle w:val="BodyText"/>
        <w:spacing w:before="0"/>
        <w:ind w:left="0"/>
        <w:rPr>
          <w:sz w:val="25"/>
        </w:rPr>
      </w:pPr>
    </w:p>
    <w:p>
      <w:pPr>
        <w:pStyle w:val="BodyText"/>
        <w:spacing w:line="256" w:lineRule="auto" w:before="0"/>
        <w:ind w:left="117" w:right="217" w:firstLine="419"/>
        <w:jc w:val="both"/>
      </w:pPr>
      <w:r>
        <w:rPr>
          <w:spacing w:val="-1"/>
        </w:rPr>
        <w:t>如果被保险人自本附加险合同生效日或最后复效日</w:t>
      </w:r>
      <w:r>
        <w:rPr/>
        <w:t>（以较迟者为准</w:t>
      </w:r>
      <w:r>
        <w:rPr>
          <w:spacing w:val="-17"/>
        </w:rPr>
        <w:t>）</w:t>
      </w:r>
      <w:r>
        <w:rPr>
          <w:spacing w:val="-1"/>
        </w:rPr>
        <w:t>起 </w:t>
      </w:r>
      <w:r>
        <w:rPr>
          <w:rFonts w:ascii="Times New Roman" w:eastAsia="Times New Roman"/>
        </w:rPr>
        <w:t>180</w:t>
      </w:r>
      <w:r>
        <w:rPr>
          <w:rFonts w:ascii="Times New Roman" w:eastAsia="Times New Roman"/>
          <w:spacing w:val="50"/>
        </w:rPr>
        <w:t> </w:t>
      </w:r>
      <w:r>
        <w:rPr>
          <w:spacing w:val="-9"/>
        </w:rPr>
        <w:t>天内</w:t>
      </w:r>
      <w:r>
        <w:rPr/>
        <w:t>（含第</w:t>
      </w:r>
      <w:r>
        <w:rPr>
          <w:rFonts w:ascii="Times New Roman" w:eastAsia="Times New Roman"/>
        </w:rPr>
        <w:t>180</w:t>
      </w:r>
      <w:r>
        <w:rPr>
          <w:rFonts w:ascii="Times New Roman" w:eastAsia="Times New Roman"/>
          <w:spacing w:val="50"/>
        </w:rPr>
        <w:t> </w:t>
      </w:r>
      <w:r>
        <w:rPr/>
        <w:t>天</w:t>
      </w:r>
      <w:r>
        <w:rPr>
          <w:spacing w:val="-17"/>
        </w:rPr>
        <w:t>）</w:t>
      </w:r>
      <w:r>
        <w:rPr/>
        <w:t>因疾病身故，我们无息退还本附加险合同的已交保险费，本附加险合同效力终止。</w:t>
      </w:r>
    </w:p>
    <w:p>
      <w:pPr>
        <w:pStyle w:val="BodyText"/>
        <w:spacing w:before="3"/>
        <w:ind w:left="0"/>
        <w:rPr>
          <w:sz w:val="26"/>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5" w:id="9"/>
      <w:bookmarkEnd w:id="9"/>
      <w:r>
        <w:rPr>
          <w:w w:val="95"/>
        </w:rPr>
        <w:t>责任免除</w:t>
      </w:r>
    </w:p>
    <w:p>
      <w:pPr>
        <w:spacing w:before="0"/>
        <w:ind w:left="540" w:right="0" w:firstLine="0"/>
        <w:jc w:val="left"/>
        <w:rPr>
          <w:b/>
          <w:sz w:val="21"/>
        </w:rPr>
      </w:pPr>
      <w:r>
        <w:rPr>
          <w:b/>
          <w:w w:val="95"/>
          <w:sz w:val="21"/>
        </w:rPr>
        <w:t>因下列情形之一导致保险事故的，我们不承担给付保险金的责任：</w:t>
      </w:r>
    </w:p>
    <w:p>
      <w:pPr>
        <w:spacing w:before="37"/>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0"/>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的机动车；</w:t>
      </w:r>
    </w:p>
    <w:p>
      <w:pPr>
        <w:pStyle w:val="BodyText"/>
        <w:spacing w:before="5"/>
        <w:ind w:left="0"/>
        <w:rPr>
          <w:b/>
          <w:sz w:val="20"/>
        </w:rPr>
      </w:pPr>
      <w:r>
        <w:rPr/>
        <w:pict>
          <v:line style="position:absolute;mso-position-horizontal-relative:page;mso-position-vertical-relative:paragraph;z-index:1072;mso-wrap-distance-left:0;mso-wrap-distance-right:0" from="53.880001pt,15.587481pt" to="197.880001pt,15.587481pt" stroked="true" strokeweight=".53999pt" strokecolor="#000000">
            <v:stroke dashstyle="solid"/>
            <w10:wrap type="topAndBottom"/>
          </v:line>
        </w:pict>
      </w:r>
    </w:p>
    <w:p>
      <w:pPr>
        <w:spacing w:before="30"/>
        <w:ind w:left="117"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before="39"/>
        <w:ind w:left="117"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76"/>
        <w:ind w:left="117" w:right="0" w:firstLine="0"/>
        <w:jc w:val="left"/>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4" w:lineRule="exact" w:before="35"/>
        <w:ind w:left="117"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4" w:lineRule="exact" w:before="0"/>
        <w:ind w:left="117" w:right="0" w:firstLine="0"/>
        <w:jc w:val="left"/>
        <w:rPr>
          <w:rFonts w:ascii="楷体" w:eastAsia="楷体" w:hint="eastAsia"/>
          <w:sz w:val="18"/>
        </w:rPr>
      </w:pPr>
      <w:r>
        <w:rPr>
          <w:rFonts w:ascii="楷体" w:eastAsia="楷体" w:hint="eastAsia"/>
          <w:sz w:val="18"/>
        </w:rPr>
        <w:t>部门依据《道路交通安全法》的规定认定为饮酒后驾驶或醉酒后驾驶。</w:t>
      </w:r>
    </w:p>
    <w:p>
      <w:pPr>
        <w:spacing w:before="39"/>
        <w:ind w:left="117"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（1）没有取得驾驶资格；</w:t>
      </w:r>
    </w:p>
    <w:p>
      <w:pPr>
        <w:spacing w:before="76"/>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7" w:right="0" w:firstLine="0"/>
        <w:jc w:val="left"/>
        <w:rPr>
          <w:rFonts w:ascii="楷体" w:eastAsia="楷体" w:hint="eastAsia"/>
          <w:sz w:val="18"/>
        </w:rPr>
      </w:pPr>
      <w:r>
        <w:rPr>
          <w:rFonts w:ascii="楷体" w:eastAsia="楷体" w:hint="eastAsia"/>
          <w:sz w:val="18"/>
        </w:rPr>
        <w:t>（3）持审验不合格的驾驶证驾驶；</w:t>
      </w:r>
    </w:p>
    <w:p>
      <w:pPr>
        <w:spacing w:before="35"/>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after="0"/>
        <w:jc w:val="left"/>
        <w:rPr>
          <w:rFonts w:ascii="楷体" w:eastAsia="楷体" w:hint="eastAsia"/>
          <w:sz w:val="18"/>
        </w:rPr>
        <w:sectPr>
          <w:pgSz w:w="11910" w:h="16840"/>
          <w:pgMar w:header="0" w:footer="1673" w:top="1340" w:bottom="1880" w:left="960" w:right="700"/>
        </w:sectPr>
      </w:pPr>
    </w:p>
    <w:p>
      <w:pPr>
        <w:pStyle w:val="Heading1"/>
        <w:spacing w:before="65"/>
        <w:ind w:left="117" w:firstLine="0"/>
      </w:pPr>
      <w:r>
        <w:rPr>
          <w:spacing w:val="0"/>
          <w:w w:val="99"/>
        </w:rPr>
        <w:t>（</w:t>
      </w:r>
      <w:r>
        <w:rPr>
          <w:rFonts w:ascii="Times New Roman" w:eastAsia="Times New Roman"/>
        </w:rPr>
        <w:t>5</w:t>
      </w:r>
      <w:r>
        <w:rPr>
          <w:spacing w:val="0"/>
          <w:w w:val="99"/>
        </w:rPr>
        <w:t>）</w:t>
      </w:r>
      <w:r>
        <w:rPr>
          <w:w w:val="99"/>
        </w:rPr>
        <w:t>被保险人感染艾滋病病毒或患艾滋病</w:t>
      </w:r>
      <w:r>
        <w:rPr>
          <w:spacing w:val="-1"/>
        </w:rPr>
        <w:t> </w:t>
      </w:r>
      <w:r>
        <w:rPr>
          <w:rFonts w:ascii="Times New Roman" w:eastAsia="Times New Roman"/>
          <w:w w:val="97"/>
          <w:vertAlign w:val="superscript"/>
        </w:rPr>
        <w:t>11</w:t>
      </w:r>
      <w:r>
        <w:rPr>
          <w:rFonts w:ascii="Times New Roman" w:eastAsia="Times New Roman"/>
          <w:w w:val="97"/>
          <w:vertAlign w:val="baseline"/>
        </w:rPr>
      </w:r>
      <w:r>
        <w:rPr>
          <w:spacing w:val="0"/>
          <w:w w:val="99"/>
          <w:vertAlign w:val="baseline"/>
        </w:rPr>
        <w:t>（</w:t>
      </w:r>
      <w:r>
        <w:rPr>
          <w:w w:val="99"/>
          <w:vertAlign w:val="baseline"/>
        </w:rPr>
        <w:t>本附加险合同另有约定的除外</w:t>
      </w:r>
      <w:r>
        <w:rPr>
          <w:spacing w:val="-105"/>
          <w:w w:val="99"/>
          <w:vertAlign w:val="baseline"/>
        </w:rPr>
        <w:t>）</w:t>
      </w:r>
      <w:r>
        <w:rPr>
          <w:w w:val="99"/>
          <w:vertAlign w:val="baseline"/>
        </w:rPr>
        <w:t>；</w:t>
      </w:r>
    </w:p>
    <w:p>
      <w:pPr>
        <w:spacing w:before="20"/>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0"/>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spacing w:line="261" w:lineRule="auto" w:before="30"/>
        <w:ind w:left="117" w:right="177" w:firstLine="412"/>
        <w:jc w:val="left"/>
        <w:rPr>
          <w:b/>
          <w:sz w:val="21"/>
        </w:rPr>
      </w:pPr>
      <w:r>
        <w:rPr>
          <w:b/>
          <w:sz w:val="21"/>
        </w:rPr>
        <w:t>发生上述第１项情形导致保险事故的，本附加险合同效力终止，我们向具有受益权的受益人退还本附加</w:t>
      </w:r>
      <w:r>
        <w:rPr>
          <w:b/>
          <w:w w:val="95"/>
          <w:sz w:val="21"/>
        </w:rPr>
        <w:t>险合同的现金价值</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w:t>
      </w:r>
    </w:p>
    <w:p>
      <w:pPr>
        <w:spacing w:line="263" w:lineRule="exact" w:before="0"/>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0"/>
      <w:bookmarkEnd w:id="10"/>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1"/>
      <w:bookmarkEnd w:id="11"/>
      <w:r>
        <w:rPr>
          <w:w w:val="95"/>
        </w:rPr>
        <w:t>受益人</w:t>
      </w:r>
    </w:p>
    <w:p>
      <w:pPr>
        <w:pStyle w:val="BodyText"/>
        <w:spacing w:before="0"/>
        <w:ind w:left="537"/>
      </w:pPr>
      <w:r>
        <w:rPr/>
        <w:t>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2"/>
      <w:bookmarkEnd w:id="12"/>
      <w:r>
        <w:rPr>
          <w:w w:val="95"/>
        </w:rPr>
        <w:t>保险金申请</w:t>
      </w:r>
    </w:p>
    <w:p>
      <w:pPr>
        <w:pStyle w:val="BodyText"/>
        <w:spacing w:line="247" w:lineRule="auto" w:before="9"/>
        <w:ind w:left="117" w:right="131" w:firstLine="420"/>
      </w:pPr>
      <w:r>
        <w:rPr/>
        <w:t>在申请重大疾病保险金、男</w:t>
      </w:r>
      <w:r>
        <w:rPr>
          <w:rFonts w:ascii="Times New Roman" w:eastAsia="Times New Roman"/>
        </w:rPr>
        <w:t>/</w:t>
      </w:r>
      <w:r>
        <w:rPr/>
        <w:t>女性重大疾病特别保险金或早期治疗保险金时，申请人须填写保险金给付申请书，并提供下列证明和资料：</w:t>
      </w:r>
    </w:p>
    <w:p>
      <w:pPr>
        <w:pStyle w:val="BodyText"/>
        <w:spacing w:before="18"/>
        <w:ind w:left="117"/>
      </w:pPr>
      <w:r>
        <w:rPr/>
        <w:t>（</w:t>
      </w:r>
      <w:r>
        <w:rPr>
          <w:rFonts w:ascii="Times New Roman" w:eastAsia="Times New Roman"/>
        </w:rPr>
        <w:t>1</w:t>
      </w:r>
      <w:r>
        <w:rPr/>
        <w:t>）保险合同或其他保险凭证；</w:t>
      </w:r>
    </w:p>
    <w:p>
      <w:pPr>
        <w:spacing w:before="8"/>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15</w:t>
      </w:r>
      <w:r>
        <w:rPr>
          <w:rFonts w:ascii="Times New Roman" w:eastAsia="Times New Roman"/>
          <w:w w:val="95"/>
          <w:sz w:val="21"/>
          <w:vertAlign w:val="baseline"/>
        </w:rPr>
      </w:r>
      <w:r>
        <w:rPr>
          <w:w w:val="95"/>
          <w:sz w:val="21"/>
          <w:vertAlign w:val="baseline"/>
        </w:rPr>
        <w:t>；</w:t>
      </w:r>
    </w:p>
    <w:p>
      <w:pPr>
        <w:pStyle w:val="BodyText"/>
        <w:spacing w:before="8"/>
        <w:ind w:left="117"/>
      </w:pPr>
      <w:r>
        <w:rPr/>
        <w:t>（</w:t>
      </w:r>
      <w:r>
        <w:rPr>
          <w:rFonts w:ascii="Times New Roman" w:eastAsia="Times New Roman"/>
        </w:rPr>
        <w:t>3</w:t>
      </w:r>
      <w:r>
        <w:rPr/>
        <w:t>）医院出具的附有被保险人病理、血液及其他科学方法检验报告等诊断证明文件；</w:t>
      </w:r>
    </w:p>
    <w:p>
      <w:pPr>
        <w:pStyle w:val="BodyText"/>
        <w:spacing w:before="8"/>
        <w:ind w:left="117"/>
      </w:pPr>
      <w:r>
        <w:rPr/>
        <w:t>（</w:t>
      </w:r>
      <w:r>
        <w:rPr>
          <w:rFonts w:ascii="Times New Roman" w:eastAsia="Times New Roman"/>
        </w:rPr>
        <w:t>4</w:t>
      </w:r>
      <w:r>
        <w:rPr/>
        <w:t>）所能提供的与确认保险事故的性质、原因等有关的其他证明和资料。</w:t>
      </w:r>
    </w:p>
    <w:p>
      <w:pPr>
        <w:pStyle w:val="BodyText"/>
        <w:spacing w:before="7"/>
        <w:ind w:left="0"/>
        <w:rPr>
          <w:sz w:val="23"/>
        </w:rPr>
      </w:pPr>
    </w:p>
    <w:p>
      <w:pPr>
        <w:pStyle w:val="BodyText"/>
        <w:spacing w:before="0"/>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ind w:left="0"/>
        <w:rPr>
          <w:sz w:val="22"/>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1" w:id="13"/>
      <w:bookmarkEnd w:id="13"/>
      <w:r>
        <w:rPr>
          <w:w w:val="95"/>
        </w:rPr>
        <w:t>诉讼时效</w:t>
      </w:r>
    </w:p>
    <w:p>
      <w:pPr>
        <w:pStyle w:val="BodyText"/>
        <w:spacing w:before="9"/>
        <w:ind w:left="433"/>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0" w:id="14"/>
      <w:bookmarkEnd w:id="14"/>
      <w:r>
        <w:rPr>
          <w:w w:val="95"/>
        </w:rPr>
        <w:t>如何交纳保险费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9" w:id="15"/>
      <w:bookmarkEnd w:id="15"/>
      <w:r>
        <w:rPr>
          <w:w w:val="95"/>
        </w:rPr>
        <w:t>保险费的交纳</w:t>
      </w:r>
    </w:p>
    <w:p>
      <w:pPr>
        <w:pStyle w:val="BodyText"/>
        <w:spacing w:line="261" w:lineRule="auto" w:before="9"/>
        <w:ind w:left="553" w:right="1474" w:hanging="16"/>
      </w:pPr>
      <w:r>
        <w:rPr/>
        <w:t>本附加险合同保险费的交费方式和交费期间由您和我们约定，并在保险单或批注上列明。您在交纳了首期保险费后，应在保险费约定支付日交纳其余各期的保险费。</w:t>
      </w:r>
    </w:p>
    <w:p>
      <w:pPr>
        <w:pStyle w:val="BodyText"/>
        <w:spacing w:before="4"/>
        <w:ind w:left="0"/>
        <w:rPr>
          <w:sz w:val="24"/>
        </w:rPr>
      </w:pPr>
      <w:r>
        <w:rPr/>
        <w:pict>
          <v:line style="position:absolute;mso-position-horizontal-relative:page;mso-position-vertical-relative:paragraph;z-index:1096;mso-wrap-distance-left:0;mso-wrap-distance-right:0" from="53.880001pt,18.196470pt" to="549.180001pt,18.196470pt" stroked="true" strokeweight=".54004pt" strokecolor="#000000">
            <v:stroke dashstyle="solid"/>
            <w10:wrap type="topAndBottom"/>
          </v:line>
        </w:pict>
      </w:r>
    </w:p>
    <w:p>
      <w:pPr>
        <w:spacing w:before="71"/>
        <w:ind w:left="117"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（1）未依法取得行驶证的；</w:t>
      </w:r>
    </w:p>
    <w:p>
      <w:pPr>
        <w:spacing w:before="76"/>
        <w:ind w:left="477" w:right="0" w:firstLine="0"/>
        <w:jc w:val="left"/>
        <w:rPr>
          <w:rFonts w:ascii="楷体" w:eastAsia="楷体" w:hint="eastAsia"/>
          <w:sz w:val="18"/>
        </w:rPr>
      </w:pPr>
      <w:r>
        <w:rPr>
          <w:rFonts w:ascii="楷体" w:eastAsia="楷体" w:hint="eastAsia"/>
          <w:sz w:val="18"/>
        </w:rPr>
        <w:t>（2）机动车被依法注销登记的；</w:t>
      </w:r>
    </w:p>
    <w:p>
      <w:pPr>
        <w:spacing w:before="76"/>
        <w:ind w:left="477" w:right="0" w:firstLine="0"/>
        <w:jc w:val="left"/>
        <w:rPr>
          <w:rFonts w:ascii="楷体" w:eastAsia="楷体" w:hint="eastAsia"/>
          <w:sz w:val="18"/>
        </w:rPr>
      </w:pPr>
      <w:r>
        <w:rPr>
          <w:rFonts w:ascii="楷体" w:eastAsia="楷体" w:hint="eastAsia"/>
          <w:sz w:val="18"/>
        </w:rPr>
        <w:t>（3）未依法按时进行或通过机动车安全技术检验。</w:t>
      </w:r>
    </w:p>
    <w:p>
      <w:pPr>
        <w:spacing w:line="237" w:lineRule="auto" w:before="37"/>
        <w:ind w:left="117" w:right="140" w:firstLine="0"/>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before="10"/>
        <w:ind w:left="117" w:right="0" w:firstLine="0"/>
        <w:jc w:val="both"/>
        <w:rPr>
          <w:rFonts w:ascii="楷体" w:eastAsia="楷体" w:hint="eastAsia"/>
          <w:sz w:val="18"/>
        </w:rPr>
      </w:pPr>
      <w:r>
        <w:rPr>
          <w:rFonts w:ascii="Times New Roman" w:eastAsia="Times New Roman"/>
          <w:position w:val="8"/>
          <w:sz w:val="12"/>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before="4"/>
        <w:ind w:left="117" w:right="0" w:firstLine="0"/>
        <w:jc w:val="both"/>
        <w:rPr>
          <w:rFonts w:ascii="楷体" w:eastAsia="楷体" w:hint="eastAsia"/>
          <w:sz w:val="18"/>
        </w:rPr>
      </w:pPr>
      <w:r>
        <w:rPr>
          <w:rFonts w:ascii="楷体" w:eastAsia="楷体" w:hint="eastAsia"/>
          <w:sz w:val="18"/>
        </w:rPr>
        <w:t>垂直传递的特征。</w:t>
      </w:r>
    </w:p>
    <w:p>
      <w:pPr>
        <w:spacing w:before="4"/>
        <w:ind w:left="117"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4"/>
        <w:ind w:left="117" w:right="0" w:firstLine="0"/>
        <w:jc w:val="both"/>
        <w:rPr>
          <w:rFonts w:ascii="楷体" w:eastAsia="楷体" w:hint="eastAsia"/>
          <w:sz w:val="18"/>
        </w:rPr>
      </w:pPr>
      <w:r>
        <w:rPr>
          <w:rFonts w:ascii="楷体" w:eastAsia="楷体" w:hint="eastAsia"/>
          <w:sz w:val="18"/>
        </w:rPr>
        <w:t>照世界卫生组织《疾病和有关健康问题的国际统计分类》（ICD-10）确定。</w:t>
      </w:r>
    </w:p>
    <w:p>
      <w:pPr>
        <w:spacing w:line="230" w:lineRule="exact" w:before="0"/>
        <w:ind w:left="117" w:right="0" w:firstLine="0"/>
        <w:jc w:val="both"/>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现金价值：</w:t>
      </w:r>
      <w:r>
        <w:rPr>
          <w:rFonts w:ascii="楷体" w:eastAsia="楷体" w:hint="eastAsia"/>
          <w:w w:val="95"/>
          <w:sz w:val="18"/>
        </w:rPr>
        <w:t>指本主险合同所具有的价值，通常体现为解除合同时，根据精算原理计算的，由本公司退还的那部分金额。</w:t>
      </w:r>
    </w:p>
    <w:p>
      <w:pPr>
        <w:spacing w:line="233" w:lineRule="exact" w:before="0"/>
        <w:ind w:left="117"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both"/>
        <w:rPr>
          <w:rFonts w:ascii="楷体" w:eastAsia="楷体" w:hint="eastAsia"/>
          <w:sz w:val="18"/>
        </w:rPr>
      </w:pPr>
      <w:r>
        <w:rPr>
          <w:rFonts w:ascii="楷体" w:eastAsia="楷体" w:hint="eastAsia"/>
          <w:sz w:val="18"/>
        </w:rPr>
        <w:t>证、士兵证等证件。</w:t>
      </w:r>
    </w:p>
    <w:p>
      <w:pPr>
        <w:spacing w:after="0" w:line="235" w:lineRule="exact"/>
        <w:jc w:val="both"/>
        <w:rPr>
          <w:rFonts w:ascii="楷体" w:eastAsia="楷体" w:hint="eastAsia"/>
          <w:sz w:val="18"/>
        </w:rPr>
        <w:sectPr>
          <w:pgSz w:w="11910" w:h="16840"/>
          <w:pgMar w:header="0" w:footer="1673" w:top="1320" w:bottom="1880" w:left="960" w:right="740"/>
        </w:sectPr>
      </w:pPr>
    </w:p>
    <w:p>
      <w:pPr>
        <w:pStyle w:val="BodyText"/>
        <w:spacing w:line="261" w:lineRule="auto" w:before="15"/>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6"/>
        <w:ind w:left="117" w:right="218" w:firstLine="420"/>
        <w:jc w:val="both"/>
      </w:pPr>
      <w:r>
        <w:rPr/>
        <w:t>我们进行保险费率调整后，您须按调整后的保险费率交纳续期保险费，保险费率调整前您已经交纳的保险费不受影响。</w:t>
      </w:r>
    </w:p>
    <w:p>
      <w:pPr>
        <w:pStyle w:val="BodyText"/>
        <w:spacing w:before="5"/>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8" w:id="16"/>
      <w:bookmarkEnd w:id="16"/>
      <w:r>
        <w:rPr>
          <w:w w:val="95"/>
        </w:rPr>
        <w:t>合同效力的中止与恢复</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7" w:id="17"/>
      <w:bookmarkEnd w:id="17"/>
      <w:r>
        <w:rPr>
          <w:w w:val="95"/>
        </w:rPr>
        <w:t>合同效力的中止</w:t>
      </w:r>
    </w:p>
    <w:p>
      <w:pPr>
        <w:pStyle w:val="BodyText"/>
        <w:spacing w:before="9"/>
        <w:ind w:left="537"/>
      </w:pPr>
      <w:r>
        <w:rPr/>
        <w:t>在本附加险合同效力中止期间，我们不承担保险责任。</w:t>
      </w:r>
    </w:p>
    <w:p>
      <w:pPr>
        <w:pStyle w:val="BodyText"/>
        <w:spacing w:before="10"/>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06" w:id="18"/>
      <w:bookmarkEnd w:id="18"/>
      <w:r>
        <w:rPr>
          <w:w w:val="95"/>
        </w:rPr>
        <w:t>合同效力的恢复</w:t>
      </w:r>
    </w:p>
    <w:p>
      <w:pPr>
        <w:pStyle w:val="BodyText"/>
        <w:spacing w:line="264" w:lineRule="auto" w:before="0"/>
        <w:ind w:left="117" w:right="218" w:firstLine="368"/>
        <w:jc w:val="both"/>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56" w:lineRule="auto" w:before="16"/>
        <w:ind w:left="117" w:right="218" w:firstLine="368"/>
        <w:jc w:val="both"/>
      </w:pPr>
      <w:r>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ind w:left="0"/>
        <w:rPr>
          <w:sz w:val="25"/>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19"/>
      <w:bookmarkEnd w:id="19"/>
      <w:r>
        <w:rPr>
          <w:w w:val="95"/>
        </w:rPr>
        <w:t>其他事项</w:t>
      </w:r>
    </w:p>
    <w:p>
      <w:pPr>
        <w:pStyle w:val="BodyText"/>
        <w:spacing w:before="10"/>
        <w:ind w:left="0"/>
        <w:rPr>
          <w:b/>
          <w:sz w:val="20"/>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4" w:id="20"/>
      <w:bookmarkEnd w:id="20"/>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9"/>
        <w:ind w:left="117" w:right="111" w:firstLine="420"/>
      </w:pPr>
      <w:r>
        <w:rPr>
          <w:spacing w:val="-5"/>
        </w:rPr>
        <w:t>① 您申报的被保险人年龄不真实，并且其真实年龄不符合本附加险合同约定投保年龄限制，对于未发生</w:t>
      </w:r>
      <w:r>
        <w:rPr>
          <w:spacing w:val="-9"/>
        </w:rPr>
        <w:t>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7" w:right="219" w:firstLine="420"/>
        <w:jc w:val="both"/>
      </w:pPr>
      <w:r>
        <w:rPr>
          <w:spacing w:val="-4"/>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17" w:right="219" w:firstLine="420"/>
        <w:jc w:val="both"/>
      </w:pPr>
      <w:r>
        <w:rPr>
          <w:spacing w:val="-4"/>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3" w:id="21"/>
      <w:bookmarkEnd w:id="21"/>
      <w:r>
        <w:rPr>
          <w:w w:val="95"/>
        </w:rPr>
        <w:t>扣除款项</w:t>
      </w:r>
    </w:p>
    <w:p>
      <w:pPr>
        <w:pStyle w:val="BodyText"/>
        <w:spacing w:line="261" w:lineRule="auto" w:before="9"/>
        <w:ind w:left="117" w:right="218"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2" w:id="22"/>
      <w:bookmarkEnd w:id="22"/>
      <w:r>
        <w:rPr>
          <w:w w:val="95"/>
        </w:rPr>
        <w:t>职业或工种变更</w:t>
      </w:r>
    </w:p>
    <w:p>
      <w:pPr>
        <w:pStyle w:val="BodyText"/>
        <w:spacing w:line="261" w:lineRule="auto" w:before="9"/>
        <w:ind w:left="117" w:right="245" w:firstLine="420"/>
        <w:jc w:val="both"/>
      </w:pPr>
      <w:r>
        <w:rPr/>
        <w:t>被保险人变更职业或工种时，您或被保险人应于被保险人变更职业或工种之日起十日内以书面形式通知我们。若职业或工种的变更导致续期保险费的调整，请您按调整后的保险费交付以后各期保险费。如果被保险人变更的职业或工种，按照我们的职业和工种分类，在拒保范围内的，我们有权解除本附加险合同，并向您退还本附加险合同的现金价值，如果我们已给付过任何保险金，则不退还。</w:t>
      </w:r>
    </w:p>
    <w:p>
      <w:pPr>
        <w:spacing w:after="0" w:line="261" w:lineRule="auto"/>
        <w:jc w:val="both"/>
        <w:sectPr>
          <w:pgSz w:w="11910" w:h="16840"/>
          <w:pgMar w:header="0" w:footer="1673" w:top="1380" w:bottom="1920" w:left="960" w:right="700"/>
        </w:sectPr>
      </w:pPr>
    </w:p>
    <w:p>
      <w:pPr>
        <w:pStyle w:val="Heading1"/>
        <w:numPr>
          <w:ilvl w:val="1"/>
          <w:numId w:val="2"/>
        </w:numPr>
        <w:tabs>
          <w:tab w:pos="591" w:val="left" w:leader="none"/>
          <w:tab w:pos="592" w:val="left" w:leader="none"/>
        </w:tabs>
        <w:spacing w:line="240" w:lineRule="auto" w:before="15" w:after="0"/>
        <w:ind w:left="591" w:right="0" w:hanging="474"/>
        <w:jc w:val="left"/>
      </w:pPr>
      <w:bookmarkStart w:name="_TOC_250001" w:id="23"/>
      <w:bookmarkEnd w:id="23"/>
      <w:r>
        <w:rPr>
          <w:w w:val="95"/>
        </w:rPr>
        <w:t>与主险合同效力的关系</w:t>
      </w:r>
    </w:p>
    <w:p>
      <w:pPr>
        <w:pStyle w:val="BodyText"/>
        <w:spacing w:before="9"/>
        <w:ind w:left="537"/>
      </w:pP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spacing w:before="1"/>
        <w:ind w:left="0"/>
        <w:rPr>
          <w:sz w:val="22"/>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0" w:id="24"/>
      <w:bookmarkEnd w:id="24"/>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）宽限期</w:t>
      </w:r>
    </w:p>
    <w:p>
      <w:pPr>
        <w:pStyle w:val="BodyText"/>
        <w:spacing w:line="264" w:lineRule="exact" w:before="0"/>
        <w:ind w:left="117"/>
      </w:pPr>
      <w:r>
        <w:rPr/>
        <w:t>（</w:t>
      </w:r>
      <w:r>
        <w:rPr>
          <w:rFonts w:ascii="Times New Roman" w:eastAsia="Times New Roman"/>
        </w:rPr>
        <w:t>5</w:t>
      </w:r>
      <w:r>
        <w:rPr/>
        <w:t>）保单贷款</w:t>
      </w:r>
    </w:p>
    <w:p>
      <w:pPr>
        <w:pStyle w:val="BodyText"/>
        <w:spacing w:line="264" w:lineRule="exact" w:before="0"/>
        <w:ind w:left="117"/>
      </w:pPr>
      <w:r>
        <w:rPr/>
        <w:t>（</w:t>
      </w:r>
      <w:r>
        <w:rPr>
          <w:rFonts w:ascii="Times New Roman" w:eastAsia="Times New Roman"/>
        </w:rPr>
        <w:t>6</w:t>
      </w:r>
      <w:r>
        <w:rPr/>
        <w:t>）您解除合同的手续及风险</w:t>
      </w:r>
    </w:p>
    <w:p>
      <w:pPr>
        <w:pStyle w:val="BodyText"/>
        <w:spacing w:line="264" w:lineRule="exact" w:before="0"/>
        <w:ind w:left="117"/>
      </w:pPr>
      <w:r>
        <w:rPr/>
        <w:t>（</w:t>
      </w:r>
      <w:r>
        <w:rPr>
          <w:rFonts w:ascii="Times New Roman" w:eastAsia="Times New Roman"/>
        </w:rPr>
        <w:t>7</w:t>
      </w:r>
      <w:r>
        <w:rPr/>
        <w:t>）明确说明与如实告知</w:t>
      </w:r>
    </w:p>
    <w:p>
      <w:pPr>
        <w:pStyle w:val="BodyText"/>
        <w:spacing w:line="264" w:lineRule="exact" w:before="0"/>
        <w:ind w:left="117"/>
      </w:pPr>
      <w:r>
        <w:rPr/>
        <w:t>（</w:t>
      </w:r>
      <w:r>
        <w:rPr>
          <w:rFonts w:ascii="Times New Roman" w:eastAsia="Times New Roman"/>
        </w:rPr>
        <w:t>8</w:t>
      </w:r>
      <w:r>
        <w:rPr/>
        <w:t>）我们行使合同解除权的限制</w:t>
      </w:r>
    </w:p>
    <w:p>
      <w:pPr>
        <w:pStyle w:val="BodyText"/>
        <w:spacing w:line="264" w:lineRule="exact" w:before="0"/>
        <w:ind w:left="117"/>
      </w:pPr>
      <w:r>
        <w:rPr/>
        <w:t>（</w:t>
      </w:r>
      <w:r>
        <w:rPr>
          <w:rFonts w:ascii="Times New Roman" w:eastAsia="Times New Roman"/>
        </w:rPr>
        <w:t>9</w:t>
      </w:r>
      <w:r>
        <w:rPr/>
        <w:t>）合同内容变更</w:t>
      </w:r>
    </w:p>
    <w:p>
      <w:pPr>
        <w:pStyle w:val="BodyText"/>
        <w:spacing w:line="264" w:lineRule="exact" w:before="0"/>
        <w:ind w:left="117"/>
      </w:pPr>
      <w:r>
        <w:rPr/>
        <w:t>（</w:t>
      </w:r>
      <w:r>
        <w:rPr>
          <w:rFonts w:ascii="Times New Roman" w:eastAsia="Times New Roman"/>
        </w:rPr>
        <w:t>10</w:t>
      </w:r>
      <w:r>
        <w:rPr/>
        <w:t>）联系方式变更</w:t>
      </w:r>
    </w:p>
    <w:p>
      <w:pPr>
        <w:pStyle w:val="BodyText"/>
        <w:spacing w:line="277" w:lineRule="exact" w:before="0"/>
        <w:ind w:left="117"/>
      </w:pPr>
      <w:r>
        <w:rPr/>
        <w:t>（</w:t>
      </w:r>
      <w:r>
        <w:rPr>
          <w:rFonts w:ascii="Times New Roman" w:eastAsia="Times New Roman"/>
        </w:rPr>
        <w:t>11</w:t>
      </w:r>
      <w:r>
        <w:rPr/>
        <w:t>）争议处理</w:t>
      </w:r>
    </w:p>
    <w:p>
      <w:pPr>
        <w:pStyle w:val="BodyText"/>
        <w:spacing w:before="1"/>
        <w:ind w:left="0"/>
        <w:rPr>
          <w:sz w:val="18"/>
        </w:rPr>
      </w:pPr>
    </w:p>
    <w:p>
      <w:pPr>
        <w:pStyle w:val="BodyText"/>
        <w:spacing w:before="0"/>
        <w:ind w:left="537"/>
      </w:pPr>
      <w:r>
        <w:rPr/>
        <w:t>若主险合同与本附加险合同的条款相抵触的，以本附加险合同的条款为准。</w:t>
      </w:r>
    </w:p>
    <w:p>
      <w:pPr>
        <w:pStyle w:val="BodyText"/>
        <w:spacing w:before="3"/>
        <w:ind w:left="0"/>
        <w:rPr>
          <w:sz w:val="25"/>
        </w:rPr>
      </w:pPr>
    </w:p>
    <w:p>
      <w:pPr>
        <w:pStyle w:val="Heading1"/>
        <w:ind w:left="225" w:right="1327" w:hanging="108"/>
      </w:pPr>
      <w:r>
        <w:rPr>
          <w:w w:val="95"/>
        </w:rPr>
        <w:t>附件一：重大疾病名称及定义，男</w:t>
      </w:r>
      <w:r>
        <w:rPr>
          <w:rFonts w:ascii="Times New Roman" w:eastAsia="Times New Roman"/>
          <w:w w:val="95"/>
        </w:rPr>
        <w:t>/</w:t>
      </w:r>
      <w:r>
        <w:rPr>
          <w:w w:val="95"/>
        </w:rPr>
        <w:t>女性重大疾病名称及定义和早期治疗保险金疾病名称及定义   重大疾病名称及定义：</w:t>
      </w:r>
    </w:p>
    <w:p>
      <w:pPr>
        <w:spacing w:line="273" w:lineRule="auto" w:before="36"/>
        <w:ind w:left="225" w:right="951" w:firstLine="0"/>
        <w:jc w:val="both"/>
        <w:rPr>
          <w:b/>
          <w:sz w:val="21"/>
        </w:rPr>
      </w:pPr>
      <w:r>
        <w:rPr>
          <w:b/>
          <w:sz w:val="21"/>
        </w:rPr>
        <w:t>（</w:t>
      </w:r>
      <w:r>
        <w:rPr>
          <w:b/>
          <w:spacing w:val="-12"/>
          <w:sz w:val="21"/>
        </w:rPr>
        <w:t>包括以下 </w:t>
      </w:r>
      <w:r>
        <w:rPr>
          <w:b/>
          <w:sz w:val="21"/>
        </w:rPr>
        <w:t>40</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26-40</w:t>
      </w:r>
      <w:r>
        <w:rPr>
          <w:b/>
          <w:spacing w:val="-9"/>
          <w:sz w:val="21"/>
        </w:rPr>
        <w:t> 种为我们新增的重大</w:t>
      </w:r>
      <w:r>
        <w:rPr>
          <w:b/>
          <w:spacing w:val="-9"/>
          <w:w w:val="95"/>
          <w:sz w:val="21"/>
        </w:rPr>
        <w:t>疾病。以下所有疾病应由专科医生</w:t>
      </w:r>
      <w:r>
        <w:rPr>
          <w:b/>
          <w:spacing w:val="-9"/>
          <w:w w:val="95"/>
          <w:position w:val="11"/>
          <w:sz w:val="11"/>
        </w:rPr>
        <w:t>16</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2"/>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7"/>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jc w:val="both"/>
      </w:pPr>
      <w:r>
        <w:rPr/>
        <w:t>足下列至少三项条件：</w:t>
      </w:r>
    </w:p>
    <w:p>
      <w:pPr>
        <w:pStyle w:val="BodyText"/>
        <w:spacing w:before="37"/>
        <w:jc w:val="both"/>
      </w:pPr>
      <w:r>
        <w:rPr/>
        <w:t>（</w:t>
      </w:r>
      <w:r>
        <w:rPr>
          <w:rFonts w:ascii="Times New Roman" w:eastAsia="Times New Roman"/>
        </w:rPr>
        <w:t>1</w:t>
      </w:r>
      <w:r>
        <w:rPr/>
        <w:t>）典型临床表现，例如急性胸痛等；</w:t>
      </w:r>
    </w:p>
    <w:p>
      <w:pPr>
        <w:pStyle w:val="BodyText"/>
        <w:jc w:val="both"/>
      </w:pPr>
      <w:r>
        <w:rPr/>
        <w:t>（</w:t>
      </w:r>
      <w:r>
        <w:rPr>
          <w:rFonts w:ascii="Times New Roman" w:eastAsia="Times New Roman"/>
        </w:rPr>
        <w:t>2</w:t>
      </w:r>
      <w:r>
        <w:rPr/>
        <w:t>）新近的心电图改变提示急性心肌梗塞；</w:t>
      </w:r>
    </w:p>
    <w:p>
      <w:pPr>
        <w:pStyle w:val="BodyText"/>
        <w:spacing w:before="3"/>
        <w:ind w:left="0"/>
        <w:rPr>
          <w:sz w:val="29"/>
        </w:rPr>
      </w:pPr>
      <w:r>
        <w:rPr/>
        <w:pict>
          <v:line style="position:absolute;mso-position-horizontal-relative:page;mso-position-vertical-relative:paragraph;z-index:1120;mso-wrap-distance-left:0;mso-wrap-distance-right:0" from="53.880001pt,21.40098pt" to="197.880001pt,21.40098pt" stroked="true" strokeweight=".53998pt" strokecolor="#000000">
            <v:stroke dashstyle="solid"/>
            <w10:wrap type="topAndBottom"/>
          </v:line>
        </w:pict>
      </w:r>
    </w:p>
    <w:p>
      <w:pPr>
        <w:spacing w:line="234" w:lineRule="exact" w:before="31"/>
        <w:ind w:left="117" w:right="0" w:firstLine="0"/>
        <w:jc w:val="left"/>
        <w:rPr>
          <w:rFonts w:ascii="楷体" w:eastAsia="楷体" w:hint="eastAsia"/>
          <w:sz w:val="18"/>
        </w:rPr>
      </w:pPr>
      <w:r>
        <w:rPr>
          <w:rFonts w:ascii="Times New Roman" w:eastAsia="Times New Roman"/>
          <w:position w:val="8"/>
          <w:sz w:val="12"/>
        </w:rPr>
        <w:t>16</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before="0"/>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1673" w:top="1380" w:bottom="1880" w:left="960" w:right="800"/>
        </w:sectPr>
      </w:pPr>
    </w:p>
    <w:p>
      <w:pPr>
        <w:pStyle w:val="BodyText"/>
        <w:spacing w:line="256" w:lineRule="auto" w:before="25"/>
        <w:ind w:right="82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2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002" w:right="0" w:hanging="2885"/>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rPr>
          <w:rFonts w:ascii="Times New Roman" w:eastAsia="Times New Roman"/>
        </w:rPr>
      </w:pPr>
      <w:r>
        <w:rPr/>
        <w:t>统永久性的功能障碍。神经系统永久性的功能障碍，指疾病确诊 </w:t>
      </w:r>
      <w:r>
        <w:rPr>
          <w:rFonts w:ascii="Times New Roman" w:eastAsia="Times New Roman"/>
        </w:rPr>
        <w:t>180</w:t>
      </w:r>
    </w:p>
    <w:p>
      <w:pPr>
        <w:pStyle w:val="BodyText"/>
      </w:pPr>
      <w:r>
        <w:rPr/>
        <w:t>天后，仍遗留下列一种或一种以上障碍：</w:t>
      </w:r>
    </w:p>
    <w:p>
      <w:pPr>
        <w:spacing w:before="37"/>
        <w:ind w:left="3002"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w:t>
      </w:r>
    </w:p>
    <w:p>
      <w:pPr>
        <w:pStyle w:val="Heading1"/>
        <w:spacing w:before="21"/>
        <w:ind w:left="3002"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18</w:t>
      </w:r>
      <w:r>
        <w:rPr>
          <w:rFonts w:ascii="Times New Roman" w:eastAsia="Times New Roman"/>
          <w:w w:val="95"/>
          <w:vertAlign w:val="baseline"/>
        </w:rPr>
      </w:r>
      <w:r>
        <w:rPr>
          <w:b w:val="0"/>
          <w:w w:val="95"/>
          <w:vertAlign w:val="baseline"/>
        </w:rPr>
        <w:t>；</w:t>
      </w:r>
    </w:p>
    <w:p>
      <w:pPr>
        <w:spacing w:line="256" w:lineRule="auto" w:before="21"/>
        <w:ind w:left="3002" w:right="766"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19</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673" w:top="1360" w:bottom="1880" w:left="960" w:right="820"/>
        </w:sectPr>
      </w:pPr>
    </w:p>
    <w:p>
      <w:pPr>
        <w:pStyle w:val="BodyText"/>
        <w:ind w:left="117"/>
      </w:pPr>
      <w:r>
        <w:rPr/>
        <w:t>细胞移植术</w:t>
      </w:r>
    </w:p>
    <w:p>
      <w:pPr>
        <w:pStyle w:val="BodyText"/>
        <w:ind w:left="117"/>
      </w:pPr>
      <w:r>
        <w:rPr/>
        <w:br w:type="column"/>
      </w:r>
      <w:r>
        <w:rPr/>
        <w:t>心脏或肺脏的异体移植手术。</w:t>
      </w:r>
    </w:p>
    <w:p>
      <w:pPr>
        <w:pStyle w:val="BodyText"/>
        <w:spacing w:line="273" w:lineRule="auto" w:before="37"/>
        <w:ind w:left="117" w:right="82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760" w:bottom="280" w:left="960" w:right="820"/>
          <w:cols w:num="2" w:equalWidth="0">
            <w:col w:w="1168" w:space="1717"/>
            <w:col w:w="724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760" w:bottom="280" w:left="960" w:right="820"/>
        </w:sectPr>
      </w:pPr>
    </w:p>
    <w:p>
      <w:pPr>
        <w:pStyle w:val="BodyText"/>
        <w:ind w:left="117"/>
      </w:pPr>
      <w:r>
        <w:rPr/>
        <w:t>动脉旁路移植术）</w:t>
      </w:r>
    </w:p>
    <w:p>
      <w:pPr>
        <w:pStyle w:val="BodyText"/>
        <w:ind w:left="117"/>
      </w:pPr>
      <w:r>
        <w:rPr/>
        <w:br w:type="column"/>
      </w:r>
      <w:r>
        <w:rPr/>
        <w:t>植的手术。</w:t>
      </w:r>
    </w:p>
    <w:p>
      <w:pPr>
        <w:pStyle w:val="BodyText"/>
        <w:spacing w:line="273" w:lineRule="auto" w:before="37"/>
        <w:ind w:left="117" w:right="824"/>
      </w:pPr>
      <w:r>
        <w:rPr/>
        <w:t>冠状动脉支架植入术、心导管球囊扩张术、激光射频技术及其他非开胸的介入手术、腔镜手术不在保障范围内。</w:t>
      </w:r>
    </w:p>
    <w:p>
      <w:pPr>
        <w:spacing w:after="0" w:line="273" w:lineRule="auto"/>
        <w:sectPr>
          <w:type w:val="continuous"/>
          <w:pgSz w:w="11910" w:h="16840"/>
          <w:pgMar w:top="760" w:bottom="280" w:left="960" w:right="820"/>
          <w:cols w:num="2" w:equalWidth="0">
            <w:col w:w="1798" w:space="1087"/>
            <w:col w:w="724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760" w:bottom="280" w:left="960" w:right="82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760" w:bottom="280" w:left="960" w:right="820"/>
          <w:cols w:num="2" w:equalWidth="0">
            <w:col w:w="1798" w:space="1087"/>
            <w:col w:w="7245"/>
          </w:cols>
        </w:sectPr>
      </w:pPr>
    </w:p>
    <w:p>
      <w:pPr>
        <w:pStyle w:val="ListParagraph"/>
        <w:numPr>
          <w:ilvl w:val="0"/>
          <w:numId w:val="3"/>
        </w:numPr>
        <w:tabs>
          <w:tab w:pos="382" w:val="left" w:leader="none"/>
          <w:tab w:pos="2823" w:val="left" w:leader="none"/>
        </w:tabs>
        <w:spacing w:line="256" w:lineRule="auto" w:before="11" w:after="0"/>
        <w:ind w:left="3002" w:right="82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82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spacing w:before="8"/>
        <w:ind w:left="0"/>
        <w:rPr>
          <w:sz w:val="22"/>
        </w:rPr>
      </w:pPr>
      <w:r>
        <w:rPr/>
        <w:pict>
          <v:line style="position:absolute;mso-position-horizontal-relative:page;mso-position-vertical-relative:paragraph;z-index:1144;mso-wrap-distance-left:0;mso-wrap-distance-right:0" from="53.880001pt,17.082699pt" to="197.880001pt,17.082699pt" stroked="true" strokeweight=".53999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10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6"/>
        <w:ind w:left="117" w:right="10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760" w:bottom="280" w:left="960" w:right="820"/>
        </w:sectPr>
      </w:pPr>
    </w:p>
    <w:p>
      <w:pPr>
        <w:pStyle w:val="BodyText"/>
        <w:spacing w:before="5"/>
      </w:pPr>
      <w:r>
        <w:rPr/>
        <w:t>脑垂体瘤、脑囊肿、脑血管性疾病不在保障范围内。</w:t>
      </w:r>
    </w:p>
    <w:p>
      <w:pPr>
        <w:pStyle w:val="ListParagraph"/>
        <w:numPr>
          <w:ilvl w:val="0"/>
          <w:numId w:val="3"/>
        </w:numPr>
        <w:tabs>
          <w:tab w:pos="487" w:val="left" w:leader="none"/>
        </w:tabs>
        <w:spacing w:line="240" w:lineRule="auto" w:before="44"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spacing w:before="20"/>
      </w:pPr>
      <w:r>
        <w:rPr/>
        <w:t>（</w:t>
      </w:r>
      <w:r>
        <w:rPr>
          <w:rFonts w:ascii="Times New Roman" w:eastAsia="Times New Roman"/>
        </w:rPr>
        <w:t>1</w:t>
      </w:r>
      <w:r>
        <w:rPr/>
        <w:t>）持续性黄疸；</w:t>
      </w:r>
    </w:p>
    <w:p>
      <w:pPr>
        <w:pStyle w:val="BodyText"/>
        <w:spacing w:before="20"/>
      </w:pPr>
      <w:r>
        <w:rPr/>
        <w:t>（</w:t>
      </w:r>
      <w:r>
        <w:rPr>
          <w:rFonts w:ascii="Times New Roman" w:eastAsia="Times New Roman"/>
        </w:rPr>
        <w:t>2</w:t>
      </w:r>
      <w:r>
        <w:rPr/>
        <w:t>）腹水；</w:t>
      </w:r>
    </w:p>
    <w:p>
      <w:pPr>
        <w:pStyle w:val="BodyText"/>
        <w:spacing w:before="20"/>
      </w:pPr>
      <w:r>
        <w:rPr/>
        <w:t>（</w:t>
      </w:r>
      <w:r>
        <w:rPr>
          <w:rFonts w:ascii="Times New Roman" w:eastAsia="Times New Roman"/>
        </w:rPr>
        <w:t>3</w:t>
      </w:r>
      <w:r>
        <w:rPr/>
        <w:t>）肝性脑病；</w:t>
      </w:r>
    </w:p>
    <w:p>
      <w:pPr>
        <w:pStyle w:val="BodyText"/>
        <w:spacing w:line="256" w:lineRule="auto" w:before="20"/>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s>
        <w:spacing w:line="240" w:lineRule="auto" w:before="12" w:after="0"/>
        <w:ind w:left="481" w:right="0" w:hanging="364"/>
        <w:jc w:val="left"/>
        <w:rPr>
          <w:sz w:val="21"/>
        </w:rPr>
      </w:pPr>
      <w:r>
        <w:rPr>
          <w:sz w:val="21"/>
        </w:rPr>
        <w:t>脑炎后遗症或脑膜炎后遗</w:t>
      </w:r>
      <w:r>
        <w:rPr>
          <w:spacing w:val="-32"/>
          <w:position w:val="1"/>
          <w:sz w:val="21"/>
        </w:rPr>
        <w:t>：</w:t>
      </w:r>
      <w:r>
        <w:rPr>
          <w:spacing w:val="-1"/>
          <w:sz w:val="21"/>
        </w:rPr>
        <w:t>指因患脑炎或脑膜炎导致的神经系统永久性的功能障碍。神经系统永</w:t>
      </w:r>
    </w:p>
    <w:p>
      <w:pPr>
        <w:pStyle w:val="BodyText"/>
        <w:tabs>
          <w:tab w:pos="3002" w:val="left" w:leader="none"/>
        </w:tabs>
        <w:spacing w:line="256" w:lineRule="auto"/>
        <w:ind w:right="204" w:hanging="2885"/>
      </w:pPr>
      <w:r>
        <w:rPr/>
        <w:t>症</w:t>
        <w:tab/>
        <w:t>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ind w:right="20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139"/>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pPr>
      <w:r>
        <w:rPr/>
        <w:t>须满足下列至少一项条件：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ind w:right="20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13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19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pPr>
      <w:r>
        <w:rPr/>
        <w:t>的手术。</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1" w:lineRule="auto" w:before="20"/>
        <w:ind w:right="9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w:t>
      </w:r>
    </w:p>
    <w:p>
      <w:pPr>
        <w:pStyle w:val="BodyText"/>
        <w:spacing w:before="8"/>
        <w:ind w:left="0"/>
        <w:rPr>
          <w:sz w:val="26"/>
        </w:rPr>
      </w:pPr>
      <w:r>
        <w:rPr/>
        <w:pict>
          <v:line style="position:absolute;mso-position-horizontal-relative:page;mso-position-vertical-relative:paragraph;z-index:1168;mso-wrap-distance-left:0;mso-wrap-distance-right:0" from="53.880001pt,19.664267pt" to="197.880001pt,19.664267pt" stroked="true" strokeweight=".54001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position w:val="8"/>
          <w:sz w:val="12"/>
        </w:rPr>
        <w:t>20</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1673" w:top="1380" w:bottom="1860" w:left="960" w:right="1440"/>
        </w:sectPr>
      </w:pPr>
    </w:p>
    <w:p>
      <w:pPr>
        <w:pStyle w:val="BodyText"/>
        <w:spacing w:before="5"/>
      </w:pPr>
      <w:r>
        <w:rPr/>
        <w:t>上。</w:t>
      </w:r>
    </w:p>
    <w:p>
      <w:pPr>
        <w:pStyle w:val="BodyText"/>
        <w:spacing w:before="36"/>
      </w:pPr>
      <w:r>
        <w:rPr/>
        <w:t>神经官能症和精神疾病不在保障范围内。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right="121"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12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pPr>
      <w:r>
        <w:rPr/>
        <w:t>等。须满足下列全部条件：</w:t>
      </w:r>
    </w:p>
    <w:p>
      <w:pPr>
        <w:pStyle w:val="BodyText"/>
        <w:spacing w:before="37"/>
      </w:pPr>
      <w:r>
        <w:rPr/>
        <w:t>（</w:t>
      </w:r>
      <w:r>
        <w:rPr>
          <w:rFonts w:ascii="Times New Roman" w:eastAsia="Times New Roman"/>
        </w:rPr>
        <w:t>1</w:t>
      </w:r>
      <w:r>
        <w:rPr/>
        <w:t>）药物治疗无法控制病情；</w:t>
      </w:r>
    </w:p>
    <w:p>
      <w:pPr>
        <w:pStyle w:val="BodyText"/>
        <w:spacing w:line="256" w:lineRule="auto"/>
        <w:ind w:right="12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before="20"/>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before="22"/>
        <w:ind w:right="122"/>
      </w:pPr>
      <w:r>
        <w:rPr>
          <w:spacing w:val="2"/>
        </w:rPr>
        <w:t>个月（</w:t>
      </w:r>
      <w:r>
        <w:rPr/>
        <w:t>声带完全切除不受此时间限制</w:t>
      </w:r>
      <w:r>
        <w:rPr>
          <w:spacing w:val="-102"/>
        </w:rPr>
        <w:t>）</w:t>
      </w:r>
      <w:r>
        <w:rPr/>
        <w:t>，仍无法通过现有医疗手段恢复。</w:t>
      </w:r>
    </w:p>
    <w:p>
      <w:pPr>
        <w:pStyle w:val="BodyText"/>
        <w:spacing w:before="8"/>
      </w:pPr>
      <w:r>
        <w:rPr/>
        <w:t>精神心理因素所致的语言能力丧失不在保障范围内。</w:t>
      </w:r>
    </w:p>
    <w:p>
      <w:pPr>
        <w:pStyle w:val="BodyText"/>
        <w:spacing w:line="256" w:lineRule="auto" w:before="37"/>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pPr>
      <w:r>
        <w:rPr/>
        <w:t>小板减少。须满足下列全部条件：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pPr>
      <w:r>
        <w:rPr/>
        <w:t>（</w:t>
      </w:r>
      <w:r>
        <w:rPr>
          <w:rFonts w:ascii="Times New Roman" w:eastAsia="Times New Roman"/>
        </w:rPr>
        <w:t>2</w:t>
      </w:r>
      <w:r>
        <w:rPr/>
        <w:t>）外周血象须具备以下三项条件：</w:t>
      </w:r>
    </w:p>
    <w:p>
      <w:pPr>
        <w:pStyle w:val="BodyText"/>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92" w:right="3104"/>
        <w:jc w:val="center"/>
      </w:pPr>
      <w:r>
        <w:rPr/>
        <w:t>② 网织红细胞＜</w:t>
      </w:r>
      <w:r>
        <w:rPr>
          <w:rFonts w:ascii="Times New Roman" w:hAnsi="Times New Roman" w:eastAsia="Times New Roman"/>
        </w:rPr>
        <w:t>1%</w:t>
      </w:r>
      <w:r>
        <w:rPr/>
        <w:t>；</w:t>
      </w:r>
    </w:p>
    <w:p>
      <w:pPr>
        <w:pStyle w:val="BodyText"/>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spacing w:after="0"/>
        <w:sectPr>
          <w:pgSz w:w="11910" w:h="16840"/>
          <w:pgMar w:header="0" w:footer="1673" w:top="1380" w:bottom="1920" w:left="960" w:right="1520"/>
        </w:sectPr>
      </w:pPr>
    </w:p>
    <w:p>
      <w:pPr>
        <w:pStyle w:val="BodyText"/>
        <w:spacing w:before="5"/>
        <w:ind w:left="117"/>
      </w:pPr>
      <w:r>
        <w:rPr/>
        <w:t>（26-40 种为我们增加的重大疾病）</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before="20"/>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jc w:val="both"/>
      </w:pPr>
      <w:r>
        <w:rPr/>
        <w:t>科医师确认并符合下列所有条件：</w:t>
      </w:r>
    </w:p>
    <w:p>
      <w:pPr>
        <w:pStyle w:val="BodyText"/>
        <w:spacing w:before="37"/>
        <w:jc w:val="both"/>
      </w:pPr>
      <w:r>
        <w:rPr/>
        <w:t>①  休息时出现呼吸困难；</w:t>
      </w:r>
    </w:p>
    <w:p>
      <w:pPr>
        <w:pStyle w:val="BodyText"/>
        <w:spacing w:before="37"/>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jc w:val="both"/>
      </w:pPr>
      <w:r>
        <w:rPr>
          <w:rFonts w:ascii="Times New Roman" w:eastAsia="Times New Roman"/>
        </w:rPr>
        <w:t>(4)   </w:t>
      </w:r>
      <w:r>
        <w:rPr/>
        <w:t>因缺氧必须接受持续的输氧治疗。</w:t>
      </w:r>
    </w:p>
    <w:p>
      <w:pPr>
        <w:pStyle w:val="ListParagraph"/>
        <w:numPr>
          <w:ilvl w:val="0"/>
          <w:numId w:val="3"/>
        </w:numPr>
        <w:tabs>
          <w:tab w:pos="486" w:val="left" w:leader="none"/>
          <w:tab w:pos="2823" w:val="left" w:leader="none"/>
        </w:tabs>
        <w:spacing w:line="240" w:lineRule="auto" w:before="21" w:after="0"/>
        <w:ind w:left="485" w:right="0" w:hanging="368"/>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12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right="12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right="125"/>
      </w:pPr>
      <w:r>
        <w:rPr/>
        <w:t>无关的骨骼肌对称地进行性无力和萎缩，其诊断需同时符合以下条件：</w:t>
      </w:r>
    </w:p>
    <w:p>
      <w:pPr>
        <w:pStyle w:val="ListParagraph"/>
        <w:numPr>
          <w:ilvl w:val="1"/>
          <w:numId w:val="3"/>
        </w:numPr>
        <w:tabs>
          <w:tab w:pos="3423" w:val="left" w:leader="none"/>
        </w:tabs>
        <w:spacing w:line="240" w:lineRule="auto" w:before="8"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7" w:after="0"/>
        <w:ind w:left="3422" w:right="12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1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both"/>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7"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73" w:top="1380" w:bottom="1920" w:left="960" w:right="1520"/>
        </w:sectPr>
      </w:pPr>
    </w:p>
    <w:p>
      <w:pPr>
        <w:pStyle w:val="BodyText"/>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1"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6" w:after="0"/>
        <w:ind w:left="537" w:right="11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7"/>
        <w:ind w:left="117" w:right="122"/>
        <w:jc w:val="both"/>
      </w:pPr>
      <w:r>
        <w:rPr/>
        <w:t>在任何治愈艾滋病（AIDS）或阻止HIV病毒作用的疗法被发现以后， 或能防止AIDS发生的医疗方法被研究出来以后，本保障将不再予以赔付。</w:t>
      </w:r>
    </w:p>
    <w:p>
      <w:pPr>
        <w:pStyle w:val="BodyText"/>
        <w:spacing w:line="273" w:lineRule="auto" w:before="7"/>
        <w:ind w:left="117" w:right="123"/>
      </w:pPr>
      <w:r>
        <w:rPr/>
        <w:t>任何因其他传播方式（包括：性传播或静脉注射毒品）导致的HIV感染不在本附加险合同保障范围内。保险公司必须拥有获得使用被保险</w:t>
      </w:r>
    </w:p>
    <w:p>
      <w:pPr>
        <w:spacing w:after="0" w:line="273" w:lineRule="auto"/>
        <w:sectPr>
          <w:type w:val="continuous"/>
          <w:pgSz w:w="11910" w:h="16840"/>
          <w:pgMar w:top="760" w:bottom="280" w:left="960" w:right="1520"/>
          <w:cols w:num="2" w:equalWidth="0">
            <w:col w:w="1961" w:space="923"/>
            <w:col w:w="6546"/>
          </w:cols>
        </w:sectPr>
      </w:pPr>
    </w:p>
    <w:p>
      <w:pPr>
        <w:pStyle w:val="BodyText"/>
        <w:spacing w:before="5"/>
      </w:pPr>
      <w:r>
        <w:rPr/>
        <w:t>人的所有血液样本的权利和能够对这些样本进行独立检验的权利。</w:t>
      </w:r>
    </w:p>
    <w:p>
      <w:pPr>
        <w:pStyle w:val="ListParagraph"/>
        <w:numPr>
          <w:ilvl w:val="0"/>
          <w:numId w:val="3"/>
        </w:numPr>
        <w:tabs>
          <w:tab w:pos="487" w:val="left" w:leader="none"/>
          <w:tab w:pos="2823" w:val="left" w:leader="none"/>
        </w:tabs>
        <w:spacing w:line="240" w:lineRule="auto" w:before="4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8"/>
      </w:pPr>
      <w:r>
        <w:rPr/>
        <w:t>酒精导致的慢性复发性胰腺炎除外。</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6"/>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4"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ind w:right="204"/>
      </w:pPr>
      <w:r>
        <w:rPr/>
        <w:t>全身骨骼肌（特别是眼外肌）极易疲劳。疾病可以累及呼吸肌、上肢或下肢的近端肌群或全身肌肉，必须满足下列全部条件：</w:t>
      </w:r>
    </w:p>
    <w:p>
      <w:pPr>
        <w:pStyle w:val="BodyText"/>
        <w:spacing w:before="7"/>
      </w:pPr>
      <w:r>
        <w:rPr/>
        <w:t>（</w:t>
      </w:r>
      <w:r>
        <w:rPr>
          <w:rFonts w:ascii="Times New Roman" w:eastAsia="Times New Roman"/>
        </w:rPr>
        <w:t>1</w:t>
      </w:r>
      <w:r>
        <w:rPr/>
        <w:t>）经药物治疗和胸腺切除治疗一年以上仍无法控制病情；</w:t>
      </w:r>
    </w:p>
    <w:p>
      <w:pPr>
        <w:pStyle w:val="BodyText"/>
        <w:spacing w:line="256" w:lineRule="auto"/>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spacing w:before="20"/>
      </w:pPr>
      <w:r>
        <w:rPr/>
        <w:t>（</w:t>
      </w:r>
      <w:r>
        <w:rPr>
          <w:rFonts w:ascii="Times New Roman" w:eastAsia="Times New Roman"/>
        </w:rPr>
        <w:t>1</w:t>
      </w:r>
      <w:r>
        <w:rPr/>
        <w:t>）符合坏死性筋膜炎的一般临床表现；</w:t>
      </w:r>
    </w:p>
    <w:p>
      <w:pPr>
        <w:pStyle w:val="BodyText"/>
        <w:spacing w:before="20"/>
      </w:pPr>
      <w:r>
        <w:rPr/>
        <w:t>（</w:t>
      </w:r>
      <w:r>
        <w:rPr>
          <w:rFonts w:ascii="Times New Roman" w:eastAsia="Times New Roman"/>
        </w:rPr>
        <w:t>2</w:t>
      </w:r>
      <w:r>
        <w:rPr/>
        <w:t>）细菌培养检出致病菌；</w:t>
      </w:r>
    </w:p>
    <w:p>
      <w:pPr>
        <w:pStyle w:val="BodyText"/>
        <w:spacing w:line="264" w:lineRule="auto" w:before="20"/>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5"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spacing w:before="20"/>
      </w:pPr>
      <w:r>
        <w:rPr/>
        <w:t>（</w:t>
      </w:r>
      <w:r>
        <w:rPr>
          <w:rFonts w:ascii="Times New Roman" w:eastAsia="Times New Roman"/>
        </w:rPr>
        <w:t>2</w:t>
      </w:r>
      <w:r>
        <w:rPr/>
        <w:t>）对称性关节炎；</w:t>
      </w:r>
    </w:p>
    <w:p>
      <w:pPr>
        <w:pStyle w:val="BodyText"/>
        <w:spacing w:before="20"/>
      </w:pPr>
      <w:r>
        <w:rPr/>
        <w:t>（</w:t>
      </w:r>
      <w:r>
        <w:rPr>
          <w:rFonts w:ascii="Times New Roman" w:eastAsia="Times New Roman"/>
        </w:rPr>
        <w:t>3</w:t>
      </w:r>
      <w:r>
        <w:rPr/>
        <w:t>）类风湿性皮下结节；</w:t>
      </w:r>
    </w:p>
    <w:p>
      <w:pPr>
        <w:pStyle w:val="BodyText"/>
        <w:spacing w:before="20"/>
      </w:pPr>
      <w:r>
        <w:rPr/>
        <w:t>（</w:t>
      </w:r>
      <w:r>
        <w:rPr>
          <w:rFonts w:ascii="Times New Roman" w:eastAsia="Times New Roman"/>
        </w:rPr>
        <w:t>4</w:t>
      </w:r>
      <w:r>
        <w:rPr/>
        <w:t>）类风湿因子滴度升高；</w:t>
      </w:r>
    </w:p>
    <w:p>
      <w:pPr>
        <w:pStyle w:val="BodyText"/>
        <w:spacing w:before="20"/>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0"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before="20"/>
      </w:pPr>
      <w:r>
        <w:rPr/>
        <w:t>在短时间内急剧恶化，必须立刻进行手术及清创术。最后的诊断必须</w:t>
      </w:r>
    </w:p>
    <w:p>
      <w:pPr>
        <w:spacing w:after="0"/>
        <w:sectPr>
          <w:pgSz w:w="11910" w:h="16840"/>
          <w:pgMar w:header="0" w:footer="1673" w:top="1380" w:bottom="1920" w:left="960" w:right="1440"/>
        </w:sectPr>
      </w:pPr>
    </w:p>
    <w:p>
      <w:pPr>
        <w:pStyle w:val="BodyText"/>
        <w:spacing w:before="5"/>
      </w:pPr>
      <w:r>
        <w:rPr/>
        <w:t>由微生物或病理学专家进行相关检查后证实。</w:t>
      </w:r>
    </w:p>
    <w:p>
      <w:pPr>
        <w:pStyle w:val="ListParagraph"/>
        <w:numPr>
          <w:ilvl w:val="0"/>
          <w:numId w:val="3"/>
        </w:numPr>
        <w:tabs>
          <w:tab w:pos="487" w:val="left" w:leader="none"/>
          <w:tab w:pos="2823" w:val="left" w:leader="none"/>
        </w:tabs>
        <w:spacing w:line="240" w:lineRule="auto" w:before="47" w:after="0"/>
        <w:ind w:left="486" w:right="0" w:hanging="369"/>
        <w:jc w:val="left"/>
        <w:rPr>
          <w:sz w:val="21"/>
        </w:rPr>
      </w:pPr>
      <w:r>
        <w:rPr>
          <w:sz w:val="21"/>
        </w:rPr>
        <w:t>系统性红斑狼疮</w:t>
        <w:tab/>
      </w:r>
      <w:r>
        <w:rPr>
          <w:spacing w:val="-32"/>
          <w:sz w:val="21"/>
        </w:rPr>
        <w:t>：</w:t>
      </w:r>
      <w:r>
        <w:rPr>
          <w:sz w:val="21"/>
        </w:rPr>
        <w:t>是一种自身免疫性结缔组织病</w:t>
      </w:r>
      <w:r>
        <w:rPr>
          <w:spacing w:val="-5"/>
          <w:sz w:val="21"/>
        </w:rPr>
        <w:t>，</w:t>
      </w:r>
      <w:r>
        <w:rPr>
          <w:sz w:val="21"/>
        </w:rPr>
        <w:t>于体内有大量致病性自身抗体和免疫</w:t>
      </w:r>
    </w:p>
    <w:p>
      <w:pPr>
        <w:pStyle w:val="BodyText"/>
        <w:spacing w:line="273" w:lineRule="auto"/>
        <w:ind w:right="124"/>
      </w:pPr>
      <w:r>
        <w:rPr/>
        <w:t>复合物，造成组织损伤，且理赔须经专科医生确认并同时具备下列情况：</w:t>
      </w:r>
    </w:p>
    <w:p>
      <w:pPr>
        <w:pStyle w:val="BodyText"/>
        <w:spacing w:before="8"/>
      </w:pPr>
      <w:r>
        <w:rPr/>
        <w:t>（1）临床表现至少具备如下条件的四个： ①蝶形红斑或盘形红斑；</w:t>
      </w:r>
    </w:p>
    <w:p>
      <w:pPr>
        <w:pStyle w:val="BodyText"/>
        <w:spacing w:line="273" w:lineRule="auto" w:before="37"/>
        <w:ind w:right="119"/>
        <w:jc w:val="both"/>
      </w:pPr>
      <w:r>
        <w:rPr/>
        <w:t>②光敏感；③口腔溃疡；④非畸形关节炎或关节痛；⑤浆膜炎、胸膜炎或心包炎； ⑥ 神经系统损伤（ 抽搐或精神症状）； ⑦ 血象异常（WBC&lt;4000/μl 或血小板&lt;100000/μl 或溶血性贫血）。</w:t>
      </w:r>
    </w:p>
    <w:p>
      <w:pPr>
        <w:pStyle w:val="BodyText"/>
        <w:spacing w:line="273" w:lineRule="auto" w:before="7"/>
        <w:ind w:right="124"/>
      </w:pPr>
      <w:r>
        <w:rPr/>
        <w:t>（2）检测结果至少具备如下条件的两个：①狼疮细胞或抗双 链 DNA 抗体阳性；②抗 Sm 抗体阳性；③抗核抗体阳性④狼疮带试验阳性；</w:t>
      </w:r>
    </w:p>
    <w:p>
      <w:pPr>
        <w:pStyle w:val="BodyText"/>
        <w:spacing w:before="7"/>
        <w:jc w:val="both"/>
      </w:pPr>
      <w:r>
        <w:rPr/>
        <w:t>⑤C3 补体低于正常。</w:t>
      </w:r>
    </w:p>
    <w:p>
      <w:pPr>
        <w:pStyle w:val="BodyText"/>
        <w:spacing w:before="37"/>
        <w:jc w:val="both"/>
      </w:pPr>
      <w:r>
        <w:rPr/>
        <w:t>（3）狼疮肾炎致使肾功能减弱，血肌酐的清除率低于每分钟 30ml。</w:t>
      </w:r>
    </w:p>
    <w:p>
      <w:pPr>
        <w:pStyle w:val="BodyText"/>
        <w:spacing w:before="6"/>
        <w:ind w:left="0"/>
        <w:rPr>
          <w:sz w:val="26"/>
        </w:rPr>
      </w:pPr>
    </w:p>
    <w:p>
      <w:pPr>
        <w:pStyle w:val="Heading1"/>
        <w:spacing w:line="291" w:lineRule="exact"/>
        <w:ind w:left="117" w:firstLine="0"/>
      </w:pPr>
      <w:r>
        <w:rPr>
          <w:w w:val="95"/>
        </w:rPr>
        <w:t>男</w:t>
      </w:r>
      <w:r>
        <w:rPr>
          <w:rFonts w:ascii="Times New Roman" w:eastAsia="Times New Roman"/>
          <w:w w:val="95"/>
        </w:rPr>
        <w:t>/</w:t>
      </w:r>
      <w:r>
        <w:rPr>
          <w:w w:val="95"/>
        </w:rPr>
        <w:t>女性重大疾病名称及定义</w:t>
      </w:r>
    </w:p>
    <w:p>
      <w:pPr>
        <w:pStyle w:val="BodyText"/>
        <w:tabs>
          <w:tab w:pos="3081" w:val="left" w:leader="none"/>
        </w:tabs>
        <w:spacing w:before="0"/>
        <w:ind w:left="211"/>
      </w:pPr>
      <w:r>
        <w:rPr>
          <w:b/>
        </w:rPr>
        <w:t>男性重大疾病</w:t>
        <w:tab/>
      </w:r>
      <w:r>
        <w:rPr>
          <w:spacing w:val="-1"/>
        </w:rPr>
        <w:t>1.</w:t>
      </w:r>
      <w:r>
        <w:rPr/>
        <w:t>睾丸癌：是指睾丸的不可控制的恶性细胞生长或扩散，以及组织</w:t>
      </w:r>
    </w:p>
    <w:p>
      <w:pPr>
        <w:pStyle w:val="BodyText"/>
        <w:spacing w:line="273" w:lineRule="auto" w:before="38"/>
        <w:ind w:left="3081" w:right="250"/>
      </w:pPr>
      <w:r>
        <w:rPr/>
        <w:t>浸润为特征，经病理检验确定符合国家卫生部公布的“疾病和死因分类”标准归属恶性肿瘤的。</w:t>
      </w:r>
    </w:p>
    <w:p>
      <w:pPr>
        <w:pStyle w:val="BodyText"/>
        <w:spacing w:line="273" w:lineRule="auto" w:before="8"/>
        <w:ind w:left="3081" w:right="250"/>
      </w:pPr>
      <w:r>
        <w:rPr/>
        <w:t>2.阴茎癌：是指阴茎的不可控制的恶性细胞生长或扩散以及组织浸润为特征，经病理检验确定符合国家卫生部公布的“疾病和死因分类”标准归属恶性肿瘤的。                                 3.前列腺癌：是指前列腺的不可控制的恶性细胞生长或扩散以及组织浸润为特征，经病理检验确定符合国家卫生部公布的“疾病和死因分类”标准归属恶性肿瘤。</w:t>
      </w:r>
    </w:p>
    <w:p>
      <w:pPr>
        <w:pStyle w:val="BodyText"/>
        <w:spacing w:line="273" w:lineRule="auto" w:before="8"/>
        <w:ind w:left="3081" w:right="250"/>
      </w:pPr>
      <w:r>
        <w:rPr/>
        <w:t>以上疾病必须同时符合附件一重大疾病名称及定义中所列恶性肿瘤的定义。</w:t>
      </w:r>
    </w:p>
    <w:p>
      <w:pPr>
        <w:pStyle w:val="BodyText"/>
        <w:spacing w:line="273" w:lineRule="auto" w:before="8"/>
        <w:ind w:left="3081" w:right="250"/>
        <w:jc w:val="both"/>
      </w:pPr>
      <w:r>
        <w:rPr/>
        <w:t>理赔时，必须提供明确的病理证明证实组织被侵入或有组织学上可证明的恶性增生。任何组织涂片检查、穿刺活检结果和临床诊断不能作为理赔标准。</w:t>
      </w:r>
    </w:p>
    <w:p>
      <w:pPr>
        <w:pStyle w:val="BodyText"/>
        <w:tabs>
          <w:tab w:pos="3081" w:val="left" w:leader="none"/>
        </w:tabs>
        <w:spacing w:before="8"/>
        <w:ind w:left="211"/>
      </w:pPr>
      <w:r>
        <w:rPr>
          <w:b/>
        </w:rPr>
        <w:t>女性重大疾病</w:t>
        <w:tab/>
      </w:r>
      <w:r>
        <w:rPr/>
        <w:t>系统性红斑狼疮：同附件一重大疾病名称及定义中系统性红斑狼疮</w:t>
      </w:r>
    </w:p>
    <w:p>
      <w:pPr>
        <w:pStyle w:val="BodyText"/>
        <w:spacing w:before="37"/>
        <w:ind w:left="3081"/>
        <w:jc w:val="both"/>
      </w:pPr>
      <w:r>
        <w:rPr/>
        <w:t>的定义</w:t>
      </w:r>
    </w:p>
    <w:p>
      <w:pPr>
        <w:pStyle w:val="BodyText"/>
        <w:spacing w:before="6"/>
        <w:ind w:left="0"/>
        <w:rPr>
          <w:sz w:val="26"/>
        </w:rPr>
      </w:pPr>
    </w:p>
    <w:p>
      <w:pPr>
        <w:pStyle w:val="Heading1"/>
        <w:ind w:left="117" w:firstLine="0"/>
      </w:pPr>
      <w:r>
        <w:rPr>
          <w:w w:val="95"/>
        </w:rPr>
        <w:t>早期治疗保险金疾病名称及定义（包括以下六种，以下所有疾病应由专科医生诊断）</w:t>
      </w:r>
    </w:p>
    <w:p>
      <w:pPr>
        <w:pStyle w:val="ListParagraph"/>
        <w:numPr>
          <w:ilvl w:val="0"/>
          <w:numId w:val="5"/>
        </w:numPr>
        <w:tabs>
          <w:tab w:pos="490" w:val="left" w:leader="none"/>
          <w:tab w:pos="2936" w:val="left" w:leader="none"/>
        </w:tabs>
        <w:spacing w:line="240" w:lineRule="auto" w:before="15" w:after="0"/>
        <w:ind w:left="489" w:right="0" w:hanging="264"/>
        <w:jc w:val="left"/>
        <w:rPr>
          <w:sz w:val="21"/>
        </w:rPr>
      </w:pPr>
      <w:r>
        <w:rPr>
          <w:sz w:val="21"/>
        </w:rPr>
        <w:t>恶性肿瘤</w:t>
        <w:tab/>
      </w:r>
      <w:r>
        <w:rPr>
          <w:spacing w:val="-33"/>
          <w:sz w:val="21"/>
        </w:rPr>
        <w:t>：</w:t>
      </w:r>
      <w:r>
        <w:rPr>
          <w:sz w:val="21"/>
        </w:rPr>
        <w:t>对于经组</w:t>
      </w:r>
      <w:r>
        <w:rPr>
          <w:spacing w:val="2"/>
          <w:sz w:val="21"/>
        </w:rPr>
        <w:t>织</w:t>
      </w:r>
      <w:r>
        <w:rPr>
          <w:sz w:val="21"/>
        </w:rPr>
        <w:t>病理学检</w:t>
      </w:r>
      <w:r>
        <w:rPr>
          <w:spacing w:val="2"/>
          <w:sz w:val="21"/>
        </w:rPr>
        <w:t>查</w:t>
      </w:r>
      <w:r>
        <w:rPr>
          <w:sz w:val="21"/>
        </w:rPr>
        <w:t>确诊并且</w:t>
      </w:r>
      <w:r>
        <w:rPr>
          <w:spacing w:val="2"/>
          <w:sz w:val="21"/>
        </w:rPr>
        <w:t>己</w:t>
      </w:r>
      <w:r>
        <w:rPr>
          <w:sz w:val="21"/>
        </w:rPr>
        <w:t>经接受了</w:t>
      </w:r>
      <w:r>
        <w:rPr>
          <w:spacing w:val="2"/>
          <w:sz w:val="21"/>
        </w:rPr>
        <w:t>针</w:t>
      </w:r>
      <w:r>
        <w:rPr>
          <w:sz w:val="21"/>
        </w:rPr>
        <w:t>对性治疗</w:t>
      </w:r>
      <w:r>
        <w:rPr>
          <w:spacing w:val="2"/>
          <w:sz w:val="21"/>
        </w:rPr>
        <w:t>的</w:t>
      </w:r>
      <w:r>
        <w:rPr>
          <w:sz w:val="21"/>
        </w:rPr>
        <w:t>下列类型</w:t>
      </w:r>
    </w:p>
    <w:p>
      <w:pPr>
        <w:pStyle w:val="BodyText"/>
        <w:ind w:left="3113"/>
      </w:pPr>
      <w:r>
        <w:rPr/>
        <w:t>的恶性肿瘤，将按约定给付早期治疗保险金：</w:t>
      </w:r>
    </w:p>
    <w:p>
      <w:pPr>
        <w:pStyle w:val="BodyText"/>
        <w:spacing w:before="37"/>
        <w:ind w:left="3113"/>
      </w:pPr>
      <w:r>
        <w:rPr/>
        <w:t>（</w:t>
      </w:r>
      <w:r>
        <w:rPr>
          <w:rFonts w:ascii="Times New Roman" w:eastAsia="Times New Roman"/>
        </w:rPr>
        <w:t>1</w:t>
      </w:r>
      <w:r>
        <w:rPr/>
        <w:t>）原位癌；</w:t>
      </w:r>
    </w:p>
    <w:p>
      <w:pPr>
        <w:pStyle w:val="BodyText"/>
        <w:ind w:left="3114"/>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3114"/>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3114"/>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114"/>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6"/>
        <w:ind w:left="0"/>
        <w:rPr>
          <w:sz w:val="25"/>
        </w:rPr>
      </w:pPr>
    </w:p>
    <w:p>
      <w:pPr>
        <w:pStyle w:val="ListParagraph"/>
        <w:numPr>
          <w:ilvl w:val="0"/>
          <w:numId w:val="5"/>
        </w:numPr>
        <w:tabs>
          <w:tab w:pos="490" w:val="left" w:leader="none"/>
          <w:tab w:pos="2936" w:val="left" w:leader="none"/>
        </w:tabs>
        <w:spacing w:line="240" w:lineRule="auto" w:before="0" w:after="0"/>
        <w:ind w:left="489" w:right="0" w:hanging="264"/>
        <w:jc w:val="left"/>
        <w:rPr>
          <w:sz w:val="21"/>
        </w:rPr>
      </w:pPr>
      <w:r>
        <w:rPr>
          <w:sz w:val="21"/>
        </w:rPr>
        <w:t>急性心肌梗塞</w:t>
        <w:tab/>
      </w:r>
      <w:r>
        <w:rPr>
          <w:spacing w:val="-33"/>
          <w:sz w:val="21"/>
        </w:rPr>
        <w:t>：</w:t>
      </w:r>
      <w:r>
        <w:rPr>
          <w:sz w:val="21"/>
        </w:rPr>
        <w:t>因冠状动脉阻塞导致的相应区域供血不足造成部分心肌坏死</w:t>
      </w:r>
      <w:r>
        <w:rPr>
          <w:spacing w:val="-105"/>
          <w:sz w:val="21"/>
        </w:rPr>
        <w:t>。</w:t>
      </w:r>
      <w:r>
        <w:rPr>
          <w:sz w:val="21"/>
        </w:rPr>
        <w:t>未达到</w:t>
      </w:r>
    </w:p>
    <w:p>
      <w:pPr>
        <w:pStyle w:val="BodyText"/>
        <w:spacing w:line="273" w:lineRule="auto"/>
        <w:ind w:left="3113" w:right="111"/>
      </w:pPr>
      <w:r>
        <w:rPr>
          <w:spacing w:val="-6"/>
        </w:rPr>
        <w:t>重大疾病提前给付保险金的标准，但已满足下列至少两项条件时，将按约定给付早期治疗保险金：</w:t>
      </w:r>
    </w:p>
    <w:p>
      <w:pPr>
        <w:spacing w:after="0" w:line="273" w:lineRule="auto"/>
        <w:sectPr>
          <w:pgSz w:w="11910" w:h="16840"/>
          <w:pgMar w:header="0" w:footer="1673" w:top="1380" w:bottom="1920" w:left="960" w:right="1520"/>
        </w:sectPr>
      </w:pPr>
    </w:p>
    <w:p>
      <w:pPr>
        <w:pStyle w:val="BodyText"/>
        <w:spacing w:before="25"/>
        <w:ind w:left="2994"/>
      </w:pPr>
      <w:r>
        <w:rPr/>
        <w:t>（</w:t>
      </w:r>
      <w:r>
        <w:rPr>
          <w:rFonts w:ascii="Times New Roman" w:eastAsia="Times New Roman"/>
        </w:rPr>
        <w:t>1</w:t>
      </w:r>
      <w:r>
        <w:rPr/>
        <w:t>）典型临床表现，例如急性胸痛等；</w:t>
      </w:r>
    </w:p>
    <w:p>
      <w:pPr>
        <w:pStyle w:val="BodyText"/>
        <w:spacing w:before="20"/>
        <w:ind w:left="2994"/>
      </w:pPr>
      <w:r>
        <w:rPr/>
        <w:t>（</w:t>
      </w:r>
      <w:r>
        <w:rPr>
          <w:rFonts w:ascii="Times New Roman" w:eastAsia="Times New Roman"/>
        </w:rPr>
        <w:t>2</w:t>
      </w:r>
      <w:r>
        <w:rPr/>
        <w:t>）新近的心电图改变提示急性心肌梗塞；</w:t>
      </w:r>
    </w:p>
    <w:p>
      <w:pPr>
        <w:pStyle w:val="BodyText"/>
        <w:spacing w:line="256" w:lineRule="auto" w:before="20"/>
        <w:ind w:left="2994" w:right="83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94" w:right="832"/>
      </w:pPr>
      <w:r>
        <w:rPr>
          <w:spacing w:val="-12"/>
        </w:rPr>
        <w:t>（</w:t>
      </w:r>
      <w:r>
        <w:rPr>
          <w:rFonts w:ascii="Times New Roman" w:eastAsia="Times New Roman"/>
          <w:spacing w:val="-12"/>
        </w:rPr>
        <w:t>4</w:t>
      </w:r>
      <w:r>
        <w:rPr>
          <w:spacing w:val="-12"/>
        </w:rPr>
        <w:t>）</w:t>
      </w:r>
      <w:r>
        <w:rPr>
          <w:spacing w:val="-18"/>
        </w:rPr>
        <w:t>发病 </w:t>
      </w:r>
      <w:r>
        <w:rPr>
          <w:rFonts w:ascii="Times New Roman" w:eastAsia="Times New Roman"/>
        </w:rPr>
        <w:t>90 </w:t>
      </w:r>
      <w:r>
        <w:rPr>
          <w:spacing w:val="-8"/>
        </w:rPr>
        <w:t>天后，经检查证实左心室功能降低，如左心室射血分数</w:t>
      </w:r>
      <w:r>
        <w:rPr>
          <w:spacing w:val="-24"/>
        </w:rPr>
        <w:t>低于 </w:t>
      </w:r>
      <w:r>
        <w:rPr>
          <w:rFonts w:ascii="Times New Roman" w:eastAsia="Times New Roman"/>
        </w:rPr>
        <w:t>50%</w:t>
      </w:r>
      <w:r>
        <w:rPr/>
        <w:t>。</w:t>
      </w:r>
    </w:p>
    <w:p>
      <w:pPr>
        <w:pStyle w:val="BodyText"/>
        <w:spacing w:before="3"/>
        <w:ind w:left="0"/>
        <w:rPr>
          <w:sz w:val="24"/>
        </w:rPr>
      </w:pPr>
    </w:p>
    <w:p>
      <w:pPr>
        <w:pStyle w:val="ListParagraph"/>
        <w:numPr>
          <w:ilvl w:val="0"/>
          <w:numId w:val="5"/>
        </w:numPr>
        <w:tabs>
          <w:tab w:pos="382" w:val="left" w:leader="none"/>
        </w:tabs>
        <w:spacing w:line="240" w:lineRule="auto" w:before="0" w:after="0"/>
        <w:ind w:left="381" w:right="0" w:hanging="276"/>
        <w:jc w:val="left"/>
        <w:rPr>
          <w:sz w:val="21"/>
        </w:rPr>
      </w:pPr>
      <w:r>
        <w:rPr>
          <w:spacing w:val="-5"/>
          <w:sz w:val="21"/>
        </w:rPr>
        <w:t>冠状动脉粥样硬化性心脏：为治疗严重冠心病，首次实际接受了经皮冠状动脉成形术或其他非开</w:t>
      </w:r>
    </w:p>
    <w:p>
      <w:pPr>
        <w:spacing w:after="0" w:line="240" w:lineRule="auto"/>
        <w:jc w:val="left"/>
        <w:rPr>
          <w:sz w:val="21"/>
        </w:rPr>
        <w:sectPr>
          <w:pgSz w:w="11910" w:h="16840"/>
          <w:pgMar w:header="0" w:footer="1673" w:top="1360" w:bottom="1920" w:left="1080" w:right="800"/>
        </w:sectPr>
      </w:pPr>
    </w:p>
    <w:p>
      <w:pPr>
        <w:pStyle w:val="BodyText"/>
        <w:ind w:left="105"/>
      </w:pPr>
      <w:r>
        <w:rPr/>
        <w:t>病的介入性治疗</w:t>
      </w:r>
    </w:p>
    <w:p>
      <w:pPr>
        <w:pStyle w:val="BodyText"/>
        <w:spacing w:line="273" w:lineRule="auto"/>
        <w:ind w:left="105" w:right="831"/>
      </w:pPr>
      <w:r>
        <w:rPr/>
        <w:br w:type="column"/>
      </w:r>
      <w:r>
        <w:rPr>
          <w:spacing w:val="-10"/>
        </w:rPr>
        <w:t>胸的介入、腔镜手术纠正一支或以上显著的冠状动脉狭窄的情况，将按约定给付早期治疗保险金。</w:t>
      </w:r>
    </w:p>
    <w:p>
      <w:pPr>
        <w:spacing w:after="0" w:line="273" w:lineRule="auto"/>
        <w:sectPr>
          <w:type w:val="continuous"/>
          <w:pgSz w:w="11910" w:h="16840"/>
          <w:pgMar w:top="760" w:bottom="280" w:left="1080" w:right="800"/>
          <w:cols w:num="2" w:equalWidth="0">
            <w:col w:w="1576" w:space="1312"/>
            <w:col w:w="7142"/>
          </w:cols>
        </w:sectPr>
      </w:pPr>
    </w:p>
    <w:p>
      <w:pPr>
        <w:pStyle w:val="BodyText"/>
        <w:spacing w:before="2"/>
        <w:ind w:left="0"/>
      </w:pPr>
    </w:p>
    <w:p>
      <w:pPr>
        <w:pStyle w:val="ListParagraph"/>
        <w:numPr>
          <w:ilvl w:val="0"/>
          <w:numId w:val="5"/>
        </w:numPr>
        <w:tabs>
          <w:tab w:pos="370" w:val="left" w:leader="none"/>
          <w:tab w:pos="2816" w:val="left" w:leader="none"/>
        </w:tabs>
        <w:spacing w:line="240" w:lineRule="auto" w:before="42" w:after="0"/>
        <w:ind w:left="369" w:right="0" w:hanging="264"/>
        <w:jc w:val="left"/>
        <w:rPr>
          <w:sz w:val="21"/>
        </w:rPr>
      </w:pPr>
      <w:r>
        <w:rPr>
          <w:sz w:val="21"/>
        </w:rPr>
        <w:t>脑中风后遗症</w:t>
        <w:tab/>
      </w:r>
      <w:r>
        <w:rPr>
          <w:spacing w:val="-33"/>
          <w:sz w:val="21"/>
        </w:rPr>
        <w:t>：</w:t>
      </w:r>
      <w:r>
        <w:rPr>
          <w:sz w:val="21"/>
        </w:rPr>
        <w:t>因脑血管的突发病变引起脑血管出血</w:t>
      </w:r>
      <w:r>
        <w:rPr>
          <w:spacing w:val="-52"/>
          <w:sz w:val="21"/>
        </w:rPr>
        <w:t>、</w:t>
      </w:r>
      <w:r>
        <w:rPr>
          <w:sz w:val="21"/>
        </w:rPr>
        <w:t>栓塞或梗塞</w:t>
      </w:r>
      <w:r>
        <w:rPr>
          <w:spacing w:val="-52"/>
          <w:sz w:val="21"/>
        </w:rPr>
        <w:t>，</w:t>
      </w:r>
      <w:r>
        <w:rPr>
          <w:sz w:val="21"/>
        </w:rPr>
        <w:t>并导致永久不可</w:t>
      </w:r>
    </w:p>
    <w:p>
      <w:pPr>
        <w:pStyle w:val="BodyText"/>
        <w:spacing w:line="264" w:lineRule="auto" w:before="20"/>
        <w:ind w:left="2994" w:right="832"/>
        <w:jc w:val="both"/>
      </w:pPr>
      <w:r>
        <w:rPr>
          <w:spacing w:val="-7"/>
        </w:rPr>
        <w:t>逆性神经系统功能损害的症状体征，即疾病确诊 </w:t>
      </w:r>
      <w:r>
        <w:rPr>
          <w:rFonts w:ascii="Times New Roman" w:eastAsia="Times New Roman"/>
        </w:rPr>
        <w:t>180 </w:t>
      </w:r>
      <w:r>
        <w:rPr>
          <w:spacing w:val="-9"/>
        </w:rPr>
        <w:t>天后，无法独立</w:t>
      </w:r>
      <w:r>
        <w:rPr>
          <w:spacing w:val="-14"/>
        </w:rPr>
        <w:t>完成六项基本日常生活活动中的一项或一项以上时，将按约定给付早期治疗保险金。</w:t>
      </w:r>
    </w:p>
    <w:p>
      <w:pPr>
        <w:pStyle w:val="BodyText"/>
        <w:spacing w:before="0"/>
        <w:ind w:left="0"/>
        <w:rPr>
          <w:sz w:val="25"/>
        </w:rPr>
      </w:pPr>
    </w:p>
    <w:p>
      <w:pPr>
        <w:pStyle w:val="ListParagraph"/>
        <w:numPr>
          <w:ilvl w:val="0"/>
          <w:numId w:val="5"/>
        </w:numPr>
        <w:tabs>
          <w:tab w:pos="370" w:val="left" w:leader="none"/>
          <w:tab w:pos="2816" w:val="left" w:leader="none"/>
        </w:tabs>
        <w:spacing w:line="240" w:lineRule="auto" w:before="0" w:after="0"/>
        <w:ind w:left="369" w:right="0" w:hanging="264"/>
        <w:jc w:val="left"/>
        <w:rPr>
          <w:sz w:val="21"/>
        </w:rPr>
      </w:pPr>
      <w:r>
        <w:rPr>
          <w:sz w:val="21"/>
        </w:rPr>
        <w:t>心脏瓣膜手术</w:t>
        <w:tab/>
      </w:r>
      <w:r>
        <w:rPr>
          <w:spacing w:val="-33"/>
          <w:sz w:val="21"/>
        </w:rPr>
        <w:t>：</w:t>
      </w:r>
      <w:r>
        <w:rPr>
          <w:sz w:val="21"/>
        </w:rPr>
        <w:t>为治疗心脏瓣膜疾病</w:t>
      </w:r>
      <w:r>
        <w:rPr>
          <w:spacing w:val="-105"/>
          <w:sz w:val="21"/>
        </w:rPr>
        <w:t>，</w:t>
      </w:r>
      <w:r>
        <w:rPr>
          <w:sz w:val="21"/>
        </w:rPr>
        <w:t>首次实际接受了经非胸廓切开的经胸壁打孔内</w:t>
      </w:r>
    </w:p>
    <w:p>
      <w:pPr>
        <w:pStyle w:val="BodyText"/>
        <w:spacing w:line="273" w:lineRule="auto"/>
        <w:ind w:left="2994" w:right="832"/>
        <w:jc w:val="both"/>
      </w:pPr>
      <w:r>
        <w:rPr>
          <w:spacing w:val="-4"/>
        </w:rPr>
        <w:t>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6" w:val="left" w:leader="none"/>
        </w:tabs>
        <w:spacing w:line="240" w:lineRule="auto" w:before="1" w:after="0"/>
        <w:ind w:left="369" w:right="0" w:hanging="264"/>
        <w:jc w:val="left"/>
        <w:rPr>
          <w:sz w:val="21"/>
        </w:rPr>
      </w:pPr>
      <w:r>
        <w:rPr>
          <w:sz w:val="21"/>
        </w:rPr>
        <w:t>良性脑</w:t>
      </w:r>
      <w:r>
        <w:rPr>
          <w:spacing w:val="-2"/>
          <w:sz w:val="21"/>
        </w:rPr>
        <w:t>肿</w:t>
      </w:r>
      <w:r>
        <w:rPr>
          <w:sz w:val="21"/>
        </w:rPr>
        <w:t>瘤</w:t>
        <w:tab/>
      </w:r>
      <w:r>
        <w:rPr>
          <w:spacing w:val="-33"/>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3" w:right="831"/>
        <w:jc w:val="both"/>
      </w:pPr>
      <w:r>
        <w:rPr>
          <w:spacing w:val="-3"/>
        </w:rPr>
        <w:t>或正电子发射断层扫描</w:t>
      </w:r>
      <w:r>
        <w:rPr>
          <w:spacing w:val="-7"/>
        </w:rPr>
        <w:t>（</w:t>
      </w:r>
      <w:r>
        <w:rPr>
          <w:rFonts w:ascii="Times New Roman" w:eastAsia="Times New Roman"/>
          <w:spacing w:val="-7"/>
        </w:rPr>
        <w:t>PET</w:t>
      </w:r>
      <w:r>
        <w:rPr>
          <w:spacing w:val="-7"/>
        </w:rPr>
        <w:t>）</w:t>
      </w:r>
      <w:r>
        <w:rPr/>
        <w:t>等影像学检查证实且被临床诊断为脑</w:t>
      </w:r>
      <w:r>
        <w:rPr>
          <w:spacing w:val="-11"/>
        </w:rPr>
        <w:t>垂体肿瘤，并接受了下列至少一项治疗，将按约定给付早期治疗保险金：</w:t>
      </w:r>
    </w:p>
    <w:p>
      <w:pPr>
        <w:pStyle w:val="BodyText"/>
        <w:spacing w:before="15"/>
        <w:ind w:left="2993"/>
        <w:jc w:val="both"/>
      </w:pPr>
      <w:r>
        <w:rPr/>
        <w:t>（</w:t>
      </w:r>
      <w:r>
        <w:rPr>
          <w:rFonts w:ascii="Times New Roman" w:eastAsia="Times New Roman"/>
        </w:rPr>
        <w:t>1</w:t>
      </w:r>
      <w:r>
        <w:rPr/>
        <w:t>）实际实施了开颅进行的脑垂体肿瘤完全切除或部分切除手术；</w:t>
      </w:r>
    </w:p>
    <w:p>
      <w:pPr>
        <w:pStyle w:val="BodyText"/>
        <w:spacing w:before="20"/>
        <w:ind w:left="2993"/>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ind w:left="0" w:right="117" w:firstLine="0"/>
        <w:jc w:val="right"/>
      </w:pPr>
      <w:r>
        <w:rPr>
          <w:w w:val="95"/>
        </w:rPr>
        <w:t>〈本页内容结束〉</w:t>
      </w:r>
    </w:p>
    <w:sectPr>
      <w:type w:val="continuous"/>
      <w:pgSz w:w="11910" w:h="16840"/>
      <w:pgMar w:top="76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9"/>
      </w:rPr>
    </w:pPr>
    <w:r>
      <w:rPr/>
      <w:pict>
        <v:shapetype id="_x0000_t202" o:spt="202" coordsize="21600,21600" path="m,l,21600r21600,l21600,xe">
          <v:stroke joinstyle="miter"/>
          <v:path gradientshapeok="t" o:connecttype="rect"/>
        </v:shapetype>
        <v:shape style="position:absolute;margin-left:271.279999pt;margin-top:744.999695pt;width:60.5pt;height:12pt;mso-position-horizontal-relative:page;mso-position-vertical-relative:page;z-index:-14992"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13</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3"/>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82" w:hanging="264"/>
      </w:pPr>
      <w:rPr>
        <w:rFonts w:hint="default"/>
      </w:rPr>
    </w:lvl>
    <w:lvl w:ilvl="3">
      <w:start w:val="0"/>
      <w:numFmt w:val="bullet"/>
      <w:lvlText w:val="•"/>
      <w:lvlJc w:val="left"/>
      <w:pPr>
        <w:ind w:left="4925" w:hanging="264"/>
      </w:pPr>
      <w:rPr>
        <w:rFonts w:hint="default"/>
      </w:rPr>
    </w:lvl>
    <w:lvl w:ilvl="4">
      <w:start w:val="0"/>
      <w:numFmt w:val="bullet"/>
      <w:lvlText w:val="•"/>
      <w:lvlJc w:val="left"/>
      <w:pPr>
        <w:ind w:left="5568" w:hanging="264"/>
      </w:pPr>
      <w:rPr>
        <w:rFonts w:hint="default"/>
      </w:rPr>
    </w:lvl>
    <w:lvl w:ilvl="5">
      <w:start w:val="0"/>
      <w:numFmt w:val="bullet"/>
      <w:lvlText w:val="•"/>
      <w:lvlJc w:val="left"/>
      <w:pPr>
        <w:ind w:left="6210" w:hanging="264"/>
      </w:pPr>
      <w:rPr>
        <w:rFonts w:hint="default"/>
      </w:rPr>
    </w:lvl>
    <w:lvl w:ilvl="6">
      <w:start w:val="0"/>
      <w:numFmt w:val="bullet"/>
      <w:lvlText w:val="•"/>
      <w:lvlJc w:val="left"/>
      <w:pPr>
        <w:ind w:left="6853" w:hanging="264"/>
      </w:pPr>
      <w:rPr>
        <w:rFonts w:hint="default"/>
      </w:rPr>
    </w:lvl>
    <w:lvl w:ilvl="7">
      <w:start w:val="0"/>
      <w:numFmt w:val="bullet"/>
      <w:lvlText w:val="•"/>
      <w:lvlJc w:val="left"/>
      <w:pPr>
        <w:ind w:left="7496" w:hanging="264"/>
      </w:pPr>
      <w:rPr>
        <w:rFonts w:hint="default"/>
      </w:rPr>
    </w:lvl>
    <w:lvl w:ilvl="8">
      <w:start w:val="0"/>
      <w:numFmt w:val="bullet"/>
      <w:lvlText w:val="•"/>
      <w:lvlJc w:val="left"/>
      <w:pPr>
        <w:ind w:left="8138"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39" w:hanging="420"/>
      </w:pPr>
      <w:rPr>
        <w:rFonts w:hint="default"/>
      </w:rPr>
    </w:lvl>
    <w:lvl w:ilvl="2">
      <w:start w:val="0"/>
      <w:numFmt w:val="bullet"/>
      <w:lvlText w:val="•"/>
      <w:lvlJc w:val="left"/>
      <w:pPr>
        <w:ind w:left="1739" w:hanging="420"/>
      </w:pPr>
      <w:rPr>
        <w:rFonts w:hint="default"/>
      </w:rPr>
    </w:lvl>
    <w:lvl w:ilvl="3">
      <w:start w:val="0"/>
      <w:numFmt w:val="bullet"/>
      <w:lvlText w:val="•"/>
      <w:lvlJc w:val="left"/>
      <w:pPr>
        <w:ind w:left="2339" w:hanging="420"/>
      </w:pPr>
      <w:rPr>
        <w:rFonts w:hint="default"/>
      </w:rPr>
    </w:lvl>
    <w:lvl w:ilvl="4">
      <w:start w:val="0"/>
      <w:numFmt w:val="bullet"/>
      <w:lvlText w:val="•"/>
      <w:lvlJc w:val="left"/>
      <w:pPr>
        <w:ind w:left="2939" w:hanging="420"/>
      </w:pPr>
      <w:rPr>
        <w:rFonts w:hint="default"/>
      </w:rPr>
    </w:lvl>
    <w:lvl w:ilvl="5">
      <w:start w:val="0"/>
      <w:numFmt w:val="bullet"/>
      <w:lvlText w:val="•"/>
      <w:lvlJc w:val="left"/>
      <w:pPr>
        <w:ind w:left="3539" w:hanging="420"/>
      </w:pPr>
      <w:rPr>
        <w:rFonts w:hint="default"/>
      </w:rPr>
    </w:lvl>
    <w:lvl w:ilvl="6">
      <w:start w:val="0"/>
      <w:numFmt w:val="bullet"/>
      <w:lvlText w:val="•"/>
      <w:lvlJc w:val="left"/>
      <w:pPr>
        <w:ind w:left="4139" w:hanging="420"/>
      </w:pPr>
      <w:rPr>
        <w:rFonts w:hint="default"/>
      </w:rPr>
    </w:lvl>
    <w:lvl w:ilvl="7">
      <w:start w:val="0"/>
      <w:numFmt w:val="bullet"/>
      <w:lvlText w:val="•"/>
      <w:lvlJc w:val="left"/>
      <w:pPr>
        <w:ind w:left="4739" w:hanging="420"/>
      </w:pPr>
      <w:rPr>
        <w:rFonts w:hint="default"/>
      </w:rPr>
    </w:lvl>
    <w:lvl w:ilvl="8">
      <w:start w:val="0"/>
      <w:numFmt w:val="bullet"/>
      <w:lvlText w:val="•"/>
      <w:lvlJc w:val="left"/>
      <w:pPr>
        <w:ind w:left="5339"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spacing w:val="-1"/>
        <w:w w:val="100"/>
      </w:rPr>
    </w:lvl>
    <w:lvl w:ilvl="2">
      <w:start w:val="0"/>
      <w:numFmt w:val="bullet"/>
      <w:lvlText w:val="•"/>
      <w:lvlJc w:val="left"/>
      <w:pPr>
        <w:ind w:left="3460" w:hanging="420"/>
      </w:pPr>
      <w:rPr>
        <w:rFonts w:hint="default"/>
      </w:rPr>
    </w:lvl>
    <w:lvl w:ilvl="3">
      <w:start w:val="0"/>
      <w:numFmt w:val="bullet"/>
      <w:lvlText w:val="•"/>
      <w:lvlJc w:val="left"/>
      <w:pPr>
        <w:ind w:left="3520" w:hanging="420"/>
      </w:pPr>
      <w:rPr>
        <w:rFonts w:hint="default"/>
      </w:rPr>
    </w:lvl>
    <w:lvl w:ilvl="4">
      <w:start w:val="0"/>
      <w:numFmt w:val="bullet"/>
      <w:lvlText w:val="•"/>
      <w:lvlJc w:val="left"/>
      <w:pPr>
        <w:ind w:left="4363" w:hanging="420"/>
      </w:pPr>
      <w:rPr>
        <w:rFonts w:hint="default"/>
      </w:rPr>
    </w:lvl>
    <w:lvl w:ilvl="5">
      <w:start w:val="0"/>
      <w:numFmt w:val="bullet"/>
      <w:lvlText w:val="•"/>
      <w:lvlJc w:val="left"/>
      <w:pPr>
        <w:ind w:left="5206" w:hanging="420"/>
      </w:pPr>
      <w:rPr>
        <w:rFonts w:hint="default"/>
      </w:rPr>
    </w:lvl>
    <w:lvl w:ilvl="6">
      <w:start w:val="0"/>
      <w:numFmt w:val="bullet"/>
      <w:lvlText w:val="•"/>
      <w:lvlJc w:val="left"/>
      <w:pPr>
        <w:ind w:left="6050"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737"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4" w:hanging="474"/>
      </w:pPr>
      <w:rPr>
        <w:rFonts w:hint="default"/>
      </w:rPr>
    </w:lvl>
    <w:lvl w:ilvl="3">
      <w:start w:val="0"/>
      <w:numFmt w:val="bullet"/>
      <w:lvlText w:val="•"/>
      <w:lvlJc w:val="left"/>
      <w:pPr>
        <w:ind w:left="2729" w:hanging="474"/>
      </w:pPr>
      <w:rPr>
        <w:rFonts w:hint="default"/>
      </w:rPr>
    </w:lvl>
    <w:lvl w:ilvl="4">
      <w:start w:val="0"/>
      <w:numFmt w:val="bullet"/>
      <w:lvlText w:val="•"/>
      <w:lvlJc w:val="left"/>
      <w:pPr>
        <w:ind w:left="3794" w:hanging="474"/>
      </w:pPr>
      <w:rPr>
        <w:rFonts w:hint="default"/>
      </w:rPr>
    </w:lvl>
    <w:lvl w:ilvl="5">
      <w:start w:val="0"/>
      <w:numFmt w:val="bullet"/>
      <w:lvlText w:val="•"/>
      <w:lvlJc w:val="left"/>
      <w:pPr>
        <w:ind w:left="4859" w:hanging="474"/>
      </w:pPr>
      <w:rPr>
        <w:rFonts w:hint="default"/>
      </w:rPr>
    </w:lvl>
    <w:lvl w:ilvl="6">
      <w:start w:val="0"/>
      <w:numFmt w:val="bullet"/>
      <w:lvlText w:val="•"/>
      <w:lvlJc w:val="left"/>
      <w:pPr>
        <w:ind w:left="5924" w:hanging="474"/>
      </w:pPr>
      <w:rPr>
        <w:rFonts w:hint="default"/>
      </w:rPr>
    </w:lvl>
    <w:lvl w:ilvl="7">
      <w:start w:val="0"/>
      <w:numFmt w:val="bullet"/>
      <w:lvlText w:val="•"/>
      <w:lvlJc w:val="left"/>
      <w:pPr>
        <w:ind w:left="6989" w:hanging="474"/>
      </w:pPr>
      <w:rPr>
        <w:rFonts w:hint="default"/>
      </w:rPr>
    </w:lvl>
    <w:lvl w:ilvl="8">
      <w:start w:val="0"/>
      <w:numFmt w:val="bullet"/>
      <w:lvlText w:val="•"/>
      <w:lvlJc w:val="left"/>
      <w:pPr>
        <w:ind w:left="8054"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6"/>
      <w:ind w:left="434" w:hanging="317"/>
    </w:pPr>
    <w:rPr>
      <w:rFonts w:ascii="宋体" w:hAnsi="宋体" w:eastAsia="宋体" w:cs="宋体"/>
      <w:b/>
      <w:bCs/>
      <w:sz w:val="18"/>
      <w:szCs w:val="18"/>
    </w:rPr>
  </w:style>
  <w:style w:styleId="TOC2" w:type="paragraph">
    <w:name w:val="TOC 2"/>
    <w:basedOn w:val="Normal"/>
    <w:uiPriority w:val="1"/>
    <w:qFormat/>
    <w:pPr>
      <w:spacing w:before="21"/>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&lt;4D6963726F736F667420576F7264202D20323031332D37332D3032D0D2B8A3B8BDBCD3CFE9BAE8CCE1C7B0B8F8B8B6D6D8B4F3BCB2B2A1B1A3CFD5A3A843BFEEA3A9CCF5BFEE&gt;</dc:title>
  <dcterms:created xsi:type="dcterms:W3CDTF">2018-10-20T01:44:45Z</dcterms:created>
  <dcterms:modified xsi:type="dcterms:W3CDTF">2018-10-20T01:44:45Z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