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9"/>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502458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drawing>
          <wp:anchor distT="0" distB="0" distL="0" distR="0" allowOverlap="1" layoutInCell="1" locked="0" behindDoc="1" simplePos="0" relativeHeight="268394087">
            <wp:simplePos x="0" y="0"/>
            <wp:positionH relativeFrom="page">
              <wp:posOffset>6050279</wp:posOffset>
            </wp:positionH>
            <wp:positionV relativeFrom="paragraph">
              <wp:posOffset>198928</wp:posOffset>
            </wp:positionV>
            <wp:extent cx="722629"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anchor>
        </w:drawing>
      </w:r>
      <w:r>
        <w:rPr/>
        <w:t>中意人寿[2009]疾病保险 034 号</w:t>
      </w:r>
    </w:p>
    <w:p>
      <w:pPr>
        <w:pStyle w:val="BodyText"/>
        <w:rPr>
          <w:sz w:val="20"/>
        </w:rPr>
      </w:pPr>
    </w:p>
    <w:p>
      <w:pPr>
        <w:pStyle w:val="BodyText"/>
        <w:rPr>
          <w:sz w:val="20"/>
        </w:rPr>
      </w:pPr>
    </w:p>
    <w:p>
      <w:pPr>
        <w:pStyle w:val="BodyText"/>
        <w:rPr>
          <w:sz w:val="20"/>
        </w:rPr>
      </w:pPr>
    </w:p>
    <w:p>
      <w:pPr>
        <w:pStyle w:val="BodyText"/>
        <w:spacing w:before="5"/>
        <w:rPr>
          <w:sz w:val="24"/>
        </w:rPr>
      </w:pPr>
    </w:p>
    <w:p>
      <w:pPr>
        <w:pStyle w:val="BodyText"/>
        <w:ind w:right="529"/>
        <w:jc w:val="right"/>
      </w:pPr>
      <w:r>
        <w:rPr/>
        <w:t>请扫描以查询验证条款</w:t>
      </w:r>
    </w:p>
    <w:p>
      <w:pPr>
        <w:pStyle w:val="BodyText"/>
        <w:rPr>
          <w:sz w:val="20"/>
        </w:rPr>
      </w:pPr>
    </w:p>
    <w:p>
      <w:pPr>
        <w:pStyle w:val="BodyText"/>
        <w:rPr>
          <w:sz w:val="19"/>
        </w:rPr>
      </w:pPr>
    </w:p>
    <w:p>
      <w:pPr>
        <w:pStyle w:val="Heading1"/>
        <w:spacing w:before="2"/>
        <w:ind w:right="1713"/>
        <w:jc w:val="center"/>
      </w:pPr>
      <w:r>
        <w:rPr/>
        <w:t>阅 读 提 示</w:t>
      </w:r>
    </w:p>
    <w:p>
      <w:pPr>
        <w:pStyle w:val="BodyText"/>
        <w:spacing w:before="4"/>
        <w:rPr>
          <w:b/>
          <w:sz w:val="34"/>
        </w:rPr>
      </w:pPr>
    </w:p>
    <w:p>
      <w:pPr>
        <w:pStyle w:val="Heading3"/>
        <w:ind w:left="935" w:right="1713"/>
        <w:jc w:val="center"/>
      </w:pPr>
      <w:r>
        <w:rPr>
          <w:w w:val="95"/>
        </w:rPr>
        <w:t>本阅读提示是为了帮助您更好理解条款，对本附加合同内容的解释以条款正文为准。</w:t>
      </w:r>
    </w:p>
    <w:p>
      <w:pPr>
        <w:pStyle w:val="BodyText"/>
        <w:spacing w:before="4"/>
        <w:rPr>
          <w:b/>
          <w:sz w:val="26"/>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963" w:val="left" w:leader="none"/>
          <w:tab w:pos="964" w:val="left" w:leader="none"/>
          <w:tab w:pos="8920" w:val="right" w:leader="dot"/>
        </w:tabs>
        <w:spacing w:line="240" w:lineRule="auto" w:before="14" w:after="0"/>
        <w:ind w:left="964" w:right="0" w:hanging="420"/>
        <w:jc w:val="left"/>
        <w:rPr>
          <w:rFonts w:ascii="Times New Roman" w:eastAsia="Times New Roman"/>
          <w:sz w:val="21"/>
        </w:rPr>
      </w:pPr>
      <w:r>
        <w:rPr>
          <w:sz w:val="21"/>
        </w:rPr>
        <w:t>签收合同后</w:t>
      </w:r>
      <w:r>
        <w:rPr>
          <w:spacing w:val="-64"/>
          <w:sz w:val="21"/>
        </w:rPr>
        <w:t> </w:t>
      </w:r>
      <w:r>
        <w:rPr>
          <w:rFonts w:ascii="Times New Roman" w:eastAsia="Times New Roman"/>
          <w:position w:val="1"/>
          <w:sz w:val="21"/>
        </w:rPr>
        <w:t>10</w:t>
      </w:r>
      <w:r>
        <w:rPr>
          <w:rFonts w:ascii="Times New Roman" w:eastAsia="Times New Roman"/>
          <w:spacing w:val="-13"/>
          <w:position w:val="1"/>
          <w:sz w:val="21"/>
        </w:rPr>
        <w:t> </w:t>
      </w:r>
      <w:r>
        <w:rPr>
          <w:sz w:val="21"/>
        </w:rPr>
        <w:t>天内您享有犹豫期解除合同的权利</w:t>
      </w:r>
      <w:r>
        <w:rPr>
          <w:position w:val="1"/>
          <w:sz w:val="21"/>
        </w:rPr>
        <w:tab/>
      </w:r>
      <w:r>
        <w:rPr>
          <w:rFonts w:ascii="Times New Roman" w:eastAsia="Times New Roman"/>
          <w:position w:val="1"/>
          <w:sz w:val="21"/>
        </w:rPr>
        <w:t>1.5</w:t>
      </w:r>
    </w:p>
    <w:p>
      <w:pPr>
        <w:pStyle w:val="ListParagraph"/>
        <w:numPr>
          <w:ilvl w:val="0"/>
          <w:numId w:val="1"/>
        </w:numPr>
        <w:tabs>
          <w:tab w:pos="963" w:val="left" w:leader="none"/>
          <w:tab w:pos="964" w:val="left" w:leader="none"/>
          <w:tab w:pos="8996" w:val="right" w:leader="dot"/>
        </w:tabs>
        <w:spacing w:line="240" w:lineRule="auto" w:before="22" w:after="0"/>
        <w:ind w:left="964" w:right="0" w:hanging="420"/>
        <w:jc w:val="left"/>
        <w:rPr>
          <w:rFonts w:ascii="Times New Roman" w:eastAsia="Times New Roman"/>
          <w:sz w:val="21"/>
        </w:rPr>
      </w:pPr>
      <w:r>
        <w:rPr>
          <w:sz w:val="21"/>
        </w:rPr>
        <w:t>被保险人可以享有本附加合同提供的保障利益</w:t>
      </w:r>
      <w:r>
        <w:rPr>
          <w:position w:val="1"/>
          <w:sz w:val="21"/>
        </w:rPr>
        <w:tab/>
      </w:r>
      <w:r>
        <w:rPr>
          <w:rFonts w:ascii="Times New Roman" w:eastAsia="Times New Roman"/>
          <w:position w:val="1"/>
          <w:sz w:val="21"/>
        </w:rPr>
        <w:t>2.4</w:t>
      </w:r>
    </w:p>
    <w:p>
      <w:pPr>
        <w:pStyle w:val="ListParagraph"/>
        <w:numPr>
          <w:ilvl w:val="0"/>
          <w:numId w:val="1"/>
        </w:numPr>
        <w:tabs>
          <w:tab w:pos="963" w:val="left" w:leader="none"/>
          <w:tab w:pos="964" w:val="left" w:leader="none"/>
          <w:tab w:pos="8838" w:val="right" w:leader="dot"/>
        </w:tabs>
        <w:spacing w:line="240" w:lineRule="auto" w:before="22" w:after="0"/>
        <w:ind w:left="964" w:right="0" w:hanging="420"/>
        <w:jc w:val="left"/>
        <w:rPr>
          <w:rFonts w:ascii="Times New Roman" w:eastAsia="Times New Roman"/>
          <w:sz w:val="21"/>
        </w:rPr>
      </w:pPr>
      <w:r>
        <w:rPr>
          <w:sz w:val="21"/>
        </w:rPr>
        <w:t>您有权解除合同</w:t>
      </w:r>
      <w:r>
        <w:rPr>
          <w:position w:val="1"/>
          <w:sz w:val="21"/>
        </w:rPr>
        <w:tab/>
      </w:r>
      <w:r>
        <w:rPr>
          <w:rFonts w:ascii="Times New Roman" w:eastAsia="Times New Roman"/>
          <w:position w:val="1"/>
          <w:sz w:val="21"/>
        </w:rPr>
        <w:t>6</w:t>
      </w:r>
    </w:p>
    <w:p>
      <w:pPr>
        <w:pStyle w:val="Heading3"/>
        <w:tabs>
          <w:tab w:pos="543" w:val="left" w:leader="none"/>
        </w:tabs>
        <w:spacing w:before="330"/>
        <w:ind w:left="12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963" w:val="left" w:leader="none"/>
          <w:tab w:pos="964" w:val="left" w:leader="none"/>
          <w:tab w:pos="8996" w:val="right" w:leader="dot"/>
        </w:tabs>
        <w:spacing w:line="240" w:lineRule="auto" w:before="14" w:after="0"/>
        <w:ind w:left="964" w:right="0" w:hanging="420"/>
        <w:jc w:val="left"/>
        <w:rPr>
          <w:rFonts w:ascii="Times New Roman" w:eastAsia="Times New Roman"/>
          <w:sz w:val="21"/>
        </w:rPr>
      </w:pPr>
      <w:r>
        <w:rPr>
          <w:sz w:val="21"/>
        </w:rPr>
        <w:t>等待期内我们不承担保险责任</w:t>
      </w:r>
      <w:r>
        <w:rPr>
          <w:position w:val="1"/>
          <w:sz w:val="21"/>
        </w:rPr>
        <w:tab/>
      </w:r>
      <w:r>
        <w:rPr>
          <w:rFonts w:ascii="Times New Roman" w:eastAsia="Times New Roman"/>
          <w:position w:val="1"/>
          <w:sz w:val="21"/>
        </w:rPr>
        <w:t>2.3</w:t>
      </w:r>
    </w:p>
    <w:p>
      <w:pPr>
        <w:pStyle w:val="ListParagraph"/>
        <w:numPr>
          <w:ilvl w:val="0"/>
          <w:numId w:val="1"/>
        </w:numPr>
        <w:tabs>
          <w:tab w:pos="963" w:val="left" w:leader="none"/>
          <w:tab w:pos="964" w:val="left" w:leader="none"/>
          <w:tab w:pos="8996" w:val="right" w:leader="dot"/>
        </w:tabs>
        <w:spacing w:line="240" w:lineRule="auto" w:before="22" w:after="0"/>
        <w:ind w:left="964" w:right="0" w:hanging="420"/>
        <w:jc w:val="left"/>
        <w:rPr>
          <w:rFonts w:ascii="Times New Roman" w:eastAsia="Times New Roman"/>
          <w:sz w:val="21"/>
        </w:rPr>
      </w:pPr>
      <w:r>
        <w:rPr>
          <w:sz w:val="21"/>
        </w:rPr>
        <w:t>在某些情况下，我们不承担保险责任</w:t>
      </w:r>
      <w:r>
        <w:rPr>
          <w:position w:val="1"/>
          <w:sz w:val="21"/>
        </w:rPr>
        <w:tab/>
      </w:r>
      <w:r>
        <w:rPr>
          <w:rFonts w:ascii="Times New Roman" w:eastAsia="Times New Roman"/>
          <w:position w:val="1"/>
          <w:sz w:val="21"/>
        </w:rPr>
        <w:t>2.5</w:t>
      </w:r>
    </w:p>
    <w:p>
      <w:pPr>
        <w:pStyle w:val="ListParagraph"/>
        <w:numPr>
          <w:ilvl w:val="0"/>
          <w:numId w:val="1"/>
        </w:numPr>
        <w:tabs>
          <w:tab w:pos="963" w:val="left" w:leader="none"/>
          <w:tab w:pos="964" w:val="left" w:leader="none"/>
          <w:tab w:pos="8996" w:val="right" w:leader="dot"/>
        </w:tabs>
        <w:spacing w:line="240" w:lineRule="auto" w:before="22" w:after="0"/>
        <w:ind w:left="964" w:right="0" w:hanging="420"/>
        <w:jc w:val="left"/>
        <w:rPr>
          <w:rFonts w:ascii="Times New Roman" w:eastAsia="Times New Roman"/>
          <w:sz w:val="21"/>
        </w:rPr>
      </w:pPr>
      <w:r>
        <w:rPr>
          <w:sz w:val="21"/>
        </w:rPr>
        <w:t>受益人的保险金申请权应在一定期间内行使</w:t>
      </w:r>
      <w:r>
        <w:rPr>
          <w:position w:val="1"/>
          <w:sz w:val="21"/>
        </w:rPr>
        <w:tab/>
      </w:r>
      <w:r>
        <w:rPr>
          <w:rFonts w:ascii="Times New Roman" w:eastAsia="Times New Roman"/>
          <w:position w:val="1"/>
          <w:sz w:val="21"/>
        </w:rPr>
        <w:t>4.2</w:t>
      </w:r>
    </w:p>
    <w:p>
      <w:pPr>
        <w:pStyle w:val="ListParagraph"/>
        <w:numPr>
          <w:ilvl w:val="0"/>
          <w:numId w:val="1"/>
        </w:numPr>
        <w:tabs>
          <w:tab w:pos="963" w:val="left" w:leader="none"/>
          <w:tab w:pos="964" w:val="left" w:leader="none"/>
          <w:tab w:pos="8996" w:val="right" w:leader="dot"/>
        </w:tabs>
        <w:spacing w:line="240" w:lineRule="auto" w:before="22" w:after="0"/>
        <w:ind w:left="964" w:right="0" w:hanging="420"/>
        <w:jc w:val="left"/>
        <w:rPr>
          <w:rFonts w:ascii="Times New Roman" w:eastAsia="Times New Roman"/>
          <w:sz w:val="21"/>
        </w:rPr>
      </w:pPr>
      <w:r>
        <w:rPr>
          <w:sz w:val="21"/>
        </w:rPr>
        <w:t>在某些情况下，本附加合同效力中止</w:t>
      </w:r>
      <w:r>
        <w:rPr>
          <w:position w:val="1"/>
          <w:sz w:val="21"/>
        </w:rPr>
        <w:tab/>
      </w:r>
      <w:r>
        <w:rPr>
          <w:rFonts w:ascii="Times New Roman" w:eastAsia="Times New Roman"/>
          <w:position w:val="1"/>
          <w:sz w:val="21"/>
        </w:rPr>
        <w:t>7.1</w:t>
      </w:r>
    </w:p>
    <w:p>
      <w:pPr>
        <w:pStyle w:val="ListParagraph"/>
        <w:numPr>
          <w:ilvl w:val="0"/>
          <w:numId w:val="1"/>
        </w:numPr>
        <w:tabs>
          <w:tab w:pos="963" w:val="left" w:leader="none"/>
          <w:tab w:pos="964" w:val="left" w:leader="none"/>
          <w:tab w:pos="8838" w:val="right" w:leader="dot"/>
        </w:tabs>
        <w:spacing w:line="240" w:lineRule="auto" w:before="22" w:after="0"/>
        <w:ind w:left="964" w:right="0" w:hanging="420"/>
        <w:jc w:val="left"/>
        <w:rPr>
          <w:rFonts w:ascii="Times New Roman" w:eastAsia="Times New Roman"/>
          <w:sz w:val="21"/>
        </w:rPr>
      </w:pPr>
      <w:r>
        <w:rPr>
          <w:sz w:val="21"/>
        </w:rPr>
        <w:t>在某些情况下，本附加合同效力终止</w:t>
      </w:r>
      <w:r>
        <w:rPr>
          <w:position w:val="1"/>
          <w:sz w:val="21"/>
        </w:rPr>
        <w:tab/>
      </w:r>
      <w:r>
        <w:rPr>
          <w:rFonts w:ascii="Times New Roman" w:eastAsia="Times New Roman"/>
          <w:position w:val="1"/>
          <w:sz w:val="21"/>
        </w:rPr>
        <w:t>8</w:t>
      </w:r>
    </w:p>
    <w:p>
      <w:pPr>
        <w:pStyle w:val="ListParagraph"/>
        <w:numPr>
          <w:ilvl w:val="0"/>
          <w:numId w:val="1"/>
        </w:numPr>
        <w:tabs>
          <w:tab w:pos="963" w:val="left" w:leader="none"/>
          <w:tab w:pos="964" w:val="left" w:leader="none"/>
          <w:tab w:pos="8936" w:val="right" w:leader="dot"/>
        </w:tabs>
        <w:spacing w:line="240" w:lineRule="auto" w:before="22" w:after="0"/>
        <w:ind w:left="964" w:right="0" w:hanging="420"/>
        <w:jc w:val="left"/>
        <w:rPr>
          <w:rFonts w:ascii="Times New Roman" w:eastAsia="Times New Roman"/>
          <w:sz w:val="21"/>
        </w:rPr>
      </w:pPr>
      <w:r>
        <w:rPr>
          <w:sz w:val="21"/>
        </w:rPr>
        <w:t>我们对一些重要术语进行了解释，请您注意</w:t>
      </w:r>
      <w:r>
        <w:rPr>
          <w:position w:val="1"/>
          <w:sz w:val="21"/>
        </w:rPr>
        <w:tab/>
      </w:r>
      <w:r>
        <w:rPr>
          <w:rFonts w:ascii="Times New Roman" w:eastAsia="Times New Roman"/>
          <w:spacing w:val="-4"/>
          <w:position w:val="1"/>
          <w:sz w:val="21"/>
        </w:rPr>
        <w:t>11</w:t>
      </w:r>
    </w:p>
    <w:p>
      <w:pPr>
        <w:pStyle w:val="BodyText"/>
        <w:spacing w:before="8"/>
        <w:rPr>
          <w:rFonts w:ascii="Times New Roman"/>
          <w:sz w:val="28"/>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8"/>
        <w:rPr>
          <w:b/>
          <w:sz w:val="24"/>
        </w:rPr>
      </w:pPr>
    </w:p>
    <w:p>
      <w:pPr>
        <w:tabs>
          <w:tab w:pos="543" w:val="left" w:leader="none"/>
        </w:tabs>
        <w:spacing w:before="0"/>
        <w:ind w:left="1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条款目录</w:t>
      </w:r>
    </w:p>
    <w:p>
      <w:pPr>
        <w:pStyle w:val="ListParagraph"/>
        <w:numPr>
          <w:ilvl w:val="0"/>
          <w:numId w:val="2"/>
        </w:numPr>
        <w:tabs>
          <w:tab w:pos="590" w:val="left" w:leader="none"/>
          <w:tab w:pos="5301" w:val="left" w:leader="none"/>
        </w:tabs>
        <w:spacing w:line="240" w:lineRule="auto" w:before="34" w:after="0"/>
        <w:ind w:left="590" w:right="0" w:hanging="148"/>
        <w:jc w:val="left"/>
        <w:rPr>
          <w:sz w:val="21"/>
        </w:rPr>
      </w:pPr>
      <w:r>
        <w:rPr/>
        <w:drawing>
          <wp:anchor distT="0" distB="0" distL="0" distR="0" allowOverlap="1" layoutInCell="1" locked="0" behindDoc="1" simplePos="0" relativeHeight="268394063">
            <wp:simplePos x="0" y="0"/>
            <wp:positionH relativeFrom="page">
              <wp:posOffset>1074419</wp:posOffset>
            </wp:positionH>
            <wp:positionV relativeFrom="paragraph">
              <wp:posOffset>17318</wp:posOffset>
            </wp:positionV>
            <wp:extent cx="5627370" cy="340868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627370" cy="3408680"/>
                    </a:xfrm>
                    <a:prstGeom prst="rect">
                      <a:avLst/>
                    </a:prstGeom>
                  </pic:spPr>
                </pic:pic>
              </a:graphicData>
            </a:graphic>
          </wp:anchor>
        </w:drawing>
      </w:r>
      <w:r>
        <w:rPr>
          <w:b/>
          <w:sz w:val="21"/>
        </w:rPr>
        <w:t>您与我们订立的合同</w:t>
        <w:tab/>
      </w:r>
      <w:r>
        <w:rPr>
          <w:rFonts w:ascii="Times New Roman" w:eastAsia="Times New Roman"/>
          <w:position w:val="1"/>
          <w:sz w:val="21"/>
        </w:rPr>
        <w:t>4.2</w:t>
      </w:r>
      <w:r>
        <w:rPr>
          <w:rFonts w:ascii="Times New Roman" w:eastAsia="Times New Roman"/>
          <w:spacing w:val="-3"/>
          <w:position w:val="1"/>
          <w:sz w:val="21"/>
        </w:rPr>
        <w:t> </w:t>
      </w:r>
      <w:r>
        <w:rPr>
          <w:sz w:val="21"/>
        </w:rPr>
        <w:t>诉讼时效</w:t>
      </w:r>
    </w:p>
    <w:p>
      <w:pPr>
        <w:pStyle w:val="ListParagraph"/>
        <w:numPr>
          <w:ilvl w:val="1"/>
          <w:numId w:val="2"/>
        </w:numPr>
        <w:tabs>
          <w:tab w:pos="966" w:val="left" w:leader="none"/>
          <w:tab w:pos="5091" w:val="left" w:leader="none"/>
        </w:tabs>
        <w:spacing w:line="240" w:lineRule="auto" w:before="30" w:after="0"/>
        <w:ind w:left="966" w:right="0" w:hanging="314"/>
        <w:jc w:val="left"/>
        <w:rPr>
          <w:b/>
          <w:sz w:val="21"/>
        </w:rPr>
      </w:pPr>
      <w:r>
        <w:rPr>
          <w:sz w:val="21"/>
        </w:rPr>
        <w:t>合同构成</w:t>
        <w:tab/>
      </w:r>
      <w:r>
        <w:rPr>
          <w:rFonts w:ascii="Times New Roman" w:eastAsia="Times New Roman"/>
          <w:b/>
          <w:position w:val="1"/>
          <w:sz w:val="21"/>
        </w:rPr>
        <w:t>5</w:t>
      </w:r>
      <w:r>
        <w:rPr>
          <w:rFonts w:ascii="Times New Roman" w:eastAsia="Times New Roman"/>
          <w:b/>
          <w:spacing w:val="-7"/>
          <w:position w:val="1"/>
          <w:sz w:val="21"/>
        </w:rPr>
        <w:t> </w:t>
      </w:r>
      <w:r>
        <w:rPr>
          <w:b/>
          <w:sz w:val="21"/>
        </w:rPr>
        <w:t>风险保险费的支付</w:t>
      </w:r>
    </w:p>
    <w:p>
      <w:pPr>
        <w:pStyle w:val="ListParagraph"/>
        <w:numPr>
          <w:ilvl w:val="1"/>
          <w:numId w:val="2"/>
        </w:numPr>
        <w:tabs>
          <w:tab w:pos="966" w:val="left" w:leader="none"/>
          <w:tab w:pos="5301" w:val="left" w:leader="none"/>
        </w:tabs>
        <w:spacing w:line="240" w:lineRule="auto" w:before="78" w:after="0"/>
        <w:ind w:left="966" w:right="0" w:hanging="314"/>
        <w:jc w:val="left"/>
        <w:rPr>
          <w:sz w:val="21"/>
        </w:rPr>
      </w:pPr>
      <w:r>
        <w:rPr>
          <w:sz w:val="21"/>
        </w:rPr>
        <w:t>保险合同成立与生效</w:t>
        <w:tab/>
      </w:r>
      <w:r>
        <w:rPr>
          <w:rFonts w:ascii="Times New Roman" w:eastAsia="Times New Roman"/>
          <w:position w:val="1"/>
          <w:sz w:val="21"/>
        </w:rPr>
        <w:t>5.1</w:t>
      </w:r>
      <w:r>
        <w:rPr>
          <w:rFonts w:ascii="Times New Roman" w:eastAsia="Times New Roman"/>
          <w:spacing w:val="-3"/>
          <w:position w:val="1"/>
          <w:sz w:val="21"/>
        </w:rPr>
        <w:t> </w:t>
      </w:r>
      <w:r>
        <w:rPr>
          <w:sz w:val="21"/>
        </w:rPr>
        <w:t>风险保险费的支付</w:t>
      </w:r>
    </w:p>
    <w:p>
      <w:pPr>
        <w:pStyle w:val="ListParagraph"/>
        <w:numPr>
          <w:ilvl w:val="1"/>
          <w:numId w:val="2"/>
        </w:numPr>
        <w:tabs>
          <w:tab w:pos="966" w:val="left" w:leader="none"/>
          <w:tab w:pos="5301" w:val="left" w:leader="none"/>
        </w:tabs>
        <w:spacing w:line="240" w:lineRule="auto" w:before="78" w:after="0"/>
        <w:ind w:left="966" w:right="0" w:hanging="314"/>
        <w:jc w:val="left"/>
        <w:rPr>
          <w:sz w:val="21"/>
        </w:rPr>
      </w:pPr>
      <w:r>
        <w:rPr>
          <w:sz w:val="21"/>
        </w:rPr>
        <w:t>投保年龄</w:t>
        <w:tab/>
      </w:r>
      <w:r>
        <w:rPr>
          <w:rFonts w:ascii="Times New Roman" w:eastAsia="Times New Roman"/>
          <w:position w:val="1"/>
          <w:sz w:val="21"/>
        </w:rPr>
        <w:t>5.2</w:t>
      </w:r>
      <w:r>
        <w:rPr>
          <w:rFonts w:ascii="Times New Roman" w:eastAsia="Times New Roman"/>
          <w:spacing w:val="-3"/>
          <w:position w:val="1"/>
          <w:sz w:val="21"/>
        </w:rPr>
        <w:t> </w:t>
      </w:r>
      <w:r>
        <w:rPr>
          <w:sz w:val="21"/>
        </w:rPr>
        <w:t>风险保险费费率的调整</w:t>
      </w:r>
    </w:p>
    <w:p>
      <w:pPr>
        <w:pStyle w:val="ListParagraph"/>
        <w:numPr>
          <w:ilvl w:val="1"/>
          <w:numId w:val="2"/>
        </w:numPr>
        <w:tabs>
          <w:tab w:pos="966" w:val="left" w:leader="none"/>
          <w:tab w:pos="5091" w:val="left" w:leader="none"/>
        </w:tabs>
        <w:spacing w:line="240" w:lineRule="auto" w:before="78" w:after="0"/>
        <w:ind w:left="966" w:right="0" w:hanging="314"/>
        <w:jc w:val="left"/>
        <w:rPr>
          <w:b/>
          <w:sz w:val="21"/>
        </w:rPr>
      </w:pPr>
      <w:r>
        <w:rPr>
          <w:sz w:val="21"/>
        </w:rPr>
        <w:t>合同的签收</w:t>
        <w:tab/>
      </w:r>
      <w:r>
        <w:rPr>
          <w:rFonts w:ascii="Times New Roman" w:eastAsia="Times New Roman"/>
          <w:b/>
          <w:position w:val="1"/>
          <w:sz w:val="21"/>
        </w:rPr>
        <w:t>6</w:t>
      </w:r>
      <w:r>
        <w:rPr>
          <w:rFonts w:ascii="Times New Roman" w:eastAsia="Times New Roman"/>
          <w:b/>
          <w:spacing w:val="-4"/>
          <w:position w:val="1"/>
          <w:sz w:val="21"/>
        </w:rPr>
        <w:t> </w:t>
      </w:r>
      <w:r>
        <w:rPr>
          <w:b/>
          <w:sz w:val="21"/>
        </w:rPr>
        <w:t>合同解除</w:t>
      </w:r>
    </w:p>
    <w:p>
      <w:pPr>
        <w:pStyle w:val="ListParagraph"/>
        <w:numPr>
          <w:ilvl w:val="1"/>
          <w:numId w:val="2"/>
        </w:numPr>
        <w:tabs>
          <w:tab w:pos="966" w:val="left" w:leader="none"/>
          <w:tab w:pos="5297" w:val="left" w:leader="none"/>
        </w:tabs>
        <w:spacing w:line="240" w:lineRule="auto" w:before="78" w:after="0"/>
        <w:ind w:left="966" w:right="0" w:hanging="314"/>
        <w:jc w:val="left"/>
        <w:rPr>
          <w:sz w:val="21"/>
        </w:rPr>
      </w:pPr>
      <w:r>
        <w:rPr>
          <w:sz w:val="21"/>
        </w:rPr>
        <w:t>犹豫期</w:t>
        <w:tab/>
      </w:r>
      <w:r>
        <w:rPr>
          <w:rFonts w:ascii="Times New Roman" w:eastAsia="Times New Roman"/>
          <w:position w:val="1"/>
          <w:sz w:val="21"/>
        </w:rPr>
        <w:t>6.1</w:t>
      </w:r>
      <w:r>
        <w:rPr>
          <w:rFonts w:ascii="Times New Roman" w:eastAsia="Times New Roman"/>
          <w:spacing w:val="-1"/>
          <w:position w:val="1"/>
          <w:sz w:val="21"/>
        </w:rPr>
        <w:t> </w:t>
      </w:r>
      <w:r>
        <w:rPr>
          <w:sz w:val="21"/>
        </w:rPr>
        <w:t>解除合同的手续及风险</w:t>
      </w:r>
    </w:p>
    <w:p>
      <w:pPr>
        <w:pStyle w:val="Heading3"/>
        <w:numPr>
          <w:ilvl w:val="0"/>
          <w:numId w:val="2"/>
        </w:numPr>
        <w:tabs>
          <w:tab w:pos="600" w:val="left" w:leader="none"/>
          <w:tab w:pos="5091" w:val="left" w:leader="none"/>
        </w:tabs>
        <w:spacing w:line="240" w:lineRule="auto" w:before="50" w:after="0"/>
        <w:ind w:left="600" w:right="0" w:hanging="158"/>
        <w:jc w:val="left"/>
      </w:pPr>
      <w:r>
        <w:rPr/>
        <w:t>我们提供的保障</w:t>
        <w:tab/>
      </w:r>
      <w:r>
        <w:rPr>
          <w:rFonts w:ascii="Times New Roman" w:eastAsia="Times New Roman"/>
        </w:rPr>
        <w:t>7</w:t>
      </w:r>
      <w:r>
        <w:rPr>
          <w:rFonts w:ascii="Times New Roman" w:eastAsia="Times New Roman"/>
          <w:spacing w:val="-9"/>
        </w:rPr>
        <w:t> </w:t>
      </w:r>
      <w:r>
        <w:rPr/>
        <w:t>附加合同效力的中止及恢复</w:t>
      </w:r>
    </w:p>
    <w:p>
      <w:pPr>
        <w:pStyle w:val="ListParagraph"/>
        <w:numPr>
          <w:ilvl w:val="1"/>
          <w:numId w:val="2"/>
        </w:numPr>
        <w:tabs>
          <w:tab w:pos="966" w:val="left" w:leader="none"/>
          <w:tab w:pos="5301" w:val="left" w:leader="none"/>
        </w:tabs>
        <w:spacing w:line="240" w:lineRule="auto" w:before="68" w:after="0"/>
        <w:ind w:left="966" w:right="0" w:hanging="314"/>
        <w:jc w:val="left"/>
        <w:rPr>
          <w:sz w:val="21"/>
        </w:rPr>
      </w:pPr>
      <w:r>
        <w:rPr>
          <w:sz w:val="21"/>
        </w:rPr>
        <w:t>基本保险金额</w:t>
        <w:tab/>
      </w:r>
      <w:r>
        <w:rPr>
          <w:rFonts w:ascii="Times New Roman" w:eastAsia="Times New Roman"/>
          <w:sz w:val="21"/>
        </w:rPr>
        <w:t>7.1</w:t>
      </w:r>
      <w:r>
        <w:rPr>
          <w:rFonts w:ascii="Times New Roman" w:eastAsia="Times New Roman"/>
          <w:spacing w:val="-3"/>
          <w:sz w:val="21"/>
        </w:rPr>
        <w:t> </w:t>
      </w:r>
      <w:r>
        <w:rPr>
          <w:sz w:val="21"/>
        </w:rPr>
        <w:t>宽限期及合同效力的中止</w:t>
      </w:r>
    </w:p>
    <w:p>
      <w:pPr>
        <w:pStyle w:val="ListParagraph"/>
        <w:numPr>
          <w:ilvl w:val="1"/>
          <w:numId w:val="2"/>
        </w:numPr>
        <w:tabs>
          <w:tab w:pos="966" w:val="left" w:leader="none"/>
          <w:tab w:pos="5301" w:val="left" w:leader="none"/>
        </w:tabs>
        <w:spacing w:line="240" w:lineRule="auto" w:before="68" w:after="0"/>
        <w:ind w:left="966" w:right="0" w:hanging="314"/>
        <w:jc w:val="left"/>
        <w:rPr>
          <w:sz w:val="21"/>
        </w:rPr>
      </w:pPr>
      <w:r>
        <w:rPr>
          <w:sz w:val="21"/>
        </w:rPr>
        <w:t>保险期间</w:t>
        <w:tab/>
      </w:r>
      <w:r>
        <w:rPr>
          <w:rFonts w:ascii="Times New Roman" w:eastAsia="Times New Roman"/>
          <w:sz w:val="21"/>
        </w:rPr>
        <w:t>7.2</w:t>
      </w:r>
      <w:r>
        <w:rPr>
          <w:rFonts w:ascii="Times New Roman" w:eastAsia="Times New Roman"/>
          <w:spacing w:val="-3"/>
          <w:sz w:val="21"/>
        </w:rPr>
        <w:t> </w:t>
      </w:r>
      <w:r>
        <w:rPr>
          <w:sz w:val="21"/>
        </w:rPr>
        <w:t>附加合同效力的恢复</w:t>
      </w:r>
    </w:p>
    <w:p>
      <w:pPr>
        <w:pStyle w:val="ListParagraph"/>
        <w:numPr>
          <w:ilvl w:val="1"/>
          <w:numId w:val="2"/>
        </w:numPr>
        <w:tabs>
          <w:tab w:pos="966" w:val="left" w:leader="none"/>
          <w:tab w:pos="5091" w:val="left" w:leader="none"/>
        </w:tabs>
        <w:spacing w:line="240" w:lineRule="auto" w:before="68" w:after="0"/>
        <w:ind w:left="966" w:right="0" w:hanging="314"/>
        <w:jc w:val="left"/>
        <w:rPr>
          <w:b/>
          <w:sz w:val="21"/>
        </w:rPr>
      </w:pPr>
      <w:r>
        <w:rPr>
          <w:sz w:val="21"/>
        </w:rPr>
        <w:t>等待期</w:t>
        <w:tab/>
      </w:r>
      <w:r>
        <w:rPr>
          <w:rFonts w:ascii="Times New Roman" w:eastAsia="Times New Roman"/>
          <w:b/>
          <w:sz w:val="21"/>
        </w:rPr>
        <w:t>8</w:t>
      </w:r>
      <w:r>
        <w:rPr>
          <w:rFonts w:ascii="Times New Roman" w:eastAsia="Times New Roman"/>
          <w:b/>
          <w:spacing w:val="-7"/>
          <w:sz w:val="21"/>
        </w:rPr>
        <w:t> </w:t>
      </w:r>
      <w:r>
        <w:rPr>
          <w:b/>
          <w:sz w:val="21"/>
        </w:rPr>
        <w:t>附加合同效力的终止</w:t>
      </w:r>
    </w:p>
    <w:p>
      <w:pPr>
        <w:pStyle w:val="ListParagraph"/>
        <w:numPr>
          <w:ilvl w:val="1"/>
          <w:numId w:val="2"/>
        </w:numPr>
        <w:tabs>
          <w:tab w:pos="966" w:val="left" w:leader="none"/>
          <w:tab w:pos="5091" w:val="left" w:leader="none"/>
        </w:tabs>
        <w:spacing w:line="240" w:lineRule="auto" w:before="68" w:after="0"/>
        <w:ind w:left="966" w:right="0" w:hanging="314"/>
        <w:jc w:val="left"/>
        <w:rPr>
          <w:b/>
          <w:sz w:val="21"/>
        </w:rPr>
      </w:pPr>
      <w:r>
        <w:rPr>
          <w:sz w:val="21"/>
        </w:rPr>
        <w:t>保险责任</w:t>
        <w:tab/>
      </w:r>
      <w:r>
        <w:rPr>
          <w:rFonts w:ascii="Times New Roman" w:eastAsia="Times New Roman"/>
          <w:b/>
          <w:sz w:val="21"/>
        </w:rPr>
        <w:t>9</w:t>
      </w:r>
      <w:r>
        <w:rPr>
          <w:rFonts w:ascii="Times New Roman" w:eastAsia="Times New Roman"/>
          <w:b/>
          <w:spacing w:val="-7"/>
          <w:sz w:val="21"/>
        </w:rPr>
        <w:t> </w:t>
      </w:r>
      <w:r>
        <w:rPr>
          <w:b/>
          <w:sz w:val="21"/>
        </w:rPr>
        <w:t>其他需要关注的事项</w:t>
      </w:r>
    </w:p>
    <w:p>
      <w:pPr>
        <w:pStyle w:val="ListParagraph"/>
        <w:numPr>
          <w:ilvl w:val="1"/>
          <w:numId w:val="2"/>
        </w:numPr>
        <w:tabs>
          <w:tab w:pos="966" w:val="left" w:leader="none"/>
          <w:tab w:pos="5301" w:val="left" w:leader="none"/>
        </w:tabs>
        <w:spacing w:line="240" w:lineRule="auto" w:before="68" w:after="0"/>
        <w:ind w:left="966" w:right="0" w:hanging="314"/>
        <w:jc w:val="left"/>
        <w:rPr>
          <w:sz w:val="21"/>
        </w:rPr>
      </w:pPr>
      <w:r>
        <w:rPr>
          <w:sz w:val="21"/>
        </w:rPr>
        <w:t>责任免除</w:t>
        <w:tab/>
      </w:r>
      <w:r>
        <w:rPr>
          <w:rFonts w:ascii="Times New Roman" w:eastAsia="Times New Roman"/>
          <w:sz w:val="21"/>
        </w:rPr>
        <w:t>9.1</w:t>
      </w:r>
      <w:r>
        <w:rPr>
          <w:rFonts w:ascii="Times New Roman" w:eastAsia="Times New Roman"/>
          <w:spacing w:val="-3"/>
          <w:sz w:val="21"/>
        </w:rPr>
        <w:t> </w:t>
      </w:r>
      <w:r>
        <w:rPr>
          <w:sz w:val="21"/>
        </w:rPr>
        <w:t>年龄错误</w:t>
      </w:r>
    </w:p>
    <w:p>
      <w:pPr>
        <w:pStyle w:val="Heading3"/>
        <w:numPr>
          <w:ilvl w:val="0"/>
          <w:numId w:val="2"/>
        </w:numPr>
        <w:tabs>
          <w:tab w:pos="590" w:val="left" w:leader="none"/>
          <w:tab w:pos="5091" w:val="left" w:leader="none"/>
        </w:tabs>
        <w:spacing w:line="240" w:lineRule="auto" w:before="68" w:after="0"/>
        <w:ind w:left="590" w:right="0" w:hanging="148"/>
        <w:jc w:val="left"/>
      </w:pPr>
      <w:r>
        <w:rPr/>
        <w:t>重大疾病保障范围及定义</w:t>
        <w:tab/>
      </w:r>
      <w:r>
        <w:rPr>
          <w:rFonts w:ascii="Times New Roman" w:eastAsia="Times New Roman"/>
        </w:rPr>
        <w:t>10</w:t>
      </w:r>
      <w:r>
        <w:rPr>
          <w:rFonts w:ascii="Times New Roman" w:eastAsia="Times New Roman"/>
          <w:spacing w:val="-6"/>
        </w:rPr>
        <w:t> </w:t>
      </w:r>
      <w:r>
        <w:rPr/>
        <w:t>特别说明</w:t>
      </w:r>
    </w:p>
    <w:p>
      <w:pPr>
        <w:pStyle w:val="ListParagraph"/>
        <w:numPr>
          <w:ilvl w:val="0"/>
          <w:numId w:val="2"/>
        </w:numPr>
        <w:tabs>
          <w:tab w:pos="600" w:val="left" w:leader="none"/>
          <w:tab w:pos="5091" w:val="left" w:leader="none"/>
        </w:tabs>
        <w:spacing w:line="240" w:lineRule="auto" w:before="68" w:after="0"/>
        <w:ind w:left="600" w:right="0" w:hanging="158"/>
        <w:jc w:val="left"/>
        <w:rPr>
          <w:b/>
          <w:sz w:val="21"/>
        </w:rPr>
      </w:pPr>
      <w:r>
        <w:rPr>
          <w:b/>
          <w:sz w:val="21"/>
        </w:rPr>
        <w:t>保险金的申请</w:t>
        <w:tab/>
      </w:r>
      <w:r>
        <w:rPr>
          <w:rFonts w:ascii="Times New Roman" w:eastAsia="Times New Roman"/>
          <w:b/>
          <w:spacing w:val="-6"/>
          <w:sz w:val="21"/>
        </w:rPr>
        <w:t>11</w:t>
      </w:r>
      <w:r>
        <w:rPr>
          <w:rFonts w:ascii="Times New Roman" w:eastAsia="Times New Roman"/>
          <w:b/>
          <w:spacing w:val="-3"/>
          <w:sz w:val="21"/>
        </w:rPr>
        <w:t> </w:t>
      </w:r>
      <w:r>
        <w:rPr>
          <w:b/>
          <w:sz w:val="21"/>
        </w:rPr>
        <w:t>释义</w:t>
      </w:r>
    </w:p>
    <w:p>
      <w:pPr>
        <w:pStyle w:val="ListParagraph"/>
        <w:numPr>
          <w:ilvl w:val="1"/>
          <w:numId w:val="2"/>
        </w:numPr>
        <w:tabs>
          <w:tab w:pos="966" w:val="left" w:leader="none"/>
        </w:tabs>
        <w:spacing w:line="240" w:lineRule="auto" w:before="68" w:after="0"/>
        <w:ind w:left="966" w:right="0" w:hanging="314"/>
        <w:jc w:val="left"/>
        <w:rPr>
          <w:sz w:val="21"/>
        </w:rPr>
      </w:pPr>
      <w:r>
        <w:rPr>
          <w:sz w:val="21"/>
        </w:rPr>
        <w:t>保险金的申请</w:t>
      </w:r>
    </w:p>
    <w:p>
      <w:pPr>
        <w:spacing w:after="0" w:line="240" w:lineRule="auto"/>
        <w:jc w:val="left"/>
        <w:rPr>
          <w:sz w:val="21"/>
        </w:rPr>
        <w:sectPr>
          <w:type w:val="continuous"/>
          <w:pgSz w:w="11900" w:h="16840"/>
          <w:pgMar w:top="60" w:bottom="280" w:left="1580" w:right="220"/>
        </w:sectPr>
      </w:pPr>
    </w:p>
    <w:p>
      <w:pPr>
        <w:pStyle w:val="BodyText"/>
        <w:ind w:left="2248"/>
        <w:rPr>
          <w:sz w:val="20"/>
        </w:rPr>
      </w:pPr>
      <w:r>
        <w:rPr>
          <w:sz w:val="20"/>
        </w:rPr>
        <w:drawing>
          <wp:inline distT="0" distB="0" distL="0" distR="0">
            <wp:extent cx="3543298" cy="86753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543298" cy="867536"/>
                    </a:xfrm>
                    <a:prstGeom prst="rect">
                      <a:avLst/>
                    </a:prstGeom>
                  </pic:spPr>
                </pic:pic>
              </a:graphicData>
            </a:graphic>
          </wp:inline>
        </w:drawing>
      </w:r>
      <w:r>
        <w:rPr>
          <w:sz w:val="20"/>
        </w:rPr>
      </w:r>
    </w:p>
    <w:p>
      <w:pPr>
        <w:pStyle w:val="BodyText"/>
        <w:rPr>
          <w:sz w:val="20"/>
        </w:rPr>
      </w:pPr>
    </w:p>
    <w:p>
      <w:pPr>
        <w:pStyle w:val="BodyText"/>
        <w:spacing w:before="12"/>
        <w:rPr>
          <w:sz w:val="22"/>
        </w:rPr>
      </w:pPr>
    </w:p>
    <w:p>
      <w:pPr>
        <w:pStyle w:val="Heading1"/>
        <w:ind w:left="2450"/>
      </w:pPr>
      <w:r>
        <w:rPr>
          <w:w w:val="95"/>
        </w:rPr>
        <w:t>中意附加天天智尊重大疾病保险条款</w:t>
      </w:r>
    </w:p>
    <w:p>
      <w:pPr>
        <w:pStyle w:val="BodyText"/>
        <w:spacing w:before="5"/>
        <w:rPr>
          <w:b/>
          <w:sz w:val="23"/>
        </w:rPr>
      </w:pPr>
    </w:p>
    <w:p>
      <w:pPr>
        <w:spacing w:before="0"/>
        <w:ind w:left="4460"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112 </w:t>
      </w:r>
      <w:r>
        <w:rPr>
          <w:sz w:val="18"/>
        </w:rPr>
        <w:t>号</w:t>
      </w:r>
    </w:p>
    <w:p>
      <w:pPr>
        <w:pStyle w:val="BodyText"/>
        <w:rPr>
          <w:sz w:val="20"/>
        </w:rPr>
      </w:pPr>
    </w:p>
    <w:p>
      <w:pPr>
        <w:pStyle w:val="BodyText"/>
        <w:rPr>
          <w:sz w:val="18"/>
        </w:rPr>
      </w:pPr>
    </w:p>
    <w:p>
      <w:pPr>
        <w:pStyle w:val="BodyText"/>
        <w:spacing w:line="266" w:lineRule="auto"/>
        <w:ind w:left="117" w:right="51" w:firstLine="420"/>
      </w:pPr>
      <w:r>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指您与我们之间订立的</w:t>
      </w:r>
      <w:r>
        <w:rPr>
          <w:rFonts w:ascii="Times New Roman" w:hAnsi="Times New Roman" w:eastAsia="Times New Roman"/>
          <w:position w:val="1"/>
        </w:rPr>
        <w:t>“</w:t>
      </w:r>
      <w:r>
        <w:rPr/>
        <w:t>中意附加天天智尊重大疾病保险</w:t>
      </w:r>
      <w:r>
        <w:rPr>
          <w:rFonts w:ascii="Times New Roman" w:hAnsi="Times New Roman" w:eastAsia="Times New Roman"/>
          <w:position w:val="1"/>
        </w:rPr>
        <w:t>”</w:t>
      </w:r>
      <w:r>
        <w:rPr/>
        <w:t>保险合同。</w:t>
      </w:r>
    </w:p>
    <w:p>
      <w:pPr>
        <w:pStyle w:val="Heading2"/>
        <w:numPr>
          <w:ilvl w:val="0"/>
          <w:numId w:val="3"/>
        </w:numPr>
        <w:tabs>
          <w:tab w:pos="1185" w:val="left" w:leader="none"/>
          <w:tab w:pos="1186" w:val="left" w:leader="none"/>
        </w:tabs>
        <w:spacing w:line="313" w:lineRule="exact" w:before="0" w:after="0"/>
        <w:ind w:left="1186" w:right="0" w:hanging="952"/>
        <w:jc w:val="left"/>
      </w:pPr>
      <w:r>
        <w:rPr>
          <w:w w:val="95"/>
        </w:rPr>
        <w:t>您与我们订立的合同</w:t>
      </w:r>
    </w:p>
    <w:p>
      <w:pPr>
        <w:pStyle w:val="BodyText"/>
        <w:spacing w:before="11"/>
        <w:rPr>
          <w:b/>
          <w:sz w:val="9"/>
        </w:rPr>
      </w:pPr>
      <w:r>
        <w:rPr/>
        <w:pict>
          <v:group style="position:absolute;margin-left:39.200001pt;margin-top:8.423243pt;width:476.7pt;height:1.1pt;mso-position-horizontal-relative:page;mso-position-vertical-relative:paragraph;z-index:1096;mso-wrap-distance-left:0;mso-wrap-distance-right:0" coordorigin="784,168" coordsize="9534,22">
            <v:line style="position:absolute" from="784,179" to="1736,179" stroked="true" strokeweight="1.1pt" strokecolor="#000000">
              <v:stroke dashstyle="solid"/>
            </v:line>
            <v:line style="position:absolute" from="1736,179" to="3718,179" stroked="true" strokeweight="1.1pt" strokecolor="#000000">
              <v:stroke dashstyle="solid"/>
            </v:line>
            <v:line style="position:absolute" from="3718,179" to="10318,179" stroked="true" strokeweight="1.1pt" strokecolor="#000000">
              <v:stroke dashstyle="solid"/>
            </v:line>
            <w10:wrap type="topAndBottom"/>
          </v:group>
        </w:pict>
      </w:r>
    </w:p>
    <w:p>
      <w:pPr>
        <w:pStyle w:val="ListParagraph"/>
        <w:numPr>
          <w:ilvl w:val="1"/>
          <w:numId w:val="3"/>
        </w:numPr>
        <w:tabs>
          <w:tab w:pos="1185" w:val="left" w:leader="none"/>
          <w:tab w:pos="1186" w:val="left" w:leader="none"/>
          <w:tab w:pos="3167" w:val="left" w:leader="none"/>
        </w:tabs>
        <w:spacing w:line="240" w:lineRule="auto" w:before="0" w:after="0"/>
        <w:ind w:left="1186" w:right="0" w:hanging="952"/>
        <w:jc w:val="left"/>
        <w:rPr>
          <w:sz w:val="21"/>
        </w:rPr>
      </w:pPr>
      <w:r>
        <w:rPr>
          <w:b/>
          <w:sz w:val="21"/>
        </w:rPr>
        <w:t>合同构成</w:t>
        <w:tab/>
      </w:r>
      <w:r>
        <w:rPr>
          <w:sz w:val="21"/>
        </w:rPr>
        <w:t>本附加合同可以附加</w:t>
      </w:r>
      <w:r>
        <w:rPr>
          <w:spacing w:val="-62"/>
          <w:sz w:val="21"/>
        </w:rPr>
        <w:t>于</w:t>
      </w:r>
      <w:r>
        <w:rPr>
          <w:sz w:val="21"/>
        </w:rPr>
        <w:t>《中意天天智尊理财投资连结保险</w:t>
      </w:r>
      <w:r>
        <w:rPr>
          <w:spacing w:val="-64"/>
          <w:sz w:val="21"/>
        </w:rPr>
        <w:t>》</w:t>
      </w:r>
      <w:r>
        <w:rPr>
          <w:sz w:val="21"/>
        </w:rPr>
        <w:t>（以下简称</w:t>
      </w:r>
    </w:p>
    <w:p>
      <w:pPr>
        <w:pStyle w:val="BodyText"/>
        <w:spacing w:line="273" w:lineRule="auto" w:before="21"/>
        <w:ind w:left="3168" w:right="235"/>
      </w:pPr>
      <w:r>
        <w:rPr/>
        <w:t>主合同），并作为合同的组成部分。主合同的条款也适用于本附加合同，若互有冲突，则以本附加合同为准。</w:t>
      </w:r>
    </w:p>
    <w:p>
      <w:pPr>
        <w:pStyle w:val="BodyText"/>
        <w:spacing w:before="11"/>
        <w:rPr>
          <w:sz w:val="20"/>
        </w:rPr>
      </w:pPr>
    </w:p>
    <w:p>
      <w:pPr>
        <w:spacing w:after="0"/>
        <w:rPr>
          <w:sz w:val="20"/>
        </w:rPr>
        <w:sectPr>
          <w:footerReference w:type="even" r:id="rId8"/>
          <w:footerReference w:type="default" r:id="rId9"/>
          <w:pgSz w:w="11900" w:h="16840"/>
          <w:pgMar w:footer="866" w:header="0" w:top="1200" w:bottom="1060" w:left="660" w:right="1480"/>
          <w:pgNumType w:start="2"/>
        </w:sectPr>
      </w:pPr>
    </w:p>
    <w:p>
      <w:pPr>
        <w:pStyle w:val="Heading3"/>
        <w:numPr>
          <w:ilvl w:val="1"/>
          <w:numId w:val="3"/>
        </w:numPr>
        <w:tabs>
          <w:tab w:pos="1185" w:val="left" w:leader="none"/>
          <w:tab w:pos="1186" w:val="left" w:leader="none"/>
        </w:tabs>
        <w:spacing w:line="256" w:lineRule="auto" w:before="46" w:after="0"/>
        <w:ind w:left="1186" w:right="0" w:hanging="952"/>
        <w:jc w:val="left"/>
      </w:pPr>
      <w:r>
        <w:rPr>
          <w:spacing w:val="7"/>
        </w:rPr>
        <w:t>保险合同成立与生效</w:t>
      </w:r>
    </w:p>
    <w:p>
      <w:pPr>
        <w:pStyle w:val="BodyText"/>
        <w:spacing w:before="46"/>
        <w:ind w:left="179"/>
      </w:pPr>
      <w:r>
        <w:rPr/>
        <w:br w:type="column"/>
      </w:r>
      <w:r>
        <w:rPr/>
        <w:t>您提出保险申请、我们同意承保，本附加合同成立。</w:t>
      </w:r>
    </w:p>
    <w:p>
      <w:pPr>
        <w:pStyle w:val="BodyText"/>
        <w:spacing w:line="273" w:lineRule="auto" w:before="36"/>
        <w:ind w:left="179" w:right="235"/>
      </w:pPr>
      <w:r>
        <w:rPr/>
        <w:t>本附加合同自我们同意承保并签发保险单后开始生效，合同生效日期在保险单上载明。保单年度、保险费约定支付日以该日期计算。</w:t>
      </w:r>
    </w:p>
    <w:p>
      <w:pPr>
        <w:pStyle w:val="Heading3"/>
        <w:spacing w:line="273" w:lineRule="auto" w:before="7"/>
        <w:ind w:left="179" w:right="231"/>
      </w:pPr>
      <w:r>
        <w:rPr/>
        <w:t>我们自保险单上约定的生效日的次日零时起开始承担本附加合同约定</w:t>
      </w:r>
      <w:r>
        <w:rPr>
          <w:w w:val="95"/>
        </w:rPr>
        <w:t>的保险责任。</w:t>
      </w:r>
    </w:p>
    <w:p>
      <w:pPr>
        <w:spacing w:after="0" w:line="273" w:lineRule="auto"/>
        <w:sectPr>
          <w:type w:val="continuous"/>
          <w:pgSz w:w="11900" w:h="16840"/>
          <w:pgMar w:top="60" w:bottom="280" w:left="660" w:right="1480"/>
          <w:cols w:num="2" w:equalWidth="0">
            <w:col w:w="2949" w:space="40"/>
            <w:col w:w="6771"/>
          </w:cols>
        </w:sectPr>
      </w:pPr>
    </w:p>
    <w:p>
      <w:pPr>
        <w:pStyle w:val="BodyText"/>
        <w:spacing w:before="11"/>
        <w:rPr>
          <w:b/>
          <w:sz w:val="20"/>
        </w:rPr>
      </w:pPr>
    </w:p>
    <w:p>
      <w:pPr>
        <w:pStyle w:val="ListParagraph"/>
        <w:numPr>
          <w:ilvl w:val="1"/>
          <w:numId w:val="3"/>
        </w:numPr>
        <w:tabs>
          <w:tab w:pos="1185" w:val="left" w:leader="none"/>
          <w:tab w:pos="1186" w:val="left" w:leader="none"/>
          <w:tab w:pos="3167" w:val="left" w:leader="none"/>
        </w:tabs>
        <w:spacing w:line="240" w:lineRule="auto" w:before="46" w:after="0"/>
        <w:ind w:left="1186" w:right="0" w:hanging="952"/>
        <w:jc w:val="left"/>
        <w:rPr>
          <w:sz w:val="21"/>
        </w:rPr>
      </w:pPr>
      <w:r>
        <w:rPr>
          <w:b/>
          <w:sz w:val="21"/>
        </w:rPr>
        <w:t>投保年龄</w:t>
        <w:tab/>
      </w:r>
      <w:r>
        <w:rPr>
          <w:sz w:val="21"/>
        </w:rPr>
        <w:t>指您投保本附加合同时被保险人的年龄，年龄以周岁计算。</w:t>
      </w:r>
    </w:p>
    <w:p>
      <w:pPr>
        <w:pStyle w:val="BodyText"/>
        <w:spacing w:before="20"/>
        <w:ind w:left="3168"/>
        <w:jc w:val="both"/>
      </w:pPr>
      <w:r>
        <w:rPr/>
        <w:t>本附加合同接受的投保年龄为出生满</w:t>
      </w:r>
      <w:r>
        <w:rPr>
          <w:rFonts w:ascii="Times New Roman" w:eastAsia="Times New Roman"/>
        </w:rPr>
        <w:t>30</w:t>
      </w:r>
      <w:r>
        <w:rPr/>
        <w:t>天至</w:t>
      </w:r>
      <w:r>
        <w:rPr>
          <w:rFonts w:ascii="Times New Roman" w:eastAsia="Times New Roman"/>
        </w:rPr>
        <w:t>59</w:t>
      </w:r>
      <w:r>
        <w:rPr/>
        <w:t>周岁。</w:t>
      </w:r>
    </w:p>
    <w:p>
      <w:pPr>
        <w:pStyle w:val="BodyText"/>
        <w:spacing w:before="5"/>
        <w:rPr>
          <w:sz w:val="25"/>
        </w:rPr>
      </w:pPr>
    </w:p>
    <w:p>
      <w:pPr>
        <w:pStyle w:val="ListParagraph"/>
        <w:numPr>
          <w:ilvl w:val="1"/>
          <w:numId w:val="3"/>
        </w:numPr>
        <w:tabs>
          <w:tab w:pos="1185" w:val="left" w:leader="none"/>
          <w:tab w:pos="1186" w:val="left" w:leader="none"/>
          <w:tab w:pos="3167" w:val="left" w:leader="none"/>
        </w:tabs>
        <w:spacing w:line="240" w:lineRule="auto" w:before="0" w:after="0"/>
        <w:ind w:left="1186" w:right="0" w:hanging="952"/>
        <w:jc w:val="left"/>
        <w:rPr>
          <w:sz w:val="21"/>
        </w:rPr>
      </w:pPr>
      <w:r>
        <w:rPr>
          <w:b/>
          <w:sz w:val="21"/>
        </w:rPr>
        <w:t>合同的签收</w:t>
        <w:tab/>
      </w:r>
      <w:r>
        <w:rPr>
          <w:sz w:val="21"/>
        </w:rPr>
        <w:t>在您收到本合同时，您应当签署本附加合同的签收回执。</w:t>
      </w:r>
    </w:p>
    <w:p>
      <w:pPr>
        <w:pStyle w:val="BodyText"/>
        <w:spacing w:before="6"/>
        <w:rPr>
          <w:sz w:val="26"/>
        </w:rPr>
      </w:pPr>
    </w:p>
    <w:p>
      <w:pPr>
        <w:pStyle w:val="ListParagraph"/>
        <w:numPr>
          <w:ilvl w:val="1"/>
          <w:numId w:val="3"/>
        </w:numPr>
        <w:tabs>
          <w:tab w:pos="1185" w:val="left" w:leader="none"/>
          <w:tab w:pos="1186" w:val="left" w:leader="none"/>
          <w:tab w:pos="3167" w:val="left" w:leader="none"/>
        </w:tabs>
        <w:spacing w:line="240" w:lineRule="auto" w:before="0" w:after="0"/>
        <w:ind w:left="1186" w:right="0" w:hanging="952"/>
        <w:jc w:val="left"/>
        <w:rPr>
          <w:sz w:val="21"/>
        </w:rPr>
      </w:pPr>
      <w:r>
        <w:rPr>
          <w:b/>
          <w:sz w:val="21"/>
        </w:rPr>
        <w:t>犹豫期</w:t>
        <w:tab/>
      </w:r>
      <w:r>
        <w:rPr>
          <w:spacing w:val="-1"/>
          <w:sz w:val="21"/>
        </w:rPr>
        <w:t>自</w:t>
      </w:r>
      <w:r>
        <w:rPr>
          <w:sz w:val="21"/>
        </w:rPr>
        <w:t>您签收本附加合同的次日起，有</w:t>
      </w:r>
      <w:r>
        <w:rPr>
          <w:rFonts w:ascii="Times New Roman" w:eastAsia="Times New Roman"/>
          <w:position w:val="1"/>
          <w:sz w:val="21"/>
        </w:rPr>
        <w:t>10</w:t>
      </w:r>
      <w:r>
        <w:rPr>
          <w:sz w:val="21"/>
        </w:rPr>
        <w:t>日的犹豫期。在此期间，请您仔</w:t>
      </w:r>
    </w:p>
    <w:p>
      <w:pPr>
        <w:pStyle w:val="BodyText"/>
        <w:spacing w:line="273" w:lineRule="auto" w:before="30"/>
        <w:ind w:left="3168" w:right="291"/>
        <w:jc w:val="both"/>
      </w:pPr>
      <w:r>
        <w:rPr/>
        <w:t>细阅读本附加合同，如果您认为本附加合同与您的需求不相符，您可以在犹豫期结束前解除本附加合同。</w:t>
      </w:r>
    </w:p>
    <w:p>
      <w:pPr>
        <w:pStyle w:val="BodyText"/>
        <w:spacing w:line="273" w:lineRule="auto" w:before="7"/>
        <w:ind w:left="3168" w:right="291"/>
        <w:jc w:val="both"/>
      </w:pPr>
      <w:r>
        <w:rPr/>
        <w:t>解除本附加合同时，您需要填写申请书，并提供您的保险合同及有效身份证件。自您书面申请解除本附加合同之日起，本附加合同即被解除，我们自本附加合同生效日起不承担保险责任。</w:t>
      </w:r>
    </w:p>
    <w:p>
      <w:pPr>
        <w:pStyle w:val="BodyText"/>
        <w:spacing w:before="6"/>
        <w:rPr>
          <w:sz w:val="22"/>
        </w:rPr>
      </w:pPr>
    </w:p>
    <w:p>
      <w:pPr>
        <w:pStyle w:val="Heading2"/>
        <w:numPr>
          <w:ilvl w:val="0"/>
          <w:numId w:val="3"/>
        </w:numPr>
        <w:tabs>
          <w:tab w:pos="1185" w:val="left" w:leader="none"/>
          <w:tab w:pos="1186" w:val="left" w:leader="none"/>
        </w:tabs>
        <w:spacing w:line="240" w:lineRule="auto" w:before="1" w:after="0"/>
        <w:ind w:left="1186" w:right="0" w:hanging="952"/>
        <w:jc w:val="left"/>
      </w:pPr>
      <w:r>
        <w:rPr>
          <w:w w:val="95"/>
        </w:rPr>
        <w:t>我们提供的保障</w:t>
      </w:r>
    </w:p>
    <w:p>
      <w:pPr>
        <w:pStyle w:val="BodyText"/>
        <w:spacing w:before="11"/>
        <w:rPr>
          <w:b/>
          <w:sz w:val="9"/>
        </w:rPr>
      </w:pPr>
      <w:r>
        <w:rPr/>
        <w:pict>
          <v:group style="position:absolute;margin-left:39.200001pt;margin-top:8.41135pt;width:476.7pt;height:1.1pt;mso-position-horizontal-relative:page;mso-position-vertical-relative:paragraph;z-index:1120;mso-wrap-distance-left:0;mso-wrap-distance-right:0" coordorigin="784,168" coordsize="9534,22">
            <v:line style="position:absolute" from="784,179" to="1736,179" stroked="true" strokeweight="1.1pt" strokecolor="#000000">
              <v:stroke dashstyle="solid"/>
            </v:line>
            <v:line style="position:absolute" from="1736,179" to="3718,179" stroked="true" strokeweight="1.1pt" strokecolor="#000000">
              <v:stroke dashstyle="solid"/>
            </v:line>
            <v:line style="position:absolute" from="3718,179" to="10318,179" stroked="true" strokeweight="1.1pt" strokecolor="#000000">
              <v:stroke dashstyle="solid"/>
            </v:line>
            <w10:wrap type="topAndBottom"/>
          </v:group>
        </w:pict>
      </w:r>
    </w:p>
    <w:p>
      <w:pPr>
        <w:pStyle w:val="ListParagraph"/>
        <w:numPr>
          <w:ilvl w:val="1"/>
          <w:numId w:val="3"/>
        </w:numPr>
        <w:tabs>
          <w:tab w:pos="1185" w:val="left" w:leader="none"/>
          <w:tab w:pos="1186" w:val="left" w:leader="none"/>
          <w:tab w:pos="3167" w:val="left" w:leader="none"/>
        </w:tabs>
        <w:spacing w:line="240" w:lineRule="auto" w:before="0" w:after="0"/>
        <w:ind w:left="1186" w:right="0" w:hanging="952"/>
        <w:jc w:val="left"/>
        <w:rPr>
          <w:sz w:val="21"/>
        </w:rPr>
      </w:pPr>
      <w:r>
        <w:rPr>
          <w:b/>
          <w:sz w:val="21"/>
        </w:rPr>
        <w:t>基本保险金额</w:t>
        <w:tab/>
      </w:r>
      <w:r>
        <w:rPr>
          <w:sz w:val="21"/>
        </w:rPr>
        <w:t>本附加合同的基本保险金额由您在投保时与我们约定，并于保险单上</w:t>
      </w:r>
    </w:p>
    <w:p>
      <w:pPr>
        <w:pStyle w:val="BodyText"/>
        <w:spacing w:before="21"/>
        <w:ind w:left="3168"/>
        <w:jc w:val="both"/>
      </w:pPr>
      <w:r>
        <w:rPr/>
        <w:t>载明。</w:t>
      </w:r>
    </w:p>
    <w:p>
      <w:pPr>
        <w:pStyle w:val="BodyText"/>
        <w:spacing w:before="8"/>
        <w:rPr>
          <w:sz w:val="26"/>
        </w:rPr>
      </w:pPr>
    </w:p>
    <w:p>
      <w:pPr>
        <w:pStyle w:val="ListParagraph"/>
        <w:numPr>
          <w:ilvl w:val="1"/>
          <w:numId w:val="3"/>
        </w:numPr>
        <w:tabs>
          <w:tab w:pos="1185" w:val="left" w:leader="none"/>
          <w:tab w:pos="1186" w:val="left" w:leader="none"/>
          <w:tab w:pos="3167" w:val="left" w:leader="none"/>
        </w:tabs>
        <w:spacing w:line="240" w:lineRule="auto" w:before="0" w:after="0"/>
        <w:ind w:left="1186" w:right="0" w:hanging="952"/>
        <w:jc w:val="left"/>
        <w:rPr>
          <w:rFonts w:ascii="Times New Roman" w:eastAsia="Times New Roman"/>
          <w:sz w:val="21"/>
        </w:rPr>
      </w:pPr>
      <w:r>
        <w:rPr>
          <w:b/>
          <w:sz w:val="21"/>
        </w:rPr>
        <w:t>保险期间</w:t>
        <w:tab/>
      </w:r>
      <w:r>
        <w:rPr>
          <w:sz w:val="21"/>
        </w:rPr>
        <w:t>本附加合同的保险期间为自合同生效日的次日零时起至被保险人</w:t>
      </w:r>
      <w:r>
        <w:rPr>
          <w:spacing w:val="30"/>
          <w:sz w:val="21"/>
        </w:rPr>
        <w:t>满</w:t>
      </w:r>
      <w:r>
        <w:rPr>
          <w:rFonts w:ascii="Times New Roman" w:eastAsia="Times New Roman"/>
          <w:sz w:val="21"/>
        </w:rPr>
        <w:t>61</w:t>
      </w:r>
    </w:p>
    <w:p>
      <w:pPr>
        <w:pStyle w:val="BodyText"/>
        <w:spacing w:before="20"/>
        <w:ind w:left="3168"/>
        <w:jc w:val="both"/>
      </w:pPr>
      <w:r>
        <w:rPr/>
        <w:t>周岁后的首个保险单周年日</w:t>
      </w:r>
      <w:r>
        <w:rPr>
          <w:rFonts w:ascii="Times New Roman" w:eastAsia="Times New Roman"/>
        </w:rPr>
        <w:t>24</w:t>
      </w:r>
      <w:r>
        <w:rPr/>
        <w:t>时止，并于保险单上载明。</w:t>
      </w:r>
    </w:p>
    <w:p>
      <w:pPr>
        <w:pStyle w:val="BodyText"/>
        <w:spacing w:before="8"/>
        <w:rPr>
          <w:sz w:val="22"/>
        </w:rPr>
      </w:pPr>
    </w:p>
    <w:p>
      <w:pPr>
        <w:pStyle w:val="ListParagraph"/>
        <w:numPr>
          <w:ilvl w:val="1"/>
          <w:numId w:val="3"/>
        </w:numPr>
        <w:tabs>
          <w:tab w:pos="1185" w:val="left" w:leader="none"/>
          <w:tab w:pos="1186" w:val="left" w:leader="none"/>
          <w:tab w:pos="3167" w:val="left" w:leader="none"/>
        </w:tabs>
        <w:spacing w:line="281" w:lineRule="exact" w:before="0" w:after="0"/>
        <w:ind w:left="1186" w:right="0" w:hanging="952"/>
        <w:jc w:val="left"/>
        <w:rPr>
          <w:sz w:val="21"/>
        </w:rPr>
      </w:pPr>
      <w:r>
        <w:rPr>
          <w:b/>
          <w:position w:val="-3"/>
          <w:sz w:val="21"/>
        </w:rPr>
        <w:t>等待期</w:t>
        <w:tab/>
      </w:r>
      <w:r>
        <w:rPr>
          <w:sz w:val="21"/>
        </w:rPr>
        <w:t>从本附加合同生效（或最后复效）之日</w:t>
      </w:r>
      <w:r>
        <w:rPr>
          <w:spacing w:val="-23"/>
          <w:sz w:val="21"/>
        </w:rPr>
        <w:t> </w:t>
      </w:r>
      <w:r>
        <w:rPr>
          <w:rFonts w:ascii="Times New Roman" w:eastAsia="Times New Roman"/>
          <w:sz w:val="21"/>
        </w:rPr>
        <w:t>1</w:t>
      </w:r>
      <w:r>
        <w:rPr>
          <w:rFonts w:ascii="Times New Roman" w:eastAsia="Times New Roman"/>
          <w:spacing w:val="12"/>
          <w:sz w:val="21"/>
        </w:rPr>
        <w:t> </w:t>
      </w:r>
      <w:r>
        <w:rPr>
          <w:sz w:val="21"/>
        </w:rPr>
        <w:t>年内，被保险</w:t>
      </w:r>
      <w:r>
        <w:rPr>
          <w:spacing w:val="6"/>
          <w:sz w:val="21"/>
        </w:rPr>
        <w:t>人</w:t>
      </w:r>
      <w:r>
        <w:rPr>
          <w:b/>
          <w:sz w:val="21"/>
        </w:rPr>
        <w:t>发病</w:t>
      </w:r>
      <w:r>
        <w:rPr>
          <w:b/>
          <w:spacing w:val="2"/>
          <w:sz w:val="21"/>
        </w:rPr>
        <w:t>，</w:t>
      </w:r>
      <w:r>
        <w:rPr>
          <w:sz w:val="21"/>
        </w:rPr>
        <w:t>我们</w:t>
      </w:r>
    </w:p>
    <w:p>
      <w:pPr>
        <w:pStyle w:val="BodyText"/>
        <w:spacing w:line="251" w:lineRule="exact"/>
        <w:ind w:left="3168"/>
        <w:jc w:val="both"/>
      </w:pPr>
      <w:r>
        <w:rPr/>
        <w:t>不承担保险责任。这 </w:t>
      </w:r>
      <w:r>
        <w:rPr>
          <w:rFonts w:ascii="Times New Roman" w:eastAsia="Times New Roman"/>
        </w:rPr>
        <w:t>1 </w:t>
      </w:r>
      <w:r>
        <w:rPr/>
        <w:t>年的时间称为等待期。但因意外伤害事故引起的</w:t>
      </w:r>
    </w:p>
    <w:p>
      <w:pPr>
        <w:spacing w:after="0" w:line="251" w:lineRule="exact"/>
        <w:jc w:val="both"/>
        <w:sectPr>
          <w:type w:val="continuous"/>
          <w:pgSz w:w="11900" w:h="16840"/>
          <w:pgMar w:top="60" w:bottom="280" w:left="660" w:right="1480"/>
        </w:sectPr>
      </w:pPr>
    </w:p>
    <w:p>
      <w:pPr>
        <w:pStyle w:val="BodyText"/>
        <w:spacing w:before="14"/>
        <w:ind w:left="3036"/>
      </w:pPr>
      <w:r>
        <w:rPr/>
        <w:t>第 </w:t>
      </w:r>
      <w:r>
        <w:rPr>
          <w:rFonts w:ascii="Times New Roman" w:eastAsia="Times New Roman"/>
        </w:rPr>
        <w:t>3 </w:t>
      </w:r>
      <w:r>
        <w:rPr/>
        <w:t>条约定的重大疾病无等待期。</w:t>
      </w:r>
    </w:p>
    <w:p>
      <w:pPr>
        <w:pStyle w:val="BodyText"/>
        <w:spacing w:before="8"/>
        <w:rPr>
          <w:sz w:val="22"/>
        </w:rPr>
      </w:pPr>
    </w:p>
    <w:p>
      <w:pPr>
        <w:pStyle w:val="ListParagraph"/>
        <w:numPr>
          <w:ilvl w:val="1"/>
          <w:numId w:val="3"/>
        </w:numPr>
        <w:tabs>
          <w:tab w:pos="1051" w:val="left" w:leader="none"/>
          <w:tab w:pos="1052" w:val="left" w:leader="none"/>
          <w:tab w:pos="3035" w:val="left" w:leader="none"/>
        </w:tabs>
        <w:spacing w:line="240" w:lineRule="auto" w:before="0" w:after="0"/>
        <w:ind w:left="1052" w:right="0" w:hanging="950"/>
        <w:jc w:val="left"/>
        <w:rPr>
          <w:sz w:val="21"/>
        </w:rPr>
      </w:pPr>
      <w:r>
        <w:rPr>
          <w:b/>
          <w:sz w:val="21"/>
        </w:rPr>
        <w:t>保险责任</w:t>
        <w:tab/>
      </w:r>
      <w:r>
        <w:rPr>
          <w:sz w:val="21"/>
        </w:rPr>
        <w:t>在本附加合同有效期内，我们只承担下列三项保险责任中的一项：</w:t>
      </w:r>
    </w:p>
    <w:p>
      <w:pPr>
        <w:pStyle w:val="BodyText"/>
        <w:spacing w:before="4"/>
        <w:rPr>
          <w:sz w:val="22"/>
        </w:rPr>
      </w:pPr>
    </w:p>
    <w:p>
      <w:pPr>
        <w:pStyle w:val="ListParagraph"/>
        <w:numPr>
          <w:ilvl w:val="2"/>
          <w:numId w:val="3"/>
        </w:numPr>
        <w:tabs>
          <w:tab w:pos="1051" w:val="left" w:leader="none"/>
          <w:tab w:pos="1052" w:val="left" w:leader="none"/>
          <w:tab w:pos="3035" w:val="left" w:leader="none"/>
        </w:tabs>
        <w:spacing w:line="240" w:lineRule="auto" w:before="0" w:after="0"/>
        <w:ind w:left="1052" w:right="0" w:hanging="950"/>
        <w:jc w:val="left"/>
        <w:rPr>
          <w:sz w:val="21"/>
        </w:rPr>
      </w:pPr>
      <w:r>
        <w:rPr>
          <w:b/>
          <w:position w:val="4"/>
          <w:sz w:val="21"/>
        </w:rPr>
        <w:t>身故保险金</w:t>
        <w:tab/>
      </w:r>
      <w:r>
        <w:rPr>
          <w:sz w:val="21"/>
        </w:rPr>
        <w:t>若被保险人身故，我们将按本附加合同的基本保险金额给付身故保险</w:t>
      </w:r>
    </w:p>
    <w:p>
      <w:pPr>
        <w:pStyle w:val="BodyText"/>
        <w:spacing w:before="20"/>
        <w:ind w:left="3036"/>
      </w:pPr>
      <w:r>
        <w:rPr/>
        <w:t>金，本附加合同效力随即终止。</w:t>
      </w:r>
    </w:p>
    <w:p>
      <w:pPr>
        <w:pStyle w:val="BodyText"/>
        <w:spacing w:before="3"/>
        <w:rPr>
          <w:sz w:val="15"/>
        </w:rPr>
      </w:pPr>
    </w:p>
    <w:p>
      <w:pPr>
        <w:spacing w:after="0"/>
        <w:rPr>
          <w:sz w:val="15"/>
        </w:rPr>
        <w:sectPr>
          <w:pgSz w:w="11900" w:h="16840"/>
          <w:pgMar w:header="0" w:footer="866" w:top="1140" w:bottom="1060" w:left="1360" w:right="800"/>
        </w:sectPr>
      </w:pPr>
    </w:p>
    <w:p>
      <w:pPr>
        <w:pStyle w:val="Heading3"/>
        <w:spacing w:line="208" w:lineRule="auto" w:before="71"/>
        <w:ind w:left="1051"/>
      </w:pPr>
      <w:r>
        <w:rPr/>
        <w:t>未成年人身故保险</w:t>
      </w:r>
      <w:r>
        <w:rPr>
          <w:w w:val="95"/>
        </w:rPr>
        <w:t>金限制</w:t>
      </w:r>
    </w:p>
    <w:p>
      <w:pPr>
        <w:pStyle w:val="BodyText"/>
        <w:spacing w:line="273" w:lineRule="auto" w:before="71"/>
        <w:ind w:left="209" w:right="345"/>
        <w:jc w:val="both"/>
      </w:pPr>
      <w:r>
        <w:rPr/>
        <w:br w:type="column"/>
      </w:r>
      <w:r>
        <w:rPr/>
        <w:t>为未成年子女投保的人身保险，因被保险人身故给付的保险金总和不得超过国务院保险监督管理机构规定的限额，身故给付的保险金额总和约定也不得超过前述限制。</w:t>
      </w:r>
    </w:p>
    <w:p>
      <w:pPr>
        <w:spacing w:after="0" w:line="273" w:lineRule="auto"/>
        <w:jc w:val="both"/>
        <w:sectPr>
          <w:type w:val="continuous"/>
          <w:pgSz w:w="11900" w:h="16840"/>
          <w:pgMar w:top="60" w:bottom="280" w:left="1360" w:right="800"/>
          <w:cols w:num="2" w:equalWidth="0">
            <w:col w:w="2787" w:space="40"/>
            <w:col w:w="6913"/>
          </w:cols>
        </w:sectPr>
      </w:pPr>
    </w:p>
    <w:p>
      <w:pPr>
        <w:pStyle w:val="BodyText"/>
        <w:spacing w:before="11"/>
        <w:rPr>
          <w:sz w:val="12"/>
        </w:rPr>
      </w:pPr>
    </w:p>
    <w:p>
      <w:pPr>
        <w:spacing w:after="0"/>
        <w:rPr>
          <w:sz w:val="12"/>
        </w:rPr>
        <w:sectPr>
          <w:type w:val="continuous"/>
          <w:pgSz w:w="11900" w:h="16840"/>
          <w:pgMar w:top="60" w:bottom="280" w:left="1360" w:right="800"/>
        </w:sectPr>
      </w:pPr>
    </w:p>
    <w:p>
      <w:pPr>
        <w:pStyle w:val="Heading3"/>
        <w:numPr>
          <w:ilvl w:val="2"/>
          <w:numId w:val="3"/>
        </w:numPr>
        <w:tabs>
          <w:tab w:pos="1051" w:val="left" w:leader="none"/>
          <w:tab w:pos="1052" w:val="left" w:leader="none"/>
        </w:tabs>
        <w:spacing w:line="280" w:lineRule="exact" w:before="35" w:after="0"/>
        <w:ind w:left="1052" w:right="0" w:hanging="950"/>
        <w:jc w:val="left"/>
      </w:pPr>
      <w:r>
        <w:rPr>
          <w:spacing w:val="5"/>
        </w:rPr>
        <w:t>全残保险金及全残</w:t>
      </w:r>
    </w:p>
    <w:p>
      <w:pPr>
        <w:spacing w:line="234" w:lineRule="exact" w:before="0"/>
        <w:ind w:left="1043" w:right="1304" w:firstLine="0"/>
        <w:jc w:val="center"/>
        <w:rPr>
          <w:b/>
          <w:sz w:val="21"/>
        </w:rPr>
      </w:pPr>
      <w:r>
        <w:rPr>
          <w:b/>
          <w:w w:val="95"/>
          <w:sz w:val="21"/>
        </w:rPr>
        <w:t>津贴</w:t>
      </w:r>
    </w:p>
    <w:p>
      <w:pPr>
        <w:pStyle w:val="BodyText"/>
        <w:spacing w:line="264" w:lineRule="auto" w:before="71"/>
        <w:ind w:left="101" w:right="326"/>
        <w:jc w:val="both"/>
      </w:pPr>
      <w:r>
        <w:rPr/>
        <w:br w:type="column"/>
      </w:r>
      <w:r>
        <w:rPr/>
        <w:t>若被保险人自本附加合同生效日起一年后发生</w:t>
      </w:r>
      <w:r>
        <w:rPr>
          <w:b/>
        </w:rPr>
        <w:t>全残</w:t>
      </w:r>
      <w:r>
        <w:rPr/>
        <w:t>，且被保险人在被首次确认为全残当日已满</w:t>
      </w:r>
      <w:r>
        <w:rPr>
          <w:rFonts w:ascii="Times New Roman" w:eastAsia="Times New Roman"/>
        </w:rPr>
        <w:t>2</w:t>
      </w:r>
      <w:r>
        <w:rPr/>
        <w:t>周岁，我们将按以下金额给付全残保险金和全残津贴：</w:t>
      </w:r>
    </w:p>
    <w:p>
      <w:pPr>
        <w:pStyle w:val="BodyText"/>
        <w:spacing w:before="15"/>
        <w:ind w:left="101"/>
      </w:pPr>
      <w:r>
        <w:rPr/>
        <w:t>（</w:t>
      </w:r>
      <w:r>
        <w:rPr>
          <w:rFonts w:ascii="Times New Roman" w:eastAsia="Times New Roman"/>
        </w:rPr>
        <w:t>1</w:t>
      </w:r>
      <w:r>
        <w:rPr/>
        <w:t>）全残保险金等于本附加合同的基本保险金额；</w:t>
      </w:r>
    </w:p>
    <w:p>
      <w:pPr>
        <w:pStyle w:val="BodyText"/>
        <w:spacing w:line="256" w:lineRule="auto" w:before="20"/>
        <w:ind w:left="101" w:right="334"/>
        <w:jc w:val="both"/>
      </w:pPr>
      <w:r>
        <w:rPr/>
        <w:t>（</w:t>
      </w:r>
      <w:r>
        <w:rPr>
          <w:rFonts w:ascii="Times New Roman" w:hAnsi="Times New Roman" w:eastAsia="Times New Roman"/>
        </w:rPr>
        <w:t>2</w:t>
      </w:r>
      <w:r>
        <w:rPr/>
        <w:t>）我们将自被保险人被首次确认为全残当日起，每月向被保险人给付全残津贴，直至给付满</w:t>
      </w:r>
      <w:r>
        <w:rPr>
          <w:rFonts w:ascii="Times New Roman" w:hAnsi="Times New Roman" w:eastAsia="Times New Roman"/>
        </w:rPr>
        <w:t>10</w:t>
      </w:r>
      <w:r>
        <w:rPr/>
        <w:t>年或被保险人身故（以较早者为准）。其中，每月全残津贴</w:t>
      </w:r>
      <w:r>
        <w:rPr>
          <w:rFonts w:ascii="Times New Roman" w:hAnsi="Times New Roman" w:eastAsia="Times New Roman"/>
        </w:rPr>
        <w:t>=1% ×</w:t>
      </w:r>
      <w:r>
        <w:rPr/>
        <w:t>本附加合同的基本保险金额。</w:t>
      </w:r>
    </w:p>
    <w:p>
      <w:pPr>
        <w:pStyle w:val="BodyText"/>
        <w:spacing w:before="4"/>
        <w:ind w:left="101"/>
        <w:jc w:val="both"/>
      </w:pPr>
      <w:r>
        <w:rPr/>
        <w:t>在我们履行全残津贴保险责任完毕之后，本附加合同效力随即终止。</w:t>
      </w:r>
    </w:p>
    <w:p>
      <w:pPr>
        <w:spacing w:after="0"/>
        <w:jc w:val="both"/>
        <w:sectPr>
          <w:type w:val="continuous"/>
          <w:pgSz w:w="11900" w:h="16840"/>
          <w:pgMar w:top="60" w:bottom="280" w:left="1360" w:right="800"/>
          <w:cols w:num="2" w:equalWidth="0">
            <w:col w:w="2788" w:space="146"/>
            <w:col w:w="6806"/>
          </w:cols>
        </w:sectPr>
      </w:pPr>
    </w:p>
    <w:p>
      <w:pPr>
        <w:pStyle w:val="BodyText"/>
        <w:spacing w:before="3"/>
        <w:rPr>
          <w:sz w:val="15"/>
        </w:rPr>
      </w:pPr>
    </w:p>
    <w:p>
      <w:pPr>
        <w:pStyle w:val="ListParagraph"/>
        <w:numPr>
          <w:ilvl w:val="2"/>
          <w:numId w:val="3"/>
        </w:numPr>
        <w:tabs>
          <w:tab w:pos="1051" w:val="left" w:leader="none"/>
          <w:tab w:pos="1052" w:val="left" w:leader="none"/>
          <w:tab w:pos="3035" w:val="left" w:leader="none"/>
        </w:tabs>
        <w:spacing w:line="280" w:lineRule="exact" w:before="35" w:after="0"/>
        <w:ind w:left="1052" w:right="0" w:hanging="950"/>
        <w:jc w:val="left"/>
        <w:rPr>
          <w:sz w:val="21"/>
        </w:rPr>
      </w:pPr>
      <w:r>
        <w:rPr>
          <w:b/>
          <w:sz w:val="21"/>
        </w:rPr>
        <w:t>重大疾病保险金</w:t>
        <w:tab/>
      </w:r>
      <w:r>
        <w:rPr>
          <w:sz w:val="21"/>
        </w:rPr>
        <w:t>若被保险人在等待期后首次发病并经专科医生首次确诊患有任何一项</w:t>
      </w:r>
    </w:p>
    <w:p>
      <w:pPr>
        <w:pStyle w:val="BodyText"/>
        <w:spacing w:line="204" w:lineRule="auto" w:before="3"/>
        <w:ind w:left="3036" w:right="360"/>
        <w:jc w:val="both"/>
      </w:pPr>
      <w:r>
        <w:rPr>
          <w:spacing w:val="-5"/>
        </w:rPr>
        <w:t>或多项本附加合同第 </w:t>
      </w:r>
      <w:r>
        <w:rPr>
          <w:rFonts w:ascii="Times New Roman" w:eastAsia="Times New Roman"/>
        </w:rPr>
        <w:t>3 </w:t>
      </w:r>
      <w:r>
        <w:rPr/>
        <w:t>条所约定的重大疾病，我们将按本附加合同的基本保险金额向被保险人给付重大疾病保险金，本附加合同效力随即终止。</w:t>
      </w:r>
    </w:p>
    <w:p>
      <w:pPr>
        <w:pStyle w:val="BodyText"/>
        <w:spacing w:before="12"/>
        <w:rPr>
          <w:sz w:val="23"/>
        </w:rPr>
      </w:pPr>
    </w:p>
    <w:p>
      <w:pPr>
        <w:pStyle w:val="Heading3"/>
        <w:numPr>
          <w:ilvl w:val="1"/>
          <w:numId w:val="3"/>
        </w:numPr>
        <w:tabs>
          <w:tab w:pos="1051" w:val="left" w:leader="none"/>
          <w:tab w:pos="1052" w:val="left" w:leader="none"/>
        </w:tabs>
        <w:spacing w:line="240" w:lineRule="auto" w:before="0" w:after="0"/>
        <w:ind w:left="1052" w:right="0" w:hanging="950"/>
        <w:jc w:val="left"/>
      </w:pPr>
      <w:r>
        <w:rPr>
          <w:w w:val="95"/>
        </w:rPr>
        <w:t>责任免除</w:t>
      </w:r>
    </w:p>
    <w:p>
      <w:pPr>
        <w:pStyle w:val="BodyText"/>
        <w:rPr>
          <w:b/>
          <w:sz w:val="14"/>
        </w:rPr>
      </w:pPr>
    </w:p>
    <w:p>
      <w:pPr>
        <w:spacing w:after="0"/>
        <w:rPr>
          <w:sz w:val="14"/>
        </w:rPr>
        <w:sectPr>
          <w:type w:val="continuous"/>
          <w:pgSz w:w="11900" w:h="16840"/>
          <w:pgMar w:top="60" w:bottom="280" w:left="1360" w:right="800"/>
        </w:sectPr>
      </w:pPr>
    </w:p>
    <w:p>
      <w:pPr>
        <w:pStyle w:val="ListParagraph"/>
        <w:numPr>
          <w:ilvl w:val="2"/>
          <w:numId w:val="3"/>
        </w:numPr>
        <w:tabs>
          <w:tab w:pos="1051" w:val="left" w:leader="none"/>
          <w:tab w:pos="1052" w:val="left" w:leader="none"/>
        </w:tabs>
        <w:spacing w:line="240" w:lineRule="auto" w:before="71" w:after="0"/>
        <w:ind w:left="1166" w:right="0" w:hanging="1064"/>
        <w:jc w:val="left"/>
        <w:rPr>
          <w:b/>
          <w:sz w:val="21"/>
        </w:rPr>
      </w:pPr>
      <w:r>
        <w:rPr>
          <w:b/>
          <w:spacing w:val="7"/>
          <w:sz w:val="21"/>
        </w:rPr>
        <w:t>身故保险金责任免</w:t>
      </w:r>
    </w:p>
    <w:p>
      <w:pPr>
        <w:spacing w:before="30"/>
        <w:ind w:left="0" w:right="498" w:firstLine="0"/>
        <w:jc w:val="center"/>
        <w:rPr>
          <w:b/>
          <w:sz w:val="21"/>
        </w:rPr>
      </w:pPr>
      <w:r>
        <w:rPr>
          <w:b/>
          <w:w w:val="99"/>
          <w:sz w:val="21"/>
        </w:rPr>
        <w:t>除</w:t>
      </w:r>
    </w:p>
    <w:p>
      <w:pPr>
        <w:spacing w:line="208" w:lineRule="auto" w:before="71"/>
        <w:ind w:left="101" w:right="371" w:firstLine="0"/>
        <w:jc w:val="left"/>
        <w:rPr>
          <w:b/>
          <w:sz w:val="21"/>
        </w:rPr>
      </w:pPr>
      <w:r>
        <w:rPr/>
        <w:br w:type="column"/>
      </w:r>
      <w:r>
        <w:rPr>
          <w:b/>
          <w:sz w:val="21"/>
        </w:rPr>
        <w:t>因下列情形之一导致被保险人身故的，我们不承担保险责任，同时本</w:t>
      </w:r>
      <w:r>
        <w:rPr>
          <w:b/>
          <w:w w:val="95"/>
          <w:sz w:val="21"/>
        </w:rPr>
        <w:t>附加合同效力终止：</w:t>
      </w:r>
    </w:p>
    <w:p>
      <w:pPr>
        <w:spacing w:line="231" w:lineRule="exact" w:before="0"/>
        <w:ind w:left="101"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line="241" w:lineRule="exact" w:before="0"/>
        <w:ind w:left="101"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199" w:lineRule="auto" w:before="24"/>
        <w:ind w:left="101" w:right="483" w:firstLine="0"/>
        <w:jc w:val="left"/>
        <w:rPr>
          <w:b/>
          <w:sz w:val="21"/>
        </w:rPr>
      </w:pPr>
      <w:r>
        <w:rPr>
          <w:b/>
          <w:sz w:val="21"/>
        </w:rPr>
        <w:t>（</w:t>
      </w:r>
      <w:r>
        <w:rPr>
          <w:rFonts w:ascii="Times New Roman" w:eastAsia="Times New Roman"/>
          <w:b/>
          <w:sz w:val="21"/>
        </w:rPr>
        <w:t>3</w:t>
      </w:r>
      <w:r>
        <w:rPr>
          <w:b/>
          <w:sz w:val="21"/>
        </w:rPr>
        <w:t>）</w:t>
      </w:r>
      <w:r>
        <w:rPr>
          <w:b/>
          <w:spacing w:val="-4"/>
          <w:sz w:val="21"/>
        </w:rPr>
        <w:t>被保险人自本合同成立或者合同效力恢复之日起 </w:t>
      </w:r>
      <w:r>
        <w:rPr>
          <w:rFonts w:ascii="Times New Roman" w:eastAsia="Times New Roman"/>
          <w:b/>
          <w:sz w:val="21"/>
        </w:rPr>
        <w:t>2 </w:t>
      </w:r>
      <w:r>
        <w:rPr>
          <w:b/>
          <w:sz w:val="21"/>
        </w:rPr>
        <w:t>年内自杀， </w:t>
      </w:r>
      <w:r>
        <w:rPr>
          <w:b/>
          <w:w w:val="95"/>
          <w:sz w:val="21"/>
        </w:rPr>
        <w:t>但被保险人自杀时为无民事行为能力人的除外；</w:t>
      </w:r>
    </w:p>
    <w:p>
      <w:pPr>
        <w:spacing w:line="232" w:lineRule="exact" w:before="0"/>
        <w:ind w:left="101"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p>
    <w:p>
      <w:pPr>
        <w:spacing w:line="241" w:lineRule="exact" w:before="0"/>
        <w:ind w:left="101" w:right="0" w:firstLine="0"/>
        <w:jc w:val="left"/>
        <w:rPr>
          <w:b/>
          <w:sz w:val="21"/>
        </w:rPr>
      </w:pPr>
      <w:r>
        <w:rPr>
          <w:b/>
          <w:w w:val="95"/>
          <w:sz w:val="21"/>
        </w:rPr>
        <w:t>（</w:t>
      </w:r>
      <w:r>
        <w:rPr>
          <w:rFonts w:ascii="Times New Roman" w:eastAsia="Times New Roman"/>
          <w:b/>
          <w:w w:val="95"/>
          <w:sz w:val="21"/>
        </w:rPr>
        <w:t>5</w:t>
      </w:r>
      <w:r>
        <w:rPr>
          <w:b/>
          <w:w w:val="95"/>
          <w:sz w:val="21"/>
        </w:rPr>
        <w:t>）被保险人酒后驾驶，无合法有效驾驶证驾驶，或驾驶无有效行</w:t>
      </w:r>
    </w:p>
    <w:p>
      <w:pPr>
        <w:spacing w:line="232" w:lineRule="exact" w:before="0"/>
        <w:ind w:left="101" w:right="0" w:firstLine="0"/>
        <w:jc w:val="left"/>
        <w:rPr>
          <w:b/>
          <w:sz w:val="21"/>
        </w:rPr>
      </w:pPr>
      <w:r>
        <w:rPr>
          <w:b/>
          <w:w w:val="95"/>
          <w:sz w:val="21"/>
        </w:rPr>
        <w:t>驶证的机动车；</w:t>
      </w:r>
    </w:p>
    <w:p>
      <w:pPr>
        <w:spacing w:line="249" w:lineRule="exact" w:before="0"/>
        <w:ind w:left="101"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line="266" w:lineRule="exact" w:before="0"/>
        <w:ind w:left="101"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after="0" w:line="266" w:lineRule="exact"/>
        <w:jc w:val="left"/>
        <w:rPr>
          <w:sz w:val="21"/>
        </w:rPr>
        <w:sectPr>
          <w:type w:val="continuous"/>
          <w:pgSz w:w="11900" w:h="16840"/>
          <w:pgMar w:top="60" w:bottom="280" w:left="1360" w:right="800"/>
          <w:cols w:num="2" w:equalWidth="0">
            <w:col w:w="2815" w:space="119"/>
            <w:col w:w="6806"/>
          </w:cols>
        </w:sectPr>
      </w:pPr>
    </w:p>
    <w:p>
      <w:pPr>
        <w:pStyle w:val="BodyText"/>
        <w:spacing w:before="3"/>
        <w:rPr>
          <w:b/>
          <w:sz w:val="19"/>
        </w:rPr>
      </w:pPr>
    </w:p>
    <w:p>
      <w:pPr>
        <w:spacing w:after="0"/>
        <w:rPr>
          <w:sz w:val="19"/>
        </w:rPr>
        <w:sectPr>
          <w:type w:val="continuous"/>
          <w:pgSz w:w="11900" w:h="16840"/>
          <w:pgMar w:top="60" w:bottom="280" w:left="1360" w:right="800"/>
        </w:sectPr>
      </w:pPr>
    </w:p>
    <w:p>
      <w:pPr>
        <w:pStyle w:val="ListParagraph"/>
        <w:numPr>
          <w:ilvl w:val="2"/>
          <w:numId w:val="3"/>
        </w:numPr>
        <w:tabs>
          <w:tab w:pos="1051" w:val="left" w:leader="none"/>
          <w:tab w:pos="1052" w:val="left" w:leader="none"/>
        </w:tabs>
        <w:spacing w:line="240" w:lineRule="auto" w:before="46" w:after="0"/>
        <w:ind w:left="1166" w:right="0" w:hanging="1064"/>
        <w:jc w:val="left"/>
        <w:rPr>
          <w:b/>
          <w:sz w:val="21"/>
        </w:rPr>
      </w:pPr>
      <w:r>
        <w:rPr>
          <w:b/>
          <w:spacing w:val="7"/>
          <w:sz w:val="21"/>
        </w:rPr>
        <w:t>全残保险保险金及</w:t>
      </w:r>
    </w:p>
    <w:p>
      <w:pPr>
        <w:spacing w:before="21"/>
        <w:ind w:left="1051" w:right="0" w:firstLine="0"/>
        <w:jc w:val="left"/>
        <w:rPr>
          <w:b/>
          <w:sz w:val="21"/>
        </w:rPr>
      </w:pPr>
      <w:r>
        <w:rPr>
          <w:b/>
          <w:w w:val="95"/>
          <w:sz w:val="21"/>
        </w:rPr>
        <w:t>全残津贴责任免除</w:t>
      </w:r>
    </w:p>
    <w:p>
      <w:pPr>
        <w:spacing w:line="264" w:lineRule="auto" w:before="46"/>
        <w:ind w:left="101" w:right="111" w:firstLine="0"/>
        <w:jc w:val="left"/>
        <w:rPr>
          <w:b/>
          <w:sz w:val="21"/>
        </w:rPr>
      </w:pPr>
      <w:r>
        <w:rPr/>
        <w:br w:type="column"/>
      </w:r>
      <w:r>
        <w:rPr>
          <w:b/>
          <w:sz w:val="21"/>
        </w:rPr>
        <w:t>上述 </w:t>
      </w:r>
      <w:r>
        <w:rPr>
          <w:rFonts w:ascii="Times New Roman" w:eastAsia="Times New Roman"/>
          <w:b/>
          <w:sz w:val="21"/>
        </w:rPr>
        <w:t>2.5.1 </w:t>
      </w:r>
      <w:r>
        <w:rPr>
          <w:b/>
          <w:sz w:val="21"/>
        </w:rPr>
        <w:t>责任免除事项同样适用于全残保险金及全残津贴责任免除， 同时因下列情形之一导致被保险人全残的，我们不承担保险责任，同 </w:t>
      </w:r>
      <w:r>
        <w:rPr>
          <w:b/>
          <w:w w:val="95"/>
          <w:sz w:val="21"/>
        </w:rPr>
        <w:t>时本附加合同效力终止：</w:t>
      </w:r>
    </w:p>
    <w:p>
      <w:pPr>
        <w:spacing w:line="247" w:lineRule="exact" w:before="0"/>
        <w:ind w:left="101" w:right="0" w:firstLine="0"/>
        <w:jc w:val="left"/>
        <w:rPr>
          <w:b/>
          <w:sz w:val="21"/>
        </w:rPr>
      </w:pPr>
      <w:r>
        <w:rPr>
          <w:b/>
          <w:w w:val="95"/>
          <w:sz w:val="21"/>
        </w:rPr>
        <w:t>（</w:t>
      </w:r>
      <w:r>
        <w:rPr>
          <w:rFonts w:ascii="Times New Roman" w:eastAsia="Times New Roman"/>
          <w:b/>
          <w:w w:val="95"/>
          <w:sz w:val="21"/>
        </w:rPr>
        <w:t>1</w:t>
      </w:r>
      <w:r>
        <w:rPr>
          <w:b/>
          <w:w w:val="95"/>
          <w:sz w:val="21"/>
        </w:rPr>
        <w:t>）被保险人自残；</w:t>
      </w:r>
    </w:p>
    <w:p>
      <w:pPr>
        <w:spacing w:line="259" w:lineRule="exact" w:before="0"/>
        <w:ind w:left="101" w:right="0" w:firstLine="0"/>
        <w:jc w:val="left"/>
        <w:rPr>
          <w:b/>
          <w:sz w:val="21"/>
        </w:rPr>
      </w:pPr>
      <w:r>
        <w:rPr>
          <w:b/>
          <w:w w:val="95"/>
          <w:sz w:val="21"/>
        </w:rPr>
        <w:t>（</w:t>
      </w:r>
      <w:r>
        <w:rPr>
          <w:rFonts w:ascii="Times New Roman" w:eastAsia="Times New Roman"/>
          <w:b/>
          <w:w w:val="95"/>
          <w:sz w:val="21"/>
        </w:rPr>
        <w:t>2</w:t>
      </w:r>
      <w:r>
        <w:rPr>
          <w:b/>
          <w:w w:val="95"/>
          <w:sz w:val="21"/>
        </w:rPr>
        <w:t>）被保险人未经医师处方注射、吸食、服用毒品或处方药品；</w:t>
      </w:r>
    </w:p>
    <w:p>
      <w:pPr>
        <w:spacing w:line="283" w:lineRule="exact" w:before="0"/>
        <w:ind w:left="101" w:right="0" w:firstLine="0"/>
        <w:jc w:val="left"/>
        <w:rPr>
          <w:b/>
          <w:sz w:val="21"/>
        </w:rPr>
      </w:pPr>
      <w:r>
        <w:rPr>
          <w:b/>
          <w:w w:val="95"/>
          <w:sz w:val="21"/>
        </w:rPr>
        <w:t>（</w:t>
      </w:r>
      <w:r>
        <w:rPr>
          <w:rFonts w:ascii="Times New Roman" w:eastAsia="Times New Roman"/>
          <w:b/>
          <w:w w:val="95"/>
          <w:sz w:val="21"/>
        </w:rPr>
        <w:t>3</w:t>
      </w:r>
      <w:r>
        <w:rPr>
          <w:b/>
          <w:w w:val="95"/>
          <w:sz w:val="21"/>
        </w:rPr>
        <w:t>）先天性疾病、遗传性疾病及精神疾病；</w:t>
      </w:r>
    </w:p>
    <w:p>
      <w:pPr>
        <w:spacing w:line="266" w:lineRule="auto" w:before="21"/>
        <w:ind w:left="101" w:right="233" w:firstLine="0"/>
        <w:jc w:val="left"/>
        <w:rPr>
          <w:b/>
          <w:sz w:val="21"/>
        </w:rPr>
      </w:pPr>
      <w:r>
        <w:rPr>
          <w:b/>
          <w:sz w:val="21"/>
        </w:rPr>
        <w:t>（</w:t>
      </w:r>
      <w:r>
        <w:rPr>
          <w:rFonts w:ascii="Times New Roman" w:eastAsia="Times New Roman"/>
          <w:b/>
          <w:sz w:val="21"/>
        </w:rPr>
        <w:t>4</w:t>
      </w:r>
      <w:r>
        <w:rPr>
          <w:b/>
          <w:sz w:val="21"/>
        </w:rPr>
        <w:t>）被保险人以职业运动员身份参加的运动；或参与可获得报酬的 </w:t>
      </w:r>
      <w:r>
        <w:rPr>
          <w:b/>
          <w:spacing w:val="-13"/>
          <w:w w:val="95"/>
          <w:sz w:val="21"/>
        </w:rPr>
        <w:t>运动；或者参加以下项目的竞赛、表演或专业训练：赛马、马术、马球、  </w:t>
      </w:r>
      <w:r>
        <w:rPr>
          <w:b/>
          <w:spacing w:val="-36"/>
          <w:sz w:val="21"/>
        </w:rPr>
        <w:t>机动车、自行车、赛艇、滑板、冲浪、滑水、跳水、潜水、跳高滑雪、雪橇、滑</w:t>
      </w:r>
      <w:r>
        <w:rPr>
          <w:b/>
          <w:spacing w:val="-21"/>
          <w:sz w:val="21"/>
        </w:rPr>
        <w:t>冰、冰球、拳击、武术、摔跤；或参加攀岩、攀登海拔</w:t>
      </w:r>
      <w:r>
        <w:rPr>
          <w:rFonts w:ascii="Times New Roman" w:eastAsia="Times New Roman"/>
          <w:b/>
          <w:sz w:val="21"/>
        </w:rPr>
        <w:t>3500</w:t>
      </w:r>
      <w:r>
        <w:rPr>
          <w:b/>
          <w:sz w:val="21"/>
        </w:rPr>
        <w:t>米以上独立ft </w:t>
      </w:r>
      <w:r>
        <w:rPr>
          <w:b/>
          <w:spacing w:val="-23"/>
          <w:sz w:val="21"/>
        </w:rPr>
        <w:t>峰、滑翔翼、气球驾驶、跳伞、空中飞行</w:t>
      </w:r>
      <w:r>
        <w:rPr>
          <w:b/>
          <w:sz w:val="21"/>
        </w:rPr>
        <w:t>（不包括以乘客身份乘坐作为公</w:t>
      </w:r>
      <w:r>
        <w:rPr>
          <w:b/>
          <w:w w:val="95"/>
          <w:sz w:val="21"/>
        </w:rPr>
        <w:t>共交通工具的民航班机）</w:t>
      </w:r>
      <w:r>
        <w:rPr>
          <w:b/>
          <w:spacing w:val="-18"/>
          <w:w w:val="95"/>
          <w:sz w:val="21"/>
        </w:rPr>
        <w:t>、蹦极跳；或参加洞穴、极地、沙漠、火</w:t>
      </w:r>
      <w:r>
        <w:rPr>
          <w:b/>
          <w:w w:val="95"/>
          <w:sz w:val="21"/>
        </w:rPr>
        <w:t>ft</w:t>
      </w:r>
      <w:r>
        <w:rPr>
          <w:b/>
          <w:spacing w:val="-34"/>
          <w:w w:val="95"/>
          <w:sz w:val="21"/>
        </w:rPr>
        <w:t>、冰</w:t>
      </w:r>
    </w:p>
    <w:p>
      <w:pPr>
        <w:spacing w:after="0" w:line="266" w:lineRule="auto"/>
        <w:jc w:val="left"/>
        <w:rPr>
          <w:sz w:val="21"/>
        </w:rPr>
        <w:sectPr>
          <w:type w:val="continuous"/>
          <w:pgSz w:w="11900" w:h="16840"/>
          <w:pgMar w:top="60" w:bottom="280" w:left="1360" w:right="800"/>
          <w:cols w:num="2" w:equalWidth="0">
            <w:col w:w="2815" w:space="119"/>
            <w:col w:w="6806"/>
          </w:cols>
        </w:sectPr>
      </w:pPr>
    </w:p>
    <w:p>
      <w:pPr>
        <w:spacing w:before="10"/>
        <w:ind w:left="3148" w:right="0" w:firstLine="0"/>
        <w:jc w:val="left"/>
        <w:rPr>
          <w:b/>
          <w:sz w:val="21"/>
        </w:rPr>
      </w:pPr>
      <w:r>
        <w:rPr>
          <w:b/>
          <w:w w:val="95"/>
          <w:sz w:val="21"/>
        </w:rPr>
        <w:t>川等探险和考察。</w:t>
      </w:r>
    </w:p>
    <w:p>
      <w:pPr>
        <w:pStyle w:val="BodyText"/>
        <w:spacing w:before="12"/>
        <w:rPr>
          <w:b/>
          <w:sz w:val="22"/>
        </w:rPr>
      </w:pPr>
    </w:p>
    <w:p>
      <w:pPr>
        <w:spacing w:after="0"/>
        <w:rPr>
          <w:sz w:val="22"/>
        </w:rPr>
        <w:sectPr>
          <w:pgSz w:w="11900" w:h="16840"/>
          <w:pgMar w:header="0" w:footer="866" w:top="1180" w:bottom="1060" w:left="680" w:right="1360"/>
        </w:sectPr>
      </w:pPr>
    </w:p>
    <w:p>
      <w:pPr>
        <w:pStyle w:val="ListParagraph"/>
        <w:numPr>
          <w:ilvl w:val="2"/>
          <w:numId w:val="3"/>
        </w:numPr>
        <w:tabs>
          <w:tab w:pos="1165" w:val="left" w:leader="none"/>
          <w:tab w:pos="1166" w:val="left" w:leader="none"/>
        </w:tabs>
        <w:spacing w:line="266" w:lineRule="auto" w:before="48" w:after="0"/>
        <w:ind w:left="1166" w:right="0" w:hanging="952"/>
        <w:jc w:val="left"/>
        <w:rPr>
          <w:b/>
          <w:sz w:val="21"/>
        </w:rPr>
      </w:pPr>
      <w:r>
        <w:rPr>
          <w:b/>
          <w:spacing w:val="7"/>
          <w:sz w:val="21"/>
        </w:rPr>
        <w:t>重大疾病保险金责</w:t>
      </w:r>
      <w:r>
        <w:rPr>
          <w:b/>
          <w:spacing w:val="7"/>
          <w:w w:val="95"/>
          <w:sz w:val="21"/>
        </w:rPr>
        <w:t>任免除</w:t>
      </w:r>
    </w:p>
    <w:p>
      <w:pPr>
        <w:spacing w:line="273" w:lineRule="auto" w:before="48"/>
        <w:ind w:left="179" w:right="195" w:firstLine="0"/>
        <w:jc w:val="left"/>
        <w:rPr>
          <w:b/>
          <w:sz w:val="21"/>
        </w:rPr>
      </w:pPr>
      <w:r>
        <w:rPr/>
        <w:br w:type="column"/>
      </w:r>
      <w:r>
        <w:rPr>
          <w:b/>
          <w:w w:val="95"/>
          <w:sz w:val="21"/>
        </w:rPr>
        <w:t>因下列情形之一导致被保险人发生疾病、达到疾病状态或进行手术的，  我们不承担保险责任，同时本附加合同终止：</w:t>
      </w:r>
    </w:p>
    <w:p>
      <w:pPr>
        <w:spacing w:before="7"/>
        <w:ind w:left="179" w:right="0" w:firstLine="0"/>
        <w:jc w:val="left"/>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p>
      <w:pPr>
        <w:spacing w:before="31"/>
        <w:ind w:left="179" w:right="0" w:firstLine="0"/>
        <w:jc w:val="left"/>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p>
      <w:pPr>
        <w:pStyle w:val="BodyText"/>
        <w:spacing w:before="2"/>
        <w:rPr>
          <w:b/>
          <w:sz w:val="26"/>
        </w:rPr>
      </w:pPr>
    </w:p>
    <w:p>
      <w:pPr>
        <w:spacing w:before="1"/>
        <w:ind w:left="179" w:right="0" w:firstLine="0"/>
        <w:jc w:val="left"/>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p>
      <w:pPr>
        <w:spacing w:line="266" w:lineRule="auto" w:before="31"/>
        <w:ind w:left="179" w:right="327" w:firstLine="0"/>
        <w:jc w:val="left"/>
        <w:rPr>
          <w:b/>
          <w:sz w:val="21"/>
        </w:rPr>
      </w:pPr>
      <w:r>
        <w:rPr>
          <w:b/>
          <w:w w:val="95"/>
          <w:sz w:val="21"/>
        </w:rPr>
        <w:t>（</w:t>
      </w:r>
      <w:r>
        <w:rPr>
          <w:rFonts w:ascii="Times New Roman" w:eastAsia="Times New Roman"/>
          <w:b/>
          <w:w w:val="95"/>
          <w:position w:val="1"/>
          <w:sz w:val="21"/>
        </w:rPr>
        <w:t>4</w:t>
      </w:r>
      <w:r>
        <w:rPr>
          <w:b/>
          <w:w w:val="95"/>
          <w:sz w:val="21"/>
        </w:rPr>
        <w:t>）</w:t>
      </w:r>
      <w:r>
        <w:rPr>
          <w:b/>
          <w:spacing w:val="-3"/>
          <w:w w:val="95"/>
          <w:sz w:val="21"/>
        </w:rPr>
        <w:t>被保险人酒后驾驶、无合法有效驾驶证驾驶，或驾驶无有效行驶  证的机动车；</w:t>
      </w:r>
    </w:p>
    <w:p>
      <w:pPr>
        <w:spacing w:before="13"/>
        <w:ind w:left="179" w:right="0" w:firstLine="0"/>
        <w:jc w:val="left"/>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p>
      <w:pPr>
        <w:spacing w:before="30"/>
        <w:ind w:left="179" w:right="0" w:firstLine="0"/>
        <w:jc w:val="left"/>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p>
      <w:pPr>
        <w:spacing w:before="30"/>
        <w:ind w:left="179" w:right="0" w:firstLine="0"/>
        <w:jc w:val="left"/>
        <w:rPr>
          <w:b/>
          <w:sz w:val="21"/>
        </w:rPr>
      </w:pPr>
      <w:r>
        <w:rPr>
          <w:b/>
          <w:w w:val="95"/>
          <w:sz w:val="21"/>
        </w:rPr>
        <w:t>（</w:t>
      </w:r>
      <w:r>
        <w:rPr>
          <w:rFonts w:ascii="Times New Roman" w:eastAsia="Times New Roman"/>
          <w:b/>
          <w:w w:val="95"/>
          <w:position w:val="1"/>
          <w:sz w:val="21"/>
        </w:rPr>
        <w:t>7</w:t>
      </w:r>
      <w:r>
        <w:rPr>
          <w:b/>
          <w:w w:val="95"/>
          <w:sz w:val="21"/>
        </w:rPr>
        <w:t>）核爆炸、核辐射或核污染；</w:t>
      </w:r>
    </w:p>
    <w:p>
      <w:pPr>
        <w:spacing w:before="30"/>
        <w:ind w:left="179" w:right="0" w:firstLine="0"/>
        <w:jc w:val="left"/>
        <w:rPr>
          <w:b/>
          <w:sz w:val="21"/>
        </w:rPr>
      </w:pPr>
      <w:r>
        <w:rPr>
          <w:b/>
          <w:w w:val="95"/>
          <w:sz w:val="21"/>
        </w:rPr>
        <w:t>（</w:t>
      </w:r>
      <w:r>
        <w:rPr>
          <w:rFonts w:ascii="Times New Roman" w:eastAsia="Times New Roman"/>
          <w:b/>
          <w:w w:val="95"/>
          <w:position w:val="1"/>
          <w:sz w:val="21"/>
        </w:rPr>
        <w:t>8</w:t>
      </w:r>
      <w:r>
        <w:rPr>
          <w:b/>
          <w:w w:val="95"/>
          <w:sz w:val="21"/>
        </w:rPr>
        <w:t>）遗传性疾病、先天性畸形、变形或染色体异常。</w:t>
      </w:r>
    </w:p>
    <w:p>
      <w:pPr>
        <w:spacing w:after="0"/>
        <w:jc w:val="left"/>
        <w:rPr>
          <w:sz w:val="21"/>
        </w:rPr>
        <w:sectPr>
          <w:type w:val="continuous"/>
          <w:pgSz w:w="11900" w:h="16840"/>
          <w:pgMar w:top="60" w:bottom="280" w:left="680" w:right="1360"/>
          <w:cols w:num="2" w:equalWidth="0">
            <w:col w:w="2929" w:space="40"/>
            <w:col w:w="6891"/>
          </w:cols>
        </w:sectPr>
      </w:pPr>
    </w:p>
    <w:p>
      <w:pPr>
        <w:pStyle w:val="BodyText"/>
        <w:spacing w:before="5"/>
        <w:rPr>
          <w:b/>
        </w:rPr>
      </w:pPr>
    </w:p>
    <w:p>
      <w:pPr>
        <w:pStyle w:val="ListParagraph"/>
        <w:numPr>
          <w:ilvl w:val="0"/>
          <w:numId w:val="3"/>
        </w:numPr>
        <w:tabs>
          <w:tab w:pos="1165" w:val="left" w:leader="none"/>
          <w:tab w:pos="1166" w:val="left" w:leader="none"/>
        </w:tabs>
        <w:spacing w:line="240" w:lineRule="auto" w:before="38" w:after="0"/>
        <w:ind w:left="1166" w:right="0" w:hanging="952"/>
        <w:jc w:val="left"/>
        <w:rPr>
          <w:b/>
          <w:sz w:val="24"/>
        </w:rPr>
      </w:pPr>
      <w:r>
        <w:rPr>
          <w:b/>
          <w:w w:val="95"/>
          <w:sz w:val="24"/>
        </w:rPr>
        <w:t>重大疾病保障范围及定义</w:t>
      </w:r>
    </w:p>
    <w:p>
      <w:pPr>
        <w:pStyle w:val="BodyText"/>
        <w:spacing w:before="6"/>
        <w:rPr>
          <w:b/>
          <w:sz w:val="12"/>
        </w:rPr>
      </w:pPr>
      <w:r>
        <w:rPr/>
        <w:pict>
          <v:group style="position:absolute;margin-left:39.200001pt;margin-top:10.107654pt;width:476.7pt;height:1.1pt;mso-position-horizontal-relative:page;mso-position-vertical-relative:paragraph;z-index:1144;mso-wrap-distance-left:0;mso-wrap-distance-right:0" coordorigin="784,202" coordsize="9534,22">
            <v:line style="position:absolute" from="784,213" to="1736,213" stroked="true" strokeweight="1.1pt" strokecolor="#000000">
              <v:stroke dashstyle="solid"/>
            </v:line>
            <v:line style="position:absolute" from="1736,213" to="3718,213" stroked="true" strokeweight="1.1pt" strokecolor="#000000">
              <v:stroke dashstyle="solid"/>
            </v:line>
            <v:line style="position:absolute" from="3718,213" to="10318,213" stroked="true" strokeweight="1.1pt" strokecolor="#000000">
              <v:stroke dashstyle="solid"/>
            </v:line>
            <w10:wrap type="topAndBottom"/>
          </v:group>
        </w:pict>
      </w:r>
    </w:p>
    <w:p>
      <w:pPr>
        <w:pStyle w:val="BodyText"/>
        <w:ind w:left="3148"/>
      </w:pPr>
      <w:r>
        <w:rPr/>
        <w:t>被保险人发生符合以下疾病定义所述条件的疾病，应当由专科医生明</w:t>
      </w:r>
    </w:p>
    <w:p>
      <w:pPr>
        <w:pStyle w:val="BodyText"/>
        <w:spacing w:before="37"/>
        <w:ind w:left="3148"/>
      </w:pPr>
      <w:r>
        <w:rPr/>
        <w:t>确诊断。</w:t>
      </w:r>
    </w:p>
    <w:p>
      <w:pPr>
        <w:pStyle w:val="BodyText"/>
        <w:spacing w:before="8"/>
        <w:rPr>
          <w:sz w:val="26"/>
        </w:rPr>
      </w:pPr>
    </w:p>
    <w:p>
      <w:pPr>
        <w:pStyle w:val="ListParagraph"/>
        <w:numPr>
          <w:ilvl w:val="1"/>
          <w:numId w:val="3"/>
        </w:numPr>
        <w:tabs>
          <w:tab w:pos="1165" w:val="left" w:leader="none"/>
          <w:tab w:pos="1166" w:val="left" w:leader="none"/>
          <w:tab w:pos="3147" w:val="left" w:leader="none"/>
        </w:tabs>
        <w:spacing w:line="240" w:lineRule="auto" w:before="0" w:after="0"/>
        <w:ind w:left="1166" w:right="0" w:hanging="952"/>
        <w:jc w:val="left"/>
        <w:rPr>
          <w:sz w:val="21"/>
        </w:rPr>
      </w:pPr>
      <w:r>
        <w:rPr>
          <w:b/>
          <w:sz w:val="21"/>
        </w:rPr>
        <w:t>恶性肿瘤</w:t>
        <w:tab/>
      </w:r>
      <w:r>
        <w:rPr>
          <w:sz w:val="21"/>
        </w:rPr>
        <w:t>指恶性细胞不受控制的进行性增长和扩散，浸润和破坏周围正常组织，</w:t>
      </w:r>
    </w:p>
    <w:p>
      <w:pPr>
        <w:pStyle w:val="BodyText"/>
        <w:spacing w:line="273" w:lineRule="auto" w:before="20"/>
        <w:ind w:left="3148" w:right="327"/>
      </w:pPr>
      <w:r>
        <w:rPr>
          <w:spacing w:val="-10"/>
        </w:rPr>
        <w:t>可以经血管、淋巴管和体腔扩散转移到身体其它部位的疾病。经病理学检查结果明确诊断，临床诊断属于世界卫生组织《疾病和有关健康问</w:t>
      </w:r>
      <w:r>
        <w:rPr>
          <w:spacing w:val="-1"/>
        </w:rPr>
        <w:t>题的国际统计分类》</w:t>
      </w:r>
      <w:r>
        <w:rPr/>
        <w:t>（</w:t>
      </w:r>
      <w:r>
        <w:rPr>
          <w:rFonts w:ascii="Times New Roman" w:eastAsia="Times New Roman"/>
        </w:rPr>
        <w:t>ICD-10</w:t>
      </w:r>
      <w:r>
        <w:rPr/>
        <w:t>）的恶性肿瘤范畴。</w:t>
      </w:r>
    </w:p>
    <w:p>
      <w:pPr>
        <w:pStyle w:val="BodyText"/>
        <w:spacing w:line="264" w:lineRule="exact"/>
        <w:ind w:left="3148"/>
      </w:pPr>
      <w:r>
        <w:rPr/>
        <w:t>下列疾病不在保障范围内：</w:t>
      </w:r>
    </w:p>
    <w:p>
      <w:pPr>
        <w:pStyle w:val="BodyText"/>
        <w:spacing w:before="37"/>
        <w:ind w:left="3148"/>
      </w:pPr>
      <w:r>
        <w:rPr/>
        <w:t>（</w:t>
      </w:r>
      <w:r>
        <w:rPr>
          <w:rFonts w:ascii="Times New Roman" w:eastAsia="Times New Roman"/>
        </w:rPr>
        <w:t>1</w:t>
      </w:r>
      <w:r>
        <w:rPr/>
        <w:t>）原位癌；</w:t>
      </w:r>
    </w:p>
    <w:p>
      <w:pPr>
        <w:pStyle w:val="BodyText"/>
        <w:spacing w:before="20"/>
        <w:ind w:left="3148"/>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148"/>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148"/>
      </w:pPr>
      <w:r>
        <w:rPr/>
        <w:t>（</w:t>
      </w:r>
      <w:r>
        <w:rPr>
          <w:rFonts w:ascii="Times New Roman" w:eastAsia="Times New Roman"/>
        </w:rPr>
        <w:t>4</w:t>
      </w:r>
      <w:r>
        <w:rPr/>
        <w:t>）皮肤癌（不包括恶性黑色素瘤及已发生转移的皮肤癌）；</w:t>
      </w:r>
    </w:p>
    <w:p>
      <w:pPr>
        <w:pStyle w:val="BodyText"/>
        <w:spacing w:before="16"/>
        <w:ind w:left="3148"/>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148"/>
      </w:pPr>
      <w:r>
        <w:rPr/>
        <w:t>（</w:t>
      </w:r>
      <w:r>
        <w:rPr>
          <w:rFonts w:ascii="Times New Roman" w:eastAsia="Times New Roman"/>
        </w:rPr>
        <w:t>6</w:t>
      </w:r>
      <w:r>
        <w:rPr/>
        <w:t>）感染艾滋病病毒或患艾滋病期间所患恶性肿瘤。</w:t>
      </w:r>
    </w:p>
    <w:p>
      <w:pPr>
        <w:pStyle w:val="BodyText"/>
        <w:spacing w:before="6"/>
        <w:rPr>
          <w:sz w:val="25"/>
        </w:rPr>
      </w:pPr>
    </w:p>
    <w:p>
      <w:pPr>
        <w:pStyle w:val="ListParagraph"/>
        <w:numPr>
          <w:ilvl w:val="1"/>
          <w:numId w:val="3"/>
        </w:numPr>
        <w:tabs>
          <w:tab w:pos="1165" w:val="left" w:leader="none"/>
          <w:tab w:pos="1166" w:val="left" w:leader="none"/>
          <w:tab w:pos="3147" w:val="left" w:leader="none"/>
        </w:tabs>
        <w:spacing w:line="240" w:lineRule="auto" w:before="0" w:after="0"/>
        <w:ind w:left="1166" w:right="0" w:hanging="952"/>
        <w:jc w:val="left"/>
        <w:rPr>
          <w:sz w:val="21"/>
        </w:rPr>
      </w:pPr>
      <w:r>
        <w:rPr>
          <w:b/>
          <w:sz w:val="21"/>
        </w:rPr>
        <w:t>急性心肌梗塞</w:t>
        <w:tab/>
      </w:r>
      <w:r>
        <w:rPr>
          <w:sz w:val="21"/>
        </w:rPr>
        <w:t>指因冠状动脉阻塞导致的相应区域供血不足造成部分心肌坏死。须满</w:t>
      </w:r>
    </w:p>
    <w:p>
      <w:pPr>
        <w:pStyle w:val="BodyText"/>
        <w:spacing w:before="21"/>
        <w:ind w:left="3148"/>
      </w:pPr>
      <w:r>
        <w:rPr/>
        <w:t>足下列至少三项条件：</w:t>
      </w:r>
    </w:p>
    <w:p>
      <w:pPr>
        <w:pStyle w:val="BodyText"/>
        <w:spacing w:before="37"/>
        <w:ind w:left="3148"/>
      </w:pPr>
      <w:r>
        <w:rPr/>
        <w:t>（</w:t>
      </w:r>
      <w:r>
        <w:rPr>
          <w:rFonts w:ascii="Times New Roman" w:eastAsia="Times New Roman"/>
        </w:rPr>
        <w:t>1</w:t>
      </w:r>
      <w:r>
        <w:rPr/>
        <w:t>）典型临床表现，例如急性胸痛等；</w:t>
      </w:r>
    </w:p>
    <w:p>
      <w:pPr>
        <w:pStyle w:val="BodyText"/>
        <w:spacing w:before="21"/>
        <w:ind w:left="3148"/>
      </w:pPr>
      <w:r>
        <w:rPr/>
        <w:t>（</w:t>
      </w:r>
      <w:r>
        <w:rPr>
          <w:rFonts w:ascii="Times New Roman" w:eastAsia="Times New Roman"/>
        </w:rPr>
        <w:t>2</w:t>
      </w:r>
      <w:r>
        <w:rPr/>
        <w:t>）新近的心电图改变提示急性心肌梗塞；</w:t>
      </w:r>
    </w:p>
    <w:p>
      <w:pPr>
        <w:pStyle w:val="BodyText"/>
        <w:spacing w:line="256" w:lineRule="auto" w:before="21"/>
        <w:ind w:left="3148" w:right="515"/>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148" w:right="341"/>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pStyle w:val="BodyText"/>
        <w:spacing w:before="2"/>
        <w:rPr>
          <w:sz w:val="24"/>
        </w:rPr>
      </w:pPr>
    </w:p>
    <w:p>
      <w:pPr>
        <w:pStyle w:val="ListParagraph"/>
        <w:numPr>
          <w:ilvl w:val="1"/>
          <w:numId w:val="3"/>
        </w:numPr>
        <w:tabs>
          <w:tab w:pos="1165" w:val="left" w:leader="none"/>
          <w:tab w:pos="1166" w:val="left" w:leader="none"/>
          <w:tab w:pos="3147" w:val="left" w:leader="none"/>
        </w:tabs>
        <w:spacing w:line="240" w:lineRule="auto" w:before="0" w:after="0"/>
        <w:ind w:left="1166" w:right="0" w:hanging="952"/>
        <w:jc w:val="left"/>
        <w:rPr>
          <w:sz w:val="21"/>
        </w:rPr>
      </w:pPr>
      <w:r>
        <w:rPr>
          <w:b/>
          <w:sz w:val="21"/>
        </w:rPr>
        <w:t>脑中风后遗症</w:t>
        <w:tab/>
      </w:r>
      <w:r>
        <w:rPr>
          <w:sz w:val="21"/>
        </w:rPr>
        <w:t>指因脑血管的突发病变引起脑血管出血、栓塞或梗塞，并导致神经系</w:t>
      </w:r>
    </w:p>
    <w:p>
      <w:pPr>
        <w:pStyle w:val="BodyText"/>
        <w:spacing w:line="256" w:lineRule="auto" w:before="21"/>
        <w:ind w:left="3148" w:right="276"/>
      </w:pPr>
      <w:r>
        <w:rPr/>
        <w:t>统永久性的功能障碍。神经系统永久性的功能障碍，指疾病确诊</w:t>
      </w:r>
      <w:r>
        <w:rPr>
          <w:rFonts w:ascii="Times New Roman" w:eastAsia="Times New Roman"/>
        </w:rPr>
        <w:t>180</w:t>
      </w:r>
      <w:r>
        <w:rPr/>
        <w:t>天后，仍遗留下列一种或一种以上障碍：</w:t>
      </w:r>
    </w:p>
    <w:p>
      <w:pPr>
        <w:pStyle w:val="BodyText"/>
        <w:spacing w:before="22"/>
        <w:ind w:left="3148"/>
      </w:pPr>
      <w:r>
        <w:rPr/>
        <w:t>（</w:t>
      </w:r>
      <w:r>
        <w:rPr>
          <w:rFonts w:ascii="Times New Roman" w:eastAsia="Times New Roman"/>
        </w:rPr>
        <w:t>1</w:t>
      </w:r>
      <w:r>
        <w:rPr/>
        <w:t>）一肢或一肢以上肢体机能完全丧失；</w:t>
      </w:r>
    </w:p>
    <w:p>
      <w:pPr>
        <w:pStyle w:val="BodyText"/>
        <w:spacing w:before="20"/>
        <w:ind w:left="3148"/>
      </w:pPr>
      <w:r>
        <w:rPr/>
        <w:t>（</w:t>
      </w:r>
      <w:r>
        <w:rPr>
          <w:rFonts w:ascii="Times New Roman" w:eastAsia="Times New Roman"/>
        </w:rPr>
        <w:t>2</w:t>
      </w:r>
      <w:r>
        <w:rPr/>
        <w:t>）语言能力或咀嚼吞咽能力完全丧失；</w:t>
      </w:r>
    </w:p>
    <w:p>
      <w:pPr>
        <w:spacing w:after="0"/>
        <w:sectPr>
          <w:type w:val="continuous"/>
          <w:pgSz w:w="11900" w:h="16840"/>
          <w:pgMar w:top="60" w:bottom="280" w:left="680" w:right="13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2165"/>
        <w:gridCol w:w="6669"/>
      </w:tblGrid>
      <w:tr>
        <w:trPr>
          <w:trHeight w:val="278" w:hRule="atLeast"/>
        </w:trPr>
        <w:tc>
          <w:tcPr>
            <w:tcW w:w="2873" w:type="dxa"/>
            <w:gridSpan w:val="2"/>
            <w:vMerge w:val="restart"/>
          </w:tcPr>
          <w:p>
            <w:pPr>
              <w:pStyle w:val="TableParagraph"/>
              <w:rPr>
                <w:rFonts w:ascii="Times New Roman"/>
                <w:sz w:val="20"/>
              </w:rPr>
            </w:pPr>
          </w:p>
        </w:tc>
        <w:tc>
          <w:tcPr>
            <w:tcW w:w="6669" w:type="dxa"/>
          </w:tcPr>
          <w:p>
            <w:pPr>
              <w:pStyle w:val="TableParagraph"/>
              <w:spacing w:line="229" w:lineRule="exact"/>
              <w:ind w:left="111"/>
              <w:rPr>
                <w:sz w:val="21"/>
              </w:rPr>
            </w:pPr>
            <w:r>
              <w:rPr>
                <w:sz w:val="21"/>
              </w:rPr>
              <w:t>（</w:t>
            </w:r>
            <w:r>
              <w:rPr>
                <w:rFonts w:ascii="Times New Roman" w:eastAsia="Times New Roman"/>
                <w:position w:val="1"/>
                <w:sz w:val="21"/>
              </w:rPr>
              <w:t>3</w:t>
            </w:r>
            <w:r>
              <w:rPr>
                <w:sz w:val="21"/>
              </w:rPr>
              <w:t>）自主生活能力完全丧失，无法独立完成六项基本日常生活活动</w:t>
            </w:r>
          </w:p>
        </w:tc>
      </w:tr>
      <w:tr>
        <w:trPr>
          <w:trHeight w:val="456" w:hRule="atLeast"/>
        </w:trPr>
        <w:tc>
          <w:tcPr>
            <w:tcW w:w="2873" w:type="dxa"/>
            <w:gridSpan w:val="2"/>
            <w:vMerge/>
            <w:tcBorders>
              <w:top w:val="nil"/>
            </w:tcBorders>
          </w:tcPr>
          <w:p>
            <w:pPr>
              <w:rPr>
                <w:sz w:val="2"/>
                <w:szCs w:val="2"/>
              </w:rPr>
            </w:pPr>
          </w:p>
        </w:tc>
        <w:tc>
          <w:tcPr>
            <w:tcW w:w="6669" w:type="dxa"/>
          </w:tcPr>
          <w:p>
            <w:pPr>
              <w:pStyle w:val="TableParagraph"/>
              <w:spacing w:line="256" w:lineRule="exact"/>
              <w:ind w:left="111"/>
              <w:rPr>
                <w:sz w:val="21"/>
              </w:rPr>
            </w:pPr>
            <w:r>
              <w:rPr>
                <w:sz w:val="21"/>
              </w:rPr>
              <w:t>中的三项或三项以上。</w:t>
            </w:r>
          </w:p>
        </w:tc>
      </w:tr>
      <w:tr>
        <w:trPr>
          <w:trHeight w:val="479" w:hRule="atLeast"/>
        </w:trPr>
        <w:tc>
          <w:tcPr>
            <w:tcW w:w="708" w:type="dxa"/>
          </w:tcPr>
          <w:p>
            <w:pPr>
              <w:pStyle w:val="TableParagraph"/>
              <w:spacing w:before="191"/>
              <w:ind w:left="50"/>
              <w:rPr>
                <w:rFonts w:ascii="Times New Roman"/>
                <w:sz w:val="21"/>
              </w:rPr>
            </w:pPr>
            <w:r>
              <w:rPr>
                <w:rFonts w:ascii="Times New Roman"/>
                <w:sz w:val="21"/>
              </w:rPr>
              <w:t>3.4</w:t>
            </w:r>
          </w:p>
        </w:tc>
        <w:tc>
          <w:tcPr>
            <w:tcW w:w="2165" w:type="dxa"/>
          </w:tcPr>
          <w:p>
            <w:pPr>
              <w:pStyle w:val="TableParagraph"/>
              <w:spacing w:before="148"/>
              <w:ind w:left="291"/>
              <w:rPr>
                <w:b/>
                <w:sz w:val="21"/>
              </w:rPr>
            </w:pPr>
            <w:r>
              <w:rPr>
                <w:b/>
                <w:sz w:val="21"/>
              </w:rPr>
              <w:t>重大器官移植术或</w:t>
            </w:r>
          </w:p>
        </w:tc>
        <w:tc>
          <w:tcPr>
            <w:tcW w:w="6669" w:type="dxa"/>
          </w:tcPr>
          <w:p>
            <w:pPr>
              <w:pStyle w:val="TableParagraph"/>
              <w:spacing w:before="148"/>
              <w:ind w:left="111"/>
              <w:rPr>
                <w:sz w:val="21"/>
              </w:rPr>
            </w:pPr>
            <w:r>
              <w:rPr>
                <w:sz w:val="21"/>
              </w:rPr>
              <w:t>重大器官移植术，指因相应器官功能衰竭，已经实施了肾脏、肝脏、心</w:t>
            </w:r>
          </w:p>
        </w:tc>
      </w:tr>
      <w:tr>
        <w:trPr>
          <w:trHeight w:val="307" w:hRule="atLeast"/>
        </w:trPr>
        <w:tc>
          <w:tcPr>
            <w:tcW w:w="708" w:type="dxa"/>
          </w:tcPr>
          <w:p>
            <w:pPr>
              <w:pStyle w:val="TableParagraph"/>
              <w:rPr>
                <w:rFonts w:ascii="Times New Roman"/>
                <w:sz w:val="20"/>
              </w:rPr>
            </w:pPr>
          </w:p>
        </w:tc>
        <w:tc>
          <w:tcPr>
            <w:tcW w:w="2165" w:type="dxa"/>
          </w:tcPr>
          <w:p>
            <w:pPr>
              <w:pStyle w:val="TableParagraph"/>
              <w:spacing w:line="256" w:lineRule="exact"/>
              <w:ind w:left="291"/>
              <w:rPr>
                <w:b/>
                <w:sz w:val="21"/>
              </w:rPr>
            </w:pPr>
            <w:r>
              <w:rPr>
                <w:b/>
                <w:w w:val="95"/>
                <w:sz w:val="21"/>
              </w:rPr>
              <w:t>造血干细胞移植术</w:t>
            </w:r>
          </w:p>
        </w:tc>
        <w:tc>
          <w:tcPr>
            <w:tcW w:w="6669" w:type="dxa"/>
          </w:tcPr>
          <w:p>
            <w:pPr>
              <w:pStyle w:val="TableParagraph"/>
              <w:spacing w:line="256" w:lineRule="exact"/>
              <w:ind w:left="111"/>
              <w:rPr>
                <w:sz w:val="21"/>
              </w:rPr>
            </w:pPr>
            <w:r>
              <w:rPr>
                <w:sz w:val="21"/>
              </w:rPr>
              <w:t>脏或肺脏的异体移植手术。</w:t>
            </w:r>
          </w:p>
        </w:tc>
      </w:tr>
      <w:tr>
        <w:trPr>
          <w:trHeight w:val="311"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1" w:lineRule="exact"/>
              <w:ind w:left="111"/>
              <w:rPr>
                <w:sz w:val="21"/>
              </w:rPr>
            </w:pPr>
            <w:r>
              <w:rPr>
                <w:sz w:val="21"/>
              </w:rPr>
              <w:t>造血干细胞移植术，指因造血功能损害或造血系统恶性肿瘤，已经实</w:t>
            </w:r>
          </w:p>
        </w:tc>
      </w:tr>
      <w:tr>
        <w:trPr>
          <w:trHeight w:val="312"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1" w:lineRule="exact"/>
              <w:ind w:left="111"/>
              <w:rPr>
                <w:sz w:val="21"/>
              </w:rPr>
            </w:pPr>
            <w:r>
              <w:rPr>
                <w:sz w:val="21"/>
              </w:rPr>
              <w:t>施了造血干细胞（包括骨髓造血干细胞、外周血造血干细胞和脐血造</w:t>
            </w:r>
          </w:p>
        </w:tc>
      </w:tr>
      <w:tr>
        <w:trPr>
          <w:trHeight w:val="461"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1" w:lineRule="exact"/>
              <w:ind w:left="111"/>
              <w:rPr>
                <w:sz w:val="21"/>
              </w:rPr>
            </w:pPr>
            <w:r>
              <w:rPr>
                <w:sz w:val="21"/>
              </w:rPr>
              <w:t>血干细胞）的异体移植手术。</w:t>
            </w:r>
          </w:p>
        </w:tc>
      </w:tr>
      <w:tr>
        <w:trPr>
          <w:trHeight w:val="479" w:hRule="atLeast"/>
        </w:trPr>
        <w:tc>
          <w:tcPr>
            <w:tcW w:w="708" w:type="dxa"/>
          </w:tcPr>
          <w:p>
            <w:pPr>
              <w:pStyle w:val="TableParagraph"/>
              <w:spacing w:before="191"/>
              <w:ind w:left="50"/>
              <w:rPr>
                <w:rFonts w:ascii="Times New Roman"/>
                <w:sz w:val="21"/>
              </w:rPr>
            </w:pPr>
            <w:r>
              <w:rPr>
                <w:rFonts w:ascii="Times New Roman"/>
                <w:sz w:val="21"/>
              </w:rPr>
              <w:t>3.5</w:t>
            </w:r>
          </w:p>
        </w:tc>
        <w:tc>
          <w:tcPr>
            <w:tcW w:w="2165" w:type="dxa"/>
          </w:tcPr>
          <w:p>
            <w:pPr>
              <w:pStyle w:val="TableParagraph"/>
              <w:spacing w:before="148"/>
              <w:ind w:left="291"/>
              <w:rPr>
                <w:b/>
                <w:sz w:val="21"/>
              </w:rPr>
            </w:pPr>
            <w:r>
              <w:rPr>
                <w:b/>
                <w:w w:val="95"/>
                <w:sz w:val="21"/>
              </w:rPr>
              <w:t>冠状动脉搭桥术</w:t>
            </w:r>
          </w:p>
        </w:tc>
        <w:tc>
          <w:tcPr>
            <w:tcW w:w="6669" w:type="dxa"/>
          </w:tcPr>
          <w:p>
            <w:pPr>
              <w:pStyle w:val="TableParagraph"/>
              <w:spacing w:before="148"/>
              <w:ind w:left="111"/>
              <w:rPr>
                <w:sz w:val="21"/>
              </w:rPr>
            </w:pPr>
            <w:r>
              <w:rPr>
                <w:sz w:val="21"/>
              </w:rPr>
              <w:t>指为治疗严重的冠心病，实际实施了开胸进行的冠状动脉血管旁路移</w:t>
            </w:r>
          </w:p>
        </w:tc>
      </w:tr>
      <w:tr>
        <w:trPr>
          <w:trHeight w:val="307"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56" w:lineRule="exact"/>
              <w:ind w:left="111"/>
              <w:rPr>
                <w:sz w:val="21"/>
              </w:rPr>
            </w:pPr>
            <w:r>
              <w:rPr>
                <w:sz w:val="21"/>
              </w:rPr>
              <w:t>植的手术。</w:t>
            </w:r>
          </w:p>
        </w:tc>
      </w:tr>
      <w:tr>
        <w:trPr>
          <w:trHeight w:val="312"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1" w:lineRule="exact"/>
              <w:ind w:left="111"/>
              <w:rPr>
                <w:sz w:val="21"/>
              </w:rPr>
            </w:pPr>
            <w:r>
              <w:rPr>
                <w:sz w:val="21"/>
              </w:rPr>
              <w:t>冠状动脉支架植入术、心导管球囊扩张术、激光射频技术及其它非开胸</w:t>
            </w:r>
          </w:p>
        </w:tc>
      </w:tr>
      <w:tr>
        <w:trPr>
          <w:trHeight w:val="461"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1" w:lineRule="exact"/>
              <w:ind w:left="111"/>
              <w:rPr>
                <w:sz w:val="21"/>
              </w:rPr>
            </w:pPr>
            <w:r>
              <w:rPr>
                <w:sz w:val="21"/>
              </w:rPr>
              <w:t>的介入手术、腔镜手术不在保障范围内。</w:t>
            </w:r>
          </w:p>
        </w:tc>
      </w:tr>
      <w:tr>
        <w:trPr>
          <w:trHeight w:val="940" w:hRule="atLeast"/>
        </w:trPr>
        <w:tc>
          <w:tcPr>
            <w:tcW w:w="708" w:type="dxa"/>
          </w:tcPr>
          <w:p>
            <w:pPr>
              <w:pStyle w:val="TableParagraph"/>
              <w:spacing w:before="191"/>
              <w:ind w:left="50"/>
              <w:rPr>
                <w:rFonts w:ascii="Times New Roman"/>
                <w:sz w:val="21"/>
              </w:rPr>
            </w:pPr>
            <w:r>
              <w:rPr>
                <w:rFonts w:ascii="Times New Roman"/>
                <w:sz w:val="21"/>
              </w:rPr>
              <w:t>3.6</w:t>
            </w:r>
          </w:p>
        </w:tc>
        <w:tc>
          <w:tcPr>
            <w:tcW w:w="2165" w:type="dxa"/>
          </w:tcPr>
          <w:p>
            <w:pPr>
              <w:pStyle w:val="TableParagraph"/>
              <w:spacing w:before="148"/>
              <w:ind w:left="291"/>
              <w:rPr>
                <w:b/>
                <w:sz w:val="21"/>
              </w:rPr>
            </w:pPr>
            <w:r>
              <w:rPr>
                <w:b/>
                <w:w w:val="95"/>
                <w:sz w:val="21"/>
              </w:rPr>
              <w:t>终末期肾病</w:t>
            </w:r>
          </w:p>
        </w:tc>
        <w:tc>
          <w:tcPr>
            <w:tcW w:w="6669" w:type="dxa"/>
          </w:tcPr>
          <w:p>
            <w:pPr>
              <w:pStyle w:val="TableParagraph"/>
              <w:spacing w:line="273" w:lineRule="auto" w:before="148"/>
              <w:ind w:left="111" w:right="257"/>
              <w:rPr>
                <w:sz w:val="21"/>
              </w:rPr>
            </w:pPr>
            <w:r>
              <w:rPr>
                <w:sz w:val="21"/>
              </w:rPr>
              <w:t>指双肾功能慢性不可逆性衰竭，达到尿毒症期，经诊断后已经进行了至少</w:t>
            </w:r>
            <w:r>
              <w:rPr>
                <w:rFonts w:ascii="Times New Roman" w:eastAsia="Times New Roman"/>
                <w:position w:val="1"/>
                <w:sz w:val="21"/>
              </w:rPr>
              <w:t>90</w:t>
            </w:r>
            <w:r>
              <w:rPr>
                <w:sz w:val="21"/>
              </w:rPr>
              <w:t>天的规律性透析治疗或实施了肾脏移植手术。</w:t>
            </w:r>
          </w:p>
        </w:tc>
      </w:tr>
      <w:tr>
        <w:trPr>
          <w:trHeight w:val="474" w:hRule="atLeast"/>
        </w:trPr>
        <w:tc>
          <w:tcPr>
            <w:tcW w:w="708" w:type="dxa"/>
          </w:tcPr>
          <w:p>
            <w:pPr>
              <w:pStyle w:val="TableParagraph"/>
              <w:spacing w:before="187"/>
              <w:ind w:left="50"/>
              <w:rPr>
                <w:rFonts w:ascii="Times New Roman"/>
                <w:sz w:val="21"/>
              </w:rPr>
            </w:pPr>
            <w:r>
              <w:rPr>
                <w:rFonts w:ascii="Times New Roman"/>
                <w:sz w:val="21"/>
              </w:rPr>
              <w:t>3.7</w:t>
            </w:r>
          </w:p>
        </w:tc>
        <w:tc>
          <w:tcPr>
            <w:tcW w:w="2165" w:type="dxa"/>
          </w:tcPr>
          <w:p>
            <w:pPr>
              <w:pStyle w:val="TableParagraph"/>
              <w:spacing w:before="143"/>
              <w:ind w:left="291"/>
              <w:rPr>
                <w:b/>
                <w:sz w:val="21"/>
              </w:rPr>
            </w:pPr>
            <w:r>
              <w:rPr>
                <w:b/>
                <w:sz w:val="21"/>
              </w:rPr>
              <w:t>急性或亚急性重症</w:t>
            </w:r>
          </w:p>
        </w:tc>
        <w:tc>
          <w:tcPr>
            <w:tcW w:w="6669" w:type="dxa"/>
          </w:tcPr>
          <w:p>
            <w:pPr>
              <w:pStyle w:val="TableParagraph"/>
              <w:spacing w:before="143"/>
              <w:ind w:left="111"/>
              <w:rPr>
                <w:sz w:val="21"/>
              </w:rPr>
            </w:pPr>
            <w:r>
              <w:rPr>
                <w:sz w:val="21"/>
              </w:rPr>
              <w:t>指因肝炎病毒感染引起肝脏组织弥漫性坏死，导致急性肝功能衰竭，</w:t>
            </w:r>
          </w:p>
        </w:tc>
      </w:tr>
      <w:tr>
        <w:trPr>
          <w:trHeight w:val="300" w:hRule="atLeast"/>
        </w:trPr>
        <w:tc>
          <w:tcPr>
            <w:tcW w:w="708" w:type="dxa"/>
          </w:tcPr>
          <w:p>
            <w:pPr>
              <w:pStyle w:val="TableParagraph"/>
              <w:rPr>
                <w:rFonts w:ascii="Times New Roman"/>
                <w:sz w:val="20"/>
              </w:rPr>
            </w:pPr>
          </w:p>
        </w:tc>
        <w:tc>
          <w:tcPr>
            <w:tcW w:w="2165" w:type="dxa"/>
          </w:tcPr>
          <w:p>
            <w:pPr>
              <w:pStyle w:val="TableParagraph"/>
              <w:spacing w:line="256" w:lineRule="exact"/>
              <w:ind w:left="291"/>
              <w:rPr>
                <w:b/>
                <w:sz w:val="21"/>
              </w:rPr>
            </w:pPr>
            <w:r>
              <w:rPr>
                <w:b/>
                <w:w w:val="95"/>
                <w:sz w:val="21"/>
              </w:rPr>
              <w:t>肝炎</w:t>
            </w:r>
          </w:p>
        </w:tc>
        <w:tc>
          <w:tcPr>
            <w:tcW w:w="6669" w:type="dxa"/>
          </w:tcPr>
          <w:p>
            <w:pPr>
              <w:pStyle w:val="TableParagraph"/>
              <w:spacing w:line="256" w:lineRule="exact"/>
              <w:ind w:left="111"/>
              <w:rPr>
                <w:sz w:val="21"/>
              </w:rPr>
            </w:pPr>
            <w:r>
              <w:rPr>
                <w:sz w:val="21"/>
              </w:rPr>
              <w:t>且经血清学或病毒学检查证实，并须满足下列全部条件：</w:t>
            </w:r>
          </w:p>
        </w:tc>
      </w:tr>
      <w:tr>
        <w:trPr>
          <w:trHeight w:val="1408"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73" w:lineRule="exact"/>
              <w:ind w:left="111"/>
              <w:rPr>
                <w:sz w:val="21"/>
              </w:rPr>
            </w:pPr>
            <w:r>
              <w:rPr>
                <w:sz w:val="21"/>
              </w:rPr>
              <w:t>（</w:t>
            </w:r>
            <w:r>
              <w:rPr>
                <w:rFonts w:ascii="Times New Roman" w:eastAsia="Times New Roman"/>
                <w:position w:val="1"/>
                <w:sz w:val="21"/>
              </w:rPr>
              <w:t>1</w:t>
            </w:r>
            <w:r>
              <w:rPr>
                <w:sz w:val="21"/>
              </w:rPr>
              <w:t>）重度黄疸或黄疸迅速加重；</w:t>
            </w:r>
          </w:p>
          <w:p>
            <w:pPr>
              <w:pStyle w:val="TableParagraph"/>
              <w:spacing w:before="31"/>
              <w:ind w:left="111"/>
              <w:rPr>
                <w:sz w:val="21"/>
              </w:rPr>
            </w:pPr>
            <w:r>
              <w:rPr>
                <w:sz w:val="21"/>
              </w:rPr>
              <w:t>（</w:t>
            </w:r>
            <w:r>
              <w:rPr>
                <w:rFonts w:ascii="Times New Roman" w:eastAsia="Times New Roman"/>
                <w:position w:val="1"/>
                <w:sz w:val="21"/>
              </w:rPr>
              <w:t>2</w:t>
            </w:r>
            <w:r>
              <w:rPr>
                <w:sz w:val="21"/>
              </w:rPr>
              <w:t>）肝性脑病；</w:t>
            </w:r>
          </w:p>
          <w:p>
            <w:pPr>
              <w:pStyle w:val="TableParagraph"/>
              <w:spacing w:before="31"/>
              <w:ind w:left="111"/>
              <w:rPr>
                <w:sz w:val="21"/>
              </w:rPr>
            </w:pPr>
            <w:r>
              <w:rPr>
                <w:sz w:val="21"/>
              </w:rPr>
              <w:t>（</w:t>
            </w:r>
            <w:r>
              <w:rPr>
                <w:rFonts w:ascii="Times New Roman" w:eastAsia="Times New Roman"/>
                <w:position w:val="1"/>
                <w:sz w:val="21"/>
              </w:rPr>
              <w:t>3</w:t>
            </w:r>
            <w:r>
              <w:rPr>
                <w:sz w:val="21"/>
              </w:rPr>
              <w:t>）</w:t>
            </w:r>
            <w:r>
              <w:rPr>
                <w:rFonts w:ascii="Times New Roman" w:eastAsia="Times New Roman"/>
                <w:position w:val="1"/>
                <w:sz w:val="21"/>
              </w:rPr>
              <w:t>B</w:t>
            </w:r>
            <w:r>
              <w:rPr>
                <w:sz w:val="21"/>
              </w:rPr>
              <w:t>超或其它影像学检查显示肝脏体积急速萎缩；</w:t>
            </w:r>
          </w:p>
          <w:p>
            <w:pPr>
              <w:pStyle w:val="TableParagraph"/>
              <w:spacing w:before="31"/>
              <w:ind w:left="111"/>
              <w:rPr>
                <w:sz w:val="21"/>
              </w:rPr>
            </w:pPr>
            <w:r>
              <w:rPr>
                <w:sz w:val="21"/>
              </w:rPr>
              <w:t>（</w:t>
            </w:r>
            <w:r>
              <w:rPr>
                <w:rFonts w:ascii="Times New Roman" w:eastAsia="Times New Roman"/>
                <w:position w:val="1"/>
                <w:sz w:val="21"/>
              </w:rPr>
              <w:t>4</w:t>
            </w:r>
            <w:r>
              <w:rPr>
                <w:sz w:val="21"/>
              </w:rPr>
              <w:t>）肝功能指标进行性恶化。</w:t>
            </w:r>
          </w:p>
        </w:tc>
      </w:tr>
      <w:tr>
        <w:trPr>
          <w:trHeight w:val="474" w:hRule="atLeast"/>
        </w:trPr>
        <w:tc>
          <w:tcPr>
            <w:tcW w:w="708" w:type="dxa"/>
          </w:tcPr>
          <w:p>
            <w:pPr>
              <w:pStyle w:val="TableParagraph"/>
              <w:spacing w:before="186"/>
              <w:ind w:left="50"/>
              <w:rPr>
                <w:rFonts w:ascii="Times New Roman"/>
                <w:sz w:val="21"/>
              </w:rPr>
            </w:pPr>
            <w:r>
              <w:rPr>
                <w:rFonts w:ascii="Times New Roman"/>
                <w:sz w:val="21"/>
              </w:rPr>
              <w:t>3.8</w:t>
            </w:r>
          </w:p>
        </w:tc>
        <w:tc>
          <w:tcPr>
            <w:tcW w:w="2165" w:type="dxa"/>
          </w:tcPr>
          <w:p>
            <w:pPr>
              <w:pStyle w:val="TableParagraph"/>
              <w:spacing w:before="143"/>
              <w:ind w:left="291"/>
              <w:rPr>
                <w:b/>
                <w:sz w:val="21"/>
              </w:rPr>
            </w:pPr>
            <w:r>
              <w:rPr>
                <w:b/>
                <w:w w:val="95"/>
                <w:sz w:val="21"/>
              </w:rPr>
              <w:t>良性脑肿瘤</w:t>
            </w:r>
          </w:p>
        </w:tc>
        <w:tc>
          <w:tcPr>
            <w:tcW w:w="6669" w:type="dxa"/>
          </w:tcPr>
          <w:p>
            <w:pPr>
              <w:pStyle w:val="TableParagraph"/>
              <w:spacing w:before="143"/>
              <w:ind w:left="111"/>
              <w:rPr>
                <w:sz w:val="21"/>
              </w:rPr>
            </w:pPr>
            <w:r>
              <w:rPr>
                <w:sz w:val="21"/>
              </w:rPr>
              <w:t>指脑的良性肿瘤，已经引起颅内压增高，临床表现为视神经乳头水肿、</w:t>
            </w:r>
          </w:p>
        </w:tc>
      </w:tr>
      <w:tr>
        <w:trPr>
          <w:trHeight w:val="300"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56" w:lineRule="exact"/>
              <w:ind w:left="111"/>
              <w:rPr>
                <w:sz w:val="21"/>
              </w:rPr>
            </w:pPr>
            <w:r>
              <w:rPr>
                <w:sz w:val="21"/>
              </w:rPr>
              <w:t>精神症状、癫痫及运动感觉障碍等，并危及生命。须由头颅断层扫描</w:t>
            </w:r>
          </w:p>
        </w:tc>
      </w:tr>
      <w:tr>
        <w:trPr>
          <w:trHeight w:val="1259"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6" w:lineRule="auto"/>
              <w:ind w:left="111" w:right="269"/>
              <w:rPr>
                <w:sz w:val="21"/>
              </w:rPr>
            </w:pPr>
            <w:r>
              <w:rPr>
                <w:sz w:val="21"/>
              </w:rPr>
              <w:t>（</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）等影像学检查证实，并须满足下列至少</w:t>
            </w:r>
            <w:r>
              <w:rPr>
                <w:rFonts w:ascii="Times New Roman" w:eastAsia="Times New Roman"/>
                <w:position w:val="1"/>
                <w:sz w:val="21"/>
              </w:rPr>
              <w:t>1</w:t>
            </w:r>
            <w:r>
              <w:rPr>
                <w:sz w:val="21"/>
              </w:rPr>
              <w:t>项条件：</w:t>
            </w:r>
          </w:p>
          <w:p>
            <w:pPr>
              <w:pStyle w:val="TableParagraph"/>
              <w:spacing w:before="13"/>
              <w:ind w:left="111"/>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1"/>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56" w:lineRule="exact"/>
              <w:ind w:left="111"/>
              <w:rPr>
                <w:sz w:val="21"/>
              </w:rPr>
            </w:pPr>
            <w:r>
              <w:rPr>
                <w:sz w:val="21"/>
              </w:rPr>
              <w:t>脑垂体瘤、脑囊肿、脑血管性疾病不在保障范围内。</w:t>
            </w:r>
          </w:p>
        </w:tc>
      </w:tr>
      <w:tr>
        <w:trPr>
          <w:trHeight w:val="791" w:hRule="atLeast"/>
        </w:trPr>
        <w:tc>
          <w:tcPr>
            <w:tcW w:w="708" w:type="dxa"/>
          </w:tcPr>
          <w:p>
            <w:pPr>
              <w:pStyle w:val="TableParagraph"/>
              <w:spacing w:before="191"/>
              <w:ind w:left="50"/>
              <w:rPr>
                <w:rFonts w:ascii="Times New Roman"/>
                <w:sz w:val="21"/>
              </w:rPr>
            </w:pPr>
            <w:r>
              <w:rPr>
                <w:rFonts w:ascii="Times New Roman"/>
                <w:sz w:val="21"/>
              </w:rPr>
              <w:t>3.9</w:t>
            </w:r>
          </w:p>
        </w:tc>
        <w:tc>
          <w:tcPr>
            <w:tcW w:w="2165" w:type="dxa"/>
          </w:tcPr>
          <w:p>
            <w:pPr>
              <w:pStyle w:val="TableParagraph"/>
              <w:spacing w:line="273" w:lineRule="auto" w:before="148"/>
              <w:ind w:left="291" w:right="107"/>
              <w:rPr>
                <w:b/>
                <w:sz w:val="21"/>
              </w:rPr>
            </w:pPr>
            <w:r>
              <w:rPr>
                <w:b/>
                <w:sz w:val="21"/>
              </w:rPr>
              <w:t>脑炎后遗症或脑膜</w:t>
            </w:r>
            <w:r>
              <w:rPr>
                <w:b/>
                <w:w w:val="95"/>
                <w:sz w:val="21"/>
              </w:rPr>
              <w:t>炎后遗症</w:t>
            </w:r>
          </w:p>
        </w:tc>
        <w:tc>
          <w:tcPr>
            <w:tcW w:w="6669" w:type="dxa"/>
          </w:tcPr>
          <w:p>
            <w:pPr>
              <w:pStyle w:val="TableParagraph"/>
              <w:spacing w:line="310" w:lineRule="atLeast" w:before="113"/>
              <w:ind w:left="111" w:right="257"/>
              <w:rPr>
                <w:sz w:val="21"/>
              </w:rPr>
            </w:pPr>
            <w:r>
              <w:rPr>
                <w:sz w:val="21"/>
              </w:rPr>
              <w:t>指因患脑炎或脑膜炎导致的神经系统永久性的功能障碍。神经系统永久性的功能障碍，指疾病确诊</w:t>
            </w:r>
            <w:r>
              <w:rPr>
                <w:rFonts w:ascii="Times New Roman" w:eastAsia="Times New Roman"/>
                <w:position w:val="1"/>
                <w:sz w:val="21"/>
              </w:rPr>
              <w:t>180</w:t>
            </w:r>
            <w:r>
              <w:rPr>
                <w:sz w:val="21"/>
              </w:rPr>
              <w:t>天后，仍遗留下列一种或一种以上</w:t>
            </w:r>
          </w:p>
        </w:tc>
      </w:tr>
      <w:tr>
        <w:trPr>
          <w:trHeight w:val="300"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56" w:lineRule="exact"/>
              <w:ind w:left="111"/>
              <w:rPr>
                <w:sz w:val="21"/>
              </w:rPr>
            </w:pPr>
            <w:r>
              <w:rPr>
                <w:sz w:val="21"/>
              </w:rPr>
              <w:t>障碍：</w:t>
            </w:r>
          </w:p>
        </w:tc>
      </w:tr>
      <w:tr>
        <w:trPr>
          <w:trHeight w:val="947"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73" w:lineRule="exact"/>
              <w:ind w:left="111"/>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1"/>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1"/>
              <w:rPr>
                <w:sz w:val="21"/>
              </w:rPr>
            </w:pPr>
            <w:r>
              <w:rPr>
                <w:sz w:val="21"/>
              </w:rPr>
              <w:t>（</w:t>
            </w:r>
            <w:r>
              <w:rPr>
                <w:rFonts w:ascii="Times New Roman" w:eastAsia="Times New Roman"/>
                <w:position w:val="1"/>
                <w:sz w:val="21"/>
              </w:rPr>
              <w:t>3</w:t>
            </w:r>
            <w:r>
              <w:rPr>
                <w:sz w:val="21"/>
              </w:rPr>
              <w:t>）自主生活能力完全丧失，无法独立完成六项基本日常生活活动</w:t>
            </w:r>
          </w:p>
        </w:tc>
      </w:tr>
      <w:tr>
        <w:trPr>
          <w:trHeight w:val="456"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56" w:lineRule="exact"/>
              <w:ind w:left="111"/>
              <w:rPr>
                <w:sz w:val="21"/>
              </w:rPr>
            </w:pPr>
            <w:r>
              <w:rPr>
                <w:sz w:val="21"/>
              </w:rPr>
              <w:t>中的三项或三项以上。</w:t>
            </w:r>
          </w:p>
        </w:tc>
      </w:tr>
      <w:tr>
        <w:trPr>
          <w:trHeight w:val="791" w:hRule="atLeast"/>
        </w:trPr>
        <w:tc>
          <w:tcPr>
            <w:tcW w:w="708" w:type="dxa"/>
          </w:tcPr>
          <w:p>
            <w:pPr>
              <w:pStyle w:val="TableParagraph"/>
              <w:spacing w:before="191"/>
              <w:ind w:left="50"/>
              <w:rPr>
                <w:rFonts w:ascii="Times New Roman"/>
                <w:sz w:val="21"/>
              </w:rPr>
            </w:pPr>
            <w:r>
              <w:rPr>
                <w:rFonts w:ascii="Times New Roman"/>
                <w:sz w:val="21"/>
              </w:rPr>
              <w:t>3.10</w:t>
            </w:r>
          </w:p>
        </w:tc>
        <w:tc>
          <w:tcPr>
            <w:tcW w:w="2165" w:type="dxa"/>
          </w:tcPr>
          <w:p>
            <w:pPr>
              <w:pStyle w:val="TableParagraph"/>
              <w:spacing w:before="148"/>
              <w:ind w:left="291"/>
              <w:rPr>
                <w:b/>
                <w:sz w:val="21"/>
              </w:rPr>
            </w:pPr>
            <w:r>
              <w:rPr>
                <w:b/>
                <w:w w:val="95"/>
                <w:sz w:val="21"/>
              </w:rPr>
              <w:t>双耳失聪</w:t>
            </w:r>
          </w:p>
        </w:tc>
        <w:tc>
          <w:tcPr>
            <w:tcW w:w="6669" w:type="dxa"/>
          </w:tcPr>
          <w:p>
            <w:pPr>
              <w:pStyle w:val="TableParagraph"/>
              <w:spacing w:before="148"/>
              <w:ind w:left="111"/>
              <w:rPr>
                <w:sz w:val="21"/>
              </w:rPr>
            </w:pPr>
            <w:r>
              <w:rPr>
                <w:sz w:val="21"/>
              </w:rPr>
              <w:t>指因疾病或意外伤害导致双耳听力永久不可逆性丧失，在</w:t>
            </w:r>
            <w:r>
              <w:rPr>
                <w:rFonts w:ascii="Times New Roman" w:eastAsia="Times New Roman"/>
                <w:position w:val="1"/>
                <w:sz w:val="21"/>
              </w:rPr>
              <w:t>500</w:t>
            </w:r>
            <w:r>
              <w:rPr>
                <w:sz w:val="21"/>
              </w:rPr>
              <w:t>赫兹 、</w:t>
            </w:r>
          </w:p>
          <w:p>
            <w:pPr>
              <w:pStyle w:val="TableParagraph"/>
              <w:spacing w:before="30"/>
              <w:ind w:left="111"/>
              <w:rPr>
                <w:sz w:val="21"/>
              </w:rPr>
            </w:pPr>
            <w:r>
              <w:rPr>
                <w:rFonts w:ascii="Times New Roman" w:eastAsia="Times New Roman"/>
                <w:position w:val="1"/>
                <w:sz w:val="21"/>
              </w:rPr>
              <w:t>1000</w:t>
            </w:r>
            <w:r>
              <w:rPr>
                <w:sz w:val="21"/>
              </w:rPr>
              <w:t>赫兹和</w:t>
            </w:r>
            <w:r>
              <w:rPr>
                <w:rFonts w:ascii="Times New Roman" w:eastAsia="Times New Roman"/>
                <w:position w:val="1"/>
                <w:sz w:val="21"/>
              </w:rPr>
              <w:t>2000</w:t>
            </w:r>
            <w:r>
              <w:rPr>
                <w:sz w:val="21"/>
              </w:rPr>
              <w:t>赫兹语音频率下，平均听阈大于</w:t>
            </w:r>
            <w:r>
              <w:rPr>
                <w:rFonts w:ascii="Times New Roman" w:eastAsia="Times New Roman"/>
                <w:position w:val="1"/>
                <w:sz w:val="21"/>
              </w:rPr>
              <w:t>90</w:t>
            </w:r>
            <w:r>
              <w:rPr>
                <w:sz w:val="21"/>
              </w:rPr>
              <w:t>分贝，且经纯音听</w:t>
            </w:r>
          </w:p>
        </w:tc>
      </w:tr>
      <w:tr>
        <w:trPr>
          <w:trHeight w:val="307"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56" w:lineRule="exact"/>
              <w:ind w:left="111"/>
              <w:rPr>
                <w:sz w:val="21"/>
              </w:rPr>
            </w:pPr>
            <w:r>
              <w:rPr>
                <w:sz w:val="21"/>
              </w:rPr>
              <w:t>力测试、声导抗检测或听觉诱发电位检测等证实。</w:t>
            </w:r>
          </w:p>
        </w:tc>
      </w:tr>
      <w:tr>
        <w:trPr>
          <w:trHeight w:val="312"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1" w:lineRule="exact"/>
              <w:ind w:left="111"/>
              <w:rPr>
                <w:sz w:val="21"/>
              </w:rPr>
            </w:pPr>
            <w:r>
              <w:rPr>
                <w:sz w:val="21"/>
              </w:rPr>
              <w:t>特别声明：我们将在被保险人年龄在三周岁或以上时受理理赔，并且</w:t>
            </w:r>
          </w:p>
        </w:tc>
      </w:tr>
      <w:tr>
        <w:trPr>
          <w:trHeight w:val="311" w:hRule="atLeast"/>
        </w:trPr>
        <w:tc>
          <w:tcPr>
            <w:tcW w:w="708" w:type="dxa"/>
          </w:tcPr>
          <w:p>
            <w:pPr>
              <w:pStyle w:val="TableParagraph"/>
              <w:rPr>
                <w:rFonts w:ascii="Times New Roman"/>
                <w:sz w:val="20"/>
              </w:rPr>
            </w:pPr>
          </w:p>
        </w:tc>
        <w:tc>
          <w:tcPr>
            <w:tcW w:w="2165" w:type="dxa"/>
          </w:tcPr>
          <w:p>
            <w:pPr>
              <w:pStyle w:val="TableParagraph"/>
              <w:rPr>
                <w:rFonts w:ascii="Times New Roman"/>
                <w:sz w:val="20"/>
              </w:rPr>
            </w:pPr>
          </w:p>
        </w:tc>
        <w:tc>
          <w:tcPr>
            <w:tcW w:w="6669" w:type="dxa"/>
          </w:tcPr>
          <w:p>
            <w:pPr>
              <w:pStyle w:val="TableParagraph"/>
              <w:spacing w:line="261" w:lineRule="exact"/>
              <w:ind w:left="111"/>
              <w:rPr>
                <w:sz w:val="21"/>
              </w:rPr>
            </w:pPr>
            <w:r>
              <w:rPr>
                <w:sz w:val="21"/>
              </w:rPr>
              <w:t>保险金申请人必须提供理赔受理当时的听力丧失诊断及检查证据。若</w:t>
            </w:r>
          </w:p>
        </w:tc>
      </w:tr>
      <w:tr>
        <w:trPr>
          <w:trHeight w:val="260" w:hRule="atLeast"/>
        </w:trPr>
        <w:tc>
          <w:tcPr>
            <w:tcW w:w="708" w:type="dxa"/>
          </w:tcPr>
          <w:p>
            <w:pPr>
              <w:pStyle w:val="TableParagraph"/>
              <w:rPr>
                <w:rFonts w:ascii="Times New Roman"/>
                <w:sz w:val="18"/>
              </w:rPr>
            </w:pPr>
          </w:p>
        </w:tc>
        <w:tc>
          <w:tcPr>
            <w:tcW w:w="2165" w:type="dxa"/>
          </w:tcPr>
          <w:p>
            <w:pPr>
              <w:pStyle w:val="TableParagraph"/>
              <w:rPr>
                <w:rFonts w:ascii="Times New Roman"/>
                <w:sz w:val="18"/>
              </w:rPr>
            </w:pPr>
          </w:p>
        </w:tc>
        <w:tc>
          <w:tcPr>
            <w:tcW w:w="6669" w:type="dxa"/>
          </w:tcPr>
          <w:p>
            <w:pPr>
              <w:pStyle w:val="TableParagraph"/>
              <w:spacing w:line="241" w:lineRule="exact"/>
              <w:ind w:left="111"/>
              <w:rPr>
                <w:sz w:val="21"/>
              </w:rPr>
            </w:pPr>
            <w:r>
              <w:rPr>
                <w:sz w:val="21"/>
              </w:rPr>
              <w:t>被保险人发病时不足三周岁，我们将延期到被保险人年满三周岁后予</w:t>
            </w:r>
          </w:p>
        </w:tc>
      </w:tr>
    </w:tbl>
    <w:p>
      <w:pPr>
        <w:spacing w:after="0" w:line="241" w:lineRule="exact"/>
        <w:rPr>
          <w:sz w:val="21"/>
        </w:rPr>
        <w:sectPr>
          <w:pgSz w:w="11900" w:h="16840"/>
          <w:pgMar w:header="0" w:footer="866" w:top="1240" w:bottom="1060" w:left="1300" w:right="840"/>
        </w:sectPr>
      </w:pPr>
    </w:p>
    <w:p>
      <w:pPr>
        <w:pStyle w:val="BodyText"/>
        <w:spacing w:before="10"/>
        <w:ind w:left="3048"/>
      </w:pPr>
      <w:r>
        <w:rPr/>
        <w:t>以受理和评估。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1"/>
          <w:numId w:val="4"/>
        </w:numPr>
        <w:tabs>
          <w:tab w:pos="1065" w:val="left" w:leader="none"/>
          <w:tab w:pos="1066" w:val="left" w:leader="none"/>
          <w:tab w:pos="3047" w:val="left" w:leader="none"/>
        </w:tabs>
        <w:spacing w:line="240" w:lineRule="auto" w:before="0" w:after="0"/>
        <w:ind w:left="1066" w:right="0" w:hanging="952"/>
        <w:jc w:val="left"/>
        <w:rPr>
          <w:sz w:val="21"/>
        </w:rPr>
      </w:pPr>
      <w:r>
        <w:rPr>
          <w:b/>
          <w:sz w:val="21"/>
        </w:rPr>
        <w:t>双目失明</w:t>
        <w:tab/>
      </w:r>
      <w:r>
        <w:rPr>
          <w:sz w:val="21"/>
        </w:rPr>
        <w:t>指因疾病或意外伤害导致双眼视力永久不可逆性丧失，双眼中较好眼</w:t>
      </w:r>
    </w:p>
    <w:p>
      <w:pPr>
        <w:pStyle w:val="BodyText"/>
        <w:spacing w:before="31"/>
        <w:ind w:left="3048"/>
      </w:pPr>
      <w:r>
        <w:rPr/>
        <w:t>须满足下列至少一项条件：</w:t>
      </w:r>
    </w:p>
    <w:p>
      <w:pPr>
        <w:pStyle w:val="BodyText"/>
        <w:spacing w:before="37"/>
        <w:ind w:left="3048"/>
      </w:pPr>
      <w:r>
        <w:rPr/>
        <w:t>（</w:t>
      </w:r>
      <w:r>
        <w:rPr>
          <w:rFonts w:ascii="Times New Roman" w:eastAsia="Times New Roman"/>
          <w:position w:val="1"/>
        </w:rPr>
        <w:t>1</w:t>
      </w:r>
      <w:r>
        <w:rPr/>
        <w:t>）眼球缺失或摘除；</w:t>
      </w:r>
    </w:p>
    <w:p>
      <w:pPr>
        <w:pStyle w:val="BodyText"/>
        <w:spacing w:line="266" w:lineRule="auto" w:before="31"/>
        <w:ind w:left="3048" w:right="257"/>
      </w:pPr>
      <w:r>
        <w:rPr/>
        <w:t>（</w:t>
      </w:r>
      <w:r>
        <w:rPr>
          <w:rFonts w:ascii="Times New Roman" w:eastAsia="Times New Roman"/>
          <w:position w:val="1"/>
        </w:rPr>
        <w:t>2</w:t>
      </w:r>
      <w:r>
        <w:rPr/>
        <w:t>）矫正视力低于</w:t>
      </w:r>
      <w:r>
        <w:rPr>
          <w:rFonts w:ascii="Times New Roman" w:eastAsia="Times New Roman"/>
          <w:position w:val="1"/>
        </w:rPr>
        <w:t>0.02</w:t>
      </w:r>
      <w:r>
        <w:rPr/>
        <w:t>（采用国际标准视力表，如果使用其它视力表应进行换算）；</w:t>
      </w:r>
    </w:p>
    <w:p>
      <w:pPr>
        <w:pStyle w:val="BodyText"/>
        <w:spacing w:before="13"/>
        <w:ind w:left="3048"/>
      </w:pPr>
      <w:r>
        <w:rPr/>
        <w:t>（</w:t>
      </w:r>
      <w:r>
        <w:rPr>
          <w:rFonts w:ascii="Times New Roman" w:eastAsia="Times New Roman"/>
          <w:position w:val="1"/>
        </w:rPr>
        <w:t>3</w:t>
      </w:r>
      <w:r>
        <w:rPr/>
        <w:t>）视野半径小于</w:t>
      </w:r>
      <w:r>
        <w:rPr>
          <w:rFonts w:ascii="Times New Roman" w:eastAsia="Times New Roman"/>
          <w:position w:val="1"/>
        </w:rPr>
        <w:t>5</w:t>
      </w:r>
      <w:r>
        <w:rPr/>
        <w:t>度。</w:t>
      </w:r>
    </w:p>
    <w:p>
      <w:pPr>
        <w:pStyle w:val="BodyText"/>
        <w:spacing w:line="271" w:lineRule="auto" w:before="30"/>
        <w:ind w:left="3048" w:right="311"/>
      </w:pPr>
      <w:r>
        <w:rPr/>
        <w:t>特别声明：我们将在被保险人年龄在三周岁或以上时受理理赔，并且保险金申请人必须提供理赔受理当时的视力丧失诊断及检查证据。若被保险人发病时不足三周岁，我们将延期到被保险人年满</w:t>
      </w:r>
      <w:r>
        <w:rPr>
          <w:rFonts w:ascii="Times New Roman" w:eastAsia="Times New Roman"/>
          <w:position w:val="1"/>
        </w:rPr>
        <w:t>3</w:t>
      </w:r>
      <w:r>
        <w:rPr/>
        <w:t>周岁后予以受理和评估。</w:t>
      </w:r>
    </w:p>
    <w:p>
      <w:pPr>
        <w:pStyle w:val="BodyText"/>
        <w:spacing w:before="7"/>
        <w:rPr>
          <w:sz w:val="24"/>
        </w:rPr>
      </w:pPr>
    </w:p>
    <w:p>
      <w:pPr>
        <w:pStyle w:val="ListParagraph"/>
        <w:numPr>
          <w:ilvl w:val="1"/>
          <w:numId w:val="4"/>
        </w:numPr>
        <w:tabs>
          <w:tab w:pos="1065" w:val="left" w:leader="none"/>
          <w:tab w:pos="1066" w:val="left" w:leader="none"/>
          <w:tab w:pos="3047" w:val="left" w:leader="none"/>
        </w:tabs>
        <w:spacing w:line="240" w:lineRule="auto" w:before="0" w:after="0"/>
        <w:ind w:left="1066" w:right="0" w:hanging="952"/>
        <w:jc w:val="left"/>
        <w:rPr>
          <w:sz w:val="21"/>
        </w:rPr>
      </w:pPr>
      <w:r>
        <w:rPr>
          <w:b/>
          <w:sz w:val="21"/>
        </w:rPr>
        <w:t>瘫痪</w:t>
        <w:tab/>
      </w:r>
      <w:r>
        <w:rPr>
          <w:sz w:val="21"/>
        </w:rPr>
        <w:t>指因疾病或意外伤害导致两肢或两肢以上肢体机能永久完全丧失。肢</w:t>
      </w:r>
    </w:p>
    <w:p>
      <w:pPr>
        <w:pStyle w:val="BodyText"/>
        <w:spacing w:line="266" w:lineRule="auto" w:before="31"/>
        <w:ind w:left="3048" w:right="311"/>
      </w:pPr>
      <w:r>
        <w:rPr/>
        <w:t>体机能永久完全丧失，指疾病确诊</w:t>
      </w:r>
      <w:r>
        <w:rPr>
          <w:rFonts w:ascii="Times New Roman" w:eastAsia="Times New Roman"/>
          <w:position w:val="1"/>
        </w:rPr>
        <w:t>180</w:t>
      </w:r>
      <w:r>
        <w:rPr/>
        <w:t>天后或意外伤害发生</w:t>
      </w:r>
      <w:r>
        <w:rPr>
          <w:rFonts w:ascii="Times New Roman" w:eastAsia="Times New Roman"/>
          <w:position w:val="1"/>
        </w:rPr>
        <w:t>180</w:t>
      </w:r>
      <w:r>
        <w:rPr/>
        <w:t>天后，每肢三大关节中的两大关节仍然完全僵硬，或不能随意识活动。</w:t>
      </w:r>
    </w:p>
    <w:p>
      <w:pPr>
        <w:pStyle w:val="BodyText"/>
        <w:spacing w:before="12"/>
        <w:rPr>
          <w:sz w:val="24"/>
        </w:rPr>
      </w:pPr>
    </w:p>
    <w:p>
      <w:pPr>
        <w:pStyle w:val="ListParagraph"/>
        <w:numPr>
          <w:ilvl w:val="1"/>
          <w:numId w:val="4"/>
        </w:numPr>
        <w:tabs>
          <w:tab w:pos="1065" w:val="left" w:leader="none"/>
          <w:tab w:pos="1066" w:val="left" w:leader="none"/>
          <w:tab w:pos="3047" w:val="left" w:leader="none"/>
        </w:tabs>
        <w:spacing w:line="240" w:lineRule="auto" w:before="0" w:after="0"/>
        <w:ind w:left="1066" w:right="0" w:hanging="952"/>
        <w:jc w:val="left"/>
        <w:rPr>
          <w:sz w:val="21"/>
        </w:rPr>
      </w:pPr>
      <w:r>
        <w:rPr>
          <w:b/>
          <w:sz w:val="21"/>
        </w:rPr>
        <w:t>心脏瓣膜手术</w:t>
        <w:tab/>
      </w:r>
      <w:r>
        <w:rPr>
          <w:sz w:val="21"/>
        </w:rPr>
        <w:t>指为治疗心脏瓣膜疾病，实际实施了开胸进行的心脏瓣膜置换或修复</w:t>
      </w:r>
    </w:p>
    <w:p>
      <w:pPr>
        <w:pStyle w:val="BodyText"/>
        <w:spacing w:before="31"/>
        <w:ind w:left="3048"/>
      </w:pPr>
      <w:r>
        <w:rPr/>
        <w:t>的手术。</w:t>
      </w:r>
    </w:p>
    <w:p>
      <w:pPr>
        <w:pStyle w:val="BodyText"/>
        <w:spacing w:before="8"/>
        <w:rPr>
          <w:sz w:val="26"/>
        </w:rPr>
      </w:pPr>
    </w:p>
    <w:p>
      <w:pPr>
        <w:pStyle w:val="ListParagraph"/>
        <w:numPr>
          <w:ilvl w:val="1"/>
          <w:numId w:val="4"/>
        </w:numPr>
        <w:tabs>
          <w:tab w:pos="1065" w:val="left" w:leader="none"/>
          <w:tab w:pos="1066" w:val="left" w:leader="none"/>
          <w:tab w:pos="3047" w:val="left" w:leader="none"/>
        </w:tabs>
        <w:spacing w:line="240" w:lineRule="auto" w:before="0" w:after="0"/>
        <w:ind w:left="1066" w:right="0" w:hanging="952"/>
        <w:jc w:val="left"/>
        <w:rPr>
          <w:sz w:val="21"/>
        </w:rPr>
      </w:pPr>
      <w:r>
        <w:rPr>
          <w:b/>
          <w:sz w:val="21"/>
        </w:rPr>
        <w:t>严重阿尔茨海默病</w:t>
        <w:tab/>
      </w:r>
      <w:r>
        <w:rPr>
          <w:sz w:val="21"/>
        </w:rPr>
        <w:t>指因大脑进行性、不可逆性改变导致智能严重衰退或丧失，临床表现</w:t>
      </w:r>
    </w:p>
    <w:p>
      <w:pPr>
        <w:pStyle w:val="BodyText"/>
        <w:spacing w:line="268" w:lineRule="auto" w:before="30"/>
        <w:ind w:left="3048" w:right="101"/>
      </w:pPr>
      <w:r>
        <w:rPr/>
        <w:t>为明显的认知能力障碍、行为异常和社交能力减退，其日常生活必须 </w:t>
      </w:r>
      <w:r>
        <w:rPr>
          <w:spacing w:val="-9"/>
        </w:rPr>
        <w:t>持续受到他人监护。须由头颅断层扫描</w:t>
      </w:r>
      <w:r>
        <w:rPr/>
        <w:t>（</w:t>
      </w:r>
      <w:r>
        <w:rPr>
          <w:rFonts w:ascii="Times New Roman" w:eastAsia="Times New Roman"/>
          <w:position w:val="1"/>
        </w:rPr>
        <w:t>CT</w:t>
      </w:r>
      <w:r>
        <w:rPr/>
        <w:t>）</w:t>
      </w:r>
      <w:r>
        <w:rPr>
          <w:spacing w:val="-13"/>
        </w:rPr>
        <w:t>、核磁共振检查</w:t>
      </w:r>
      <w:r>
        <w:rPr/>
        <w:t>（</w:t>
      </w:r>
      <w:r>
        <w:rPr>
          <w:rFonts w:ascii="Times New Roman" w:eastAsia="Times New Roman"/>
          <w:position w:val="1"/>
        </w:rPr>
        <w:t>MRI</w:t>
      </w:r>
      <w:r>
        <w:rPr/>
        <w:t>） 或正电子发射断层扫描（</w:t>
      </w:r>
      <w:r>
        <w:rPr>
          <w:rFonts w:ascii="Times New Roman" w:eastAsia="Times New Roman"/>
          <w:position w:val="1"/>
        </w:rPr>
        <w:t>PET</w:t>
      </w:r>
      <w:r>
        <w:rPr/>
        <w:t>）等影像学检查证实，且自主生活能力 完全丧失，无法独立完成六项基本日常生活活动中的三项或三项以上。</w:t>
      </w:r>
    </w:p>
    <w:p>
      <w:pPr>
        <w:pStyle w:val="BodyText"/>
        <w:spacing w:before="9"/>
        <w:rPr>
          <w:sz w:val="24"/>
        </w:rPr>
      </w:pPr>
    </w:p>
    <w:p>
      <w:pPr>
        <w:pStyle w:val="BodyText"/>
        <w:ind w:left="3048"/>
      </w:pPr>
      <w:r>
        <w:rPr/>
        <w:t>神经官能症和精神疾病不在保障范围内。</w:t>
      </w:r>
    </w:p>
    <w:p>
      <w:pPr>
        <w:pStyle w:val="BodyText"/>
        <w:spacing w:before="37"/>
        <w:ind w:left="3048"/>
      </w:pPr>
      <w:r>
        <w:rPr/>
        <w:t>我们在被保险人</w:t>
      </w:r>
      <w:r>
        <w:rPr>
          <w:rFonts w:ascii="Times New Roman" w:eastAsia="Times New Roman"/>
          <w:position w:val="1"/>
        </w:rPr>
        <w:t>60</w:t>
      </w:r>
      <w:r>
        <w:rPr/>
        <w:t>周岁之前承担此保险责任。</w:t>
      </w:r>
    </w:p>
    <w:p>
      <w:pPr>
        <w:pStyle w:val="BodyText"/>
        <w:spacing w:before="3"/>
        <w:rPr>
          <w:sz w:val="26"/>
        </w:rPr>
      </w:pPr>
    </w:p>
    <w:p>
      <w:pPr>
        <w:pStyle w:val="ListParagraph"/>
        <w:numPr>
          <w:ilvl w:val="1"/>
          <w:numId w:val="4"/>
        </w:numPr>
        <w:tabs>
          <w:tab w:pos="1065" w:val="left" w:leader="none"/>
          <w:tab w:pos="1066" w:val="left" w:leader="none"/>
          <w:tab w:pos="3047" w:val="left" w:leader="none"/>
        </w:tabs>
        <w:spacing w:line="240" w:lineRule="auto" w:before="0" w:after="0"/>
        <w:ind w:left="1066" w:right="0" w:hanging="952"/>
        <w:jc w:val="left"/>
        <w:rPr>
          <w:sz w:val="21"/>
        </w:rPr>
      </w:pPr>
      <w:r>
        <w:rPr>
          <w:b/>
          <w:sz w:val="21"/>
        </w:rPr>
        <w:t>严重脑损伤</w:t>
        <w:tab/>
      </w:r>
      <w:r>
        <w:rPr>
          <w:sz w:val="21"/>
        </w:rPr>
        <w:t>指因头部遭受机械性外力，引起脑重要部位损伤，导致神经系统永久</w:t>
      </w:r>
    </w:p>
    <w:p>
      <w:pPr>
        <w:pStyle w:val="BodyText"/>
        <w:spacing w:line="266" w:lineRule="auto" w:before="31"/>
        <w:ind w:left="3048" w:right="227"/>
        <w:jc w:val="both"/>
      </w:pPr>
      <w:r>
        <w:rPr>
          <w:spacing w:val="-10"/>
        </w:rPr>
        <w:t>性的功能障碍。须由头颅断层扫描</w:t>
      </w:r>
      <w:r>
        <w:rPr/>
        <w:t>（</w:t>
      </w:r>
      <w:r>
        <w:rPr>
          <w:rFonts w:ascii="Times New Roman" w:eastAsia="Times New Roman"/>
          <w:position w:val="1"/>
        </w:rPr>
        <w:t>CT</w:t>
      </w:r>
      <w:r>
        <w:rPr/>
        <w:t>）</w:t>
      </w:r>
      <w:r>
        <w:rPr>
          <w:spacing w:val="-13"/>
        </w:rPr>
        <w:t>、核磁共振检查</w:t>
      </w:r>
      <w:r>
        <w:rPr/>
        <w:t>（</w:t>
      </w:r>
      <w:r>
        <w:rPr>
          <w:rFonts w:ascii="Times New Roman" w:eastAsia="Times New Roman"/>
          <w:position w:val="1"/>
        </w:rPr>
        <w:t>MRI</w:t>
      </w:r>
      <w:r>
        <w:rPr/>
        <w:t>）或正电子发射断层扫描（</w:t>
      </w:r>
      <w:r>
        <w:rPr>
          <w:rFonts w:ascii="Times New Roman" w:eastAsia="Times New Roman"/>
          <w:position w:val="1"/>
        </w:rPr>
        <w:t>PET</w:t>
      </w:r>
      <w:r>
        <w:rPr/>
        <w:t>）</w:t>
      </w:r>
      <w:r>
        <w:rPr>
          <w:spacing w:val="-9"/>
        </w:rPr>
        <w:t>等影像学检查证实。神经系统永久性的功能</w:t>
      </w:r>
      <w:r>
        <w:rPr>
          <w:spacing w:val="-1"/>
        </w:rPr>
        <w:t>障碍，指脑损伤</w:t>
      </w:r>
      <w:r>
        <w:rPr>
          <w:rFonts w:ascii="Times New Roman" w:eastAsia="Times New Roman"/>
          <w:position w:val="1"/>
        </w:rPr>
        <w:t>180</w:t>
      </w:r>
      <w:r>
        <w:rPr/>
        <w:t>天后，仍遗留下列一种或一种以上障碍：</w:t>
      </w:r>
    </w:p>
    <w:p>
      <w:pPr>
        <w:pStyle w:val="BodyText"/>
        <w:spacing w:before="5"/>
        <w:ind w:left="3048"/>
      </w:pPr>
      <w:r>
        <w:rPr/>
        <w:t>（</w:t>
      </w:r>
      <w:r>
        <w:rPr>
          <w:rFonts w:ascii="Times New Roman" w:eastAsia="Times New Roman"/>
          <w:position w:val="1"/>
        </w:rPr>
        <w:t>1</w:t>
      </w:r>
      <w:r>
        <w:rPr/>
        <w:t>）一肢或一肢以上肢体机能完全丧失；</w:t>
      </w:r>
    </w:p>
    <w:p>
      <w:pPr>
        <w:pStyle w:val="BodyText"/>
        <w:spacing w:before="30"/>
        <w:ind w:left="3048"/>
      </w:pPr>
      <w:r>
        <w:rPr/>
        <w:t>（</w:t>
      </w:r>
      <w:r>
        <w:rPr>
          <w:rFonts w:ascii="Times New Roman" w:eastAsia="Times New Roman"/>
          <w:position w:val="1"/>
        </w:rPr>
        <w:t>2</w:t>
      </w:r>
      <w:r>
        <w:rPr/>
        <w:t>）语言能力或咀嚼吞咽能力完全丧失；</w:t>
      </w:r>
    </w:p>
    <w:p>
      <w:pPr>
        <w:pStyle w:val="BodyText"/>
        <w:spacing w:line="266" w:lineRule="auto" w:before="30"/>
        <w:ind w:left="3048" w:right="415"/>
      </w:pPr>
      <w:r>
        <w:rPr/>
        <w:t>（</w:t>
      </w:r>
      <w:r>
        <w:rPr>
          <w:rFonts w:ascii="Times New Roman" w:eastAsia="Times New Roman"/>
          <w:position w:val="1"/>
        </w:rPr>
        <w:t>3</w:t>
      </w:r>
      <w:r>
        <w:rPr/>
        <w:t>）自主生活能力完全丧失，无法独立完成六项基本日常生活活动中的三项或三项以上。</w:t>
      </w:r>
    </w:p>
    <w:p>
      <w:pPr>
        <w:pStyle w:val="BodyText"/>
        <w:spacing w:before="11"/>
        <w:rPr>
          <w:sz w:val="24"/>
        </w:rPr>
      </w:pPr>
    </w:p>
    <w:p>
      <w:pPr>
        <w:pStyle w:val="ListParagraph"/>
        <w:numPr>
          <w:ilvl w:val="1"/>
          <w:numId w:val="4"/>
        </w:numPr>
        <w:tabs>
          <w:tab w:pos="1065" w:val="left" w:leader="none"/>
          <w:tab w:pos="1066" w:val="left" w:leader="none"/>
          <w:tab w:pos="3047" w:val="left" w:leader="none"/>
        </w:tabs>
        <w:spacing w:line="240" w:lineRule="auto" w:before="0" w:after="0"/>
        <w:ind w:left="1066" w:right="0" w:hanging="952"/>
        <w:jc w:val="left"/>
        <w:rPr>
          <w:sz w:val="21"/>
        </w:rPr>
      </w:pPr>
      <w:r>
        <w:rPr>
          <w:b/>
          <w:sz w:val="21"/>
        </w:rPr>
        <w:t>严重帕金森病</w:t>
        <w:tab/>
      </w:r>
      <w:r>
        <w:rPr>
          <w:sz w:val="21"/>
        </w:rPr>
        <w:t>是一种中枢神经系统的退行性疾病，临床表现为震颤麻痹、共济失调</w:t>
      </w:r>
    </w:p>
    <w:p>
      <w:pPr>
        <w:pStyle w:val="BodyText"/>
        <w:spacing w:before="31"/>
        <w:ind w:left="3048"/>
      </w:pPr>
      <w:r>
        <w:rPr/>
        <w:t>等。须满足下列全部条件：</w:t>
      </w:r>
    </w:p>
    <w:p>
      <w:pPr>
        <w:pStyle w:val="BodyText"/>
        <w:spacing w:before="37"/>
        <w:ind w:left="3048"/>
      </w:pPr>
      <w:r>
        <w:rPr/>
        <w:t>（</w:t>
      </w:r>
      <w:r>
        <w:rPr>
          <w:rFonts w:ascii="Times New Roman" w:eastAsia="Times New Roman"/>
          <w:position w:val="1"/>
        </w:rPr>
        <w:t>1</w:t>
      </w:r>
      <w:r>
        <w:rPr/>
        <w:t>）药物治疗无法控制病情；</w:t>
      </w:r>
    </w:p>
    <w:p>
      <w:pPr>
        <w:pStyle w:val="BodyText"/>
        <w:spacing w:before="31"/>
        <w:ind w:left="3048"/>
      </w:pPr>
      <w:r>
        <w:rPr/>
        <w:t>（</w:t>
      </w:r>
      <w:r>
        <w:rPr>
          <w:rFonts w:ascii="Times New Roman" w:eastAsia="Times New Roman"/>
          <w:position w:val="1"/>
        </w:rPr>
        <w:t>2</w:t>
      </w:r>
      <w:r>
        <w:rPr/>
        <w:t>）自主生活能力完全丧失，无法独立完成六项基本日常生活活动</w:t>
      </w:r>
    </w:p>
    <w:p>
      <w:pPr>
        <w:spacing w:after="0"/>
        <w:sectPr>
          <w:pgSz w:w="11900" w:h="16840"/>
          <w:pgMar w:header="0" w:footer="866" w:top="1180" w:bottom="1060" w:left="780" w:right="1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2097"/>
        <w:gridCol w:w="6639"/>
      </w:tblGrid>
      <w:tr>
        <w:trPr>
          <w:trHeight w:val="260" w:hRule="atLeast"/>
        </w:trPr>
        <w:tc>
          <w:tcPr>
            <w:tcW w:w="2891" w:type="dxa"/>
            <w:gridSpan w:val="2"/>
            <w:vMerge w:val="restart"/>
          </w:tcPr>
          <w:p>
            <w:pPr>
              <w:pStyle w:val="TableParagraph"/>
              <w:rPr>
                <w:rFonts w:ascii="Times New Roman"/>
                <w:sz w:val="20"/>
              </w:rPr>
            </w:pPr>
          </w:p>
        </w:tc>
        <w:tc>
          <w:tcPr>
            <w:tcW w:w="6639" w:type="dxa"/>
          </w:tcPr>
          <w:p>
            <w:pPr>
              <w:pStyle w:val="TableParagraph"/>
              <w:spacing w:line="206" w:lineRule="exact"/>
              <w:ind w:left="153"/>
              <w:rPr>
                <w:sz w:val="21"/>
              </w:rPr>
            </w:pPr>
            <w:r>
              <w:rPr>
                <w:sz w:val="21"/>
              </w:rPr>
              <w:t>中的三项或三项以上。</w:t>
            </w:r>
          </w:p>
        </w:tc>
      </w:tr>
      <w:tr>
        <w:trPr>
          <w:trHeight w:val="305" w:hRule="atLeast"/>
        </w:trPr>
        <w:tc>
          <w:tcPr>
            <w:tcW w:w="2891" w:type="dxa"/>
            <w:gridSpan w:val="2"/>
            <w:vMerge/>
            <w:tcBorders>
              <w:top w:val="nil"/>
            </w:tcBorders>
          </w:tcPr>
          <w:p>
            <w:pPr>
              <w:rPr>
                <w:sz w:val="2"/>
                <w:szCs w:val="2"/>
              </w:rPr>
            </w:pPr>
          </w:p>
        </w:tc>
        <w:tc>
          <w:tcPr>
            <w:tcW w:w="6639" w:type="dxa"/>
          </w:tcPr>
          <w:p>
            <w:pPr>
              <w:pStyle w:val="TableParagraph"/>
              <w:spacing w:line="257" w:lineRule="exact"/>
              <w:ind w:left="153"/>
              <w:rPr>
                <w:sz w:val="21"/>
              </w:rPr>
            </w:pPr>
            <w:r>
              <w:rPr>
                <w:sz w:val="21"/>
              </w:rPr>
              <w:t>继发性帕金森综合征不在保障范围内。</w:t>
            </w:r>
          </w:p>
        </w:tc>
      </w:tr>
      <w:tr>
        <w:trPr>
          <w:trHeight w:val="472" w:hRule="atLeast"/>
        </w:trPr>
        <w:tc>
          <w:tcPr>
            <w:tcW w:w="2891" w:type="dxa"/>
            <w:gridSpan w:val="2"/>
            <w:vMerge/>
            <w:tcBorders>
              <w:top w:val="nil"/>
            </w:tcBorders>
          </w:tcPr>
          <w:p>
            <w:pPr>
              <w:rPr>
                <w:sz w:val="2"/>
                <w:szCs w:val="2"/>
              </w:rPr>
            </w:pPr>
          </w:p>
        </w:tc>
        <w:tc>
          <w:tcPr>
            <w:tcW w:w="6639" w:type="dxa"/>
          </w:tcPr>
          <w:p>
            <w:pPr>
              <w:pStyle w:val="TableParagraph"/>
              <w:spacing w:line="269" w:lineRule="exact"/>
              <w:ind w:left="153"/>
              <w:rPr>
                <w:sz w:val="21"/>
              </w:rPr>
            </w:pPr>
            <w:r>
              <w:rPr>
                <w:sz w:val="21"/>
              </w:rPr>
              <w:t>我们在被保险人</w:t>
            </w:r>
            <w:r>
              <w:rPr>
                <w:rFonts w:ascii="Times New Roman" w:eastAsia="Times New Roman"/>
                <w:position w:val="1"/>
                <w:sz w:val="21"/>
              </w:rPr>
              <w:t>60</w:t>
            </w:r>
            <w:r>
              <w:rPr>
                <w:sz w:val="21"/>
              </w:rPr>
              <w:t>周岁之前承担此保险责任。</w:t>
            </w:r>
          </w:p>
        </w:tc>
      </w:tr>
      <w:tr>
        <w:trPr>
          <w:trHeight w:val="936" w:hRule="atLeast"/>
        </w:trPr>
        <w:tc>
          <w:tcPr>
            <w:tcW w:w="794" w:type="dxa"/>
          </w:tcPr>
          <w:p>
            <w:pPr>
              <w:pStyle w:val="TableParagraph"/>
              <w:spacing w:before="182"/>
              <w:ind w:left="110"/>
              <w:rPr>
                <w:rFonts w:ascii="Times New Roman"/>
                <w:sz w:val="21"/>
              </w:rPr>
            </w:pPr>
            <w:r>
              <w:rPr>
                <w:rFonts w:ascii="Times New Roman"/>
                <w:sz w:val="21"/>
              </w:rPr>
              <w:t>3.17</w:t>
            </w:r>
          </w:p>
        </w:tc>
        <w:tc>
          <w:tcPr>
            <w:tcW w:w="2097" w:type="dxa"/>
          </w:tcPr>
          <w:p>
            <w:pPr>
              <w:pStyle w:val="TableParagraph"/>
              <w:spacing w:before="139"/>
              <w:ind w:left="265"/>
              <w:rPr>
                <w:b/>
                <w:sz w:val="21"/>
              </w:rPr>
            </w:pPr>
            <w:r>
              <w:rPr>
                <w:b/>
                <w:w w:val="95"/>
                <w:sz w:val="21"/>
              </w:rPr>
              <w:t>严重Ⅲ度烧伤</w:t>
            </w:r>
          </w:p>
        </w:tc>
        <w:tc>
          <w:tcPr>
            <w:tcW w:w="6639" w:type="dxa"/>
          </w:tcPr>
          <w:p>
            <w:pPr>
              <w:pStyle w:val="TableParagraph"/>
              <w:spacing w:before="139"/>
              <w:ind w:left="153"/>
              <w:rPr>
                <w:sz w:val="21"/>
              </w:rPr>
            </w:pPr>
            <w:r>
              <w:rPr>
                <w:sz w:val="21"/>
              </w:rPr>
              <w:t>指烧伤程度为Ⅲ度，且Ⅲ度烧伤的面积达到全身体表面积的</w:t>
            </w:r>
            <w:r>
              <w:rPr>
                <w:rFonts w:ascii="Times New Roman" w:hAnsi="Times New Roman" w:eastAsia="Times New Roman"/>
                <w:position w:val="1"/>
                <w:sz w:val="21"/>
              </w:rPr>
              <w:t>20</w:t>
            </w:r>
            <w:r>
              <w:rPr>
                <w:sz w:val="21"/>
              </w:rPr>
              <w:t>％或</w:t>
            </w:r>
          </w:p>
          <w:p>
            <w:pPr>
              <w:pStyle w:val="TableParagraph"/>
              <w:spacing w:before="31"/>
              <w:ind w:left="153"/>
              <w:rPr>
                <w:sz w:val="21"/>
              </w:rPr>
            </w:pPr>
            <w:r>
              <w:rPr>
                <w:rFonts w:ascii="Times New Roman" w:eastAsia="Times New Roman"/>
                <w:position w:val="1"/>
                <w:sz w:val="21"/>
              </w:rPr>
              <w:t>20</w:t>
            </w:r>
            <w:r>
              <w:rPr>
                <w:sz w:val="21"/>
              </w:rPr>
              <w:t>％以上。体表面积根据《中国新九分法》计算。</w:t>
            </w:r>
          </w:p>
        </w:tc>
      </w:tr>
      <w:tr>
        <w:trPr>
          <w:trHeight w:val="474" w:hRule="atLeast"/>
        </w:trPr>
        <w:tc>
          <w:tcPr>
            <w:tcW w:w="794" w:type="dxa"/>
          </w:tcPr>
          <w:p>
            <w:pPr>
              <w:pStyle w:val="TableParagraph"/>
              <w:spacing w:before="182"/>
              <w:ind w:left="110"/>
              <w:rPr>
                <w:rFonts w:ascii="Times New Roman"/>
                <w:sz w:val="21"/>
              </w:rPr>
            </w:pPr>
            <w:r>
              <w:rPr>
                <w:rFonts w:ascii="Times New Roman"/>
                <w:sz w:val="21"/>
              </w:rPr>
              <w:t>3.18</w:t>
            </w:r>
          </w:p>
        </w:tc>
        <w:tc>
          <w:tcPr>
            <w:tcW w:w="2097" w:type="dxa"/>
          </w:tcPr>
          <w:p>
            <w:pPr>
              <w:pStyle w:val="TableParagraph"/>
              <w:spacing w:before="139"/>
              <w:ind w:left="265"/>
              <w:rPr>
                <w:b/>
                <w:sz w:val="21"/>
              </w:rPr>
            </w:pPr>
            <w:r>
              <w:rPr>
                <w:b/>
                <w:w w:val="95"/>
                <w:sz w:val="21"/>
              </w:rPr>
              <w:t>主动脉手术</w:t>
            </w:r>
          </w:p>
        </w:tc>
        <w:tc>
          <w:tcPr>
            <w:tcW w:w="6639" w:type="dxa"/>
          </w:tcPr>
          <w:p>
            <w:pPr>
              <w:pStyle w:val="TableParagraph"/>
              <w:spacing w:before="139"/>
              <w:ind w:left="153"/>
              <w:rPr>
                <w:sz w:val="21"/>
              </w:rPr>
            </w:pPr>
            <w:r>
              <w:rPr>
                <w:spacing w:val="-6"/>
                <w:sz w:val="21"/>
              </w:rPr>
              <w:t>指为治疗主动脉疾病，实际实施了开胸或开腹进行的切除、置换、修补</w:t>
            </w:r>
          </w:p>
        </w:tc>
      </w:tr>
      <w:tr>
        <w:trPr>
          <w:trHeight w:val="307"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2" w:lineRule="exact"/>
              <w:ind w:left="153"/>
              <w:rPr>
                <w:sz w:val="21"/>
              </w:rPr>
            </w:pPr>
            <w:r>
              <w:rPr>
                <w:sz w:val="21"/>
              </w:rPr>
              <w:t>病损主动脉血管的手术。主动脉指胸主动脉和腹主动脉，不包括胸主</w:t>
            </w:r>
          </w:p>
        </w:tc>
      </w:tr>
      <w:tr>
        <w:trPr>
          <w:trHeight w:val="311"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7" w:lineRule="exact"/>
              <w:ind w:left="153"/>
              <w:rPr>
                <w:sz w:val="21"/>
              </w:rPr>
            </w:pPr>
            <w:r>
              <w:rPr>
                <w:sz w:val="21"/>
              </w:rPr>
              <w:t>动脉和腹主动脉的分支血管。</w:t>
            </w:r>
          </w:p>
        </w:tc>
      </w:tr>
      <w:tr>
        <w:trPr>
          <w:trHeight w:val="461"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7" w:lineRule="exact"/>
              <w:ind w:left="153"/>
              <w:rPr>
                <w:sz w:val="21"/>
              </w:rPr>
            </w:pPr>
            <w:r>
              <w:rPr>
                <w:sz w:val="21"/>
              </w:rPr>
              <w:t>动脉内血管成形术不在保障范围内。</w:t>
            </w:r>
          </w:p>
        </w:tc>
      </w:tr>
      <w:tr>
        <w:trPr>
          <w:trHeight w:val="479" w:hRule="atLeast"/>
        </w:trPr>
        <w:tc>
          <w:tcPr>
            <w:tcW w:w="794" w:type="dxa"/>
          </w:tcPr>
          <w:p>
            <w:pPr>
              <w:pStyle w:val="TableParagraph"/>
              <w:spacing w:before="187"/>
              <w:ind w:left="110"/>
              <w:rPr>
                <w:rFonts w:ascii="Times New Roman"/>
                <w:sz w:val="21"/>
              </w:rPr>
            </w:pPr>
            <w:r>
              <w:rPr>
                <w:rFonts w:ascii="Times New Roman"/>
                <w:sz w:val="21"/>
              </w:rPr>
              <w:t>3.19</w:t>
            </w:r>
          </w:p>
        </w:tc>
        <w:tc>
          <w:tcPr>
            <w:tcW w:w="2097" w:type="dxa"/>
          </w:tcPr>
          <w:p>
            <w:pPr>
              <w:pStyle w:val="TableParagraph"/>
              <w:spacing w:before="144"/>
              <w:ind w:left="265"/>
              <w:rPr>
                <w:b/>
                <w:sz w:val="21"/>
              </w:rPr>
            </w:pPr>
            <w:r>
              <w:rPr>
                <w:b/>
                <w:w w:val="95"/>
                <w:sz w:val="21"/>
              </w:rPr>
              <w:t>慢性肺功能衰竭</w:t>
            </w:r>
          </w:p>
        </w:tc>
        <w:tc>
          <w:tcPr>
            <w:tcW w:w="6639" w:type="dxa"/>
          </w:tcPr>
          <w:p>
            <w:pPr>
              <w:pStyle w:val="TableParagraph"/>
              <w:spacing w:before="144"/>
              <w:ind w:left="153"/>
              <w:rPr>
                <w:sz w:val="21"/>
              </w:rPr>
            </w:pPr>
            <w:r>
              <w:rPr>
                <w:sz w:val="21"/>
              </w:rPr>
              <w:t>慢性肺部疾病导致永久不可逆性的慢性呼吸功能衰竭，必须符合下列</w:t>
            </w:r>
          </w:p>
        </w:tc>
      </w:tr>
      <w:tr>
        <w:trPr>
          <w:trHeight w:val="300"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2" w:lineRule="exact"/>
              <w:ind w:left="153"/>
              <w:rPr>
                <w:sz w:val="21"/>
              </w:rPr>
            </w:pPr>
            <w:r>
              <w:rPr>
                <w:sz w:val="21"/>
              </w:rPr>
              <w:t>所有条件：</w:t>
            </w:r>
          </w:p>
        </w:tc>
      </w:tr>
      <w:tr>
        <w:trPr>
          <w:trHeight w:val="1408"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69" w:lineRule="exact"/>
              <w:ind w:left="153"/>
              <w:rPr>
                <w:sz w:val="21"/>
              </w:rPr>
            </w:pPr>
            <w:r>
              <w:rPr>
                <w:sz w:val="21"/>
              </w:rPr>
              <w:t>（</w:t>
            </w:r>
            <w:r>
              <w:rPr>
                <w:rFonts w:ascii="Times New Roman" w:eastAsia="Times New Roman"/>
                <w:position w:val="1"/>
                <w:sz w:val="21"/>
              </w:rPr>
              <w:t>1</w:t>
            </w:r>
            <w:r>
              <w:rPr>
                <w:sz w:val="21"/>
              </w:rPr>
              <w:t>）休息时出现呼吸困难；</w:t>
            </w:r>
          </w:p>
          <w:p>
            <w:pPr>
              <w:pStyle w:val="TableParagraph"/>
              <w:spacing w:before="35"/>
              <w:ind w:left="153"/>
              <w:rPr>
                <w:sz w:val="21"/>
              </w:rPr>
            </w:pPr>
            <w:r>
              <w:rPr>
                <w:position w:val="1"/>
                <w:sz w:val="21"/>
              </w:rPr>
              <w:t>（</w:t>
            </w:r>
            <w:r>
              <w:rPr>
                <w:rFonts w:ascii="Times New Roman" w:eastAsia="Times New Roman"/>
                <w:position w:val="2"/>
                <w:sz w:val="21"/>
              </w:rPr>
              <w:t>2</w:t>
            </w:r>
            <w:r>
              <w:rPr>
                <w:position w:val="1"/>
                <w:sz w:val="21"/>
              </w:rPr>
              <w:t>）动脉血氧分压（</w:t>
            </w:r>
            <w:r>
              <w:rPr>
                <w:rFonts w:ascii="Times New Roman" w:eastAsia="Times New Roman"/>
                <w:position w:val="2"/>
                <w:sz w:val="21"/>
              </w:rPr>
              <w:t>PaO</w:t>
            </w:r>
            <w:r>
              <w:rPr>
                <w:rFonts w:ascii="Times New Roman" w:eastAsia="Times New Roman"/>
                <w:sz w:val="12"/>
              </w:rPr>
              <w:t>2</w:t>
            </w:r>
            <w:r>
              <w:rPr>
                <w:position w:val="1"/>
                <w:sz w:val="21"/>
              </w:rPr>
              <w:t>）</w:t>
            </w:r>
            <w:r>
              <w:rPr>
                <w:rFonts w:ascii="Times New Roman" w:eastAsia="Times New Roman"/>
                <w:position w:val="2"/>
                <w:sz w:val="21"/>
              </w:rPr>
              <w:t>&lt; 50mmHg</w:t>
            </w:r>
            <w:r>
              <w:rPr>
                <w:position w:val="1"/>
                <w:sz w:val="21"/>
              </w:rPr>
              <w:t>；</w:t>
            </w:r>
          </w:p>
          <w:p>
            <w:pPr>
              <w:pStyle w:val="TableParagraph"/>
              <w:spacing w:before="30"/>
              <w:ind w:left="153"/>
              <w:rPr>
                <w:sz w:val="21"/>
              </w:rPr>
            </w:pPr>
            <w:r>
              <w:rPr>
                <w:position w:val="1"/>
                <w:sz w:val="21"/>
              </w:rPr>
              <w:t>（</w:t>
            </w:r>
            <w:r>
              <w:rPr>
                <w:rFonts w:ascii="Times New Roman" w:eastAsia="Times New Roman"/>
                <w:position w:val="2"/>
                <w:sz w:val="21"/>
              </w:rPr>
              <w:t>3</w:t>
            </w:r>
            <w:r>
              <w:rPr>
                <w:position w:val="1"/>
                <w:sz w:val="21"/>
              </w:rPr>
              <w:t>）动脉血氧饱和度（</w:t>
            </w:r>
            <w:r>
              <w:rPr>
                <w:rFonts w:ascii="Times New Roman" w:eastAsia="Times New Roman"/>
                <w:position w:val="2"/>
                <w:sz w:val="21"/>
              </w:rPr>
              <w:t>SaO</w:t>
            </w:r>
            <w:r>
              <w:rPr>
                <w:rFonts w:ascii="Times New Roman" w:eastAsia="Times New Roman"/>
                <w:sz w:val="12"/>
              </w:rPr>
              <w:t>2</w:t>
            </w:r>
            <w:r>
              <w:rPr>
                <w:position w:val="1"/>
                <w:sz w:val="21"/>
              </w:rPr>
              <w:t>）</w:t>
            </w:r>
            <w:r>
              <w:rPr>
                <w:rFonts w:ascii="Times New Roman" w:eastAsia="Times New Roman"/>
                <w:position w:val="2"/>
                <w:sz w:val="21"/>
              </w:rPr>
              <w:t>&lt; 80</w:t>
            </w:r>
            <w:r>
              <w:rPr>
                <w:position w:val="1"/>
                <w:sz w:val="21"/>
              </w:rPr>
              <w:t>％；</w:t>
            </w:r>
          </w:p>
          <w:p>
            <w:pPr>
              <w:pStyle w:val="TableParagraph"/>
              <w:spacing w:before="26"/>
              <w:ind w:left="153"/>
              <w:rPr>
                <w:sz w:val="21"/>
              </w:rPr>
            </w:pPr>
            <w:r>
              <w:rPr>
                <w:sz w:val="21"/>
              </w:rPr>
              <w:t>（</w:t>
            </w:r>
            <w:r>
              <w:rPr>
                <w:rFonts w:ascii="Times New Roman" w:eastAsia="Times New Roman"/>
                <w:position w:val="1"/>
                <w:sz w:val="21"/>
              </w:rPr>
              <w:t>4</w:t>
            </w:r>
            <w:r>
              <w:rPr>
                <w:sz w:val="21"/>
              </w:rPr>
              <w:t>）因缺氧必须接受持续的输氧治疗。</w:t>
            </w:r>
          </w:p>
        </w:tc>
      </w:tr>
      <w:tr>
        <w:trPr>
          <w:trHeight w:val="1098" w:hRule="atLeast"/>
        </w:trPr>
        <w:tc>
          <w:tcPr>
            <w:tcW w:w="794" w:type="dxa"/>
          </w:tcPr>
          <w:p>
            <w:pPr>
              <w:pStyle w:val="TableParagraph"/>
              <w:spacing w:before="182"/>
              <w:ind w:left="110"/>
              <w:rPr>
                <w:rFonts w:ascii="Times New Roman"/>
                <w:sz w:val="21"/>
              </w:rPr>
            </w:pPr>
            <w:r>
              <w:rPr>
                <w:rFonts w:ascii="Times New Roman"/>
                <w:sz w:val="21"/>
              </w:rPr>
              <w:t>3.20</w:t>
            </w:r>
          </w:p>
        </w:tc>
        <w:tc>
          <w:tcPr>
            <w:tcW w:w="2097" w:type="dxa"/>
          </w:tcPr>
          <w:p>
            <w:pPr>
              <w:pStyle w:val="TableParagraph"/>
              <w:spacing w:before="139"/>
              <w:ind w:left="265"/>
              <w:rPr>
                <w:b/>
                <w:sz w:val="21"/>
              </w:rPr>
            </w:pPr>
            <w:r>
              <w:rPr>
                <w:b/>
                <w:w w:val="95"/>
                <w:sz w:val="21"/>
              </w:rPr>
              <w:t>严重多发性硬化症</w:t>
            </w:r>
          </w:p>
        </w:tc>
        <w:tc>
          <w:tcPr>
            <w:tcW w:w="6639" w:type="dxa"/>
          </w:tcPr>
          <w:p>
            <w:pPr>
              <w:pStyle w:val="TableParagraph"/>
              <w:spacing w:line="268" w:lineRule="auto" w:before="139"/>
              <w:ind w:left="153" w:right="101"/>
              <w:jc w:val="both"/>
              <w:rPr>
                <w:sz w:val="21"/>
              </w:rPr>
            </w:pPr>
            <w:r>
              <w:rPr>
                <w:sz w:val="21"/>
              </w:rPr>
              <w:t>多发性硬化为中枢神经系统白质多灶性脱髓鞘病变。多发性硬化须由核磁共振（</w:t>
            </w:r>
            <w:r>
              <w:rPr>
                <w:rFonts w:ascii="Times New Roman" w:eastAsia="Times New Roman"/>
                <w:position w:val="1"/>
                <w:sz w:val="21"/>
              </w:rPr>
              <w:t>MRI</w:t>
            </w:r>
            <w:r>
              <w:rPr>
                <w:sz w:val="21"/>
              </w:rPr>
              <w:t>）等影像学检查证实，并且已经造成永久不可逆的神</w:t>
            </w:r>
            <w:r>
              <w:rPr>
                <w:spacing w:val="-4"/>
                <w:sz w:val="21"/>
              </w:rPr>
              <w:t>经系统功能损害。永久不可逆神经系统功能损害指被保险人持续</w:t>
            </w:r>
            <w:r>
              <w:rPr>
                <w:rFonts w:ascii="Times New Roman" w:eastAsia="Times New Roman"/>
                <w:position w:val="1"/>
                <w:sz w:val="21"/>
              </w:rPr>
              <w:t>180</w:t>
            </w:r>
            <w:r>
              <w:rPr>
                <w:sz w:val="21"/>
              </w:rPr>
              <w:t>天</w:t>
            </w:r>
          </w:p>
        </w:tc>
      </w:tr>
      <w:tr>
        <w:trPr>
          <w:trHeight w:val="300"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2" w:lineRule="exact"/>
              <w:ind w:left="153"/>
              <w:rPr>
                <w:sz w:val="21"/>
              </w:rPr>
            </w:pPr>
            <w:r>
              <w:rPr>
                <w:sz w:val="21"/>
              </w:rPr>
              <w:t>无法独立完成下列基本日常生活活动：</w:t>
            </w:r>
          </w:p>
        </w:tc>
      </w:tr>
      <w:tr>
        <w:trPr>
          <w:trHeight w:val="777"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69" w:lineRule="exact"/>
              <w:ind w:left="153"/>
              <w:rPr>
                <w:sz w:val="21"/>
              </w:rPr>
            </w:pPr>
            <w:r>
              <w:rPr>
                <w:sz w:val="21"/>
              </w:rPr>
              <w:t>（</w:t>
            </w:r>
            <w:r>
              <w:rPr>
                <w:rFonts w:ascii="Times New Roman" w:eastAsia="Times New Roman"/>
                <w:position w:val="1"/>
                <w:sz w:val="21"/>
              </w:rPr>
              <w:t>1</w:t>
            </w:r>
            <w:r>
              <w:rPr>
                <w:sz w:val="21"/>
              </w:rPr>
              <w:t>）移动：自己从一个房间到另一个房间；</w:t>
            </w:r>
          </w:p>
          <w:p>
            <w:pPr>
              <w:pStyle w:val="TableParagraph"/>
              <w:spacing w:before="31"/>
              <w:ind w:left="153"/>
              <w:rPr>
                <w:sz w:val="21"/>
              </w:rPr>
            </w:pPr>
            <w:r>
              <w:rPr>
                <w:sz w:val="21"/>
              </w:rPr>
              <w:t>（</w:t>
            </w:r>
            <w:r>
              <w:rPr>
                <w:rFonts w:ascii="Times New Roman" w:eastAsia="Times New Roman"/>
                <w:position w:val="1"/>
                <w:sz w:val="21"/>
              </w:rPr>
              <w:t>2</w:t>
            </w:r>
            <w:r>
              <w:rPr>
                <w:sz w:val="21"/>
              </w:rPr>
              <w:t>）进食：自己从已准备好的碗或碟中取食物放入口中。</w:t>
            </w:r>
          </w:p>
        </w:tc>
      </w:tr>
      <w:tr>
        <w:trPr>
          <w:trHeight w:val="622" w:hRule="atLeast"/>
        </w:trPr>
        <w:tc>
          <w:tcPr>
            <w:tcW w:w="794" w:type="dxa"/>
            <w:tcBorders>
              <w:bottom w:val="single" w:sz="12" w:space="0" w:color="000000"/>
            </w:tcBorders>
          </w:tcPr>
          <w:p>
            <w:pPr>
              <w:pStyle w:val="TableParagraph"/>
              <w:spacing w:before="173"/>
              <w:ind w:left="110"/>
              <w:rPr>
                <w:rFonts w:ascii="Times New Roman"/>
                <w:b/>
                <w:sz w:val="24"/>
              </w:rPr>
            </w:pPr>
            <w:r>
              <w:rPr>
                <w:rFonts w:ascii="Times New Roman"/>
                <w:b/>
                <w:sz w:val="24"/>
              </w:rPr>
              <w:t>4</w:t>
            </w:r>
          </w:p>
        </w:tc>
        <w:tc>
          <w:tcPr>
            <w:tcW w:w="2097" w:type="dxa"/>
            <w:tcBorders>
              <w:bottom w:val="single" w:sz="12" w:space="0" w:color="000000"/>
            </w:tcBorders>
          </w:tcPr>
          <w:p>
            <w:pPr>
              <w:pStyle w:val="TableParagraph"/>
              <w:spacing w:before="121"/>
              <w:ind w:left="265"/>
              <w:rPr>
                <w:b/>
                <w:sz w:val="24"/>
              </w:rPr>
            </w:pPr>
            <w:r>
              <w:rPr>
                <w:b/>
                <w:w w:val="95"/>
                <w:sz w:val="24"/>
              </w:rPr>
              <w:t>保险金的申请</w:t>
            </w:r>
          </w:p>
        </w:tc>
        <w:tc>
          <w:tcPr>
            <w:tcW w:w="6639" w:type="dxa"/>
            <w:tcBorders>
              <w:bottom w:val="single" w:sz="12" w:space="0" w:color="000000"/>
            </w:tcBorders>
          </w:tcPr>
          <w:p>
            <w:pPr>
              <w:pStyle w:val="TableParagraph"/>
              <w:rPr>
                <w:rFonts w:ascii="Times New Roman"/>
                <w:sz w:val="20"/>
              </w:rPr>
            </w:pPr>
          </w:p>
        </w:tc>
      </w:tr>
      <w:tr>
        <w:trPr>
          <w:trHeight w:val="310" w:hRule="atLeast"/>
        </w:trPr>
        <w:tc>
          <w:tcPr>
            <w:tcW w:w="794" w:type="dxa"/>
            <w:tcBorders>
              <w:top w:val="single" w:sz="12" w:space="0" w:color="000000"/>
            </w:tcBorders>
          </w:tcPr>
          <w:p>
            <w:pPr>
              <w:pStyle w:val="TableParagraph"/>
              <w:spacing w:before="19"/>
              <w:ind w:left="110"/>
              <w:rPr>
                <w:rFonts w:ascii="Times New Roman"/>
                <w:sz w:val="21"/>
              </w:rPr>
            </w:pPr>
            <w:r>
              <w:rPr>
                <w:rFonts w:ascii="Times New Roman"/>
                <w:sz w:val="21"/>
              </w:rPr>
              <w:t>4.1</w:t>
            </w:r>
          </w:p>
        </w:tc>
        <w:tc>
          <w:tcPr>
            <w:tcW w:w="2097" w:type="dxa"/>
            <w:tcBorders>
              <w:top w:val="single" w:sz="12" w:space="0" w:color="000000"/>
            </w:tcBorders>
          </w:tcPr>
          <w:p>
            <w:pPr>
              <w:pStyle w:val="TableParagraph"/>
              <w:spacing w:line="249" w:lineRule="exact"/>
              <w:ind w:left="265"/>
              <w:rPr>
                <w:b/>
                <w:sz w:val="21"/>
              </w:rPr>
            </w:pPr>
            <w:r>
              <w:rPr>
                <w:b/>
                <w:w w:val="95"/>
                <w:sz w:val="21"/>
              </w:rPr>
              <w:t>保险金的申请</w:t>
            </w:r>
          </w:p>
        </w:tc>
        <w:tc>
          <w:tcPr>
            <w:tcW w:w="6639" w:type="dxa"/>
            <w:tcBorders>
              <w:top w:val="single" w:sz="12" w:space="0" w:color="000000"/>
            </w:tcBorders>
          </w:tcPr>
          <w:p>
            <w:pPr>
              <w:pStyle w:val="TableParagraph"/>
              <w:spacing w:line="249" w:lineRule="exact"/>
              <w:ind w:left="153"/>
              <w:rPr>
                <w:sz w:val="21"/>
              </w:rPr>
            </w:pPr>
            <w:r>
              <w:rPr>
                <w:sz w:val="21"/>
              </w:rPr>
              <w:t>在申请保险金时，申请人需要提供相关的资料和证明。若提供的申请</w:t>
            </w:r>
          </w:p>
        </w:tc>
      </w:tr>
      <w:tr>
        <w:trPr>
          <w:trHeight w:val="306"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1" w:lineRule="exact"/>
              <w:ind w:left="153"/>
              <w:rPr>
                <w:sz w:val="21"/>
              </w:rPr>
            </w:pPr>
            <w:r>
              <w:rPr>
                <w:sz w:val="21"/>
              </w:rPr>
              <w:t>资料和证明不完整的，我们将及时一次性通知申请人补充提供有关资</w:t>
            </w:r>
          </w:p>
        </w:tc>
      </w:tr>
      <w:tr>
        <w:trPr>
          <w:trHeight w:val="462"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7" w:lineRule="exact"/>
              <w:ind w:left="153"/>
              <w:rPr>
                <w:sz w:val="21"/>
              </w:rPr>
            </w:pPr>
            <w:r>
              <w:rPr>
                <w:sz w:val="21"/>
              </w:rPr>
              <w:t>料和证明。申请人申请保险金时须按照下列方式办理：</w:t>
            </w:r>
          </w:p>
        </w:tc>
      </w:tr>
      <w:tr>
        <w:trPr>
          <w:trHeight w:val="1415" w:hRule="atLeast"/>
        </w:trPr>
        <w:tc>
          <w:tcPr>
            <w:tcW w:w="794" w:type="dxa"/>
          </w:tcPr>
          <w:p>
            <w:pPr>
              <w:pStyle w:val="TableParagraph"/>
              <w:spacing w:before="188"/>
              <w:ind w:left="110"/>
              <w:rPr>
                <w:rFonts w:ascii="Times New Roman"/>
                <w:sz w:val="21"/>
              </w:rPr>
            </w:pPr>
            <w:r>
              <w:rPr>
                <w:rFonts w:ascii="Times New Roman"/>
                <w:sz w:val="21"/>
              </w:rPr>
              <w:t>4.1.1</w:t>
            </w:r>
          </w:p>
        </w:tc>
        <w:tc>
          <w:tcPr>
            <w:tcW w:w="2097" w:type="dxa"/>
          </w:tcPr>
          <w:p>
            <w:pPr>
              <w:pStyle w:val="TableParagraph"/>
              <w:spacing w:before="143"/>
              <w:ind w:left="265"/>
              <w:rPr>
                <w:b/>
                <w:sz w:val="21"/>
              </w:rPr>
            </w:pPr>
            <w:r>
              <w:rPr>
                <w:b/>
                <w:w w:val="95"/>
                <w:sz w:val="21"/>
              </w:rPr>
              <w:t>身故保险金申请</w:t>
            </w:r>
          </w:p>
        </w:tc>
        <w:tc>
          <w:tcPr>
            <w:tcW w:w="6639" w:type="dxa"/>
          </w:tcPr>
          <w:p>
            <w:pPr>
              <w:pStyle w:val="TableParagraph"/>
              <w:spacing w:before="143"/>
              <w:ind w:left="153"/>
              <w:rPr>
                <w:sz w:val="21"/>
              </w:rPr>
            </w:pPr>
            <w:r>
              <w:rPr>
                <w:sz w:val="21"/>
              </w:rPr>
              <w:t>申请人须填写保险金给付申请书，并提供下列证明和资料：</w:t>
            </w:r>
          </w:p>
          <w:p>
            <w:pPr>
              <w:pStyle w:val="TableParagraph"/>
              <w:spacing w:before="37"/>
              <w:ind w:left="153"/>
              <w:rPr>
                <w:sz w:val="21"/>
              </w:rPr>
            </w:pPr>
            <w:r>
              <w:rPr>
                <w:sz w:val="21"/>
              </w:rPr>
              <w:t>（</w:t>
            </w:r>
            <w:r>
              <w:rPr>
                <w:rFonts w:ascii="Times New Roman" w:eastAsia="Times New Roman"/>
                <w:sz w:val="21"/>
              </w:rPr>
              <w:t>1</w:t>
            </w:r>
            <w:r>
              <w:rPr>
                <w:sz w:val="21"/>
              </w:rPr>
              <w:t>）保险合同；</w:t>
            </w:r>
          </w:p>
          <w:p>
            <w:pPr>
              <w:pStyle w:val="TableParagraph"/>
              <w:spacing w:before="21"/>
              <w:ind w:left="153"/>
              <w:rPr>
                <w:sz w:val="21"/>
              </w:rPr>
            </w:pPr>
            <w:r>
              <w:rPr>
                <w:sz w:val="21"/>
              </w:rPr>
              <w:t>（</w:t>
            </w:r>
            <w:r>
              <w:rPr>
                <w:rFonts w:ascii="Times New Roman" w:eastAsia="Times New Roman"/>
                <w:sz w:val="21"/>
              </w:rPr>
              <w:t>2</w:t>
            </w:r>
            <w:r>
              <w:rPr>
                <w:sz w:val="21"/>
              </w:rPr>
              <w:t>）申请人的有效身份证件；</w:t>
            </w:r>
          </w:p>
          <w:p>
            <w:pPr>
              <w:pStyle w:val="TableParagraph"/>
              <w:spacing w:before="21"/>
              <w:ind w:left="153"/>
              <w:rPr>
                <w:sz w:val="21"/>
              </w:rPr>
            </w:pPr>
            <w:r>
              <w:rPr>
                <w:sz w:val="21"/>
              </w:rPr>
              <w:t>（</w:t>
            </w:r>
            <w:r>
              <w:rPr>
                <w:rFonts w:ascii="Times New Roman" w:eastAsia="Times New Roman"/>
                <w:sz w:val="21"/>
              </w:rPr>
              <w:t>3</w:t>
            </w:r>
            <w:r>
              <w:rPr>
                <w:sz w:val="21"/>
              </w:rPr>
              <w:t>）国家卫生行政部门认定的医疗机构、公安部门或其他相关机构出</w:t>
            </w:r>
          </w:p>
        </w:tc>
      </w:tr>
      <w:tr>
        <w:trPr>
          <w:trHeight w:val="300"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1" w:lineRule="exact"/>
              <w:ind w:left="153"/>
              <w:rPr>
                <w:sz w:val="21"/>
              </w:rPr>
            </w:pPr>
            <w:r>
              <w:rPr>
                <w:sz w:val="21"/>
              </w:rPr>
              <w:t>具的被保险人的死亡证明；</w:t>
            </w:r>
          </w:p>
        </w:tc>
      </w:tr>
      <w:tr>
        <w:trPr>
          <w:trHeight w:val="323"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78" w:lineRule="exact"/>
              <w:ind w:left="153"/>
              <w:rPr>
                <w:sz w:val="21"/>
              </w:rPr>
            </w:pPr>
            <w:r>
              <w:rPr>
                <w:sz w:val="21"/>
              </w:rPr>
              <w:t>（</w:t>
            </w:r>
            <w:r>
              <w:rPr>
                <w:rFonts w:ascii="Times New Roman" w:eastAsia="Times New Roman"/>
                <w:sz w:val="21"/>
              </w:rPr>
              <w:t>4</w:t>
            </w:r>
            <w:r>
              <w:rPr>
                <w:sz w:val="21"/>
              </w:rPr>
              <w:t>）所能提供的与确认保险事故的性质、原因等有关的其他证明和资</w:t>
            </w:r>
          </w:p>
        </w:tc>
      </w:tr>
      <w:tr>
        <w:trPr>
          <w:trHeight w:val="306"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1" w:lineRule="exact"/>
              <w:ind w:left="153"/>
              <w:rPr>
                <w:sz w:val="21"/>
              </w:rPr>
            </w:pPr>
            <w:r>
              <w:rPr>
                <w:sz w:val="21"/>
              </w:rPr>
              <w:t>料。</w:t>
            </w:r>
          </w:p>
        </w:tc>
      </w:tr>
      <w:tr>
        <w:trPr>
          <w:trHeight w:val="312"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7" w:lineRule="exact"/>
              <w:ind w:left="153"/>
              <w:rPr>
                <w:sz w:val="21"/>
              </w:rPr>
            </w:pPr>
            <w:r>
              <w:rPr>
                <w:sz w:val="21"/>
              </w:rPr>
              <w:t>保险金作为被保险人遗产时，必须提供可证明合法继承权的相关权利</w:t>
            </w:r>
          </w:p>
        </w:tc>
      </w:tr>
      <w:tr>
        <w:trPr>
          <w:trHeight w:val="462" w:hRule="atLeast"/>
        </w:trPr>
        <w:tc>
          <w:tcPr>
            <w:tcW w:w="794" w:type="dxa"/>
          </w:tcPr>
          <w:p>
            <w:pPr>
              <w:pStyle w:val="TableParagraph"/>
              <w:rPr>
                <w:rFonts w:ascii="Times New Roman"/>
                <w:sz w:val="20"/>
              </w:rPr>
            </w:pPr>
          </w:p>
        </w:tc>
        <w:tc>
          <w:tcPr>
            <w:tcW w:w="2097" w:type="dxa"/>
          </w:tcPr>
          <w:p>
            <w:pPr>
              <w:pStyle w:val="TableParagraph"/>
              <w:rPr>
                <w:rFonts w:ascii="Times New Roman"/>
                <w:sz w:val="20"/>
              </w:rPr>
            </w:pPr>
          </w:p>
        </w:tc>
        <w:tc>
          <w:tcPr>
            <w:tcW w:w="6639" w:type="dxa"/>
          </w:tcPr>
          <w:p>
            <w:pPr>
              <w:pStyle w:val="TableParagraph"/>
              <w:spacing w:line="257" w:lineRule="exact"/>
              <w:ind w:left="153"/>
              <w:rPr>
                <w:sz w:val="21"/>
              </w:rPr>
            </w:pPr>
            <w:r>
              <w:rPr>
                <w:sz w:val="21"/>
              </w:rPr>
              <w:t>文件。</w:t>
            </w:r>
          </w:p>
        </w:tc>
      </w:tr>
      <w:tr>
        <w:trPr>
          <w:trHeight w:val="479" w:hRule="atLeast"/>
        </w:trPr>
        <w:tc>
          <w:tcPr>
            <w:tcW w:w="794" w:type="dxa"/>
          </w:tcPr>
          <w:p>
            <w:pPr>
              <w:pStyle w:val="TableParagraph"/>
              <w:spacing w:before="188"/>
              <w:ind w:left="110"/>
              <w:rPr>
                <w:rFonts w:ascii="Times New Roman"/>
                <w:sz w:val="21"/>
              </w:rPr>
            </w:pPr>
            <w:r>
              <w:rPr>
                <w:rFonts w:ascii="Times New Roman"/>
                <w:sz w:val="21"/>
              </w:rPr>
              <w:t>4.1.2</w:t>
            </w:r>
          </w:p>
        </w:tc>
        <w:tc>
          <w:tcPr>
            <w:tcW w:w="2097" w:type="dxa"/>
          </w:tcPr>
          <w:p>
            <w:pPr>
              <w:pStyle w:val="TableParagraph"/>
              <w:spacing w:before="143"/>
              <w:ind w:left="265"/>
              <w:rPr>
                <w:b/>
                <w:sz w:val="21"/>
              </w:rPr>
            </w:pPr>
            <w:r>
              <w:rPr>
                <w:b/>
                <w:w w:val="95"/>
                <w:sz w:val="21"/>
              </w:rPr>
              <w:t>全残保险金及全残</w:t>
            </w:r>
          </w:p>
        </w:tc>
        <w:tc>
          <w:tcPr>
            <w:tcW w:w="6639" w:type="dxa"/>
          </w:tcPr>
          <w:p>
            <w:pPr>
              <w:pStyle w:val="TableParagraph"/>
              <w:rPr>
                <w:rFonts w:ascii="Times New Roman"/>
                <w:sz w:val="20"/>
              </w:rPr>
            </w:pPr>
          </w:p>
        </w:tc>
      </w:tr>
      <w:tr>
        <w:trPr>
          <w:trHeight w:val="255" w:hRule="atLeast"/>
        </w:trPr>
        <w:tc>
          <w:tcPr>
            <w:tcW w:w="794" w:type="dxa"/>
          </w:tcPr>
          <w:p>
            <w:pPr>
              <w:pStyle w:val="TableParagraph"/>
              <w:rPr>
                <w:rFonts w:ascii="Times New Roman"/>
                <w:sz w:val="18"/>
              </w:rPr>
            </w:pPr>
          </w:p>
        </w:tc>
        <w:tc>
          <w:tcPr>
            <w:tcW w:w="2097" w:type="dxa"/>
          </w:tcPr>
          <w:p>
            <w:pPr>
              <w:pStyle w:val="TableParagraph"/>
              <w:spacing w:line="235" w:lineRule="exact"/>
              <w:ind w:left="265"/>
              <w:rPr>
                <w:b/>
                <w:sz w:val="21"/>
              </w:rPr>
            </w:pPr>
            <w:r>
              <w:rPr>
                <w:b/>
                <w:w w:val="95"/>
                <w:sz w:val="21"/>
              </w:rPr>
              <w:t>津贴申请</w:t>
            </w:r>
          </w:p>
        </w:tc>
        <w:tc>
          <w:tcPr>
            <w:tcW w:w="6639" w:type="dxa"/>
          </w:tcPr>
          <w:p>
            <w:pPr>
              <w:pStyle w:val="TableParagraph"/>
              <w:rPr>
                <w:rFonts w:ascii="Times New Roman"/>
                <w:sz w:val="18"/>
              </w:rPr>
            </w:pPr>
          </w:p>
        </w:tc>
      </w:tr>
    </w:tbl>
    <w:p>
      <w:pPr>
        <w:spacing w:after="0"/>
        <w:rPr>
          <w:rFonts w:ascii="Times New Roman"/>
          <w:sz w:val="18"/>
        </w:rPr>
        <w:sectPr>
          <w:pgSz w:w="11900" w:h="16840"/>
          <w:pgMar w:header="0" w:footer="866" w:top="1260" w:bottom="1060" w:left="124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
        <w:gridCol w:w="2138"/>
        <w:gridCol w:w="6530"/>
      </w:tblGrid>
      <w:tr>
        <w:trPr>
          <w:trHeight w:val="272" w:hRule="atLeast"/>
        </w:trPr>
        <w:tc>
          <w:tcPr>
            <w:tcW w:w="874" w:type="dxa"/>
          </w:tcPr>
          <w:p>
            <w:pPr>
              <w:pStyle w:val="TableParagraph"/>
              <w:spacing w:line="233" w:lineRule="exact"/>
              <w:ind w:left="110"/>
              <w:rPr>
                <w:rFonts w:ascii="Times New Roman"/>
                <w:sz w:val="21"/>
              </w:rPr>
            </w:pPr>
            <w:r>
              <w:rPr>
                <w:rFonts w:ascii="Times New Roman"/>
                <w:sz w:val="21"/>
              </w:rPr>
              <w:t>4.1.2.1</w:t>
            </w:r>
          </w:p>
        </w:tc>
        <w:tc>
          <w:tcPr>
            <w:tcW w:w="2138" w:type="dxa"/>
          </w:tcPr>
          <w:p>
            <w:pPr>
              <w:pStyle w:val="TableParagraph"/>
              <w:spacing w:line="223" w:lineRule="exact"/>
              <w:ind w:left="187"/>
              <w:rPr>
                <w:b/>
                <w:sz w:val="21"/>
              </w:rPr>
            </w:pPr>
            <w:r>
              <w:rPr>
                <w:b/>
                <w:w w:val="95"/>
                <w:sz w:val="21"/>
              </w:rPr>
              <w:t>申请资料</w:t>
            </w:r>
          </w:p>
        </w:tc>
        <w:tc>
          <w:tcPr>
            <w:tcW w:w="6530" w:type="dxa"/>
          </w:tcPr>
          <w:p>
            <w:pPr>
              <w:pStyle w:val="TableParagraph"/>
              <w:spacing w:line="223" w:lineRule="exact"/>
              <w:ind w:left="31"/>
              <w:rPr>
                <w:sz w:val="21"/>
              </w:rPr>
            </w:pPr>
            <w:r>
              <w:rPr>
                <w:sz w:val="21"/>
              </w:rPr>
              <w:t>申请人须填写保险金给付申请书，并提供下列证明和资料：</w:t>
            </w:r>
          </w:p>
        </w:tc>
      </w:tr>
      <w:tr>
        <w:trPr>
          <w:trHeight w:val="312"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8" w:lineRule="exact"/>
              <w:ind w:left="31"/>
              <w:rPr>
                <w:sz w:val="21"/>
              </w:rPr>
            </w:pPr>
            <w:r>
              <w:rPr>
                <w:sz w:val="21"/>
              </w:rPr>
              <w:t>（</w:t>
            </w:r>
            <w:r>
              <w:rPr>
                <w:rFonts w:ascii="Times New Roman" w:eastAsia="Times New Roman"/>
                <w:position w:val="1"/>
                <w:sz w:val="21"/>
              </w:rPr>
              <w:t>1</w:t>
            </w:r>
            <w:r>
              <w:rPr>
                <w:sz w:val="21"/>
              </w:rPr>
              <w:t>）保险合同；</w:t>
            </w:r>
          </w:p>
        </w:tc>
      </w:tr>
      <w:tr>
        <w:trPr>
          <w:trHeight w:val="311"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8" w:lineRule="exact"/>
              <w:ind w:left="31"/>
              <w:rPr>
                <w:sz w:val="21"/>
              </w:rPr>
            </w:pPr>
            <w:r>
              <w:rPr>
                <w:sz w:val="21"/>
              </w:rPr>
              <w:t>（</w:t>
            </w:r>
            <w:r>
              <w:rPr>
                <w:rFonts w:ascii="Times New Roman" w:eastAsia="Times New Roman"/>
                <w:position w:val="1"/>
                <w:sz w:val="21"/>
              </w:rPr>
              <w:t>2</w:t>
            </w:r>
            <w:r>
              <w:rPr>
                <w:sz w:val="21"/>
              </w:rPr>
              <w:t>）被保险人的有效身份证件；</w:t>
            </w:r>
          </w:p>
        </w:tc>
      </w:tr>
      <w:tr>
        <w:trPr>
          <w:trHeight w:val="318"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8" w:lineRule="exact"/>
              <w:ind w:left="31"/>
              <w:rPr>
                <w:sz w:val="21"/>
              </w:rPr>
            </w:pPr>
            <w:r>
              <w:rPr>
                <w:w w:val="95"/>
                <w:sz w:val="21"/>
              </w:rPr>
              <w:t>（</w:t>
            </w:r>
            <w:r>
              <w:rPr>
                <w:rFonts w:ascii="Times New Roman" w:eastAsia="Times New Roman"/>
                <w:w w:val="95"/>
                <w:position w:val="1"/>
                <w:sz w:val="21"/>
              </w:rPr>
              <w:t>3</w:t>
            </w:r>
            <w:r>
              <w:rPr>
                <w:w w:val="95"/>
                <w:sz w:val="21"/>
              </w:rPr>
              <w:t>）由二级或以上</w:t>
            </w:r>
            <w:r>
              <w:rPr>
                <w:b/>
                <w:w w:val="95"/>
                <w:sz w:val="21"/>
              </w:rPr>
              <w:t>医院</w:t>
            </w:r>
            <w:r>
              <w:rPr>
                <w:w w:val="95"/>
                <w:sz w:val="21"/>
              </w:rPr>
              <w:t>或者由法定机关出具的与全残有关的证明或</w:t>
            </w:r>
          </w:p>
        </w:tc>
      </w:tr>
      <w:tr>
        <w:trPr>
          <w:trHeight w:val="300"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56" w:lineRule="exact"/>
              <w:ind w:left="31"/>
              <w:rPr>
                <w:sz w:val="21"/>
              </w:rPr>
            </w:pPr>
            <w:r>
              <w:rPr>
                <w:sz w:val="21"/>
              </w:rPr>
              <w:t>资料，或者其他我们认可的全残证明或资料；</w:t>
            </w:r>
          </w:p>
        </w:tc>
      </w:tr>
      <w:tr>
        <w:trPr>
          <w:trHeight w:val="323"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73" w:lineRule="exact"/>
              <w:ind w:left="31"/>
              <w:rPr>
                <w:sz w:val="21"/>
              </w:rPr>
            </w:pPr>
            <w:r>
              <w:rPr>
                <w:sz w:val="21"/>
              </w:rPr>
              <w:t>（</w:t>
            </w:r>
            <w:r>
              <w:rPr>
                <w:rFonts w:ascii="Times New Roman" w:eastAsia="Times New Roman"/>
                <w:position w:val="1"/>
                <w:sz w:val="21"/>
              </w:rPr>
              <w:t>4</w:t>
            </w:r>
            <w:r>
              <w:rPr>
                <w:sz w:val="21"/>
              </w:rPr>
              <w:t>）所能提供的与确认保险事故的性质、原因等有关的其他证明和资</w:t>
            </w:r>
          </w:p>
        </w:tc>
      </w:tr>
      <w:tr>
        <w:trPr>
          <w:trHeight w:val="456"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56" w:lineRule="exact"/>
              <w:ind w:left="31"/>
              <w:rPr>
                <w:sz w:val="21"/>
              </w:rPr>
            </w:pPr>
            <w:r>
              <w:rPr>
                <w:sz w:val="21"/>
              </w:rPr>
              <w:t>料。</w:t>
            </w:r>
          </w:p>
        </w:tc>
      </w:tr>
      <w:tr>
        <w:trPr>
          <w:trHeight w:val="479" w:hRule="atLeast"/>
        </w:trPr>
        <w:tc>
          <w:tcPr>
            <w:tcW w:w="874" w:type="dxa"/>
          </w:tcPr>
          <w:p>
            <w:pPr>
              <w:pStyle w:val="TableParagraph"/>
              <w:spacing w:before="191"/>
              <w:ind w:left="110"/>
              <w:rPr>
                <w:rFonts w:ascii="Times New Roman"/>
                <w:sz w:val="21"/>
              </w:rPr>
            </w:pPr>
            <w:r>
              <w:rPr>
                <w:rFonts w:ascii="Times New Roman"/>
                <w:sz w:val="21"/>
              </w:rPr>
              <w:t>4.1.2.2</w:t>
            </w:r>
          </w:p>
        </w:tc>
        <w:tc>
          <w:tcPr>
            <w:tcW w:w="2138" w:type="dxa"/>
          </w:tcPr>
          <w:p>
            <w:pPr>
              <w:pStyle w:val="TableParagraph"/>
              <w:spacing w:before="148"/>
              <w:ind w:left="187"/>
              <w:rPr>
                <w:b/>
                <w:sz w:val="21"/>
              </w:rPr>
            </w:pPr>
            <w:r>
              <w:rPr>
                <w:b/>
                <w:w w:val="95"/>
                <w:sz w:val="21"/>
              </w:rPr>
              <w:t>持续全残证明</w:t>
            </w:r>
          </w:p>
        </w:tc>
        <w:tc>
          <w:tcPr>
            <w:tcW w:w="6530" w:type="dxa"/>
          </w:tcPr>
          <w:p>
            <w:pPr>
              <w:pStyle w:val="TableParagraph"/>
              <w:spacing w:before="148"/>
              <w:ind w:left="31"/>
              <w:rPr>
                <w:sz w:val="21"/>
              </w:rPr>
            </w:pPr>
            <w:r>
              <w:rPr>
                <w:sz w:val="21"/>
              </w:rPr>
              <w:t>被保险人因全残开始全残津贴后，我们仍有权每年要求被保险人提供</w:t>
            </w:r>
          </w:p>
        </w:tc>
      </w:tr>
      <w:tr>
        <w:trPr>
          <w:trHeight w:val="307"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56" w:lineRule="exact"/>
              <w:ind w:left="31"/>
              <w:rPr>
                <w:sz w:val="21"/>
              </w:rPr>
            </w:pPr>
            <w:r>
              <w:rPr>
                <w:sz w:val="21"/>
              </w:rPr>
              <w:t>其持续全残证明或进行体检。若被保险人不能提供其持续全残证明且</w:t>
            </w:r>
          </w:p>
        </w:tc>
      </w:tr>
      <w:tr>
        <w:trPr>
          <w:trHeight w:val="450"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1" w:lineRule="exact"/>
              <w:ind w:left="31" w:right="-15"/>
              <w:rPr>
                <w:sz w:val="21"/>
              </w:rPr>
            </w:pPr>
            <w:r>
              <w:rPr>
                <w:sz w:val="21"/>
              </w:rPr>
              <w:t>经体检证实不符合我们约定的全残定义，我们有权停止给付全残津贴。</w:t>
            </w:r>
          </w:p>
        </w:tc>
      </w:tr>
      <w:tr>
        <w:trPr>
          <w:trHeight w:val="549" w:hRule="atLeast"/>
        </w:trPr>
        <w:tc>
          <w:tcPr>
            <w:tcW w:w="874" w:type="dxa"/>
          </w:tcPr>
          <w:p>
            <w:pPr>
              <w:pStyle w:val="TableParagraph"/>
              <w:spacing w:before="7"/>
              <w:rPr>
                <w:sz w:val="15"/>
              </w:rPr>
            </w:pPr>
          </w:p>
          <w:p>
            <w:pPr>
              <w:pStyle w:val="TableParagraph"/>
              <w:ind w:left="110"/>
              <w:rPr>
                <w:rFonts w:ascii="Times New Roman"/>
                <w:sz w:val="21"/>
              </w:rPr>
            </w:pPr>
            <w:r>
              <w:rPr>
                <w:rFonts w:ascii="Times New Roman"/>
                <w:sz w:val="21"/>
              </w:rPr>
              <w:t>4.1.3</w:t>
            </w:r>
          </w:p>
        </w:tc>
        <w:tc>
          <w:tcPr>
            <w:tcW w:w="2138" w:type="dxa"/>
          </w:tcPr>
          <w:p>
            <w:pPr>
              <w:pStyle w:val="TableParagraph"/>
              <w:spacing w:before="160"/>
              <w:ind w:left="187"/>
              <w:rPr>
                <w:b/>
                <w:sz w:val="21"/>
              </w:rPr>
            </w:pPr>
            <w:r>
              <w:rPr>
                <w:b/>
                <w:sz w:val="21"/>
              </w:rPr>
              <w:t>重大疾病保险金申</w:t>
            </w:r>
          </w:p>
        </w:tc>
        <w:tc>
          <w:tcPr>
            <w:tcW w:w="6530" w:type="dxa"/>
          </w:tcPr>
          <w:p>
            <w:pPr>
              <w:pStyle w:val="TableParagraph"/>
              <w:spacing w:before="124"/>
              <w:ind w:left="31" w:right="-15"/>
              <w:rPr>
                <w:sz w:val="21"/>
              </w:rPr>
            </w:pPr>
            <w:r>
              <w:rPr>
                <w:sz w:val="21"/>
              </w:rPr>
              <w:t>申请保险金时，申请人须填写保险金申请书，并提供下列证明和资料：</w:t>
            </w:r>
          </w:p>
        </w:tc>
      </w:tr>
      <w:tr>
        <w:trPr>
          <w:trHeight w:val="839" w:hRule="atLeast"/>
        </w:trPr>
        <w:tc>
          <w:tcPr>
            <w:tcW w:w="874" w:type="dxa"/>
          </w:tcPr>
          <w:p>
            <w:pPr>
              <w:pStyle w:val="TableParagraph"/>
              <w:rPr>
                <w:rFonts w:ascii="Times New Roman"/>
                <w:sz w:val="20"/>
              </w:rPr>
            </w:pPr>
          </w:p>
        </w:tc>
        <w:tc>
          <w:tcPr>
            <w:tcW w:w="2138" w:type="dxa"/>
          </w:tcPr>
          <w:p>
            <w:pPr>
              <w:pStyle w:val="TableParagraph"/>
              <w:spacing w:line="197" w:lineRule="exact"/>
              <w:ind w:left="187"/>
              <w:rPr>
                <w:b/>
                <w:sz w:val="21"/>
              </w:rPr>
            </w:pPr>
            <w:r>
              <w:rPr>
                <w:b/>
                <w:w w:val="99"/>
                <w:sz w:val="21"/>
              </w:rPr>
              <w:t>请</w:t>
            </w:r>
          </w:p>
        </w:tc>
        <w:tc>
          <w:tcPr>
            <w:tcW w:w="6530" w:type="dxa"/>
          </w:tcPr>
          <w:p>
            <w:pPr>
              <w:pStyle w:val="TableParagraph"/>
              <w:spacing w:line="266" w:lineRule="exact" w:before="46"/>
              <w:ind w:left="31"/>
              <w:rPr>
                <w:sz w:val="21"/>
              </w:rPr>
            </w:pPr>
            <w:r>
              <w:rPr>
                <w:sz w:val="21"/>
              </w:rPr>
              <w:t>（</w:t>
            </w:r>
            <w:r>
              <w:rPr>
                <w:rFonts w:ascii="Times New Roman" w:eastAsia="Times New Roman"/>
                <w:sz w:val="21"/>
              </w:rPr>
              <w:t>1</w:t>
            </w:r>
            <w:r>
              <w:rPr>
                <w:sz w:val="21"/>
              </w:rPr>
              <w:t>）保险合同；</w:t>
            </w:r>
          </w:p>
          <w:p>
            <w:pPr>
              <w:pStyle w:val="TableParagraph"/>
              <w:spacing w:line="241" w:lineRule="exact"/>
              <w:ind w:left="31"/>
              <w:rPr>
                <w:sz w:val="21"/>
              </w:rPr>
            </w:pPr>
            <w:r>
              <w:rPr>
                <w:sz w:val="21"/>
              </w:rPr>
              <w:t>（</w:t>
            </w:r>
            <w:r>
              <w:rPr>
                <w:rFonts w:ascii="Times New Roman" w:eastAsia="Times New Roman"/>
                <w:sz w:val="21"/>
              </w:rPr>
              <w:t>2</w:t>
            </w:r>
            <w:r>
              <w:rPr>
                <w:sz w:val="21"/>
              </w:rPr>
              <w:t>）被保险人或其他有权领取保险金的人的有效身份证件；</w:t>
            </w:r>
          </w:p>
          <w:p>
            <w:pPr>
              <w:pStyle w:val="TableParagraph"/>
              <w:spacing w:line="265" w:lineRule="exact"/>
              <w:ind w:left="31"/>
              <w:rPr>
                <w:sz w:val="21"/>
              </w:rPr>
            </w:pPr>
            <w:r>
              <w:rPr>
                <w:sz w:val="21"/>
              </w:rPr>
              <w:t>（</w:t>
            </w:r>
            <w:r>
              <w:rPr>
                <w:rFonts w:ascii="Times New Roman" w:eastAsia="Times New Roman"/>
                <w:sz w:val="21"/>
              </w:rPr>
              <w:t>3</w:t>
            </w:r>
            <w:r>
              <w:rPr>
                <w:sz w:val="21"/>
              </w:rPr>
              <w:t>）医院出具的诊断证明、病历及检查报告；</w:t>
            </w:r>
          </w:p>
        </w:tc>
      </w:tr>
      <w:tr>
        <w:trPr>
          <w:trHeight w:val="298"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48" w:lineRule="exact"/>
              <w:ind w:left="31"/>
              <w:rPr>
                <w:sz w:val="21"/>
              </w:rPr>
            </w:pPr>
            <w:r>
              <w:rPr>
                <w:sz w:val="21"/>
              </w:rPr>
              <w:t>（</w:t>
            </w:r>
            <w:r>
              <w:rPr>
                <w:rFonts w:ascii="Times New Roman" w:eastAsia="Times New Roman"/>
                <w:position w:val="1"/>
                <w:sz w:val="21"/>
              </w:rPr>
              <w:t>4</w:t>
            </w:r>
            <w:r>
              <w:rPr>
                <w:sz w:val="21"/>
              </w:rPr>
              <w:t>）所能提供的与确认保险事故的性质、原因等有关的其他证明和资</w:t>
            </w:r>
          </w:p>
        </w:tc>
      </w:tr>
      <w:tr>
        <w:trPr>
          <w:trHeight w:val="456"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56" w:lineRule="exact"/>
              <w:ind w:left="31"/>
              <w:rPr>
                <w:sz w:val="21"/>
              </w:rPr>
            </w:pPr>
            <w:r>
              <w:rPr>
                <w:sz w:val="21"/>
              </w:rPr>
              <w:t>料。</w:t>
            </w:r>
          </w:p>
        </w:tc>
      </w:tr>
      <w:tr>
        <w:trPr>
          <w:trHeight w:val="472" w:hRule="atLeast"/>
        </w:trPr>
        <w:tc>
          <w:tcPr>
            <w:tcW w:w="874" w:type="dxa"/>
          </w:tcPr>
          <w:p>
            <w:pPr>
              <w:pStyle w:val="TableParagraph"/>
              <w:spacing w:before="191"/>
              <w:ind w:left="110"/>
              <w:rPr>
                <w:rFonts w:ascii="Times New Roman"/>
                <w:sz w:val="21"/>
              </w:rPr>
            </w:pPr>
            <w:r>
              <w:rPr>
                <w:rFonts w:ascii="Times New Roman"/>
                <w:sz w:val="21"/>
              </w:rPr>
              <w:t>4.2</w:t>
            </w:r>
          </w:p>
        </w:tc>
        <w:tc>
          <w:tcPr>
            <w:tcW w:w="2138" w:type="dxa"/>
          </w:tcPr>
          <w:p>
            <w:pPr>
              <w:pStyle w:val="TableParagraph"/>
              <w:spacing w:before="148"/>
              <w:ind w:left="187"/>
              <w:rPr>
                <w:b/>
                <w:sz w:val="21"/>
              </w:rPr>
            </w:pPr>
            <w:r>
              <w:rPr>
                <w:b/>
                <w:w w:val="95"/>
                <w:sz w:val="21"/>
              </w:rPr>
              <w:t>诉讼时效</w:t>
            </w:r>
          </w:p>
        </w:tc>
        <w:tc>
          <w:tcPr>
            <w:tcW w:w="6530" w:type="dxa"/>
          </w:tcPr>
          <w:p>
            <w:pPr>
              <w:pStyle w:val="TableParagraph"/>
              <w:spacing w:before="148"/>
              <w:ind w:left="31"/>
              <w:rPr>
                <w:sz w:val="21"/>
              </w:rPr>
            </w:pPr>
            <w:r>
              <w:rPr>
                <w:sz w:val="21"/>
              </w:rPr>
              <w:t>对于身故保险金、全残保险金及全残津贴，受益人及其他有权领取保</w:t>
            </w:r>
          </w:p>
        </w:tc>
      </w:tr>
      <w:tr>
        <w:trPr>
          <w:trHeight w:val="318"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8" w:lineRule="exact"/>
              <w:ind w:left="31"/>
              <w:rPr>
                <w:sz w:val="21"/>
              </w:rPr>
            </w:pPr>
            <w:r>
              <w:rPr>
                <w:sz w:val="21"/>
              </w:rPr>
              <w:t>险金的人向我们请求给付保险金的诉讼时效期间为</w:t>
            </w:r>
            <w:r>
              <w:rPr>
                <w:rFonts w:ascii="Times New Roman" w:eastAsia="Times New Roman"/>
                <w:position w:val="1"/>
                <w:sz w:val="21"/>
              </w:rPr>
              <w:t>5</w:t>
            </w:r>
            <w:r>
              <w:rPr>
                <w:sz w:val="21"/>
              </w:rPr>
              <w:t>年，自其知道或</w:t>
            </w:r>
          </w:p>
        </w:tc>
      </w:tr>
      <w:tr>
        <w:trPr>
          <w:trHeight w:val="307"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56" w:lineRule="exact"/>
              <w:ind w:left="31"/>
              <w:rPr>
                <w:sz w:val="21"/>
              </w:rPr>
            </w:pPr>
            <w:r>
              <w:rPr>
                <w:sz w:val="21"/>
              </w:rPr>
              <w:t>者应当知道保险事故发生之日起计算。</w:t>
            </w:r>
          </w:p>
        </w:tc>
      </w:tr>
      <w:tr>
        <w:trPr>
          <w:trHeight w:val="305"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1" w:lineRule="exact"/>
              <w:ind w:left="31"/>
              <w:rPr>
                <w:sz w:val="21"/>
              </w:rPr>
            </w:pPr>
            <w:r>
              <w:rPr>
                <w:sz w:val="21"/>
              </w:rPr>
              <w:t>对于重大疾病保险金，受益人及其他有权领取保险金的人向我们请求</w:t>
            </w:r>
          </w:p>
        </w:tc>
      </w:tr>
      <w:tr>
        <w:trPr>
          <w:trHeight w:val="323"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73" w:lineRule="exact"/>
              <w:ind w:left="31"/>
              <w:rPr>
                <w:sz w:val="21"/>
              </w:rPr>
            </w:pPr>
            <w:r>
              <w:rPr>
                <w:sz w:val="21"/>
              </w:rPr>
              <w:t>给付保险金的诉讼时效期间为</w:t>
            </w:r>
            <w:r>
              <w:rPr>
                <w:rFonts w:ascii="Times New Roman" w:eastAsia="Times New Roman"/>
                <w:position w:val="1"/>
                <w:sz w:val="21"/>
              </w:rPr>
              <w:t>2</w:t>
            </w:r>
            <w:r>
              <w:rPr>
                <w:sz w:val="21"/>
              </w:rPr>
              <w:t>年，自其知道或者应当知道保险事故</w:t>
            </w:r>
          </w:p>
        </w:tc>
      </w:tr>
      <w:tr>
        <w:trPr>
          <w:trHeight w:val="449"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56" w:lineRule="exact"/>
              <w:ind w:left="31"/>
              <w:rPr>
                <w:sz w:val="21"/>
              </w:rPr>
            </w:pPr>
            <w:r>
              <w:rPr>
                <w:sz w:val="21"/>
              </w:rPr>
              <w:t>发生之日起计算。</w:t>
            </w:r>
          </w:p>
        </w:tc>
      </w:tr>
      <w:tr>
        <w:trPr>
          <w:trHeight w:val="627" w:hRule="atLeast"/>
        </w:trPr>
        <w:tc>
          <w:tcPr>
            <w:tcW w:w="874" w:type="dxa"/>
            <w:tcBorders>
              <w:bottom w:val="single" w:sz="12" w:space="0" w:color="000000"/>
            </w:tcBorders>
          </w:tcPr>
          <w:p>
            <w:pPr>
              <w:pStyle w:val="TableParagraph"/>
              <w:spacing w:before="183"/>
              <w:ind w:left="110"/>
              <w:rPr>
                <w:rFonts w:ascii="Times New Roman"/>
                <w:b/>
                <w:sz w:val="24"/>
              </w:rPr>
            </w:pPr>
            <w:r>
              <w:rPr>
                <w:rFonts w:ascii="Times New Roman"/>
                <w:b/>
                <w:sz w:val="24"/>
              </w:rPr>
              <w:t>5</w:t>
            </w:r>
          </w:p>
        </w:tc>
        <w:tc>
          <w:tcPr>
            <w:tcW w:w="2138" w:type="dxa"/>
            <w:tcBorders>
              <w:bottom w:val="single" w:sz="12" w:space="0" w:color="000000"/>
            </w:tcBorders>
          </w:tcPr>
          <w:p>
            <w:pPr>
              <w:pStyle w:val="TableParagraph"/>
              <w:spacing w:before="131"/>
              <w:ind w:left="187"/>
              <w:rPr>
                <w:b/>
                <w:sz w:val="24"/>
              </w:rPr>
            </w:pPr>
            <w:r>
              <w:rPr>
                <w:b/>
                <w:w w:val="95"/>
                <w:sz w:val="24"/>
              </w:rPr>
              <w:t>风险保险费的支付</w:t>
            </w:r>
          </w:p>
        </w:tc>
        <w:tc>
          <w:tcPr>
            <w:tcW w:w="6530" w:type="dxa"/>
            <w:tcBorders>
              <w:bottom w:val="single" w:sz="12" w:space="0" w:color="000000"/>
            </w:tcBorders>
          </w:tcPr>
          <w:p>
            <w:pPr>
              <w:pStyle w:val="TableParagraph"/>
              <w:rPr>
                <w:rFonts w:ascii="Times New Roman"/>
                <w:sz w:val="20"/>
              </w:rPr>
            </w:pPr>
          </w:p>
        </w:tc>
      </w:tr>
      <w:tr>
        <w:trPr>
          <w:trHeight w:val="310" w:hRule="atLeast"/>
        </w:trPr>
        <w:tc>
          <w:tcPr>
            <w:tcW w:w="874" w:type="dxa"/>
            <w:tcBorders>
              <w:top w:val="single" w:sz="12" w:space="0" w:color="000000"/>
            </w:tcBorders>
          </w:tcPr>
          <w:p>
            <w:pPr>
              <w:pStyle w:val="TableParagraph"/>
              <w:spacing w:before="24"/>
              <w:ind w:left="110"/>
              <w:rPr>
                <w:rFonts w:ascii="Times New Roman"/>
                <w:sz w:val="21"/>
              </w:rPr>
            </w:pPr>
            <w:r>
              <w:rPr>
                <w:rFonts w:ascii="Times New Roman"/>
                <w:sz w:val="21"/>
              </w:rPr>
              <w:t>5.1</w:t>
            </w:r>
          </w:p>
        </w:tc>
        <w:tc>
          <w:tcPr>
            <w:tcW w:w="2138" w:type="dxa"/>
            <w:tcBorders>
              <w:top w:val="single" w:sz="12" w:space="0" w:color="000000"/>
            </w:tcBorders>
          </w:tcPr>
          <w:p>
            <w:pPr>
              <w:pStyle w:val="TableParagraph"/>
              <w:spacing w:line="254" w:lineRule="exact"/>
              <w:ind w:left="187"/>
              <w:rPr>
                <w:b/>
                <w:sz w:val="21"/>
              </w:rPr>
            </w:pPr>
            <w:r>
              <w:rPr>
                <w:b/>
                <w:w w:val="95"/>
                <w:sz w:val="21"/>
              </w:rPr>
              <w:t>风险保险费的支付</w:t>
            </w:r>
          </w:p>
        </w:tc>
        <w:tc>
          <w:tcPr>
            <w:tcW w:w="6530" w:type="dxa"/>
            <w:tcBorders>
              <w:top w:val="single" w:sz="12" w:space="0" w:color="000000"/>
            </w:tcBorders>
          </w:tcPr>
          <w:p>
            <w:pPr>
              <w:pStyle w:val="TableParagraph"/>
              <w:spacing w:line="254" w:lineRule="exact"/>
              <w:ind w:left="31"/>
              <w:rPr>
                <w:sz w:val="21"/>
              </w:rPr>
            </w:pPr>
            <w:r>
              <w:rPr>
                <w:sz w:val="21"/>
              </w:rPr>
              <w:t>本附加合同风险保险费的收取期间与本附加合同的保险期间相同。风</w:t>
            </w:r>
          </w:p>
        </w:tc>
      </w:tr>
      <w:tr>
        <w:trPr>
          <w:trHeight w:val="306"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55" w:lineRule="exact"/>
              <w:ind w:left="31"/>
              <w:rPr>
                <w:sz w:val="21"/>
              </w:rPr>
            </w:pPr>
            <w:r>
              <w:rPr>
                <w:spacing w:val="-6"/>
                <w:sz w:val="21"/>
              </w:rPr>
              <w:t>险保险费根据被保险人的年龄、性别、基本保险金额及风险程度决定。</w:t>
            </w:r>
          </w:p>
        </w:tc>
      </w:tr>
      <w:tr>
        <w:trPr>
          <w:trHeight w:val="312"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1" w:lineRule="exact"/>
              <w:ind w:left="31"/>
              <w:rPr>
                <w:sz w:val="21"/>
              </w:rPr>
            </w:pPr>
            <w:r>
              <w:rPr>
                <w:sz w:val="21"/>
              </w:rPr>
              <w:t>每千元基本保险金额应收取的风险保险费见《中意附加天天智尊重大</w:t>
            </w:r>
          </w:p>
        </w:tc>
      </w:tr>
      <w:tr>
        <w:trPr>
          <w:trHeight w:val="293"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1" w:lineRule="exact"/>
              <w:ind w:left="31"/>
              <w:rPr>
                <w:sz w:val="21"/>
              </w:rPr>
            </w:pPr>
            <w:r>
              <w:rPr>
                <w:sz w:val="21"/>
              </w:rPr>
              <w:t>疾病保险风险保险费费率表》。</w:t>
            </w:r>
          </w:p>
        </w:tc>
      </w:tr>
      <w:tr>
        <w:trPr>
          <w:trHeight w:val="257" w:hRule="atLeast"/>
        </w:trPr>
        <w:tc>
          <w:tcPr>
            <w:tcW w:w="874" w:type="dxa"/>
          </w:tcPr>
          <w:p>
            <w:pPr>
              <w:pStyle w:val="TableParagraph"/>
              <w:rPr>
                <w:rFonts w:ascii="Times New Roman"/>
                <w:sz w:val="18"/>
              </w:rPr>
            </w:pPr>
          </w:p>
        </w:tc>
        <w:tc>
          <w:tcPr>
            <w:tcW w:w="2138" w:type="dxa"/>
          </w:tcPr>
          <w:p>
            <w:pPr>
              <w:pStyle w:val="TableParagraph"/>
              <w:rPr>
                <w:rFonts w:ascii="Times New Roman"/>
                <w:sz w:val="18"/>
              </w:rPr>
            </w:pPr>
          </w:p>
        </w:tc>
        <w:tc>
          <w:tcPr>
            <w:tcW w:w="6530" w:type="dxa"/>
          </w:tcPr>
          <w:p>
            <w:pPr>
              <w:pStyle w:val="TableParagraph"/>
              <w:spacing w:line="238" w:lineRule="exact"/>
              <w:ind w:left="31"/>
              <w:rPr>
                <w:sz w:val="21"/>
              </w:rPr>
            </w:pPr>
            <w:r>
              <w:rPr>
                <w:sz w:val="21"/>
              </w:rPr>
              <w:t>在</w:t>
            </w:r>
            <w:r>
              <w:rPr>
                <w:b/>
                <w:sz w:val="21"/>
              </w:rPr>
              <w:t>保险单月费用处理日</w:t>
            </w:r>
            <w:r>
              <w:rPr>
                <w:sz w:val="21"/>
              </w:rPr>
              <w:t>，我们从您的保单投资账户中按该日理财账户</w:t>
            </w:r>
          </w:p>
        </w:tc>
      </w:tr>
      <w:tr>
        <w:trPr>
          <w:trHeight w:val="240" w:hRule="atLeast"/>
        </w:trPr>
        <w:tc>
          <w:tcPr>
            <w:tcW w:w="874" w:type="dxa"/>
          </w:tcPr>
          <w:p>
            <w:pPr>
              <w:pStyle w:val="TableParagraph"/>
              <w:rPr>
                <w:rFonts w:ascii="Times New Roman"/>
                <w:sz w:val="16"/>
              </w:rPr>
            </w:pPr>
          </w:p>
        </w:tc>
        <w:tc>
          <w:tcPr>
            <w:tcW w:w="2138" w:type="dxa"/>
          </w:tcPr>
          <w:p>
            <w:pPr>
              <w:pStyle w:val="TableParagraph"/>
              <w:rPr>
                <w:rFonts w:ascii="Times New Roman"/>
                <w:sz w:val="16"/>
              </w:rPr>
            </w:pPr>
          </w:p>
        </w:tc>
        <w:tc>
          <w:tcPr>
            <w:tcW w:w="6530" w:type="dxa"/>
          </w:tcPr>
          <w:p>
            <w:pPr>
              <w:pStyle w:val="TableParagraph"/>
              <w:spacing w:line="220" w:lineRule="exact"/>
              <w:ind w:left="31"/>
              <w:rPr>
                <w:sz w:val="21"/>
              </w:rPr>
            </w:pPr>
            <w:r>
              <w:rPr>
                <w:sz w:val="21"/>
              </w:rPr>
              <w:t>单位卖出价以理财账户单位数的形式收取本附加合同当月（保险单月</w:t>
            </w:r>
          </w:p>
        </w:tc>
      </w:tr>
      <w:tr>
        <w:trPr>
          <w:trHeight w:val="240" w:hRule="atLeast"/>
        </w:trPr>
        <w:tc>
          <w:tcPr>
            <w:tcW w:w="874" w:type="dxa"/>
          </w:tcPr>
          <w:p>
            <w:pPr>
              <w:pStyle w:val="TableParagraph"/>
              <w:rPr>
                <w:rFonts w:ascii="Times New Roman"/>
                <w:sz w:val="16"/>
              </w:rPr>
            </w:pPr>
          </w:p>
        </w:tc>
        <w:tc>
          <w:tcPr>
            <w:tcW w:w="2138" w:type="dxa"/>
          </w:tcPr>
          <w:p>
            <w:pPr>
              <w:pStyle w:val="TableParagraph"/>
              <w:rPr>
                <w:rFonts w:ascii="Times New Roman"/>
                <w:sz w:val="16"/>
              </w:rPr>
            </w:pPr>
          </w:p>
        </w:tc>
        <w:tc>
          <w:tcPr>
            <w:tcW w:w="6530" w:type="dxa"/>
          </w:tcPr>
          <w:p>
            <w:pPr>
              <w:pStyle w:val="TableParagraph"/>
              <w:spacing w:line="220" w:lineRule="exact"/>
              <w:ind w:left="31"/>
              <w:rPr>
                <w:sz w:val="21"/>
              </w:rPr>
            </w:pPr>
            <w:r>
              <w:rPr>
                <w:sz w:val="21"/>
              </w:rPr>
              <w:t>份）的风险保险费。保单账户中如有多个理财账户，每个理财账户所</w:t>
            </w:r>
          </w:p>
        </w:tc>
      </w:tr>
      <w:tr>
        <w:trPr>
          <w:trHeight w:val="408"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25" w:lineRule="exact"/>
              <w:ind w:left="31"/>
              <w:rPr>
                <w:sz w:val="21"/>
              </w:rPr>
            </w:pPr>
            <w:r>
              <w:rPr>
                <w:sz w:val="21"/>
              </w:rPr>
              <w:t>需扣减金额将根据当时各个理财账户的价值比例计算。</w:t>
            </w:r>
          </w:p>
        </w:tc>
      </w:tr>
      <w:tr>
        <w:trPr>
          <w:trHeight w:val="461" w:hRule="atLeast"/>
        </w:trPr>
        <w:tc>
          <w:tcPr>
            <w:tcW w:w="874" w:type="dxa"/>
          </w:tcPr>
          <w:p>
            <w:pPr>
              <w:pStyle w:val="TableParagraph"/>
              <w:spacing w:before="174"/>
              <w:ind w:left="110"/>
              <w:rPr>
                <w:rFonts w:ascii="Times New Roman"/>
                <w:sz w:val="21"/>
              </w:rPr>
            </w:pPr>
            <w:r>
              <w:rPr>
                <w:rFonts w:ascii="Times New Roman"/>
                <w:sz w:val="21"/>
              </w:rPr>
              <w:t>5.2</w:t>
            </w:r>
          </w:p>
        </w:tc>
        <w:tc>
          <w:tcPr>
            <w:tcW w:w="2138" w:type="dxa"/>
          </w:tcPr>
          <w:p>
            <w:pPr>
              <w:pStyle w:val="TableParagraph"/>
              <w:spacing w:before="129"/>
              <w:ind w:left="187"/>
              <w:rPr>
                <w:b/>
                <w:sz w:val="21"/>
              </w:rPr>
            </w:pPr>
            <w:r>
              <w:rPr>
                <w:b/>
                <w:sz w:val="21"/>
              </w:rPr>
              <w:t>风险保险费费率的</w:t>
            </w:r>
          </w:p>
        </w:tc>
        <w:tc>
          <w:tcPr>
            <w:tcW w:w="6530" w:type="dxa"/>
          </w:tcPr>
          <w:p>
            <w:pPr>
              <w:pStyle w:val="TableParagraph"/>
              <w:spacing w:before="129"/>
              <w:ind w:left="31"/>
              <w:rPr>
                <w:sz w:val="21"/>
              </w:rPr>
            </w:pPr>
            <w:r>
              <w:rPr>
                <w:sz w:val="21"/>
              </w:rPr>
              <w:t>在本附加合同的有效期内，我们有权重新调整本附加合同的风险保险</w:t>
            </w:r>
          </w:p>
        </w:tc>
      </w:tr>
      <w:tr>
        <w:trPr>
          <w:trHeight w:val="306" w:hRule="atLeast"/>
        </w:trPr>
        <w:tc>
          <w:tcPr>
            <w:tcW w:w="874" w:type="dxa"/>
          </w:tcPr>
          <w:p>
            <w:pPr>
              <w:pStyle w:val="TableParagraph"/>
              <w:rPr>
                <w:rFonts w:ascii="Times New Roman"/>
                <w:sz w:val="20"/>
              </w:rPr>
            </w:pPr>
          </w:p>
        </w:tc>
        <w:tc>
          <w:tcPr>
            <w:tcW w:w="2138" w:type="dxa"/>
          </w:tcPr>
          <w:p>
            <w:pPr>
              <w:pStyle w:val="TableParagraph"/>
              <w:spacing w:line="255" w:lineRule="exact"/>
              <w:ind w:left="187"/>
              <w:rPr>
                <w:b/>
                <w:sz w:val="21"/>
              </w:rPr>
            </w:pPr>
            <w:r>
              <w:rPr>
                <w:b/>
                <w:w w:val="95"/>
                <w:sz w:val="21"/>
              </w:rPr>
              <w:t>调整</w:t>
            </w:r>
          </w:p>
        </w:tc>
        <w:tc>
          <w:tcPr>
            <w:tcW w:w="6530" w:type="dxa"/>
          </w:tcPr>
          <w:p>
            <w:pPr>
              <w:pStyle w:val="TableParagraph"/>
              <w:spacing w:line="255" w:lineRule="exact"/>
              <w:ind w:left="31"/>
              <w:rPr>
                <w:sz w:val="21"/>
              </w:rPr>
            </w:pPr>
            <w:r>
              <w:rPr>
                <w:sz w:val="21"/>
              </w:rPr>
              <w:t>费费率，但风险保险费费率的调整须符合保险监管机构的相关规定。</w:t>
            </w:r>
          </w:p>
        </w:tc>
      </w:tr>
      <w:tr>
        <w:trPr>
          <w:trHeight w:val="454"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61" w:lineRule="exact"/>
              <w:ind w:left="31"/>
              <w:rPr>
                <w:sz w:val="21"/>
              </w:rPr>
            </w:pPr>
            <w:r>
              <w:rPr>
                <w:sz w:val="21"/>
              </w:rPr>
              <w:t>如果我们要行使该项权利，需提前三个月以书面形式通知投保人。</w:t>
            </w:r>
          </w:p>
        </w:tc>
      </w:tr>
      <w:tr>
        <w:trPr>
          <w:trHeight w:val="615" w:hRule="atLeast"/>
        </w:trPr>
        <w:tc>
          <w:tcPr>
            <w:tcW w:w="874" w:type="dxa"/>
            <w:tcBorders>
              <w:bottom w:val="single" w:sz="12" w:space="0" w:color="000000"/>
            </w:tcBorders>
          </w:tcPr>
          <w:p>
            <w:pPr>
              <w:pStyle w:val="TableParagraph"/>
              <w:spacing w:before="183"/>
              <w:ind w:left="110"/>
              <w:rPr>
                <w:rFonts w:ascii="Times New Roman"/>
                <w:b/>
                <w:sz w:val="24"/>
              </w:rPr>
            </w:pPr>
            <w:r>
              <w:rPr>
                <w:rFonts w:ascii="Times New Roman"/>
                <w:b/>
                <w:sz w:val="24"/>
              </w:rPr>
              <w:t>6</w:t>
            </w:r>
          </w:p>
        </w:tc>
        <w:tc>
          <w:tcPr>
            <w:tcW w:w="2138" w:type="dxa"/>
            <w:tcBorders>
              <w:bottom w:val="single" w:sz="12" w:space="0" w:color="000000"/>
            </w:tcBorders>
          </w:tcPr>
          <w:p>
            <w:pPr>
              <w:pStyle w:val="TableParagraph"/>
              <w:spacing w:before="133"/>
              <w:ind w:left="187"/>
              <w:rPr>
                <w:b/>
                <w:sz w:val="24"/>
              </w:rPr>
            </w:pPr>
            <w:r>
              <w:rPr>
                <w:b/>
                <w:w w:val="95"/>
                <w:sz w:val="24"/>
              </w:rPr>
              <w:t>合同解除</w:t>
            </w:r>
          </w:p>
        </w:tc>
        <w:tc>
          <w:tcPr>
            <w:tcW w:w="6530" w:type="dxa"/>
            <w:tcBorders>
              <w:bottom w:val="single" w:sz="12" w:space="0" w:color="000000"/>
            </w:tcBorders>
          </w:tcPr>
          <w:p>
            <w:pPr>
              <w:pStyle w:val="TableParagraph"/>
              <w:rPr>
                <w:rFonts w:ascii="Times New Roman"/>
                <w:sz w:val="20"/>
              </w:rPr>
            </w:pPr>
          </w:p>
        </w:tc>
      </w:tr>
      <w:tr>
        <w:trPr>
          <w:trHeight w:val="311" w:hRule="atLeast"/>
        </w:trPr>
        <w:tc>
          <w:tcPr>
            <w:tcW w:w="874" w:type="dxa"/>
            <w:tcBorders>
              <w:top w:val="single" w:sz="12" w:space="0" w:color="000000"/>
            </w:tcBorders>
          </w:tcPr>
          <w:p>
            <w:pPr>
              <w:pStyle w:val="TableParagraph"/>
              <w:spacing w:before="24"/>
              <w:ind w:left="110"/>
              <w:rPr>
                <w:rFonts w:ascii="Times New Roman"/>
                <w:sz w:val="21"/>
              </w:rPr>
            </w:pPr>
            <w:r>
              <w:rPr>
                <w:rFonts w:ascii="Times New Roman"/>
                <w:sz w:val="21"/>
              </w:rPr>
              <w:t>6.1</w:t>
            </w:r>
          </w:p>
        </w:tc>
        <w:tc>
          <w:tcPr>
            <w:tcW w:w="2138" w:type="dxa"/>
            <w:tcBorders>
              <w:top w:val="single" w:sz="12" w:space="0" w:color="000000"/>
            </w:tcBorders>
          </w:tcPr>
          <w:p>
            <w:pPr>
              <w:pStyle w:val="TableParagraph"/>
              <w:spacing w:line="256" w:lineRule="exact"/>
              <w:ind w:left="187"/>
              <w:rPr>
                <w:b/>
                <w:sz w:val="21"/>
              </w:rPr>
            </w:pPr>
            <w:r>
              <w:rPr>
                <w:b/>
                <w:sz w:val="21"/>
              </w:rPr>
              <w:t>解除合同的手续及</w:t>
            </w:r>
          </w:p>
        </w:tc>
        <w:tc>
          <w:tcPr>
            <w:tcW w:w="6530" w:type="dxa"/>
            <w:tcBorders>
              <w:top w:val="single" w:sz="12" w:space="0" w:color="000000"/>
            </w:tcBorders>
          </w:tcPr>
          <w:p>
            <w:pPr>
              <w:pStyle w:val="TableParagraph"/>
              <w:spacing w:line="256" w:lineRule="exact"/>
              <w:ind w:left="31"/>
              <w:rPr>
                <w:sz w:val="21"/>
              </w:rPr>
            </w:pPr>
            <w:r>
              <w:rPr>
                <w:sz w:val="21"/>
              </w:rPr>
              <w:t>如您在犹豫期后申请解除本附加合同，请填写解除合同申请书并向我</w:t>
            </w:r>
          </w:p>
        </w:tc>
      </w:tr>
      <w:tr>
        <w:trPr>
          <w:trHeight w:val="300" w:hRule="atLeast"/>
        </w:trPr>
        <w:tc>
          <w:tcPr>
            <w:tcW w:w="874" w:type="dxa"/>
          </w:tcPr>
          <w:p>
            <w:pPr>
              <w:pStyle w:val="TableParagraph"/>
              <w:rPr>
                <w:rFonts w:ascii="Times New Roman"/>
                <w:sz w:val="20"/>
              </w:rPr>
            </w:pPr>
          </w:p>
        </w:tc>
        <w:tc>
          <w:tcPr>
            <w:tcW w:w="2138" w:type="dxa"/>
          </w:tcPr>
          <w:p>
            <w:pPr>
              <w:pStyle w:val="TableParagraph"/>
              <w:spacing w:line="256" w:lineRule="exact"/>
              <w:ind w:left="187"/>
              <w:rPr>
                <w:b/>
                <w:sz w:val="21"/>
              </w:rPr>
            </w:pPr>
            <w:r>
              <w:rPr>
                <w:b/>
                <w:w w:val="95"/>
                <w:sz w:val="21"/>
              </w:rPr>
              <w:t>风险</w:t>
            </w:r>
          </w:p>
        </w:tc>
        <w:tc>
          <w:tcPr>
            <w:tcW w:w="6530" w:type="dxa"/>
          </w:tcPr>
          <w:p>
            <w:pPr>
              <w:pStyle w:val="TableParagraph"/>
              <w:spacing w:line="256" w:lineRule="exact"/>
              <w:ind w:left="31"/>
              <w:rPr>
                <w:sz w:val="21"/>
              </w:rPr>
            </w:pPr>
            <w:r>
              <w:rPr>
                <w:sz w:val="21"/>
              </w:rPr>
              <w:t>们提供下列资料：</w:t>
            </w:r>
          </w:p>
        </w:tc>
      </w:tr>
      <w:tr>
        <w:trPr>
          <w:trHeight w:val="301"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73" w:lineRule="exact"/>
              <w:ind w:left="31"/>
              <w:rPr>
                <w:sz w:val="21"/>
              </w:rPr>
            </w:pPr>
            <w:r>
              <w:rPr>
                <w:sz w:val="21"/>
              </w:rPr>
              <w:t>（</w:t>
            </w:r>
            <w:r>
              <w:rPr>
                <w:rFonts w:ascii="Times New Roman" w:eastAsia="Times New Roman"/>
                <w:position w:val="1"/>
                <w:sz w:val="21"/>
              </w:rPr>
              <w:t>1</w:t>
            </w:r>
            <w:r>
              <w:rPr>
                <w:sz w:val="21"/>
              </w:rPr>
              <w:t>）保险合同；</w:t>
            </w:r>
          </w:p>
        </w:tc>
      </w:tr>
      <w:tr>
        <w:trPr>
          <w:trHeight w:val="481" w:hRule="atLeast"/>
        </w:trPr>
        <w:tc>
          <w:tcPr>
            <w:tcW w:w="874" w:type="dxa"/>
          </w:tcPr>
          <w:p>
            <w:pPr>
              <w:pStyle w:val="TableParagraph"/>
              <w:rPr>
                <w:rFonts w:ascii="Times New Roman"/>
                <w:sz w:val="20"/>
              </w:rPr>
            </w:pPr>
          </w:p>
        </w:tc>
        <w:tc>
          <w:tcPr>
            <w:tcW w:w="2138" w:type="dxa"/>
          </w:tcPr>
          <w:p>
            <w:pPr>
              <w:pStyle w:val="TableParagraph"/>
              <w:rPr>
                <w:rFonts w:ascii="Times New Roman"/>
                <w:sz w:val="20"/>
              </w:rPr>
            </w:pPr>
          </w:p>
        </w:tc>
        <w:tc>
          <w:tcPr>
            <w:tcW w:w="6530" w:type="dxa"/>
          </w:tcPr>
          <w:p>
            <w:pPr>
              <w:pStyle w:val="TableParagraph"/>
              <w:spacing w:line="232" w:lineRule="exact"/>
              <w:ind w:left="31"/>
              <w:rPr>
                <w:sz w:val="21"/>
              </w:rPr>
            </w:pPr>
            <w:r>
              <w:rPr>
                <w:sz w:val="21"/>
              </w:rPr>
              <w:t>（</w:t>
            </w:r>
            <w:r>
              <w:rPr>
                <w:rFonts w:ascii="Times New Roman" w:eastAsia="Times New Roman"/>
                <w:sz w:val="21"/>
              </w:rPr>
              <w:t>2</w:t>
            </w:r>
            <w:r>
              <w:rPr>
                <w:sz w:val="21"/>
              </w:rPr>
              <w:t>）您的有效身份证件。</w:t>
            </w:r>
          </w:p>
          <w:p>
            <w:pPr>
              <w:pStyle w:val="TableParagraph"/>
              <w:spacing w:line="229" w:lineRule="exact"/>
              <w:ind w:left="31"/>
              <w:rPr>
                <w:sz w:val="21"/>
              </w:rPr>
            </w:pPr>
            <w:r>
              <w:rPr>
                <w:sz w:val="21"/>
              </w:rPr>
              <w:t>自我们收到解除合同申请书时起，本附加合同效力终止。</w:t>
            </w:r>
          </w:p>
        </w:tc>
      </w:tr>
    </w:tbl>
    <w:p>
      <w:pPr>
        <w:spacing w:after="0" w:line="229" w:lineRule="exact"/>
        <w:rPr>
          <w:sz w:val="21"/>
        </w:rPr>
        <w:sectPr>
          <w:pgSz w:w="11900" w:h="16840"/>
          <w:pgMar w:header="0" w:footer="866" w:top="1240" w:bottom="1060" w:left="680" w:right="1460"/>
        </w:sectPr>
      </w:pPr>
    </w:p>
    <w:p>
      <w:pPr>
        <w:pStyle w:val="BodyText"/>
        <w:spacing w:before="10"/>
        <w:ind w:left="3156"/>
      </w:pPr>
      <w:r>
        <w:rPr/>
        <w:t>您犹豫期后解除合同会遭受一定损失。</w:t>
      </w:r>
    </w:p>
    <w:p>
      <w:pPr>
        <w:pStyle w:val="BodyText"/>
        <w:spacing w:before="9"/>
        <w:rPr>
          <w:sz w:val="24"/>
        </w:rPr>
      </w:pPr>
    </w:p>
    <w:p>
      <w:pPr>
        <w:pStyle w:val="Heading2"/>
        <w:numPr>
          <w:ilvl w:val="0"/>
          <w:numId w:val="5"/>
        </w:numPr>
        <w:tabs>
          <w:tab w:pos="1171" w:val="left" w:leader="none"/>
          <w:tab w:pos="1172" w:val="left" w:leader="none"/>
        </w:tabs>
        <w:spacing w:line="240" w:lineRule="auto" w:before="0" w:after="0"/>
        <w:ind w:left="1172" w:right="0" w:hanging="950"/>
        <w:jc w:val="left"/>
      </w:pPr>
      <w:r>
        <w:rPr>
          <w:w w:val="95"/>
        </w:rPr>
        <w:t>附加合同效力的中止及恢复</w:t>
      </w:r>
    </w:p>
    <w:p>
      <w:pPr>
        <w:pStyle w:val="BodyText"/>
        <w:spacing w:before="3"/>
        <w:rPr>
          <w:b/>
          <w:sz w:val="13"/>
        </w:rPr>
      </w:pPr>
    </w:p>
    <w:p>
      <w:pPr>
        <w:spacing w:line="22" w:lineRule="exact"/>
        <w:ind w:left="101" w:right="0" w:firstLine="0"/>
        <w:rPr>
          <w:sz w:val="2"/>
        </w:rPr>
      </w:pPr>
      <w:r>
        <w:rPr>
          <w:rFonts w:ascii="Times New Roman"/>
          <w:spacing w:val="5"/>
          <w:sz w:val="2"/>
        </w:rPr>
        <w:t> </w:t>
      </w:r>
      <w:r>
        <w:rPr>
          <w:spacing w:val="5"/>
          <w:sz w:val="2"/>
        </w:rPr>
        <w:pict>
          <v:group style="width:476.6pt;height:1.1pt;mso-position-horizontal-relative:char;mso-position-vertical-relative:line" coordorigin="0,0" coordsize="9532,22">
            <v:line style="position:absolute" from="0,11" to="950,11" stroked="true" strokeweight="1.1pt" strokecolor="#000000">
              <v:stroke dashstyle="solid"/>
            </v:line>
            <v:line style="position:absolute" from="950,11" to="2934,11" stroked="true" strokeweight="1.1pt" strokecolor="#000000">
              <v:stroke dashstyle="solid"/>
            </v:line>
            <v:line style="position:absolute" from="2934,11" to="9532,11" stroked="true" strokeweight="1.1pt" strokecolor="#000000">
              <v:stroke dashstyle="solid"/>
            </v:line>
          </v:group>
        </w:pict>
      </w:r>
      <w:r>
        <w:rPr>
          <w:spacing w:val="5"/>
          <w:sz w:val="2"/>
        </w:rPr>
      </w:r>
    </w:p>
    <w:p>
      <w:pPr>
        <w:spacing w:after="0" w:line="22" w:lineRule="exact"/>
        <w:rPr>
          <w:sz w:val="2"/>
        </w:rPr>
        <w:sectPr>
          <w:pgSz w:w="11900" w:h="16840"/>
          <w:pgMar w:header="0" w:footer="866" w:top="1200" w:bottom="1060" w:left="1240" w:right="900"/>
        </w:sectPr>
      </w:pPr>
    </w:p>
    <w:p>
      <w:pPr>
        <w:pStyle w:val="Heading3"/>
        <w:numPr>
          <w:ilvl w:val="1"/>
          <w:numId w:val="5"/>
        </w:numPr>
        <w:tabs>
          <w:tab w:pos="1171" w:val="left" w:leader="none"/>
          <w:tab w:pos="1172" w:val="left" w:leader="none"/>
        </w:tabs>
        <w:spacing w:line="273" w:lineRule="exact" w:before="0" w:after="0"/>
        <w:ind w:left="1172" w:right="0" w:hanging="950"/>
        <w:jc w:val="left"/>
      </w:pPr>
      <w:r>
        <w:rPr>
          <w:spacing w:val="7"/>
        </w:rPr>
        <w:t>宽限期及合同效力</w:t>
      </w:r>
    </w:p>
    <w:p>
      <w:pPr>
        <w:spacing w:before="21"/>
        <w:ind w:left="1166" w:right="1127" w:firstLine="0"/>
        <w:jc w:val="center"/>
        <w:rPr>
          <w:b/>
          <w:sz w:val="21"/>
        </w:rPr>
      </w:pPr>
      <w:r>
        <w:rPr>
          <w:b/>
          <w:w w:val="95"/>
          <w:sz w:val="21"/>
        </w:rPr>
        <w:t>的中止</w:t>
      </w:r>
    </w:p>
    <w:p>
      <w:pPr>
        <w:pStyle w:val="BodyText"/>
        <w:spacing w:line="240" w:lineRule="exact"/>
        <w:ind w:left="181" w:right="219"/>
        <w:jc w:val="both"/>
      </w:pPr>
      <w:r>
        <w:rPr/>
        <w:br w:type="column"/>
      </w:r>
      <w:r>
        <w:rPr/>
        <w:t>附加了本附加合同后，主合同和本附加合同的宽限期按照以下约定确定：在主合同及本附加合同有效期内，在保险单月费用处理日如果主合同的保单投资账户价值不足以同时支付主合同及其所有附加合同的</w:t>
      </w:r>
      <w:r>
        <w:rPr>
          <w:spacing w:val="-3"/>
        </w:rPr>
        <w:t>保险单月费用，则自该保险单月费用处理日的次日起 </w:t>
      </w:r>
      <w:r>
        <w:rPr>
          <w:rFonts w:ascii="Times New Roman" w:eastAsia="Times New Roman"/>
        </w:rPr>
        <w:t>60</w:t>
      </w:r>
      <w:r>
        <w:rPr>
          <w:rFonts w:ascii="Times New Roman" w:eastAsia="Times New Roman"/>
          <w:spacing w:val="-11"/>
        </w:rPr>
        <w:t> </w:t>
      </w:r>
      <w:r>
        <w:rPr/>
        <w:t>天为主合同及</w:t>
      </w:r>
    </w:p>
    <w:p>
      <w:pPr>
        <w:pStyle w:val="BodyText"/>
        <w:spacing w:line="206" w:lineRule="exact"/>
        <w:ind w:left="181"/>
      </w:pPr>
      <w:r>
        <w:rPr/>
        <w:t>本附加合同的宽限期。</w:t>
      </w:r>
    </w:p>
    <w:p>
      <w:pPr>
        <w:pStyle w:val="BodyText"/>
        <w:spacing w:line="208" w:lineRule="auto" w:before="18"/>
        <w:ind w:left="181" w:right="245"/>
        <w:jc w:val="both"/>
      </w:pPr>
      <w:r>
        <w:rPr/>
        <w:t>若被保险人在宽限期内发生保险事故，我们仍承担保险责任，但给付保险金时将首先扣减本附加合同所有应付未付的费用。</w:t>
      </w:r>
    </w:p>
    <w:p>
      <w:pPr>
        <w:pStyle w:val="BodyText"/>
        <w:spacing w:line="208" w:lineRule="auto"/>
        <w:ind w:left="181" w:right="222"/>
        <w:jc w:val="both"/>
      </w:pPr>
      <w:r>
        <w:rPr/>
        <w:t>若超过宽限期仍未补交风险保险费的，除另有约定外，主合同及其本附加合同自宽限期满的次日零时起效力中止。在合同效力中止期间， 我们不承担保险责任。</w:t>
      </w:r>
    </w:p>
    <w:p>
      <w:pPr>
        <w:spacing w:after="0" w:line="208" w:lineRule="auto"/>
        <w:jc w:val="both"/>
        <w:sectPr>
          <w:type w:val="continuous"/>
          <w:pgSz w:w="11900" w:h="16840"/>
          <w:pgMar w:top="60" w:bottom="280" w:left="1240" w:right="900"/>
          <w:cols w:num="2" w:equalWidth="0">
            <w:col w:w="2935" w:space="40"/>
            <w:col w:w="6785"/>
          </w:cols>
        </w:sectPr>
      </w:pPr>
    </w:p>
    <w:p>
      <w:pPr>
        <w:pStyle w:val="BodyText"/>
        <w:spacing w:before="3"/>
        <w:rPr>
          <w:sz w:val="20"/>
        </w:rPr>
      </w:pPr>
    </w:p>
    <w:p>
      <w:pPr>
        <w:spacing w:after="0"/>
        <w:rPr>
          <w:sz w:val="20"/>
        </w:rPr>
        <w:sectPr>
          <w:type w:val="continuous"/>
          <w:pgSz w:w="11900" w:h="16840"/>
          <w:pgMar w:top="60" w:bottom="280" w:left="1240" w:right="900"/>
        </w:sectPr>
      </w:pPr>
    </w:p>
    <w:p>
      <w:pPr>
        <w:pStyle w:val="Heading3"/>
        <w:numPr>
          <w:ilvl w:val="1"/>
          <w:numId w:val="5"/>
        </w:numPr>
        <w:tabs>
          <w:tab w:pos="1171" w:val="left" w:leader="none"/>
          <w:tab w:pos="1172" w:val="left" w:leader="none"/>
        </w:tabs>
        <w:spacing w:line="266" w:lineRule="auto" w:before="48" w:after="0"/>
        <w:ind w:left="1172" w:right="0" w:hanging="950"/>
        <w:jc w:val="left"/>
      </w:pPr>
      <w:r>
        <w:rPr>
          <w:spacing w:val="7"/>
        </w:rPr>
        <w:t>附加合同效力的恢复</w:t>
      </w:r>
    </w:p>
    <w:p>
      <w:pPr>
        <w:pStyle w:val="BodyText"/>
        <w:spacing w:before="48"/>
        <w:ind w:left="181"/>
      </w:pPr>
      <w:r>
        <w:rPr/>
        <w:br w:type="column"/>
      </w:r>
      <w:r>
        <w:rPr/>
        <w:t>若主合同的效力恢复，本附加合同的效力随即恢复。</w:t>
      </w:r>
    </w:p>
    <w:p>
      <w:pPr>
        <w:pStyle w:val="BodyText"/>
        <w:spacing w:line="208" w:lineRule="auto" w:before="37"/>
        <w:ind w:left="181" w:right="244"/>
      </w:pPr>
      <w:r>
        <w:rPr/>
        <w:t>若本附加合同效力已经终止，主合同效力的恢复不会导致本附加合同效力的恢复。</w:t>
      </w:r>
    </w:p>
    <w:p>
      <w:pPr>
        <w:spacing w:after="0" w:line="208" w:lineRule="auto"/>
        <w:sectPr>
          <w:type w:val="continuous"/>
          <w:pgSz w:w="11900" w:h="16840"/>
          <w:pgMar w:top="60" w:bottom="280" w:left="1240" w:right="900"/>
          <w:cols w:num="2" w:equalWidth="0">
            <w:col w:w="2935" w:space="40"/>
            <w:col w:w="6785"/>
          </w:cols>
        </w:sectPr>
      </w:pPr>
    </w:p>
    <w:p>
      <w:pPr>
        <w:pStyle w:val="BodyText"/>
        <w:spacing w:before="1"/>
        <w:rPr>
          <w:sz w:val="19"/>
        </w:rPr>
      </w:pPr>
    </w:p>
    <w:p>
      <w:pPr>
        <w:pStyle w:val="Heading2"/>
        <w:numPr>
          <w:ilvl w:val="0"/>
          <w:numId w:val="5"/>
        </w:numPr>
        <w:tabs>
          <w:tab w:pos="1171" w:val="left" w:leader="none"/>
          <w:tab w:pos="1172" w:val="left" w:leader="none"/>
        </w:tabs>
        <w:spacing w:line="240" w:lineRule="auto" w:before="38" w:after="0"/>
        <w:ind w:left="1172" w:right="0" w:hanging="950"/>
        <w:jc w:val="left"/>
      </w:pPr>
      <w:r>
        <w:rPr>
          <w:w w:val="95"/>
        </w:rPr>
        <w:t>附加合同效力的终止</w:t>
      </w:r>
    </w:p>
    <w:p>
      <w:pPr>
        <w:pStyle w:val="BodyText"/>
        <w:spacing w:before="3"/>
        <w:rPr>
          <w:b/>
          <w:sz w:val="11"/>
        </w:rPr>
      </w:pPr>
    </w:p>
    <w:p>
      <w:pPr>
        <w:spacing w:line="22" w:lineRule="exact"/>
        <w:ind w:left="101" w:right="0" w:firstLine="0"/>
        <w:rPr>
          <w:sz w:val="2"/>
        </w:rPr>
      </w:pPr>
      <w:r>
        <w:rPr>
          <w:rFonts w:ascii="Times New Roman"/>
          <w:spacing w:val="5"/>
          <w:sz w:val="2"/>
        </w:rPr>
        <w:t> </w:t>
      </w:r>
      <w:r>
        <w:rPr>
          <w:spacing w:val="5"/>
          <w:sz w:val="2"/>
        </w:rPr>
        <w:pict>
          <v:group style="width:476.6pt;height:1.1pt;mso-position-horizontal-relative:char;mso-position-vertical-relative:line" coordorigin="0,0" coordsize="9532,22">
            <v:line style="position:absolute" from="0,11" to="950,11" stroked="true" strokeweight="1.1pt" strokecolor="#000000">
              <v:stroke dashstyle="solid"/>
            </v:line>
            <v:line style="position:absolute" from="950,11" to="2934,11" stroked="true" strokeweight="1.1pt" strokecolor="#000000">
              <v:stroke dashstyle="solid"/>
            </v:line>
            <v:line style="position:absolute" from="2934,11" to="9532,11" stroked="true" strokeweight="1.1pt" strokecolor="#000000">
              <v:stroke dashstyle="solid"/>
            </v:line>
          </v:group>
        </w:pict>
      </w:r>
      <w:r>
        <w:rPr>
          <w:spacing w:val="5"/>
          <w:sz w:val="2"/>
        </w:rPr>
      </w:r>
    </w:p>
    <w:p>
      <w:pPr>
        <w:spacing w:after="0" w:line="22" w:lineRule="exact"/>
        <w:rPr>
          <w:sz w:val="2"/>
        </w:rPr>
        <w:sectPr>
          <w:type w:val="continuous"/>
          <w:pgSz w:w="11900" w:h="16840"/>
          <w:pgMar w:top="60" w:bottom="280" w:left="1240" w:right="900"/>
        </w:sectPr>
      </w:pPr>
    </w:p>
    <w:p>
      <w:pPr>
        <w:pStyle w:val="Heading3"/>
        <w:numPr>
          <w:ilvl w:val="1"/>
          <w:numId w:val="5"/>
        </w:numPr>
        <w:tabs>
          <w:tab w:pos="1171" w:val="left" w:leader="none"/>
          <w:tab w:pos="1172" w:val="left" w:leader="none"/>
        </w:tabs>
        <w:spacing w:line="273" w:lineRule="exact" w:before="0" w:after="0"/>
        <w:ind w:left="1172" w:right="0" w:hanging="950"/>
        <w:jc w:val="left"/>
      </w:pPr>
      <w:r>
        <w:rPr>
          <w:spacing w:val="7"/>
        </w:rPr>
        <w:t>附加合同效力的终</w:t>
      </w:r>
    </w:p>
    <w:p>
      <w:pPr>
        <w:spacing w:before="21"/>
        <w:ind w:left="0" w:right="378" w:firstLine="0"/>
        <w:jc w:val="center"/>
        <w:rPr>
          <w:b/>
          <w:sz w:val="21"/>
        </w:rPr>
      </w:pPr>
      <w:r>
        <w:rPr>
          <w:b/>
          <w:w w:val="99"/>
          <w:sz w:val="21"/>
        </w:rPr>
        <w:t>止</w:t>
      </w:r>
    </w:p>
    <w:p>
      <w:pPr>
        <w:pStyle w:val="BodyText"/>
        <w:spacing w:line="258" w:lineRule="exact"/>
        <w:ind w:left="181"/>
      </w:pPr>
      <w:r>
        <w:rPr/>
        <w:br w:type="column"/>
      </w:r>
      <w:r>
        <w:rPr/>
        <w:t>发生下列情况之一，本附加合同效力即时终止：</w:t>
      </w:r>
    </w:p>
    <w:p>
      <w:pPr>
        <w:pStyle w:val="BodyText"/>
        <w:spacing w:before="37"/>
        <w:ind w:left="181"/>
      </w:pPr>
      <w:r>
        <w:rPr/>
        <w:t>（</w:t>
      </w:r>
      <w:r>
        <w:rPr>
          <w:rFonts w:ascii="Times New Roman" w:eastAsia="Times New Roman"/>
        </w:rPr>
        <w:t>1</w:t>
      </w:r>
      <w:r>
        <w:rPr/>
        <w:t>）主合同效力终止；</w:t>
      </w:r>
    </w:p>
    <w:p>
      <w:pPr>
        <w:pStyle w:val="BodyText"/>
        <w:spacing w:before="21"/>
        <w:ind w:left="181"/>
      </w:pPr>
      <w:r>
        <w:rPr/>
        <w:t>（</w:t>
      </w:r>
      <w:r>
        <w:rPr>
          <w:rFonts w:ascii="Times New Roman" w:eastAsia="Times New Roman"/>
        </w:rPr>
        <w:t>2</w:t>
      </w:r>
      <w:r>
        <w:rPr/>
        <w:t>）本附加合同满期；</w:t>
      </w:r>
    </w:p>
    <w:p>
      <w:pPr>
        <w:pStyle w:val="BodyText"/>
        <w:spacing w:before="21"/>
        <w:ind w:left="181"/>
      </w:pPr>
      <w:r>
        <w:rPr/>
        <w:t>（</w:t>
      </w:r>
      <w:r>
        <w:rPr>
          <w:rFonts w:ascii="Times New Roman" w:eastAsia="Times New Roman"/>
        </w:rPr>
        <w:t>3</w:t>
      </w:r>
      <w:r>
        <w:rPr/>
        <w:t>）本附加合同因其他条款所列情况而效力终止。</w:t>
      </w:r>
    </w:p>
    <w:p>
      <w:pPr>
        <w:spacing w:after="0"/>
        <w:sectPr>
          <w:type w:val="continuous"/>
          <w:pgSz w:w="11900" w:h="16840"/>
          <w:pgMar w:top="60" w:bottom="280" w:left="1240" w:right="900"/>
          <w:cols w:num="2" w:equalWidth="0">
            <w:col w:w="2935" w:space="40"/>
            <w:col w:w="6785"/>
          </w:cols>
        </w:sectPr>
      </w:pPr>
    </w:p>
    <w:p>
      <w:pPr>
        <w:pStyle w:val="BodyText"/>
        <w:spacing w:before="8"/>
        <w:rPr>
          <w:sz w:val="20"/>
        </w:rPr>
      </w:pPr>
    </w:p>
    <w:p>
      <w:pPr>
        <w:pStyle w:val="Heading2"/>
        <w:numPr>
          <w:ilvl w:val="0"/>
          <w:numId w:val="5"/>
        </w:numPr>
        <w:tabs>
          <w:tab w:pos="1171" w:val="left" w:leader="none"/>
          <w:tab w:pos="1172" w:val="left" w:leader="none"/>
        </w:tabs>
        <w:spacing w:line="240" w:lineRule="auto" w:before="40" w:after="0"/>
        <w:ind w:left="1172" w:right="0" w:hanging="950"/>
        <w:jc w:val="left"/>
      </w:pPr>
      <w:r>
        <w:rPr/>
        <w:pict>
          <v:group style="position:absolute;margin-left:67.599998pt;margin-top:24.615637pt;width:476.6pt;height:1.1pt;mso-position-horizontal-relative:page;mso-position-vertical-relative:paragraph;z-index:1216;mso-wrap-distance-left:0;mso-wrap-distance-right:0" coordorigin="1352,492" coordsize="9532,22">
            <v:line style="position:absolute" from="1352,503" to="2302,503" stroked="true" strokeweight="1.1pt" strokecolor="#000000">
              <v:stroke dashstyle="solid"/>
            </v:line>
            <v:line style="position:absolute" from="2302,503" to="4286,503" stroked="true" strokeweight="1.1pt" strokecolor="#000000">
              <v:stroke dashstyle="solid"/>
            </v:line>
            <v:line style="position:absolute" from="4286,503" to="10884,503" stroked="true" strokeweight="1.1pt" strokecolor="#000000">
              <v:stroke dashstyle="solid"/>
            </v:line>
            <w10:wrap type="topAndBottom"/>
          </v:group>
        </w:pict>
      </w:r>
      <w:r>
        <w:rPr>
          <w:w w:val="95"/>
        </w:rPr>
        <w:t>其他需要关注的事项</w:t>
      </w:r>
    </w:p>
    <w:p>
      <w:pPr>
        <w:pStyle w:val="ListParagraph"/>
        <w:numPr>
          <w:ilvl w:val="1"/>
          <w:numId w:val="5"/>
        </w:numPr>
        <w:tabs>
          <w:tab w:pos="1171" w:val="left" w:leader="none"/>
          <w:tab w:pos="1172" w:val="left" w:leader="none"/>
          <w:tab w:pos="3155" w:val="left" w:leader="none"/>
        </w:tabs>
        <w:spacing w:line="240" w:lineRule="auto" w:before="0" w:after="0"/>
        <w:ind w:left="1172" w:right="0" w:hanging="950"/>
        <w:jc w:val="left"/>
        <w:rPr>
          <w:sz w:val="21"/>
        </w:rPr>
      </w:pPr>
      <w:r>
        <w:rPr>
          <w:b/>
          <w:sz w:val="21"/>
        </w:rPr>
        <w:t>年龄错误</w:t>
        <w:tab/>
      </w:r>
      <w:r>
        <w:rPr>
          <w:sz w:val="21"/>
        </w:rPr>
        <w:t>您在申请投保时，应将与有效身份证件相符的被保险人的出生日期在</w:t>
      </w:r>
    </w:p>
    <w:p>
      <w:pPr>
        <w:pStyle w:val="BodyText"/>
        <w:spacing w:before="21"/>
        <w:ind w:left="3156"/>
      </w:pPr>
      <w:r>
        <w:rPr/>
        <w:t>投保单上填明，如果发生错误按照下列方式办理：</w:t>
      </w:r>
    </w:p>
    <w:p>
      <w:pPr>
        <w:pStyle w:val="BodyText"/>
        <w:spacing w:line="261" w:lineRule="auto" w:before="37"/>
        <w:ind w:left="3156" w:right="221"/>
        <w:jc w:val="both"/>
      </w:pPr>
      <w:r>
        <w:rPr>
          <w:spacing w:val="5"/>
        </w:rPr>
        <w:t>（</w:t>
      </w:r>
      <w:r>
        <w:rPr>
          <w:rFonts w:ascii="Times New Roman" w:hAnsi="Times New Roman" w:eastAsia="Times New Roman"/>
          <w:spacing w:val="5"/>
        </w:rPr>
        <w:t>1</w:t>
      </w:r>
      <w:r>
        <w:rPr>
          <w:spacing w:val="5"/>
        </w:rPr>
        <w:t>）</w:t>
      </w:r>
      <w:r>
        <w:rPr>
          <w:spacing w:val="3"/>
        </w:rPr>
        <w:t>您申报的被保险人年龄不真实，并且其真实年龄不符合本附加合同约定投保年龄限制的，我们有权解除本附加合同，并向您退还所</w:t>
      </w:r>
      <w:r>
        <w:rPr>
          <w:spacing w:val="-3"/>
        </w:rPr>
        <w:t>有已收取的风险保险费。我们行使合同解除权适用</w:t>
      </w:r>
      <w:r>
        <w:rPr>
          <w:rFonts w:ascii="Times New Roman" w:hAnsi="Times New Roman" w:eastAsia="Times New Roman"/>
        </w:rPr>
        <w:t>“</w:t>
      </w:r>
      <w:r>
        <w:rPr/>
        <w:t>本公司合同解除权</w:t>
      </w:r>
      <w:r>
        <w:rPr>
          <w:spacing w:val="-1"/>
        </w:rPr>
        <w:t>的限制</w:t>
      </w:r>
      <w:r>
        <w:rPr>
          <w:rFonts w:ascii="Times New Roman" w:hAnsi="Times New Roman" w:eastAsia="Times New Roman"/>
        </w:rPr>
        <w:t>”</w:t>
      </w:r>
      <w:r>
        <w:rPr/>
        <w:t>的规定。</w:t>
      </w:r>
    </w:p>
    <w:p>
      <w:pPr>
        <w:pStyle w:val="BodyText"/>
        <w:spacing w:line="266" w:lineRule="auto"/>
        <w:ind w:left="3156" w:right="234"/>
        <w:jc w:val="both"/>
      </w:pPr>
      <w:r>
        <w:rPr/>
        <w:t>（</w:t>
      </w:r>
      <w:r>
        <w:rPr>
          <w:rFonts w:ascii="Times New Roman" w:eastAsia="Times New Roman"/>
        </w:rPr>
        <w:t>2</w:t>
      </w:r>
      <w:r>
        <w:rPr/>
        <w:t>）您申报的被保险人年龄不真实，致使您实付风险保险费少于应付风险保险费的，我们有权调整您应付的风险保险费。若已经发生保险事故，在给付保险金时按实付风险保险费和应付风险保险费的比例给付。</w:t>
      </w:r>
    </w:p>
    <w:p>
      <w:pPr>
        <w:pStyle w:val="BodyText"/>
        <w:spacing w:line="256" w:lineRule="auto" w:before="13"/>
        <w:ind w:left="3156" w:right="234"/>
        <w:jc w:val="both"/>
      </w:pPr>
      <w:r>
        <w:rPr/>
        <w:t>（</w:t>
      </w:r>
      <w:r>
        <w:rPr>
          <w:rFonts w:ascii="Times New Roman" w:eastAsia="Times New Roman"/>
        </w:rPr>
        <w:t>3</w:t>
      </w:r>
      <w:r>
        <w:rPr/>
        <w:t>）您申报的被保险人年龄不真实，致使您实付风险保险费多于应付风险保险费的，我们会将多收的风险保险费退还给您。</w:t>
      </w:r>
    </w:p>
    <w:p>
      <w:pPr>
        <w:pStyle w:val="BodyText"/>
        <w:spacing w:before="10"/>
        <w:rPr>
          <w:sz w:val="14"/>
        </w:rPr>
      </w:pPr>
    </w:p>
    <w:p>
      <w:pPr>
        <w:spacing w:after="0"/>
        <w:rPr>
          <w:sz w:val="14"/>
        </w:rPr>
        <w:sectPr>
          <w:type w:val="continuous"/>
          <w:pgSz w:w="11900" w:h="16840"/>
          <w:pgMar w:top="60" w:bottom="280" w:left="1240" w:right="900"/>
        </w:sectPr>
      </w:pPr>
    </w:p>
    <w:p>
      <w:pPr>
        <w:pStyle w:val="Heading2"/>
        <w:numPr>
          <w:ilvl w:val="0"/>
          <w:numId w:val="5"/>
        </w:numPr>
        <w:tabs>
          <w:tab w:pos="1171" w:val="left" w:leader="none"/>
          <w:tab w:pos="1172" w:val="left" w:leader="none"/>
        </w:tabs>
        <w:spacing w:line="240" w:lineRule="auto" w:before="37" w:after="0"/>
        <w:ind w:left="1172" w:right="0" w:hanging="950"/>
        <w:jc w:val="left"/>
      </w:pPr>
      <w:r>
        <w:rPr/>
        <w:pict>
          <v:group style="position:absolute;margin-left:67.599998pt;margin-top:26.865622pt;width:476.6pt;height:.6pt;mso-position-horizontal-relative:page;mso-position-vertical-relative:paragraph;z-index:-41200" coordorigin="1352,537" coordsize="9532,12">
            <v:line style="position:absolute" from="1352,543" to="2302,543" stroked="true" strokeweight=".6pt" strokecolor="#000000">
              <v:stroke dashstyle="solid"/>
            </v:line>
            <v:line style="position:absolute" from="2302,543" to="4286,543" stroked="true" strokeweight=".6pt" strokecolor="#000000">
              <v:stroke dashstyle="solid"/>
            </v:line>
            <v:line style="position:absolute" from="4286,543" to="10884,543" stroked="true" strokeweight=".6pt" strokecolor="#000000">
              <v:stroke dashstyle="solid"/>
            </v:line>
            <w10:wrap type="none"/>
          </v:group>
        </w:pict>
      </w:r>
      <w:r>
        <w:rPr>
          <w:w w:val="95"/>
        </w:rPr>
        <w:t>特别说明</w:t>
      </w:r>
    </w:p>
    <w:p>
      <w:pPr>
        <w:pStyle w:val="BodyText"/>
        <w:rPr>
          <w:b/>
          <w:sz w:val="22"/>
        </w:rPr>
      </w:pPr>
      <w:r>
        <w:rPr/>
        <w:br w:type="column"/>
      </w:r>
      <w:r>
        <w:rPr>
          <w:b/>
          <w:sz w:val="22"/>
        </w:rPr>
      </w:r>
    </w:p>
    <w:p>
      <w:pPr>
        <w:pStyle w:val="BodyText"/>
        <w:spacing w:before="9"/>
        <w:rPr>
          <w:b/>
          <w:sz w:val="18"/>
        </w:rPr>
      </w:pPr>
    </w:p>
    <w:p>
      <w:pPr>
        <w:pStyle w:val="BodyText"/>
        <w:ind w:left="280"/>
      </w:pPr>
      <w:r>
        <w:rPr/>
        <w:t>（</w:t>
      </w:r>
      <w:r>
        <w:rPr>
          <w:rFonts w:ascii="Times New Roman" w:eastAsia="Times New Roman"/>
        </w:rPr>
        <w:t>1</w:t>
      </w:r>
      <w:r>
        <w:rPr/>
        <w:t>）本附加合同第</w:t>
      </w:r>
      <w:r>
        <w:rPr>
          <w:rFonts w:ascii="Times New Roman" w:eastAsia="Times New Roman"/>
        </w:rPr>
        <w:t>3</w:t>
      </w:r>
      <w:r>
        <w:rPr/>
        <w:t>条</w:t>
      </w:r>
      <w:r>
        <w:rPr>
          <w:rFonts w:ascii="Times New Roman" w:eastAsia="Times New Roman"/>
        </w:rPr>
        <w:t>3.1</w:t>
      </w:r>
      <w:r>
        <w:rPr/>
        <w:t>款至</w:t>
      </w:r>
      <w:r>
        <w:rPr>
          <w:rFonts w:ascii="Times New Roman" w:eastAsia="Times New Roman"/>
        </w:rPr>
        <w:t>3.18</w:t>
      </w:r>
      <w:r>
        <w:rPr/>
        <w:t>款的重大疾病名称和定义（除特别</w:t>
      </w:r>
    </w:p>
    <w:p>
      <w:pPr>
        <w:pStyle w:val="BodyText"/>
        <w:spacing w:before="21"/>
        <w:ind w:left="280"/>
      </w:pPr>
      <w:r>
        <w:rPr/>
        <w:t>声明）使用了中国保险行业协会《重大疾病保险的疾病定义使用规范》</w:t>
      </w:r>
    </w:p>
    <w:p>
      <w:pPr>
        <w:pStyle w:val="BodyText"/>
        <w:spacing w:before="37"/>
        <w:ind w:left="280"/>
      </w:pPr>
      <w:r>
        <w:rPr/>
        <w:t>（中保协寿【</w:t>
      </w:r>
      <w:r>
        <w:rPr>
          <w:rFonts w:ascii="Times New Roman" w:eastAsia="Times New Roman"/>
        </w:rPr>
        <w:t>2007</w:t>
      </w:r>
      <w:r>
        <w:rPr/>
        <w:t>】</w:t>
      </w:r>
      <w:r>
        <w:rPr>
          <w:rFonts w:ascii="Times New Roman" w:eastAsia="Times New Roman"/>
        </w:rPr>
        <w:t>9</w:t>
      </w:r>
      <w:r>
        <w:rPr/>
        <w:t>号）的疾病名称和疾病定义。</w:t>
      </w:r>
    </w:p>
    <w:p>
      <w:pPr>
        <w:pStyle w:val="BodyText"/>
        <w:spacing w:before="21"/>
        <w:ind w:left="280"/>
      </w:pPr>
      <w:r>
        <w:rPr/>
        <w:t>（</w:t>
      </w:r>
      <w:r>
        <w:rPr>
          <w:rFonts w:ascii="Times New Roman" w:eastAsia="Times New Roman"/>
        </w:rPr>
        <w:t>2</w:t>
      </w:r>
      <w:r>
        <w:rPr/>
        <w:t>）本附加合同第</w:t>
      </w:r>
      <w:r>
        <w:rPr>
          <w:rFonts w:ascii="Times New Roman" w:eastAsia="Times New Roman"/>
        </w:rPr>
        <w:t>10</w:t>
      </w:r>
      <w:r>
        <w:rPr/>
        <w:t>条</w:t>
      </w:r>
      <w:r>
        <w:rPr>
          <w:rFonts w:ascii="Times New Roman" w:eastAsia="Times New Roman"/>
        </w:rPr>
        <w:t>11.3</w:t>
      </w:r>
      <w:r>
        <w:rPr/>
        <w:t>至</w:t>
      </w:r>
      <w:r>
        <w:rPr>
          <w:rFonts w:ascii="Times New Roman" w:eastAsia="Times New Roman"/>
        </w:rPr>
        <w:t>11.10</w:t>
      </w:r>
      <w:r>
        <w:rPr/>
        <w:t>款释义使用了中国保险行业协会</w:t>
      </w:r>
    </w:p>
    <w:p>
      <w:pPr>
        <w:pStyle w:val="BodyText"/>
        <w:spacing w:line="256" w:lineRule="auto" w:before="21"/>
        <w:ind w:left="280" w:right="221" w:hanging="58"/>
      </w:pPr>
      <w:r>
        <w:rPr>
          <w:spacing w:val="-5"/>
        </w:rPr>
        <w:t>《重大疾病保险的疾病定义使用规范》</w:t>
      </w:r>
      <w:r>
        <w:rPr/>
        <w:t>（</w:t>
      </w:r>
      <w:r>
        <w:rPr>
          <w:spacing w:val="-12"/>
        </w:rPr>
        <w:t>中保协寿【</w:t>
      </w:r>
      <w:r>
        <w:rPr>
          <w:rFonts w:ascii="Times New Roman" w:eastAsia="Times New Roman"/>
        </w:rPr>
        <w:t>2007</w:t>
      </w:r>
      <w:r>
        <w:rPr>
          <w:spacing w:val="-58"/>
        </w:rPr>
        <w:t>】</w:t>
      </w:r>
      <w:r>
        <w:rPr>
          <w:rFonts w:ascii="Times New Roman" w:eastAsia="Times New Roman"/>
        </w:rPr>
        <w:t>9</w:t>
      </w:r>
      <w:r>
        <w:rPr/>
        <w:t>号）的术语释义。</w:t>
      </w:r>
    </w:p>
    <w:p>
      <w:pPr>
        <w:spacing w:after="0" w:line="256" w:lineRule="auto"/>
        <w:sectPr>
          <w:type w:val="continuous"/>
          <w:pgSz w:w="11900" w:h="16840"/>
          <w:pgMar w:top="60" w:bottom="280" w:left="1240" w:right="900"/>
          <w:cols w:num="2" w:equalWidth="0">
            <w:col w:w="2133" w:space="743"/>
            <w:col w:w="6884"/>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2169"/>
        <w:gridCol w:w="6700"/>
      </w:tblGrid>
      <w:tr>
        <w:trPr>
          <w:trHeight w:val="431" w:hRule="atLeast"/>
        </w:trPr>
        <w:tc>
          <w:tcPr>
            <w:tcW w:w="765" w:type="dxa"/>
            <w:tcBorders>
              <w:top w:val="single" w:sz="12" w:space="0" w:color="000000"/>
              <w:bottom w:val="single" w:sz="12" w:space="0" w:color="000000"/>
            </w:tcBorders>
          </w:tcPr>
          <w:p>
            <w:pPr>
              <w:pStyle w:val="TableParagraph"/>
              <w:spacing w:line="259" w:lineRule="exact"/>
              <w:ind w:left="110"/>
              <w:rPr>
                <w:rFonts w:ascii="Times New Roman"/>
                <w:b/>
                <w:sz w:val="24"/>
              </w:rPr>
            </w:pPr>
            <w:r>
              <w:rPr>
                <w:rFonts w:ascii="Times New Roman"/>
                <w:b/>
                <w:sz w:val="24"/>
              </w:rPr>
              <w:t>11</w:t>
            </w:r>
          </w:p>
        </w:tc>
        <w:tc>
          <w:tcPr>
            <w:tcW w:w="2169" w:type="dxa"/>
            <w:tcBorders>
              <w:top w:val="single" w:sz="12" w:space="0" w:color="000000"/>
              <w:bottom w:val="single" w:sz="12" w:space="0" w:color="000000"/>
            </w:tcBorders>
          </w:tcPr>
          <w:p>
            <w:pPr>
              <w:pStyle w:val="TableParagraph"/>
              <w:spacing w:line="245" w:lineRule="exact"/>
              <w:ind w:left="296"/>
              <w:rPr>
                <w:b/>
                <w:sz w:val="24"/>
              </w:rPr>
            </w:pPr>
            <w:r>
              <w:rPr>
                <w:b/>
                <w:w w:val="95"/>
                <w:sz w:val="24"/>
              </w:rPr>
              <w:t>释义</w:t>
            </w:r>
          </w:p>
        </w:tc>
        <w:tc>
          <w:tcPr>
            <w:tcW w:w="6700" w:type="dxa"/>
            <w:tcBorders>
              <w:top w:val="single" w:sz="12" w:space="0" w:color="000000"/>
              <w:bottom w:val="single" w:sz="12" w:space="0" w:color="000000"/>
            </w:tcBorders>
          </w:tcPr>
          <w:p>
            <w:pPr>
              <w:pStyle w:val="TableParagraph"/>
              <w:rPr>
                <w:rFonts w:ascii="Times New Roman"/>
                <w:sz w:val="20"/>
              </w:rPr>
            </w:pPr>
          </w:p>
        </w:tc>
      </w:tr>
      <w:tr>
        <w:trPr>
          <w:trHeight w:val="310" w:hRule="atLeast"/>
        </w:trPr>
        <w:tc>
          <w:tcPr>
            <w:tcW w:w="765" w:type="dxa"/>
            <w:tcBorders>
              <w:top w:val="single" w:sz="12" w:space="0" w:color="000000"/>
            </w:tcBorders>
          </w:tcPr>
          <w:p>
            <w:pPr>
              <w:pStyle w:val="TableParagraph"/>
              <w:spacing w:before="19"/>
              <w:ind w:left="110"/>
              <w:rPr>
                <w:rFonts w:ascii="Times New Roman"/>
                <w:sz w:val="21"/>
              </w:rPr>
            </w:pPr>
            <w:r>
              <w:rPr>
                <w:rFonts w:ascii="Times New Roman"/>
                <w:sz w:val="21"/>
              </w:rPr>
              <w:t>11.1</w:t>
            </w:r>
          </w:p>
        </w:tc>
        <w:tc>
          <w:tcPr>
            <w:tcW w:w="2169" w:type="dxa"/>
            <w:tcBorders>
              <w:top w:val="single" w:sz="12" w:space="0" w:color="000000"/>
            </w:tcBorders>
          </w:tcPr>
          <w:p>
            <w:pPr>
              <w:pStyle w:val="TableParagraph"/>
              <w:spacing w:line="249" w:lineRule="exact"/>
              <w:ind w:left="296"/>
              <w:rPr>
                <w:b/>
                <w:sz w:val="21"/>
              </w:rPr>
            </w:pPr>
            <w:r>
              <w:rPr>
                <w:b/>
                <w:w w:val="95"/>
                <w:sz w:val="21"/>
              </w:rPr>
              <w:t>发病</w:t>
            </w:r>
          </w:p>
        </w:tc>
        <w:tc>
          <w:tcPr>
            <w:tcW w:w="6700" w:type="dxa"/>
            <w:tcBorders>
              <w:top w:val="single" w:sz="12" w:space="0" w:color="000000"/>
            </w:tcBorders>
          </w:tcPr>
          <w:p>
            <w:pPr>
              <w:pStyle w:val="TableParagraph"/>
              <w:spacing w:line="264" w:lineRule="exact"/>
              <w:ind w:left="110"/>
              <w:rPr>
                <w:sz w:val="21"/>
              </w:rPr>
            </w:pPr>
            <w:r>
              <w:rPr>
                <w:sz w:val="21"/>
              </w:rPr>
              <w:t>发病是指出现第</w:t>
            </w:r>
            <w:r>
              <w:rPr>
                <w:rFonts w:ascii="Times New Roman" w:eastAsia="Times New Roman"/>
                <w:sz w:val="21"/>
              </w:rPr>
              <w:t>3</w:t>
            </w:r>
            <w:r>
              <w:rPr>
                <w:sz w:val="21"/>
              </w:rPr>
              <w:t>条约定的疾病的前兆和异常的身体状况，该疾病的</w:t>
            </w:r>
          </w:p>
        </w:tc>
      </w:tr>
      <w:tr>
        <w:trPr>
          <w:trHeight w:val="306"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50" w:lineRule="exact"/>
              <w:ind w:left="110"/>
              <w:rPr>
                <w:sz w:val="21"/>
              </w:rPr>
            </w:pPr>
            <w:r>
              <w:rPr>
                <w:sz w:val="21"/>
              </w:rPr>
              <w:t>前兆或异常的身体状况足以引起注意或应当引起注意并寻求检查、诊</w:t>
            </w:r>
          </w:p>
        </w:tc>
      </w:tr>
      <w:tr>
        <w:trPr>
          <w:trHeight w:val="450"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56" w:lineRule="exact"/>
              <w:ind w:left="110"/>
              <w:rPr>
                <w:sz w:val="21"/>
              </w:rPr>
            </w:pPr>
            <w:r>
              <w:rPr>
                <w:sz w:val="21"/>
              </w:rPr>
              <w:t>断、治疗或护理。</w:t>
            </w:r>
          </w:p>
        </w:tc>
      </w:tr>
      <w:tr>
        <w:trPr>
          <w:trHeight w:val="659" w:hRule="atLeast"/>
        </w:trPr>
        <w:tc>
          <w:tcPr>
            <w:tcW w:w="765" w:type="dxa"/>
          </w:tcPr>
          <w:p>
            <w:pPr>
              <w:pStyle w:val="TableParagraph"/>
              <w:spacing w:before="4"/>
              <w:rPr>
                <w:sz w:val="15"/>
              </w:rPr>
            </w:pPr>
          </w:p>
          <w:p>
            <w:pPr>
              <w:pStyle w:val="TableParagraph"/>
              <w:ind w:left="110"/>
              <w:rPr>
                <w:rFonts w:ascii="Times New Roman"/>
                <w:sz w:val="21"/>
              </w:rPr>
            </w:pPr>
            <w:r>
              <w:rPr>
                <w:rFonts w:ascii="Times New Roman"/>
                <w:sz w:val="21"/>
              </w:rPr>
              <w:t>11.2</w:t>
            </w:r>
          </w:p>
        </w:tc>
        <w:tc>
          <w:tcPr>
            <w:tcW w:w="2169" w:type="dxa"/>
          </w:tcPr>
          <w:p>
            <w:pPr>
              <w:pStyle w:val="TableParagraph"/>
              <w:spacing w:before="155"/>
              <w:ind w:left="296"/>
              <w:rPr>
                <w:b/>
                <w:sz w:val="21"/>
              </w:rPr>
            </w:pPr>
            <w:r>
              <w:rPr>
                <w:b/>
                <w:w w:val="95"/>
                <w:sz w:val="21"/>
              </w:rPr>
              <w:t>全残</w:t>
            </w:r>
          </w:p>
        </w:tc>
        <w:tc>
          <w:tcPr>
            <w:tcW w:w="6700" w:type="dxa"/>
          </w:tcPr>
          <w:p>
            <w:pPr>
              <w:pStyle w:val="TableParagraph"/>
              <w:spacing w:line="257" w:lineRule="exact" w:before="119"/>
              <w:ind w:left="110"/>
              <w:rPr>
                <w:sz w:val="21"/>
              </w:rPr>
            </w:pPr>
            <w:r>
              <w:rPr>
                <w:sz w:val="21"/>
              </w:rPr>
              <w:t>指被保险人在本附加合同有效期内，发生下列情况之一者：</w:t>
            </w:r>
          </w:p>
          <w:p>
            <w:pPr>
              <w:pStyle w:val="TableParagraph"/>
              <w:spacing w:line="263" w:lineRule="exact"/>
              <w:ind w:left="110"/>
              <w:rPr>
                <w:sz w:val="21"/>
              </w:rPr>
            </w:pPr>
            <w:r>
              <w:rPr>
                <w:sz w:val="21"/>
              </w:rPr>
              <w:t>（</w:t>
            </w:r>
            <w:r>
              <w:rPr>
                <w:rFonts w:ascii="Times New Roman" w:eastAsia="Times New Roman"/>
                <w:sz w:val="21"/>
              </w:rPr>
              <w:t>1</w:t>
            </w:r>
            <w:r>
              <w:rPr>
                <w:sz w:val="21"/>
              </w:rPr>
              <w:t>）双目永久不可逆</w:t>
            </w:r>
            <w:r>
              <w:rPr>
                <w:position w:val="8"/>
                <w:sz w:val="12"/>
              </w:rPr>
              <w:t>注</w:t>
            </w:r>
            <w:r>
              <w:rPr>
                <w:rFonts w:ascii="Times New Roman" w:eastAsia="Times New Roman"/>
                <w:position w:val="8"/>
                <w:sz w:val="12"/>
              </w:rPr>
              <w:t>1</w:t>
            </w:r>
            <w:r>
              <w:rPr>
                <w:sz w:val="21"/>
              </w:rPr>
              <w:t>失明</w:t>
            </w:r>
            <w:r>
              <w:rPr>
                <w:position w:val="8"/>
                <w:sz w:val="12"/>
              </w:rPr>
              <w:t>注</w:t>
            </w:r>
            <w:r>
              <w:rPr>
                <w:rFonts w:ascii="Times New Roman" w:eastAsia="Times New Roman"/>
                <w:position w:val="8"/>
                <w:sz w:val="12"/>
              </w:rPr>
              <w:t>2</w:t>
            </w:r>
            <w:r>
              <w:rPr>
                <w:sz w:val="21"/>
              </w:rPr>
              <w:t>；</w:t>
            </w:r>
          </w:p>
        </w:tc>
      </w:tr>
      <w:tr>
        <w:trPr>
          <w:trHeight w:val="240"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sz w:val="21"/>
              </w:rPr>
              <w:t>（</w:t>
            </w:r>
            <w:r>
              <w:rPr>
                <w:rFonts w:ascii="Times New Roman" w:eastAsia="Times New Roman"/>
                <w:sz w:val="21"/>
              </w:rPr>
              <w:t>2</w:t>
            </w:r>
            <w:r>
              <w:rPr>
                <w:sz w:val="21"/>
              </w:rPr>
              <w:t>）两上肢腕关节以上或两下肢踝关节以上缺失；</w:t>
            </w:r>
          </w:p>
        </w:tc>
      </w:tr>
      <w:tr>
        <w:trPr>
          <w:trHeight w:val="240"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sz w:val="21"/>
              </w:rPr>
              <w:t>（</w:t>
            </w:r>
            <w:r>
              <w:rPr>
                <w:rFonts w:ascii="Times New Roman" w:eastAsia="Times New Roman"/>
                <w:sz w:val="21"/>
              </w:rPr>
              <w:t>3</w:t>
            </w:r>
            <w:r>
              <w:rPr>
                <w:sz w:val="21"/>
              </w:rPr>
              <w:t>）一上肢腕关节以上及一下肢踝关节以上缺失；</w:t>
            </w:r>
          </w:p>
        </w:tc>
      </w:tr>
      <w:tr>
        <w:trPr>
          <w:trHeight w:val="241"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sz w:val="21"/>
              </w:rPr>
              <w:t>（</w:t>
            </w:r>
            <w:r>
              <w:rPr>
                <w:rFonts w:ascii="Times New Roman" w:eastAsia="Times New Roman"/>
                <w:sz w:val="21"/>
              </w:rPr>
              <w:t>4</w:t>
            </w:r>
            <w:r>
              <w:rPr>
                <w:sz w:val="21"/>
              </w:rPr>
              <w:t>）一目永久不可逆失明及一上肢腕关节以上缺失；</w:t>
            </w:r>
          </w:p>
        </w:tc>
      </w:tr>
      <w:tr>
        <w:trPr>
          <w:trHeight w:val="241"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sz w:val="21"/>
              </w:rPr>
              <w:t>（</w:t>
            </w:r>
            <w:r>
              <w:rPr>
                <w:rFonts w:ascii="Times New Roman" w:eastAsia="Times New Roman"/>
                <w:sz w:val="21"/>
              </w:rPr>
              <w:t>5</w:t>
            </w:r>
            <w:r>
              <w:rPr>
                <w:sz w:val="21"/>
              </w:rPr>
              <w:t>）一目永久不可逆失明及一下肢踝关节以上缺失；</w:t>
            </w:r>
          </w:p>
        </w:tc>
      </w:tr>
      <w:tr>
        <w:trPr>
          <w:trHeight w:val="240"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sz w:val="21"/>
              </w:rPr>
              <w:t>（</w:t>
            </w:r>
            <w:r>
              <w:rPr>
                <w:rFonts w:ascii="Times New Roman" w:eastAsia="Times New Roman"/>
                <w:sz w:val="21"/>
              </w:rPr>
              <w:t>6</w:t>
            </w:r>
            <w:r>
              <w:rPr>
                <w:sz w:val="21"/>
              </w:rPr>
              <w:t>）四肢关节机能永久不可逆丧失</w:t>
            </w:r>
            <w:r>
              <w:rPr>
                <w:position w:val="8"/>
                <w:sz w:val="12"/>
              </w:rPr>
              <w:t>注</w:t>
            </w:r>
            <w:r>
              <w:rPr>
                <w:rFonts w:ascii="Times New Roman" w:eastAsia="Times New Roman"/>
                <w:position w:val="8"/>
                <w:sz w:val="12"/>
              </w:rPr>
              <w:t>3</w:t>
            </w:r>
            <w:r>
              <w:rPr>
                <w:sz w:val="21"/>
              </w:rPr>
              <w:t>；</w:t>
            </w:r>
          </w:p>
        </w:tc>
      </w:tr>
      <w:tr>
        <w:trPr>
          <w:trHeight w:val="240"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sz w:val="21"/>
              </w:rPr>
              <w:t>（</w:t>
            </w:r>
            <w:r>
              <w:rPr>
                <w:rFonts w:ascii="Times New Roman" w:eastAsia="Times New Roman"/>
                <w:sz w:val="21"/>
              </w:rPr>
              <w:t>7</w:t>
            </w:r>
            <w:r>
              <w:rPr>
                <w:sz w:val="21"/>
              </w:rPr>
              <w:t>）咀嚼、吞咽机能永久不可逆丧失</w:t>
            </w:r>
            <w:r>
              <w:rPr>
                <w:position w:val="8"/>
                <w:sz w:val="12"/>
              </w:rPr>
              <w:t>注</w:t>
            </w:r>
            <w:r>
              <w:rPr>
                <w:rFonts w:ascii="Times New Roman" w:eastAsia="Times New Roman"/>
                <w:position w:val="8"/>
                <w:sz w:val="12"/>
              </w:rPr>
              <w:t>4</w:t>
            </w:r>
            <w:r>
              <w:rPr>
                <w:sz w:val="21"/>
              </w:rPr>
              <w:t>；</w:t>
            </w:r>
          </w:p>
        </w:tc>
      </w:tr>
      <w:tr>
        <w:trPr>
          <w:trHeight w:val="241"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sz w:val="21"/>
              </w:rPr>
              <w:t>（</w:t>
            </w:r>
            <w:r>
              <w:rPr>
                <w:rFonts w:ascii="Times New Roman" w:eastAsia="Times New Roman"/>
                <w:sz w:val="21"/>
              </w:rPr>
              <w:t>8</w:t>
            </w:r>
            <w:r>
              <w:rPr>
                <w:sz w:val="21"/>
              </w:rPr>
              <w:t>）中枢神经系统机能或胸、腹部脏器机能极度障碍，终身不能从事</w:t>
            </w:r>
          </w:p>
        </w:tc>
      </w:tr>
      <w:tr>
        <w:trPr>
          <w:trHeight w:val="236"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15" w:lineRule="exact"/>
              <w:ind w:left="110"/>
              <w:rPr>
                <w:sz w:val="21"/>
              </w:rPr>
            </w:pPr>
            <w:r>
              <w:rPr>
                <w:sz w:val="21"/>
              </w:rPr>
              <w:t>任何工作，为维持生命必要的日常生活活动，全需他人扶助</w:t>
            </w:r>
            <w:r>
              <w:rPr>
                <w:position w:val="8"/>
                <w:sz w:val="12"/>
              </w:rPr>
              <w:t>注</w:t>
            </w:r>
            <w:r>
              <w:rPr>
                <w:rFonts w:ascii="Times New Roman" w:eastAsia="Times New Roman"/>
                <w:position w:val="8"/>
                <w:sz w:val="12"/>
              </w:rPr>
              <w:t>5</w:t>
            </w:r>
            <w:r>
              <w:rPr>
                <w:sz w:val="21"/>
              </w:rPr>
              <w:t>。</w:t>
            </w:r>
          </w:p>
        </w:tc>
      </w:tr>
      <w:tr>
        <w:trPr>
          <w:trHeight w:val="237"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18" w:lineRule="exact"/>
              <w:ind w:left="110"/>
              <w:rPr>
                <w:sz w:val="21"/>
              </w:rPr>
            </w:pPr>
            <w:r>
              <w:rPr>
                <w:sz w:val="21"/>
              </w:rPr>
              <w:t>注：</w:t>
            </w:r>
          </w:p>
        </w:tc>
      </w:tr>
      <w:tr>
        <w:trPr>
          <w:trHeight w:val="247" w:hRule="atLeast"/>
        </w:trPr>
        <w:tc>
          <w:tcPr>
            <w:tcW w:w="765" w:type="dxa"/>
          </w:tcPr>
          <w:p>
            <w:pPr>
              <w:pStyle w:val="TableParagraph"/>
              <w:rPr>
                <w:rFonts w:ascii="Times New Roman"/>
                <w:sz w:val="18"/>
              </w:rPr>
            </w:pPr>
          </w:p>
        </w:tc>
        <w:tc>
          <w:tcPr>
            <w:tcW w:w="2169" w:type="dxa"/>
          </w:tcPr>
          <w:p>
            <w:pPr>
              <w:pStyle w:val="TableParagraph"/>
              <w:rPr>
                <w:rFonts w:ascii="Times New Roman"/>
                <w:sz w:val="18"/>
              </w:rPr>
            </w:pPr>
          </w:p>
        </w:tc>
        <w:tc>
          <w:tcPr>
            <w:tcW w:w="6700" w:type="dxa"/>
          </w:tcPr>
          <w:p>
            <w:pPr>
              <w:pStyle w:val="TableParagraph"/>
              <w:spacing w:line="228" w:lineRule="exact"/>
              <w:ind w:left="110"/>
              <w:rPr>
                <w:sz w:val="21"/>
              </w:rPr>
            </w:pPr>
            <w:r>
              <w:rPr>
                <w:rFonts w:ascii="Times New Roman" w:eastAsia="Times New Roman"/>
                <w:sz w:val="21"/>
              </w:rPr>
              <w:t>1</w:t>
            </w:r>
            <w:r>
              <w:rPr>
                <w:sz w:val="21"/>
              </w:rPr>
              <w:t>、永久不可逆是指自疾病确诊或</w:t>
            </w:r>
            <w:r>
              <w:rPr>
                <w:b/>
                <w:sz w:val="21"/>
              </w:rPr>
              <w:t>意外伤害</w:t>
            </w:r>
            <w:r>
              <w:rPr>
                <w:sz w:val="21"/>
              </w:rPr>
              <w:t>发生之日起，经过积极治疗</w:t>
            </w:r>
          </w:p>
        </w:tc>
      </w:tr>
      <w:tr>
        <w:trPr>
          <w:trHeight w:val="241"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rFonts w:ascii="Times New Roman" w:eastAsia="Times New Roman"/>
                <w:sz w:val="21"/>
              </w:rPr>
              <w:t>180 </w:t>
            </w:r>
            <w:r>
              <w:rPr>
                <w:sz w:val="21"/>
              </w:rPr>
              <w:t>天后，仍无法通过现有医疗手段恢复。</w:t>
            </w:r>
          </w:p>
        </w:tc>
      </w:tr>
      <w:tr>
        <w:trPr>
          <w:trHeight w:val="240"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1" w:lineRule="exact"/>
              <w:ind w:left="110"/>
              <w:rPr>
                <w:sz w:val="21"/>
              </w:rPr>
            </w:pPr>
            <w:r>
              <w:rPr>
                <w:rFonts w:ascii="Times New Roman" w:eastAsia="Times New Roman"/>
                <w:sz w:val="21"/>
              </w:rPr>
              <w:t>2</w:t>
            </w:r>
            <w:r>
              <w:rPr>
                <w:spacing w:val="-19"/>
                <w:sz w:val="21"/>
              </w:rPr>
              <w:t>、失明包括眼球缺失或摘除、或不能辨别明暗、或仅能辨别眼前手动者。</w:t>
            </w:r>
          </w:p>
        </w:tc>
      </w:tr>
      <w:tr>
        <w:trPr>
          <w:trHeight w:val="244"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24" w:lineRule="exact"/>
              <w:ind w:left="110"/>
              <w:rPr>
                <w:sz w:val="21"/>
              </w:rPr>
            </w:pPr>
            <w:r>
              <w:rPr>
                <w:sz w:val="21"/>
              </w:rPr>
              <w:t>最佳矫正视力低于国际标准视力表 </w:t>
            </w:r>
            <w:r>
              <w:rPr>
                <w:rFonts w:ascii="Times New Roman" w:eastAsia="Times New Roman"/>
                <w:sz w:val="21"/>
              </w:rPr>
              <w:t>0.02</w:t>
            </w:r>
            <w:r>
              <w:rPr>
                <w:sz w:val="21"/>
              </w:rPr>
              <w:t>，或视野半径小于 </w:t>
            </w:r>
            <w:r>
              <w:rPr>
                <w:rFonts w:ascii="Times New Roman" w:eastAsia="Times New Roman"/>
                <w:sz w:val="21"/>
              </w:rPr>
              <w:t>5 </w:t>
            </w:r>
            <w:r>
              <w:rPr>
                <w:sz w:val="21"/>
              </w:rPr>
              <w:t>度，并由</w:t>
            </w:r>
          </w:p>
        </w:tc>
      </w:tr>
      <w:tr>
        <w:trPr>
          <w:trHeight w:val="229"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10" w:lineRule="exact"/>
              <w:ind w:left="110"/>
              <w:rPr>
                <w:sz w:val="21"/>
              </w:rPr>
            </w:pPr>
            <w:r>
              <w:rPr>
                <w:sz w:val="21"/>
              </w:rPr>
              <w:t>三级或以上医院的眼科医师出具医疗诊断证明。</w:t>
            </w:r>
          </w:p>
        </w:tc>
      </w:tr>
      <w:tr>
        <w:trPr>
          <w:trHeight w:val="251" w:hRule="atLeast"/>
        </w:trPr>
        <w:tc>
          <w:tcPr>
            <w:tcW w:w="765" w:type="dxa"/>
          </w:tcPr>
          <w:p>
            <w:pPr>
              <w:pStyle w:val="TableParagraph"/>
              <w:rPr>
                <w:rFonts w:ascii="Times New Roman"/>
                <w:sz w:val="18"/>
              </w:rPr>
            </w:pPr>
          </w:p>
        </w:tc>
        <w:tc>
          <w:tcPr>
            <w:tcW w:w="2169" w:type="dxa"/>
          </w:tcPr>
          <w:p>
            <w:pPr>
              <w:pStyle w:val="TableParagraph"/>
              <w:rPr>
                <w:rFonts w:ascii="Times New Roman"/>
                <w:sz w:val="18"/>
              </w:rPr>
            </w:pPr>
          </w:p>
        </w:tc>
        <w:tc>
          <w:tcPr>
            <w:tcW w:w="6700" w:type="dxa"/>
          </w:tcPr>
          <w:p>
            <w:pPr>
              <w:pStyle w:val="TableParagraph"/>
              <w:spacing w:line="231" w:lineRule="exact"/>
              <w:ind w:left="110"/>
              <w:rPr>
                <w:sz w:val="21"/>
              </w:rPr>
            </w:pPr>
            <w:r>
              <w:rPr>
                <w:rFonts w:ascii="Times New Roman" w:eastAsia="Times New Roman"/>
                <w:sz w:val="21"/>
              </w:rPr>
              <w:t>3</w:t>
            </w:r>
            <w:r>
              <w:rPr>
                <w:spacing w:val="-19"/>
                <w:sz w:val="21"/>
              </w:rPr>
              <w:t>、关节机能的丧失是指关节永久完全僵硬、或麻痹、或关节不能随意识</w:t>
            </w:r>
          </w:p>
        </w:tc>
      </w:tr>
      <w:tr>
        <w:trPr>
          <w:trHeight w:val="228"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09" w:lineRule="exact"/>
              <w:ind w:left="110"/>
              <w:rPr>
                <w:sz w:val="21"/>
              </w:rPr>
            </w:pPr>
            <w:r>
              <w:rPr>
                <w:sz w:val="21"/>
              </w:rPr>
              <w:t>活动。</w:t>
            </w:r>
          </w:p>
        </w:tc>
      </w:tr>
      <w:tr>
        <w:trPr>
          <w:trHeight w:val="252" w:hRule="atLeast"/>
        </w:trPr>
        <w:tc>
          <w:tcPr>
            <w:tcW w:w="765" w:type="dxa"/>
          </w:tcPr>
          <w:p>
            <w:pPr>
              <w:pStyle w:val="TableParagraph"/>
              <w:rPr>
                <w:rFonts w:ascii="Times New Roman"/>
                <w:sz w:val="18"/>
              </w:rPr>
            </w:pPr>
          </w:p>
        </w:tc>
        <w:tc>
          <w:tcPr>
            <w:tcW w:w="2169" w:type="dxa"/>
          </w:tcPr>
          <w:p>
            <w:pPr>
              <w:pStyle w:val="TableParagraph"/>
              <w:rPr>
                <w:rFonts w:ascii="Times New Roman"/>
                <w:sz w:val="18"/>
              </w:rPr>
            </w:pPr>
          </w:p>
        </w:tc>
        <w:tc>
          <w:tcPr>
            <w:tcW w:w="6700" w:type="dxa"/>
          </w:tcPr>
          <w:p>
            <w:pPr>
              <w:pStyle w:val="TableParagraph"/>
              <w:spacing w:line="232" w:lineRule="exact"/>
              <w:ind w:left="110"/>
              <w:rPr>
                <w:sz w:val="21"/>
              </w:rPr>
            </w:pPr>
            <w:r>
              <w:rPr>
                <w:rFonts w:ascii="Times New Roman" w:eastAsia="Times New Roman"/>
                <w:spacing w:val="-1"/>
                <w:sz w:val="21"/>
              </w:rPr>
              <w:t>4</w:t>
            </w:r>
            <w:r>
              <w:rPr>
                <w:spacing w:val="-14"/>
                <w:sz w:val="21"/>
              </w:rPr>
              <w:t>、咀嚼、吞咽机能的丧失是指由于牙齿以外的原因引起器质性障碍或机</w:t>
            </w:r>
          </w:p>
        </w:tc>
      </w:tr>
      <w:tr>
        <w:trPr>
          <w:trHeight w:val="233"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13" w:lineRule="exact"/>
              <w:ind w:left="110"/>
              <w:rPr>
                <w:sz w:val="21"/>
              </w:rPr>
            </w:pPr>
            <w:r>
              <w:rPr>
                <w:sz w:val="21"/>
              </w:rPr>
              <w:t>能障碍，以致不能做咀嚼、吞咽运动，除流质食物外不能摄取或吞咽的</w:t>
            </w:r>
          </w:p>
        </w:tc>
      </w:tr>
      <w:tr>
        <w:trPr>
          <w:trHeight w:val="236"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17" w:lineRule="exact"/>
              <w:ind w:left="110"/>
              <w:rPr>
                <w:sz w:val="21"/>
              </w:rPr>
            </w:pPr>
            <w:r>
              <w:rPr>
                <w:sz w:val="21"/>
              </w:rPr>
              <w:t>状态。</w:t>
            </w:r>
          </w:p>
        </w:tc>
      </w:tr>
      <w:tr>
        <w:trPr>
          <w:trHeight w:val="251" w:hRule="atLeast"/>
        </w:trPr>
        <w:tc>
          <w:tcPr>
            <w:tcW w:w="765" w:type="dxa"/>
          </w:tcPr>
          <w:p>
            <w:pPr>
              <w:pStyle w:val="TableParagraph"/>
              <w:rPr>
                <w:rFonts w:ascii="Times New Roman"/>
                <w:sz w:val="18"/>
              </w:rPr>
            </w:pPr>
          </w:p>
        </w:tc>
        <w:tc>
          <w:tcPr>
            <w:tcW w:w="2169" w:type="dxa"/>
          </w:tcPr>
          <w:p>
            <w:pPr>
              <w:pStyle w:val="TableParagraph"/>
              <w:rPr>
                <w:rFonts w:ascii="Times New Roman"/>
                <w:sz w:val="18"/>
              </w:rPr>
            </w:pPr>
          </w:p>
        </w:tc>
        <w:tc>
          <w:tcPr>
            <w:tcW w:w="6700" w:type="dxa"/>
          </w:tcPr>
          <w:p>
            <w:pPr>
              <w:pStyle w:val="TableParagraph"/>
              <w:spacing w:line="231" w:lineRule="exact"/>
              <w:ind w:left="110"/>
              <w:rPr>
                <w:b/>
                <w:sz w:val="21"/>
              </w:rPr>
            </w:pPr>
            <w:r>
              <w:rPr>
                <w:rFonts w:ascii="Times New Roman" w:eastAsia="Times New Roman"/>
                <w:sz w:val="21"/>
              </w:rPr>
              <w:t>5</w:t>
            </w:r>
            <w:r>
              <w:rPr>
                <w:sz w:val="21"/>
              </w:rPr>
              <w:t>、为维持生命必要的日常生活活动，全需他人扶助是指以下</w:t>
            </w:r>
            <w:r>
              <w:rPr>
                <w:b/>
                <w:sz w:val="21"/>
              </w:rPr>
              <w:t>六项基本</w:t>
            </w:r>
          </w:p>
        </w:tc>
      </w:tr>
      <w:tr>
        <w:trPr>
          <w:trHeight w:val="244" w:hRule="atLeast"/>
        </w:trPr>
        <w:tc>
          <w:tcPr>
            <w:tcW w:w="765" w:type="dxa"/>
          </w:tcPr>
          <w:p>
            <w:pPr>
              <w:pStyle w:val="TableParagraph"/>
              <w:rPr>
                <w:rFonts w:ascii="Times New Roman"/>
                <w:sz w:val="16"/>
              </w:rPr>
            </w:pPr>
          </w:p>
        </w:tc>
        <w:tc>
          <w:tcPr>
            <w:tcW w:w="2169" w:type="dxa"/>
          </w:tcPr>
          <w:p>
            <w:pPr>
              <w:pStyle w:val="TableParagraph"/>
              <w:rPr>
                <w:rFonts w:ascii="Times New Roman"/>
                <w:sz w:val="16"/>
              </w:rPr>
            </w:pPr>
          </w:p>
        </w:tc>
        <w:tc>
          <w:tcPr>
            <w:tcW w:w="6700" w:type="dxa"/>
          </w:tcPr>
          <w:p>
            <w:pPr>
              <w:pStyle w:val="TableParagraph"/>
              <w:spacing w:line="212" w:lineRule="exact"/>
              <w:ind w:left="110"/>
              <w:rPr>
                <w:sz w:val="21"/>
              </w:rPr>
            </w:pPr>
            <w:r>
              <w:rPr>
                <w:b/>
                <w:w w:val="95"/>
                <w:sz w:val="21"/>
              </w:rPr>
              <w:t>日常生活活动</w:t>
            </w:r>
            <w:r>
              <w:rPr>
                <w:w w:val="95"/>
                <w:sz w:val="21"/>
              </w:rPr>
              <w:t>，均不能自理，需要他人帮助：</w:t>
            </w:r>
          </w:p>
        </w:tc>
      </w:tr>
      <w:tr>
        <w:trPr>
          <w:trHeight w:val="299"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59" w:lineRule="exact"/>
              <w:ind w:left="110"/>
              <w:rPr>
                <w:sz w:val="21"/>
              </w:rPr>
            </w:pPr>
            <w:r>
              <w:rPr>
                <w:sz w:val="21"/>
              </w:rPr>
              <w:t>（</w:t>
            </w:r>
            <w:r>
              <w:rPr>
                <w:rFonts w:ascii="Times New Roman" w:eastAsia="Times New Roman"/>
                <w:sz w:val="21"/>
              </w:rPr>
              <w:t>1</w:t>
            </w:r>
            <w:r>
              <w:rPr>
                <w:sz w:val="21"/>
              </w:rPr>
              <w:t>）穿衣：自己能够穿衣及脱衣；</w:t>
            </w:r>
          </w:p>
        </w:tc>
      </w:tr>
      <w:tr>
        <w:trPr>
          <w:trHeight w:val="311"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2</w:t>
            </w:r>
            <w:r>
              <w:rPr>
                <w:sz w:val="21"/>
              </w:rPr>
              <w:t>）移动：自己从一个房间到另一个房间；</w:t>
            </w:r>
          </w:p>
        </w:tc>
      </w:tr>
      <w:tr>
        <w:trPr>
          <w:trHeight w:val="312"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3</w:t>
            </w:r>
            <w:r>
              <w:rPr>
                <w:sz w:val="21"/>
              </w:rPr>
              <w:t>）行动：自己上下床或上下轮椅；</w:t>
            </w:r>
          </w:p>
        </w:tc>
      </w:tr>
      <w:tr>
        <w:trPr>
          <w:trHeight w:val="311"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4</w:t>
            </w:r>
            <w:r>
              <w:rPr>
                <w:sz w:val="21"/>
              </w:rPr>
              <w:t>）如厕：自己控制进行大小便；</w:t>
            </w:r>
          </w:p>
        </w:tc>
      </w:tr>
      <w:tr>
        <w:trPr>
          <w:trHeight w:val="312"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5</w:t>
            </w:r>
            <w:r>
              <w:rPr>
                <w:sz w:val="21"/>
              </w:rPr>
              <w:t>）进食：自己从已准备好的碗或碟中取食物放入口中；</w:t>
            </w:r>
          </w:p>
        </w:tc>
      </w:tr>
      <w:tr>
        <w:trPr>
          <w:trHeight w:val="467"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6</w:t>
            </w:r>
            <w:r>
              <w:rPr>
                <w:sz w:val="21"/>
              </w:rPr>
              <w:t>）洗澡：自己进行淋浴或盆浴。</w:t>
            </w:r>
          </w:p>
        </w:tc>
      </w:tr>
      <w:tr>
        <w:trPr>
          <w:trHeight w:val="468" w:hRule="atLeast"/>
        </w:trPr>
        <w:tc>
          <w:tcPr>
            <w:tcW w:w="765" w:type="dxa"/>
          </w:tcPr>
          <w:p>
            <w:pPr>
              <w:pStyle w:val="TableParagraph"/>
              <w:spacing w:before="181"/>
              <w:ind w:left="110"/>
              <w:rPr>
                <w:rFonts w:ascii="Times New Roman"/>
                <w:sz w:val="21"/>
              </w:rPr>
            </w:pPr>
            <w:r>
              <w:rPr>
                <w:rFonts w:ascii="Times New Roman"/>
                <w:sz w:val="21"/>
              </w:rPr>
              <w:t>11.3</w:t>
            </w:r>
          </w:p>
        </w:tc>
        <w:tc>
          <w:tcPr>
            <w:tcW w:w="2169" w:type="dxa"/>
          </w:tcPr>
          <w:p>
            <w:pPr>
              <w:pStyle w:val="TableParagraph"/>
              <w:spacing w:before="136"/>
              <w:ind w:left="296"/>
              <w:rPr>
                <w:b/>
                <w:sz w:val="21"/>
              </w:rPr>
            </w:pPr>
            <w:r>
              <w:rPr>
                <w:b/>
                <w:w w:val="95"/>
                <w:sz w:val="21"/>
              </w:rPr>
              <w:t>专科医生</w:t>
            </w:r>
          </w:p>
        </w:tc>
        <w:tc>
          <w:tcPr>
            <w:tcW w:w="6700" w:type="dxa"/>
          </w:tcPr>
          <w:p>
            <w:pPr>
              <w:pStyle w:val="TableParagraph"/>
              <w:spacing w:before="136"/>
              <w:ind w:left="110"/>
              <w:rPr>
                <w:sz w:val="21"/>
              </w:rPr>
            </w:pPr>
            <w:r>
              <w:rPr>
                <w:sz w:val="21"/>
              </w:rPr>
              <w:t>专科医生应当同时满足以下</w:t>
            </w:r>
            <w:r>
              <w:rPr>
                <w:rFonts w:ascii="Times New Roman" w:eastAsia="Times New Roman"/>
                <w:sz w:val="21"/>
              </w:rPr>
              <w:t>4</w:t>
            </w:r>
            <w:r>
              <w:rPr>
                <w:sz w:val="21"/>
              </w:rPr>
              <w:t>项资格条件：</w:t>
            </w:r>
          </w:p>
        </w:tc>
      </w:tr>
      <w:tr>
        <w:trPr>
          <w:trHeight w:val="311"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2</w:t>
            </w:r>
            <w:r>
              <w:rPr>
                <w:sz w:val="21"/>
              </w:rPr>
              <w:t>）具有有效的中华人民共和国《医师执业证书》，并按期到相关部</w:t>
            </w:r>
          </w:p>
        </w:tc>
      </w:tr>
      <w:tr>
        <w:trPr>
          <w:trHeight w:val="300"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50" w:lineRule="exact"/>
              <w:ind w:left="110"/>
              <w:rPr>
                <w:sz w:val="21"/>
              </w:rPr>
            </w:pPr>
            <w:r>
              <w:rPr>
                <w:sz w:val="21"/>
              </w:rPr>
              <w:t>门登记注册；</w:t>
            </w:r>
          </w:p>
        </w:tc>
      </w:tr>
      <w:tr>
        <w:trPr>
          <w:trHeight w:val="323"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7" w:lineRule="exact"/>
              <w:ind w:left="110"/>
              <w:rPr>
                <w:sz w:val="21"/>
              </w:rPr>
            </w:pPr>
            <w:r>
              <w:rPr>
                <w:sz w:val="21"/>
              </w:rPr>
              <w:t>（</w:t>
            </w:r>
            <w:r>
              <w:rPr>
                <w:rFonts w:ascii="Times New Roman" w:eastAsia="Times New Roman"/>
                <w:sz w:val="21"/>
              </w:rPr>
              <w:t>3</w:t>
            </w:r>
            <w:r>
              <w:rPr>
                <w:sz w:val="21"/>
              </w:rPr>
              <w:t>）具有有效的中华人民共和国主治医师或主治医师以上职称的《医</w:t>
            </w:r>
          </w:p>
        </w:tc>
      </w:tr>
      <w:tr>
        <w:trPr>
          <w:trHeight w:val="300"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50" w:lineRule="exact"/>
              <w:ind w:left="110"/>
              <w:rPr>
                <w:sz w:val="21"/>
              </w:rPr>
            </w:pPr>
            <w:r>
              <w:rPr>
                <w:sz w:val="21"/>
              </w:rPr>
              <w:t>师职称证书》；</w:t>
            </w:r>
          </w:p>
        </w:tc>
      </w:tr>
      <w:tr>
        <w:trPr>
          <w:trHeight w:val="473"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7" w:lineRule="exact"/>
              <w:ind w:left="110"/>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68" w:hRule="atLeast"/>
        </w:trPr>
        <w:tc>
          <w:tcPr>
            <w:tcW w:w="765" w:type="dxa"/>
          </w:tcPr>
          <w:p>
            <w:pPr>
              <w:pStyle w:val="TableParagraph"/>
              <w:spacing w:before="181"/>
              <w:ind w:left="110"/>
              <w:rPr>
                <w:rFonts w:ascii="Times New Roman"/>
                <w:sz w:val="21"/>
              </w:rPr>
            </w:pPr>
            <w:r>
              <w:rPr>
                <w:rFonts w:ascii="Times New Roman"/>
                <w:sz w:val="21"/>
              </w:rPr>
              <w:t>11.4</w:t>
            </w:r>
          </w:p>
        </w:tc>
        <w:tc>
          <w:tcPr>
            <w:tcW w:w="2169" w:type="dxa"/>
          </w:tcPr>
          <w:p>
            <w:pPr>
              <w:pStyle w:val="TableParagraph"/>
              <w:spacing w:before="136"/>
              <w:ind w:left="296"/>
              <w:rPr>
                <w:b/>
                <w:sz w:val="21"/>
              </w:rPr>
            </w:pPr>
            <w:r>
              <w:rPr>
                <w:b/>
                <w:sz w:val="21"/>
              </w:rPr>
              <w:t>六项基本日常生活</w:t>
            </w:r>
          </w:p>
        </w:tc>
        <w:tc>
          <w:tcPr>
            <w:tcW w:w="6700" w:type="dxa"/>
          </w:tcPr>
          <w:p>
            <w:pPr>
              <w:pStyle w:val="TableParagraph"/>
              <w:spacing w:before="136"/>
              <w:ind w:left="110"/>
              <w:rPr>
                <w:sz w:val="21"/>
              </w:rPr>
            </w:pPr>
            <w:r>
              <w:rPr>
                <w:sz w:val="21"/>
              </w:rPr>
              <w:t>六项基本日常生活活动是指：</w:t>
            </w:r>
          </w:p>
        </w:tc>
      </w:tr>
      <w:tr>
        <w:trPr>
          <w:trHeight w:val="311" w:hRule="atLeast"/>
        </w:trPr>
        <w:tc>
          <w:tcPr>
            <w:tcW w:w="765" w:type="dxa"/>
          </w:tcPr>
          <w:p>
            <w:pPr>
              <w:pStyle w:val="TableParagraph"/>
              <w:rPr>
                <w:rFonts w:ascii="Times New Roman"/>
                <w:sz w:val="20"/>
              </w:rPr>
            </w:pPr>
          </w:p>
        </w:tc>
        <w:tc>
          <w:tcPr>
            <w:tcW w:w="2169" w:type="dxa"/>
          </w:tcPr>
          <w:p>
            <w:pPr>
              <w:pStyle w:val="TableParagraph"/>
              <w:spacing w:line="255" w:lineRule="exact"/>
              <w:ind w:left="296"/>
              <w:rPr>
                <w:b/>
                <w:sz w:val="21"/>
              </w:rPr>
            </w:pPr>
            <w:r>
              <w:rPr>
                <w:b/>
                <w:w w:val="95"/>
                <w:sz w:val="21"/>
              </w:rPr>
              <w:t>活动</w:t>
            </w:r>
          </w:p>
        </w:tc>
        <w:tc>
          <w:tcPr>
            <w:tcW w:w="6700" w:type="dxa"/>
          </w:tcPr>
          <w:p>
            <w:pPr>
              <w:pStyle w:val="TableParagraph"/>
              <w:spacing w:line="271" w:lineRule="exact"/>
              <w:ind w:left="110"/>
              <w:rPr>
                <w:sz w:val="21"/>
              </w:rPr>
            </w:pPr>
            <w:r>
              <w:rPr>
                <w:sz w:val="21"/>
              </w:rPr>
              <w:t>（</w:t>
            </w:r>
            <w:r>
              <w:rPr>
                <w:rFonts w:ascii="Times New Roman" w:eastAsia="Times New Roman"/>
                <w:sz w:val="21"/>
              </w:rPr>
              <w:t>1</w:t>
            </w:r>
            <w:r>
              <w:rPr>
                <w:sz w:val="21"/>
              </w:rPr>
              <w:t>）穿衣：自己能够穿衣及脱衣；</w:t>
            </w:r>
          </w:p>
        </w:tc>
      </w:tr>
      <w:tr>
        <w:trPr>
          <w:trHeight w:val="312"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2</w:t>
            </w:r>
            <w:r>
              <w:rPr>
                <w:sz w:val="21"/>
              </w:rPr>
              <w:t>）移动：自己从一个房间到另一个房间；</w:t>
            </w:r>
          </w:p>
        </w:tc>
      </w:tr>
      <w:tr>
        <w:trPr>
          <w:trHeight w:val="311"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3</w:t>
            </w:r>
            <w:r>
              <w:rPr>
                <w:sz w:val="21"/>
              </w:rPr>
              <w:t>）行动：自己上下床或上下轮椅；</w:t>
            </w:r>
          </w:p>
        </w:tc>
      </w:tr>
      <w:tr>
        <w:trPr>
          <w:trHeight w:val="311"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4</w:t>
            </w:r>
            <w:r>
              <w:rPr>
                <w:sz w:val="21"/>
              </w:rPr>
              <w:t>）如厕：自己控制进行大小便；</w:t>
            </w:r>
          </w:p>
        </w:tc>
      </w:tr>
      <w:tr>
        <w:trPr>
          <w:trHeight w:val="311"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71" w:lineRule="exact"/>
              <w:ind w:left="110"/>
              <w:rPr>
                <w:sz w:val="21"/>
              </w:rPr>
            </w:pPr>
            <w:r>
              <w:rPr>
                <w:sz w:val="21"/>
              </w:rPr>
              <w:t>（</w:t>
            </w:r>
            <w:r>
              <w:rPr>
                <w:rFonts w:ascii="Times New Roman" w:eastAsia="Times New Roman"/>
                <w:sz w:val="21"/>
              </w:rPr>
              <w:t>5</w:t>
            </w:r>
            <w:r>
              <w:rPr>
                <w:sz w:val="21"/>
              </w:rPr>
              <w:t>）进食：自己从已准备好的碗或碟中取食物放入口中；</w:t>
            </w:r>
          </w:p>
        </w:tc>
      </w:tr>
      <w:tr>
        <w:trPr>
          <w:trHeight w:val="272" w:hRule="atLeast"/>
        </w:trPr>
        <w:tc>
          <w:tcPr>
            <w:tcW w:w="765" w:type="dxa"/>
          </w:tcPr>
          <w:p>
            <w:pPr>
              <w:pStyle w:val="TableParagraph"/>
              <w:rPr>
                <w:rFonts w:ascii="Times New Roman"/>
                <w:sz w:val="20"/>
              </w:rPr>
            </w:pPr>
          </w:p>
        </w:tc>
        <w:tc>
          <w:tcPr>
            <w:tcW w:w="2169" w:type="dxa"/>
          </w:tcPr>
          <w:p>
            <w:pPr>
              <w:pStyle w:val="TableParagraph"/>
              <w:rPr>
                <w:rFonts w:ascii="Times New Roman"/>
                <w:sz w:val="20"/>
              </w:rPr>
            </w:pPr>
          </w:p>
        </w:tc>
        <w:tc>
          <w:tcPr>
            <w:tcW w:w="6700" w:type="dxa"/>
          </w:tcPr>
          <w:p>
            <w:pPr>
              <w:pStyle w:val="TableParagraph"/>
              <w:spacing w:line="252" w:lineRule="exact"/>
              <w:ind w:left="110"/>
              <w:rPr>
                <w:sz w:val="21"/>
              </w:rPr>
            </w:pPr>
            <w:r>
              <w:rPr>
                <w:sz w:val="21"/>
              </w:rPr>
              <w:t>（</w:t>
            </w:r>
            <w:r>
              <w:rPr>
                <w:rFonts w:ascii="Times New Roman" w:eastAsia="Times New Roman"/>
                <w:sz w:val="21"/>
              </w:rPr>
              <w:t>6</w:t>
            </w:r>
            <w:r>
              <w:rPr>
                <w:sz w:val="21"/>
              </w:rPr>
              <w:t>）洗澡：自己进行淋浴或盆浴。</w:t>
            </w:r>
          </w:p>
        </w:tc>
      </w:tr>
    </w:tbl>
    <w:p>
      <w:pPr>
        <w:spacing w:after="0" w:line="252" w:lineRule="exact"/>
        <w:rPr>
          <w:sz w:val="21"/>
        </w:rPr>
        <w:sectPr>
          <w:pgSz w:w="11900" w:h="16840"/>
          <w:pgMar w:header="0" w:footer="866" w:top="1220" w:bottom="1060" w:left="680" w:right="1360"/>
        </w:sectPr>
      </w:pPr>
    </w:p>
    <w:p>
      <w:pPr>
        <w:pStyle w:val="ListParagraph"/>
        <w:numPr>
          <w:ilvl w:val="1"/>
          <w:numId w:val="6"/>
        </w:numPr>
        <w:tabs>
          <w:tab w:pos="1051" w:val="left" w:leader="none"/>
          <w:tab w:pos="1052" w:val="left" w:leader="none"/>
          <w:tab w:pos="3035" w:val="left" w:leader="none"/>
        </w:tabs>
        <w:spacing w:line="240" w:lineRule="auto" w:before="22" w:after="0"/>
        <w:ind w:left="1052" w:right="0" w:hanging="950"/>
        <w:jc w:val="left"/>
        <w:rPr>
          <w:sz w:val="21"/>
        </w:rPr>
      </w:pPr>
      <w:r>
        <w:rPr>
          <w:b/>
          <w:sz w:val="21"/>
        </w:rPr>
        <w:t>肢体机能完全丧失</w:t>
        <w:tab/>
      </w:r>
      <w:r>
        <w:rPr>
          <w:sz w:val="21"/>
        </w:rPr>
        <w:t>肢体机能完全丧失指肢体的三大关节中的两大关节僵硬，或不能随意</w:t>
      </w:r>
    </w:p>
    <w:p>
      <w:pPr>
        <w:pStyle w:val="BodyText"/>
        <w:spacing w:before="30"/>
        <w:ind w:left="3036"/>
      </w:pPr>
      <w:r>
        <w:rPr/>
        <w:t>识活动。肢体是指包括肩关节的整个上肢或包括髋关节的整个下肢。</w:t>
      </w:r>
    </w:p>
    <w:p>
      <w:pPr>
        <w:pStyle w:val="BodyText"/>
        <w:spacing w:before="12"/>
        <w:rPr>
          <w:sz w:val="22"/>
        </w:rPr>
      </w:pPr>
    </w:p>
    <w:p>
      <w:pPr>
        <w:spacing w:after="0"/>
        <w:rPr>
          <w:sz w:val="22"/>
        </w:rPr>
        <w:sectPr>
          <w:pgSz w:w="11900" w:h="16840"/>
          <w:pgMar w:header="0" w:footer="866" w:top="1480" w:bottom="1060" w:left="1360" w:right="880"/>
        </w:sectPr>
      </w:pPr>
    </w:p>
    <w:p>
      <w:pPr>
        <w:pStyle w:val="Heading3"/>
        <w:numPr>
          <w:ilvl w:val="1"/>
          <w:numId w:val="6"/>
        </w:numPr>
        <w:tabs>
          <w:tab w:pos="1051" w:val="left" w:leader="none"/>
          <w:tab w:pos="1052" w:val="left" w:leader="none"/>
        </w:tabs>
        <w:spacing w:line="266" w:lineRule="auto" w:before="48" w:after="0"/>
        <w:ind w:left="1052" w:right="0" w:hanging="950"/>
        <w:jc w:val="left"/>
      </w:pPr>
      <w:r>
        <w:rPr>
          <w:spacing w:val="7"/>
        </w:rPr>
        <w:t>语言能力或咀嚼吞</w:t>
      </w:r>
      <w:r>
        <w:rPr>
          <w:spacing w:val="7"/>
          <w:w w:val="95"/>
        </w:rPr>
        <w:t>咽能力完全丧失</w:t>
      </w:r>
    </w:p>
    <w:p>
      <w:pPr>
        <w:pStyle w:val="BodyText"/>
        <w:spacing w:line="273" w:lineRule="auto" w:before="48"/>
        <w:ind w:left="101" w:right="239"/>
      </w:pPr>
      <w:r>
        <w:rPr/>
        <w:br w:type="column"/>
      </w:r>
      <w:r>
        <w:rPr/>
        <w:t>语言能力完全丧失，指无法发出四种语音（</w:t>
      </w:r>
      <w:r>
        <w:rPr>
          <w:spacing w:val="-12"/>
        </w:rPr>
        <w:t>包括口唇音、齿舌音、口盖音和喉头音）中的任何三种、或声带全部切除，或因大脑语言中枢受伤害而患失语症。</w:t>
      </w:r>
    </w:p>
    <w:p>
      <w:pPr>
        <w:pStyle w:val="BodyText"/>
        <w:spacing w:line="273" w:lineRule="auto" w:before="7"/>
        <w:ind w:left="101" w:right="113"/>
      </w:pPr>
      <w:r>
        <w:rPr/>
        <w:t>咀嚼吞咽能力完全丧失，指因牙齿以外的原因导致器质障碍或机能障 碍，以致不能作咀嚼吞咽运动，除流质食物外不能摄取或吞咽的状态。</w:t>
      </w:r>
    </w:p>
    <w:p>
      <w:pPr>
        <w:spacing w:after="0" w:line="273" w:lineRule="auto"/>
        <w:sectPr>
          <w:type w:val="continuous"/>
          <w:pgSz w:w="11900" w:h="16840"/>
          <w:pgMar w:top="60" w:bottom="280" w:left="1360" w:right="880"/>
          <w:cols w:num="2" w:equalWidth="0">
            <w:col w:w="2816" w:space="118"/>
            <w:col w:w="6726"/>
          </w:cols>
        </w:sectPr>
      </w:pPr>
    </w:p>
    <w:p>
      <w:pPr>
        <w:pStyle w:val="BodyText"/>
        <w:spacing w:before="10"/>
        <w:rPr>
          <w:sz w:val="20"/>
        </w:rPr>
      </w:pPr>
    </w:p>
    <w:p>
      <w:pPr>
        <w:pStyle w:val="ListParagraph"/>
        <w:numPr>
          <w:ilvl w:val="1"/>
          <w:numId w:val="6"/>
        </w:numPr>
        <w:tabs>
          <w:tab w:pos="1051" w:val="left" w:leader="none"/>
          <w:tab w:pos="1052" w:val="left" w:leader="none"/>
          <w:tab w:pos="3035" w:val="left" w:leader="none"/>
        </w:tabs>
        <w:spacing w:line="240" w:lineRule="auto" w:before="48" w:after="0"/>
        <w:ind w:left="1052" w:right="0" w:hanging="950"/>
        <w:jc w:val="left"/>
        <w:rPr>
          <w:rFonts w:ascii="Times New Roman" w:eastAsia="Times New Roman"/>
          <w:sz w:val="21"/>
        </w:rPr>
      </w:pPr>
      <w:r>
        <w:rPr>
          <w:b/>
          <w:sz w:val="21"/>
        </w:rPr>
        <w:t>永久不可逆</w:t>
        <w:tab/>
      </w:r>
      <w:r>
        <w:rPr>
          <w:spacing w:val="-1"/>
          <w:sz w:val="21"/>
        </w:rPr>
        <w:t>永久</w:t>
      </w:r>
      <w:r>
        <w:rPr>
          <w:sz w:val="21"/>
        </w:rPr>
        <w:t>不可逆指自疾病确诊或意外伤害发生之日起，经过积极治疗</w:t>
      </w:r>
      <w:r>
        <w:rPr>
          <w:rFonts w:ascii="Times New Roman" w:eastAsia="Times New Roman"/>
          <w:position w:val="1"/>
          <w:sz w:val="21"/>
        </w:rPr>
        <w:t>180</w:t>
      </w:r>
    </w:p>
    <w:p>
      <w:pPr>
        <w:pStyle w:val="BodyText"/>
        <w:spacing w:before="31"/>
        <w:ind w:left="3036"/>
      </w:pPr>
      <w:r>
        <w:rPr/>
        <w:t>天后，仍无法通过现有医疗手段恢复。</w:t>
      </w:r>
    </w:p>
    <w:p>
      <w:pPr>
        <w:pStyle w:val="BodyText"/>
        <w:rPr>
          <w:sz w:val="23"/>
        </w:rPr>
      </w:pPr>
    </w:p>
    <w:p>
      <w:pPr>
        <w:spacing w:after="0"/>
        <w:rPr>
          <w:sz w:val="23"/>
        </w:rPr>
        <w:sectPr>
          <w:type w:val="continuous"/>
          <w:pgSz w:w="11900" w:h="16840"/>
          <w:pgMar w:top="60" w:bottom="280" w:left="1360" w:right="880"/>
        </w:sectPr>
      </w:pPr>
    </w:p>
    <w:p>
      <w:pPr>
        <w:pStyle w:val="Heading3"/>
        <w:numPr>
          <w:ilvl w:val="1"/>
          <w:numId w:val="6"/>
        </w:numPr>
        <w:tabs>
          <w:tab w:pos="1051" w:val="left" w:leader="none"/>
          <w:tab w:pos="1052" w:val="left" w:leader="none"/>
        </w:tabs>
        <w:spacing w:line="266" w:lineRule="auto" w:before="48" w:after="0"/>
        <w:ind w:left="1052" w:right="0" w:hanging="950"/>
        <w:jc w:val="left"/>
      </w:pPr>
      <w:r>
        <w:rPr>
          <w:spacing w:val="7"/>
        </w:rPr>
        <w:t>感染艾滋病病毒或</w:t>
      </w:r>
      <w:r>
        <w:rPr>
          <w:spacing w:val="7"/>
          <w:w w:val="95"/>
        </w:rPr>
        <w:t>患艾滋病</w:t>
      </w:r>
    </w:p>
    <w:p>
      <w:pPr>
        <w:pStyle w:val="BodyText"/>
        <w:spacing w:before="48"/>
        <w:ind w:left="101"/>
      </w:pPr>
      <w:r>
        <w:rPr/>
        <w:br w:type="column"/>
      </w:r>
      <w:r>
        <w:rPr/>
        <w:t>艾滋病病毒指人类免疫缺陷病毒，英文缩写为</w:t>
      </w:r>
      <w:r>
        <w:rPr>
          <w:rFonts w:ascii="Times New Roman" w:eastAsia="Times New Roman"/>
          <w:position w:val="1"/>
        </w:rPr>
        <w:t>HIV</w:t>
      </w:r>
      <w:r>
        <w:rPr/>
        <w:t>。艾滋病指人类免疫</w:t>
      </w:r>
    </w:p>
    <w:p>
      <w:pPr>
        <w:pStyle w:val="BodyText"/>
        <w:spacing w:before="31"/>
        <w:ind w:left="101"/>
      </w:pPr>
      <w:r>
        <w:rPr/>
        <w:t>缺陷病毒引起的获得性免疫缺陷综合征，英文缩写为</w:t>
      </w:r>
      <w:r>
        <w:rPr>
          <w:rFonts w:ascii="Times New Roman" w:eastAsia="Times New Roman"/>
          <w:position w:val="1"/>
        </w:rPr>
        <w:t>AIDS</w:t>
      </w:r>
      <w:r>
        <w:rPr/>
        <w:t>。</w:t>
      </w:r>
    </w:p>
    <w:p>
      <w:pPr>
        <w:pStyle w:val="BodyText"/>
        <w:spacing w:line="273" w:lineRule="auto" w:before="31"/>
        <w:ind w:left="101" w:right="323"/>
        <w:jc w:val="both"/>
      </w:pPr>
      <w:r>
        <w:rPr/>
        <w:t>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00" w:h="16840"/>
          <w:pgMar w:top="60" w:bottom="280" w:left="1360" w:right="880"/>
          <w:cols w:num="2" w:equalWidth="0">
            <w:col w:w="2817" w:space="117"/>
            <w:col w:w="6726"/>
          </w:cols>
        </w:sectPr>
      </w:pPr>
    </w:p>
    <w:p>
      <w:pPr>
        <w:pStyle w:val="BodyText"/>
        <w:spacing w:before="10"/>
        <w:rPr>
          <w:sz w:val="20"/>
        </w:rPr>
      </w:pPr>
    </w:p>
    <w:p>
      <w:pPr>
        <w:pStyle w:val="ListParagraph"/>
        <w:numPr>
          <w:ilvl w:val="1"/>
          <w:numId w:val="6"/>
        </w:numPr>
        <w:tabs>
          <w:tab w:pos="1051" w:val="left" w:leader="none"/>
          <w:tab w:pos="1052" w:val="left" w:leader="none"/>
          <w:tab w:pos="3035" w:val="left" w:leader="none"/>
        </w:tabs>
        <w:spacing w:line="240" w:lineRule="auto" w:before="48" w:after="0"/>
        <w:ind w:left="1052" w:right="0" w:hanging="950"/>
        <w:jc w:val="left"/>
        <w:rPr>
          <w:sz w:val="21"/>
        </w:rPr>
      </w:pPr>
      <w:r>
        <w:rPr>
          <w:b/>
          <w:sz w:val="21"/>
        </w:rPr>
        <w:t>遗传性疾病</w:t>
        <w:tab/>
      </w:r>
      <w:r>
        <w:rPr>
          <w:sz w:val="21"/>
        </w:rPr>
        <w:t>遗传性疾病指生殖细胞或受精卵的遗传物质（染色体和基因）发生突</w:t>
      </w:r>
    </w:p>
    <w:p>
      <w:pPr>
        <w:pStyle w:val="BodyText"/>
        <w:spacing w:before="31"/>
        <w:ind w:left="3036"/>
      </w:pPr>
      <w:r>
        <w:rPr/>
        <w:t>变或畸变所引起的疾病，通常具有由亲代传至后代的垂直传递的特征。</w:t>
      </w:r>
    </w:p>
    <w:p>
      <w:pPr>
        <w:pStyle w:val="BodyText"/>
        <w:rPr>
          <w:sz w:val="23"/>
        </w:rPr>
      </w:pPr>
    </w:p>
    <w:p>
      <w:pPr>
        <w:spacing w:after="0"/>
        <w:rPr>
          <w:sz w:val="23"/>
        </w:rPr>
        <w:sectPr>
          <w:type w:val="continuous"/>
          <w:pgSz w:w="11900" w:h="16840"/>
          <w:pgMar w:top="60" w:bottom="280" w:left="1360" w:right="880"/>
        </w:sectPr>
      </w:pPr>
    </w:p>
    <w:p>
      <w:pPr>
        <w:pStyle w:val="Heading3"/>
        <w:numPr>
          <w:ilvl w:val="1"/>
          <w:numId w:val="6"/>
        </w:numPr>
        <w:tabs>
          <w:tab w:pos="1051" w:val="left" w:leader="none"/>
          <w:tab w:pos="1052" w:val="left" w:leader="none"/>
        </w:tabs>
        <w:spacing w:line="240" w:lineRule="auto" w:before="48" w:after="0"/>
        <w:ind w:left="1052" w:right="0" w:hanging="950"/>
        <w:jc w:val="left"/>
      </w:pPr>
      <w:r>
        <w:rPr>
          <w:spacing w:val="7"/>
        </w:rPr>
        <w:t>先天性畸形、变形</w:t>
      </w:r>
    </w:p>
    <w:p>
      <w:pPr>
        <w:spacing w:before="31"/>
        <w:ind w:left="1051" w:right="0" w:firstLine="0"/>
        <w:jc w:val="left"/>
        <w:rPr>
          <w:b/>
          <w:sz w:val="21"/>
        </w:rPr>
      </w:pPr>
      <w:r>
        <w:rPr>
          <w:b/>
          <w:w w:val="95"/>
          <w:sz w:val="21"/>
        </w:rPr>
        <w:t>或染色体异常</w:t>
      </w:r>
    </w:p>
    <w:p>
      <w:pPr>
        <w:pStyle w:val="BodyText"/>
        <w:spacing w:line="273" w:lineRule="auto" w:before="48"/>
        <w:ind w:left="101" w:right="239"/>
        <w:jc w:val="both"/>
      </w:pPr>
      <w:r>
        <w:rPr/>
        <w:br w:type="column"/>
      </w:r>
      <w:r>
        <w:rPr>
          <w:spacing w:val="-10"/>
        </w:rPr>
        <w:t>先天性畸形、变形或染色体异常指被保险人出生时就具有的畸形、变形</w:t>
      </w:r>
      <w:r>
        <w:rPr>
          <w:spacing w:val="-14"/>
        </w:rPr>
        <w:t>或染色体异常。先天性畸形、变形和染色体异常依照世界卫生组织《疾</w:t>
      </w:r>
      <w:r>
        <w:rPr>
          <w:spacing w:val="-1"/>
        </w:rPr>
        <w:t>病和有关健康问题的国际统计分类》</w:t>
      </w:r>
      <w:r>
        <w:rPr/>
        <w:t>（</w:t>
      </w:r>
      <w:r>
        <w:rPr>
          <w:rFonts w:ascii="Times New Roman" w:eastAsia="Times New Roman"/>
          <w:position w:val="1"/>
        </w:rPr>
        <w:t>ICD-10</w:t>
      </w:r>
      <w:r>
        <w:rPr/>
        <w:t>）确定。</w:t>
      </w:r>
    </w:p>
    <w:p>
      <w:pPr>
        <w:spacing w:after="0" w:line="273" w:lineRule="auto"/>
        <w:jc w:val="both"/>
        <w:sectPr>
          <w:type w:val="continuous"/>
          <w:pgSz w:w="11900" w:h="16840"/>
          <w:pgMar w:top="60" w:bottom="280" w:left="1360" w:right="880"/>
          <w:cols w:num="2" w:equalWidth="0">
            <w:col w:w="2816" w:space="118"/>
            <w:col w:w="6726"/>
          </w:cols>
        </w:sectPr>
      </w:pPr>
    </w:p>
    <w:p>
      <w:pPr>
        <w:pStyle w:val="BodyText"/>
        <w:spacing w:before="1"/>
        <w:rPr>
          <w:sz w:val="20"/>
        </w:rPr>
      </w:pPr>
    </w:p>
    <w:p>
      <w:pPr>
        <w:pStyle w:val="ListParagraph"/>
        <w:numPr>
          <w:ilvl w:val="1"/>
          <w:numId w:val="6"/>
        </w:numPr>
        <w:tabs>
          <w:tab w:pos="1051" w:val="left" w:leader="none"/>
          <w:tab w:pos="1052" w:val="left" w:leader="none"/>
          <w:tab w:pos="3035" w:val="left" w:leader="none"/>
        </w:tabs>
        <w:spacing w:line="240" w:lineRule="auto" w:before="48" w:after="0"/>
        <w:ind w:left="1052" w:right="0" w:hanging="950"/>
        <w:jc w:val="left"/>
        <w:rPr>
          <w:sz w:val="21"/>
        </w:rPr>
      </w:pPr>
      <w:r>
        <w:rPr>
          <w:b/>
          <w:sz w:val="21"/>
        </w:rPr>
        <w:t>医院</w:t>
        <w:tab/>
      </w:r>
      <w:r>
        <w:rPr>
          <w:sz w:val="21"/>
        </w:rPr>
        <w:t>指具备由政府卫生行政管理部门颁发的、合法有效的医疗机构执业许</w:t>
      </w:r>
    </w:p>
    <w:p>
      <w:pPr>
        <w:pStyle w:val="BodyText"/>
        <w:spacing w:before="31"/>
        <w:ind w:left="3036"/>
      </w:pPr>
      <w:r>
        <w:rPr/>
        <w:t>可证并符合下列条件之一的医疗机构：</w:t>
      </w:r>
    </w:p>
    <w:p>
      <w:pPr>
        <w:pStyle w:val="BodyText"/>
        <w:spacing w:line="266" w:lineRule="auto" w:before="37"/>
        <w:ind w:left="3036" w:right="239"/>
        <w:jc w:val="both"/>
      </w:pPr>
      <w:r>
        <w:rPr>
          <w:spacing w:val="-1"/>
        </w:rPr>
        <w:t>（</w:t>
      </w:r>
      <w:r>
        <w:rPr>
          <w:rFonts w:ascii="Times New Roman" w:eastAsia="Times New Roman"/>
          <w:spacing w:val="-1"/>
          <w:position w:val="1"/>
        </w:rPr>
        <w:t>1</w:t>
      </w:r>
      <w:r>
        <w:rPr>
          <w:spacing w:val="-1"/>
        </w:rPr>
        <w:t>）</w:t>
      </w:r>
      <w:r>
        <w:rPr>
          <w:spacing w:val="-2"/>
        </w:rPr>
        <w:t>二级或二级以上的医院、二级或二级以上的妇幼保健院、住院床</w:t>
      </w:r>
      <w:r>
        <w:rPr>
          <w:spacing w:val="-1"/>
        </w:rPr>
        <w:t>位在</w:t>
      </w:r>
      <w:r>
        <w:rPr>
          <w:rFonts w:ascii="Times New Roman" w:eastAsia="Times New Roman"/>
          <w:position w:val="1"/>
        </w:rPr>
        <w:t>100</w:t>
      </w:r>
      <w:r>
        <w:rPr>
          <w:spacing w:val="-2"/>
        </w:rPr>
        <w:t>张及以上的医院，但不包括精神病医院、皮肤病医院、整形外科医院、美容医院、康复医院和疗养院。</w:t>
      </w:r>
    </w:p>
    <w:p>
      <w:pPr>
        <w:pStyle w:val="BodyText"/>
        <w:spacing w:line="266" w:lineRule="auto" w:before="14"/>
        <w:ind w:left="3036" w:right="239"/>
        <w:jc w:val="both"/>
      </w:pPr>
      <w:r>
        <w:rPr/>
        <w:t>（</w:t>
      </w:r>
      <w:r>
        <w:rPr>
          <w:rFonts w:ascii="Times New Roman" w:eastAsia="Times New Roman"/>
          <w:position w:val="1"/>
        </w:rPr>
        <w:t>2</w:t>
      </w:r>
      <w:r>
        <w:rPr/>
        <w:t>）</w:t>
      </w:r>
      <w:r>
        <w:rPr>
          <w:spacing w:val="-4"/>
        </w:rPr>
        <w:t>本公司认可的、为受伤者和患病者提供全日</w:t>
      </w:r>
      <w:r>
        <w:rPr>
          <w:rFonts w:ascii="Times New Roman" w:eastAsia="Times New Roman"/>
          <w:position w:val="1"/>
        </w:rPr>
        <w:t>24</w:t>
      </w:r>
      <w:r>
        <w:rPr/>
        <w:t>小时诊断和治疗服务的医疗机构。</w:t>
      </w:r>
    </w:p>
    <w:p>
      <w:pPr>
        <w:pStyle w:val="BodyText"/>
        <w:spacing w:before="11"/>
        <w:rPr>
          <w:sz w:val="24"/>
        </w:rPr>
      </w:pPr>
    </w:p>
    <w:p>
      <w:pPr>
        <w:pStyle w:val="ListParagraph"/>
        <w:numPr>
          <w:ilvl w:val="1"/>
          <w:numId w:val="6"/>
        </w:numPr>
        <w:tabs>
          <w:tab w:pos="1051" w:val="left" w:leader="none"/>
          <w:tab w:pos="1052" w:val="left" w:leader="none"/>
          <w:tab w:pos="3035" w:val="left" w:leader="none"/>
        </w:tabs>
        <w:spacing w:line="240" w:lineRule="auto" w:before="0" w:after="0"/>
        <w:ind w:left="1052" w:right="0" w:hanging="950"/>
        <w:jc w:val="left"/>
        <w:rPr>
          <w:sz w:val="21"/>
        </w:rPr>
      </w:pPr>
      <w:r>
        <w:rPr>
          <w:b/>
          <w:sz w:val="21"/>
        </w:rPr>
        <w:t>风险保险费</w:t>
        <w:tab/>
      </w:r>
      <w:r>
        <w:rPr>
          <w:sz w:val="21"/>
        </w:rPr>
        <w:t>我们为承担本附加合同保险责任所收取的保障费用。</w:t>
      </w:r>
    </w:p>
    <w:p>
      <w:pPr>
        <w:pStyle w:val="BodyText"/>
        <w:rPr>
          <w:sz w:val="22"/>
        </w:rPr>
      </w:pPr>
    </w:p>
    <w:p>
      <w:pPr>
        <w:pStyle w:val="BodyText"/>
        <w:rPr>
          <w:sz w:val="22"/>
        </w:rPr>
      </w:pPr>
    </w:p>
    <w:p>
      <w:pPr>
        <w:pStyle w:val="BodyText"/>
        <w:spacing w:before="11"/>
        <w:rPr>
          <w:sz w:val="29"/>
        </w:rPr>
      </w:pPr>
    </w:p>
    <w:p>
      <w:pPr>
        <w:pStyle w:val="BodyText"/>
        <w:ind w:left="4544" w:right="4446"/>
        <w:jc w:val="center"/>
      </w:pPr>
      <w:r>
        <w:rPr/>
        <w:t>（完）</w:t>
      </w:r>
    </w:p>
    <w:p>
      <w:pPr>
        <w:spacing w:after="0"/>
        <w:jc w:val="center"/>
        <w:sectPr>
          <w:type w:val="continuous"/>
          <w:pgSz w:w="11900" w:h="16840"/>
          <w:pgMar w:top="60" w:bottom="280" w:left="1360" w:right="880"/>
        </w:sectPr>
      </w:pPr>
    </w:p>
    <w:p>
      <w:pPr>
        <w:pStyle w:val="BodyText"/>
        <w:spacing w:before="9"/>
        <w:rPr>
          <w:sz w:val="13"/>
        </w:rPr>
      </w:pPr>
    </w:p>
    <w:p>
      <w:pPr>
        <w:pStyle w:val="BodyText"/>
        <w:spacing w:before="35"/>
        <w:ind w:left="3342" w:right="3897"/>
        <w:jc w:val="center"/>
      </w:pPr>
      <w:r>
        <w:rPr/>
        <w:t>（此页空白）</w:t>
      </w:r>
    </w:p>
    <w:sectPr>
      <w:pgSz w:w="11900" w:h="16840"/>
      <w:pgMar w:header="0" w:footer="866" w:top="1600" w:bottom="10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00006pt;margin-top:787.706238pt;width:14pt;height:12pt;mso-position-horizontal-relative:page;mso-position-vertical-relative:page;z-index:-41416"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899994pt;margin-top:787.706238pt;width:14pt;height:12pt;mso-position-horizontal-relative:page;mso-position-vertical-relative:page;z-index:-41392"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1"/>
      <w:numFmt w:val="decimal"/>
      <w:lvlText w:val="%1"/>
      <w:lvlJc w:val="left"/>
      <w:pPr>
        <w:ind w:left="1052" w:hanging="950"/>
        <w:jc w:val="left"/>
      </w:pPr>
      <w:rPr>
        <w:rFonts w:hint="default"/>
      </w:rPr>
    </w:lvl>
    <w:lvl w:ilvl="1">
      <w:start w:val="5"/>
      <w:numFmt w:val="decimal"/>
      <w:lvlText w:val="%1.%2"/>
      <w:lvlJc w:val="left"/>
      <w:pPr>
        <w:ind w:left="1052" w:hanging="950"/>
        <w:jc w:val="left"/>
      </w:pPr>
      <w:rPr>
        <w:rFonts w:hint="default" w:ascii="Times New Roman" w:hAnsi="Times New Roman" w:eastAsia="Times New Roman" w:cs="Times New Roman"/>
        <w:spacing w:val="-7"/>
        <w:w w:val="99"/>
        <w:position w:val="1"/>
        <w:sz w:val="21"/>
        <w:szCs w:val="21"/>
      </w:rPr>
    </w:lvl>
    <w:lvl w:ilvl="2">
      <w:start w:val="0"/>
      <w:numFmt w:val="bullet"/>
      <w:lvlText w:val="•"/>
      <w:lvlJc w:val="left"/>
      <w:pPr>
        <w:ind w:left="2780" w:hanging="950"/>
      </w:pPr>
      <w:rPr>
        <w:rFonts w:hint="default"/>
      </w:rPr>
    </w:lvl>
    <w:lvl w:ilvl="3">
      <w:start w:val="0"/>
      <w:numFmt w:val="bullet"/>
      <w:lvlText w:val="•"/>
      <w:lvlJc w:val="left"/>
      <w:pPr>
        <w:ind w:left="3640" w:hanging="950"/>
      </w:pPr>
      <w:rPr>
        <w:rFonts w:hint="default"/>
      </w:rPr>
    </w:lvl>
    <w:lvl w:ilvl="4">
      <w:start w:val="0"/>
      <w:numFmt w:val="bullet"/>
      <w:lvlText w:val="•"/>
      <w:lvlJc w:val="left"/>
      <w:pPr>
        <w:ind w:left="4500" w:hanging="950"/>
      </w:pPr>
      <w:rPr>
        <w:rFonts w:hint="default"/>
      </w:rPr>
    </w:lvl>
    <w:lvl w:ilvl="5">
      <w:start w:val="0"/>
      <w:numFmt w:val="bullet"/>
      <w:lvlText w:val="•"/>
      <w:lvlJc w:val="left"/>
      <w:pPr>
        <w:ind w:left="5360" w:hanging="950"/>
      </w:pPr>
      <w:rPr>
        <w:rFonts w:hint="default"/>
      </w:rPr>
    </w:lvl>
    <w:lvl w:ilvl="6">
      <w:start w:val="0"/>
      <w:numFmt w:val="bullet"/>
      <w:lvlText w:val="•"/>
      <w:lvlJc w:val="left"/>
      <w:pPr>
        <w:ind w:left="6220" w:hanging="950"/>
      </w:pPr>
      <w:rPr>
        <w:rFonts w:hint="default"/>
      </w:rPr>
    </w:lvl>
    <w:lvl w:ilvl="7">
      <w:start w:val="0"/>
      <w:numFmt w:val="bullet"/>
      <w:lvlText w:val="•"/>
      <w:lvlJc w:val="left"/>
      <w:pPr>
        <w:ind w:left="7080" w:hanging="950"/>
      </w:pPr>
      <w:rPr>
        <w:rFonts w:hint="default"/>
      </w:rPr>
    </w:lvl>
    <w:lvl w:ilvl="8">
      <w:start w:val="0"/>
      <w:numFmt w:val="bullet"/>
      <w:lvlText w:val="•"/>
      <w:lvlJc w:val="left"/>
      <w:pPr>
        <w:ind w:left="7940" w:hanging="950"/>
      </w:pPr>
      <w:rPr>
        <w:rFonts w:hint="default"/>
      </w:rPr>
    </w:lvl>
  </w:abstractNum>
  <w:abstractNum w:abstractNumId="4">
    <w:multiLevelType w:val="hybridMultilevel"/>
    <w:lvl w:ilvl="0">
      <w:start w:val="7"/>
      <w:numFmt w:val="decimal"/>
      <w:lvlText w:val="%1"/>
      <w:lvlJc w:val="left"/>
      <w:pPr>
        <w:ind w:left="1172" w:hanging="950"/>
        <w:jc w:val="left"/>
      </w:pPr>
      <w:rPr>
        <w:rFonts w:hint="default" w:ascii="Times New Roman" w:hAnsi="Times New Roman" w:eastAsia="Times New Roman" w:cs="Times New Roman"/>
        <w:b/>
        <w:bCs/>
        <w:w w:val="99"/>
        <w:sz w:val="24"/>
        <w:szCs w:val="24"/>
      </w:rPr>
    </w:lvl>
    <w:lvl w:ilvl="1">
      <w:start w:val="1"/>
      <w:numFmt w:val="decimal"/>
      <w:lvlText w:val="%1.%2"/>
      <w:lvlJc w:val="left"/>
      <w:pPr>
        <w:ind w:left="1172" w:hanging="950"/>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1530" w:hanging="950"/>
      </w:pPr>
      <w:rPr>
        <w:rFonts w:hint="default"/>
      </w:rPr>
    </w:lvl>
    <w:lvl w:ilvl="3">
      <w:start w:val="0"/>
      <w:numFmt w:val="bullet"/>
      <w:lvlText w:val="•"/>
      <w:lvlJc w:val="left"/>
      <w:pPr>
        <w:ind w:left="1706" w:hanging="950"/>
      </w:pPr>
      <w:rPr>
        <w:rFonts w:hint="default"/>
      </w:rPr>
    </w:lvl>
    <w:lvl w:ilvl="4">
      <w:start w:val="0"/>
      <w:numFmt w:val="bullet"/>
      <w:lvlText w:val="•"/>
      <w:lvlJc w:val="left"/>
      <w:pPr>
        <w:ind w:left="1881" w:hanging="950"/>
      </w:pPr>
      <w:rPr>
        <w:rFonts w:hint="default"/>
      </w:rPr>
    </w:lvl>
    <w:lvl w:ilvl="5">
      <w:start w:val="0"/>
      <w:numFmt w:val="bullet"/>
      <w:lvlText w:val="•"/>
      <w:lvlJc w:val="left"/>
      <w:pPr>
        <w:ind w:left="2057" w:hanging="950"/>
      </w:pPr>
      <w:rPr>
        <w:rFonts w:hint="default"/>
      </w:rPr>
    </w:lvl>
    <w:lvl w:ilvl="6">
      <w:start w:val="0"/>
      <w:numFmt w:val="bullet"/>
      <w:lvlText w:val="•"/>
      <w:lvlJc w:val="left"/>
      <w:pPr>
        <w:ind w:left="2232" w:hanging="950"/>
      </w:pPr>
      <w:rPr>
        <w:rFonts w:hint="default"/>
      </w:rPr>
    </w:lvl>
    <w:lvl w:ilvl="7">
      <w:start w:val="0"/>
      <w:numFmt w:val="bullet"/>
      <w:lvlText w:val="•"/>
      <w:lvlJc w:val="left"/>
      <w:pPr>
        <w:ind w:left="2408" w:hanging="950"/>
      </w:pPr>
      <w:rPr>
        <w:rFonts w:hint="default"/>
      </w:rPr>
    </w:lvl>
    <w:lvl w:ilvl="8">
      <w:start w:val="0"/>
      <w:numFmt w:val="bullet"/>
      <w:lvlText w:val="•"/>
      <w:lvlJc w:val="left"/>
      <w:pPr>
        <w:ind w:left="2583" w:hanging="950"/>
      </w:pPr>
      <w:rPr>
        <w:rFonts w:hint="default"/>
      </w:rPr>
    </w:lvl>
  </w:abstractNum>
  <w:abstractNum w:abstractNumId="3">
    <w:multiLevelType w:val="hybridMultilevel"/>
    <w:lvl w:ilvl="0">
      <w:start w:val="3"/>
      <w:numFmt w:val="decimal"/>
      <w:lvlText w:val="%1"/>
      <w:lvlJc w:val="left"/>
      <w:pPr>
        <w:ind w:left="1066" w:hanging="952"/>
        <w:jc w:val="left"/>
      </w:pPr>
      <w:rPr>
        <w:rFonts w:hint="default"/>
      </w:rPr>
    </w:lvl>
    <w:lvl w:ilvl="1">
      <w:start w:val="11"/>
      <w:numFmt w:val="decimal"/>
      <w:lvlText w:val="%1.%2"/>
      <w:lvlJc w:val="left"/>
      <w:pPr>
        <w:ind w:left="1066" w:hanging="952"/>
        <w:jc w:val="left"/>
      </w:pPr>
      <w:rPr>
        <w:rFonts w:hint="default" w:ascii="Times New Roman" w:hAnsi="Times New Roman" w:eastAsia="Times New Roman" w:cs="Times New Roman"/>
        <w:spacing w:val="-7"/>
        <w:w w:val="99"/>
        <w:position w:val="1"/>
        <w:sz w:val="21"/>
        <w:szCs w:val="21"/>
      </w:rPr>
    </w:lvl>
    <w:lvl w:ilvl="2">
      <w:start w:val="0"/>
      <w:numFmt w:val="bullet"/>
      <w:lvlText w:val="•"/>
      <w:lvlJc w:val="left"/>
      <w:pPr>
        <w:ind w:left="2780" w:hanging="952"/>
      </w:pPr>
      <w:rPr>
        <w:rFonts w:hint="default"/>
      </w:rPr>
    </w:lvl>
    <w:lvl w:ilvl="3">
      <w:start w:val="0"/>
      <w:numFmt w:val="bullet"/>
      <w:lvlText w:val="•"/>
      <w:lvlJc w:val="left"/>
      <w:pPr>
        <w:ind w:left="3640" w:hanging="952"/>
      </w:pPr>
      <w:rPr>
        <w:rFonts w:hint="default"/>
      </w:rPr>
    </w:lvl>
    <w:lvl w:ilvl="4">
      <w:start w:val="0"/>
      <w:numFmt w:val="bullet"/>
      <w:lvlText w:val="•"/>
      <w:lvlJc w:val="left"/>
      <w:pPr>
        <w:ind w:left="4500" w:hanging="952"/>
      </w:pPr>
      <w:rPr>
        <w:rFonts w:hint="default"/>
      </w:rPr>
    </w:lvl>
    <w:lvl w:ilvl="5">
      <w:start w:val="0"/>
      <w:numFmt w:val="bullet"/>
      <w:lvlText w:val="•"/>
      <w:lvlJc w:val="left"/>
      <w:pPr>
        <w:ind w:left="5360" w:hanging="952"/>
      </w:pPr>
      <w:rPr>
        <w:rFonts w:hint="default"/>
      </w:rPr>
    </w:lvl>
    <w:lvl w:ilvl="6">
      <w:start w:val="0"/>
      <w:numFmt w:val="bullet"/>
      <w:lvlText w:val="•"/>
      <w:lvlJc w:val="left"/>
      <w:pPr>
        <w:ind w:left="6220" w:hanging="952"/>
      </w:pPr>
      <w:rPr>
        <w:rFonts w:hint="default"/>
      </w:rPr>
    </w:lvl>
    <w:lvl w:ilvl="7">
      <w:start w:val="0"/>
      <w:numFmt w:val="bullet"/>
      <w:lvlText w:val="•"/>
      <w:lvlJc w:val="left"/>
      <w:pPr>
        <w:ind w:left="7080" w:hanging="952"/>
      </w:pPr>
      <w:rPr>
        <w:rFonts w:hint="default"/>
      </w:rPr>
    </w:lvl>
    <w:lvl w:ilvl="8">
      <w:start w:val="0"/>
      <w:numFmt w:val="bullet"/>
      <w:lvlText w:val="•"/>
      <w:lvlJc w:val="left"/>
      <w:pPr>
        <w:ind w:left="7940" w:hanging="952"/>
      </w:pPr>
      <w:rPr>
        <w:rFonts w:hint="default"/>
      </w:rPr>
    </w:lvl>
  </w:abstractNum>
  <w:abstractNum w:abstractNumId="2">
    <w:multiLevelType w:val="hybridMultilevel"/>
    <w:lvl w:ilvl="0">
      <w:start w:val="1"/>
      <w:numFmt w:val="decimal"/>
      <w:lvlText w:val="%1"/>
      <w:lvlJc w:val="left"/>
      <w:pPr>
        <w:ind w:left="1186" w:hanging="952"/>
        <w:jc w:val="left"/>
      </w:pPr>
      <w:rPr>
        <w:rFonts w:hint="default" w:ascii="Times New Roman" w:hAnsi="Times New Roman" w:eastAsia="Times New Roman" w:cs="Times New Roman"/>
        <w:b/>
        <w:bCs/>
        <w:w w:val="99"/>
        <w:sz w:val="24"/>
        <w:szCs w:val="24"/>
      </w:rPr>
    </w:lvl>
    <w:lvl w:ilvl="1">
      <w:start w:val="1"/>
      <w:numFmt w:val="decimal"/>
      <w:lvlText w:val="%1.%2"/>
      <w:lvlJc w:val="left"/>
      <w:pPr>
        <w:ind w:left="1186" w:hanging="952"/>
        <w:jc w:val="left"/>
      </w:pPr>
      <w:rPr>
        <w:rFonts w:hint="default" w:ascii="Times New Roman" w:hAnsi="Times New Roman" w:eastAsia="Times New Roman" w:cs="Times New Roman"/>
        <w:spacing w:val="-3"/>
        <w:w w:val="99"/>
        <w:sz w:val="21"/>
        <w:szCs w:val="21"/>
      </w:rPr>
    </w:lvl>
    <w:lvl w:ilvl="2">
      <w:start w:val="1"/>
      <w:numFmt w:val="decimal"/>
      <w:lvlText w:val="%1.%2.%3"/>
      <w:lvlJc w:val="left"/>
      <w:pPr>
        <w:ind w:left="1052" w:hanging="950"/>
        <w:jc w:val="left"/>
      </w:pPr>
      <w:rPr>
        <w:rFonts w:hint="default" w:ascii="Times New Roman" w:hAnsi="Times New Roman" w:eastAsia="Times New Roman" w:cs="Times New Roman"/>
        <w:spacing w:val="-3"/>
        <w:w w:val="99"/>
        <w:sz w:val="21"/>
        <w:szCs w:val="21"/>
      </w:rPr>
    </w:lvl>
    <w:lvl w:ilvl="3">
      <w:start w:val="0"/>
      <w:numFmt w:val="bullet"/>
      <w:lvlText w:val="•"/>
      <w:lvlJc w:val="left"/>
      <w:pPr>
        <w:ind w:left="1384" w:hanging="950"/>
      </w:pPr>
      <w:rPr>
        <w:rFonts w:hint="default"/>
      </w:rPr>
    </w:lvl>
    <w:lvl w:ilvl="4">
      <w:start w:val="0"/>
      <w:numFmt w:val="bullet"/>
      <w:lvlText w:val="•"/>
      <w:lvlJc w:val="left"/>
      <w:pPr>
        <w:ind w:left="1588" w:hanging="950"/>
      </w:pPr>
      <w:rPr>
        <w:rFonts w:hint="default"/>
      </w:rPr>
    </w:lvl>
    <w:lvl w:ilvl="5">
      <w:start w:val="0"/>
      <w:numFmt w:val="bullet"/>
      <w:lvlText w:val="•"/>
      <w:lvlJc w:val="left"/>
      <w:pPr>
        <w:ind w:left="1792" w:hanging="950"/>
      </w:pPr>
      <w:rPr>
        <w:rFonts w:hint="default"/>
      </w:rPr>
    </w:lvl>
    <w:lvl w:ilvl="6">
      <w:start w:val="0"/>
      <w:numFmt w:val="bullet"/>
      <w:lvlText w:val="•"/>
      <w:lvlJc w:val="left"/>
      <w:pPr>
        <w:ind w:left="1997" w:hanging="950"/>
      </w:pPr>
      <w:rPr>
        <w:rFonts w:hint="default"/>
      </w:rPr>
    </w:lvl>
    <w:lvl w:ilvl="7">
      <w:start w:val="0"/>
      <w:numFmt w:val="bullet"/>
      <w:lvlText w:val="•"/>
      <w:lvlJc w:val="left"/>
      <w:pPr>
        <w:ind w:left="2201" w:hanging="950"/>
      </w:pPr>
      <w:rPr>
        <w:rFonts w:hint="default"/>
      </w:rPr>
    </w:lvl>
    <w:lvl w:ilvl="8">
      <w:start w:val="0"/>
      <w:numFmt w:val="bullet"/>
      <w:lvlText w:val="•"/>
      <w:lvlJc w:val="left"/>
      <w:pPr>
        <w:ind w:left="2405" w:hanging="950"/>
      </w:pPr>
      <w:rPr>
        <w:rFonts w:hint="default"/>
      </w:rPr>
    </w:lvl>
  </w:abstractNum>
  <w:abstractNum w:abstractNumId="1">
    <w:multiLevelType w:val="hybridMultilevel"/>
    <w:lvl w:ilvl="0">
      <w:start w:val="1"/>
      <w:numFmt w:val="decimal"/>
      <w:lvlText w:val="%1"/>
      <w:lvlJc w:val="left"/>
      <w:pPr>
        <w:ind w:left="590" w:hanging="148"/>
        <w:jc w:val="left"/>
      </w:pPr>
      <w:rPr>
        <w:rFonts w:hint="default" w:ascii="Times New Roman" w:hAnsi="Times New Roman" w:eastAsia="Times New Roman" w:cs="Times New Roman"/>
        <w:b/>
        <w:bCs/>
        <w:w w:val="100"/>
        <w:position w:val="1"/>
        <w:sz w:val="21"/>
        <w:szCs w:val="21"/>
      </w:rPr>
    </w:lvl>
    <w:lvl w:ilvl="1">
      <w:start w:val="1"/>
      <w:numFmt w:val="decimal"/>
      <w:lvlText w:val="%1.%2"/>
      <w:lvlJc w:val="left"/>
      <w:pPr>
        <w:ind w:left="966" w:hanging="314"/>
        <w:jc w:val="left"/>
      </w:pPr>
      <w:rPr>
        <w:rFonts w:hint="default" w:ascii="Times New Roman" w:hAnsi="Times New Roman" w:eastAsia="Times New Roman" w:cs="Times New Roman"/>
        <w:spacing w:val="-1"/>
        <w:w w:val="100"/>
        <w:position w:val="1"/>
        <w:sz w:val="21"/>
        <w:szCs w:val="21"/>
      </w:rPr>
    </w:lvl>
    <w:lvl w:ilvl="2">
      <w:start w:val="0"/>
      <w:numFmt w:val="bullet"/>
      <w:lvlText w:val="•"/>
      <w:lvlJc w:val="left"/>
      <w:pPr>
        <w:ind w:left="1975" w:hanging="314"/>
      </w:pPr>
      <w:rPr>
        <w:rFonts w:hint="default"/>
      </w:rPr>
    </w:lvl>
    <w:lvl w:ilvl="3">
      <w:start w:val="0"/>
      <w:numFmt w:val="bullet"/>
      <w:lvlText w:val="•"/>
      <w:lvlJc w:val="left"/>
      <w:pPr>
        <w:ind w:left="2991" w:hanging="314"/>
      </w:pPr>
      <w:rPr>
        <w:rFonts w:hint="default"/>
      </w:rPr>
    </w:lvl>
    <w:lvl w:ilvl="4">
      <w:start w:val="0"/>
      <w:numFmt w:val="bullet"/>
      <w:lvlText w:val="•"/>
      <w:lvlJc w:val="left"/>
      <w:pPr>
        <w:ind w:left="4006" w:hanging="314"/>
      </w:pPr>
      <w:rPr>
        <w:rFonts w:hint="default"/>
      </w:rPr>
    </w:lvl>
    <w:lvl w:ilvl="5">
      <w:start w:val="0"/>
      <w:numFmt w:val="bullet"/>
      <w:lvlText w:val="•"/>
      <w:lvlJc w:val="left"/>
      <w:pPr>
        <w:ind w:left="5022" w:hanging="314"/>
      </w:pPr>
      <w:rPr>
        <w:rFonts w:hint="default"/>
      </w:rPr>
    </w:lvl>
    <w:lvl w:ilvl="6">
      <w:start w:val="0"/>
      <w:numFmt w:val="bullet"/>
      <w:lvlText w:val="•"/>
      <w:lvlJc w:val="left"/>
      <w:pPr>
        <w:ind w:left="6037" w:hanging="314"/>
      </w:pPr>
      <w:rPr>
        <w:rFonts w:hint="default"/>
      </w:rPr>
    </w:lvl>
    <w:lvl w:ilvl="7">
      <w:start w:val="0"/>
      <w:numFmt w:val="bullet"/>
      <w:lvlText w:val="•"/>
      <w:lvlJc w:val="left"/>
      <w:pPr>
        <w:ind w:left="7053" w:hanging="314"/>
      </w:pPr>
      <w:rPr>
        <w:rFonts w:hint="default"/>
      </w:rPr>
    </w:lvl>
    <w:lvl w:ilvl="8">
      <w:start w:val="0"/>
      <w:numFmt w:val="bullet"/>
      <w:lvlText w:val="•"/>
      <w:lvlJc w:val="left"/>
      <w:pPr>
        <w:ind w:left="8068" w:hanging="314"/>
      </w:pPr>
      <w:rPr>
        <w:rFonts w:hint="default"/>
      </w:rPr>
    </w:lvl>
  </w:abstractNum>
  <w:abstractNum w:abstractNumId="0">
    <w:multiLevelType w:val="hybridMultilevel"/>
    <w:lvl w:ilvl="0">
      <w:start w:val="0"/>
      <w:numFmt w:val="bullet"/>
      <w:lvlText w:val=""/>
      <w:lvlJc w:val="left"/>
      <w:pPr>
        <w:ind w:left="964" w:hanging="420"/>
      </w:pPr>
      <w:rPr>
        <w:rFonts w:hint="default" w:ascii="Wingdings" w:hAnsi="Wingdings" w:eastAsia="Wingdings" w:cs="Wingdings"/>
        <w:w w:val="100"/>
        <w:sz w:val="21"/>
        <w:szCs w:val="21"/>
      </w:rPr>
    </w:lvl>
    <w:lvl w:ilvl="1">
      <w:start w:val="0"/>
      <w:numFmt w:val="bullet"/>
      <w:lvlText w:val="•"/>
      <w:lvlJc w:val="left"/>
      <w:pPr>
        <w:ind w:left="1874" w:hanging="420"/>
      </w:pPr>
      <w:rPr>
        <w:rFonts w:hint="default"/>
      </w:rPr>
    </w:lvl>
    <w:lvl w:ilvl="2">
      <w:start w:val="0"/>
      <w:numFmt w:val="bullet"/>
      <w:lvlText w:val="•"/>
      <w:lvlJc w:val="left"/>
      <w:pPr>
        <w:ind w:left="2788" w:hanging="420"/>
      </w:pPr>
      <w:rPr>
        <w:rFonts w:hint="default"/>
      </w:rPr>
    </w:lvl>
    <w:lvl w:ilvl="3">
      <w:start w:val="0"/>
      <w:numFmt w:val="bullet"/>
      <w:lvlText w:val="•"/>
      <w:lvlJc w:val="left"/>
      <w:pPr>
        <w:ind w:left="3702" w:hanging="420"/>
      </w:pPr>
      <w:rPr>
        <w:rFonts w:hint="default"/>
      </w:rPr>
    </w:lvl>
    <w:lvl w:ilvl="4">
      <w:start w:val="0"/>
      <w:numFmt w:val="bullet"/>
      <w:lvlText w:val="•"/>
      <w:lvlJc w:val="left"/>
      <w:pPr>
        <w:ind w:left="4616" w:hanging="420"/>
      </w:pPr>
      <w:rPr>
        <w:rFonts w:hint="default"/>
      </w:rPr>
    </w:lvl>
    <w:lvl w:ilvl="5">
      <w:start w:val="0"/>
      <w:numFmt w:val="bullet"/>
      <w:lvlText w:val="•"/>
      <w:lvlJc w:val="left"/>
      <w:pPr>
        <w:ind w:left="5530" w:hanging="420"/>
      </w:pPr>
      <w:rPr>
        <w:rFonts w:hint="default"/>
      </w:rPr>
    </w:lvl>
    <w:lvl w:ilvl="6">
      <w:start w:val="0"/>
      <w:numFmt w:val="bullet"/>
      <w:lvlText w:val="•"/>
      <w:lvlJc w:val="left"/>
      <w:pPr>
        <w:ind w:left="6444" w:hanging="420"/>
      </w:pPr>
      <w:rPr>
        <w:rFonts w:hint="default"/>
      </w:rPr>
    </w:lvl>
    <w:lvl w:ilvl="7">
      <w:start w:val="0"/>
      <w:numFmt w:val="bullet"/>
      <w:lvlText w:val="•"/>
      <w:lvlJc w:val="left"/>
      <w:pPr>
        <w:ind w:left="7358" w:hanging="420"/>
      </w:pPr>
      <w:rPr>
        <w:rFonts w:hint="default"/>
      </w:rPr>
    </w:lvl>
    <w:lvl w:ilvl="8">
      <w:start w:val="0"/>
      <w:numFmt w:val="bullet"/>
      <w:lvlText w:val="•"/>
      <w:lvlJc w:val="left"/>
      <w:pPr>
        <w:ind w:left="8272"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934"/>
      <w:outlineLvl w:val="1"/>
    </w:pPr>
    <w:rPr>
      <w:rFonts w:ascii="宋体" w:hAnsi="宋体" w:eastAsia="宋体" w:cs="宋体"/>
      <w:b/>
      <w:bCs/>
      <w:sz w:val="32"/>
      <w:szCs w:val="32"/>
    </w:rPr>
  </w:style>
  <w:style w:styleId="Heading2" w:type="paragraph">
    <w:name w:val="Heading 2"/>
    <w:basedOn w:val="Normal"/>
    <w:uiPriority w:val="1"/>
    <w:qFormat/>
    <w:pPr>
      <w:ind w:left="1172" w:hanging="950"/>
      <w:outlineLvl w:val="2"/>
    </w:pPr>
    <w:rPr>
      <w:rFonts w:ascii="宋体" w:hAnsi="宋体" w:eastAsia="宋体" w:cs="宋体"/>
      <w:b/>
      <w:bCs/>
      <w:sz w:val="24"/>
      <w:szCs w:val="24"/>
    </w:rPr>
  </w:style>
  <w:style w:styleId="Heading3" w:type="paragraph">
    <w:name w:val="Heading 3"/>
    <w:basedOn w:val="Normal"/>
    <w:uiPriority w:val="1"/>
    <w:qFormat/>
    <w:pPr>
      <w:ind w:left="101"/>
      <w:outlineLvl w:val="3"/>
    </w:pPr>
    <w:rPr>
      <w:rFonts w:ascii="宋体" w:hAnsi="宋体" w:eastAsia="宋体" w:cs="宋体"/>
      <w:b/>
      <w:bCs/>
      <w:sz w:val="21"/>
      <w:szCs w:val="21"/>
    </w:rPr>
  </w:style>
  <w:style w:styleId="ListParagraph" w:type="paragraph">
    <w:name w:val="List Paragraph"/>
    <w:basedOn w:val="Normal"/>
    <w:uiPriority w:val="1"/>
    <w:qFormat/>
    <w:pPr>
      <w:ind w:left="1052" w:hanging="9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qopr016</dc:creator>
  <dcterms:created xsi:type="dcterms:W3CDTF">2018-10-20T02:10:35Z</dcterms:created>
  <dcterms:modified xsi:type="dcterms:W3CDTF">2018-10-20T02:10:35Z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