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8"/>
        <w:ind w:left="0" w:right="99"/>
        <w:jc w:val="right"/>
      </w:pPr>
      <w:r>
        <w:rPr/>
        <w:drawing>
          <wp:anchor distT="0" distB="0" distL="0" distR="0" allowOverlap="1" layoutInCell="1" locked="0" behindDoc="0" simplePos="0" relativeHeight="0">
            <wp:simplePos x="0" y="0"/>
            <wp:positionH relativeFrom="page">
              <wp:posOffset>6086094</wp:posOffset>
            </wp:positionH>
            <wp:positionV relativeFrom="paragraph">
              <wp:posOffset>241096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人保健康[2010]疾病保险 008 号</w:t>
      </w:r>
    </w:p>
    <w:p>
      <w:pPr>
        <w:pStyle w:val="BodyText"/>
        <w:spacing w:line="225" w:lineRule="exact" w:before="9"/>
        <w:ind w:left="0" w:right="519"/>
        <w:jc w:val="right"/>
      </w:pPr>
      <w:r>
        <w:rPr/>
        <w:t>请扫描以查询验证条款</w:t>
      </w:r>
    </w:p>
    <w:p>
      <w:pPr>
        <w:pStyle w:val="Heading1"/>
        <w:spacing w:line="369" w:lineRule="exact"/>
      </w:pPr>
      <w:r>
        <w:rPr>
          <w:w w:val="95"/>
        </w:rPr>
        <w:t>中国人民健康保险股份有限公司</w:t>
      </w:r>
    </w:p>
    <w:p>
      <w:pPr>
        <w:spacing w:before="99"/>
        <w:ind w:left="2315" w:right="3312" w:firstLine="0"/>
        <w:jc w:val="center"/>
        <w:rPr>
          <w:b/>
          <w:sz w:val="32"/>
        </w:rPr>
      </w:pPr>
      <w:r>
        <w:rPr>
          <w:b/>
          <w:w w:val="95"/>
          <w:sz w:val="32"/>
        </w:rPr>
        <w:t>阳光关爱女性特定重大疾病保险条款</w:t>
      </w:r>
    </w:p>
    <w:p>
      <w:pPr>
        <w:pStyle w:val="BodyText"/>
        <w:spacing w:before="117"/>
        <w:ind w:left="2315" w:right="3312"/>
        <w:jc w:val="center"/>
      </w:pPr>
      <w:r>
        <w:rPr/>
        <w:t>（2010 年 4 月向中国保险监督管理委员会备案）</w:t>
      </w:r>
    </w:p>
    <w:p>
      <w:pPr>
        <w:pStyle w:val="BodyText"/>
        <w:spacing w:before="11"/>
        <w:ind w:left="0"/>
        <w:rPr>
          <w:sz w:val="28"/>
        </w:rPr>
      </w:pPr>
      <w:r>
        <w:rPr/>
        <w:pict>
          <v:shapetype id="_x0000_t202" o:spt="202" coordsize="21600,21600" path="m,l,21600r21600,l21600,xe">
            <v:stroke joinstyle="miter"/>
            <v:path gradientshapeok="t" o:connecttype="rect"/>
          </v:shapetype>
          <v:shape style="position:absolute;margin-left:64.260002pt;margin-top:20.116629pt;width:466.15pt;height:19.45pt;mso-position-horizontal-relative:page;mso-position-vertical-relative:paragraph;z-index:1048;mso-wrap-distance-left:0;mso-wrap-distance-right:0" type="#_x0000_t202" filled="true" fillcolor="#cccccc" stroked="false">
            <v:textbox inset="0,0,0,0">
              <w:txbxContent>
                <w:p>
                  <w:pPr>
                    <w:tabs>
                      <w:tab w:pos="667" w:val="left" w:leader="none"/>
                    </w:tabs>
                    <w:spacing w:line="275" w:lineRule="exact" w:before="0"/>
                    <w:ind w:left="122" w:right="0" w:firstLine="0"/>
                    <w:jc w:val="left"/>
                    <w:rPr>
                      <w:b/>
                      <w:sz w:val="24"/>
                    </w:rPr>
                  </w:pPr>
                  <w:r>
                    <w:rPr>
                      <w:b/>
                      <w:sz w:val="24"/>
                    </w:rPr>
                    <w:t>1</w:t>
                    <w:tab/>
                    <w:t>被保险人范围</w:t>
                  </w:r>
                </w:p>
              </w:txbxContent>
            </v:textbox>
            <v:fill type="solid"/>
            <w10:wrap type="topAndBottom"/>
          </v:shape>
        </w:pict>
      </w:r>
    </w:p>
    <w:p>
      <w:pPr>
        <w:tabs>
          <w:tab w:pos="771" w:val="left" w:leader="none"/>
        </w:tabs>
        <w:spacing w:line="225" w:lineRule="exact" w:before="0"/>
        <w:ind w:left="227" w:right="0" w:firstLine="0"/>
        <w:jc w:val="left"/>
        <w:rPr>
          <w:sz w:val="21"/>
        </w:rPr>
      </w:pPr>
      <w:r>
        <w:rPr>
          <w:b/>
          <w:sz w:val="21"/>
        </w:rPr>
        <w:t>1.1</w:t>
        <w:tab/>
      </w:r>
      <w:r>
        <w:rPr>
          <w:b/>
          <w:spacing w:val="-1"/>
          <w:sz w:val="21"/>
        </w:rPr>
        <w:t>被保险人范围 </w:t>
      </w:r>
      <w:r>
        <w:rPr>
          <w:spacing w:val="-8"/>
          <w:sz w:val="21"/>
        </w:rPr>
        <w:t>凡投保时年满 </w:t>
      </w:r>
      <w:r>
        <w:rPr>
          <w:sz w:val="21"/>
        </w:rPr>
        <w:t>16</w:t>
      </w:r>
      <w:r>
        <w:rPr>
          <w:spacing w:val="-25"/>
          <w:sz w:val="21"/>
        </w:rPr>
        <w:t> 周岁至 </w:t>
      </w:r>
      <w:r>
        <w:rPr>
          <w:sz w:val="21"/>
        </w:rPr>
        <w:t>65</w:t>
      </w:r>
      <w:r>
        <w:rPr>
          <w:spacing w:val="-9"/>
          <w:sz w:val="21"/>
        </w:rPr>
        <w:t> 周岁，身体健康的女性均可作为被保险人参加本保</w:t>
      </w:r>
    </w:p>
    <w:p>
      <w:pPr>
        <w:pStyle w:val="BodyText"/>
        <w:spacing w:before="66"/>
      </w:pPr>
      <w:r>
        <w:rPr/>
        <w:pict>
          <v:shape style="position:absolute;margin-left:64.260002pt;margin-top:22.103518pt;width:466.15pt;height:19.45pt;mso-position-horizontal-relative:page;mso-position-vertical-relative:paragraph;z-index:1072;mso-wrap-distance-left:0;mso-wrap-distance-right:0" type="#_x0000_t202" filled="true" fillcolor="#cccccc" stroked="false">
            <v:textbox inset="0,0,0,0">
              <w:txbxContent>
                <w:p>
                  <w:pPr>
                    <w:tabs>
                      <w:tab w:pos="667" w:val="left" w:leader="none"/>
                    </w:tabs>
                    <w:spacing w:line="275" w:lineRule="exact" w:before="0"/>
                    <w:ind w:left="122" w:right="0" w:firstLine="0"/>
                    <w:jc w:val="left"/>
                    <w:rPr>
                      <w:b/>
                      <w:sz w:val="24"/>
                    </w:rPr>
                  </w:pPr>
                  <w:r>
                    <w:rPr>
                      <w:b/>
                      <w:sz w:val="24"/>
                    </w:rPr>
                    <w:t>2</w:t>
                    <w:tab/>
                    <w:t>保险责任及责任免除</w:t>
                  </w:r>
                </w:p>
              </w:txbxContent>
            </v:textbox>
            <v:fill type="solid"/>
            <w10:wrap type="topAndBottom"/>
          </v:shape>
        </w:pict>
      </w:r>
      <w:r>
        <w:rPr/>
        <w:t>险。</w:t>
      </w:r>
    </w:p>
    <w:p>
      <w:pPr>
        <w:pStyle w:val="ListParagraph"/>
        <w:numPr>
          <w:ilvl w:val="1"/>
          <w:numId w:val="1"/>
        </w:numPr>
        <w:tabs>
          <w:tab w:pos="772" w:val="left" w:leader="none"/>
          <w:tab w:pos="773" w:val="left" w:leader="none"/>
        </w:tabs>
        <w:spacing w:line="225" w:lineRule="exact" w:before="0" w:after="0"/>
        <w:ind w:left="772" w:right="0" w:hanging="545"/>
        <w:jc w:val="left"/>
        <w:rPr>
          <w:sz w:val="21"/>
        </w:rPr>
      </w:pPr>
      <w:r>
        <w:rPr>
          <w:b/>
          <w:spacing w:val="-1"/>
          <w:sz w:val="21"/>
        </w:rPr>
        <w:t>保险金额 </w:t>
      </w:r>
      <w:r>
        <w:rPr>
          <w:sz w:val="21"/>
        </w:rPr>
        <w:t>由投保人与本公司共同约定被保险人的保险金额，并在保险单中载明。</w:t>
      </w:r>
    </w:p>
    <w:p>
      <w:pPr>
        <w:pStyle w:val="Heading3"/>
        <w:numPr>
          <w:ilvl w:val="1"/>
          <w:numId w:val="1"/>
        </w:numPr>
        <w:tabs>
          <w:tab w:pos="772" w:val="left" w:leader="none"/>
          <w:tab w:pos="773" w:val="left" w:leader="none"/>
        </w:tabs>
        <w:spacing w:line="240" w:lineRule="auto" w:before="64" w:after="0"/>
        <w:ind w:left="772" w:right="0" w:hanging="545"/>
        <w:jc w:val="left"/>
      </w:pPr>
      <w:r>
        <w:rPr/>
        <w:t>保险责任</w:t>
      </w:r>
    </w:p>
    <w:p>
      <w:pPr>
        <w:pStyle w:val="BodyText"/>
        <w:spacing w:line="297" w:lineRule="auto"/>
        <w:ind w:right="1222"/>
        <w:jc w:val="both"/>
      </w:pPr>
      <w:r>
        <w:rPr>
          <w:spacing w:val="-3"/>
        </w:rPr>
        <w:t>本合同的保险责任分为基本部分和可选部分。基本部分为女性特定重大疾病保险金责任，可选</w:t>
      </w:r>
      <w:r>
        <w:rPr>
          <w:spacing w:val="-7"/>
        </w:rPr>
        <w:t>部分为女性原位癌保险金责任。投保人可只投保基本部分，也可在投保基本部分的同时投保可选部分。</w:t>
      </w:r>
    </w:p>
    <w:p>
      <w:pPr>
        <w:spacing w:line="297" w:lineRule="auto" w:before="14"/>
        <w:ind w:left="772" w:right="5569" w:firstLine="0"/>
        <w:jc w:val="left"/>
        <w:rPr>
          <w:b/>
          <w:sz w:val="21"/>
        </w:rPr>
      </w:pPr>
      <w:r>
        <w:rPr>
          <w:sz w:val="21"/>
        </w:rPr>
        <w:t>本合同有效期内，本公司承担下列保险责任： </w:t>
      </w:r>
      <w:r>
        <w:rPr>
          <w:b/>
          <w:w w:val="95"/>
          <w:sz w:val="21"/>
        </w:rPr>
        <w:t>女性特定重大疾病保险金（基本部分）</w:t>
      </w:r>
    </w:p>
    <w:p>
      <w:pPr>
        <w:pStyle w:val="BodyText"/>
        <w:spacing w:line="297" w:lineRule="auto" w:before="15"/>
        <w:ind w:right="1265"/>
        <w:jc w:val="both"/>
      </w:pPr>
      <w:r>
        <w:rPr>
          <w:spacing w:val="-3"/>
        </w:rPr>
        <w:t>如无特别约定，自本公司对被保险人承担保险责任之日起 </w:t>
      </w:r>
      <w:r>
        <w:rPr/>
        <w:t>60</w:t>
      </w:r>
      <w:r>
        <w:rPr>
          <w:spacing w:val="-22"/>
        </w:rPr>
        <w:t> 天后</w:t>
      </w:r>
      <w:r>
        <w:rPr/>
        <w:t>（续保时，自本公司对被保险人承担续保保险责任之日起</w:t>
      </w:r>
      <w:r>
        <w:rPr>
          <w:spacing w:val="-105"/>
        </w:rPr>
        <w:t>）</w:t>
      </w:r>
      <w:r>
        <w:rPr>
          <w:spacing w:val="-1"/>
        </w:rPr>
        <w:t>，被保险人初次发生本合同约定的女性特定重大疾病，且于确</w:t>
      </w:r>
      <w:r>
        <w:rPr>
          <w:spacing w:val="-15"/>
        </w:rPr>
        <w:t>诊之日起 </w:t>
      </w:r>
      <w:r>
        <w:rPr/>
        <w:t>28</w:t>
      </w:r>
      <w:r>
        <w:rPr>
          <w:spacing w:val="-9"/>
        </w:rPr>
        <w:t> 天后仍存活的，本公司按保险金额给付女性特定重大疾病保险金，同时对该被保</w:t>
      </w:r>
      <w:r>
        <w:rPr>
          <w:spacing w:val="-1"/>
        </w:rPr>
        <w:t>险人的合同效力终止。</w:t>
      </w:r>
    </w:p>
    <w:p>
      <w:pPr>
        <w:pStyle w:val="BodyText"/>
        <w:spacing w:line="297" w:lineRule="auto" w:before="14"/>
        <w:ind w:right="1223"/>
        <w:jc w:val="both"/>
      </w:pPr>
      <w:r>
        <w:rPr>
          <w:spacing w:val="-7"/>
        </w:rPr>
        <w:t>如无特别约定，自本公司对被保险人承担保险责任之日起 </w:t>
      </w:r>
      <w:r>
        <w:rPr/>
        <w:t>60</w:t>
      </w:r>
      <w:r>
        <w:rPr>
          <w:spacing w:val="-29"/>
        </w:rPr>
        <w:t> 天内</w:t>
      </w:r>
      <w:r>
        <w:rPr/>
        <w:t>（续保除外</w:t>
      </w:r>
      <w:r>
        <w:rPr>
          <w:spacing w:val="-63"/>
        </w:rPr>
        <w:t>）</w:t>
      </w:r>
      <w:r>
        <w:rPr>
          <w:spacing w:val="-11"/>
        </w:rPr>
        <w:t>，被保险人初次</w:t>
      </w:r>
      <w:r>
        <w:rPr>
          <w:spacing w:val="-15"/>
        </w:rPr>
        <w:t>发生本合同约定的女性特定重大疾病，本公司按投保人已为该被保险人交纳的保险费金额给付女性特定重大疾病保险金，同时对该被保险人的合同效力终止。</w:t>
      </w:r>
    </w:p>
    <w:p>
      <w:pPr>
        <w:spacing w:line="297" w:lineRule="auto" w:before="14"/>
        <w:ind w:left="772" w:right="1153" w:firstLine="0"/>
        <w:jc w:val="left"/>
        <w:rPr>
          <w:sz w:val="21"/>
        </w:rPr>
      </w:pPr>
      <w:r>
        <w:rPr>
          <w:b/>
          <w:sz w:val="21"/>
        </w:rPr>
        <w:t>女性特定重大疾病</w:t>
      </w:r>
      <w:r>
        <w:rPr>
          <w:sz w:val="21"/>
        </w:rPr>
        <w:t>是指原发于女性乳腺、子宫、子宫颈、卵巢、输卵管、阴道和外阴的癌症</w:t>
      </w:r>
      <w:r>
        <w:rPr>
          <w:b/>
          <w:sz w:val="21"/>
        </w:rPr>
        <w:t>， </w:t>
      </w:r>
      <w:r>
        <w:rPr>
          <w:b/>
          <w:w w:val="95"/>
          <w:sz w:val="21"/>
        </w:rPr>
        <w:t>但不包括原位癌和转移癌</w:t>
      </w:r>
      <w:r>
        <w:rPr>
          <w:w w:val="95"/>
          <w:sz w:val="21"/>
        </w:rPr>
        <w:t>。</w:t>
      </w:r>
    </w:p>
    <w:p>
      <w:pPr>
        <w:pStyle w:val="Heading3"/>
        <w:spacing w:before="15"/>
        <w:ind w:firstLine="0"/>
        <w:jc w:val="both"/>
      </w:pPr>
      <w:r>
        <w:rPr>
          <w:w w:val="95"/>
        </w:rPr>
        <w:t>女性原位癌保险金（可选部分）</w:t>
      </w:r>
    </w:p>
    <w:p>
      <w:pPr>
        <w:pStyle w:val="BodyText"/>
        <w:spacing w:line="297" w:lineRule="auto" w:before="66"/>
        <w:ind w:right="1222"/>
        <w:jc w:val="both"/>
      </w:pPr>
      <w:r>
        <w:rPr>
          <w:spacing w:val="-3"/>
        </w:rPr>
        <w:t>如无特别约定，自本公司对被保险人承担保险责任之日起 </w:t>
      </w:r>
      <w:r>
        <w:rPr/>
        <w:t>60</w:t>
      </w:r>
      <w:r>
        <w:rPr>
          <w:spacing w:val="-22"/>
        </w:rPr>
        <w:t> 天后</w:t>
      </w:r>
      <w:r>
        <w:rPr/>
        <w:t>（续保时，自本公司对被保险人承担续保保险责任之日起</w:t>
      </w:r>
      <w:r>
        <w:rPr>
          <w:spacing w:val="-105"/>
        </w:rPr>
        <w:t>）</w:t>
      </w:r>
      <w:r>
        <w:rPr>
          <w:spacing w:val="-1"/>
        </w:rPr>
        <w:t>，被保险人初次发生本合同约定的女性原位癌，且于确诊之日</w:t>
      </w:r>
      <w:r>
        <w:rPr>
          <w:spacing w:val="-28"/>
        </w:rPr>
        <w:t>起 </w:t>
      </w:r>
      <w:r>
        <w:rPr/>
        <w:t>28</w:t>
      </w:r>
      <w:r>
        <w:rPr>
          <w:spacing w:val="-11"/>
        </w:rPr>
        <w:t> 天后仍存活的，本公司按保险金额的 </w:t>
      </w:r>
      <w:r>
        <w:rPr/>
        <w:t>20</w:t>
      </w:r>
      <w:r>
        <w:rPr>
          <w:spacing w:val="-1"/>
        </w:rPr>
        <w:t>％给付女性原位癌保险金，同时对该被保险人的该项保险责任终止。</w:t>
      </w:r>
    </w:p>
    <w:p>
      <w:pPr>
        <w:pStyle w:val="BodyText"/>
        <w:spacing w:before="14"/>
        <w:jc w:val="both"/>
      </w:pPr>
      <w:r>
        <w:rPr>
          <w:b/>
          <w:w w:val="95"/>
        </w:rPr>
        <w:t>女性原位癌</w:t>
      </w:r>
      <w:r>
        <w:rPr>
          <w:w w:val="95"/>
        </w:rPr>
        <w:t>是指女性乳腺、子宫、子宫颈、卵巢、输卵管、阴道和外阴的原位癌。</w:t>
      </w:r>
    </w:p>
    <w:p>
      <w:pPr>
        <w:pStyle w:val="Heading3"/>
        <w:numPr>
          <w:ilvl w:val="1"/>
          <w:numId w:val="1"/>
        </w:numPr>
        <w:tabs>
          <w:tab w:pos="772" w:val="left" w:leader="none"/>
          <w:tab w:pos="773" w:val="left" w:leader="none"/>
        </w:tabs>
        <w:spacing w:line="240" w:lineRule="auto" w:before="65" w:after="0"/>
        <w:ind w:left="772" w:right="0" w:hanging="545"/>
        <w:jc w:val="left"/>
      </w:pPr>
      <w:r>
        <w:rPr/>
        <w:t>责任免除</w:t>
      </w:r>
    </w:p>
    <w:p>
      <w:pPr>
        <w:spacing w:before="65"/>
        <w:ind w:left="772" w:right="0" w:firstLine="0"/>
        <w:jc w:val="both"/>
        <w:rPr>
          <w:b/>
          <w:sz w:val="21"/>
        </w:rPr>
      </w:pPr>
      <w:r>
        <w:rPr>
          <w:b/>
          <w:w w:val="95"/>
          <w:sz w:val="21"/>
          <w:shd w:fill="CCCCCC" w:color="auto" w:val="clear"/>
        </w:rPr>
        <w:t>因下列情形之一引起的保险事故，本公司不承担给付保险金的责任：</w:t>
      </w:r>
    </w:p>
    <w:p>
      <w:pPr>
        <w:pStyle w:val="ListParagraph"/>
        <w:numPr>
          <w:ilvl w:val="2"/>
          <w:numId w:val="1"/>
        </w:numPr>
        <w:tabs>
          <w:tab w:pos="1193" w:val="left" w:leader="none"/>
        </w:tabs>
        <w:spacing w:line="240" w:lineRule="auto" w:before="64" w:after="0"/>
        <w:ind w:left="1192" w:right="0" w:hanging="420"/>
        <w:jc w:val="both"/>
        <w:rPr>
          <w:b/>
          <w:sz w:val="21"/>
        </w:rPr>
      </w:pPr>
      <w:r>
        <w:rPr>
          <w:b/>
          <w:w w:val="95"/>
          <w:sz w:val="21"/>
        </w:rPr>
        <w:t>投保人对被保险人的故意伤害；</w:t>
      </w:r>
    </w:p>
    <w:p>
      <w:pPr>
        <w:pStyle w:val="ListParagraph"/>
        <w:numPr>
          <w:ilvl w:val="2"/>
          <w:numId w:val="1"/>
        </w:numPr>
        <w:tabs>
          <w:tab w:pos="1193" w:val="left" w:leader="none"/>
        </w:tabs>
        <w:spacing w:line="240" w:lineRule="auto" w:before="65" w:after="0"/>
        <w:ind w:left="1192" w:right="0" w:hanging="420"/>
        <w:jc w:val="both"/>
        <w:rPr>
          <w:b/>
          <w:sz w:val="21"/>
        </w:rPr>
      </w:pPr>
      <w:r>
        <w:rPr>
          <w:b/>
          <w:w w:val="95"/>
          <w:sz w:val="21"/>
        </w:rPr>
        <w:t>被保险人所患女性特定重大疾病为非原发性癌症；</w:t>
      </w:r>
    </w:p>
    <w:p>
      <w:pPr>
        <w:pStyle w:val="ListParagraph"/>
        <w:numPr>
          <w:ilvl w:val="2"/>
          <w:numId w:val="1"/>
        </w:numPr>
        <w:tabs>
          <w:tab w:pos="1193" w:val="left" w:leader="none"/>
        </w:tabs>
        <w:spacing w:line="240" w:lineRule="auto" w:before="65" w:after="0"/>
        <w:ind w:left="1192" w:right="0" w:hanging="420"/>
        <w:jc w:val="both"/>
        <w:rPr>
          <w:b/>
          <w:sz w:val="21"/>
        </w:rPr>
      </w:pPr>
      <w:r>
        <w:rPr>
          <w:b/>
          <w:w w:val="95"/>
          <w:sz w:val="21"/>
        </w:rPr>
        <w:t>核爆炸、核辐射或核污染；</w:t>
      </w:r>
    </w:p>
    <w:p>
      <w:pPr>
        <w:pStyle w:val="ListParagraph"/>
        <w:numPr>
          <w:ilvl w:val="2"/>
          <w:numId w:val="1"/>
        </w:numPr>
        <w:tabs>
          <w:tab w:pos="1193" w:val="left" w:leader="none"/>
        </w:tabs>
        <w:spacing w:line="240" w:lineRule="auto" w:before="64" w:after="0"/>
        <w:ind w:left="1192" w:right="0" w:hanging="420"/>
        <w:jc w:val="both"/>
        <w:rPr>
          <w:b/>
          <w:sz w:val="21"/>
        </w:rPr>
      </w:pPr>
      <w:r>
        <w:rPr>
          <w:b/>
          <w:w w:val="95"/>
          <w:sz w:val="21"/>
        </w:rPr>
        <w:t>被保险人患有遗传性疾病，先天性畸形、变形或染色体异常。</w:t>
      </w:r>
    </w:p>
    <w:p>
      <w:pPr>
        <w:spacing w:after="0" w:line="240" w:lineRule="auto"/>
        <w:jc w:val="both"/>
        <w:rPr>
          <w:sz w:val="21"/>
        </w:rPr>
        <w:sectPr>
          <w:type w:val="continuous"/>
          <w:pgSz w:w="11910" w:h="16840"/>
          <w:pgMar w:top="200" w:bottom="280" w:left="1180" w:right="180"/>
        </w:sectPr>
      </w:pPr>
    </w:p>
    <w:p>
      <w:pPr>
        <w:pStyle w:val="BodyText"/>
        <w:spacing w:before="0"/>
        <w:ind w:left="0"/>
        <w:rPr>
          <w:b/>
          <w:sz w:val="24"/>
        </w:rPr>
      </w:pPr>
    </w:p>
    <w:p>
      <w:pPr>
        <w:spacing w:before="35"/>
        <w:ind w:left="772" w:right="0" w:firstLine="0"/>
        <w:jc w:val="left"/>
        <w:rPr>
          <w:b/>
          <w:sz w:val="21"/>
        </w:rPr>
      </w:pPr>
      <w:r>
        <w:rPr>
          <w:b/>
          <w:w w:val="95"/>
          <w:sz w:val="21"/>
          <w:shd w:fill="CCCCCC" w:color="auto" w:val="clear"/>
        </w:rPr>
        <w:t>被保险人在下列期间内发生的保险事故，本公司不承担给付保险金的责任：</w:t>
      </w:r>
    </w:p>
    <w:p>
      <w:pPr>
        <w:pStyle w:val="ListParagraph"/>
        <w:numPr>
          <w:ilvl w:val="0"/>
          <w:numId w:val="2"/>
        </w:numPr>
        <w:tabs>
          <w:tab w:pos="1194" w:val="left" w:leader="none"/>
          <w:tab w:pos="1195" w:val="left" w:leader="none"/>
        </w:tabs>
        <w:spacing w:line="240" w:lineRule="auto" w:before="65" w:after="0"/>
        <w:ind w:left="1194" w:right="0" w:hanging="422"/>
        <w:jc w:val="left"/>
        <w:rPr>
          <w:b/>
          <w:sz w:val="21"/>
        </w:rPr>
      </w:pPr>
      <w:r>
        <w:rPr>
          <w:b/>
          <w:w w:val="95"/>
          <w:sz w:val="21"/>
        </w:rPr>
        <w:t>吸食、服用或注射毒品；</w:t>
      </w:r>
    </w:p>
    <w:p>
      <w:pPr>
        <w:pStyle w:val="ListParagraph"/>
        <w:numPr>
          <w:ilvl w:val="0"/>
          <w:numId w:val="2"/>
        </w:numPr>
        <w:tabs>
          <w:tab w:pos="1194" w:val="left" w:leader="none"/>
          <w:tab w:pos="1196" w:val="left" w:leader="none"/>
        </w:tabs>
        <w:spacing w:line="240" w:lineRule="auto" w:before="65" w:after="0"/>
        <w:ind w:left="1195" w:right="0" w:hanging="423"/>
        <w:jc w:val="left"/>
        <w:rPr>
          <w:b/>
          <w:sz w:val="21"/>
        </w:rPr>
      </w:pPr>
      <w:r>
        <w:rPr>
          <w:b/>
          <w:w w:val="95"/>
          <w:sz w:val="21"/>
        </w:rPr>
        <w:t>感染艾滋病病毒或患艾滋病。</w:t>
      </w:r>
    </w:p>
    <w:p>
      <w:pPr>
        <w:spacing w:line="297" w:lineRule="auto" w:before="64"/>
        <w:ind w:left="772" w:right="223" w:firstLine="0"/>
        <w:jc w:val="left"/>
        <w:rPr>
          <w:b/>
          <w:sz w:val="21"/>
        </w:rPr>
      </w:pPr>
      <w:r>
        <w:rPr/>
        <w:pict>
          <v:shape style="position:absolute;margin-left:64.260002pt;margin-top:56.023502pt;width:466.15pt;height:19.5pt;mso-position-horizontal-relative:page;mso-position-vertical-relative:paragraph;z-index:1096;mso-wrap-distance-left:0;mso-wrap-distance-right:0" type="#_x0000_t202" filled="true" fillcolor="#cccccc" stroked="false">
            <v:textbox inset="0,0,0,0">
              <w:txbxContent>
                <w:p>
                  <w:pPr>
                    <w:tabs>
                      <w:tab w:pos="667" w:val="left" w:leader="none"/>
                    </w:tabs>
                    <w:spacing w:line="275" w:lineRule="exact" w:before="0"/>
                    <w:ind w:left="122" w:right="0" w:firstLine="0"/>
                    <w:jc w:val="left"/>
                    <w:rPr>
                      <w:b/>
                      <w:sz w:val="24"/>
                    </w:rPr>
                  </w:pPr>
                  <w:r>
                    <w:rPr>
                      <w:b/>
                      <w:sz w:val="24"/>
                    </w:rPr>
                    <w:t>3</w:t>
                    <w:tab/>
                    <w:t>合同效力</w:t>
                  </w:r>
                </w:p>
              </w:txbxContent>
            </v:textbox>
            <v:fill type="solid"/>
            <w10:wrap type="topAndBottom"/>
          </v:shape>
        </w:pict>
      </w:r>
      <w:r>
        <w:rPr>
          <w:b/>
          <w:spacing w:val="-5"/>
          <w:sz w:val="21"/>
        </w:rPr>
        <w:t>因上述情况导致被保险人发生保险事故的，对该被保险人的的合同效力终止，本公司向投保人退还该被保险人的现金价值。但因投保人对被保险人的故意伤害导致被保险人发生保险事故</w:t>
      </w:r>
      <w:r>
        <w:rPr>
          <w:b/>
          <w:spacing w:val="-5"/>
          <w:w w:val="95"/>
          <w:sz w:val="21"/>
        </w:rPr>
        <w:t>的，本公司向受益人退还该被保险人的现金价值。</w:t>
      </w:r>
    </w:p>
    <w:p>
      <w:pPr>
        <w:pStyle w:val="ListParagraph"/>
        <w:numPr>
          <w:ilvl w:val="1"/>
          <w:numId w:val="3"/>
        </w:numPr>
        <w:tabs>
          <w:tab w:pos="771" w:val="left" w:leader="none"/>
          <w:tab w:pos="772" w:val="left" w:leader="none"/>
        </w:tabs>
        <w:spacing w:line="225" w:lineRule="exact" w:before="0" w:after="0"/>
        <w:ind w:left="771" w:right="0" w:hanging="544"/>
        <w:jc w:val="left"/>
        <w:rPr>
          <w:b/>
          <w:sz w:val="21"/>
        </w:rPr>
      </w:pPr>
      <w:r>
        <w:rPr>
          <w:b/>
          <w:w w:val="95"/>
          <w:sz w:val="21"/>
        </w:rPr>
        <w:t>合同成立与生效</w:t>
      </w:r>
    </w:p>
    <w:p>
      <w:pPr>
        <w:pStyle w:val="BodyText"/>
        <w:spacing w:before="64"/>
      </w:pPr>
      <w:r>
        <w:rPr/>
        <w:t>投保人提出保险申请，本公司同意承保，本合同成立，合同成立日期于保险单上载明。</w:t>
      </w:r>
    </w:p>
    <w:p>
      <w:pPr>
        <w:pStyle w:val="BodyText"/>
        <w:spacing w:line="297" w:lineRule="auto"/>
        <w:ind w:right="223"/>
      </w:pPr>
      <w:r>
        <w:rPr>
          <w:spacing w:val="-7"/>
        </w:rPr>
        <w:t>除另有约定外，自本合同成立，本公司收取保险费并签发保险单的次日零时起本合同生效，本公司自载明于保险单上的生效日开始承担本合同约定的保险责任。</w:t>
      </w:r>
    </w:p>
    <w:p>
      <w:pPr>
        <w:pStyle w:val="ListParagraph"/>
        <w:numPr>
          <w:ilvl w:val="1"/>
          <w:numId w:val="3"/>
        </w:numPr>
        <w:tabs>
          <w:tab w:pos="772" w:val="left" w:leader="none"/>
          <w:tab w:pos="773" w:val="left" w:leader="none"/>
        </w:tabs>
        <w:spacing w:line="240" w:lineRule="auto" w:before="14" w:after="0"/>
        <w:ind w:left="772" w:right="0" w:hanging="545"/>
        <w:jc w:val="left"/>
        <w:rPr>
          <w:sz w:val="21"/>
        </w:rPr>
      </w:pPr>
      <w:r>
        <w:rPr>
          <w:b/>
          <w:spacing w:val="-1"/>
          <w:sz w:val="21"/>
        </w:rPr>
        <w:t>保险期间 </w:t>
      </w:r>
      <w:r>
        <w:rPr>
          <w:spacing w:val="-6"/>
          <w:sz w:val="21"/>
        </w:rPr>
        <w:t>本合同保险期间为 </w:t>
      </w:r>
      <w:r>
        <w:rPr>
          <w:sz w:val="21"/>
        </w:rPr>
        <w:t>1</w:t>
      </w:r>
      <w:r>
        <w:rPr>
          <w:spacing w:val="-18"/>
          <w:sz w:val="21"/>
        </w:rPr>
        <w:t> 年。</w:t>
      </w:r>
    </w:p>
    <w:p>
      <w:pPr>
        <w:pStyle w:val="Heading3"/>
        <w:numPr>
          <w:ilvl w:val="1"/>
          <w:numId w:val="3"/>
        </w:numPr>
        <w:tabs>
          <w:tab w:pos="772" w:val="left" w:leader="none"/>
          <w:tab w:pos="773" w:val="left" w:leader="none"/>
        </w:tabs>
        <w:spacing w:line="240" w:lineRule="auto" w:before="66" w:after="0"/>
        <w:ind w:left="772" w:right="0" w:hanging="545"/>
        <w:jc w:val="left"/>
      </w:pPr>
      <w:r>
        <w:rPr>
          <w:w w:val="95"/>
        </w:rPr>
        <w:t>解除合同的手续及风险</w:t>
      </w:r>
    </w:p>
    <w:p>
      <w:pPr>
        <w:pStyle w:val="BodyText"/>
        <w:spacing w:line="297" w:lineRule="auto" w:before="66"/>
        <w:ind w:right="155"/>
      </w:pPr>
      <w:r>
        <w:rPr/>
        <w:t>投保人可以书面申请解除本合同。自本公司接到申请书之日起，本合同效力终止。本公司自收到解除合同申请书之日起 30 日内向投保人退还本合同的现金价值。</w:t>
      </w:r>
    </w:p>
    <w:p>
      <w:pPr>
        <w:pStyle w:val="BodyText"/>
        <w:spacing w:before="15"/>
      </w:pPr>
      <w:r>
        <w:rPr/>
        <w:t>投保人解除合同会遭受一定损失。</w:t>
      </w:r>
    </w:p>
    <w:p>
      <w:pPr>
        <w:pStyle w:val="BodyText"/>
      </w:pPr>
      <w:r>
        <w:rPr/>
        <w:t>如被保险人已发生本合同责任范围内的保险事故，本公司将不接受解除合同申请。</w:t>
      </w:r>
    </w:p>
    <w:p>
      <w:pPr>
        <w:pStyle w:val="Heading3"/>
        <w:numPr>
          <w:ilvl w:val="1"/>
          <w:numId w:val="3"/>
        </w:numPr>
        <w:tabs>
          <w:tab w:pos="771" w:val="left" w:leader="none"/>
          <w:tab w:pos="772" w:val="left" w:leader="none"/>
        </w:tabs>
        <w:spacing w:line="240" w:lineRule="auto" w:before="64" w:after="0"/>
        <w:ind w:left="771" w:right="0" w:hanging="544"/>
        <w:jc w:val="left"/>
      </w:pPr>
      <w:r>
        <w:rPr/>
        <w:t>续保</w:t>
      </w:r>
    </w:p>
    <w:p>
      <w:pPr>
        <w:pStyle w:val="BodyText"/>
        <w:spacing w:line="297" w:lineRule="auto"/>
        <w:ind w:right="117"/>
      </w:pPr>
      <w:r>
        <w:rPr>
          <w:spacing w:val="-12"/>
        </w:rPr>
        <w:t>在合同到期日前，如果本公司和投保人均未提出终止本保险，本公司收取相应的续保保险费后， 将根据本合同的约定继续承担相应的保险责任。</w:t>
      </w:r>
    </w:p>
    <w:p>
      <w:pPr>
        <w:pStyle w:val="BodyText"/>
        <w:spacing w:line="297" w:lineRule="auto" w:before="15"/>
        <w:ind w:right="154"/>
      </w:pPr>
      <w:r>
        <w:rPr/>
        <w:pict>
          <v:shape style="position:absolute;margin-left:64.260002pt;margin-top:36.531734pt;width:466.15pt;height:19.45pt;mso-position-horizontal-relative:page;mso-position-vertical-relative:paragraph;z-index:1120;mso-wrap-distance-left:0;mso-wrap-distance-right:0" type="#_x0000_t202" filled="true" fillcolor="#cccccc" stroked="false">
            <v:textbox inset="0,0,0,0">
              <w:txbxContent>
                <w:p>
                  <w:pPr>
                    <w:tabs>
                      <w:tab w:pos="667" w:val="left" w:leader="none"/>
                    </w:tabs>
                    <w:spacing w:line="275" w:lineRule="exact" w:before="0"/>
                    <w:ind w:left="122" w:right="0" w:firstLine="0"/>
                    <w:jc w:val="left"/>
                    <w:rPr>
                      <w:b/>
                      <w:sz w:val="24"/>
                    </w:rPr>
                  </w:pPr>
                  <w:r>
                    <w:rPr>
                      <w:b/>
                      <w:sz w:val="24"/>
                    </w:rPr>
                    <w:t>4</w:t>
                    <w:tab/>
                    <w:t>保险费</w:t>
                  </w:r>
                </w:p>
              </w:txbxContent>
            </v:textbox>
            <v:fill type="solid"/>
            <w10:wrap type="topAndBottom"/>
          </v:shape>
        </w:pict>
      </w:r>
      <w:r>
        <w:rPr/>
        <w:t>本公司保留调整本保险的保险费率的权利。若本公司调整本保险的保险费率，经调整的保险费率本公司将及时通知投保人，自续保起适用。</w:t>
      </w:r>
    </w:p>
    <w:p>
      <w:pPr>
        <w:pStyle w:val="Heading3"/>
        <w:tabs>
          <w:tab w:pos="771" w:val="left" w:leader="none"/>
        </w:tabs>
        <w:spacing w:line="225" w:lineRule="exact" w:before="0"/>
        <w:ind w:left="227" w:firstLine="0"/>
      </w:pPr>
      <w:r>
        <w:rPr/>
        <w:t>4.1</w:t>
        <w:tab/>
        <w:t>保险费</w:t>
      </w:r>
    </w:p>
    <w:p>
      <w:pPr>
        <w:pStyle w:val="BodyText"/>
        <w:spacing w:before="66"/>
      </w:pPr>
      <w:r>
        <w:rPr/>
        <w:pict>
          <v:shape style="position:absolute;margin-left:64.260002pt;margin-top:22.103535pt;width:466.15pt;height:19.45pt;mso-position-horizontal-relative:page;mso-position-vertical-relative:paragraph;z-index:1144;mso-wrap-distance-left:0;mso-wrap-distance-right:0" type="#_x0000_t202" filled="true" fillcolor="#cccccc" stroked="false">
            <v:textbox inset="0,0,0,0">
              <w:txbxContent>
                <w:p>
                  <w:pPr>
                    <w:tabs>
                      <w:tab w:pos="667" w:val="left" w:leader="none"/>
                    </w:tabs>
                    <w:spacing w:line="275" w:lineRule="exact" w:before="0"/>
                    <w:ind w:left="122" w:right="0" w:firstLine="0"/>
                    <w:jc w:val="left"/>
                    <w:rPr>
                      <w:b/>
                      <w:sz w:val="24"/>
                    </w:rPr>
                  </w:pPr>
                  <w:r>
                    <w:rPr>
                      <w:b/>
                      <w:sz w:val="24"/>
                    </w:rPr>
                    <w:t>5</w:t>
                    <w:tab/>
                    <w:t>保险金的申请及给付</w:t>
                  </w:r>
                </w:p>
              </w:txbxContent>
            </v:textbox>
            <v:fill type="solid"/>
            <w10:wrap type="topAndBottom"/>
          </v:shape>
        </w:pict>
      </w:r>
      <w:r>
        <w:rPr/>
        <w:t>保险费将根据投保人与本公司约定的保障内容进行确定，投保人应按合同约定交纳保险费。</w:t>
      </w:r>
    </w:p>
    <w:p>
      <w:pPr>
        <w:pStyle w:val="Heading3"/>
        <w:numPr>
          <w:ilvl w:val="1"/>
          <w:numId w:val="4"/>
        </w:numPr>
        <w:tabs>
          <w:tab w:pos="771" w:val="left" w:leader="none"/>
          <w:tab w:pos="772" w:val="left" w:leader="none"/>
        </w:tabs>
        <w:spacing w:line="225" w:lineRule="exact" w:before="0" w:after="0"/>
        <w:ind w:left="772" w:right="0" w:hanging="545"/>
        <w:jc w:val="left"/>
      </w:pPr>
      <w:r>
        <w:rPr>
          <w:w w:val="95"/>
        </w:rPr>
        <w:t>保险事故通知</w:t>
      </w:r>
    </w:p>
    <w:p>
      <w:pPr>
        <w:pStyle w:val="BodyText"/>
        <w:spacing w:before="64"/>
      </w:pPr>
      <w:r>
        <w:rPr/>
        <w:t>投保人、被保险人或受益人知道保险事故发生后应当在 10 日内通知本公司。</w:t>
      </w:r>
    </w:p>
    <w:p>
      <w:pPr>
        <w:pStyle w:val="BodyText"/>
        <w:spacing w:line="297" w:lineRule="auto"/>
        <w:ind w:right="119"/>
      </w:pPr>
      <w:r>
        <w:rPr>
          <w:spacing w:val="-12"/>
        </w:rPr>
        <w:t>如果投保人、被保险人或受益人故意或者因重大过失未及时通知，致使保险事故的性质、原因、</w:t>
      </w:r>
      <w:r>
        <w:rPr>
          <w:spacing w:val="-14"/>
        </w:rPr>
        <w:t>损失程度等难以确定的，本公司对无法确定的部分，不承担给付保险金的责任，但本公司通过其他途径已经及时知道或者应当及时知道保险事故发生或者虽未及时通知但不影响本公司确 定保险事故的性质、原因、损失程度的除外。</w:t>
      </w:r>
    </w:p>
    <w:p>
      <w:pPr>
        <w:pStyle w:val="ListParagraph"/>
        <w:numPr>
          <w:ilvl w:val="1"/>
          <w:numId w:val="4"/>
        </w:numPr>
        <w:tabs>
          <w:tab w:pos="771" w:val="left" w:leader="none"/>
          <w:tab w:pos="772" w:val="left" w:leader="none"/>
        </w:tabs>
        <w:spacing w:line="240" w:lineRule="auto" w:before="15" w:after="0"/>
        <w:ind w:left="771" w:right="0" w:hanging="544"/>
        <w:jc w:val="left"/>
        <w:rPr>
          <w:sz w:val="21"/>
        </w:rPr>
      </w:pPr>
      <w:r>
        <w:rPr>
          <w:b/>
          <w:spacing w:val="-1"/>
          <w:sz w:val="21"/>
        </w:rPr>
        <w:t>受益人 </w:t>
      </w:r>
      <w:r>
        <w:rPr>
          <w:sz w:val="21"/>
        </w:rPr>
        <w:t>除合同另有约定外，受益人为被保险人本人。</w:t>
      </w:r>
    </w:p>
    <w:p>
      <w:pPr>
        <w:pStyle w:val="ListParagraph"/>
        <w:numPr>
          <w:ilvl w:val="1"/>
          <w:numId w:val="4"/>
        </w:numPr>
        <w:tabs>
          <w:tab w:pos="771" w:val="left" w:leader="none"/>
          <w:tab w:pos="772" w:val="left" w:leader="none"/>
        </w:tabs>
        <w:spacing w:line="297" w:lineRule="auto" w:before="65" w:after="0"/>
        <w:ind w:left="772" w:right="889" w:hanging="545"/>
        <w:jc w:val="left"/>
        <w:rPr>
          <w:b/>
          <w:sz w:val="21"/>
        </w:rPr>
      </w:pPr>
      <w:r>
        <w:rPr>
          <w:b/>
          <w:spacing w:val="-1"/>
          <w:sz w:val="21"/>
        </w:rPr>
        <w:t>保险金申请资料 </w:t>
      </w:r>
      <w:r>
        <w:rPr>
          <w:sz w:val="21"/>
        </w:rPr>
        <w:t>申请人应提供下列资料，本公司有权保留申请资料的原件或复印件： </w:t>
      </w:r>
      <w:r>
        <w:rPr>
          <w:b/>
          <w:w w:val="95"/>
          <w:sz w:val="21"/>
        </w:rPr>
        <w:t>女性特定重大疾病保险金/女性原位癌保险金</w:t>
      </w:r>
    </w:p>
    <w:p>
      <w:pPr>
        <w:pStyle w:val="ListParagraph"/>
        <w:numPr>
          <w:ilvl w:val="2"/>
          <w:numId w:val="4"/>
        </w:numPr>
        <w:tabs>
          <w:tab w:pos="1192" w:val="left" w:leader="none"/>
          <w:tab w:pos="1193" w:val="left" w:leader="none"/>
        </w:tabs>
        <w:spacing w:line="240" w:lineRule="auto" w:before="15" w:after="0"/>
        <w:ind w:left="1192" w:right="0" w:hanging="420"/>
        <w:jc w:val="left"/>
        <w:rPr>
          <w:sz w:val="21"/>
        </w:rPr>
      </w:pPr>
      <w:r>
        <w:rPr>
          <w:sz w:val="21"/>
        </w:rPr>
        <w:t>被保险人的有效身份证件；</w:t>
      </w:r>
    </w:p>
    <w:p>
      <w:pPr>
        <w:pStyle w:val="ListParagraph"/>
        <w:numPr>
          <w:ilvl w:val="2"/>
          <w:numId w:val="4"/>
        </w:numPr>
        <w:tabs>
          <w:tab w:pos="1192" w:val="left" w:leader="none"/>
          <w:tab w:pos="1193" w:val="left" w:leader="none"/>
        </w:tabs>
        <w:spacing w:line="240" w:lineRule="auto" w:before="66" w:after="0"/>
        <w:ind w:left="1192" w:right="0" w:hanging="420"/>
        <w:jc w:val="left"/>
        <w:rPr>
          <w:sz w:val="21"/>
        </w:rPr>
      </w:pPr>
      <w:r>
        <w:rPr>
          <w:spacing w:val="-4"/>
          <w:sz w:val="21"/>
        </w:rPr>
        <w:t>医院出具的疾病诊断证明书、病历记录和确诊疾病必需的病理显微镜检查、血液检查、影</w:t>
      </w:r>
    </w:p>
    <w:p>
      <w:pPr>
        <w:spacing w:after="0" w:line="240" w:lineRule="auto"/>
        <w:jc w:val="left"/>
        <w:rPr>
          <w:sz w:val="21"/>
        </w:rPr>
        <w:sectPr>
          <w:pgSz w:w="11910" w:h="16840"/>
          <w:pgMar w:top="1600" w:bottom="280" w:left="1180" w:right="1180"/>
        </w:sectPr>
      </w:pPr>
    </w:p>
    <w:p>
      <w:pPr>
        <w:pStyle w:val="BodyText"/>
        <w:spacing w:before="0"/>
        <w:ind w:left="0"/>
        <w:rPr>
          <w:sz w:val="24"/>
        </w:rPr>
      </w:pPr>
    </w:p>
    <w:p>
      <w:pPr>
        <w:pStyle w:val="BodyText"/>
        <w:spacing w:before="35"/>
        <w:ind w:left="1192"/>
      </w:pPr>
      <w:r>
        <w:rPr/>
        <w:t>像学检查及其他科学检验报告；</w:t>
      </w:r>
    </w:p>
    <w:p>
      <w:pPr>
        <w:pStyle w:val="ListParagraph"/>
        <w:numPr>
          <w:ilvl w:val="2"/>
          <w:numId w:val="4"/>
        </w:numPr>
        <w:tabs>
          <w:tab w:pos="1192" w:val="left" w:leader="none"/>
          <w:tab w:pos="1193" w:val="left" w:leader="none"/>
        </w:tabs>
        <w:spacing w:line="240" w:lineRule="auto" w:before="65" w:after="0"/>
        <w:ind w:left="1192" w:right="0" w:hanging="420"/>
        <w:jc w:val="left"/>
        <w:rPr>
          <w:sz w:val="21"/>
        </w:rPr>
      </w:pPr>
      <w:r>
        <w:rPr>
          <w:sz w:val="21"/>
        </w:rPr>
        <w:t>所能提供的与确认保险事故的性质、原因等相关的其他证明和资料。</w:t>
      </w:r>
    </w:p>
    <w:p>
      <w:pPr>
        <w:pStyle w:val="BodyText"/>
      </w:pPr>
      <w:r>
        <w:rPr/>
        <w:t>以上证明和资料不完整的，本公司将及时一次性通知申请人补充提供有关证明和资料。</w:t>
      </w:r>
    </w:p>
    <w:p>
      <w:pPr>
        <w:pStyle w:val="Heading3"/>
        <w:numPr>
          <w:ilvl w:val="1"/>
          <w:numId w:val="4"/>
        </w:numPr>
        <w:tabs>
          <w:tab w:pos="771" w:val="left" w:leader="none"/>
          <w:tab w:pos="772" w:val="left" w:leader="none"/>
        </w:tabs>
        <w:spacing w:line="240" w:lineRule="auto" w:before="64" w:after="0"/>
        <w:ind w:left="772" w:right="0" w:hanging="545"/>
        <w:jc w:val="left"/>
      </w:pPr>
      <w:r>
        <w:rPr>
          <w:w w:val="95"/>
        </w:rPr>
        <w:t>保险金的给付</w:t>
      </w:r>
    </w:p>
    <w:p>
      <w:pPr>
        <w:pStyle w:val="BodyText"/>
        <w:spacing w:line="297" w:lineRule="auto"/>
        <w:ind w:right="118"/>
        <w:jc w:val="both"/>
      </w:pPr>
      <w:r>
        <w:rPr/>
        <w:t>本公司在收到保险金给付申请书及合同约定的证明和资料后，将及时作出核定；情形复杂的， </w:t>
      </w:r>
      <w:r>
        <w:rPr>
          <w:spacing w:val="-30"/>
        </w:rPr>
        <w:t>在 </w:t>
      </w:r>
      <w:r>
        <w:rPr/>
        <w:t>30</w:t>
      </w:r>
      <w:r>
        <w:rPr>
          <w:spacing w:val="-19"/>
        </w:rPr>
        <w:t> 日内作出核定。对属于保险责任的，本公司在与受益人达成给付保险金的协议后 </w:t>
      </w:r>
      <w:r>
        <w:rPr/>
        <w:t>10</w:t>
      </w:r>
      <w:r>
        <w:rPr>
          <w:spacing w:val="-15"/>
        </w:rPr>
        <w:t> 日内， 履行给付保险金义务。</w:t>
      </w:r>
    </w:p>
    <w:p>
      <w:pPr>
        <w:pStyle w:val="BodyText"/>
        <w:spacing w:before="15"/>
      </w:pPr>
      <w:r>
        <w:rPr/>
        <w:t>本公司未及时履行前款规定义务的，除支付保险金外，应当赔偿受益人因此受到的损失。</w:t>
      </w:r>
    </w:p>
    <w:p>
      <w:pPr>
        <w:pStyle w:val="BodyText"/>
        <w:spacing w:line="297" w:lineRule="auto" w:before="66"/>
        <w:ind w:right="223"/>
      </w:pPr>
      <w:r>
        <w:rPr>
          <w:spacing w:val="-10"/>
        </w:rPr>
        <w:t>对不属于保险责任的，本公司自作出核定之日起 </w:t>
      </w:r>
      <w:r>
        <w:rPr/>
        <w:t>3</w:t>
      </w:r>
      <w:r>
        <w:rPr>
          <w:spacing w:val="-8"/>
        </w:rPr>
        <w:t> 日内向受益人发出拒绝给付保险金通知书并说明理由。</w:t>
      </w:r>
    </w:p>
    <w:p>
      <w:pPr>
        <w:pStyle w:val="BodyText"/>
        <w:spacing w:line="297" w:lineRule="auto" w:before="15"/>
        <w:ind w:right="119"/>
      </w:pPr>
      <w:r>
        <w:rPr>
          <w:spacing w:val="-2"/>
        </w:rPr>
        <w:t>本公司在收到保险金给付申请书及有关证明和资料之日起 </w:t>
      </w:r>
      <w:r>
        <w:rPr/>
        <w:t>60</w:t>
      </w:r>
      <w:r>
        <w:rPr>
          <w:spacing w:val="-6"/>
        </w:rPr>
        <w:t> 日内，对给付保险金的数额不能</w:t>
      </w:r>
      <w:r>
        <w:rPr>
          <w:spacing w:val="-14"/>
        </w:rPr>
        <w:t>确定的，根据已有证明和资料可以确定的数额先予支付；本公司最终确定给付保险金的数额后， 将支付相应的差额。</w:t>
      </w:r>
    </w:p>
    <w:p>
      <w:pPr>
        <w:pStyle w:val="ListParagraph"/>
        <w:numPr>
          <w:ilvl w:val="1"/>
          <w:numId w:val="4"/>
        </w:numPr>
        <w:tabs>
          <w:tab w:pos="772" w:val="left" w:leader="none"/>
          <w:tab w:pos="773" w:val="left" w:leader="none"/>
        </w:tabs>
        <w:spacing w:line="297" w:lineRule="auto" w:before="15" w:after="0"/>
        <w:ind w:left="772" w:right="260" w:hanging="545"/>
        <w:jc w:val="left"/>
        <w:rPr>
          <w:sz w:val="21"/>
        </w:rPr>
      </w:pPr>
      <w:r>
        <w:rPr/>
        <w:pict>
          <v:shape style="position:absolute;margin-left:64.260002pt;margin-top:36.591728pt;width:466.15pt;height:19.45pt;mso-position-horizontal-relative:page;mso-position-vertical-relative:paragraph;z-index:1168;mso-wrap-distance-left:0;mso-wrap-distance-right:0" type="#_x0000_t202" filled="true" fillcolor="#cccccc" stroked="false">
            <v:textbox inset="0,0,0,0">
              <w:txbxContent>
                <w:p>
                  <w:pPr>
                    <w:tabs>
                      <w:tab w:pos="667" w:val="left" w:leader="none"/>
                    </w:tabs>
                    <w:spacing w:line="275" w:lineRule="exact" w:before="0"/>
                    <w:ind w:left="122" w:right="0" w:firstLine="0"/>
                    <w:jc w:val="left"/>
                    <w:rPr>
                      <w:b/>
                      <w:sz w:val="24"/>
                    </w:rPr>
                  </w:pPr>
                  <w:r>
                    <w:rPr>
                      <w:b/>
                      <w:sz w:val="24"/>
                    </w:rPr>
                    <w:t>6</w:t>
                    <w:tab/>
                    <w:t>其他事项</w:t>
                  </w:r>
                </w:p>
              </w:txbxContent>
            </v:textbox>
            <v:fill type="solid"/>
            <w10:wrap type="topAndBottom"/>
          </v:shape>
        </w:pict>
      </w:r>
      <w:r>
        <w:rPr>
          <w:b/>
          <w:spacing w:val="-1"/>
          <w:sz w:val="21"/>
        </w:rPr>
        <w:t>诉讼时效 </w:t>
      </w:r>
      <w:r>
        <w:rPr>
          <w:spacing w:val="-3"/>
          <w:sz w:val="21"/>
        </w:rPr>
        <w:t>受益人向本公司请求给付保险金的诉讼时效期间为 </w:t>
      </w:r>
      <w:r>
        <w:rPr>
          <w:sz w:val="21"/>
        </w:rPr>
        <w:t>2</w:t>
      </w:r>
      <w:r>
        <w:rPr>
          <w:spacing w:val="-8"/>
          <w:sz w:val="21"/>
        </w:rPr>
        <w:t> 年，自其知道或者应当知道保险事故发生之日起计算。</w:t>
      </w:r>
    </w:p>
    <w:p>
      <w:pPr>
        <w:pStyle w:val="Heading3"/>
        <w:numPr>
          <w:ilvl w:val="1"/>
          <w:numId w:val="5"/>
        </w:numPr>
        <w:tabs>
          <w:tab w:pos="772" w:val="left" w:leader="none"/>
          <w:tab w:pos="773" w:val="left" w:leader="none"/>
        </w:tabs>
        <w:spacing w:line="225" w:lineRule="exact" w:before="0" w:after="0"/>
        <w:ind w:left="772" w:right="0" w:hanging="545"/>
        <w:jc w:val="left"/>
      </w:pPr>
      <w:r>
        <w:rPr>
          <w:w w:val="95"/>
        </w:rPr>
        <w:t>明确说明与如实告知</w:t>
      </w:r>
    </w:p>
    <w:p>
      <w:pPr>
        <w:pStyle w:val="BodyText"/>
        <w:spacing w:before="64"/>
      </w:pPr>
      <w:r>
        <w:rPr/>
        <w:t>订立本合同时，本公司应向投保人说明本合同的内容。</w:t>
      </w:r>
    </w:p>
    <w:p>
      <w:pPr>
        <w:pStyle w:val="BodyText"/>
      </w:pPr>
      <w:r>
        <w:rPr/>
        <w:t>本公司就投保人和被保险人的有关情况提出询问，投保人应当如实告知。</w:t>
      </w:r>
    </w:p>
    <w:p>
      <w:pPr>
        <w:pStyle w:val="BodyText"/>
        <w:spacing w:line="297" w:lineRule="auto"/>
        <w:ind w:right="223"/>
        <w:jc w:val="both"/>
      </w:pPr>
      <w:r>
        <w:rPr>
          <w:spacing w:val="-3"/>
        </w:rPr>
        <w:t>如果投保人故意或者因重大过失未履行前款规定的如实告知义务，足以影响本公司决定是否同意承保或者提高保险费率的，本公司有权解除本合同或取消相关被保险人资格。</w:t>
      </w:r>
    </w:p>
    <w:p>
      <w:pPr>
        <w:pStyle w:val="BodyText"/>
        <w:spacing w:line="297" w:lineRule="auto" w:before="13"/>
        <w:ind w:right="223"/>
        <w:jc w:val="both"/>
      </w:pPr>
      <w:r>
        <w:rPr>
          <w:spacing w:val="-4"/>
        </w:rPr>
        <w:t>如果投保人故意不履行如实告知义务，对于本合同解除或取消相关被保险人资格前发生的保险事故，本公司不承担给付保险金的责任，并不退还保险费。</w:t>
      </w:r>
    </w:p>
    <w:p>
      <w:pPr>
        <w:pStyle w:val="BodyText"/>
        <w:spacing w:line="297" w:lineRule="auto" w:before="15"/>
        <w:ind w:right="222"/>
        <w:jc w:val="both"/>
      </w:pPr>
      <w:r>
        <w:rPr>
          <w:spacing w:val="-3"/>
        </w:rPr>
        <w:t>如果投保人因重大过失未履行如实告知义务，对保险事故的发生有严重影响的，对于本合同解</w:t>
      </w:r>
      <w:r>
        <w:rPr>
          <w:spacing w:val="-6"/>
        </w:rPr>
        <w:t>除或取消相关被保险人资格前发生的保险事故，本公司不承担给付保险金的责任，但应当退还保险费。</w:t>
      </w:r>
    </w:p>
    <w:p>
      <w:pPr>
        <w:pStyle w:val="BodyText"/>
        <w:spacing w:line="297" w:lineRule="auto" w:before="15"/>
        <w:ind w:right="223"/>
        <w:jc w:val="both"/>
      </w:pPr>
      <w:r>
        <w:rPr>
          <w:spacing w:val="-3"/>
        </w:rPr>
        <w:t>本公司在合同订立时已经知道投保人未如实告知的情况的，本公司不得解除合同或取消相关被保险人资格；发生保险事故的，本公司承担给付保险金的责任。</w:t>
      </w:r>
    </w:p>
    <w:p>
      <w:pPr>
        <w:pStyle w:val="ListParagraph"/>
        <w:numPr>
          <w:ilvl w:val="1"/>
          <w:numId w:val="5"/>
        </w:numPr>
        <w:tabs>
          <w:tab w:pos="772" w:val="left" w:leader="none"/>
          <w:tab w:pos="773" w:val="left" w:leader="none"/>
        </w:tabs>
        <w:spacing w:line="297" w:lineRule="auto" w:before="15" w:after="0"/>
        <w:ind w:left="772" w:right="222" w:hanging="545"/>
        <w:jc w:val="left"/>
        <w:rPr>
          <w:sz w:val="21"/>
        </w:rPr>
      </w:pPr>
      <w:r>
        <w:rPr>
          <w:b/>
          <w:spacing w:val="-1"/>
          <w:sz w:val="21"/>
        </w:rPr>
        <w:t>本公司合同解除权的限制 </w:t>
      </w:r>
      <w:r>
        <w:rPr>
          <w:spacing w:val="-4"/>
          <w:sz w:val="21"/>
        </w:rPr>
        <w:t>前条规定的合同解除权，自本公司知道有解除事由之日起，超过 </w:t>
      </w:r>
      <w:r>
        <w:rPr>
          <w:sz w:val="21"/>
        </w:rPr>
        <w:t>30 日不行使而消灭。</w:t>
      </w:r>
    </w:p>
    <w:p>
      <w:pPr>
        <w:pStyle w:val="Heading3"/>
        <w:numPr>
          <w:ilvl w:val="1"/>
          <w:numId w:val="5"/>
        </w:numPr>
        <w:tabs>
          <w:tab w:pos="771" w:val="left" w:leader="none"/>
          <w:tab w:pos="772" w:val="left" w:leader="none"/>
        </w:tabs>
        <w:spacing w:line="240" w:lineRule="auto" w:before="14" w:after="0"/>
        <w:ind w:left="771" w:right="0" w:hanging="544"/>
        <w:jc w:val="left"/>
      </w:pPr>
      <w:r>
        <w:rPr>
          <w:w w:val="95"/>
        </w:rPr>
        <w:t>被保险人变动</w:t>
      </w:r>
    </w:p>
    <w:p>
      <w:pPr>
        <w:pStyle w:val="BodyText"/>
        <w:spacing w:line="297" w:lineRule="auto"/>
        <w:ind w:right="222"/>
        <w:jc w:val="both"/>
      </w:pPr>
      <w:r>
        <w:rPr>
          <w:spacing w:val="-4"/>
        </w:rPr>
        <w:t>如因人员变动需要增加被保险人时，投保人应书面通知本公司。经审核同意并收取相应保险费后，本公司按约定的日期开始承担该被保险人的保险责任。</w:t>
      </w:r>
    </w:p>
    <w:p>
      <w:pPr>
        <w:pStyle w:val="BodyText"/>
        <w:spacing w:line="297" w:lineRule="auto" w:before="15"/>
        <w:ind w:right="222"/>
        <w:jc w:val="both"/>
      </w:pPr>
      <w:r>
        <w:rPr>
          <w:spacing w:val="-3"/>
        </w:rPr>
        <w:t>如因离职或其他原因需要减少被保险人时，投保人应书面通知本公司，相关被保险人资格自通</w:t>
      </w:r>
      <w:r>
        <w:rPr>
          <w:spacing w:val="-8"/>
        </w:rPr>
        <w:t>知到达之日起丧失；如投保人要求的相关被保险人资格取消之日在通知到达日之后，则相关被</w:t>
      </w:r>
      <w:r>
        <w:rPr>
          <w:spacing w:val="-11"/>
        </w:rPr>
        <w:t>保险人资格自投保人要求取消之日零时起丧失。如果该被保险人未发生本合同责任范围内的保险事故，本公司向投保人退还该被保险人的现金价值。</w:t>
      </w:r>
    </w:p>
    <w:p>
      <w:pPr>
        <w:spacing w:after="0" w:line="297" w:lineRule="auto"/>
        <w:jc w:val="both"/>
        <w:sectPr>
          <w:pgSz w:w="11910" w:h="16840"/>
          <w:pgMar w:top="1600" w:bottom="280" w:left="1180" w:right="1180"/>
        </w:sectPr>
      </w:pPr>
    </w:p>
    <w:p>
      <w:pPr>
        <w:pStyle w:val="BodyText"/>
        <w:spacing w:before="0"/>
        <w:ind w:left="0"/>
        <w:rPr>
          <w:sz w:val="24"/>
        </w:rPr>
      </w:pPr>
    </w:p>
    <w:p>
      <w:pPr>
        <w:pStyle w:val="BodyText"/>
        <w:spacing w:line="297" w:lineRule="auto" w:before="35"/>
        <w:ind w:right="221"/>
      </w:pPr>
      <w:r>
        <w:rPr>
          <w:spacing w:val="-5"/>
        </w:rPr>
        <w:t>本合同的被保险人总数小于 </w:t>
      </w:r>
      <w:r>
        <w:rPr/>
        <w:t>5</w:t>
      </w:r>
      <w:r>
        <w:rPr>
          <w:spacing w:val="-11"/>
        </w:rPr>
        <w:t> 人，或低于有参加保险资格人数的 </w:t>
      </w:r>
      <w:r>
        <w:rPr/>
        <w:t>75%</w:t>
      </w:r>
      <w:r>
        <w:rPr>
          <w:spacing w:val="-2"/>
        </w:rPr>
        <w:t>时，本公司有权解除本合同，并向投保人退还本合同的现金价值。</w:t>
      </w:r>
    </w:p>
    <w:p>
      <w:pPr>
        <w:pStyle w:val="ListParagraph"/>
        <w:numPr>
          <w:ilvl w:val="1"/>
          <w:numId w:val="5"/>
        </w:numPr>
        <w:tabs>
          <w:tab w:pos="771" w:val="left" w:leader="none"/>
          <w:tab w:pos="772" w:val="left" w:leader="none"/>
        </w:tabs>
        <w:spacing w:line="297" w:lineRule="auto" w:before="15" w:after="0"/>
        <w:ind w:left="772" w:right="260" w:hanging="545"/>
        <w:jc w:val="left"/>
        <w:rPr>
          <w:sz w:val="21"/>
        </w:rPr>
      </w:pPr>
      <w:r>
        <w:rPr>
          <w:b/>
          <w:spacing w:val="-1"/>
          <w:sz w:val="21"/>
        </w:rPr>
        <w:t>合同内容变更 </w:t>
      </w:r>
      <w:r>
        <w:rPr>
          <w:sz w:val="21"/>
        </w:rPr>
        <w:t>投保人和本公司可以协商变更合同内容。变更本合同的，由本公司在保险单或者其他保险凭证上批注或者附贴批单，或者由投保人和本公司订立变更的书面协议。</w:t>
      </w:r>
    </w:p>
    <w:p>
      <w:pPr>
        <w:pStyle w:val="Heading3"/>
        <w:numPr>
          <w:ilvl w:val="1"/>
          <w:numId w:val="5"/>
        </w:numPr>
        <w:tabs>
          <w:tab w:pos="772" w:val="left" w:leader="none"/>
          <w:tab w:pos="773" w:val="left" w:leader="none"/>
        </w:tabs>
        <w:spacing w:line="240" w:lineRule="auto" w:before="15" w:after="0"/>
        <w:ind w:left="772" w:right="0" w:hanging="545"/>
        <w:jc w:val="left"/>
      </w:pPr>
      <w:r>
        <w:rPr/>
        <w:t>地址变更</w:t>
      </w:r>
    </w:p>
    <w:p>
      <w:pPr>
        <w:pStyle w:val="BodyText"/>
      </w:pPr>
      <w:r>
        <w:rPr/>
        <w:t>本合同有效期内，投保人的住址或通讯地址发生变更时，应及时通知本公司。</w:t>
      </w:r>
    </w:p>
    <w:p>
      <w:pPr>
        <w:pStyle w:val="BodyText"/>
        <w:spacing w:line="297" w:lineRule="auto" w:before="64"/>
        <w:ind w:right="168"/>
      </w:pPr>
      <w:r>
        <w:rPr/>
        <w:t>如果未通知本公司，本公司将按本合同注明的最后住址或通讯地址发送有关通知，并视为已送达投保人。</w:t>
      </w:r>
    </w:p>
    <w:p>
      <w:pPr>
        <w:pStyle w:val="Heading3"/>
        <w:numPr>
          <w:ilvl w:val="1"/>
          <w:numId w:val="5"/>
        </w:numPr>
        <w:tabs>
          <w:tab w:pos="772" w:val="left" w:leader="none"/>
          <w:tab w:pos="773" w:val="left" w:leader="none"/>
        </w:tabs>
        <w:spacing w:line="240" w:lineRule="auto" w:before="15" w:after="0"/>
        <w:ind w:left="772" w:right="0" w:hanging="545"/>
        <w:jc w:val="left"/>
      </w:pPr>
      <w:r>
        <w:rPr>
          <w:w w:val="95"/>
        </w:rPr>
        <w:t>年龄确定与错误处理</w:t>
      </w:r>
    </w:p>
    <w:p>
      <w:pPr>
        <w:pStyle w:val="BodyText"/>
        <w:spacing w:line="297" w:lineRule="auto" w:before="64"/>
        <w:ind w:right="155"/>
      </w:pPr>
      <w:r>
        <w:rPr/>
        <w:t>被保险人的年龄按周岁计算，其中投保年龄以本合同生效日时的周岁为准。如果发生错误，本公司将按照下列规则处理：</w:t>
      </w:r>
    </w:p>
    <w:p>
      <w:pPr>
        <w:pStyle w:val="ListParagraph"/>
        <w:numPr>
          <w:ilvl w:val="2"/>
          <w:numId w:val="5"/>
        </w:numPr>
        <w:tabs>
          <w:tab w:pos="1192" w:val="left" w:leader="none"/>
          <w:tab w:pos="1193" w:val="left" w:leader="none"/>
        </w:tabs>
        <w:spacing w:line="297" w:lineRule="auto" w:before="15" w:after="0"/>
        <w:ind w:left="1192" w:right="161" w:hanging="420"/>
        <w:jc w:val="left"/>
        <w:rPr>
          <w:sz w:val="21"/>
        </w:rPr>
      </w:pPr>
      <w:r>
        <w:rPr>
          <w:sz w:val="21"/>
        </w:rPr>
        <w:t>投保人申报的被保险人年龄不真实，并且其真实年龄不符合本合同约定投保年龄限制的， </w:t>
      </w:r>
      <w:r>
        <w:rPr>
          <w:spacing w:val="-4"/>
          <w:sz w:val="21"/>
        </w:rPr>
        <w:t>本公司有权解除合同或取消该被保险人资格，并对合同解除或取消该被保险人资格前发生</w:t>
      </w:r>
      <w:r>
        <w:rPr>
          <w:spacing w:val="-7"/>
          <w:sz w:val="21"/>
        </w:rPr>
        <w:t>的保险事故不承担给付保险金的责任。解除本合同或取消该被保险人资格的，本公司向投</w:t>
      </w:r>
      <w:r>
        <w:rPr>
          <w:spacing w:val="-9"/>
          <w:sz w:val="21"/>
        </w:rPr>
        <w:t>保人退还本合同或该被保险人的现金价值。本公司行使合同解除权适用本条款第 </w:t>
      </w:r>
      <w:r>
        <w:rPr>
          <w:sz w:val="21"/>
        </w:rPr>
        <w:t>6.2</w:t>
      </w:r>
      <w:r>
        <w:rPr>
          <w:spacing w:val="-17"/>
          <w:sz w:val="21"/>
        </w:rPr>
        <w:t> 条“本公司合同解除权的限制”的规定。</w:t>
      </w:r>
    </w:p>
    <w:p>
      <w:pPr>
        <w:pStyle w:val="ListParagraph"/>
        <w:numPr>
          <w:ilvl w:val="2"/>
          <w:numId w:val="5"/>
        </w:numPr>
        <w:tabs>
          <w:tab w:pos="1193" w:val="left" w:leader="none"/>
        </w:tabs>
        <w:spacing w:line="297" w:lineRule="auto" w:before="14" w:after="0"/>
        <w:ind w:left="1192" w:right="222" w:hanging="420"/>
        <w:jc w:val="both"/>
        <w:rPr>
          <w:sz w:val="21"/>
        </w:rPr>
      </w:pPr>
      <w:r>
        <w:rPr>
          <w:spacing w:val="-3"/>
          <w:sz w:val="21"/>
        </w:rPr>
        <w:t>投保人申报的被保险人年龄不真实，致使投保人实付保险费少于应付保险费的，本公司有</w:t>
      </w:r>
      <w:r>
        <w:rPr>
          <w:spacing w:val="-7"/>
          <w:sz w:val="21"/>
        </w:rPr>
        <w:t>权更正并要求投保人补交保险费。若已经发生保险事故，在给付保险金时按实付保险费和应付保险费的比例给付。</w:t>
      </w:r>
    </w:p>
    <w:p>
      <w:pPr>
        <w:pStyle w:val="ListParagraph"/>
        <w:numPr>
          <w:ilvl w:val="2"/>
          <w:numId w:val="5"/>
        </w:numPr>
        <w:tabs>
          <w:tab w:pos="1192" w:val="left" w:leader="none"/>
          <w:tab w:pos="1193" w:val="left" w:leader="none"/>
        </w:tabs>
        <w:spacing w:line="297" w:lineRule="auto" w:before="14" w:after="0"/>
        <w:ind w:left="1192" w:right="222" w:hanging="420"/>
        <w:jc w:val="left"/>
        <w:rPr>
          <w:sz w:val="21"/>
        </w:rPr>
      </w:pPr>
      <w:r>
        <w:rPr>
          <w:spacing w:val="-3"/>
          <w:sz w:val="21"/>
        </w:rPr>
        <w:t>投保人申报的被保险人年龄不真实，致使投保人实付保险费多于应付保险费的，本公司会将多收的保险费无息退还给投保人。</w:t>
      </w:r>
    </w:p>
    <w:p>
      <w:pPr>
        <w:pStyle w:val="Heading3"/>
        <w:numPr>
          <w:ilvl w:val="1"/>
          <w:numId w:val="5"/>
        </w:numPr>
        <w:tabs>
          <w:tab w:pos="772" w:val="left" w:leader="none"/>
          <w:tab w:pos="773" w:val="left" w:leader="none"/>
        </w:tabs>
        <w:spacing w:line="240" w:lineRule="auto" w:before="15" w:after="0"/>
        <w:ind w:left="772" w:right="0" w:hanging="545"/>
        <w:jc w:val="left"/>
      </w:pPr>
      <w:r>
        <w:rPr/>
        <w:t>争议处理</w:t>
      </w:r>
    </w:p>
    <w:p>
      <w:pPr>
        <w:pStyle w:val="BodyText"/>
        <w:spacing w:before="64"/>
        <w:ind w:left="736"/>
      </w:pPr>
      <w:r>
        <w:rPr/>
        <w:t>合同争议解决方式由当事人在合同约定从下列两种方式中选择一种：</w:t>
      </w:r>
    </w:p>
    <w:p>
      <w:pPr>
        <w:pStyle w:val="ListParagraph"/>
        <w:numPr>
          <w:ilvl w:val="0"/>
          <w:numId w:val="6"/>
        </w:numPr>
        <w:tabs>
          <w:tab w:pos="1133" w:val="left" w:leader="none"/>
          <w:tab w:pos="8269" w:val="left" w:leader="none"/>
        </w:tabs>
        <w:spacing w:line="297" w:lineRule="auto" w:before="65" w:after="0"/>
        <w:ind w:left="1130" w:right="223" w:hanging="358"/>
        <w:jc w:val="left"/>
        <w:rPr>
          <w:sz w:val="21"/>
        </w:rPr>
      </w:pPr>
      <w:r>
        <w:rPr>
          <w:sz w:val="21"/>
        </w:rPr>
        <w:t>因履行本合同发生的争议，由当事人协商解决，协商不成的，提交</w:t>
      </w:r>
      <w:r>
        <w:rPr>
          <w:sz w:val="21"/>
          <w:u w:val="single"/>
        </w:rPr>
        <w:t> </w:t>
        <w:tab/>
      </w:r>
      <w:r>
        <w:rPr>
          <w:spacing w:val="-1"/>
          <w:sz w:val="21"/>
        </w:rPr>
        <w:t>仲裁</w:t>
      </w:r>
      <w:r>
        <w:rPr>
          <w:sz w:val="21"/>
        </w:rPr>
        <w:t>委员会仲裁；</w:t>
      </w:r>
    </w:p>
    <w:p>
      <w:pPr>
        <w:pStyle w:val="ListParagraph"/>
        <w:numPr>
          <w:ilvl w:val="0"/>
          <w:numId w:val="6"/>
        </w:numPr>
        <w:tabs>
          <w:tab w:pos="1133" w:val="left" w:leader="none"/>
        </w:tabs>
        <w:spacing w:line="240" w:lineRule="auto" w:before="13" w:after="0"/>
        <w:ind w:left="1130" w:right="0" w:hanging="358"/>
        <w:jc w:val="left"/>
        <w:rPr>
          <w:sz w:val="21"/>
        </w:rPr>
      </w:pPr>
      <w:r>
        <w:rPr>
          <w:sz w:val="21"/>
        </w:rPr>
        <w:t>因履行本合同发生的争议，由当事人协商解决，协商不成的，依法向人民法院起诉。</w:t>
      </w:r>
    </w:p>
    <w:p>
      <w:pPr>
        <w:pStyle w:val="Heading2"/>
        <w:tabs>
          <w:tab w:pos="9427" w:val="left" w:leader="none"/>
        </w:tabs>
        <w:spacing w:line="240" w:lineRule="auto" w:before="61"/>
        <w:ind w:left="105"/>
      </w:pPr>
      <w:r>
        <w:rPr>
          <w:rFonts w:ascii="Times New Roman" w:eastAsia="Times New Roman"/>
          <w:shd w:fill="CCCCCC" w:color="auto" w:val="clear"/>
        </w:rPr>
        <w:t> </w:t>
      </w:r>
      <w:r>
        <w:rPr>
          <w:rFonts w:ascii="Times New Roman" w:eastAsia="Times New Roman"/>
          <w:spacing w:val="1"/>
          <w:shd w:fill="CCCCCC" w:color="auto" w:val="clear"/>
        </w:rPr>
        <w:t> </w:t>
      </w:r>
      <w:r>
        <w:rPr>
          <w:w w:val="95"/>
          <w:shd w:fill="CCCCCC" w:color="auto" w:val="clear"/>
        </w:rPr>
        <w:t>名词释义</w:t>
      </w:r>
      <w:r>
        <w:rPr>
          <w:shd w:fill="CCCCCC" w:color="auto" w:val="clear"/>
        </w:rPr>
        <w:tab/>
      </w:r>
    </w:p>
    <w:p>
      <w:pPr>
        <w:pStyle w:val="ListParagraph"/>
        <w:numPr>
          <w:ilvl w:val="0"/>
          <w:numId w:val="7"/>
        </w:numPr>
        <w:tabs>
          <w:tab w:pos="772" w:val="left" w:leader="none"/>
          <w:tab w:pos="773" w:val="left" w:leader="none"/>
        </w:tabs>
        <w:spacing w:line="240" w:lineRule="auto" w:before="78" w:after="0"/>
        <w:ind w:left="772" w:right="0" w:hanging="545"/>
        <w:jc w:val="left"/>
        <w:rPr>
          <w:sz w:val="21"/>
        </w:rPr>
      </w:pPr>
      <w:r>
        <w:rPr>
          <w:b/>
          <w:spacing w:val="-1"/>
          <w:sz w:val="21"/>
        </w:rPr>
        <w:t>周岁 </w:t>
      </w:r>
      <w:r>
        <w:rPr>
          <w:sz w:val="21"/>
        </w:rPr>
        <w:t>以法定身份证明文件中记载的出生日期为基础计算。</w:t>
      </w:r>
    </w:p>
    <w:p>
      <w:pPr>
        <w:pStyle w:val="ListParagraph"/>
        <w:numPr>
          <w:ilvl w:val="0"/>
          <w:numId w:val="7"/>
        </w:numPr>
        <w:tabs>
          <w:tab w:pos="771" w:val="left" w:leader="none"/>
          <w:tab w:pos="772" w:val="left" w:leader="none"/>
        </w:tabs>
        <w:spacing w:line="297" w:lineRule="auto" w:before="65" w:after="0"/>
        <w:ind w:left="772" w:right="118" w:hanging="545"/>
        <w:jc w:val="left"/>
        <w:rPr>
          <w:sz w:val="21"/>
        </w:rPr>
      </w:pPr>
      <w:r>
        <w:rPr>
          <w:b/>
          <w:spacing w:val="-1"/>
          <w:sz w:val="21"/>
        </w:rPr>
        <w:t>女性特定重大疾病 </w:t>
      </w:r>
      <w:r>
        <w:rPr>
          <w:spacing w:val="-6"/>
          <w:sz w:val="21"/>
        </w:rPr>
        <w:t>是指原发于女性乳腺、子宫、子宫颈、卵巢、输卵管、阴道和外阴的癌症， </w:t>
      </w:r>
      <w:r>
        <w:rPr>
          <w:b/>
          <w:spacing w:val="-6"/>
          <w:w w:val="95"/>
          <w:sz w:val="21"/>
        </w:rPr>
        <w:t>但不包括原位癌和转移癌</w:t>
      </w:r>
      <w:r>
        <w:rPr>
          <w:spacing w:val="-6"/>
          <w:w w:val="95"/>
          <w:sz w:val="21"/>
        </w:rPr>
        <w:t>。以上女性特定重大疾病应当由专科医生明确诊断。</w:t>
      </w:r>
    </w:p>
    <w:p>
      <w:pPr>
        <w:pStyle w:val="ListParagraph"/>
        <w:numPr>
          <w:ilvl w:val="0"/>
          <w:numId w:val="7"/>
        </w:numPr>
        <w:tabs>
          <w:tab w:pos="771" w:val="left" w:leader="none"/>
          <w:tab w:pos="773" w:val="left" w:leader="none"/>
        </w:tabs>
        <w:spacing w:line="297" w:lineRule="auto" w:before="13" w:after="0"/>
        <w:ind w:left="772" w:right="261" w:hanging="545"/>
        <w:jc w:val="left"/>
        <w:rPr>
          <w:sz w:val="21"/>
        </w:rPr>
      </w:pPr>
      <w:r>
        <w:rPr>
          <w:b/>
          <w:spacing w:val="-1"/>
          <w:sz w:val="21"/>
        </w:rPr>
        <w:t>原位癌 </w:t>
      </w:r>
      <w:r>
        <w:rPr>
          <w:sz w:val="21"/>
        </w:rPr>
        <w:t>指粘膜上皮层内或皮肤表皮层内的非典型增生（重度）累及上皮的全层，但尚未侵破基底膜而向下浸润生长者。</w:t>
      </w:r>
    </w:p>
    <w:p>
      <w:pPr>
        <w:pStyle w:val="BodyText"/>
        <w:spacing w:line="297" w:lineRule="auto" w:before="15"/>
        <w:ind w:right="260"/>
      </w:pPr>
      <w:r>
        <w:rPr>
          <w:b/>
        </w:rPr>
        <w:t>女性原位癌 </w:t>
      </w:r>
      <w:r>
        <w:rPr/>
        <w:t>是指女性乳腺、子宫、子宫颈、卵巢、输卵管、阴道和外阴的原位癌。女性原位癌应当由专科医生明确诊断。</w:t>
      </w:r>
    </w:p>
    <w:p>
      <w:pPr>
        <w:pStyle w:val="BodyText"/>
        <w:spacing w:line="273" w:lineRule="auto" w:before="35"/>
        <w:ind w:right="220"/>
      </w:pPr>
      <w:r>
        <w:rPr>
          <w:b/>
        </w:rPr>
        <w:t>乳腺原位癌 </w:t>
      </w:r>
      <w:r>
        <w:rPr/>
        <w:t>尚未浸润正常组织的原发性局灶性癌细胞新生物。“浸润”是指穿透基底膜并且实际破坏了基底膜以下的正常组织。乳腺原位癌的诊断必须由组织病理学报告证实。</w:t>
      </w:r>
    </w:p>
    <w:p>
      <w:pPr>
        <w:pStyle w:val="BodyText"/>
        <w:spacing w:before="7"/>
      </w:pPr>
      <w:r>
        <w:rPr>
          <w:b/>
          <w:position w:val="1"/>
        </w:rPr>
        <w:t>子宫原位癌 </w:t>
      </w:r>
      <w:r>
        <w:rPr>
          <w:position w:val="1"/>
        </w:rPr>
        <w:t>TNM 分级为 TisN</w:t>
      </w:r>
      <w:r>
        <w:rPr>
          <w:sz w:val="11"/>
        </w:rPr>
        <w:t>0</w:t>
      </w:r>
      <w:r>
        <w:rPr>
          <w:position w:val="1"/>
        </w:rPr>
        <w:t>M</w:t>
      </w:r>
      <w:r>
        <w:rPr>
          <w:sz w:val="11"/>
        </w:rPr>
        <w:t>0 </w:t>
      </w:r>
      <w:r>
        <w:rPr>
          <w:position w:val="1"/>
        </w:rPr>
        <w:t>或国际妇产科联合会分级 FIGO 0 的子宫肿瘤。</w:t>
      </w:r>
    </w:p>
    <w:p>
      <w:pPr>
        <w:spacing w:after="0"/>
        <w:sectPr>
          <w:pgSz w:w="11910" w:h="16840"/>
          <w:pgMar w:top="1600" w:bottom="280" w:left="1180" w:right="1180"/>
        </w:sectPr>
      </w:pPr>
    </w:p>
    <w:p>
      <w:pPr>
        <w:pStyle w:val="BodyText"/>
        <w:spacing w:before="7"/>
        <w:ind w:left="0"/>
        <w:rPr>
          <w:sz w:val="25"/>
        </w:rPr>
      </w:pPr>
    </w:p>
    <w:p>
      <w:pPr>
        <w:spacing w:line="273" w:lineRule="auto" w:before="35"/>
        <w:ind w:left="652" w:right="220" w:firstLine="0"/>
        <w:jc w:val="both"/>
        <w:rPr>
          <w:b/>
          <w:sz w:val="21"/>
        </w:rPr>
      </w:pPr>
      <w:r>
        <w:rPr>
          <w:b/>
          <w:spacing w:val="2"/>
          <w:sz w:val="21"/>
        </w:rPr>
        <w:t>子宫颈原位癌 </w:t>
      </w:r>
      <w:r>
        <w:rPr>
          <w:sz w:val="21"/>
        </w:rPr>
        <w:t>尚未浸润正常组织的局灶性癌细胞新生物。“浸润”是指穿透基底膜并且实际</w:t>
      </w:r>
      <w:r>
        <w:rPr>
          <w:spacing w:val="-5"/>
          <w:sz w:val="21"/>
        </w:rPr>
        <w:t>破坏了基底膜以下的正常组织。子宫颈原位癌必须基于取自子宫颈圆锥切除活检或阴道镜子宫颈活检固定组织的显微镜检查结果诊断。</w:t>
      </w:r>
      <w:r>
        <w:rPr>
          <w:b/>
          <w:spacing w:val="-5"/>
          <w:sz w:val="21"/>
        </w:rPr>
        <w:t>子宫颈上皮内瘤样病变（CIN）</w:t>
      </w:r>
      <w:r>
        <w:rPr>
          <w:b/>
          <w:spacing w:val="-3"/>
          <w:sz w:val="21"/>
        </w:rPr>
        <w:t>分类 </w:t>
      </w:r>
      <w:r>
        <w:rPr>
          <w:b/>
          <w:sz w:val="21"/>
        </w:rPr>
        <w:t>CIN</w:t>
      </w:r>
      <w:r>
        <w:rPr>
          <w:b/>
          <w:spacing w:val="2"/>
          <w:sz w:val="21"/>
        </w:rPr>
        <w:t> </w:t>
      </w:r>
      <w:r>
        <w:rPr>
          <w:b/>
          <w:sz w:val="21"/>
        </w:rPr>
        <w:t>I、CIN</w:t>
      </w:r>
      <w:r>
        <w:rPr>
          <w:b/>
          <w:spacing w:val="2"/>
          <w:sz w:val="21"/>
        </w:rPr>
        <w:t> </w:t>
      </w:r>
      <w:r>
        <w:rPr>
          <w:b/>
          <w:sz w:val="21"/>
        </w:rPr>
        <w:t>II </w:t>
      </w:r>
      <w:r>
        <w:rPr>
          <w:b/>
          <w:spacing w:val="-32"/>
          <w:sz w:val="21"/>
        </w:rPr>
        <w:t>和 </w:t>
      </w:r>
      <w:r>
        <w:rPr>
          <w:b/>
          <w:sz w:val="21"/>
        </w:rPr>
        <w:t>CIN</w:t>
      </w:r>
      <w:r>
        <w:rPr>
          <w:b/>
          <w:spacing w:val="-22"/>
          <w:sz w:val="21"/>
        </w:rPr>
        <w:t> </w:t>
      </w:r>
      <w:r>
        <w:rPr>
          <w:b/>
          <w:sz w:val="21"/>
        </w:rPr>
        <w:t>III（严重非典型增生但无原位癌）的子宫颈上皮病变不在本合同保障范围内。</w:t>
      </w:r>
    </w:p>
    <w:p>
      <w:pPr>
        <w:pStyle w:val="BodyText"/>
        <w:spacing w:line="273" w:lineRule="auto" w:before="6"/>
        <w:ind w:left="652" w:right="222"/>
      </w:pPr>
      <w:r>
        <w:rPr>
          <w:b/>
          <w:spacing w:val="-2"/>
          <w:position w:val="1"/>
        </w:rPr>
        <w:t>卵巢原位癌 </w:t>
      </w:r>
      <w:r>
        <w:rPr>
          <w:position w:val="1"/>
        </w:rPr>
        <w:t>肿瘤应该包膜完整，卵巢表面无肿瘤，TNM</w:t>
      </w:r>
      <w:r>
        <w:rPr>
          <w:spacing w:val="-20"/>
          <w:position w:val="1"/>
        </w:rPr>
        <w:t> 分级为 </w:t>
      </w:r>
      <w:r>
        <w:rPr>
          <w:position w:val="1"/>
        </w:rPr>
        <w:t>T1aN</w:t>
      </w:r>
      <w:r>
        <w:rPr>
          <w:sz w:val="11"/>
        </w:rPr>
        <w:t>0</w:t>
      </w:r>
      <w:r>
        <w:rPr>
          <w:position w:val="1"/>
        </w:rPr>
        <w:t>M</w:t>
      </w:r>
      <w:r>
        <w:rPr>
          <w:sz w:val="11"/>
        </w:rPr>
        <w:t>0 </w:t>
      </w:r>
      <w:r>
        <w:rPr>
          <w:spacing w:val="-2"/>
          <w:position w:val="1"/>
        </w:rPr>
        <w:t>或国际妇产科联盟分级</w:t>
      </w:r>
      <w:r>
        <w:rPr>
          <w:spacing w:val="-2"/>
        </w:rPr>
        <w:t>为 </w:t>
      </w:r>
      <w:r>
        <w:rPr/>
        <w:t>FIGO 1A。</w:t>
      </w:r>
    </w:p>
    <w:p>
      <w:pPr>
        <w:spacing w:before="7"/>
        <w:ind w:left="652" w:right="0" w:firstLine="0"/>
        <w:jc w:val="both"/>
        <w:rPr>
          <w:sz w:val="21"/>
        </w:rPr>
      </w:pPr>
      <w:r>
        <w:rPr>
          <w:b/>
          <w:sz w:val="21"/>
        </w:rPr>
        <w:t>输卵管原位癌 </w:t>
      </w:r>
      <w:r>
        <w:rPr>
          <w:sz w:val="21"/>
        </w:rPr>
        <w:t>肿瘤应该局限于输卵管粘膜内，TNM 分级为 Tis。</w:t>
      </w:r>
    </w:p>
    <w:p>
      <w:pPr>
        <w:pStyle w:val="BodyText"/>
        <w:spacing w:before="96"/>
        <w:ind w:left="652"/>
        <w:jc w:val="both"/>
      </w:pPr>
      <w:r>
        <w:rPr>
          <w:b/>
        </w:rPr>
        <w:t>阴道原位癌 </w:t>
      </w:r>
      <w:r>
        <w:rPr/>
        <w:t>TNM 分级为 Tis 或国际妇产科联盟分级 FIGO 0 的阴道肿瘤。</w:t>
      </w:r>
    </w:p>
    <w:p>
      <w:pPr>
        <w:pStyle w:val="BodyText"/>
        <w:spacing w:before="95"/>
        <w:ind w:left="652"/>
        <w:jc w:val="both"/>
      </w:pPr>
      <w:r>
        <w:rPr>
          <w:b/>
          <w:position w:val="1"/>
        </w:rPr>
        <w:t>外阴原位癌 </w:t>
      </w:r>
      <w:r>
        <w:rPr>
          <w:position w:val="1"/>
        </w:rPr>
        <w:t>TNM 分级为 TisN</w:t>
      </w:r>
      <w:r>
        <w:rPr>
          <w:sz w:val="11"/>
        </w:rPr>
        <w:t>0</w:t>
      </w:r>
      <w:r>
        <w:rPr>
          <w:position w:val="1"/>
        </w:rPr>
        <w:t>M</w:t>
      </w:r>
      <w:r>
        <w:rPr>
          <w:sz w:val="11"/>
        </w:rPr>
        <w:t>0 </w:t>
      </w:r>
      <w:r>
        <w:rPr>
          <w:position w:val="1"/>
        </w:rPr>
        <w:t>或国际妇产科联合会分级 FIGO 0 的外阴肿瘤。</w:t>
      </w:r>
    </w:p>
    <w:p>
      <w:pPr>
        <w:pStyle w:val="ListParagraph"/>
        <w:numPr>
          <w:ilvl w:val="0"/>
          <w:numId w:val="7"/>
        </w:numPr>
        <w:tabs>
          <w:tab w:pos="651" w:val="left" w:leader="none"/>
          <w:tab w:pos="653" w:val="left" w:leader="none"/>
        </w:tabs>
        <w:spacing w:line="240" w:lineRule="auto" w:before="16" w:after="0"/>
        <w:ind w:left="652" w:right="0" w:hanging="545"/>
        <w:jc w:val="left"/>
        <w:rPr>
          <w:sz w:val="21"/>
        </w:rPr>
      </w:pPr>
      <w:r>
        <w:rPr>
          <w:b/>
          <w:spacing w:val="-1"/>
          <w:sz w:val="21"/>
        </w:rPr>
        <w:t>专科医生 </w:t>
      </w:r>
      <w:r>
        <w:rPr>
          <w:sz w:val="21"/>
        </w:rPr>
        <w:t>上述释义中所指的专科医生应当同时满足以下四项资格条件：</w:t>
      </w:r>
    </w:p>
    <w:p>
      <w:pPr>
        <w:pStyle w:val="ListParagraph"/>
        <w:numPr>
          <w:ilvl w:val="1"/>
          <w:numId w:val="7"/>
        </w:numPr>
        <w:tabs>
          <w:tab w:pos="1073" w:val="left" w:leader="none"/>
        </w:tabs>
        <w:spacing w:line="240" w:lineRule="auto" w:before="65" w:after="0"/>
        <w:ind w:left="1072" w:right="0" w:hanging="420"/>
        <w:jc w:val="both"/>
        <w:rPr>
          <w:sz w:val="21"/>
        </w:rPr>
      </w:pPr>
      <w:r>
        <w:rPr>
          <w:spacing w:val="-6"/>
          <w:sz w:val="21"/>
        </w:rPr>
        <w:t>具有有效的中华人民共和国《医师资格证书》；</w:t>
      </w:r>
    </w:p>
    <w:p>
      <w:pPr>
        <w:pStyle w:val="ListParagraph"/>
        <w:numPr>
          <w:ilvl w:val="1"/>
          <w:numId w:val="7"/>
        </w:numPr>
        <w:tabs>
          <w:tab w:pos="1073" w:val="left" w:leader="none"/>
        </w:tabs>
        <w:spacing w:line="240" w:lineRule="auto" w:before="65" w:after="0"/>
        <w:ind w:left="1072" w:right="0" w:hanging="420"/>
        <w:jc w:val="both"/>
        <w:rPr>
          <w:sz w:val="21"/>
        </w:rPr>
      </w:pPr>
      <w:r>
        <w:rPr>
          <w:spacing w:val="-7"/>
          <w:sz w:val="21"/>
        </w:rPr>
        <w:t>具有有效的中华人民共和国《医师执业证书》，并按期到相关部门登记注册；</w:t>
      </w:r>
    </w:p>
    <w:p>
      <w:pPr>
        <w:pStyle w:val="ListParagraph"/>
        <w:numPr>
          <w:ilvl w:val="1"/>
          <w:numId w:val="7"/>
        </w:numPr>
        <w:tabs>
          <w:tab w:pos="1073" w:val="left" w:leader="none"/>
        </w:tabs>
        <w:spacing w:line="240" w:lineRule="auto" w:before="65" w:after="0"/>
        <w:ind w:left="1072" w:right="0" w:hanging="420"/>
        <w:jc w:val="both"/>
        <w:rPr>
          <w:sz w:val="21"/>
        </w:rPr>
      </w:pPr>
      <w:r>
        <w:rPr>
          <w:spacing w:val="-4"/>
          <w:sz w:val="21"/>
        </w:rPr>
        <w:t>具有有效的中华人民共和国主治医师或主治医师以上职称的《医师职称证书》；</w:t>
      </w:r>
    </w:p>
    <w:p>
      <w:pPr>
        <w:pStyle w:val="ListParagraph"/>
        <w:numPr>
          <w:ilvl w:val="1"/>
          <w:numId w:val="7"/>
        </w:numPr>
        <w:tabs>
          <w:tab w:pos="1073" w:val="left" w:leader="none"/>
        </w:tabs>
        <w:spacing w:line="240" w:lineRule="auto" w:before="64" w:after="0"/>
        <w:ind w:left="1072" w:right="0" w:hanging="420"/>
        <w:jc w:val="both"/>
        <w:rPr>
          <w:sz w:val="21"/>
        </w:rPr>
      </w:pPr>
      <w:r>
        <w:rPr>
          <w:sz w:val="21"/>
        </w:rPr>
        <w:t>在二级或二级以上医院的相应科室从事临床工作三年以上。</w:t>
      </w:r>
    </w:p>
    <w:p>
      <w:pPr>
        <w:pStyle w:val="ListParagraph"/>
        <w:numPr>
          <w:ilvl w:val="0"/>
          <w:numId w:val="7"/>
        </w:numPr>
        <w:tabs>
          <w:tab w:pos="651" w:val="left" w:leader="none"/>
          <w:tab w:pos="653" w:val="left" w:leader="none"/>
        </w:tabs>
        <w:spacing w:line="297" w:lineRule="auto" w:before="65" w:after="0"/>
        <w:ind w:left="652" w:right="117" w:hanging="545"/>
        <w:jc w:val="left"/>
        <w:rPr>
          <w:sz w:val="21"/>
        </w:rPr>
      </w:pPr>
      <w:r>
        <w:rPr>
          <w:b/>
          <w:spacing w:val="-1"/>
          <w:sz w:val="21"/>
        </w:rPr>
        <w:t>遗传性疾病 </w:t>
      </w:r>
      <w:r>
        <w:rPr>
          <w:spacing w:val="-3"/>
          <w:sz w:val="21"/>
        </w:rPr>
        <w:t>指生殖细胞或受精卵的遗传物质</w:t>
      </w:r>
      <w:r>
        <w:rPr>
          <w:sz w:val="21"/>
        </w:rPr>
        <w:t>（染色体和基因</w:t>
      </w:r>
      <w:r>
        <w:rPr>
          <w:spacing w:val="-34"/>
          <w:sz w:val="21"/>
        </w:rPr>
        <w:t>）</w:t>
      </w:r>
      <w:r>
        <w:rPr>
          <w:sz w:val="21"/>
        </w:rPr>
        <w:t>发生突变或畸变所引起的疾病， 通常具有由亲代传至后代的垂直传递的特征。</w:t>
      </w:r>
    </w:p>
    <w:p>
      <w:pPr>
        <w:pStyle w:val="ListParagraph"/>
        <w:numPr>
          <w:ilvl w:val="0"/>
          <w:numId w:val="7"/>
        </w:numPr>
        <w:tabs>
          <w:tab w:pos="651" w:val="left" w:leader="none"/>
          <w:tab w:pos="652" w:val="left" w:leader="none"/>
        </w:tabs>
        <w:spacing w:line="297" w:lineRule="auto" w:before="13" w:after="0"/>
        <w:ind w:left="652" w:right="117" w:hanging="545"/>
        <w:jc w:val="left"/>
        <w:rPr>
          <w:sz w:val="21"/>
        </w:rPr>
      </w:pPr>
      <w:r>
        <w:rPr>
          <w:b/>
          <w:sz w:val="21"/>
        </w:rPr>
        <w:t>先天性畸形、变形或染色体异常 </w:t>
      </w:r>
      <w:r>
        <w:rPr>
          <w:sz w:val="21"/>
        </w:rPr>
        <w:t>指被保险人出生时就具有的畸形、变形或染色体异常。先天</w:t>
      </w:r>
      <w:r>
        <w:rPr>
          <w:spacing w:val="-15"/>
          <w:sz w:val="21"/>
        </w:rPr>
        <w:t>性畸形、变形和染色体异常依照世界卫生组织《疾病和有关健康问题的国际统计分类</w:t>
      </w:r>
      <w:r>
        <w:rPr>
          <w:spacing w:val="-197"/>
          <w:sz w:val="21"/>
        </w:rPr>
        <w:t>》</w:t>
      </w:r>
      <w:r>
        <w:rPr>
          <w:sz w:val="21"/>
        </w:rPr>
        <w:t>（ICD-10） 确定。</w:t>
      </w:r>
    </w:p>
    <w:p>
      <w:pPr>
        <w:pStyle w:val="ListParagraph"/>
        <w:numPr>
          <w:ilvl w:val="0"/>
          <w:numId w:val="7"/>
        </w:numPr>
        <w:tabs>
          <w:tab w:pos="653" w:val="left" w:leader="none"/>
        </w:tabs>
        <w:spacing w:line="297" w:lineRule="auto" w:before="13" w:after="0"/>
        <w:ind w:left="652" w:right="223" w:hanging="545"/>
        <w:jc w:val="both"/>
        <w:rPr>
          <w:sz w:val="21"/>
        </w:rPr>
      </w:pPr>
      <w:r>
        <w:rPr>
          <w:b/>
          <w:spacing w:val="-1"/>
          <w:sz w:val="21"/>
        </w:rPr>
        <w:t>毒品 </w:t>
      </w:r>
      <w:r>
        <w:rPr>
          <w:spacing w:val="-3"/>
          <w:sz w:val="21"/>
        </w:rPr>
        <w:t>指中华人民共和国刑法规定的鸦片、海洛因、甲基苯丙胺</w:t>
      </w:r>
      <w:r>
        <w:rPr>
          <w:sz w:val="21"/>
        </w:rPr>
        <w:t>（冰毒</w:t>
      </w:r>
      <w:r>
        <w:rPr>
          <w:spacing w:val="-106"/>
          <w:sz w:val="21"/>
        </w:rPr>
        <w:t>）</w:t>
      </w:r>
      <w:r>
        <w:rPr>
          <w:spacing w:val="-6"/>
          <w:sz w:val="21"/>
        </w:rPr>
        <w:t>、吗啡、大麻、可卡因</w:t>
      </w:r>
      <w:r>
        <w:rPr>
          <w:spacing w:val="-8"/>
          <w:sz w:val="21"/>
        </w:rPr>
        <w:t>以及国家规定管制的其他能够使人形成瘾癖的麻醉药品和精神药品，但不包括由医生开具并遵医嘱使用的用于治疗疾病但含有毒品成分的处方药品。</w:t>
      </w:r>
    </w:p>
    <w:p>
      <w:pPr>
        <w:pStyle w:val="Heading3"/>
        <w:numPr>
          <w:ilvl w:val="0"/>
          <w:numId w:val="7"/>
        </w:numPr>
        <w:tabs>
          <w:tab w:pos="651" w:val="left" w:leader="none"/>
          <w:tab w:pos="652" w:val="left" w:leader="none"/>
        </w:tabs>
        <w:spacing w:line="240" w:lineRule="auto" w:before="13" w:after="0"/>
        <w:ind w:left="651" w:right="0" w:hanging="544"/>
        <w:jc w:val="left"/>
      </w:pPr>
      <w:r>
        <w:rPr>
          <w:w w:val="95"/>
        </w:rPr>
        <w:t>感染艾滋病病毒或患艾滋病</w:t>
      </w:r>
    </w:p>
    <w:p>
      <w:pPr>
        <w:pStyle w:val="BodyText"/>
        <w:spacing w:line="297" w:lineRule="auto"/>
        <w:ind w:left="652" w:right="154"/>
      </w:pPr>
      <w:r>
        <w:rPr/>
        <w:t>艾滋病病毒指人类免疫缺陷病毒，英文缩写为 HIV。艾滋病指人类免疫缺陷病毒引起的获得性免疫缺陷综合征，英文缩写为 AIDS。</w:t>
      </w:r>
    </w:p>
    <w:p>
      <w:pPr>
        <w:pStyle w:val="BodyText"/>
        <w:spacing w:line="297" w:lineRule="auto" w:before="15"/>
        <w:ind w:left="652" w:right="154"/>
      </w:pPr>
      <w:r>
        <w:rPr/>
        <w:t>在人体血液或其它样本中检测到艾滋病病毒或其抗体呈阳性，没有出现临床症状或体征的，为感染艾滋病病毒；如果同时出现了明显临床症状或体征的，为患艾滋病。</w:t>
      </w:r>
    </w:p>
    <w:p>
      <w:pPr>
        <w:pStyle w:val="Heading3"/>
        <w:numPr>
          <w:ilvl w:val="0"/>
          <w:numId w:val="7"/>
        </w:numPr>
        <w:tabs>
          <w:tab w:pos="651" w:val="left" w:leader="none"/>
          <w:tab w:pos="652" w:val="left" w:leader="none"/>
        </w:tabs>
        <w:spacing w:line="240" w:lineRule="auto" w:before="15" w:after="0"/>
        <w:ind w:left="651" w:right="0" w:hanging="544"/>
        <w:jc w:val="left"/>
      </w:pPr>
      <w:r>
        <w:rPr/>
        <w:t>现金价值</w:t>
      </w:r>
    </w:p>
    <w:p>
      <w:pPr>
        <w:pStyle w:val="BodyText"/>
        <w:spacing w:line="297" w:lineRule="auto"/>
        <w:ind w:left="652" w:right="155"/>
      </w:pPr>
      <w:r>
        <w:rPr/>
        <w:t>指保险单所具有的价值，通常体现为解除合同时，根据精算原理计算的，由本公司退还的那部分金额。</w:t>
      </w:r>
    </w:p>
    <w:p>
      <w:pPr>
        <w:pStyle w:val="BodyText"/>
        <w:spacing w:before="15"/>
        <w:ind w:left="652"/>
      </w:pPr>
      <w:r>
        <w:rPr/>
        <w:t>现金价值金额=年交保险费×（1-25%）×（1-保单经过天数/365）</w:t>
      </w:r>
    </w:p>
    <w:p>
      <w:pPr>
        <w:pStyle w:val="ListParagraph"/>
        <w:numPr>
          <w:ilvl w:val="0"/>
          <w:numId w:val="7"/>
        </w:numPr>
        <w:tabs>
          <w:tab w:pos="653" w:val="left" w:leader="none"/>
        </w:tabs>
        <w:spacing w:line="297" w:lineRule="auto" w:before="66" w:after="0"/>
        <w:ind w:left="652" w:right="223" w:hanging="545"/>
        <w:jc w:val="both"/>
        <w:rPr>
          <w:b/>
          <w:sz w:val="21"/>
        </w:rPr>
      </w:pPr>
      <w:r>
        <w:rPr>
          <w:b/>
          <w:spacing w:val="-1"/>
          <w:sz w:val="21"/>
        </w:rPr>
        <w:t>医院 </w:t>
      </w:r>
      <w:r>
        <w:rPr>
          <w:sz w:val="21"/>
        </w:rPr>
        <w:t>指依法设立的国家卫生部医院等级分类中的二级甲等或二级甲等以上医疗机构，</w:t>
      </w:r>
      <w:r>
        <w:rPr>
          <w:b/>
          <w:sz w:val="21"/>
        </w:rPr>
        <w:t>但不包</w:t>
      </w:r>
      <w:r>
        <w:rPr>
          <w:b/>
          <w:spacing w:val="-11"/>
          <w:sz w:val="21"/>
        </w:rPr>
        <w:t>括疗养院、护理院、康复中心、戒酒或戒毒中心、精神心理治疗中心以及无相应医护人员或设</w:t>
      </w:r>
      <w:r>
        <w:rPr>
          <w:b/>
          <w:spacing w:val="-11"/>
          <w:w w:val="95"/>
          <w:sz w:val="21"/>
        </w:rPr>
        <w:t>备的二级或三级医院的联合医院或联合病房。</w:t>
      </w:r>
    </w:p>
    <w:sectPr>
      <w:pgSz w:w="11910" w:h="16840"/>
      <w:pgMar w:top="1600" w:bottom="280" w:left="130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772" w:hanging="545"/>
        <w:jc w:val="right"/>
      </w:pPr>
      <w:rPr>
        <w:rFonts w:hint="default" w:ascii="宋体" w:hAnsi="宋体" w:eastAsia="宋体" w:cs="宋体"/>
        <w:b/>
        <w:bCs/>
        <w:w w:val="99"/>
        <w:sz w:val="21"/>
        <w:szCs w:val="21"/>
      </w:rPr>
    </w:lvl>
    <w:lvl w:ilvl="1">
      <w:start w:val="1"/>
      <w:numFmt w:val="decimal"/>
      <w:lvlText w:val="%2)"/>
      <w:lvlJc w:val="left"/>
      <w:pPr>
        <w:ind w:left="1072" w:hanging="420"/>
        <w:jc w:val="left"/>
      </w:pPr>
      <w:rPr>
        <w:rFonts w:hint="default" w:ascii="宋体" w:hAnsi="宋体" w:eastAsia="宋体" w:cs="宋体"/>
        <w:spacing w:val="-105"/>
        <w:w w:val="100"/>
        <w:sz w:val="21"/>
        <w:szCs w:val="21"/>
      </w:rPr>
    </w:lvl>
    <w:lvl w:ilvl="2">
      <w:start w:val="0"/>
      <w:numFmt w:val="bullet"/>
      <w:lvlText w:val="•"/>
      <w:lvlJc w:val="left"/>
      <w:pPr>
        <w:ind w:left="2007" w:hanging="420"/>
      </w:pPr>
      <w:rPr>
        <w:rFonts w:hint="default"/>
      </w:rPr>
    </w:lvl>
    <w:lvl w:ilvl="3">
      <w:start w:val="0"/>
      <w:numFmt w:val="bullet"/>
      <w:lvlText w:val="•"/>
      <w:lvlJc w:val="left"/>
      <w:pPr>
        <w:ind w:left="2934" w:hanging="420"/>
      </w:pPr>
      <w:rPr>
        <w:rFonts w:hint="default"/>
      </w:rPr>
    </w:lvl>
    <w:lvl w:ilvl="4">
      <w:start w:val="0"/>
      <w:numFmt w:val="bullet"/>
      <w:lvlText w:val="•"/>
      <w:lvlJc w:val="left"/>
      <w:pPr>
        <w:ind w:left="3861" w:hanging="420"/>
      </w:pPr>
      <w:rPr>
        <w:rFonts w:hint="default"/>
      </w:rPr>
    </w:lvl>
    <w:lvl w:ilvl="5">
      <w:start w:val="0"/>
      <w:numFmt w:val="bullet"/>
      <w:lvlText w:val="•"/>
      <w:lvlJc w:val="left"/>
      <w:pPr>
        <w:ind w:left="4788" w:hanging="420"/>
      </w:pPr>
      <w:rPr>
        <w:rFonts w:hint="default"/>
      </w:rPr>
    </w:lvl>
    <w:lvl w:ilvl="6">
      <w:start w:val="0"/>
      <w:numFmt w:val="bullet"/>
      <w:lvlText w:val="•"/>
      <w:lvlJc w:val="left"/>
      <w:pPr>
        <w:ind w:left="5715" w:hanging="420"/>
      </w:pPr>
      <w:rPr>
        <w:rFonts w:hint="default"/>
      </w:rPr>
    </w:lvl>
    <w:lvl w:ilvl="7">
      <w:start w:val="0"/>
      <w:numFmt w:val="bullet"/>
      <w:lvlText w:val="•"/>
      <w:lvlJc w:val="left"/>
      <w:pPr>
        <w:ind w:left="6642" w:hanging="420"/>
      </w:pPr>
      <w:rPr>
        <w:rFonts w:hint="default"/>
      </w:rPr>
    </w:lvl>
    <w:lvl w:ilvl="8">
      <w:start w:val="0"/>
      <w:numFmt w:val="bullet"/>
      <w:lvlText w:val="•"/>
      <w:lvlJc w:val="left"/>
      <w:pPr>
        <w:ind w:left="7570" w:hanging="420"/>
      </w:pPr>
      <w:rPr>
        <w:rFonts w:hint="default"/>
      </w:rPr>
    </w:lvl>
  </w:abstractNum>
  <w:abstractNum w:abstractNumId="5">
    <w:multiLevelType w:val="hybridMultilevel"/>
    <w:lvl w:ilvl="0">
      <w:start w:val="1"/>
      <w:numFmt w:val="decimal"/>
      <w:lvlText w:val="%1）"/>
      <w:lvlJc w:val="left"/>
      <w:pPr>
        <w:ind w:left="1130" w:hanging="361"/>
        <w:jc w:val="left"/>
      </w:pPr>
      <w:rPr>
        <w:rFonts w:hint="default" w:ascii="宋体" w:hAnsi="宋体" w:eastAsia="宋体" w:cs="宋体"/>
        <w:w w:val="100"/>
        <w:sz w:val="21"/>
        <w:szCs w:val="21"/>
      </w:rPr>
    </w:lvl>
    <w:lvl w:ilvl="1">
      <w:start w:val="0"/>
      <w:numFmt w:val="bullet"/>
      <w:lvlText w:val="•"/>
      <w:lvlJc w:val="left"/>
      <w:pPr>
        <w:ind w:left="1980" w:hanging="361"/>
      </w:pPr>
      <w:rPr>
        <w:rFonts w:hint="default"/>
      </w:rPr>
    </w:lvl>
    <w:lvl w:ilvl="2">
      <w:start w:val="0"/>
      <w:numFmt w:val="bullet"/>
      <w:lvlText w:val="•"/>
      <w:lvlJc w:val="left"/>
      <w:pPr>
        <w:ind w:left="2820" w:hanging="361"/>
      </w:pPr>
      <w:rPr>
        <w:rFonts w:hint="default"/>
      </w:rPr>
    </w:lvl>
    <w:lvl w:ilvl="3">
      <w:start w:val="0"/>
      <w:numFmt w:val="bullet"/>
      <w:lvlText w:val="•"/>
      <w:lvlJc w:val="left"/>
      <w:pPr>
        <w:ind w:left="3661" w:hanging="361"/>
      </w:pPr>
      <w:rPr>
        <w:rFonts w:hint="default"/>
      </w:rPr>
    </w:lvl>
    <w:lvl w:ilvl="4">
      <w:start w:val="0"/>
      <w:numFmt w:val="bullet"/>
      <w:lvlText w:val="•"/>
      <w:lvlJc w:val="left"/>
      <w:pPr>
        <w:ind w:left="4501" w:hanging="361"/>
      </w:pPr>
      <w:rPr>
        <w:rFonts w:hint="default"/>
      </w:rPr>
    </w:lvl>
    <w:lvl w:ilvl="5">
      <w:start w:val="0"/>
      <w:numFmt w:val="bullet"/>
      <w:lvlText w:val="•"/>
      <w:lvlJc w:val="left"/>
      <w:pPr>
        <w:ind w:left="5342" w:hanging="361"/>
      </w:pPr>
      <w:rPr>
        <w:rFonts w:hint="default"/>
      </w:rPr>
    </w:lvl>
    <w:lvl w:ilvl="6">
      <w:start w:val="0"/>
      <w:numFmt w:val="bullet"/>
      <w:lvlText w:val="•"/>
      <w:lvlJc w:val="left"/>
      <w:pPr>
        <w:ind w:left="6182" w:hanging="361"/>
      </w:pPr>
      <w:rPr>
        <w:rFonts w:hint="default"/>
      </w:rPr>
    </w:lvl>
    <w:lvl w:ilvl="7">
      <w:start w:val="0"/>
      <w:numFmt w:val="bullet"/>
      <w:lvlText w:val="•"/>
      <w:lvlJc w:val="left"/>
      <w:pPr>
        <w:ind w:left="7023" w:hanging="361"/>
      </w:pPr>
      <w:rPr>
        <w:rFonts w:hint="default"/>
      </w:rPr>
    </w:lvl>
    <w:lvl w:ilvl="8">
      <w:start w:val="0"/>
      <w:numFmt w:val="bullet"/>
      <w:lvlText w:val="•"/>
      <w:lvlJc w:val="left"/>
      <w:pPr>
        <w:ind w:left="7863" w:hanging="361"/>
      </w:pPr>
      <w:rPr>
        <w:rFonts w:hint="default"/>
      </w:rPr>
    </w:lvl>
  </w:abstractNum>
  <w:abstractNum w:abstractNumId="4">
    <w:multiLevelType w:val="hybridMultilevel"/>
    <w:lvl w:ilvl="0">
      <w:start w:val="6"/>
      <w:numFmt w:val="decimal"/>
      <w:lvlText w:val="%1"/>
      <w:lvlJc w:val="left"/>
      <w:pPr>
        <w:ind w:left="772" w:hanging="545"/>
        <w:jc w:val="left"/>
      </w:pPr>
      <w:rPr>
        <w:rFonts w:hint="default"/>
      </w:rPr>
    </w:lvl>
    <w:lvl w:ilvl="1">
      <w:start w:val="1"/>
      <w:numFmt w:val="decimal"/>
      <w:lvlText w:val="%1.%2"/>
      <w:lvlJc w:val="left"/>
      <w:pPr>
        <w:ind w:left="772" w:hanging="545"/>
        <w:jc w:val="left"/>
      </w:pPr>
      <w:rPr>
        <w:rFonts w:hint="default" w:ascii="宋体" w:hAnsi="宋体" w:eastAsia="宋体" w:cs="宋体"/>
        <w:b/>
        <w:bCs/>
        <w:spacing w:val="0"/>
        <w:w w:val="99"/>
        <w:sz w:val="21"/>
        <w:szCs w:val="21"/>
      </w:rPr>
    </w:lvl>
    <w:lvl w:ilvl="2">
      <w:start w:val="1"/>
      <w:numFmt w:val="decimal"/>
      <w:lvlText w:val="%3)"/>
      <w:lvlJc w:val="left"/>
      <w:pPr>
        <w:ind w:left="1192" w:hanging="420"/>
        <w:jc w:val="left"/>
      </w:pPr>
      <w:rPr>
        <w:rFonts w:hint="default" w:ascii="宋体" w:hAnsi="宋体" w:eastAsia="宋体" w:cs="宋体"/>
        <w:spacing w:val="-63"/>
        <w:w w:val="100"/>
        <w:sz w:val="21"/>
        <w:szCs w:val="21"/>
      </w:rPr>
    </w:lvl>
    <w:lvl w:ilvl="3">
      <w:start w:val="0"/>
      <w:numFmt w:val="bullet"/>
      <w:lvlText w:val="•"/>
      <w:lvlJc w:val="left"/>
      <w:pPr>
        <w:ind w:left="3054" w:hanging="420"/>
      </w:pPr>
      <w:rPr>
        <w:rFonts w:hint="default"/>
      </w:rPr>
    </w:lvl>
    <w:lvl w:ilvl="4">
      <w:start w:val="0"/>
      <w:numFmt w:val="bullet"/>
      <w:lvlText w:val="•"/>
      <w:lvlJc w:val="left"/>
      <w:pPr>
        <w:ind w:left="3981" w:hanging="420"/>
      </w:pPr>
      <w:rPr>
        <w:rFonts w:hint="default"/>
      </w:rPr>
    </w:lvl>
    <w:lvl w:ilvl="5">
      <w:start w:val="0"/>
      <w:numFmt w:val="bullet"/>
      <w:lvlText w:val="•"/>
      <w:lvlJc w:val="left"/>
      <w:pPr>
        <w:ind w:left="4908" w:hanging="420"/>
      </w:pPr>
      <w:rPr>
        <w:rFonts w:hint="default"/>
      </w:rPr>
    </w:lvl>
    <w:lvl w:ilvl="6">
      <w:start w:val="0"/>
      <w:numFmt w:val="bullet"/>
      <w:lvlText w:val="•"/>
      <w:lvlJc w:val="left"/>
      <w:pPr>
        <w:ind w:left="5835" w:hanging="420"/>
      </w:pPr>
      <w:rPr>
        <w:rFonts w:hint="default"/>
      </w:rPr>
    </w:lvl>
    <w:lvl w:ilvl="7">
      <w:start w:val="0"/>
      <w:numFmt w:val="bullet"/>
      <w:lvlText w:val="•"/>
      <w:lvlJc w:val="left"/>
      <w:pPr>
        <w:ind w:left="6762" w:hanging="420"/>
      </w:pPr>
      <w:rPr>
        <w:rFonts w:hint="default"/>
      </w:rPr>
    </w:lvl>
    <w:lvl w:ilvl="8">
      <w:start w:val="0"/>
      <w:numFmt w:val="bullet"/>
      <w:lvlText w:val="•"/>
      <w:lvlJc w:val="left"/>
      <w:pPr>
        <w:ind w:left="7690" w:hanging="420"/>
      </w:pPr>
      <w:rPr>
        <w:rFonts w:hint="default"/>
      </w:rPr>
    </w:lvl>
  </w:abstractNum>
  <w:abstractNum w:abstractNumId="3">
    <w:multiLevelType w:val="hybridMultilevel"/>
    <w:lvl w:ilvl="0">
      <w:start w:val="5"/>
      <w:numFmt w:val="decimal"/>
      <w:lvlText w:val="%1"/>
      <w:lvlJc w:val="left"/>
      <w:pPr>
        <w:ind w:left="771" w:hanging="545"/>
        <w:jc w:val="left"/>
      </w:pPr>
      <w:rPr>
        <w:rFonts w:hint="default"/>
      </w:rPr>
    </w:lvl>
    <w:lvl w:ilvl="1">
      <w:start w:val="1"/>
      <w:numFmt w:val="decimal"/>
      <w:lvlText w:val="%1.%2"/>
      <w:lvlJc w:val="left"/>
      <w:pPr>
        <w:ind w:left="772" w:hanging="545"/>
        <w:jc w:val="left"/>
      </w:pPr>
      <w:rPr>
        <w:rFonts w:hint="default" w:ascii="宋体" w:hAnsi="宋体" w:eastAsia="宋体" w:cs="宋体"/>
        <w:b/>
        <w:bCs/>
        <w:w w:val="99"/>
        <w:sz w:val="21"/>
        <w:szCs w:val="21"/>
      </w:rPr>
    </w:lvl>
    <w:lvl w:ilvl="2">
      <w:start w:val="1"/>
      <w:numFmt w:val="decimal"/>
      <w:lvlText w:val="%3)"/>
      <w:lvlJc w:val="left"/>
      <w:pPr>
        <w:ind w:left="1192" w:hanging="420"/>
        <w:jc w:val="left"/>
      </w:pPr>
      <w:rPr>
        <w:rFonts w:hint="default" w:ascii="宋体" w:hAnsi="宋体" w:eastAsia="宋体" w:cs="宋体"/>
        <w:w w:val="100"/>
        <w:sz w:val="21"/>
        <w:szCs w:val="21"/>
      </w:rPr>
    </w:lvl>
    <w:lvl w:ilvl="3">
      <w:start w:val="0"/>
      <w:numFmt w:val="bullet"/>
      <w:lvlText w:val="•"/>
      <w:lvlJc w:val="left"/>
      <w:pPr>
        <w:ind w:left="3054" w:hanging="420"/>
      </w:pPr>
      <w:rPr>
        <w:rFonts w:hint="default"/>
      </w:rPr>
    </w:lvl>
    <w:lvl w:ilvl="4">
      <w:start w:val="0"/>
      <w:numFmt w:val="bullet"/>
      <w:lvlText w:val="•"/>
      <w:lvlJc w:val="left"/>
      <w:pPr>
        <w:ind w:left="3981" w:hanging="420"/>
      </w:pPr>
      <w:rPr>
        <w:rFonts w:hint="default"/>
      </w:rPr>
    </w:lvl>
    <w:lvl w:ilvl="5">
      <w:start w:val="0"/>
      <w:numFmt w:val="bullet"/>
      <w:lvlText w:val="•"/>
      <w:lvlJc w:val="left"/>
      <w:pPr>
        <w:ind w:left="4908" w:hanging="420"/>
      </w:pPr>
      <w:rPr>
        <w:rFonts w:hint="default"/>
      </w:rPr>
    </w:lvl>
    <w:lvl w:ilvl="6">
      <w:start w:val="0"/>
      <w:numFmt w:val="bullet"/>
      <w:lvlText w:val="•"/>
      <w:lvlJc w:val="left"/>
      <w:pPr>
        <w:ind w:left="5835" w:hanging="420"/>
      </w:pPr>
      <w:rPr>
        <w:rFonts w:hint="default"/>
      </w:rPr>
    </w:lvl>
    <w:lvl w:ilvl="7">
      <w:start w:val="0"/>
      <w:numFmt w:val="bullet"/>
      <w:lvlText w:val="•"/>
      <w:lvlJc w:val="left"/>
      <w:pPr>
        <w:ind w:left="6762" w:hanging="420"/>
      </w:pPr>
      <w:rPr>
        <w:rFonts w:hint="default"/>
      </w:rPr>
    </w:lvl>
    <w:lvl w:ilvl="8">
      <w:start w:val="0"/>
      <w:numFmt w:val="bullet"/>
      <w:lvlText w:val="•"/>
      <w:lvlJc w:val="left"/>
      <w:pPr>
        <w:ind w:left="7690" w:hanging="420"/>
      </w:pPr>
      <w:rPr>
        <w:rFonts w:hint="default"/>
      </w:rPr>
    </w:lvl>
  </w:abstractNum>
  <w:abstractNum w:abstractNumId="2">
    <w:multiLevelType w:val="hybridMultilevel"/>
    <w:lvl w:ilvl="0">
      <w:start w:val="3"/>
      <w:numFmt w:val="decimal"/>
      <w:lvlText w:val="%1"/>
      <w:lvlJc w:val="left"/>
      <w:pPr>
        <w:ind w:left="771" w:hanging="545"/>
        <w:jc w:val="left"/>
      </w:pPr>
      <w:rPr>
        <w:rFonts w:hint="default"/>
      </w:rPr>
    </w:lvl>
    <w:lvl w:ilvl="1">
      <w:start w:val="1"/>
      <w:numFmt w:val="decimal"/>
      <w:lvlText w:val="%1.%2"/>
      <w:lvlJc w:val="left"/>
      <w:pPr>
        <w:ind w:left="771" w:hanging="545"/>
        <w:jc w:val="left"/>
      </w:pPr>
      <w:rPr>
        <w:rFonts w:hint="default" w:ascii="宋体" w:hAnsi="宋体" w:eastAsia="宋体" w:cs="宋体"/>
        <w:b/>
        <w:bCs/>
        <w:w w:val="99"/>
        <w:sz w:val="21"/>
        <w:szCs w:val="21"/>
      </w:rPr>
    </w:lvl>
    <w:lvl w:ilvl="2">
      <w:start w:val="0"/>
      <w:numFmt w:val="bullet"/>
      <w:lvlText w:val="•"/>
      <w:lvlJc w:val="left"/>
      <w:pPr>
        <w:ind w:left="2532" w:hanging="545"/>
      </w:pPr>
      <w:rPr>
        <w:rFonts w:hint="default"/>
      </w:rPr>
    </w:lvl>
    <w:lvl w:ilvl="3">
      <w:start w:val="0"/>
      <w:numFmt w:val="bullet"/>
      <w:lvlText w:val="•"/>
      <w:lvlJc w:val="left"/>
      <w:pPr>
        <w:ind w:left="3409" w:hanging="545"/>
      </w:pPr>
      <w:rPr>
        <w:rFonts w:hint="default"/>
      </w:rPr>
    </w:lvl>
    <w:lvl w:ilvl="4">
      <w:start w:val="0"/>
      <w:numFmt w:val="bullet"/>
      <w:lvlText w:val="•"/>
      <w:lvlJc w:val="left"/>
      <w:pPr>
        <w:ind w:left="4285" w:hanging="545"/>
      </w:pPr>
      <w:rPr>
        <w:rFonts w:hint="default"/>
      </w:rPr>
    </w:lvl>
    <w:lvl w:ilvl="5">
      <w:start w:val="0"/>
      <w:numFmt w:val="bullet"/>
      <w:lvlText w:val="•"/>
      <w:lvlJc w:val="left"/>
      <w:pPr>
        <w:ind w:left="5162" w:hanging="545"/>
      </w:pPr>
      <w:rPr>
        <w:rFonts w:hint="default"/>
      </w:rPr>
    </w:lvl>
    <w:lvl w:ilvl="6">
      <w:start w:val="0"/>
      <w:numFmt w:val="bullet"/>
      <w:lvlText w:val="•"/>
      <w:lvlJc w:val="left"/>
      <w:pPr>
        <w:ind w:left="6038" w:hanging="545"/>
      </w:pPr>
      <w:rPr>
        <w:rFonts w:hint="default"/>
      </w:rPr>
    </w:lvl>
    <w:lvl w:ilvl="7">
      <w:start w:val="0"/>
      <w:numFmt w:val="bullet"/>
      <w:lvlText w:val="•"/>
      <w:lvlJc w:val="left"/>
      <w:pPr>
        <w:ind w:left="6915" w:hanging="545"/>
      </w:pPr>
      <w:rPr>
        <w:rFonts w:hint="default"/>
      </w:rPr>
    </w:lvl>
    <w:lvl w:ilvl="8">
      <w:start w:val="0"/>
      <w:numFmt w:val="bullet"/>
      <w:lvlText w:val="•"/>
      <w:lvlJc w:val="left"/>
      <w:pPr>
        <w:ind w:left="7791" w:hanging="545"/>
      </w:pPr>
      <w:rPr>
        <w:rFonts w:hint="default"/>
      </w:rPr>
    </w:lvl>
  </w:abstractNum>
  <w:abstractNum w:abstractNumId="1">
    <w:multiLevelType w:val="hybridMultilevel"/>
    <w:lvl w:ilvl="0">
      <w:start w:val="1"/>
      <w:numFmt w:val="decimal"/>
      <w:lvlText w:val="%1)"/>
      <w:lvlJc w:val="left"/>
      <w:pPr>
        <w:ind w:left="1194" w:hanging="423"/>
        <w:jc w:val="left"/>
      </w:pPr>
      <w:rPr>
        <w:rFonts w:hint="default" w:ascii="宋体" w:hAnsi="宋体" w:eastAsia="宋体" w:cs="宋体"/>
        <w:b/>
        <w:bCs/>
        <w:w w:val="99"/>
        <w:sz w:val="21"/>
        <w:szCs w:val="21"/>
      </w:rPr>
    </w:lvl>
    <w:lvl w:ilvl="1">
      <w:start w:val="0"/>
      <w:numFmt w:val="bullet"/>
      <w:lvlText w:val="•"/>
      <w:lvlJc w:val="left"/>
      <w:pPr>
        <w:ind w:left="2034" w:hanging="423"/>
      </w:pPr>
      <w:rPr>
        <w:rFonts w:hint="default"/>
      </w:rPr>
    </w:lvl>
    <w:lvl w:ilvl="2">
      <w:start w:val="0"/>
      <w:numFmt w:val="bullet"/>
      <w:lvlText w:val="•"/>
      <w:lvlJc w:val="left"/>
      <w:pPr>
        <w:ind w:left="2868" w:hanging="423"/>
      </w:pPr>
      <w:rPr>
        <w:rFonts w:hint="default"/>
      </w:rPr>
    </w:lvl>
    <w:lvl w:ilvl="3">
      <w:start w:val="0"/>
      <w:numFmt w:val="bullet"/>
      <w:lvlText w:val="•"/>
      <w:lvlJc w:val="left"/>
      <w:pPr>
        <w:ind w:left="3703" w:hanging="423"/>
      </w:pPr>
      <w:rPr>
        <w:rFonts w:hint="default"/>
      </w:rPr>
    </w:lvl>
    <w:lvl w:ilvl="4">
      <w:start w:val="0"/>
      <w:numFmt w:val="bullet"/>
      <w:lvlText w:val="•"/>
      <w:lvlJc w:val="left"/>
      <w:pPr>
        <w:ind w:left="4537" w:hanging="423"/>
      </w:pPr>
      <w:rPr>
        <w:rFonts w:hint="default"/>
      </w:rPr>
    </w:lvl>
    <w:lvl w:ilvl="5">
      <w:start w:val="0"/>
      <w:numFmt w:val="bullet"/>
      <w:lvlText w:val="•"/>
      <w:lvlJc w:val="left"/>
      <w:pPr>
        <w:ind w:left="5372" w:hanging="423"/>
      </w:pPr>
      <w:rPr>
        <w:rFonts w:hint="default"/>
      </w:rPr>
    </w:lvl>
    <w:lvl w:ilvl="6">
      <w:start w:val="0"/>
      <w:numFmt w:val="bullet"/>
      <w:lvlText w:val="•"/>
      <w:lvlJc w:val="left"/>
      <w:pPr>
        <w:ind w:left="6206" w:hanging="423"/>
      </w:pPr>
      <w:rPr>
        <w:rFonts w:hint="default"/>
      </w:rPr>
    </w:lvl>
    <w:lvl w:ilvl="7">
      <w:start w:val="0"/>
      <w:numFmt w:val="bullet"/>
      <w:lvlText w:val="•"/>
      <w:lvlJc w:val="left"/>
      <w:pPr>
        <w:ind w:left="7041" w:hanging="423"/>
      </w:pPr>
      <w:rPr>
        <w:rFonts w:hint="default"/>
      </w:rPr>
    </w:lvl>
    <w:lvl w:ilvl="8">
      <w:start w:val="0"/>
      <w:numFmt w:val="bullet"/>
      <w:lvlText w:val="•"/>
      <w:lvlJc w:val="left"/>
      <w:pPr>
        <w:ind w:left="7875" w:hanging="423"/>
      </w:pPr>
      <w:rPr>
        <w:rFonts w:hint="default"/>
      </w:rPr>
    </w:lvl>
  </w:abstractNum>
  <w:abstractNum w:abstractNumId="0">
    <w:multiLevelType w:val="hybridMultilevel"/>
    <w:lvl w:ilvl="0">
      <w:start w:val="2"/>
      <w:numFmt w:val="decimal"/>
      <w:lvlText w:val="%1"/>
      <w:lvlJc w:val="left"/>
      <w:pPr>
        <w:ind w:left="772" w:hanging="545"/>
        <w:jc w:val="left"/>
      </w:pPr>
      <w:rPr>
        <w:rFonts w:hint="default"/>
      </w:rPr>
    </w:lvl>
    <w:lvl w:ilvl="1">
      <w:start w:val="1"/>
      <w:numFmt w:val="decimal"/>
      <w:lvlText w:val="%1.%2"/>
      <w:lvlJc w:val="left"/>
      <w:pPr>
        <w:ind w:left="772" w:hanging="545"/>
        <w:jc w:val="left"/>
      </w:pPr>
      <w:rPr>
        <w:rFonts w:hint="default" w:ascii="宋体" w:hAnsi="宋体" w:eastAsia="宋体" w:cs="宋体"/>
        <w:b/>
        <w:bCs/>
        <w:spacing w:val="0"/>
        <w:w w:val="99"/>
        <w:sz w:val="21"/>
        <w:szCs w:val="21"/>
      </w:rPr>
    </w:lvl>
    <w:lvl w:ilvl="2">
      <w:start w:val="1"/>
      <w:numFmt w:val="decimal"/>
      <w:lvlText w:val="%3)"/>
      <w:lvlJc w:val="left"/>
      <w:pPr>
        <w:ind w:left="1192" w:hanging="420"/>
        <w:jc w:val="left"/>
      </w:pPr>
      <w:rPr>
        <w:rFonts w:hint="default" w:ascii="宋体" w:hAnsi="宋体" w:eastAsia="宋体" w:cs="宋体"/>
        <w:b/>
        <w:bCs/>
        <w:w w:val="99"/>
        <w:sz w:val="21"/>
        <w:szCs w:val="21"/>
      </w:rPr>
    </w:lvl>
    <w:lvl w:ilvl="3">
      <w:start w:val="0"/>
      <w:numFmt w:val="bullet"/>
      <w:lvlText w:val="•"/>
      <w:lvlJc w:val="left"/>
      <w:pPr>
        <w:ind w:left="3276" w:hanging="420"/>
      </w:pPr>
      <w:rPr>
        <w:rFonts w:hint="default"/>
      </w:rPr>
    </w:lvl>
    <w:lvl w:ilvl="4">
      <w:start w:val="0"/>
      <w:numFmt w:val="bullet"/>
      <w:lvlText w:val="•"/>
      <w:lvlJc w:val="left"/>
      <w:pPr>
        <w:ind w:left="4314" w:hanging="420"/>
      </w:pPr>
      <w:rPr>
        <w:rFonts w:hint="default"/>
      </w:rPr>
    </w:lvl>
    <w:lvl w:ilvl="5">
      <w:start w:val="0"/>
      <w:numFmt w:val="bullet"/>
      <w:lvlText w:val="•"/>
      <w:lvlJc w:val="left"/>
      <w:pPr>
        <w:ind w:left="5353" w:hanging="420"/>
      </w:pPr>
      <w:rPr>
        <w:rFonts w:hint="default"/>
      </w:rPr>
    </w:lvl>
    <w:lvl w:ilvl="6">
      <w:start w:val="0"/>
      <w:numFmt w:val="bullet"/>
      <w:lvlText w:val="•"/>
      <w:lvlJc w:val="left"/>
      <w:pPr>
        <w:ind w:left="6391" w:hanging="420"/>
      </w:pPr>
      <w:rPr>
        <w:rFonts w:hint="default"/>
      </w:rPr>
    </w:lvl>
    <w:lvl w:ilvl="7">
      <w:start w:val="0"/>
      <w:numFmt w:val="bullet"/>
      <w:lvlText w:val="•"/>
      <w:lvlJc w:val="left"/>
      <w:pPr>
        <w:ind w:left="7429" w:hanging="420"/>
      </w:pPr>
      <w:rPr>
        <w:rFonts w:hint="default"/>
      </w:rPr>
    </w:lvl>
    <w:lvl w:ilvl="8">
      <w:start w:val="0"/>
      <w:numFmt w:val="bullet"/>
      <w:lvlText w:val="•"/>
      <w:lvlJc w:val="left"/>
      <w:pPr>
        <w:ind w:left="8467" w:hanging="42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5"/>
      <w:ind w:left="772"/>
    </w:pPr>
    <w:rPr>
      <w:rFonts w:ascii="宋体" w:hAnsi="宋体" w:eastAsia="宋体" w:cs="宋体"/>
      <w:sz w:val="21"/>
      <w:szCs w:val="21"/>
    </w:rPr>
  </w:style>
  <w:style w:styleId="Heading1" w:type="paragraph">
    <w:name w:val="Heading 1"/>
    <w:basedOn w:val="Normal"/>
    <w:uiPriority w:val="1"/>
    <w:qFormat/>
    <w:pPr>
      <w:ind w:left="2315" w:right="3310"/>
      <w:jc w:val="center"/>
      <w:outlineLvl w:val="1"/>
    </w:pPr>
    <w:rPr>
      <w:rFonts w:ascii="宋体" w:hAnsi="宋体" w:eastAsia="宋体" w:cs="宋体"/>
      <w:b/>
      <w:bCs/>
      <w:sz w:val="32"/>
      <w:szCs w:val="32"/>
    </w:rPr>
  </w:style>
  <w:style w:styleId="Heading2" w:type="paragraph">
    <w:name w:val="Heading 2"/>
    <w:basedOn w:val="Normal"/>
    <w:uiPriority w:val="1"/>
    <w:qFormat/>
    <w:pPr>
      <w:spacing w:line="275" w:lineRule="exact"/>
      <w:ind w:left="122"/>
      <w:outlineLvl w:val="2"/>
    </w:pPr>
    <w:rPr>
      <w:rFonts w:ascii="宋体" w:hAnsi="宋体" w:eastAsia="宋体" w:cs="宋体"/>
      <w:b/>
      <w:bCs/>
      <w:sz w:val="24"/>
      <w:szCs w:val="24"/>
    </w:rPr>
  </w:style>
  <w:style w:styleId="Heading3" w:type="paragraph">
    <w:name w:val="Heading 3"/>
    <w:basedOn w:val="Normal"/>
    <w:uiPriority w:val="1"/>
    <w:qFormat/>
    <w:pPr>
      <w:spacing w:before="64"/>
      <w:ind w:left="772" w:hanging="545"/>
      <w:outlineLvl w:val="3"/>
    </w:pPr>
    <w:rPr>
      <w:rFonts w:ascii="宋体" w:hAnsi="宋体" w:eastAsia="宋体" w:cs="宋体"/>
      <w:b/>
      <w:bCs/>
      <w:sz w:val="21"/>
      <w:szCs w:val="21"/>
    </w:rPr>
  </w:style>
  <w:style w:styleId="ListParagraph" w:type="paragraph">
    <w:name w:val="List Paragraph"/>
    <w:basedOn w:val="Normal"/>
    <w:uiPriority w:val="1"/>
    <w:qFormat/>
    <w:pPr>
      <w:spacing w:before="65"/>
      <w:ind w:left="772" w:hanging="545"/>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caowei</dc:creator>
  <dc:title>&lt;4D6963726F736F667420576F7264202D20D1F4B9E2B9D8B0AEC5AED0D4CCD8B6A8D6D8B4F3BCB2B2A1B1A3CFD5B2FAC6B7CCF5BFEEA3A8B6FECEACC2EBA3A92E646F63&gt;</dc:title>
  <dcterms:created xsi:type="dcterms:W3CDTF">2018-10-19T22:23:19Z</dcterms:created>
  <dcterms:modified xsi:type="dcterms:W3CDTF">2018-10-19T22:23:19Z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PScript5.dll Version 5.2.2</vt:lpwstr>
  </property>
  <property fmtid="{D5CDD505-2E9C-101B-9397-08002B2CF9AE}" pid="4" name="LastSaved">
    <vt:filetime>2018-10-19T00:00:00Z</vt:filetime>
  </property>
</Properties>
</file>