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0" w:right="339" w:firstLine="0"/>
        <w:jc w:val="right"/>
        <w:rPr>
          <w:sz w:val="18"/>
        </w:rPr>
      </w:pPr>
      <w:r>
        <w:rPr/>
        <w:drawing>
          <wp:anchor distT="0" distB="0" distL="0" distR="0" allowOverlap="1" layoutInCell="1" locked="0" behindDoc="0" simplePos="0" relativeHeight="0">
            <wp:simplePos x="0" y="0"/>
            <wp:positionH relativeFrom="page">
              <wp:posOffset>389890</wp:posOffset>
            </wp:positionH>
            <wp:positionV relativeFrom="paragraph">
              <wp:posOffset>-358</wp:posOffset>
            </wp:positionV>
            <wp:extent cx="2486025" cy="49784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86025" cy="497840"/>
                    </a:xfrm>
                    <a:prstGeom prst="rect">
                      <a:avLst/>
                    </a:prstGeom>
                  </pic:spPr>
                </pic:pic>
              </a:graphicData>
            </a:graphic>
          </wp:anchor>
        </w:drawing>
      </w:r>
      <w:r>
        <w:rPr/>
        <w:drawing>
          <wp:anchor distT="0" distB="0" distL="0" distR="0" allowOverlap="1" layoutInCell="1" locked="0" behindDoc="1" simplePos="0" relativeHeight="268402175">
            <wp:simplePos x="0" y="0"/>
            <wp:positionH relativeFrom="page">
              <wp:posOffset>5721350</wp:posOffset>
            </wp:positionH>
            <wp:positionV relativeFrom="paragraph">
              <wp:posOffset>257451</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太平人寿</w:t>
      </w:r>
      <w:r>
        <w:rPr>
          <w:rFonts w:ascii="Times New Roman" w:eastAsia="Times New Roman"/>
          <w:sz w:val="18"/>
        </w:rPr>
        <w:t>[2015]</w:t>
      </w:r>
      <w:r>
        <w:rPr>
          <w:sz w:val="18"/>
        </w:rPr>
        <w:t>疾病保险 </w:t>
      </w:r>
      <w:r>
        <w:rPr>
          <w:rFonts w:ascii="Times New Roman" w:eastAsia="Times New Roman"/>
          <w:sz w:val="18"/>
        </w:rPr>
        <w:t>011 </w:t>
      </w:r>
      <w:r>
        <w:rPr>
          <w:sz w:val="18"/>
        </w:rPr>
        <w:t>号</w:t>
      </w:r>
    </w:p>
    <w:p>
      <w:pPr>
        <w:pStyle w:val="BodyText"/>
        <w:rPr>
          <w:sz w:val="20"/>
        </w:rPr>
      </w:pPr>
    </w:p>
    <w:p>
      <w:pPr>
        <w:pStyle w:val="BodyText"/>
        <w:rPr>
          <w:sz w:val="20"/>
        </w:rPr>
      </w:pPr>
    </w:p>
    <w:p>
      <w:pPr>
        <w:pStyle w:val="BodyText"/>
        <w:rPr>
          <w:sz w:val="20"/>
        </w:rPr>
      </w:pPr>
    </w:p>
    <w:p>
      <w:pPr>
        <w:pStyle w:val="BodyText"/>
        <w:spacing w:before="11"/>
      </w:pPr>
    </w:p>
    <w:p>
      <w:pPr>
        <w:spacing w:before="1"/>
        <w:ind w:left="3753" w:right="0" w:firstLine="0"/>
        <w:jc w:val="left"/>
        <w:rPr>
          <w:sz w:val="18"/>
        </w:rPr>
      </w:pPr>
      <w:r>
        <w:rPr>
          <w:position w:val="-5"/>
        </w:rPr>
        <w:drawing>
          <wp:inline distT="0" distB="0" distL="0" distR="0">
            <wp:extent cx="2160270" cy="3492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160270" cy="349250"/>
                    </a:xfrm>
                    <a:prstGeom prst="rect">
                      <a:avLst/>
                    </a:prstGeom>
                  </pic:spPr>
                </pic:pic>
              </a:graphicData>
            </a:graphic>
          </wp:inline>
        </w:drawing>
      </w:r>
      <w:r>
        <w:rPr>
          <w:position w:val="-5"/>
        </w:rPr>
      </w:r>
      <w:r>
        <w:rPr>
          <w:rFonts w:ascii="Times New Roman" w:eastAsia="Times New Roman"/>
          <w:sz w:val="20"/>
        </w:rPr>
        <w:t>                    </w:t>
      </w:r>
      <w:r>
        <w:rPr>
          <w:rFonts w:ascii="Times New Roman" w:eastAsia="Times New Roman"/>
          <w:spacing w:val="0"/>
          <w:sz w:val="20"/>
        </w:rPr>
        <w:t> </w:t>
      </w:r>
      <w:r>
        <w:rPr>
          <w:sz w:val="18"/>
        </w:rPr>
        <w:t>请扫描以查询验证条款</w:t>
      </w:r>
    </w:p>
    <w:p>
      <w:pPr>
        <w:spacing w:before="199"/>
        <w:ind w:left="2936" w:right="2582" w:firstLine="0"/>
        <w:jc w:val="center"/>
        <w:rPr>
          <w:b/>
          <w:sz w:val="30"/>
        </w:rPr>
      </w:pPr>
      <w:r>
        <w:rPr>
          <w:b/>
          <w:w w:val="95"/>
          <w:sz w:val="30"/>
        </w:rPr>
        <w:t>太平附加真爱豁免保费重大疾病保险条款</w:t>
      </w:r>
    </w:p>
    <w:p>
      <w:pPr>
        <w:pStyle w:val="BodyText"/>
        <w:rPr>
          <w:b/>
          <w:sz w:val="30"/>
        </w:rPr>
      </w:pPr>
    </w:p>
    <w:p>
      <w:pPr>
        <w:spacing w:before="222"/>
        <w:ind w:left="2936" w:right="2581" w:firstLine="0"/>
        <w:jc w:val="center"/>
        <w:rPr>
          <w:b/>
          <w:sz w:val="28"/>
        </w:rPr>
      </w:pPr>
      <w:r>
        <w:rPr>
          <w:b/>
          <w:sz w:val="28"/>
        </w:rPr>
        <w:t>特别提示</w:t>
      </w:r>
    </w:p>
    <w:p>
      <w:pPr>
        <w:pStyle w:val="BodyText"/>
        <w:rPr>
          <w:b/>
          <w:sz w:val="28"/>
        </w:rPr>
      </w:pPr>
    </w:p>
    <w:p>
      <w:pPr>
        <w:pStyle w:val="BodyText"/>
        <w:spacing w:before="1"/>
        <w:rPr>
          <w:b/>
          <w:sz w:val="30"/>
        </w:rPr>
      </w:pPr>
    </w:p>
    <w:p>
      <w:pPr>
        <w:spacing w:before="1"/>
        <w:ind w:left="1058" w:right="0" w:firstLine="0"/>
        <w:jc w:val="left"/>
        <w:rPr>
          <w:sz w:val="24"/>
        </w:rPr>
      </w:pPr>
      <w:r>
        <w:rPr>
          <w:sz w:val="24"/>
        </w:rPr>
        <w:t>感谢您选择了太平人寿保险有限公司。</w:t>
      </w:r>
    </w:p>
    <w:p>
      <w:pPr>
        <w:spacing w:line="549" w:lineRule="auto" w:before="46"/>
        <w:ind w:left="1060" w:right="19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9"/>
          <w:sz w:val="24"/>
        </w:rPr>
        <w:t>在部分情况下，我们不承担保险责任................................ .第八条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6"/>
          <w:w w:val="95"/>
          <w:sz w:val="24"/>
        </w:rPr>
        <w:t>解除保险合同会给您造成一定的损失，请您慎重决策..................第十六条</w:t>
      </w:r>
    </w:p>
    <w:p>
      <w:pPr>
        <w:pStyle w:val="BodyText"/>
        <w:rPr>
          <w:b/>
          <w:sz w:val="26"/>
        </w:rPr>
      </w:pPr>
    </w:p>
    <w:p>
      <w:pPr>
        <w:pStyle w:val="BodyText"/>
        <w:spacing w:before="3"/>
        <w:rPr>
          <w:b/>
          <w:sz w:val="31"/>
        </w:rPr>
      </w:pPr>
    </w:p>
    <w:p>
      <w:pPr>
        <w:spacing w:line="276" w:lineRule="auto" w:before="0"/>
        <w:ind w:left="1058" w:right="1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43"/>
        <w:ind w:left="2936" w:right="2578"/>
        <w:jc w:val="center"/>
      </w:pPr>
      <w:r>
        <w:rPr/>
        <w:t>第</w:t>
      </w:r>
      <w:r>
        <w:rPr>
          <w:rFonts w:ascii="Times New Roman" w:eastAsia="Times New Roman"/>
        </w:rPr>
        <w:t>1</w:t>
      </w:r>
      <w:r>
        <w:rPr/>
        <w:t>页，共</w:t>
      </w:r>
      <w:r>
        <w:rPr>
          <w:rFonts w:ascii="Times New Roman" w:eastAsia="Times New Roman"/>
        </w:rPr>
        <w:t>16</w:t>
      </w:r>
      <w:r>
        <w:rPr/>
        <w:t>页</w:t>
      </w:r>
    </w:p>
    <w:p>
      <w:pPr>
        <w:spacing w:after="0"/>
        <w:jc w:val="center"/>
        <w:sectPr>
          <w:type w:val="continuous"/>
          <w:pgSz w:w="11910" w:h="16160"/>
          <w:pgMar w:top="580" w:bottom="280" w:left="500" w:right="70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2"/>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spacing w:before="48"/>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spacing w:before="63"/>
            <w:rPr>
              <w:rFonts w:ascii="Times New Roman" w:eastAsia="Times New Roman"/>
            </w:rPr>
          </w:pPr>
          <w:hyperlink w:history="true" w:anchor="_bookmark12">
            <w:r>
              <w:rPr/>
              <w:t>第十条</w:t>
              <w:tab/>
              <w:t>续保</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4">
            <w:r>
              <w:rPr/>
              <w:t>第十一条</w:t>
              <w:tab/>
              <w:t>保险事故通知</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诉讼时效</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6">
            <w:r>
              <w:rPr/>
              <w:t>第十三条</w:t>
              <w:tab/>
              <w:t>豁免保险费的申请</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7">
            <w:r>
              <w:rPr/>
              <w:t>第十四条</w:t>
              <w:tab/>
              <w:t>司法鉴定</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第十五条</w:t>
              <w:tab/>
              <w:t>失踪处理</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9">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第十六条</w:t>
              <w:tab/>
              <w:t>您解除合同的手续及风险</w:t>
              <w:tab/>
            </w:r>
            <w:r>
              <w:rPr>
                <w:rFonts w:ascii="Times New Roman" w:eastAsia="Times New Roman"/>
              </w:rPr>
              <w:t>7</w:t>
            </w:r>
          </w:hyperlink>
        </w:p>
        <w:p>
          <w:pPr>
            <w:pStyle w:val="TOC1"/>
            <w:tabs>
              <w:tab w:pos="1377" w:val="left" w:leader="none"/>
              <w:tab w:pos="10019" w:val="right" w:leader="dot"/>
            </w:tabs>
            <w:rPr>
              <w:rFonts w:ascii="Times New Roman" w:eastAsia="Times New Roman"/>
            </w:rPr>
          </w:pPr>
          <w:hyperlink w:history="true" w:anchor="_bookmark21">
            <w:r>
              <w:rPr/>
              <w:t>第六部分</w:t>
              <w:tab/>
              <w:t>您必须了解的其他</w:t>
            </w:r>
            <w:r>
              <w:rPr>
                <w:spacing w:val="-3"/>
              </w:rPr>
              <w:t>事</w:t>
            </w:r>
            <w:r>
              <w:rPr/>
              <w:t>项</w:t>
              <w:tab/>
            </w:r>
            <w:r>
              <w:rPr>
                <w:rFonts w:ascii="Times New Roman" w:eastAsia="Times New Roman"/>
              </w:rPr>
              <w:t>7</w:t>
            </w:r>
          </w:hyperlink>
        </w:p>
        <w:p>
          <w:pPr>
            <w:pStyle w:val="TOC2"/>
            <w:tabs>
              <w:tab w:pos="1742" w:val="left" w:leader="none"/>
              <w:tab w:pos="10013" w:val="right" w:leader="dot"/>
            </w:tabs>
            <w:spacing w:before="22"/>
            <w:rPr>
              <w:rFonts w:ascii="Times New Roman" w:eastAsia="Times New Roman"/>
            </w:rPr>
          </w:pPr>
          <w:hyperlink w:history="true" w:anchor="_bookmark22">
            <w:r>
              <w:rPr/>
              <w:t>第十七条</w:t>
              <w:tab/>
              <w:t>保险合同的终止</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3">
            <w:r>
              <w:rPr/>
              <w:t>第十八条</w:t>
              <w:tab/>
              <w:t>重大疾病的种类及定义</w:t>
              <w:tab/>
            </w:r>
            <w:r>
              <w:rPr>
                <w:rFonts w:ascii="Times New Roman" w:eastAsia="Times New Roman"/>
              </w:rPr>
              <w:t>7</w:t>
            </w:r>
          </w:hyperlink>
        </w:p>
        <w:p>
          <w:pPr>
            <w:pStyle w:val="TOC1"/>
            <w:tabs>
              <w:tab w:pos="10019" w:val="right" w:leader="dot"/>
            </w:tabs>
            <w:rPr>
              <w:rFonts w:ascii="Times New Roman" w:eastAsia="Times New Roman"/>
            </w:rPr>
          </w:pPr>
          <w:hyperlink w:history="true" w:anchor="_bookmark24">
            <w:r>
              <w:rPr/>
              <w:t>附表一：现金价值表</w:t>
              <w:tab/>
            </w:r>
            <w:r>
              <w:rPr>
                <w:rFonts w:ascii="Times New Roman" w:eastAsia="Times New Roman"/>
              </w:rPr>
              <w:t>16</w:t>
            </w:r>
          </w:hyperlink>
        </w:p>
      </w:sdtContent>
    </w:sdt>
    <w:p>
      <w:pPr>
        <w:spacing w:after="0"/>
        <w:rPr>
          <w:rFonts w:ascii="Times New Roman" w:eastAsia="Times New Roman"/>
        </w:rPr>
        <w:sectPr>
          <w:footerReference w:type="default" r:id="rId8"/>
          <w:pgSz w:w="11910" w:h="16160"/>
          <w:pgMar w:footer="686" w:header="0" w:top="1520" w:bottom="88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05" w:firstLine="420"/>
      </w:pPr>
      <w:r>
        <w:rPr>
          <w:spacing w:val="-3"/>
          <w:w w:val="100"/>
        </w:rPr>
        <w:t>本附加合同依您的申请，可附加于我们提供的主险合同或附加险合同（</w:t>
      </w:r>
      <w:r>
        <w:rPr>
          <w:spacing w:val="-13"/>
          <w:w w:val="100"/>
        </w:rPr>
        <w:t>以下简称“被豁免合同”</w:t>
      </w:r>
      <w:r>
        <w:rPr>
          <w:w w:val="100"/>
        </w:rPr>
        <w:t>）</w:t>
      </w:r>
      <w:r>
        <w:rPr>
          <w:spacing w:val="-2"/>
          <w:w w:val="100"/>
        </w:rPr>
        <w:t>之上，</w:t>
      </w:r>
      <w:r>
        <w:rPr>
          <w:spacing w:val="-3"/>
        </w:rPr>
        <w:t>经我们审核同意，并在保险单或批注中列明后生效。</w:t>
      </w:r>
    </w:p>
    <w:p>
      <w:pPr>
        <w:pStyle w:val="BodyText"/>
        <w:spacing w:line="273" w:lineRule="auto" w:before="7"/>
        <w:ind w:left="117" w:right="180" w:firstLine="420"/>
      </w:pPr>
      <w:r>
        <w:rPr/>
        <w:t>被豁免合同的条款中与本附加合同相关的部分均为本附加合同的构成部分，如果被豁免合同与本附加合同的条款内容互有冲突，则以本附加合同为准。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line="273" w:lineRule="auto" w:before="36"/>
        <w:ind w:left="117" w:right="179" w:firstLine="420"/>
      </w:pPr>
      <w:r>
        <w:rPr/>
        <w:t>本附加合同的投保人和本附加合同的被保险人必须为同一人，且为被豁免合同的投保人。本附加合同接受的被保险人的投保年龄为 </w:t>
      </w:r>
      <w:r>
        <w:rPr>
          <w:rFonts w:ascii="Times New Roman" w:eastAsia="Times New Roman"/>
        </w:rPr>
        <w:t>18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至 </w:t>
      </w:r>
      <w:r>
        <w:rPr>
          <w:rFonts w:ascii="Times New Roman" w:eastAsia="Times New Roman"/>
          <w:vertAlign w:val="baseline"/>
        </w:rPr>
        <w:t>65 </w:t>
      </w:r>
      <w:r>
        <w:rPr>
          <w:vertAlign w:val="baseline"/>
        </w:rPr>
        <w:t>周岁。</w:t>
      </w:r>
    </w:p>
    <w:p>
      <w:pPr>
        <w:pStyle w:val="BodyText"/>
        <w:spacing w:before="12"/>
        <w:rPr>
          <w:sz w:val="22"/>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rPr>
          <w:sz w:val="25"/>
        </w:rPr>
      </w:pPr>
    </w:p>
    <w:p>
      <w:pPr>
        <w:pStyle w:val="Heading2"/>
        <w:tabs>
          <w:tab w:pos="969" w:val="left" w:leader="none"/>
        </w:tabs>
        <w:spacing w:before="1"/>
      </w:pPr>
      <w:bookmarkStart w:name="_bookmark4" w:id="5"/>
      <w:bookmarkEnd w:id="5"/>
      <w:r>
        <w:rPr>
          <w:b w:val="0"/>
        </w:rPr>
      </w:r>
      <w:r>
        <w:rPr/>
        <w:t>第四条</w:t>
        <w:tab/>
        <w:t>保险期间</w:t>
      </w:r>
    </w:p>
    <w:p>
      <w:pPr>
        <w:pStyle w:val="BodyText"/>
        <w:spacing w:line="256" w:lineRule="auto" w:before="37"/>
        <w:ind w:left="117" w:right="132" w:firstLine="420"/>
      </w:pPr>
      <w:r>
        <w:rPr/>
        <w:t>本附加合同的保险期间为 </w:t>
      </w:r>
      <w:r>
        <w:rPr>
          <w:rFonts w:ascii="Times New Roman" w:eastAsia="Times New Roman"/>
        </w:rPr>
        <w:t>1 </w:t>
      </w:r>
      <w:r>
        <w:rPr/>
        <w:t>年，自本附加合同生效日零时起至本附加合同约定的终止时止，并在保险单上载明。</w:t>
      </w:r>
    </w:p>
    <w:p>
      <w:pPr>
        <w:spacing w:before="22"/>
        <w:ind w:left="538" w:right="0" w:firstLine="0"/>
        <w:jc w:val="left"/>
        <w:rPr>
          <w:sz w:val="21"/>
        </w:rPr>
      </w:pPr>
      <w:r>
        <w:rPr>
          <w:sz w:val="21"/>
        </w:rPr>
        <w:t>本附加合同的</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与被豁免合同保持一致。</w:t>
      </w:r>
    </w:p>
    <w:p>
      <w:pPr>
        <w:pStyle w:val="BodyText"/>
        <w:spacing w:before="4"/>
        <w:rPr>
          <w:sz w:val="23"/>
        </w:rPr>
      </w:pPr>
    </w:p>
    <w:p>
      <w:pPr>
        <w:pStyle w:val="Heading1"/>
        <w:tabs>
          <w:tab w:pos="1418" w:val="left" w:leader="none"/>
        </w:tabs>
        <w:ind w:right="62"/>
      </w:pPr>
      <w:bookmarkStart w:name="_bookmark5" w:id="6"/>
      <w:bookmarkEnd w:id="6"/>
      <w:r>
        <w:rPr>
          <w:b w:val="0"/>
        </w:rPr>
      </w:r>
      <w:r>
        <w:rPr/>
        <w:t>第二部分</w:t>
        <w:tab/>
      </w:r>
      <w:r>
        <w:rPr>
          <w:w w:val="95"/>
        </w:rPr>
        <w:t>我们提供哪些保障利益</w:t>
      </w:r>
    </w:p>
    <w:p>
      <w:pPr>
        <w:pStyle w:val="BodyText"/>
        <w:spacing w:before="9"/>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line="273" w:lineRule="auto" w:before="37"/>
        <w:ind w:left="117" w:right="180" w:firstLine="420"/>
      </w:pPr>
      <w:r>
        <w:rPr/>
        <w:t>本附加合同的基本保险金额根据被豁免合同的保险费确定，并在保险单或批注上列明。如果该金额发生变更，则以变更后的金额为基本保险金额。</w:t>
      </w:r>
    </w:p>
    <w:p>
      <w:pPr>
        <w:pStyle w:val="BodyText"/>
        <w:spacing w:before="5"/>
        <w:rPr>
          <w:sz w:val="24"/>
        </w:rPr>
      </w:pPr>
    </w:p>
    <w:p>
      <w:pPr>
        <w:pStyle w:val="Heading2"/>
        <w:tabs>
          <w:tab w:pos="957" w:val="left" w:leader="none"/>
        </w:tabs>
      </w:pPr>
      <w:bookmarkStart w:name="_bookmark7" w:id="8"/>
      <w:bookmarkEnd w:id="8"/>
      <w:r>
        <w:rPr>
          <w:b w:val="0"/>
        </w:rPr>
      </w:r>
      <w:r>
        <w:rPr/>
        <w:t>第六条</w:t>
        <w:tab/>
        <w:t>等待期</w:t>
      </w:r>
    </w:p>
    <w:p>
      <w:pPr>
        <w:pStyle w:val="BodyText"/>
        <w:spacing w:before="36"/>
        <w:ind w:left="538"/>
      </w:pPr>
      <w:r>
        <w:rPr/>
        <w:t>自本附加合同生效日零时起 </w:t>
      </w:r>
      <w:r>
        <w:rPr>
          <w:rFonts w:ascii="Times New Roman" w:eastAsia="Times New Roman"/>
        </w:rPr>
        <w:t>90 </w:t>
      </w:r>
      <w:r>
        <w:rPr/>
        <w:t>日为等待期。续保无等待期。</w:t>
      </w:r>
    </w:p>
    <w:p>
      <w:pPr>
        <w:pStyle w:val="BodyText"/>
        <w:spacing w:before="5"/>
        <w:rPr>
          <w:sz w:val="25"/>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1677"/>
      </w:pPr>
      <w:r>
        <w:rPr/>
        <w:t>在本附加合同保险期间内且本附加合同有效，我们按照下列约定承担相应的保险责任： 一、重疾豁免保险费</w:t>
      </w:r>
    </w:p>
    <w:p>
      <w:pPr>
        <w:pStyle w:val="ListParagraph"/>
        <w:numPr>
          <w:ilvl w:val="0"/>
          <w:numId w:val="2"/>
        </w:numPr>
        <w:tabs>
          <w:tab w:pos="805" w:val="left" w:leader="none"/>
        </w:tabs>
        <w:spacing w:line="240" w:lineRule="auto" w:before="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12"/>
        <w:rPr>
          <w:sz w:val="19"/>
        </w:rPr>
      </w:pPr>
      <w:r>
        <w:rPr/>
        <w:pict>
          <v:line style="position:absolute;mso-position-horizontal-relative:page;mso-position-vertical-relative:paragraph;z-index:1096;mso-wrap-distance-left:0;mso-wrap-distance-right:0" from="53.880001pt,15.246551pt" to="197.930001pt,15.246551pt" stroked="true" strokeweight=".48004pt" strokecolor="#000000">
            <v:stroke dashstyle="solid"/>
            <w10:wrap type="topAndBottom"/>
          </v:line>
        </w:pict>
      </w:r>
    </w:p>
    <w:p>
      <w:pPr>
        <w:pStyle w:val="BodyText"/>
        <w:spacing w:before="32"/>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w:t>
      </w:r>
    </w:p>
    <w:p>
      <w:pPr>
        <w:pStyle w:val="BodyText"/>
        <w:spacing w:before="19"/>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before="36"/>
        <w:ind w:left="117"/>
        <w:rPr>
          <w:rFonts w:ascii="楷体" w:eastAsia="楷体" w:hint="eastAsia"/>
        </w:rPr>
      </w:pPr>
      <w:r>
        <w:rPr>
          <w:rFonts w:ascii="楷体" w:eastAsia="楷体" w:hint="eastAsia"/>
        </w:rPr>
        <w:t>度。如果当月无对应的同一日，则以该月最后一日为对应日。</w:t>
      </w:r>
    </w:p>
    <w:p>
      <w:pPr>
        <w:spacing w:line="273" w:lineRule="exact" w:before="15"/>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3"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spacing w:after="0" w:line="273" w:lineRule="exact"/>
        <w:rPr>
          <w:rFonts w:ascii="楷体" w:eastAsia="楷体" w:hint="eastAsia"/>
        </w:rPr>
        <w:sectPr>
          <w:pgSz w:w="11910" w:h="16160"/>
          <w:pgMar w:header="0" w:footer="686" w:top="1520" w:bottom="880" w:left="960" w:right="740"/>
        </w:sectPr>
      </w:pPr>
    </w:p>
    <w:p>
      <w:pPr>
        <w:pStyle w:val="BodyText"/>
        <w:spacing w:line="273" w:lineRule="auto" w:before="7"/>
        <w:ind w:left="117" w:right="157"/>
        <w:jc w:val="both"/>
      </w:pPr>
      <w:r>
        <w:rPr/>
        <w:t>初次患上一种或多种本附加合同第十八条所定义的重大疾病，我们将豁免被豁免合同自被保险人确诊日后的下一保单年度及以后余下各期的保险费，但不包含被保险人确诊日之前所欠交的保险费及利息，同时本附加合同终止。</w:t>
      </w:r>
    </w:p>
    <w:p>
      <w:pPr>
        <w:pStyle w:val="ListParagraph"/>
        <w:numPr>
          <w:ilvl w:val="0"/>
          <w:numId w:val="2"/>
        </w:numPr>
        <w:tabs>
          <w:tab w:pos="807" w:val="left" w:leader="none"/>
        </w:tabs>
        <w:spacing w:line="264" w:lineRule="auto" w:before="7" w:after="0"/>
        <w:ind w:left="117" w:right="154" w:firstLine="421"/>
        <w:jc w:val="both"/>
        <w:rPr>
          <w:sz w:val="21"/>
        </w:rPr>
      </w:pPr>
      <w:r>
        <w:rPr>
          <w:sz w:val="21"/>
        </w:rPr>
        <w:t>如果被保险人因意外伤害事故以外的原因经医院确诊初次患上一种或多种本附加合同第十八条所定</w:t>
      </w:r>
      <w:r>
        <w:rPr>
          <w:spacing w:val="-3"/>
          <w:sz w:val="21"/>
        </w:rPr>
        <w:t>义的重大疾病，并且首次发病时间在等待期内，我们不承担重疾豁免保险费的责任，但我们返还本附加合同的已交保险费，同时本附加合同终止。</w:t>
      </w:r>
    </w:p>
    <w:p>
      <w:pPr>
        <w:pStyle w:val="BodyText"/>
        <w:spacing w:before="16"/>
        <w:ind w:left="538"/>
      </w:pPr>
      <w:r>
        <w:rPr/>
        <w:t>二、身故豁免保险费</w:t>
      </w:r>
    </w:p>
    <w:p>
      <w:pPr>
        <w:pStyle w:val="ListParagraph"/>
        <w:numPr>
          <w:ilvl w:val="0"/>
          <w:numId w:val="3"/>
        </w:numPr>
        <w:tabs>
          <w:tab w:pos="803" w:val="left" w:leader="none"/>
        </w:tabs>
        <w:spacing w:line="264" w:lineRule="auto" w:before="37" w:after="0"/>
        <w:ind w:left="117" w:right="154" w:firstLine="421"/>
        <w:jc w:val="both"/>
        <w:rPr>
          <w:sz w:val="21"/>
        </w:rPr>
      </w:pPr>
      <w:r>
        <w:rPr>
          <w:spacing w:val="-4"/>
          <w:sz w:val="21"/>
        </w:rPr>
        <w:t>如果被保险人因意外伤害事故或等待期后因意外伤害事故以外的原因导致身故，我们将豁免被豁免合同自被保险人身故后的下一保单年度及以后余下各期的保险费，但不包含被保险人身故之前所欠交的保险费</w:t>
      </w:r>
      <w:r>
        <w:rPr>
          <w:spacing w:val="-3"/>
          <w:sz w:val="21"/>
        </w:rPr>
        <w:t>及利息，同时本附加合同终止。</w:t>
      </w:r>
    </w:p>
    <w:p>
      <w:pPr>
        <w:pStyle w:val="ListParagraph"/>
        <w:numPr>
          <w:ilvl w:val="0"/>
          <w:numId w:val="3"/>
        </w:numPr>
        <w:tabs>
          <w:tab w:pos="803" w:val="left" w:leader="none"/>
        </w:tabs>
        <w:spacing w:line="259" w:lineRule="auto" w:before="16" w:after="0"/>
        <w:ind w:left="117" w:right="138" w:firstLine="421"/>
        <w:jc w:val="left"/>
        <w:rPr>
          <w:sz w:val="21"/>
        </w:rPr>
      </w:pPr>
      <w:r>
        <w:rPr>
          <w:spacing w:val="-3"/>
          <w:sz w:val="21"/>
        </w:rPr>
        <w:t>如果被保险人在等待期内因意外伤害事故以外的原因导致身故，我们不承担身故豁免保险费的责任， 但我们返还本附加合同的已交保险费，同时本附加合同终止。</w:t>
      </w:r>
    </w:p>
    <w:p>
      <w:pPr>
        <w:pStyle w:val="BodyText"/>
        <w:tabs>
          <w:tab w:pos="969" w:val="left" w:leader="none"/>
        </w:tabs>
        <w:spacing w:line="624" w:lineRule="exact" w:before="78"/>
        <w:ind w:left="117" w:right="188" w:firstLine="420"/>
        <w:rPr>
          <w:b/>
        </w:rPr>
      </w:pPr>
      <w:r>
        <w:rPr/>
        <w:t>当本</w:t>
      </w:r>
      <w:r>
        <w:rPr>
          <w:spacing w:val="-3"/>
        </w:rPr>
        <w:t>附</w:t>
      </w:r>
      <w:r>
        <w:rPr/>
        <w:t>加</w:t>
      </w:r>
      <w:r>
        <w:rPr>
          <w:spacing w:val="-3"/>
        </w:rPr>
        <w:t>合</w:t>
      </w:r>
      <w:r>
        <w:rPr/>
        <w:t>同</w:t>
      </w:r>
      <w:r>
        <w:rPr>
          <w:spacing w:val="-3"/>
        </w:rPr>
        <w:t>的</w:t>
      </w:r>
      <w:r>
        <w:rPr/>
        <w:t>被</w:t>
      </w:r>
      <w:r>
        <w:rPr>
          <w:spacing w:val="-3"/>
        </w:rPr>
        <w:t>保</w:t>
      </w:r>
      <w:r>
        <w:rPr/>
        <w:t>险</w:t>
      </w:r>
      <w:r>
        <w:rPr>
          <w:spacing w:val="-3"/>
        </w:rPr>
        <w:t>人</w:t>
      </w:r>
      <w:r>
        <w:rPr/>
        <w:t>与被</w:t>
      </w:r>
      <w:r>
        <w:rPr>
          <w:spacing w:val="-3"/>
        </w:rPr>
        <w:t>豁</w:t>
      </w:r>
      <w:r>
        <w:rPr/>
        <w:t>免</w:t>
      </w:r>
      <w:r>
        <w:rPr>
          <w:spacing w:val="-3"/>
        </w:rPr>
        <w:t>合</w:t>
      </w:r>
      <w:r>
        <w:rPr/>
        <w:t>同</w:t>
      </w:r>
      <w:r>
        <w:rPr>
          <w:spacing w:val="-3"/>
        </w:rPr>
        <w:t>的</w:t>
      </w:r>
      <w:r>
        <w:rPr/>
        <w:t>被</w:t>
      </w:r>
      <w:r>
        <w:rPr>
          <w:spacing w:val="-3"/>
        </w:rPr>
        <w:t>保</w:t>
      </w:r>
      <w:r>
        <w:rPr/>
        <w:t>险</w:t>
      </w:r>
      <w:r>
        <w:rPr>
          <w:spacing w:val="-3"/>
        </w:rPr>
        <w:t>人</w:t>
      </w:r>
      <w:r>
        <w:rPr/>
        <w:t>为同</w:t>
      </w:r>
      <w:r>
        <w:rPr>
          <w:spacing w:val="-3"/>
        </w:rPr>
        <w:t>一</w:t>
      </w:r>
      <w:r>
        <w:rPr/>
        <w:t>人</w:t>
      </w:r>
      <w:r>
        <w:rPr>
          <w:spacing w:val="-3"/>
        </w:rPr>
        <w:t>时</w:t>
      </w:r>
      <w:r>
        <w:rPr/>
        <w:t>，</w:t>
      </w:r>
      <w:r>
        <w:rPr>
          <w:spacing w:val="-3"/>
        </w:rPr>
        <w:t>如</w:t>
      </w:r>
      <w:r>
        <w:rPr/>
        <w:t>果</w:t>
      </w:r>
      <w:r>
        <w:rPr>
          <w:spacing w:val="-3"/>
        </w:rPr>
        <w:t>被</w:t>
      </w:r>
      <w:r>
        <w:rPr/>
        <w:t>保</w:t>
      </w:r>
      <w:r>
        <w:rPr>
          <w:spacing w:val="-3"/>
        </w:rPr>
        <w:t>险</w:t>
      </w:r>
      <w:r>
        <w:rPr/>
        <w:t>人身</w:t>
      </w:r>
      <w:r>
        <w:rPr>
          <w:spacing w:val="-3"/>
        </w:rPr>
        <w:t>故</w:t>
      </w:r>
      <w:r>
        <w:rPr/>
        <w:t>，</w:t>
      </w:r>
      <w:r>
        <w:rPr>
          <w:spacing w:val="-3"/>
        </w:rPr>
        <w:t>本</w:t>
      </w:r>
      <w:r>
        <w:rPr/>
        <w:t>附</w:t>
      </w:r>
      <w:r>
        <w:rPr>
          <w:spacing w:val="-3"/>
        </w:rPr>
        <w:t>加</w:t>
      </w:r>
      <w:r>
        <w:rPr/>
        <w:t>合</w:t>
      </w:r>
      <w:r>
        <w:rPr>
          <w:spacing w:val="-3"/>
        </w:rPr>
        <w:t>同</w:t>
      </w:r>
      <w:r>
        <w:rPr/>
        <w:t>终</w:t>
      </w:r>
      <w:r>
        <w:rPr>
          <w:spacing w:val="-3"/>
        </w:rPr>
        <w:t>止</w:t>
      </w:r>
      <w:r>
        <w:rPr/>
        <w:t>。</w:t>
      </w:r>
      <w:bookmarkStart w:name="_bookmark9" w:id="10"/>
      <w:bookmarkEnd w:id="10"/>
      <w:r>
        <w:rPr/>
      </w:r>
      <w:r>
        <w:rPr>
          <w:b/>
        </w:rPr>
        <w:t>第八条</w:t>
        <w:tab/>
      </w:r>
      <w:r>
        <w:rPr>
          <w:b/>
          <w:spacing w:val="-1"/>
        </w:rPr>
        <w:t>责</w:t>
      </w:r>
      <w:r>
        <w:rPr>
          <w:b/>
        </w:rPr>
        <w:t>任免除</w:t>
      </w:r>
    </w:p>
    <w:p>
      <w:pPr>
        <w:pStyle w:val="BodyText"/>
        <w:spacing w:line="217" w:lineRule="exact"/>
        <w:ind w:left="538"/>
        <w:rPr>
          <w:rFonts w:ascii="黑体" w:eastAsia="黑体" w:hint="eastAsia"/>
        </w:rPr>
      </w:pPr>
      <w:r>
        <w:rPr>
          <w:rFonts w:ascii="黑体" w:eastAsia="黑体" w:hint="eastAsia"/>
        </w:rPr>
        <w:t>一、因下列情形之一导致被保险人患上本附加合同所定义的重大疾病的，我们不承担重疾豁免保险费的</w:t>
      </w:r>
    </w:p>
    <w:p>
      <w:pPr>
        <w:pStyle w:val="BodyText"/>
        <w:spacing w:before="37"/>
        <w:ind w:left="117"/>
        <w:jc w:val="both"/>
        <w:rPr>
          <w:rFonts w:ascii="黑体" w:eastAsia="黑体" w:hint="eastAsia"/>
        </w:rPr>
      </w:pPr>
      <w:r>
        <w:rPr>
          <w:rFonts w:ascii="黑体" w:eastAsia="黑体" w:hint="eastAsia"/>
        </w:rPr>
        <w:t>责任：</w:t>
      </w:r>
    </w:p>
    <w:p>
      <w:pPr>
        <w:pStyle w:val="ListParagraph"/>
        <w:numPr>
          <w:ilvl w:val="0"/>
          <w:numId w:val="4"/>
        </w:numPr>
        <w:tabs>
          <w:tab w:pos="803" w:val="left" w:leader="none"/>
        </w:tabs>
        <w:spacing w:line="240" w:lineRule="auto" w:before="36"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40" w:lineRule="auto" w:before="22"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8"/>
        <w:rPr>
          <w:rFonts w:ascii="黑体"/>
          <w:sz w:val="14"/>
        </w:rPr>
      </w:pPr>
      <w:r>
        <w:rPr/>
        <w:pict>
          <v:line style="position:absolute;mso-position-horizontal-relative:page;mso-position-vertical-relative:paragraph;z-index:1120;mso-wrap-distance-left:0;mso-wrap-distance-right:0" from="53.880001pt,11.775964pt" to="197.930001pt,11.775964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楷体" w:eastAsia="楷体" w:hint="eastAsia"/>
        </w:rPr>
        <w:t>意并寻求诊断、治疗或护理的病症。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4" w:lineRule="exact"/>
        <w:ind w:left="117"/>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ind w:left="117" w:right="18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1" w:lineRule="exact" w:before="2"/>
        <w:ind w:left="117"/>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3"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3" w:lineRule="auto" w:before="12"/>
        <w:ind w:left="117" w:right="18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9" w:lineRule="exact"/>
        <w:ind w:left="117"/>
        <w:rPr>
          <w:rFonts w:ascii="楷体" w:eastAsia="楷体" w:hint="eastAsia"/>
        </w:rPr>
      </w:pPr>
      <w:r>
        <w:rPr>
          <w:rFonts w:ascii="Times New Roman" w:eastAsia="Times New Roman"/>
          <w:w w:val="99"/>
          <w:position w:val="10"/>
          <w:sz w:val="14"/>
        </w:rPr>
        <w:t>11</w:t>
      </w:r>
      <w:r>
        <w:rPr>
          <w:rFonts w:ascii="楷体" w:eastAsia="楷体" w:hint="eastAsia"/>
          <w:b/>
          <w:spacing w:val="-1"/>
          <w:w w:val="100"/>
        </w:rPr>
        <w:t>无有效行驶证：</w:t>
      </w:r>
      <w:r>
        <w:rPr>
          <w:rFonts w:ascii="楷体" w:eastAsia="楷体" w:hint="eastAsia"/>
          <w:spacing w:val="-16"/>
          <w:w w:val="100"/>
        </w:rPr>
        <w:t>指下列情形之一：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12"/>
          <w:w w:val="100"/>
        </w:rPr>
        <w:t>机动车被依法注销登记的；</w:t>
      </w:r>
      <w:r>
        <w:rPr>
          <w:rFonts w:ascii="楷体" w:eastAsia="楷体" w:hint="eastAsia"/>
          <w:spacing w:val="-1"/>
          <w:w w:val="100"/>
        </w:rPr>
        <w:t>（</w:t>
      </w:r>
      <w:r>
        <w:rPr>
          <w:rFonts w:ascii="Times New Roman" w:eastAsia="Times New Roman"/>
          <w:w w:val="100"/>
        </w:rPr>
        <w:t>2</w:t>
      </w:r>
      <w:r>
        <w:rPr>
          <w:rFonts w:ascii="楷体" w:eastAsia="楷体" w:hint="eastAsia"/>
          <w:spacing w:val="-3"/>
          <w:w w:val="100"/>
        </w:rPr>
        <w:t>）未依法按时进行或通过机动车安全</w:t>
      </w:r>
    </w:p>
    <w:p>
      <w:pPr>
        <w:pStyle w:val="BodyText"/>
        <w:spacing w:line="264" w:lineRule="exact"/>
        <w:ind w:left="117"/>
        <w:rPr>
          <w:rFonts w:ascii="楷体" w:eastAsia="楷体" w:hint="eastAsia"/>
        </w:rPr>
      </w:pPr>
      <w:r>
        <w:rPr>
          <w:rFonts w:ascii="楷体" w:eastAsia="楷体" w:hint="eastAsia"/>
        </w:rPr>
        <w:t>技术检验。</w:t>
      </w:r>
    </w:p>
    <w:p>
      <w:pPr>
        <w:pStyle w:val="BodyText"/>
        <w:spacing w:line="230" w:lineRule="auto" w:before="10"/>
        <w:ind w:left="117" w:right="152"/>
        <w:rPr>
          <w:rFonts w:ascii="楷体" w:eastAsia="楷体" w:hint="eastAsia"/>
        </w:rPr>
      </w:pPr>
      <w:r>
        <w:rPr>
          <w:rFonts w:ascii="Times New Roman" w:eastAsia="Times New Roman"/>
          <w:position w:val="10"/>
          <w:sz w:val="14"/>
        </w:rPr>
        <w:t>12</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1" w:lineRule="exact"/>
        <w:ind w:left="117"/>
        <w:rPr>
          <w:rFonts w:ascii="楷体" w:eastAsia="楷体" w:hint="eastAsia"/>
        </w:rPr>
      </w:pPr>
      <w:r>
        <w:rPr>
          <w:rFonts w:ascii="Times New Roman" w:eastAsia="Times New Roman"/>
          <w:position w:val="10"/>
          <w:sz w:val="14"/>
        </w:rPr>
        <w:t>13</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3" w:lineRule="exact"/>
        <w:ind w:left="117"/>
        <w:rPr>
          <w:rFonts w:ascii="楷体" w:eastAsia="楷体" w:hint="eastAsia"/>
        </w:rPr>
      </w:pPr>
      <w:r>
        <w:rPr>
          <w:rFonts w:ascii="楷体" w:eastAsia="楷体" w:hint="eastAsia"/>
        </w:rPr>
        <w:t>由亲代传至后代的垂直传递的特征。</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14</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spacing w:after="0" w:line="273" w:lineRule="exact"/>
        <w:jc w:val="left"/>
        <w:rPr>
          <w:rFonts w:ascii="楷体" w:eastAsia="楷体" w:hint="eastAsia"/>
          <w:sz w:val="21"/>
        </w:rPr>
        <w:sectPr>
          <w:footerReference w:type="default" r:id="rId9"/>
          <w:pgSz w:w="11910" w:h="16160"/>
          <w:pgMar w:footer="686" w:header="0" w:top="1360" w:bottom="880" w:left="960" w:right="760"/>
        </w:sectPr>
      </w:pPr>
    </w:p>
    <w:p>
      <w:pPr>
        <w:pStyle w:val="BodyText"/>
        <w:spacing w:line="273" w:lineRule="auto" w:before="7"/>
        <w:ind w:left="117" w:right="220" w:firstLine="420"/>
        <w:rPr>
          <w:rFonts w:ascii="黑体" w:eastAsia="黑体" w:hint="eastAsia"/>
        </w:rPr>
      </w:pPr>
      <w:r>
        <w:rPr>
          <w:rFonts w:ascii="黑体" w:eastAsia="黑体" w:hint="eastAsia"/>
        </w:rPr>
        <w:t>发Th上述情形导致被保险人患上本附加合同所定义的重大疾病的，本附加合同终止，我们向您退还保险单的</w:t>
      </w:r>
      <w:r>
        <w:rPr>
          <w:rFonts w:ascii="黑体" w:eastAsia="黑体" w:hint="eastAsia"/>
          <w:b/>
        </w:rPr>
        <w:t>现金价值</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w:t>
      </w:r>
    </w:p>
    <w:p>
      <w:pPr>
        <w:pStyle w:val="BodyText"/>
        <w:spacing w:line="264" w:lineRule="exact"/>
        <w:ind w:left="538"/>
        <w:rPr>
          <w:rFonts w:ascii="黑体" w:eastAsia="黑体" w:hint="eastAsia"/>
        </w:rPr>
      </w:pPr>
      <w:r>
        <w:rPr>
          <w:rFonts w:ascii="黑体" w:eastAsia="黑体" w:hint="eastAsia"/>
        </w:rPr>
        <w:t>二、因下列情形之一导致被保险人身故的，我们不承担身故豁免保险费的责任：</w:t>
      </w:r>
    </w:p>
    <w:p>
      <w:pPr>
        <w:pStyle w:val="ListParagraph"/>
        <w:numPr>
          <w:ilvl w:val="0"/>
          <w:numId w:val="5"/>
        </w:numPr>
        <w:tabs>
          <w:tab w:pos="803" w:val="left" w:leader="none"/>
        </w:tabs>
        <w:spacing w:line="240" w:lineRule="auto" w:before="37"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5"/>
        </w:numPr>
        <w:tabs>
          <w:tab w:pos="803" w:val="left" w:leader="none"/>
        </w:tabs>
        <w:spacing w:line="256" w:lineRule="auto" w:before="20" w:after="0"/>
        <w:ind w:left="117" w:right="171" w:firstLine="421"/>
        <w:jc w:val="left"/>
        <w:rPr>
          <w:rFonts w:ascii="黑体" w:eastAsia="黑体" w:hint="eastAsia"/>
          <w:sz w:val="21"/>
        </w:rPr>
      </w:pPr>
      <w:r>
        <w:rPr>
          <w:rFonts w:ascii="黑体" w:eastAsia="黑体" w:hint="eastAsia"/>
          <w:spacing w:val="-4"/>
          <w:sz w:val="21"/>
        </w:rPr>
        <w:t>被保险人自本附加合同成立或者合同效力恢复之日起 </w:t>
      </w:r>
      <w:r>
        <w:rPr>
          <w:rFonts w:ascii="Times New Roman" w:eastAsia="Times New Roman"/>
          <w:sz w:val="21"/>
        </w:rPr>
        <w:t>2</w:t>
      </w:r>
      <w:r>
        <w:rPr>
          <w:rFonts w:ascii="Times New Roman" w:eastAsia="Times New Roman"/>
          <w:spacing w:val="40"/>
          <w:sz w:val="21"/>
        </w:rPr>
        <w:t> </w:t>
      </w:r>
      <w:r>
        <w:rPr>
          <w:rFonts w:ascii="黑体" w:eastAsia="黑体" w:hint="eastAsia"/>
          <w:spacing w:val="-6"/>
          <w:sz w:val="21"/>
        </w:rPr>
        <w:t>年内自杀，但被保险人自杀时为</w:t>
      </w:r>
      <w:r>
        <w:rPr>
          <w:rFonts w:ascii="黑体" w:eastAsia="黑体" w:hint="eastAsia"/>
          <w:b/>
          <w:spacing w:val="-1"/>
          <w:sz w:val="21"/>
        </w:rPr>
        <w:t>无民事行为能力人</w:t>
      </w:r>
      <w:r>
        <w:rPr>
          <w:rFonts w:ascii="Times New Roman" w:eastAsia="Times New Roman"/>
          <w:b/>
          <w:spacing w:val="-1"/>
          <w:sz w:val="21"/>
          <w:vertAlign w:val="superscript"/>
        </w:rPr>
        <w:t>16</w:t>
      </w:r>
      <w:r>
        <w:rPr>
          <w:rFonts w:ascii="Times New Roman" w:eastAsia="Times New Roman"/>
          <w:b/>
          <w:spacing w:val="-1"/>
          <w:sz w:val="21"/>
          <w:vertAlign w:val="baseline"/>
        </w:rPr>
      </w:r>
      <w:r>
        <w:rPr>
          <w:rFonts w:ascii="黑体" w:eastAsia="黑体" w:hint="eastAsia"/>
          <w:spacing w:val="-2"/>
          <w:sz w:val="21"/>
          <w:vertAlign w:val="baseline"/>
        </w:rPr>
        <w:t>的除外；</w:t>
      </w:r>
    </w:p>
    <w:p>
      <w:pPr>
        <w:pStyle w:val="ListParagraph"/>
        <w:numPr>
          <w:ilvl w:val="0"/>
          <w:numId w:val="5"/>
        </w:numPr>
        <w:tabs>
          <w:tab w:pos="803" w:val="left" w:leader="none"/>
        </w:tabs>
        <w:spacing w:line="240" w:lineRule="auto" w:before="4"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5"/>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5"/>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before="21"/>
        <w:ind w:left="538"/>
        <w:rPr>
          <w:rFonts w:ascii="黑体" w:eastAsia="黑体" w:hint="eastAsia"/>
        </w:rPr>
      </w:pPr>
      <w:r>
        <w:rPr>
          <w:rFonts w:ascii="黑体" w:eastAsia="黑体" w:hint="eastAsia"/>
        </w:rPr>
        <w:t>发Th上述情形导致被保险人身故的，本附加合同终止，我们向其他权利人退还保险单的现金价值。</w:t>
      </w:r>
    </w:p>
    <w:p>
      <w:pPr>
        <w:pStyle w:val="BodyText"/>
        <w:spacing w:before="7"/>
        <w:rPr>
          <w:rFonts w:ascii="黑体"/>
          <w:sz w:val="24"/>
        </w:rPr>
      </w:pPr>
    </w:p>
    <w:p>
      <w:pPr>
        <w:pStyle w:val="Heading1"/>
        <w:tabs>
          <w:tab w:pos="1418" w:val="left" w:leader="none"/>
        </w:tabs>
        <w:ind w:right="99"/>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t>保险费的支付</w:t>
      </w:r>
    </w:p>
    <w:p>
      <w:pPr>
        <w:pStyle w:val="BodyText"/>
        <w:spacing w:line="273" w:lineRule="auto" w:before="37"/>
        <w:ind w:left="117" w:right="218" w:firstLine="420"/>
        <w:jc w:val="both"/>
      </w:pPr>
      <w:r>
        <w:rPr/>
        <w:t>本附加合同保险费的交费方式和交费期限由您和我们约定，并在保险单或批注上列明。本附加合同的保险费以被保险人投保时的年龄及被豁免合同的剩余交费期间为基础计算。续保保险费根据续保时被保险人的年龄及被豁免合同剩余交费期间核定的费率计算，并按本附加合同的约定在每个保险费约定支付日支付当期应支付的保险费。</w:t>
      </w:r>
    </w:p>
    <w:p>
      <w:pPr>
        <w:pStyle w:val="BodyText"/>
        <w:spacing w:before="5"/>
        <w:rPr>
          <w:sz w:val="24"/>
        </w:rPr>
      </w:pPr>
    </w:p>
    <w:p>
      <w:pPr>
        <w:pStyle w:val="Heading2"/>
        <w:tabs>
          <w:tab w:pos="969" w:val="left" w:leader="none"/>
        </w:tabs>
      </w:pPr>
      <w:bookmarkStart w:name="_bookmark12" w:id="13"/>
      <w:bookmarkEnd w:id="13"/>
      <w:r>
        <w:rPr>
          <w:b w:val="0"/>
        </w:rPr>
      </w:r>
      <w:r>
        <w:rPr/>
        <w:t>第十条</w:t>
        <w:tab/>
        <w:t>续保</w:t>
      </w:r>
    </w:p>
    <w:p>
      <w:pPr>
        <w:pStyle w:val="BodyText"/>
        <w:spacing w:line="256" w:lineRule="auto" w:before="36"/>
        <w:ind w:left="117" w:right="220" w:firstLine="420"/>
      </w:pPr>
      <w:r>
        <w:rPr/>
        <w:t>在</w:t>
      </w:r>
      <w:r>
        <w:rPr>
          <w:b/>
        </w:rPr>
        <w:t>本附加合同期满日</w:t>
      </w:r>
      <w:r>
        <w:rPr>
          <w:rFonts w:ascii="Times New Roman" w:eastAsia="Times New Roman"/>
          <w:b/>
          <w:vertAlign w:val="superscript"/>
        </w:rPr>
        <w:t>1</w:t>
      </w:r>
      <w:r>
        <w:rPr>
          <w:rFonts w:ascii="Times New Roman" w:eastAsia="Times New Roman"/>
          <w:b/>
          <w:vertAlign w:val="superscript"/>
        </w:rPr>
        <w:t>7</w:t>
      </w:r>
      <w:r>
        <w:rPr>
          <w:rFonts w:ascii="Times New Roman" w:eastAsia="Times New Roman"/>
          <w:b/>
          <w:vertAlign w:val="baseline"/>
        </w:rPr>
      </w:r>
      <w:r>
        <w:rPr>
          <w:vertAlign w:val="baseline"/>
        </w:rPr>
        <w:t>，如果被保险人符合我们规定的续保条件，我们将为您自动办理相关续保手续， 除非您已申请终止本附加合同。续保时被保险人的年龄不应超过 </w:t>
      </w:r>
      <w:r>
        <w:rPr>
          <w:rFonts w:ascii="Times New Roman" w:eastAsia="Times New Roman"/>
          <w:vertAlign w:val="baseline"/>
        </w:rPr>
        <w:t>65 </w:t>
      </w:r>
      <w:r>
        <w:rPr>
          <w:vertAlign w:val="baseline"/>
        </w:rPr>
        <w:t>周岁。</w:t>
      </w:r>
    </w:p>
    <w:p>
      <w:pPr>
        <w:pStyle w:val="BodyText"/>
        <w:spacing w:line="264" w:lineRule="auto" w:before="4"/>
        <w:ind w:left="117" w:right="217" w:firstLine="420"/>
        <w:jc w:val="both"/>
      </w:pPr>
      <w:r>
        <w:rPr>
          <w:spacing w:val="-5"/>
        </w:rPr>
        <w:t>如果我们接受续保，自本附加合同期满日零时起 </w:t>
      </w:r>
      <w:r>
        <w:rPr>
          <w:rFonts w:ascii="Times New Roman" w:eastAsia="Times New Roman"/>
        </w:rPr>
        <w:t>60 </w:t>
      </w:r>
      <w:r>
        <w:rPr>
          <w:spacing w:val="-3"/>
        </w:rPr>
        <w:t>日为交费宽限期。在宽限期内发生</w:t>
      </w:r>
      <w:r>
        <w:rPr>
          <w:b/>
        </w:rPr>
        <w:t>保险事故</w:t>
      </w:r>
      <w:r>
        <w:rPr>
          <w:rFonts w:ascii="Times New Roman" w:eastAsia="Times New Roman"/>
          <w:b/>
          <w:vertAlign w:val="superscript"/>
        </w:rPr>
        <w:t>18</w:t>
      </w:r>
      <w:r>
        <w:rPr>
          <w:rFonts w:ascii="Times New Roman" w:eastAsia="Times New Roman"/>
          <w:b/>
          <w:vertAlign w:val="baseline"/>
        </w:rPr>
      </w:r>
      <w:r>
        <w:rPr>
          <w:vertAlign w:val="baseline"/>
        </w:rPr>
        <w:t>，我们</w:t>
      </w:r>
      <w:r>
        <w:rPr>
          <w:spacing w:val="-3"/>
          <w:vertAlign w:val="baseline"/>
        </w:rPr>
        <w:t>仍承担保险责任，但您须向我们支付当期应付而未付的保险费。如果宽限期后，您仍未支付保险费，自本附加合同期满日零时起，本附加合同终止。</w:t>
      </w:r>
    </w:p>
    <w:p>
      <w:pPr>
        <w:pStyle w:val="BodyText"/>
        <w:spacing w:before="11"/>
        <w:rPr>
          <w:sz w:val="22"/>
        </w:rPr>
      </w:pPr>
    </w:p>
    <w:p>
      <w:pPr>
        <w:pStyle w:val="Heading1"/>
        <w:tabs>
          <w:tab w:pos="1418" w:val="left" w:leader="none"/>
        </w:tabs>
        <w:spacing w:before="1"/>
        <w:ind w:right="100"/>
      </w:pPr>
      <w:bookmarkStart w:name="_bookmark13" w:id="14"/>
      <w:bookmarkEnd w:id="14"/>
      <w:r>
        <w:rPr>
          <w:b w:val="0"/>
        </w:rPr>
      </w:r>
      <w:r>
        <w:rPr/>
        <w:t>第四部分</w:t>
        <w:tab/>
      </w:r>
      <w:r>
        <w:rPr>
          <w:w w:val="95"/>
        </w:rPr>
        <w:t>如何申请保险金</w:t>
      </w:r>
    </w:p>
    <w:p>
      <w:pPr>
        <w:pStyle w:val="BodyText"/>
        <w:spacing w:before="10"/>
        <w:rPr>
          <w:b/>
          <w:sz w:val="25"/>
        </w:rPr>
      </w:pPr>
    </w:p>
    <w:p>
      <w:pPr>
        <w:pStyle w:val="Heading2"/>
        <w:tabs>
          <w:tab w:pos="1197" w:val="left" w:leader="none"/>
        </w:tabs>
      </w:pPr>
      <w:bookmarkStart w:name="_bookmark14" w:id="15"/>
      <w:bookmarkEnd w:id="15"/>
      <w:r>
        <w:rPr>
          <w:b w:val="0"/>
        </w:rPr>
      </w:r>
      <w:r>
        <w:rPr/>
        <w:t>第十一条</w:t>
        <w:tab/>
        <w:t>保险事故通知</w:t>
      </w:r>
    </w:p>
    <w:p>
      <w:pPr>
        <w:pStyle w:val="BodyText"/>
        <w:spacing w:before="36"/>
        <w:ind w:left="538"/>
      </w:pPr>
      <w:r>
        <w:rPr/>
        <w:t>您或被豁免合同的被保险人知道保险事故后应当在 </w:t>
      </w:r>
      <w:r>
        <w:rPr>
          <w:rFonts w:ascii="Times New Roman" w:eastAsia="Times New Roman"/>
        </w:rPr>
        <w:t>10 </w:t>
      </w:r>
      <w:r>
        <w:rPr/>
        <w:t>日内通知我们。</w:t>
      </w:r>
    </w:p>
    <w:p>
      <w:pPr>
        <w:spacing w:line="273" w:lineRule="auto" w:before="21"/>
        <w:ind w:left="117" w:right="109" w:firstLine="413"/>
        <w:jc w:val="both"/>
        <w:rPr>
          <w:sz w:val="21"/>
        </w:rPr>
      </w:pPr>
      <w:r>
        <w:rPr>
          <w:b/>
          <w:spacing w:val="-3"/>
          <w:sz w:val="21"/>
        </w:rPr>
        <w:t>如果您或被豁免合同的被保险人故意或者因重大过失未及时通知，致使保险事故的性质、原因、损失程度等难以确定的，我们对无法确定的部分，不承担给付保险金的责任</w:t>
      </w:r>
      <w:r>
        <w:rPr>
          <w:spacing w:val="-3"/>
          <w:sz w:val="21"/>
        </w:rPr>
        <w:t>，但我们通过其他途径已经及时知道或</w:t>
      </w:r>
      <w:r>
        <w:rPr>
          <w:spacing w:val="-5"/>
          <w:sz w:val="21"/>
        </w:rPr>
        <w:t>者应当及时知道保险事故发生或者虽未及时通知但不影响我们确定保险事故的性质、原因、损失程度的除外。</w:t>
      </w:r>
    </w:p>
    <w:p>
      <w:pPr>
        <w:pStyle w:val="BodyText"/>
        <w:rPr>
          <w:sz w:val="20"/>
        </w:rPr>
      </w:pPr>
    </w:p>
    <w:p>
      <w:pPr>
        <w:pStyle w:val="BodyText"/>
        <w:rPr>
          <w:sz w:val="20"/>
        </w:rPr>
      </w:pPr>
    </w:p>
    <w:p>
      <w:pPr>
        <w:pStyle w:val="BodyText"/>
        <w:spacing w:before="7"/>
        <w:rPr>
          <w:sz w:val="29"/>
        </w:rPr>
      </w:pPr>
      <w:r>
        <w:rPr/>
        <w:pict>
          <v:line style="position:absolute;mso-position-horizontal-relative:page;mso-position-vertical-relative:paragraph;z-index:1144;mso-wrap-distance-left:0;mso-wrap-distance-right:0" from="53.880001pt,21.530884pt" to="197.930001pt,21.530884pt" stroked="true" strokeweight=".47998pt" strokecolor="#000000">
            <v:stroke dashstyle="solid"/>
            <w10:wrap type="topAndBottom"/>
          </v:line>
        </w:pict>
      </w:r>
    </w:p>
    <w:p>
      <w:pPr>
        <w:pStyle w:val="BodyText"/>
        <w:spacing w:line="281" w:lineRule="exact" w:before="35"/>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15</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spacing w:line="272" w:lineRule="exact"/>
        <w:ind w:left="117"/>
        <w:rPr>
          <w:rFonts w:ascii="楷体" w:hAnsi="楷体" w:eastAsia="楷体" w:hint="eastAsia"/>
        </w:rPr>
      </w:pPr>
      <w:r>
        <w:rPr>
          <w:rFonts w:ascii="楷体" w:hAnsi="楷体" w:eastAsia="楷体" w:hint="eastAsia"/>
        </w:rPr>
        <w:t>金额。本附加合同的现金价值详见“附表一：现金价值表”。</w:t>
      </w:r>
    </w:p>
    <w:p>
      <w:pPr>
        <w:spacing w:line="272" w:lineRule="exact" w:before="0"/>
        <w:ind w:left="117" w:right="0" w:firstLine="0"/>
        <w:jc w:val="left"/>
        <w:rPr>
          <w:rFonts w:ascii="楷体" w:eastAsia="楷体" w:hint="eastAsia"/>
          <w:sz w:val="21"/>
        </w:rPr>
      </w:pPr>
      <w:r>
        <w:rPr>
          <w:rFonts w:ascii="Times New Roman" w:eastAsia="Times New Roman"/>
          <w:spacing w:val="-1"/>
          <w:position w:val="10"/>
          <w:sz w:val="14"/>
        </w:rPr>
        <w:t>16</w:t>
      </w:r>
      <w:r>
        <w:rPr>
          <w:rFonts w:ascii="楷体" w:eastAsia="楷体" w:hint="eastAsia"/>
          <w:b/>
          <w:spacing w:val="-7"/>
          <w:sz w:val="21"/>
        </w:rPr>
        <w:t>无民事行为能力人：</w:t>
      </w:r>
      <w:r>
        <w:rPr>
          <w:rFonts w:ascii="楷体" w:eastAsia="楷体" w:hint="eastAsia"/>
          <w:spacing w:val="-7"/>
          <w:sz w:val="21"/>
        </w:rPr>
        <w:t>一种是指不满十周岁的未成年人，另一种是指不能辨认自己行为的精神病人</w:t>
      </w:r>
      <w:r>
        <w:rPr>
          <w:rFonts w:ascii="楷体" w:eastAsia="楷体" w:hint="eastAsia"/>
          <w:spacing w:val="-161"/>
          <w:sz w:val="21"/>
        </w:rPr>
        <w:t>。</w:t>
      </w:r>
      <w:r>
        <w:rPr>
          <w:rFonts w:ascii="楷体" w:eastAsia="楷体" w:hint="eastAsia"/>
          <w:sz w:val="21"/>
        </w:rPr>
        <w:t>（</w:t>
      </w:r>
      <w:r>
        <w:rPr>
          <w:rFonts w:ascii="楷体" w:eastAsia="楷体" w:hint="eastAsia"/>
          <w:spacing w:val="-15"/>
          <w:sz w:val="21"/>
        </w:rPr>
        <w:t>根据《中</w:t>
      </w:r>
    </w:p>
    <w:p>
      <w:pPr>
        <w:pStyle w:val="BodyText"/>
        <w:spacing w:line="272" w:lineRule="exact"/>
        <w:ind w:left="117"/>
        <w:rPr>
          <w:rFonts w:ascii="楷体" w:eastAsia="楷体" w:hint="eastAsia"/>
        </w:rPr>
      </w:pPr>
      <w:r>
        <w:rPr>
          <w:rFonts w:ascii="楷体" w:eastAsia="楷体" w:hint="eastAsia"/>
        </w:rPr>
        <w:t>华人民共和国民法通则》第十二条及第十三条规定）</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本附加合同期满日：</w:t>
      </w:r>
      <w:r>
        <w:rPr>
          <w:rFonts w:ascii="楷体" w:eastAsia="楷体" w:hint="eastAsia"/>
          <w:sz w:val="21"/>
        </w:rPr>
        <w:t>指保险单或批注上列明的合同生效日经过保险期间后的对应日。如果当月无对应的同</w:t>
      </w:r>
    </w:p>
    <w:p>
      <w:pPr>
        <w:pStyle w:val="BodyText"/>
        <w:spacing w:line="273" w:lineRule="exact"/>
        <w:ind w:left="117"/>
        <w:rPr>
          <w:rFonts w:ascii="楷体" w:eastAsia="楷体" w:hint="eastAsia"/>
        </w:rPr>
      </w:pPr>
      <w:r>
        <w:rPr>
          <w:rFonts w:ascii="楷体" w:eastAsia="楷体" w:hint="eastAsia"/>
        </w:rPr>
        <w:t>一日，则以该月最后一日作为对应日。</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18</w:t>
      </w:r>
      <w:r>
        <w:rPr>
          <w:rFonts w:ascii="楷体" w:eastAsia="楷体" w:hint="eastAsia"/>
          <w:b/>
          <w:sz w:val="21"/>
        </w:rPr>
        <w:t>保险事故：</w:t>
      </w:r>
      <w:r>
        <w:rPr>
          <w:rFonts w:ascii="楷体" w:eastAsia="楷体" w:hint="eastAsia"/>
          <w:sz w:val="21"/>
        </w:rPr>
        <w:t>指本附加合同约定的保险责任范围内的事故。</w:t>
      </w:r>
    </w:p>
    <w:p>
      <w:pPr>
        <w:spacing w:after="0" w:line="273" w:lineRule="exact"/>
        <w:jc w:val="left"/>
        <w:rPr>
          <w:rFonts w:ascii="楷体" w:eastAsia="楷体" w:hint="eastAsia"/>
          <w:sz w:val="21"/>
        </w:rPr>
        <w:sectPr>
          <w:footerReference w:type="default" r:id="rId10"/>
          <w:pgSz w:w="11910" w:h="16160"/>
          <w:pgMar w:footer="631" w:header="0" w:top="1360" w:bottom="820" w:left="960" w:right="700"/>
          <w:pgNumType w:start="5"/>
        </w:sectPr>
      </w:pPr>
    </w:p>
    <w:p>
      <w:pPr>
        <w:pStyle w:val="Heading2"/>
        <w:tabs>
          <w:tab w:pos="1197" w:val="left" w:leader="none"/>
        </w:tabs>
        <w:spacing w:before="7"/>
      </w:pPr>
      <w:bookmarkStart w:name="_bookmark15" w:id="16"/>
      <w:bookmarkEnd w:id="16"/>
      <w:r>
        <w:rPr>
          <w:b w:val="0"/>
        </w:rPr>
      </w:r>
      <w:r>
        <w:rPr/>
        <w:t>第十二条</w:t>
        <w:tab/>
        <w:t>诉讼时效</w:t>
      </w:r>
    </w:p>
    <w:p>
      <w:pPr>
        <w:pStyle w:val="BodyText"/>
        <w:spacing w:line="273" w:lineRule="auto" w:before="37"/>
        <w:ind w:left="117" w:right="1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7"/>
        <w:ind w:left="117" w:right="120" w:firstLine="420"/>
      </w:pPr>
      <w:r>
        <w:rPr/>
        <w:t>人寿保险的被保险人或者受益人向我们请求给付保险金的诉讼时效期间为五年，自其知道或者应当知道保险事故发生之日起计算。</w:t>
      </w:r>
    </w:p>
    <w:p>
      <w:pPr>
        <w:pStyle w:val="BodyText"/>
        <w:spacing w:before="5"/>
        <w:rPr>
          <w:sz w:val="24"/>
        </w:rPr>
      </w:pPr>
    </w:p>
    <w:p>
      <w:pPr>
        <w:tabs>
          <w:tab w:pos="1197" w:val="left" w:leader="none"/>
        </w:tabs>
        <w:spacing w:line="273" w:lineRule="auto" w:before="0"/>
        <w:ind w:left="538" w:right="7083" w:hanging="421"/>
        <w:jc w:val="left"/>
        <w:rPr>
          <w:sz w:val="21"/>
        </w:rPr>
      </w:pPr>
      <w:bookmarkStart w:name="_bookmark16" w:id="17"/>
      <w:bookmarkEnd w:id="17"/>
      <w:r>
        <w:rPr/>
      </w:r>
      <w:r>
        <w:rPr>
          <w:b/>
          <w:sz w:val="21"/>
        </w:rPr>
        <w:t>第十三条</w:t>
        <w:tab/>
        <w:t>豁免保险费的申请 </w:t>
      </w:r>
      <w:r>
        <w:rPr>
          <w:sz w:val="21"/>
        </w:rPr>
        <w:t>一、</w:t>
      </w:r>
      <w:r>
        <w:rPr>
          <w:spacing w:val="-3"/>
          <w:sz w:val="21"/>
        </w:rPr>
        <w:t>重</w:t>
      </w:r>
      <w:r>
        <w:rPr>
          <w:sz w:val="21"/>
        </w:rPr>
        <w:t>疾</w:t>
      </w:r>
      <w:r>
        <w:rPr>
          <w:spacing w:val="-3"/>
          <w:sz w:val="21"/>
        </w:rPr>
        <w:t>豁</w:t>
      </w:r>
      <w:r>
        <w:rPr>
          <w:sz w:val="21"/>
        </w:rPr>
        <w:t>免</w:t>
      </w:r>
      <w:r>
        <w:rPr>
          <w:spacing w:val="-3"/>
          <w:sz w:val="21"/>
        </w:rPr>
        <w:t>保</w:t>
      </w:r>
      <w:r>
        <w:rPr>
          <w:sz w:val="21"/>
        </w:rPr>
        <w:t>险</w:t>
      </w:r>
      <w:r>
        <w:rPr>
          <w:spacing w:val="-3"/>
          <w:sz w:val="21"/>
        </w:rPr>
        <w:t>费</w:t>
      </w:r>
      <w:r>
        <w:rPr>
          <w:sz w:val="21"/>
        </w:rPr>
        <w:t>的</w:t>
      </w:r>
      <w:r>
        <w:rPr>
          <w:spacing w:val="-3"/>
          <w:sz w:val="21"/>
        </w:rPr>
        <w:t>申</w:t>
      </w:r>
      <w:r>
        <w:rPr>
          <w:sz w:val="21"/>
        </w:rPr>
        <w:t>请</w:t>
      </w:r>
    </w:p>
    <w:p>
      <w:pPr>
        <w:pStyle w:val="BodyText"/>
        <w:spacing w:line="273" w:lineRule="auto" w:before="7"/>
        <w:ind w:left="117" w:right="119" w:firstLine="420"/>
      </w:pPr>
      <w:r>
        <w:rPr/>
        <w:t>在申请重疾豁免保险费时，由本附加合同的被保险人或被豁免合同的被保险人作为申请人填写豁免保险费申请书，并提供以下证明和资料：</w:t>
      </w:r>
    </w:p>
    <w:p>
      <w:pPr>
        <w:pStyle w:val="ListParagraph"/>
        <w:numPr>
          <w:ilvl w:val="0"/>
          <w:numId w:val="6"/>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6"/>
        </w:numPr>
        <w:tabs>
          <w:tab w:pos="803" w:val="left" w:leader="none"/>
        </w:tabs>
        <w:spacing w:line="240" w:lineRule="auto" w:before="22" w:after="0"/>
        <w:ind w:left="538" w:right="0" w:firstLine="0"/>
        <w:jc w:val="left"/>
        <w:rPr>
          <w:sz w:val="21"/>
        </w:rPr>
      </w:pPr>
      <w:r>
        <w:rPr>
          <w:spacing w:val="-3"/>
          <w:sz w:val="21"/>
        </w:rPr>
        <w:t>申请人的</w:t>
      </w:r>
      <w:r>
        <w:rPr>
          <w:b/>
          <w:sz w:val="21"/>
        </w:rPr>
        <w:t>有效身份证件</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56" w:lineRule="auto" w:before="21" w:after="0"/>
        <w:ind w:left="538" w:right="3038" w:firstLine="0"/>
        <w:jc w:val="left"/>
        <w:rPr>
          <w:sz w:val="21"/>
        </w:rPr>
      </w:pPr>
      <w:r>
        <w:rPr>
          <w:spacing w:val="-3"/>
          <w:sz w:val="21"/>
        </w:rPr>
        <w:t>所能提供的与确认保险事故的性质、原因等有关的其他证明和资料。二、身故豁免保险费的申请</w:t>
      </w:r>
    </w:p>
    <w:p>
      <w:pPr>
        <w:pStyle w:val="BodyText"/>
        <w:spacing w:line="273" w:lineRule="auto" w:before="22"/>
        <w:ind w:left="117" w:right="120" w:firstLine="420"/>
      </w:pPr>
      <w:r>
        <w:rPr/>
        <w:t>在申请身故豁免保险费时，由被豁免合同的被保险人作为申请人填写豁免保险费申请书，并提供以下证明和资料：</w:t>
      </w:r>
    </w:p>
    <w:p>
      <w:pPr>
        <w:pStyle w:val="ListParagraph"/>
        <w:numPr>
          <w:ilvl w:val="0"/>
          <w:numId w:val="7"/>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申请人的有效身份证件；</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国务院卫生行政部门规定的医疗机构、公安机关或其他相关机构出具的被保险人的死亡证明；</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73" w:lineRule="auto"/>
        <w:ind w:left="117" w:right="117" w:firstLine="420"/>
        <w:jc w:val="both"/>
      </w:pPr>
      <w:r>
        <w:rPr/>
        <w:t>如果委托他人代为申请，除上述证明和资料外，还须提供本附加合同的被保险人或被豁免合同的被保险人的授权委托书、受托人有效身份证件等相关证明文件。本附加合同的被保险人或被豁免合同的被保险人为未成年人或无民事行为能力人时，由其合法监护人代其申请，其合法监护人还必须提供其为未成年人或无民事行为能力人的证明和监护人具有合法监护权的证明。以上证明和资料不完整的，我们将及时一次性通知申请人补充提供有关证明和资料。</w:t>
      </w:r>
    </w:p>
    <w:p>
      <w:pPr>
        <w:pStyle w:val="BodyText"/>
        <w:spacing w:before="5"/>
        <w:rPr>
          <w:sz w:val="24"/>
        </w:rPr>
      </w:pPr>
    </w:p>
    <w:p>
      <w:pPr>
        <w:pStyle w:val="Heading2"/>
        <w:tabs>
          <w:tab w:pos="1197" w:val="left" w:leader="none"/>
        </w:tabs>
      </w:pPr>
      <w:bookmarkStart w:name="_bookmark17" w:id="18"/>
      <w:bookmarkEnd w:id="18"/>
      <w:r>
        <w:rPr>
          <w:b w:val="0"/>
        </w:rPr>
      </w:r>
      <w:r>
        <w:rPr/>
        <w:t>第十四条</w:t>
        <w:tab/>
        <w:t>司法鉴定</w:t>
      </w:r>
    </w:p>
    <w:p>
      <w:pPr>
        <w:pStyle w:val="BodyText"/>
        <w:spacing w:before="37"/>
        <w:ind w:left="538"/>
      </w:pPr>
      <w:r>
        <w:rPr/>
        <w:t>如果被保险人身故，我们有权要求司法鉴定机构对保险事故进行鉴定。</w:t>
      </w:r>
    </w:p>
    <w:p>
      <w:pPr>
        <w:pStyle w:val="BodyText"/>
        <w:spacing w:before="9"/>
        <w:rPr>
          <w:sz w:val="26"/>
        </w:rPr>
      </w:pPr>
    </w:p>
    <w:p>
      <w:pPr>
        <w:pStyle w:val="Heading2"/>
        <w:tabs>
          <w:tab w:pos="1197" w:val="left" w:leader="none"/>
        </w:tabs>
      </w:pPr>
      <w:bookmarkStart w:name="_bookmark18" w:id="19"/>
      <w:bookmarkEnd w:id="19"/>
      <w:r>
        <w:rPr>
          <w:b w:val="0"/>
        </w:rPr>
      </w:r>
      <w:r>
        <w:rPr/>
        <w:t>第十五条</w:t>
        <w:tab/>
        <w:t>失踪处理</w:t>
      </w:r>
    </w:p>
    <w:p>
      <w:pPr>
        <w:pStyle w:val="BodyText"/>
        <w:spacing w:line="273" w:lineRule="auto" w:before="37"/>
        <w:ind w:left="117" w:right="117" w:firstLine="420"/>
        <w:jc w:val="both"/>
      </w:pPr>
      <w:r>
        <w:rPr/>
        <w:t>在本附加合同保险期间内且本附加合同有效，如果本附加合同的被保险人失踪，且经法院宣告死亡，由被豁免合同的被保险人作为申请人向我们申请身故豁免保险费，我们以法院判决宣告之本附加合同被保险人死亡日为被保险人死亡的日期，并且按本附加合同中与身故有关的约定处理。</w:t>
      </w:r>
    </w:p>
    <w:p>
      <w:pPr>
        <w:pStyle w:val="BodyText"/>
        <w:spacing w:line="256" w:lineRule="auto" w:before="7"/>
        <w:ind w:left="117" w:right="114" w:firstLine="420"/>
      </w:pPr>
      <w:r>
        <w:rPr>
          <w:spacing w:val="-7"/>
        </w:rPr>
        <w:t>如果本附加合同的被保险人在宣告死亡后重新出现或确知其下落，被豁免合同的投保人应在知道后 </w:t>
      </w:r>
      <w:r>
        <w:rPr>
          <w:rFonts w:ascii="Times New Roman" w:eastAsia="Times New Roman"/>
        </w:rPr>
        <w:t>30 </w:t>
      </w:r>
      <w:r>
        <w:rPr/>
        <w:t>日</w:t>
      </w:r>
      <w:r>
        <w:rPr>
          <w:spacing w:val="-3"/>
        </w:rPr>
        <w:t>内向我们补交已豁免的保险费。补交豁免的保险费后，本附加合同的效力由您和我们协商处理。</w:t>
      </w:r>
    </w:p>
    <w:p>
      <w:pPr>
        <w:pStyle w:val="BodyText"/>
        <w:spacing w:before="5"/>
        <w:rPr>
          <w:sz w:val="23"/>
        </w:rPr>
      </w:pPr>
    </w:p>
    <w:p>
      <w:pPr>
        <w:pStyle w:val="Heading1"/>
        <w:tabs>
          <w:tab w:pos="1418" w:val="left" w:leader="none"/>
        </w:tabs>
      </w:pPr>
      <w:bookmarkStart w:name="_bookmark19" w:id="20"/>
      <w:bookmarkEnd w:id="20"/>
      <w:r>
        <w:rPr>
          <w:b w:val="0"/>
        </w:rPr>
      </w:r>
      <w:r>
        <w:rPr/>
        <w:t>第五部分</w:t>
        <w:tab/>
      </w:r>
      <w:r>
        <w:rPr>
          <w:w w:val="95"/>
        </w:rPr>
        <w:t>您还享有哪些权益</w:t>
      </w:r>
    </w:p>
    <w:p>
      <w:pPr>
        <w:pStyle w:val="BodyText"/>
        <w:rPr>
          <w:b/>
          <w:sz w:val="20"/>
        </w:rPr>
      </w:pPr>
    </w:p>
    <w:p>
      <w:pPr>
        <w:pStyle w:val="BodyText"/>
        <w:rPr>
          <w:b/>
          <w:sz w:val="20"/>
        </w:rPr>
      </w:pPr>
    </w:p>
    <w:p>
      <w:pPr>
        <w:pStyle w:val="BodyText"/>
        <w:rPr>
          <w:b/>
          <w:sz w:val="20"/>
        </w:rPr>
      </w:pPr>
    </w:p>
    <w:p>
      <w:pPr>
        <w:pStyle w:val="BodyText"/>
        <w:spacing w:before="6"/>
        <w:rPr>
          <w:b/>
          <w:sz w:val="10"/>
        </w:rPr>
      </w:pPr>
      <w:r>
        <w:rPr/>
        <w:pict>
          <v:line style="position:absolute;mso-position-horizontal-relative:page;mso-position-vertical-relative:paragraph;z-index:1168;mso-wrap-distance-left:0;mso-wrap-distance-right:0" from="53.880001pt,9.089265pt" to="197.930001pt,9.089265pt" stroked="true" strokeweight=".47998pt" strokecolor="#000000">
            <v:stroke dashstyle="solid"/>
            <w10:wrap type="topAndBottom"/>
          </v:line>
        </w:pict>
      </w:r>
    </w:p>
    <w:p>
      <w:pPr>
        <w:pStyle w:val="BodyText"/>
        <w:spacing w:before="56"/>
        <w:ind w:left="117"/>
        <w:rPr>
          <w:rFonts w:ascii="楷体" w:eastAsia="楷体" w:hint="eastAsia"/>
        </w:rPr>
      </w:pPr>
      <w:r>
        <w:rPr>
          <w:rFonts w:ascii="Times New Roman" w:eastAsia="Times New Roman"/>
          <w:position w:val="10"/>
          <w:sz w:val="14"/>
        </w:rPr>
        <w:t>19</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ind w:left="117"/>
        <w:rPr>
          <w:rFonts w:ascii="楷体" w:eastAsia="楷体" w:hint="eastAsia"/>
        </w:rPr>
      </w:pPr>
      <w:r>
        <w:rPr>
          <w:rFonts w:ascii="楷体" w:eastAsia="楷体" w:hint="eastAsia"/>
        </w:rPr>
        <w:t>证件。</w:t>
      </w:r>
    </w:p>
    <w:p>
      <w:pPr>
        <w:spacing w:after="0"/>
        <w:rPr>
          <w:rFonts w:ascii="楷体" w:eastAsia="楷体" w:hint="eastAsia"/>
        </w:rPr>
        <w:sectPr>
          <w:pgSz w:w="11910" w:h="16160"/>
          <w:pgMar w:header="0" w:footer="631" w:top="1360" w:bottom="900" w:left="960" w:right="800"/>
        </w:sectPr>
      </w:pPr>
    </w:p>
    <w:p>
      <w:pPr>
        <w:pStyle w:val="Heading2"/>
        <w:tabs>
          <w:tab w:pos="1397" w:val="left" w:leader="none"/>
        </w:tabs>
        <w:spacing w:before="7"/>
        <w:ind w:left="317"/>
      </w:pPr>
      <w:bookmarkStart w:name="_bookmark20" w:id="21"/>
      <w:bookmarkEnd w:id="21"/>
      <w:r>
        <w:rPr>
          <w:b w:val="0"/>
        </w:rPr>
      </w:r>
      <w:r>
        <w:rPr/>
        <w:t>第十六条</w:t>
        <w:tab/>
        <w:t>您解除合同的手续</w:t>
      </w:r>
      <w:r>
        <w:rPr>
          <w:spacing w:val="-3"/>
        </w:rPr>
        <w:t>及</w:t>
      </w:r>
      <w:r>
        <w:rPr/>
        <w:t>风险</w:t>
      </w:r>
    </w:p>
    <w:p>
      <w:pPr>
        <w:pStyle w:val="BodyText"/>
        <w:spacing w:line="273" w:lineRule="auto" w:before="37"/>
        <w:ind w:left="738" w:right="2849"/>
      </w:pPr>
      <w:r>
        <w:rPr/>
        <w:t>如您申请解除本附加合同，请填写解除合同申请书并向我们提供下列资料：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29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您解除合同会遭受一定损失。</w:t>
      </w:r>
    </w:p>
    <w:p>
      <w:pPr>
        <w:pStyle w:val="BodyText"/>
        <w:spacing w:before="7"/>
        <w:rPr>
          <w:sz w:val="24"/>
        </w:rPr>
      </w:pPr>
    </w:p>
    <w:p>
      <w:pPr>
        <w:pStyle w:val="Heading1"/>
        <w:tabs>
          <w:tab w:pos="1434" w:val="left" w:leader="none"/>
        </w:tabs>
        <w:ind w:left="15"/>
      </w:pPr>
      <w:bookmarkStart w:name="_bookmark21" w:id="22"/>
      <w:bookmarkEnd w:id="22"/>
      <w:r>
        <w:rPr>
          <w:b w:val="0"/>
        </w:rPr>
      </w:r>
      <w:r>
        <w:rPr/>
        <w:t>第六部分</w:t>
        <w:tab/>
      </w:r>
      <w:r>
        <w:rPr>
          <w:w w:val="95"/>
        </w:rPr>
        <w:t>您必须了解的其他事项</w:t>
      </w:r>
    </w:p>
    <w:p>
      <w:pPr>
        <w:pStyle w:val="BodyText"/>
        <w:spacing w:before="10"/>
        <w:rPr>
          <w:b/>
          <w:sz w:val="25"/>
        </w:rPr>
      </w:pPr>
    </w:p>
    <w:p>
      <w:pPr>
        <w:pStyle w:val="Heading2"/>
        <w:tabs>
          <w:tab w:pos="1397" w:val="left" w:leader="none"/>
        </w:tabs>
        <w:ind w:left="317"/>
      </w:pPr>
      <w:bookmarkStart w:name="_bookmark22" w:id="23"/>
      <w:bookmarkEnd w:id="23"/>
      <w:r>
        <w:rPr>
          <w:b w:val="0"/>
        </w:rPr>
      </w:r>
      <w:r>
        <w:rPr/>
        <w:t>第十七条</w:t>
        <w:tab/>
        <w:t>保险合同的终止</w:t>
      </w:r>
    </w:p>
    <w:p>
      <w:pPr>
        <w:pStyle w:val="BodyText"/>
        <w:spacing w:line="273" w:lineRule="auto" w:before="37"/>
        <w:ind w:left="738" w:right="3060"/>
      </w:pPr>
      <w:r>
        <w:rPr/>
        <w:t>除本附加合同另有约定外，本附加合同在发生下列情况之一时自动终止： 一、我们已按本附加合同的约定豁免保险费；</w:t>
      </w:r>
    </w:p>
    <w:p>
      <w:pPr>
        <w:pStyle w:val="BodyText"/>
        <w:spacing w:before="7"/>
        <w:ind w:left="738"/>
      </w:pPr>
      <w:r>
        <w:rPr/>
        <w:t>二、被豁免合同解除或终止；</w:t>
      </w:r>
    </w:p>
    <w:p>
      <w:pPr>
        <w:pStyle w:val="BodyText"/>
        <w:spacing w:line="273" w:lineRule="auto" w:before="37"/>
        <w:ind w:left="738" w:right="4109"/>
      </w:pPr>
      <w:r>
        <w:rPr/>
        <w:t>三、本附加合同期满日零时，且我们不接受本附加合同续保； 四、本附加合同内约定的其他终止情况。</w:t>
      </w:r>
    </w:p>
    <w:p>
      <w:pPr>
        <w:pStyle w:val="BodyText"/>
        <w:spacing w:before="5"/>
        <w:rPr>
          <w:sz w:val="24"/>
        </w:rPr>
      </w:pPr>
    </w:p>
    <w:p>
      <w:pPr>
        <w:pStyle w:val="Heading2"/>
        <w:tabs>
          <w:tab w:pos="1397" w:val="left" w:leader="none"/>
        </w:tabs>
        <w:spacing w:before="1"/>
        <w:ind w:left="317"/>
      </w:pPr>
      <w:bookmarkStart w:name="_bookmark23" w:id="24"/>
      <w:bookmarkEnd w:id="24"/>
      <w:r>
        <w:rPr>
          <w:b w:val="0"/>
        </w:rPr>
      </w:r>
      <w:r>
        <w:rPr/>
        <w:t>第十八条</w:t>
        <w:tab/>
        <w:t>重大疾病的种类及</w:t>
      </w:r>
      <w:r>
        <w:rPr>
          <w:spacing w:val="-3"/>
        </w:rPr>
        <w:t>定</w:t>
      </w:r>
      <w:r>
        <w:rPr/>
        <w:t>义</w:t>
      </w:r>
    </w:p>
    <w:p>
      <w:pPr>
        <w:pStyle w:val="BodyText"/>
        <w:spacing w:line="256" w:lineRule="auto" w:before="37"/>
        <w:ind w:left="317" w:right="300"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294" w:firstLine="420"/>
      </w:pPr>
      <w:r>
        <w:rPr>
          <w:spacing w:val="-7"/>
        </w:rPr>
        <w:t>本附加合同所保障的重大疾病共 </w:t>
      </w:r>
      <w:r>
        <w:rPr>
          <w:rFonts w:ascii="Times New Roman" w:eastAsia="Times New Roman"/>
        </w:rPr>
        <w:t>55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442"/>
        <w:gridCol w:w="7369"/>
      </w:tblGrid>
      <w:tr>
        <w:trPr>
          <w:trHeight w:val="3706"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2442" w:type="dxa"/>
          </w:tcPr>
          <w:p>
            <w:pPr>
              <w:pStyle w:val="TableParagraph"/>
              <w:spacing w:line="220" w:lineRule="exact"/>
              <w:ind w:left="131"/>
              <w:rPr>
                <w:sz w:val="21"/>
              </w:rPr>
            </w:pPr>
            <w:r>
              <w:rPr>
                <w:sz w:val="21"/>
              </w:rPr>
              <w:t>恶性肿瘤</w:t>
            </w:r>
          </w:p>
        </w:tc>
        <w:tc>
          <w:tcPr>
            <w:tcW w:w="7369" w:type="dxa"/>
          </w:tcPr>
          <w:p>
            <w:pPr>
              <w:pStyle w:val="TableParagraph"/>
              <w:spacing w:line="220" w:lineRule="exact"/>
              <w:ind w:left="1050"/>
              <w:rPr>
                <w:sz w:val="21"/>
              </w:rPr>
            </w:pPr>
            <w:r>
              <w:rPr>
                <w:sz w:val="21"/>
              </w:rPr>
              <w:t>指恶性细胞不受控制的进行性增长和扩散，浸润和破坏周围正常组</w:t>
            </w:r>
          </w:p>
          <w:p>
            <w:pPr>
              <w:pStyle w:val="TableParagraph"/>
              <w:spacing w:line="273" w:lineRule="auto" w:before="37"/>
              <w:ind w:left="1050" w:right="196"/>
              <w:jc w:val="both"/>
              <w:rPr>
                <w:sz w:val="21"/>
              </w:rPr>
            </w:pPr>
            <w:r>
              <w:rPr>
                <w:sz w:val="21"/>
              </w:rPr>
              <w:t>织，可以经血管、淋巴管和体腔扩散转移到身体其他部位的疾病。经病理学检查结果明确诊断，临床诊断属于世界卫生组织《疾病和有关健康问题的国际统计分类》（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1050"/>
              <w:jc w:val="both"/>
              <w:rPr>
                <w:b/>
                <w:sz w:val="21"/>
              </w:rPr>
            </w:pPr>
            <w:r>
              <w:rPr>
                <w:b/>
                <w:sz w:val="21"/>
              </w:rPr>
              <w:t>下列疾病不在保障范围内：</w:t>
            </w:r>
          </w:p>
          <w:p>
            <w:pPr>
              <w:pStyle w:val="TableParagraph"/>
              <w:spacing w:before="37"/>
              <w:ind w:left="1050"/>
              <w:jc w:val="both"/>
              <w:rPr>
                <w:b/>
                <w:sz w:val="21"/>
              </w:rPr>
            </w:pPr>
            <w:r>
              <w:rPr>
                <w:b/>
                <w:w w:val="95"/>
                <w:sz w:val="21"/>
              </w:rPr>
              <w:t>（</w:t>
            </w:r>
            <w:r>
              <w:rPr>
                <w:rFonts w:ascii="Times New Roman" w:eastAsia="Times New Roman"/>
                <w:b/>
                <w:w w:val="95"/>
                <w:sz w:val="21"/>
              </w:rPr>
              <w:t>1</w:t>
            </w:r>
            <w:r>
              <w:rPr>
                <w:b/>
                <w:w w:val="95"/>
                <w:sz w:val="21"/>
              </w:rPr>
              <w:t>）原位癌</w:t>
            </w:r>
            <w:r>
              <w:rPr>
                <w:rFonts w:ascii="Times New Roman" w:eastAsia="Times New Roman"/>
                <w:b/>
                <w:w w:val="95"/>
                <w:sz w:val="21"/>
                <w:vertAlign w:val="superscript"/>
              </w:rPr>
              <w:t>21</w:t>
            </w:r>
            <w:r>
              <w:rPr>
                <w:rFonts w:ascii="Times New Roman" w:eastAsia="Times New Roman"/>
                <w:b/>
                <w:w w:val="95"/>
                <w:sz w:val="21"/>
                <w:vertAlign w:val="baseline"/>
              </w:rPr>
            </w:r>
            <w:r>
              <w:rPr>
                <w:b/>
                <w:w w:val="95"/>
                <w:sz w:val="21"/>
                <w:vertAlign w:val="baseline"/>
              </w:rPr>
              <w:t>；</w:t>
            </w:r>
          </w:p>
          <w:p>
            <w:pPr>
              <w:pStyle w:val="TableParagraph"/>
              <w:spacing w:before="21"/>
              <w:ind w:left="1050"/>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1050"/>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1050"/>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1050" w:right="196"/>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9"/>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（注：如果为</w:t>
            </w:r>
            <w:r>
              <w:rPr>
                <w:b/>
                <w:spacing w:val="-2"/>
                <w:w w:val="100"/>
                <w:sz w:val="21"/>
                <w:vertAlign w:val="baseline"/>
              </w:rPr>
              <w:t>女性重大疾病保险，则不包括此项</w:t>
            </w:r>
            <w:r>
              <w:rPr>
                <w:b/>
                <w:spacing w:val="-106"/>
                <w:w w:val="100"/>
                <w:sz w:val="21"/>
                <w:vertAlign w:val="baseline"/>
              </w:rPr>
              <w:t>）</w:t>
            </w:r>
            <w:r>
              <w:rPr>
                <w:b/>
                <w:w w:val="100"/>
                <w:sz w:val="21"/>
                <w:vertAlign w:val="baseline"/>
              </w:rPr>
              <w:t>；</w:t>
            </w:r>
          </w:p>
          <w:p>
            <w:pPr>
              <w:pStyle w:val="TableParagraph"/>
              <w:spacing w:before="22"/>
              <w:ind w:left="1050"/>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210"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2442" w:type="dxa"/>
          </w:tcPr>
          <w:p>
            <w:pPr>
              <w:pStyle w:val="TableParagraph"/>
              <w:spacing w:line="258" w:lineRule="exact"/>
              <w:ind w:left="131"/>
              <w:rPr>
                <w:sz w:val="21"/>
              </w:rPr>
            </w:pPr>
            <w:r>
              <w:rPr>
                <w:sz w:val="21"/>
              </w:rPr>
              <w:t>急性心肌梗塞</w:t>
            </w:r>
          </w:p>
        </w:tc>
        <w:tc>
          <w:tcPr>
            <w:tcW w:w="7369" w:type="dxa"/>
          </w:tcPr>
          <w:p>
            <w:pPr>
              <w:pStyle w:val="TableParagraph"/>
              <w:spacing w:line="258" w:lineRule="exact"/>
              <w:ind w:left="1050"/>
              <w:rPr>
                <w:sz w:val="21"/>
              </w:rPr>
            </w:pPr>
            <w:r>
              <w:rPr>
                <w:sz w:val="21"/>
              </w:rPr>
              <w:t>指因冠状动脉阻塞导致的相应区域供血不足造成部分心肌坏死。须</w:t>
            </w:r>
          </w:p>
          <w:p>
            <w:pPr>
              <w:pStyle w:val="TableParagraph"/>
              <w:spacing w:before="37"/>
              <w:ind w:left="1050"/>
              <w:rPr>
                <w:sz w:val="21"/>
              </w:rPr>
            </w:pPr>
            <w:r>
              <w:rPr>
                <w:sz w:val="21"/>
              </w:rPr>
              <w:t>满足下列至少三项条件：</w:t>
            </w:r>
          </w:p>
          <w:p>
            <w:pPr>
              <w:pStyle w:val="TableParagraph"/>
              <w:spacing w:before="37"/>
              <w:ind w:left="1050"/>
              <w:rPr>
                <w:sz w:val="21"/>
              </w:rPr>
            </w:pPr>
            <w:r>
              <w:rPr>
                <w:sz w:val="21"/>
              </w:rPr>
              <w:t>（</w:t>
            </w:r>
            <w:r>
              <w:rPr>
                <w:rFonts w:ascii="Times New Roman" w:eastAsia="Times New Roman"/>
                <w:sz w:val="21"/>
              </w:rPr>
              <w:t>1</w:t>
            </w:r>
            <w:r>
              <w:rPr>
                <w:sz w:val="21"/>
              </w:rPr>
              <w:t>）典型临床表现，例如急性胸痛等；</w:t>
            </w:r>
          </w:p>
          <w:p>
            <w:pPr>
              <w:pStyle w:val="TableParagraph"/>
              <w:spacing w:line="271" w:lineRule="exact" w:before="21"/>
              <w:ind w:left="1050"/>
              <w:rPr>
                <w:sz w:val="21"/>
              </w:rPr>
            </w:pPr>
            <w:r>
              <w:rPr>
                <w:sz w:val="21"/>
              </w:rPr>
              <w:t>（</w:t>
            </w:r>
            <w:r>
              <w:rPr>
                <w:rFonts w:ascii="Times New Roman" w:eastAsia="Times New Roman"/>
                <w:sz w:val="21"/>
              </w:rPr>
              <w:t>2</w:t>
            </w:r>
            <w:r>
              <w:rPr>
                <w:sz w:val="21"/>
              </w:rPr>
              <w:t>）新近的心电图改变提示急性心肌梗塞；</w:t>
            </w:r>
          </w:p>
        </w:tc>
      </w:tr>
    </w:tbl>
    <w:p>
      <w:pPr>
        <w:pStyle w:val="BodyText"/>
        <w:spacing w:before="11"/>
        <w:rPr>
          <w:sz w:val="16"/>
        </w:rPr>
      </w:pPr>
      <w:r>
        <w:rPr/>
        <w:pict>
          <v:line style="position:absolute;mso-position-horizontal-relative:page;mso-position-vertical-relative:paragraph;z-index:1192;mso-wrap-distance-left:0;mso-wrap-distance-right:0" from="53.880001pt,13.242535pt" to="197.930001pt,13.242535pt" stroked="true" strokeweight=".48004pt" strokecolor="#000000">
            <v:stroke dashstyle="solid"/>
            <w10:wrap type="topAndBottom"/>
          </v:line>
        </w:pict>
      </w:r>
    </w:p>
    <w:p>
      <w:pPr>
        <w:pStyle w:val="BodyText"/>
        <w:spacing w:line="281" w:lineRule="exact" w:before="35"/>
        <w:ind w:left="317"/>
        <w:rPr>
          <w:rFonts w:ascii="楷体" w:eastAsia="楷体" w:hint="eastAsia"/>
        </w:rPr>
      </w:pPr>
      <w:r>
        <w:rPr>
          <w:rFonts w:ascii="Times New Roman" w:eastAsia="Times New Roman"/>
          <w:w w:val="99"/>
          <w:position w:val="10"/>
          <w:sz w:val="14"/>
        </w:rPr>
        <w:t>20</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pStyle w:val="BodyText"/>
        <w:spacing w:line="272" w:lineRule="exact"/>
        <w:ind w:left="317"/>
        <w:rPr>
          <w:rFonts w:ascii="楷体" w:eastAsia="楷体" w:hint="eastAsia"/>
        </w:rPr>
      </w:pPr>
      <w:r>
        <w:rPr>
          <w:rFonts w:ascii="Times New Roman" w:eastAsia="Times New Roman"/>
          <w:position w:val="10"/>
          <w:sz w:val="14"/>
        </w:rPr>
        <w:t>21</w:t>
      </w:r>
      <w:r>
        <w:rPr>
          <w:rFonts w:ascii="楷体" w:eastAsia="楷体" w:hint="eastAsia"/>
          <w:b/>
        </w:rPr>
        <w:t>原位癌：</w:t>
      </w:r>
      <w:r>
        <w:rPr>
          <w:rFonts w:ascii="楷体" w:eastAsia="楷体" w:hint="eastAsia"/>
        </w:rPr>
        <w:t>是指恶性细胞局限于上皮内尚未穿破基底膜浸润周围正常组织的癌细胞新生物。原位癌必须经对</w:t>
      </w:r>
    </w:p>
    <w:p>
      <w:pPr>
        <w:pStyle w:val="BodyText"/>
        <w:spacing w:line="273" w:lineRule="exact"/>
        <w:ind w:left="317"/>
        <w:rPr>
          <w:rFonts w:ascii="楷体" w:eastAsia="楷体" w:hint="eastAsia"/>
        </w:rPr>
      </w:pPr>
      <w:r>
        <w:rPr>
          <w:rFonts w:ascii="楷体" w:eastAsia="楷体" w:hint="eastAsia"/>
        </w:rPr>
        <w:t>固定活组织的组织病理学检查明确诊断。被保险人必须己经接受了针对原位癌病灶的积极治疗。</w:t>
      </w:r>
    </w:p>
    <w:p>
      <w:pPr>
        <w:spacing w:after="0" w:line="273" w:lineRule="exact"/>
        <w:rPr>
          <w:rFonts w:ascii="楷体" w:eastAsia="楷体" w:hint="eastAsia"/>
        </w:rPr>
        <w:sectPr>
          <w:pgSz w:w="11910" w:h="16160"/>
          <w:pgMar w:header="0" w:footer="631" w:top="136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0"/>
      </w:tblGrid>
      <w:tr>
        <w:trPr>
          <w:trHeight w:val="1208" w:hRule="atLeast"/>
        </w:trPr>
        <w:tc>
          <w:tcPr>
            <w:tcW w:w="489" w:type="dxa"/>
          </w:tcPr>
          <w:p>
            <w:pPr>
              <w:pStyle w:val="TableParagraph"/>
              <w:rPr>
                <w:rFonts w:ascii="Times New Roman"/>
                <w:sz w:val="20"/>
              </w:rPr>
            </w:pPr>
          </w:p>
        </w:tc>
        <w:tc>
          <w:tcPr>
            <w:tcW w:w="3283" w:type="dxa"/>
          </w:tcPr>
          <w:p>
            <w:pPr>
              <w:pStyle w:val="TableParagraph"/>
              <w:rPr>
                <w:rFonts w:ascii="Times New Roman"/>
                <w:sz w:val="20"/>
              </w:rPr>
            </w:pPr>
          </w:p>
        </w:tc>
        <w:tc>
          <w:tcPr>
            <w:tcW w:w="6530" w:type="dxa"/>
          </w:tcPr>
          <w:p>
            <w:pPr>
              <w:pStyle w:val="TableParagraph"/>
              <w:spacing w:line="234" w:lineRule="exact"/>
              <w:ind w:left="208"/>
              <w:rPr>
                <w:sz w:val="21"/>
              </w:rPr>
            </w:pPr>
            <w:r>
              <w:rPr>
                <w:sz w:val="21"/>
              </w:rPr>
              <w:t>（</w:t>
            </w:r>
            <w:r>
              <w:rPr>
                <w:rFonts w:ascii="Times New Roman" w:eastAsia="Times New Roman"/>
                <w:sz w:val="21"/>
              </w:rPr>
              <w:t>3</w:t>
            </w:r>
            <w:r>
              <w:rPr>
                <w:sz w:val="21"/>
              </w:rPr>
              <w:t>）心肌酶或肌钙蛋白有诊断意义的升高，或呈符合急性心肌梗塞</w:t>
            </w:r>
          </w:p>
          <w:p>
            <w:pPr>
              <w:pStyle w:val="TableParagraph"/>
              <w:spacing w:before="21"/>
              <w:ind w:left="208"/>
              <w:rPr>
                <w:sz w:val="21"/>
              </w:rPr>
            </w:pPr>
            <w:r>
              <w:rPr>
                <w:sz w:val="21"/>
              </w:rPr>
              <w:t>的动态性变化；</w:t>
            </w:r>
          </w:p>
          <w:p>
            <w:pPr>
              <w:pStyle w:val="TableParagraph"/>
              <w:spacing w:line="256" w:lineRule="auto" w:before="36"/>
              <w:ind w:left="208" w:right="146"/>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176" w:hRule="atLeast"/>
        </w:trPr>
        <w:tc>
          <w:tcPr>
            <w:tcW w:w="489" w:type="dxa"/>
          </w:tcPr>
          <w:p>
            <w:pPr>
              <w:pStyle w:val="TableParagraph"/>
              <w:spacing w:before="30"/>
              <w:ind w:left="180" w:right="111"/>
              <w:jc w:val="center"/>
              <w:rPr>
                <w:rFonts w:ascii="Times New Roman"/>
                <w:sz w:val="21"/>
              </w:rPr>
            </w:pPr>
            <w:r>
              <w:rPr>
                <w:rFonts w:ascii="Times New Roman"/>
                <w:sz w:val="21"/>
              </w:rPr>
              <w:t>3.</w:t>
            </w:r>
          </w:p>
        </w:tc>
        <w:tc>
          <w:tcPr>
            <w:tcW w:w="3283" w:type="dxa"/>
          </w:tcPr>
          <w:p>
            <w:pPr>
              <w:pStyle w:val="TableParagraph"/>
              <w:spacing w:line="258" w:lineRule="exact"/>
              <w:ind w:left="131"/>
              <w:rPr>
                <w:sz w:val="21"/>
              </w:rPr>
            </w:pPr>
            <w:r>
              <w:rPr>
                <w:sz w:val="21"/>
              </w:rPr>
              <w:t>脑中风后遗症</w:t>
            </w:r>
          </w:p>
        </w:tc>
        <w:tc>
          <w:tcPr>
            <w:tcW w:w="6530" w:type="dxa"/>
          </w:tcPr>
          <w:p>
            <w:pPr>
              <w:pStyle w:val="TableParagraph"/>
              <w:spacing w:line="258" w:lineRule="exact"/>
              <w:ind w:left="208"/>
              <w:rPr>
                <w:sz w:val="21"/>
              </w:rPr>
            </w:pPr>
            <w:r>
              <w:rPr>
                <w:sz w:val="21"/>
              </w:rPr>
              <w:t>指因脑血管的突发病变引起脑血管出血、栓塞或梗塞，并导致神经</w:t>
            </w:r>
          </w:p>
          <w:p>
            <w:pPr>
              <w:pStyle w:val="TableParagraph"/>
              <w:spacing w:before="37"/>
              <w:ind w:left="208"/>
              <w:rPr>
                <w:sz w:val="21"/>
              </w:rPr>
            </w:pPr>
            <w:r>
              <w:rPr>
                <w:sz w:val="21"/>
              </w:rPr>
              <w:t>系统永久性的功能障碍。神经系统永久性的功能障碍，指疾病确诊</w:t>
            </w:r>
          </w:p>
          <w:p>
            <w:pPr>
              <w:pStyle w:val="TableParagraph"/>
              <w:spacing w:before="37"/>
              <w:ind w:left="208"/>
              <w:rPr>
                <w:sz w:val="21"/>
              </w:rPr>
            </w:pPr>
            <w:r>
              <w:rPr>
                <w:rFonts w:ascii="Times New Roman" w:eastAsia="Times New Roman"/>
                <w:sz w:val="21"/>
              </w:rPr>
              <w:t>180 </w:t>
            </w:r>
            <w:r>
              <w:rPr>
                <w:sz w:val="21"/>
              </w:rPr>
              <w:t>天后，仍遗留下列一种或一种以上障碍：</w:t>
            </w:r>
          </w:p>
          <w:p>
            <w:pPr>
              <w:pStyle w:val="TableParagraph"/>
              <w:spacing w:before="21"/>
              <w:ind w:left="208"/>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before="21"/>
              <w:ind w:left="208"/>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line="310" w:lineRule="atLeast" w:before="2"/>
              <w:ind w:left="208" w:right="202"/>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中的三项或三项以上。</w:t>
            </w:r>
          </w:p>
        </w:tc>
      </w:tr>
      <w:tr>
        <w:trPr>
          <w:trHeight w:val="1560" w:hRule="atLeast"/>
        </w:trPr>
        <w:tc>
          <w:tcPr>
            <w:tcW w:w="489" w:type="dxa"/>
          </w:tcPr>
          <w:p>
            <w:pPr>
              <w:pStyle w:val="TableParagraph"/>
              <w:spacing w:before="38"/>
              <w:ind w:left="180" w:right="111"/>
              <w:jc w:val="center"/>
              <w:rPr>
                <w:rFonts w:ascii="Times New Roman"/>
                <w:sz w:val="21"/>
              </w:rPr>
            </w:pPr>
            <w:r>
              <w:rPr>
                <w:rFonts w:ascii="Times New Roman"/>
                <w:sz w:val="21"/>
              </w:rPr>
              <w:t>4.</w:t>
            </w:r>
          </w:p>
        </w:tc>
        <w:tc>
          <w:tcPr>
            <w:tcW w:w="3283" w:type="dxa"/>
          </w:tcPr>
          <w:p>
            <w:pPr>
              <w:pStyle w:val="TableParagraph"/>
              <w:spacing w:line="273" w:lineRule="auto"/>
              <w:ind w:left="131" w:right="204"/>
              <w:rPr>
                <w:sz w:val="21"/>
              </w:rPr>
            </w:pPr>
            <w:r>
              <w:rPr>
                <w:sz w:val="21"/>
              </w:rPr>
              <w:t>重大器官移植术或造血干细胞移植术</w:t>
            </w:r>
          </w:p>
        </w:tc>
        <w:tc>
          <w:tcPr>
            <w:tcW w:w="6530" w:type="dxa"/>
          </w:tcPr>
          <w:p>
            <w:pPr>
              <w:pStyle w:val="TableParagraph"/>
              <w:spacing w:line="273" w:lineRule="auto"/>
              <w:ind w:left="208" w:right="301"/>
              <w:rPr>
                <w:sz w:val="21"/>
              </w:rPr>
            </w:pPr>
            <w:r>
              <w:rPr>
                <w:spacing w:val="-9"/>
                <w:sz w:val="21"/>
              </w:rPr>
              <w:t>重大器官移植术，指因相应器官功能衰竭，已经实施了肾脏、肝脏</w:t>
            </w:r>
            <w:r>
              <w:rPr>
                <w:spacing w:val="-5"/>
                <w:sz w:val="21"/>
              </w:rPr>
              <w:t>心脏或肺脏的异体移植手术。</w:t>
            </w:r>
          </w:p>
          <w:p>
            <w:pPr>
              <w:pStyle w:val="TableParagraph"/>
              <w:spacing w:line="312" w:lineRule="exact" w:before="12"/>
              <w:ind w:left="208" w:right="19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7" w:hRule="atLeast"/>
        </w:trPr>
        <w:tc>
          <w:tcPr>
            <w:tcW w:w="489" w:type="dxa"/>
          </w:tcPr>
          <w:p>
            <w:pPr>
              <w:pStyle w:val="TableParagraph"/>
              <w:spacing w:before="38"/>
              <w:ind w:left="180" w:right="111"/>
              <w:jc w:val="center"/>
              <w:rPr>
                <w:rFonts w:ascii="Times New Roman"/>
                <w:sz w:val="21"/>
              </w:rPr>
            </w:pPr>
            <w:r>
              <w:rPr>
                <w:rFonts w:ascii="Times New Roman"/>
                <w:sz w:val="21"/>
              </w:rPr>
              <w:t>5.</w:t>
            </w:r>
          </w:p>
        </w:tc>
        <w:tc>
          <w:tcPr>
            <w:tcW w:w="3283" w:type="dxa"/>
          </w:tcPr>
          <w:p>
            <w:pPr>
              <w:pStyle w:val="TableParagraph"/>
              <w:spacing w:line="273" w:lineRule="auto"/>
              <w:ind w:left="131" w:right="204"/>
              <w:rPr>
                <w:sz w:val="21"/>
              </w:rPr>
            </w:pPr>
            <w:r>
              <w:rPr>
                <w:sz w:val="21"/>
              </w:rPr>
              <w:t>冠状动脉搭桥术（或称冠状动脉旁路移植术）</w:t>
            </w:r>
          </w:p>
        </w:tc>
        <w:tc>
          <w:tcPr>
            <w:tcW w:w="6530" w:type="dxa"/>
          </w:tcPr>
          <w:p>
            <w:pPr>
              <w:pStyle w:val="TableParagraph"/>
              <w:spacing w:line="273" w:lineRule="auto"/>
              <w:ind w:left="208" w:right="198"/>
              <w:rPr>
                <w:sz w:val="21"/>
              </w:rPr>
            </w:pPr>
            <w:r>
              <w:rPr>
                <w:sz w:val="21"/>
              </w:rPr>
              <w:t>指为治疗严重的冠心病，实际实施了开胸进行的冠状动脉血管旁路移植的手术。</w:t>
            </w:r>
          </w:p>
          <w:p>
            <w:pPr>
              <w:pStyle w:val="TableParagraph"/>
              <w:spacing w:line="312" w:lineRule="exact" w:before="12"/>
              <w:ind w:left="208" w:right="198"/>
              <w:rPr>
                <w:b/>
                <w:sz w:val="21"/>
              </w:rPr>
            </w:pPr>
            <w:r>
              <w:rPr>
                <w:b/>
                <w:sz w:val="21"/>
              </w:rPr>
              <w:t>冠状动脉支架植入术、心导管球囊扩张术、激光射频技术及其他非开胸的介入手术、腔镜手术不在保障范围内。</w:t>
            </w:r>
          </w:p>
        </w:tc>
      </w:tr>
      <w:tr>
        <w:trPr>
          <w:trHeight w:val="632" w:hRule="atLeast"/>
        </w:trPr>
        <w:tc>
          <w:tcPr>
            <w:tcW w:w="489" w:type="dxa"/>
          </w:tcPr>
          <w:p>
            <w:pPr>
              <w:pStyle w:val="TableParagraph"/>
              <w:spacing w:before="38"/>
              <w:ind w:left="180" w:right="111"/>
              <w:jc w:val="center"/>
              <w:rPr>
                <w:rFonts w:ascii="Times New Roman"/>
                <w:sz w:val="21"/>
              </w:rPr>
            </w:pPr>
            <w:r>
              <w:rPr>
                <w:rFonts w:ascii="Times New Roman"/>
                <w:sz w:val="21"/>
              </w:rPr>
              <w:t>6.</w:t>
            </w:r>
          </w:p>
        </w:tc>
        <w:tc>
          <w:tcPr>
            <w:tcW w:w="3283" w:type="dxa"/>
          </w:tcPr>
          <w:p>
            <w:pPr>
              <w:pStyle w:val="TableParagraph"/>
              <w:spacing w:line="273" w:lineRule="auto"/>
              <w:ind w:left="131" w:right="204"/>
              <w:rPr>
                <w:sz w:val="21"/>
              </w:rPr>
            </w:pPr>
            <w:r>
              <w:rPr>
                <w:sz w:val="21"/>
              </w:rPr>
              <w:t>终末期肾病（或称慢性肾功能衰竭尿毒症期）</w:t>
            </w:r>
          </w:p>
        </w:tc>
        <w:tc>
          <w:tcPr>
            <w:tcW w:w="6530" w:type="dxa"/>
          </w:tcPr>
          <w:p>
            <w:pPr>
              <w:pStyle w:val="TableParagraph"/>
              <w:spacing w:line="266" w:lineRule="exact"/>
              <w:ind w:left="208"/>
              <w:rPr>
                <w:sz w:val="21"/>
              </w:rPr>
            </w:pPr>
            <w:r>
              <w:rPr>
                <w:sz w:val="21"/>
              </w:rPr>
              <w:t>指双肾功能慢性不可逆性衰竭，达到尿毒症期，经诊断后已经进行</w:t>
            </w:r>
          </w:p>
          <w:p>
            <w:pPr>
              <w:pStyle w:val="TableParagraph"/>
              <w:spacing w:before="37"/>
              <w:ind w:left="208"/>
              <w:rPr>
                <w:sz w:val="21"/>
              </w:rPr>
            </w:pPr>
            <w:r>
              <w:rPr>
                <w:sz w:val="21"/>
              </w:rPr>
              <w:t>了至少 </w:t>
            </w:r>
            <w:r>
              <w:rPr>
                <w:rFonts w:ascii="Times New Roman" w:eastAsia="Times New Roman"/>
                <w:sz w:val="21"/>
              </w:rPr>
              <w:t>90  </w:t>
            </w:r>
            <w:r>
              <w:rPr>
                <w:sz w:val="21"/>
              </w:rPr>
              <w:t>天的规律性透析治疗或实施了肾脏移植手术。</w:t>
            </w:r>
          </w:p>
        </w:tc>
      </w:tr>
      <w:tr>
        <w:trPr>
          <w:trHeight w:val="616" w:hRule="atLeast"/>
        </w:trPr>
        <w:tc>
          <w:tcPr>
            <w:tcW w:w="489" w:type="dxa"/>
          </w:tcPr>
          <w:p>
            <w:pPr>
              <w:pStyle w:val="TableParagraph"/>
              <w:spacing w:before="30"/>
              <w:ind w:left="180" w:right="111"/>
              <w:jc w:val="center"/>
              <w:rPr>
                <w:rFonts w:ascii="Times New Roman"/>
                <w:sz w:val="21"/>
              </w:rPr>
            </w:pPr>
            <w:r>
              <w:rPr>
                <w:rFonts w:ascii="Times New Roman"/>
                <w:sz w:val="21"/>
              </w:rPr>
              <w:t>7.</w:t>
            </w:r>
          </w:p>
        </w:tc>
        <w:tc>
          <w:tcPr>
            <w:tcW w:w="3283" w:type="dxa"/>
          </w:tcPr>
          <w:p>
            <w:pPr>
              <w:pStyle w:val="TableParagraph"/>
              <w:spacing w:line="258" w:lineRule="exact"/>
              <w:ind w:left="131"/>
              <w:rPr>
                <w:sz w:val="21"/>
              </w:rPr>
            </w:pPr>
            <w:r>
              <w:rPr>
                <w:sz w:val="21"/>
              </w:rPr>
              <w:t>多个肢体缺失</w:t>
            </w:r>
          </w:p>
        </w:tc>
        <w:tc>
          <w:tcPr>
            <w:tcW w:w="6530" w:type="dxa"/>
          </w:tcPr>
          <w:p>
            <w:pPr>
              <w:pStyle w:val="TableParagraph"/>
              <w:spacing w:line="258" w:lineRule="exact"/>
              <w:ind w:left="208"/>
              <w:rPr>
                <w:sz w:val="21"/>
              </w:rPr>
            </w:pPr>
            <w:r>
              <w:rPr>
                <w:sz w:val="21"/>
              </w:rPr>
              <w:t>指因疾病或意外伤害导致两个或两个以上肢体自腕关节或踝关节近</w:t>
            </w:r>
          </w:p>
          <w:p>
            <w:pPr>
              <w:pStyle w:val="TableParagraph"/>
              <w:spacing w:before="37"/>
              <w:ind w:left="208"/>
              <w:rPr>
                <w:sz w:val="21"/>
              </w:rPr>
            </w:pPr>
            <w:r>
              <w:rPr>
                <w:sz w:val="21"/>
              </w:rPr>
              <w:t>端（靠近躯干端）以上完全性断离。</w:t>
            </w:r>
          </w:p>
        </w:tc>
      </w:tr>
      <w:tr>
        <w:trPr>
          <w:trHeight w:val="1879" w:hRule="atLeast"/>
        </w:trPr>
        <w:tc>
          <w:tcPr>
            <w:tcW w:w="489" w:type="dxa"/>
          </w:tcPr>
          <w:p>
            <w:pPr>
              <w:pStyle w:val="TableParagraph"/>
              <w:spacing w:before="38"/>
              <w:ind w:left="180" w:right="111"/>
              <w:jc w:val="center"/>
              <w:rPr>
                <w:rFonts w:ascii="Times New Roman"/>
                <w:sz w:val="21"/>
              </w:rPr>
            </w:pPr>
            <w:r>
              <w:rPr>
                <w:rFonts w:ascii="Times New Roman"/>
                <w:sz w:val="21"/>
              </w:rPr>
              <w:t>8.</w:t>
            </w:r>
          </w:p>
        </w:tc>
        <w:tc>
          <w:tcPr>
            <w:tcW w:w="3283" w:type="dxa"/>
          </w:tcPr>
          <w:p>
            <w:pPr>
              <w:pStyle w:val="TableParagraph"/>
              <w:spacing w:line="266" w:lineRule="exact"/>
              <w:ind w:left="131"/>
              <w:rPr>
                <w:sz w:val="21"/>
              </w:rPr>
            </w:pPr>
            <w:r>
              <w:rPr>
                <w:sz w:val="21"/>
              </w:rPr>
              <w:t>急性或亚急性重症肝炎</w:t>
            </w:r>
          </w:p>
        </w:tc>
        <w:tc>
          <w:tcPr>
            <w:tcW w:w="6530" w:type="dxa"/>
          </w:tcPr>
          <w:p>
            <w:pPr>
              <w:pStyle w:val="TableParagraph"/>
              <w:spacing w:line="273" w:lineRule="auto"/>
              <w:ind w:left="208" w:right="230"/>
              <w:rPr>
                <w:sz w:val="21"/>
              </w:rPr>
            </w:pPr>
            <w:r>
              <w:rPr>
                <w:sz w:val="21"/>
              </w:rPr>
              <w:t>指因肝炎病毒感染引起肝脏组织弥漫性坏死，导致急性肝功能衰竭且经血清学或病毒学检查证实，并须满足下列全部条件：</w:t>
            </w:r>
          </w:p>
          <w:p>
            <w:pPr>
              <w:pStyle w:val="TableParagraph"/>
              <w:spacing w:before="16"/>
              <w:ind w:left="208"/>
              <w:rPr>
                <w:sz w:val="21"/>
              </w:rPr>
            </w:pPr>
            <w:r>
              <w:rPr>
                <w:sz w:val="21"/>
              </w:rPr>
              <w:t>（</w:t>
            </w:r>
            <w:r>
              <w:rPr>
                <w:rFonts w:ascii="Times New Roman" w:eastAsia="Times New Roman"/>
                <w:sz w:val="21"/>
              </w:rPr>
              <w:t>1</w:t>
            </w:r>
            <w:r>
              <w:rPr>
                <w:sz w:val="21"/>
              </w:rPr>
              <w:t>）重度黄疸或黄疸迅速加重；</w:t>
            </w:r>
          </w:p>
          <w:p>
            <w:pPr>
              <w:pStyle w:val="TableParagraph"/>
              <w:spacing w:before="20"/>
              <w:ind w:left="208"/>
              <w:rPr>
                <w:sz w:val="21"/>
              </w:rPr>
            </w:pPr>
            <w:r>
              <w:rPr>
                <w:sz w:val="21"/>
              </w:rPr>
              <w:t>（</w:t>
            </w:r>
            <w:r>
              <w:rPr>
                <w:rFonts w:ascii="Times New Roman" w:eastAsia="Times New Roman"/>
                <w:sz w:val="21"/>
              </w:rPr>
              <w:t>2</w:t>
            </w:r>
            <w:r>
              <w:rPr>
                <w:sz w:val="21"/>
              </w:rPr>
              <w:t>）肝性脑病；</w:t>
            </w:r>
          </w:p>
          <w:p>
            <w:pPr>
              <w:pStyle w:val="TableParagraph"/>
              <w:spacing w:before="20"/>
              <w:ind w:left="20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208"/>
              <w:rPr>
                <w:sz w:val="21"/>
              </w:rPr>
            </w:pPr>
            <w:r>
              <w:rPr>
                <w:sz w:val="21"/>
              </w:rPr>
              <w:t>（</w:t>
            </w:r>
            <w:r>
              <w:rPr>
                <w:rFonts w:ascii="Times New Roman" w:eastAsia="Times New Roman"/>
                <w:sz w:val="21"/>
              </w:rPr>
              <w:t>4</w:t>
            </w:r>
            <w:r>
              <w:rPr>
                <w:sz w:val="21"/>
              </w:rPr>
              <w:t>）肝功能指标进行性恶化。</w:t>
            </w:r>
          </w:p>
        </w:tc>
      </w:tr>
      <w:tr>
        <w:trPr>
          <w:trHeight w:val="2130" w:hRule="atLeast"/>
        </w:trPr>
        <w:tc>
          <w:tcPr>
            <w:tcW w:w="489" w:type="dxa"/>
          </w:tcPr>
          <w:p>
            <w:pPr>
              <w:pStyle w:val="TableParagraph"/>
              <w:spacing w:before="30"/>
              <w:ind w:left="180" w:right="111"/>
              <w:jc w:val="center"/>
              <w:rPr>
                <w:rFonts w:ascii="Times New Roman"/>
                <w:sz w:val="21"/>
              </w:rPr>
            </w:pPr>
            <w:r>
              <w:rPr>
                <w:rFonts w:ascii="Times New Roman"/>
                <w:sz w:val="21"/>
              </w:rPr>
              <w:t>9.</w:t>
            </w:r>
          </w:p>
        </w:tc>
        <w:tc>
          <w:tcPr>
            <w:tcW w:w="3283" w:type="dxa"/>
          </w:tcPr>
          <w:p>
            <w:pPr>
              <w:pStyle w:val="TableParagraph"/>
              <w:spacing w:line="258" w:lineRule="exact"/>
              <w:ind w:left="131"/>
              <w:rPr>
                <w:sz w:val="21"/>
              </w:rPr>
            </w:pPr>
            <w:r>
              <w:rPr>
                <w:sz w:val="21"/>
              </w:rPr>
              <w:t>良性脑肿瘤</w:t>
            </w:r>
          </w:p>
        </w:tc>
        <w:tc>
          <w:tcPr>
            <w:tcW w:w="6530" w:type="dxa"/>
          </w:tcPr>
          <w:p>
            <w:pPr>
              <w:pStyle w:val="TableParagraph"/>
              <w:spacing w:line="258" w:lineRule="exact"/>
              <w:ind w:left="208"/>
              <w:rPr>
                <w:sz w:val="21"/>
              </w:rPr>
            </w:pPr>
            <w:r>
              <w:rPr>
                <w:sz w:val="21"/>
              </w:rPr>
              <w:t>指脑的良性肿瘤，已经引起颅内压增高，临床表现为视神经乳头水</w:t>
            </w:r>
          </w:p>
          <w:p>
            <w:pPr>
              <w:pStyle w:val="TableParagraph"/>
              <w:spacing w:line="264" w:lineRule="auto" w:before="37"/>
              <w:ind w:left="208" w:right="198"/>
              <w:rPr>
                <w:sz w:val="21"/>
              </w:rPr>
            </w:pPr>
            <w:r>
              <w:rPr>
                <w:spacing w:val="-2"/>
                <w:sz w:val="21"/>
              </w:rPr>
              <w:t>肿、精神症状、癫痫及运动感觉障碍等，并危及生命。须由头颅断</w:t>
            </w:r>
            <w:r>
              <w:rPr>
                <w:spacing w:val="-14"/>
                <w:w w:val="100"/>
                <w:sz w:val="21"/>
              </w:rPr>
              <w:t>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2"/>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3"/>
                <w:sz w:val="21"/>
              </w:rPr>
              <w:t>等影像学检查证实，并须满足下列至少一项条件：</w:t>
            </w:r>
          </w:p>
          <w:p>
            <w:pPr>
              <w:pStyle w:val="TableParagraph"/>
              <w:spacing w:before="16"/>
              <w:ind w:left="208"/>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08"/>
              <w:rPr>
                <w:sz w:val="21"/>
              </w:rPr>
            </w:pPr>
            <w:r>
              <w:rPr>
                <w:sz w:val="21"/>
              </w:rPr>
              <w:t>（</w:t>
            </w:r>
            <w:r>
              <w:rPr>
                <w:rFonts w:ascii="Times New Roman" w:eastAsia="Times New Roman"/>
                <w:sz w:val="21"/>
              </w:rPr>
              <w:t>2</w:t>
            </w:r>
            <w:r>
              <w:rPr>
                <w:sz w:val="21"/>
              </w:rPr>
              <w:t>）实际实施了对脑肿瘤进行的放射治疗。</w:t>
            </w:r>
          </w:p>
          <w:p>
            <w:pPr>
              <w:pStyle w:val="TableParagraph"/>
              <w:spacing w:line="255" w:lineRule="exact" w:before="21"/>
              <w:ind w:left="208"/>
              <w:rPr>
                <w:b/>
                <w:sz w:val="21"/>
              </w:rPr>
            </w:pPr>
            <w:r>
              <w:rPr>
                <w:b/>
                <w:sz w:val="21"/>
              </w:rPr>
              <w:t>脑垂体瘤、脑囊肿、脑血管性疾病不在保障范围内。</w:t>
            </w:r>
          </w:p>
        </w:tc>
      </w:tr>
    </w:tbl>
    <w:p>
      <w:pPr>
        <w:pStyle w:val="BodyText"/>
        <w:spacing w:before="6"/>
        <w:rPr>
          <w:rFonts w:ascii="楷体"/>
        </w:rPr>
      </w:pPr>
      <w:r>
        <w:rPr/>
        <w:pict>
          <v:line style="position:absolute;mso-position-horizontal-relative:page;mso-position-vertical-relative:paragraph;z-index:1216;mso-wrap-distance-left:0;mso-wrap-distance-right:0" from="53.880001pt,16.264824pt" to="197.930001pt,16.264824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26"/>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left"/>
        <w:rPr>
          <w:rFonts w:ascii="楷体" w:eastAsia="楷体" w:hint="eastAsia"/>
          <w:sz w:val="21"/>
        </w:rPr>
        <w:sectPr>
          <w:pgSz w:w="11910" w:h="16160"/>
          <w:pgMar w:header="0" w:footer="631" w:top="142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20"/>
        <w:gridCol w:w="6743"/>
      </w:tblGrid>
      <w:tr>
        <w:trPr>
          <w:trHeight w:val="1826" w:hRule="atLeast"/>
        </w:trPr>
        <w:tc>
          <w:tcPr>
            <w:tcW w:w="542" w:type="dxa"/>
          </w:tcPr>
          <w:p>
            <w:pPr>
              <w:pStyle w:val="TableParagraph"/>
              <w:spacing w:line="234" w:lineRule="exact"/>
              <w:ind w:right="77"/>
              <w:jc w:val="right"/>
              <w:rPr>
                <w:rFonts w:ascii="Times New Roman"/>
                <w:sz w:val="21"/>
              </w:rPr>
            </w:pPr>
            <w:r>
              <w:rPr>
                <w:rFonts w:ascii="Times New Roman"/>
                <w:sz w:val="21"/>
              </w:rPr>
              <w:t>10.</w:t>
            </w:r>
          </w:p>
        </w:tc>
        <w:tc>
          <w:tcPr>
            <w:tcW w:w="3020" w:type="dxa"/>
          </w:tcPr>
          <w:p>
            <w:pPr>
              <w:pStyle w:val="TableParagraph"/>
              <w:spacing w:line="220" w:lineRule="exact"/>
              <w:ind w:left="78"/>
              <w:rPr>
                <w:sz w:val="21"/>
              </w:rPr>
            </w:pPr>
            <w:r>
              <w:rPr>
                <w:sz w:val="21"/>
              </w:rPr>
              <w:t>慢性肝功能衰竭失代偿期</w:t>
            </w:r>
          </w:p>
        </w:tc>
        <w:tc>
          <w:tcPr>
            <w:tcW w:w="6743" w:type="dxa"/>
          </w:tcPr>
          <w:p>
            <w:pPr>
              <w:pStyle w:val="TableParagraph"/>
              <w:spacing w:line="220" w:lineRule="exact"/>
              <w:ind w:left="418"/>
              <w:rPr>
                <w:sz w:val="21"/>
              </w:rPr>
            </w:pPr>
            <w:r>
              <w:rPr>
                <w:sz w:val="21"/>
              </w:rPr>
              <w:t>指因慢性肝脏疾病导致肝功能衰竭。须满足下列全部条件：</w:t>
            </w:r>
          </w:p>
          <w:p>
            <w:pPr>
              <w:pStyle w:val="TableParagraph"/>
              <w:spacing w:before="37"/>
              <w:ind w:left="418"/>
              <w:rPr>
                <w:sz w:val="21"/>
              </w:rPr>
            </w:pPr>
            <w:r>
              <w:rPr>
                <w:sz w:val="21"/>
              </w:rPr>
              <w:t>（</w:t>
            </w:r>
            <w:r>
              <w:rPr>
                <w:rFonts w:ascii="Times New Roman" w:eastAsia="Times New Roman"/>
                <w:sz w:val="21"/>
              </w:rPr>
              <w:t>1</w:t>
            </w:r>
            <w:r>
              <w:rPr>
                <w:sz w:val="21"/>
              </w:rPr>
              <w:t>）持续性黄疸；</w:t>
            </w:r>
          </w:p>
          <w:p>
            <w:pPr>
              <w:pStyle w:val="TableParagraph"/>
              <w:spacing w:before="20"/>
              <w:ind w:left="418"/>
              <w:rPr>
                <w:sz w:val="21"/>
              </w:rPr>
            </w:pPr>
            <w:r>
              <w:rPr>
                <w:sz w:val="21"/>
              </w:rPr>
              <w:t>（</w:t>
            </w:r>
            <w:r>
              <w:rPr>
                <w:rFonts w:ascii="Times New Roman" w:eastAsia="Times New Roman"/>
                <w:sz w:val="21"/>
              </w:rPr>
              <w:t>2</w:t>
            </w:r>
            <w:r>
              <w:rPr>
                <w:sz w:val="21"/>
              </w:rPr>
              <w:t>）腹水；</w:t>
            </w:r>
          </w:p>
          <w:p>
            <w:pPr>
              <w:pStyle w:val="TableParagraph"/>
              <w:spacing w:before="20"/>
              <w:ind w:left="418"/>
              <w:rPr>
                <w:sz w:val="21"/>
              </w:rPr>
            </w:pPr>
            <w:r>
              <w:rPr>
                <w:sz w:val="21"/>
              </w:rPr>
              <w:t>（</w:t>
            </w:r>
            <w:r>
              <w:rPr>
                <w:rFonts w:ascii="Times New Roman" w:eastAsia="Times New Roman"/>
                <w:sz w:val="21"/>
              </w:rPr>
              <w:t>3</w:t>
            </w:r>
            <w:r>
              <w:rPr>
                <w:sz w:val="21"/>
              </w:rPr>
              <w:t>）肝性脑病；</w:t>
            </w:r>
          </w:p>
          <w:p>
            <w:pPr>
              <w:pStyle w:val="TableParagraph"/>
              <w:spacing w:line="256" w:lineRule="auto" w:before="20"/>
              <w:ind w:left="418" w:right="1173"/>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542" w:type="dxa"/>
          </w:tcPr>
          <w:p>
            <w:pPr>
              <w:pStyle w:val="TableParagraph"/>
              <w:spacing w:before="38"/>
              <w:ind w:right="83"/>
              <w:jc w:val="right"/>
              <w:rPr>
                <w:rFonts w:ascii="Times New Roman"/>
                <w:sz w:val="21"/>
              </w:rPr>
            </w:pPr>
            <w:r>
              <w:rPr>
                <w:rFonts w:ascii="Times New Roman"/>
                <w:sz w:val="21"/>
              </w:rPr>
              <w:t>11.</w:t>
            </w:r>
          </w:p>
        </w:tc>
        <w:tc>
          <w:tcPr>
            <w:tcW w:w="3020" w:type="dxa"/>
          </w:tcPr>
          <w:p>
            <w:pPr>
              <w:pStyle w:val="TableParagraph"/>
              <w:spacing w:line="266" w:lineRule="exact"/>
              <w:ind w:left="78"/>
              <w:rPr>
                <w:sz w:val="21"/>
              </w:rPr>
            </w:pPr>
            <w:r>
              <w:rPr>
                <w:sz w:val="21"/>
              </w:rPr>
              <w:t>脑炎后遗症或脑膜炎后遗症</w:t>
            </w:r>
          </w:p>
        </w:tc>
        <w:tc>
          <w:tcPr>
            <w:tcW w:w="6743" w:type="dxa"/>
          </w:tcPr>
          <w:p>
            <w:pPr>
              <w:pStyle w:val="TableParagraph"/>
              <w:spacing w:line="264" w:lineRule="auto"/>
              <w:ind w:left="418" w:right="198"/>
              <w:jc w:val="both"/>
              <w:rPr>
                <w:sz w:val="21"/>
              </w:rPr>
            </w:pPr>
            <w:r>
              <w:rPr>
                <w:spacing w:val="-2"/>
                <w:sz w:val="21"/>
              </w:rPr>
              <w:t>指因患脑炎或脑膜炎导致的神经系统永久性的功能障碍。神经系统</w:t>
            </w:r>
            <w:r>
              <w:rPr>
                <w:spacing w:val="-5"/>
                <w:sz w:val="21"/>
              </w:rPr>
              <w:t>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25"/>
              <w:ind w:left="41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18"/>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18" w:right="201"/>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542" w:hRule="atLeast"/>
        </w:trPr>
        <w:tc>
          <w:tcPr>
            <w:tcW w:w="542" w:type="dxa"/>
          </w:tcPr>
          <w:p>
            <w:pPr>
              <w:pStyle w:val="TableParagraph"/>
              <w:spacing w:before="38"/>
              <w:ind w:right="77"/>
              <w:jc w:val="right"/>
              <w:rPr>
                <w:rFonts w:ascii="Times New Roman"/>
                <w:sz w:val="21"/>
              </w:rPr>
            </w:pPr>
            <w:r>
              <w:rPr>
                <w:rFonts w:ascii="Times New Roman"/>
                <w:sz w:val="21"/>
              </w:rPr>
              <w:t>12.</w:t>
            </w:r>
          </w:p>
        </w:tc>
        <w:tc>
          <w:tcPr>
            <w:tcW w:w="3020" w:type="dxa"/>
          </w:tcPr>
          <w:p>
            <w:pPr>
              <w:pStyle w:val="TableParagraph"/>
              <w:spacing w:line="266" w:lineRule="exact"/>
              <w:ind w:left="78"/>
              <w:rPr>
                <w:sz w:val="21"/>
              </w:rPr>
            </w:pPr>
            <w:r>
              <w:rPr>
                <w:sz w:val="21"/>
              </w:rPr>
              <w:t>深度昏迷</w:t>
            </w:r>
          </w:p>
        </w:tc>
        <w:tc>
          <w:tcPr>
            <w:tcW w:w="6743" w:type="dxa"/>
          </w:tcPr>
          <w:p>
            <w:pPr>
              <w:pStyle w:val="TableParagraph"/>
              <w:spacing w:line="273" w:lineRule="auto"/>
              <w:ind w:left="418" w:right="153"/>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p>
          <w:p>
            <w:pPr>
              <w:pStyle w:val="TableParagraph"/>
              <w:spacing w:line="256" w:lineRule="auto"/>
              <w:ind w:left="418" w:right="198"/>
              <w:rPr>
                <w:sz w:val="21"/>
              </w:rPr>
            </w:pPr>
            <w:r>
              <w:rPr>
                <w:rFonts w:ascii="Times New Roman" w:eastAsia="Times New Roman"/>
                <w:sz w:val="21"/>
              </w:rPr>
              <w:t>5 </w:t>
            </w:r>
            <w:r>
              <w:rPr>
                <w:spacing w:val="-17"/>
                <w:sz w:val="21"/>
              </w:rPr>
              <w:t>分或 </w:t>
            </w:r>
            <w:r>
              <w:rPr>
                <w:rFonts w:ascii="Times New Roman" w:eastAsia="Times New Roman"/>
                <w:sz w:val="21"/>
              </w:rPr>
              <w:t>5 </w:t>
            </w:r>
            <w:r>
              <w:rPr>
                <w:spacing w:val="-9"/>
                <w:sz w:val="21"/>
              </w:rPr>
              <w:t>分以下，且已经持续使用呼吸机及其他生命维持系统 </w:t>
            </w:r>
            <w:r>
              <w:rPr>
                <w:rFonts w:ascii="Times New Roman" w:eastAsia="Times New Roman"/>
                <w:sz w:val="21"/>
              </w:rPr>
              <w:t>96 </w:t>
            </w:r>
            <w:r>
              <w:rPr>
                <w:sz w:val="21"/>
              </w:rPr>
              <w:t>小</w:t>
            </w:r>
            <w:r>
              <w:rPr>
                <w:spacing w:val="-1"/>
                <w:sz w:val="21"/>
              </w:rPr>
              <w:t>时以上。</w:t>
            </w:r>
          </w:p>
          <w:p>
            <w:pPr>
              <w:pStyle w:val="TableParagraph"/>
              <w:spacing w:before="25"/>
              <w:ind w:left="418"/>
              <w:rPr>
                <w:b/>
                <w:sz w:val="21"/>
              </w:rPr>
            </w:pPr>
            <w:r>
              <w:rPr>
                <w:b/>
                <w:sz w:val="21"/>
              </w:rPr>
              <w:t>因酗酒或药物滥用导致的深度昏迷不在保障范围内。</w:t>
            </w:r>
          </w:p>
        </w:tc>
      </w:tr>
      <w:tr>
        <w:trPr>
          <w:trHeight w:val="1577" w:hRule="atLeast"/>
        </w:trPr>
        <w:tc>
          <w:tcPr>
            <w:tcW w:w="542" w:type="dxa"/>
          </w:tcPr>
          <w:p>
            <w:pPr>
              <w:pStyle w:val="TableParagraph"/>
              <w:spacing w:before="55"/>
              <w:ind w:right="77"/>
              <w:jc w:val="right"/>
              <w:rPr>
                <w:rFonts w:ascii="Times New Roman"/>
                <w:sz w:val="21"/>
              </w:rPr>
            </w:pPr>
            <w:r>
              <w:rPr>
                <w:rFonts w:ascii="Times New Roman"/>
                <w:sz w:val="21"/>
              </w:rPr>
              <w:t>13.</w:t>
            </w:r>
          </w:p>
        </w:tc>
        <w:tc>
          <w:tcPr>
            <w:tcW w:w="3020" w:type="dxa"/>
          </w:tcPr>
          <w:p>
            <w:pPr>
              <w:pStyle w:val="TableParagraph"/>
              <w:spacing w:before="8"/>
              <w:ind w:left="78"/>
              <w:rPr>
                <w:b/>
                <w:sz w:val="21"/>
              </w:rPr>
            </w:pPr>
            <w:r>
              <w:rPr>
                <w:sz w:val="21"/>
              </w:rPr>
              <w:t>双耳失聪 </w:t>
            </w:r>
            <w:r>
              <w:rPr>
                <w:rFonts w:ascii="Times New Roman" w:eastAsia="Times New Roman"/>
                <w:sz w:val="21"/>
              </w:rPr>
              <w:t>-  </w:t>
            </w:r>
            <w:r>
              <w:rPr>
                <w:b/>
                <w:sz w:val="21"/>
              </w:rPr>
              <w:t>三岁始理赔</w:t>
            </w:r>
          </w:p>
        </w:tc>
        <w:tc>
          <w:tcPr>
            <w:tcW w:w="6743" w:type="dxa"/>
          </w:tcPr>
          <w:p>
            <w:pPr>
              <w:pStyle w:val="TableParagraph"/>
              <w:spacing w:before="8"/>
              <w:ind w:left="418"/>
              <w:rPr>
                <w:sz w:val="21"/>
              </w:rPr>
            </w:pPr>
            <w:r>
              <w:rPr>
                <w:sz w:val="21"/>
              </w:rPr>
              <w:t>指因疾病或意外伤害导致双耳听力</w:t>
            </w:r>
            <w:r>
              <w:rPr>
                <w:b/>
                <w:sz w:val="21"/>
              </w:rPr>
              <w:t>永久不可逆</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w:t>
            </w:r>
          </w:p>
          <w:p>
            <w:pPr>
              <w:pStyle w:val="TableParagraph"/>
              <w:spacing w:line="256" w:lineRule="auto" w:before="21"/>
              <w:ind w:left="418" w:right="200"/>
              <w:rPr>
                <w:sz w:val="21"/>
              </w:rPr>
            </w:pPr>
            <w:r>
              <w:rPr>
                <w:spacing w:val="-5"/>
                <w:sz w:val="21"/>
              </w:rPr>
              <w:t>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w:t>
            </w:r>
            <w:r>
              <w:rPr>
                <w:spacing w:val="-3"/>
                <w:sz w:val="21"/>
              </w:rPr>
              <w:t>经纯音听力测试、声导抗检测或听觉诱发电位检测等证实。</w:t>
            </w:r>
          </w:p>
          <w:p>
            <w:pPr>
              <w:pStyle w:val="TableParagraph"/>
              <w:spacing w:line="312" w:lineRule="exact" w:before="18"/>
              <w:ind w:left="418" w:right="201"/>
              <w:rPr>
                <w:sz w:val="21"/>
              </w:rPr>
            </w:pPr>
            <w:r>
              <w:rPr>
                <w:sz w:val="21"/>
              </w:rPr>
              <w:t>被保险人申请理赔时年龄必须在三周岁以上，并且提供理赔当时的听力丧失诊断及检查证据。</w:t>
            </w:r>
          </w:p>
        </w:tc>
      </w:tr>
      <w:tr>
        <w:trPr>
          <w:trHeight w:val="2495" w:hRule="atLeast"/>
        </w:trPr>
        <w:tc>
          <w:tcPr>
            <w:tcW w:w="542" w:type="dxa"/>
          </w:tcPr>
          <w:p>
            <w:pPr>
              <w:pStyle w:val="TableParagraph"/>
              <w:spacing w:before="38"/>
              <w:ind w:right="77"/>
              <w:jc w:val="right"/>
              <w:rPr>
                <w:rFonts w:ascii="Times New Roman"/>
                <w:sz w:val="21"/>
              </w:rPr>
            </w:pPr>
            <w:r>
              <w:rPr>
                <w:rFonts w:ascii="Times New Roman"/>
                <w:sz w:val="21"/>
              </w:rPr>
              <w:t>14.</w:t>
            </w:r>
          </w:p>
        </w:tc>
        <w:tc>
          <w:tcPr>
            <w:tcW w:w="3020" w:type="dxa"/>
          </w:tcPr>
          <w:p>
            <w:pPr>
              <w:pStyle w:val="TableParagraph"/>
              <w:spacing w:line="282" w:lineRule="exact"/>
              <w:ind w:left="78"/>
              <w:rPr>
                <w:b/>
                <w:sz w:val="21"/>
              </w:rPr>
            </w:pPr>
            <w:r>
              <w:rPr>
                <w:sz w:val="21"/>
              </w:rPr>
              <w:t>双目失明 </w:t>
            </w:r>
            <w:r>
              <w:rPr>
                <w:rFonts w:ascii="Times New Roman" w:eastAsia="Times New Roman"/>
                <w:sz w:val="21"/>
              </w:rPr>
              <w:t>-  </w:t>
            </w:r>
            <w:r>
              <w:rPr>
                <w:b/>
                <w:sz w:val="21"/>
              </w:rPr>
              <w:t>三岁始理赔</w:t>
            </w:r>
          </w:p>
        </w:tc>
        <w:tc>
          <w:tcPr>
            <w:tcW w:w="6743" w:type="dxa"/>
          </w:tcPr>
          <w:p>
            <w:pPr>
              <w:pStyle w:val="TableParagraph"/>
              <w:spacing w:line="273" w:lineRule="auto"/>
              <w:ind w:left="418" w:right="201"/>
              <w:rPr>
                <w:sz w:val="21"/>
              </w:rPr>
            </w:pPr>
            <w:r>
              <w:rPr>
                <w:sz w:val="21"/>
              </w:rPr>
              <w:t>指因疾病或意外伤害导致双眼视力永久不可逆性丧失，双眼中较好眼须满足下列至少一项条件：</w:t>
            </w:r>
          </w:p>
          <w:p>
            <w:pPr>
              <w:pStyle w:val="TableParagraph"/>
              <w:spacing w:before="16"/>
              <w:ind w:left="418"/>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418" w:right="198"/>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22"/>
              <w:ind w:left="41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418" w:right="202"/>
              <w:rPr>
                <w:sz w:val="21"/>
              </w:rPr>
            </w:pPr>
            <w:r>
              <w:rPr>
                <w:sz w:val="21"/>
              </w:rPr>
              <w:t>被保险人申请理赔时年龄必须在三周岁以上，并且提供理赔当时的视力丧失诊断及检查证据。</w:t>
            </w:r>
          </w:p>
        </w:tc>
      </w:tr>
      <w:tr>
        <w:trPr>
          <w:trHeight w:val="1248" w:hRule="atLeast"/>
        </w:trPr>
        <w:tc>
          <w:tcPr>
            <w:tcW w:w="542" w:type="dxa"/>
          </w:tcPr>
          <w:p>
            <w:pPr>
              <w:pStyle w:val="TableParagraph"/>
              <w:spacing w:before="38"/>
              <w:ind w:right="77"/>
              <w:jc w:val="right"/>
              <w:rPr>
                <w:rFonts w:ascii="Times New Roman"/>
                <w:sz w:val="21"/>
              </w:rPr>
            </w:pPr>
            <w:r>
              <w:rPr>
                <w:rFonts w:ascii="Times New Roman"/>
                <w:sz w:val="21"/>
              </w:rPr>
              <w:t>15.</w:t>
            </w:r>
          </w:p>
        </w:tc>
        <w:tc>
          <w:tcPr>
            <w:tcW w:w="3020" w:type="dxa"/>
          </w:tcPr>
          <w:p>
            <w:pPr>
              <w:pStyle w:val="TableParagraph"/>
              <w:spacing w:line="266" w:lineRule="exact"/>
              <w:ind w:left="78"/>
              <w:rPr>
                <w:sz w:val="21"/>
              </w:rPr>
            </w:pPr>
            <w:r>
              <w:rPr>
                <w:sz w:val="21"/>
              </w:rPr>
              <w:t>瘫痪</w:t>
            </w:r>
          </w:p>
        </w:tc>
        <w:tc>
          <w:tcPr>
            <w:tcW w:w="6743" w:type="dxa"/>
          </w:tcPr>
          <w:p>
            <w:pPr>
              <w:pStyle w:val="TableParagraph"/>
              <w:spacing w:line="266" w:lineRule="auto"/>
              <w:ind w:left="418" w:right="198"/>
              <w:jc w:val="both"/>
              <w:rPr>
                <w:sz w:val="21"/>
              </w:rPr>
            </w:pPr>
            <w:r>
              <w:rPr>
                <w:spacing w:val="-2"/>
                <w:sz w:val="21"/>
              </w:rPr>
              <w:t>指因疾病或意外伤害导致两肢或两肢以上肢体机能永久完全丧失。</w:t>
            </w:r>
            <w:r>
              <w:rPr>
                <w:spacing w:val="-4"/>
                <w:sz w:val="21"/>
              </w:rPr>
              <w:t>肢体机能永久完全丧失，指疾病确诊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2"/>
                <w:sz w:val="21"/>
              </w:rPr>
              <w:t>天后，每肢三大关节中的两大关节仍然完全僵硬，或不能随意识活动。</w:t>
            </w:r>
          </w:p>
        </w:tc>
      </w:tr>
      <w:tr>
        <w:trPr>
          <w:trHeight w:val="623" w:hRule="atLeast"/>
        </w:trPr>
        <w:tc>
          <w:tcPr>
            <w:tcW w:w="542" w:type="dxa"/>
          </w:tcPr>
          <w:p>
            <w:pPr>
              <w:pStyle w:val="TableParagraph"/>
              <w:spacing w:before="38"/>
              <w:ind w:right="77"/>
              <w:jc w:val="right"/>
              <w:rPr>
                <w:rFonts w:ascii="Times New Roman"/>
                <w:sz w:val="21"/>
              </w:rPr>
            </w:pPr>
            <w:r>
              <w:rPr>
                <w:rFonts w:ascii="Times New Roman"/>
                <w:sz w:val="21"/>
              </w:rPr>
              <w:t>16.</w:t>
            </w:r>
          </w:p>
        </w:tc>
        <w:tc>
          <w:tcPr>
            <w:tcW w:w="3020" w:type="dxa"/>
          </w:tcPr>
          <w:p>
            <w:pPr>
              <w:pStyle w:val="TableParagraph"/>
              <w:spacing w:line="266" w:lineRule="exact"/>
              <w:ind w:left="78"/>
              <w:rPr>
                <w:sz w:val="21"/>
              </w:rPr>
            </w:pPr>
            <w:r>
              <w:rPr>
                <w:sz w:val="21"/>
              </w:rPr>
              <w:t>心脏瓣膜手术</w:t>
            </w:r>
          </w:p>
        </w:tc>
        <w:tc>
          <w:tcPr>
            <w:tcW w:w="6743" w:type="dxa"/>
          </w:tcPr>
          <w:p>
            <w:pPr>
              <w:pStyle w:val="TableParagraph"/>
              <w:spacing w:line="266" w:lineRule="exact"/>
              <w:ind w:left="418"/>
              <w:rPr>
                <w:sz w:val="21"/>
              </w:rPr>
            </w:pPr>
            <w:r>
              <w:rPr>
                <w:sz w:val="21"/>
              </w:rPr>
              <w:t>指为治疗心脏瓣膜疾病，实际实施了开胸进行的心脏瓣膜置换或修</w:t>
            </w:r>
          </w:p>
          <w:p>
            <w:pPr>
              <w:pStyle w:val="TableParagraph"/>
              <w:spacing w:before="37"/>
              <w:ind w:left="418"/>
              <w:rPr>
                <w:sz w:val="21"/>
              </w:rPr>
            </w:pPr>
            <w:r>
              <w:rPr>
                <w:sz w:val="21"/>
              </w:rPr>
              <w:t>复的手术。</w:t>
            </w:r>
          </w:p>
        </w:tc>
      </w:tr>
      <w:tr>
        <w:trPr>
          <w:trHeight w:val="1218" w:hRule="atLeast"/>
        </w:trPr>
        <w:tc>
          <w:tcPr>
            <w:tcW w:w="542" w:type="dxa"/>
          </w:tcPr>
          <w:p>
            <w:pPr>
              <w:pStyle w:val="TableParagraph"/>
              <w:spacing w:before="38"/>
              <w:ind w:right="77"/>
              <w:jc w:val="right"/>
              <w:rPr>
                <w:rFonts w:ascii="Times New Roman"/>
                <w:sz w:val="21"/>
              </w:rPr>
            </w:pPr>
            <w:r>
              <w:rPr>
                <w:rFonts w:ascii="Times New Roman"/>
                <w:sz w:val="21"/>
              </w:rPr>
              <w:t>17.</w:t>
            </w:r>
          </w:p>
        </w:tc>
        <w:tc>
          <w:tcPr>
            <w:tcW w:w="3020" w:type="dxa"/>
          </w:tcPr>
          <w:p>
            <w:pPr>
              <w:pStyle w:val="TableParagraph"/>
              <w:spacing w:line="266" w:lineRule="exact"/>
              <w:ind w:left="78"/>
              <w:rPr>
                <w:sz w:val="21"/>
              </w:rPr>
            </w:pPr>
            <w:r>
              <w:rPr>
                <w:sz w:val="21"/>
              </w:rPr>
              <w:t>严重阿尔茨海默病</w:t>
            </w:r>
          </w:p>
        </w:tc>
        <w:tc>
          <w:tcPr>
            <w:tcW w:w="6743" w:type="dxa"/>
          </w:tcPr>
          <w:p>
            <w:pPr>
              <w:pStyle w:val="TableParagraph"/>
              <w:spacing w:line="273" w:lineRule="auto"/>
              <w:ind w:left="418" w:right="201"/>
              <w:jc w:val="both"/>
              <w:rPr>
                <w:sz w:val="21"/>
              </w:rPr>
            </w:pPr>
            <w:r>
              <w:rPr>
                <w:spacing w:val="-2"/>
                <w:sz w:val="21"/>
              </w:rPr>
              <w:t>指因大脑进行性、不可逆性改变导致智能严重衰退或丧失，临床表</w:t>
            </w:r>
            <w:r>
              <w:rPr>
                <w:spacing w:val="-3"/>
                <w:sz w:val="21"/>
              </w:rPr>
              <w:t>现为明显的认知能力障碍、行为异常和社交能力减退，其日常生活</w:t>
            </w:r>
            <w:r>
              <w:rPr>
                <w:w w:val="100"/>
                <w:sz w:val="21"/>
              </w:rPr>
              <w:t>必须持续受到他人监护。须由头颅断层扫描</w:t>
            </w:r>
            <w:r>
              <w:rPr>
                <w:spacing w:val="2"/>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p>
          <w:p>
            <w:pPr>
              <w:pStyle w:val="TableParagraph"/>
              <w:spacing w:line="260" w:lineRule="exact" w:before="9"/>
              <w:ind w:left="418"/>
              <w:jc w:val="both"/>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w:t>
            </w:r>
          </w:p>
        </w:tc>
      </w:tr>
    </w:tbl>
    <w:p>
      <w:pPr>
        <w:pStyle w:val="BodyText"/>
        <w:spacing w:before="9"/>
        <w:rPr>
          <w:rFonts w:ascii="楷体"/>
          <w:sz w:val="28"/>
        </w:rPr>
      </w:pPr>
      <w:r>
        <w:rPr/>
        <w:pict>
          <v:line style="position:absolute;mso-position-horizontal-relative:page;mso-position-vertical-relative:paragraph;z-index:1240;mso-wrap-distance-left:0;mso-wrap-distance-right:0" from="53.880001pt,20.981634pt" to="197.930001pt,20.981634pt" stroked="true" strokeweight=".47998pt" strokecolor="#000000">
            <v:stroke dashstyle="solid"/>
            <w10:wrap type="topAndBottom"/>
          </v:line>
        </w:pict>
      </w:r>
    </w:p>
    <w:p>
      <w:pPr>
        <w:pStyle w:val="BodyText"/>
        <w:spacing w:line="223" w:lineRule="auto" w:before="55"/>
        <w:ind w:left="317" w:right="333"/>
        <w:rPr>
          <w:rFonts w:ascii="楷体" w:eastAsia="楷体" w:hint="eastAsia"/>
        </w:rPr>
      </w:pPr>
      <w:r>
        <w:rPr>
          <w:rFonts w:ascii="Times New Roman" w:eastAsia="Times New Roman"/>
          <w:position w:val="10"/>
          <w:sz w:val="14"/>
        </w:rPr>
        <w:t>25</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55"/>
        <w:gridCol w:w="6705"/>
      </w:tblGrid>
      <w:tr>
        <w:trPr>
          <w:trHeight w:val="881" w:hRule="atLeast"/>
        </w:trPr>
        <w:tc>
          <w:tcPr>
            <w:tcW w:w="542" w:type="dxa"/>
          </w:tcPr>
          <w:p>
            <w:pPr>
              <w:pStyle w:val="TableParagraph"/>
              <w:rPr>
                <w:rFonts w:ascii="Times New Roman"/>
                <w:sz w:val="20"/>
              </w:rPr>
            </w:pPr>
          </w:p>
        </w:tc>
        <w:tc>
          <w:tcPr>
            <w:tcW w:w="3055" w:type="dxa"/>
          </w:tcPr>
          <w:p>
            <w:pPr>
              <w:pStyle w:val="TableParagraph"/>
              <w:rPr>
                <w:rFonts w:ascii="Times New Roman"/>
                <w:sz w:val="20"/>
              </w:rPr>
            </w:pPr>
          </w:p>
        </w:tc>
        <w:tc>
          <w:tcPr>
            <w:tcW w:w="6705" w:type="dxa"/>
          </w:tcPr>
          <w:p>
            <w:pPr>
              <w:pStyle w:val="TableParagraph"/>
              <w:spacing w:line="202" w:lineRule="exact"/>
              <w:ind w:left="383"/>
              <w:rPr>
                <w:sz w:val="21"/>
              </w:rPr>
            </w:pPr>
            <w:r>
              <w:rPr>
                <w:sz w:val="21"/>
              </w:rPr>
              <w:t>主生活能力完全丧失，无法独立完成六项基本日常生活活动中的三</w:t>
            </w:r>
          </w:p>
          <w:p>
            <w:pPr>
              <w:pStyle w:val="TableParagraph"/>
              <w:spacing w:before="37"/>
              <w:ind w:left="383"/>
              <w:rPr>
                <w:sz w:val="21"/>
              </w:rPr>
            </w:pPr>
            <w:r>
              <w:rPr>
                <w:sz w:val="21"/>
              </w:rPr>
              <w:t>项或三项以上。</w:t>
            </w:r>
          </w:p>
          <w:p>
            <w:pPr>
              <w:pStyle w:val="TableParagraph"/>
              <w:spacing w:before="36"/>
              <w:ind w:left="383"/>
              <w:rPr>
                <w:b/>
                <w:sz w:val="21"/>
              </w:rPr>
            </w:pPr>
            <w:r>
              <w:rPr>
                <w:b/>
                <w:sz w:val="21"/>
              </w:rPr>
              <w:t>神经官能症和精神疾病不在保障范围内。</w:t>
            </w:r>
          </w:p>
        </w:tc>
      </w:tr>
      <w:tr>
        <w:trPr>
          <w:trHeight w:val="2808" w:hRule="atLeast"/>
        </w:trPr>
        <w:tc>
          <w:tcPr>
            <w:tcW w:w="542" w:type="dxa"/>
          </w:tcPr>
          <w:p>
            <w:pPr>
              <w:pStyle w:val="TableParagraph"/>
              <w:spacing w:before="29"/>
              <w:ind w:right="77"/>
              <w:jc w:val="right"/>
              <w:rPr>
                <w:rFonts w:ascii="Times New Roman"/>
                <w:sz w:val="21"/>
              </w:rPr>
            </w:pPr>
            <w:r>
              <w:rPr>
                <w:rFonts w:ascii="Times New Roman"/>
                <w:sz w:val="21"/>
              </w:rPr>
              <w:t>18.</w:t>
            </w:r>
          </w:p>
        </w:tc>
        <w:tc>
          <w:tcPr>
            <w:tcW w:w="3055" w:type="dxa"/>
          </w:tcPr>
          <w:p>
            <w:pPr>
              <w:pStyle w:val="TableParagraph"/>
              <w:spacing w:line="257" w:lineRule="exact"/>
              <w:ind w:left="78"/>
              <w:rPr>
                <w:sz w:val="21"/>
              </w:rPr>
            </w:pPr>
            <w:r>
              <w:rPr>
                <w:sz w:val="21"/>
              </w:rPr>
              <w:t>严重脑损伤</w:t>
            </w:r>
          </w:p>
        </w:tc>
        <w:tc>
          <w:tcPr>
            <w:tcW w:w="6705" w:type="dxa"/>
          </w:tcPr>
          <w:p>
            <w:pPr>
              <w:pStyle w:val="TableParagraph"/>
              <w:spacing w:line="257" w:lineRule="exact"/>
              <w:ind w:left="383"/>
              <w:rPr>
                <w:sz w:val="21"/>
              </w:rPr>
            </w:pPr>
            <w:r>
              <w:rPr>
                <w:sz w:val="21"/>
              </w:rPr>
              <w:t>指因头部遭受机械性外力，引起脑重要部位损伤，导致神经系统永</w:t>
            </w:r>
          </w:p>
          <w:p>
            <w:pPr>
              <w:pStyle w:val="TableParagraph"/>
              <w:spacing w:line="256" w:lineRule="auto" w:before="37"/>
              <w:ind w:left="383" w:right="198"/>
              <w:rPr>
                <w:sz w:val="21"/>
              </w:rPr>
            </w:pPr>
            <w:r>
              <w:rPr>
                <w:spacing w:val="-4"/>
                <w:w w:val="100"/>
                <w:sz w:val="21"/>
              </w:rPr>
              <w:t>久性的功能障碍。须由头颅断层扫描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RI</w:t>
            </w:r>
            <w:r>
              <w:rPr>
                <w:sz w:val="21"/>
              </w:rPr>
              <w:t>或正电子发射断层扫描（</w:t>
            </w:r>
            <w:r>
              <w:rPr>
                <w:rFonts w:ascii="Times New Roman" w:eastAsia="Times New Roman"/>
                <w:sz w:val="21"/>
              </w:rPr>
              <w:t>PET</w:t>
            </w:r>
            <w:r>
              <w:rPr>
                <w:sz w:val="21"/>
              </w:rPr>
              <w:t>）等影像学检查证实。神经系统永久</w:t>
            </w:r>
            <w:r>
              <w:rPr>
                <w:spacing w:val="-9"/>
                <w:sz w:val="21"/>
              </w:rPr>
              <w:t>性的功能障碍，指脑损伤 </w:t>
            </w:r>
            <w:r>
              <w:rPr>
                <w:rFonts w:ascii="Times New Roman" w:eastAsia="Times New Roman"/>
                <w:sz w:val="21"/>
              </w:rPr>
              <w:t>180 </w:t>
            </w:r>
            <w:r>
              <w:rPr>
                <w:spacing w:val="-5"/>
                <w:sz w:val="21"/>
              </w:rPr>
              <w:t>天后，仍遗留下列一种或一种以上障碍：</w:t>
            </w:r>
          </w:p>
          <w:p>
            <w:pPr>
              <w:pStyle w:val="TableParagraph"/>
              <w:spacing w:before="22"/>
              <w:ind w:left="38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383"/>
              <w:rPr>
                <w:sz w:val="21"/>
              </w:rPr>
            </w:pPr>
            <w:r>
              <w:rPr>
                <w:sz w:val="21"/>
              </w:rPr>
              <w:t>（</w:t>
            </w:r>
            <w:r>
              <w:rPr>
                <w:rFonts w:ascii="Times New Roman" w:eastAsia="Times New Roman"/>
                <w:sz w:val="21"/>
              </w:rPr>
              <w:t>2</w:t>
            </w:r>
            <w:r>
              <w:rPr>
                <w:sz w:val="21"/>
              </w:rPr>
              <w:t>）语言能力或咀嚼吞咽能力完全丧失；</w:t>
            </w:r>
          </w:p>
          <w:p>
            <w:pPr>
              <w:pStyle w:val="TableParagraph"/>
              <w:spacing w:line="259" w:lineRule="auto" w:before="21"/>
              <w:ind w:left="383" w:right="198"/>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871" w:hRule="atLeast"/>
        </w:trPr>
        <w:tc>
          <w:tcPr>
            <w:tcW w:w="542" w:type="dxa"/>
          </w:tcPr>
          <w:p>
            <w:pPr>
              <w:pStyle w:val="TableParagraph"/>
              <w:spacing w:before="29"/>
              <w:ind w:right="77"/>
              <w:jc w:val="right"/>
              <w:rPr>
                <w:rFonts w:ascii="Times New Roman"/>
                <w:sz w:val="21"/>
              </w:rPr>
            </w:pPr>
            <w:r>
              <w:rPr>
                <w:rFonts w:ascii="Times New Roman"/>
                <w:sz w:val="21"/>
              </w:rPr>
              <w:t>19.</w:t>
            </w:r>
          </w:p>
        </w:tc>
        <w:tc>
          <w:tcPr>
            <w:tcW w:w="3055" w:type="dxa"/>
          </w:tcPr>
          <w:p>
            <w:pPr>
              <w:pStyle w:val="TableParagraph"/>
              <w:spacing w:line="257" w:lineRule="exact"/>
              <w:ind w:left="78"/>
              <w:rPr>
                <w:sz w:val="21"/>
              </w:rPr>
            </w:pPr>
            <w:r>
              <w:rPr>
                <w:sz w:val="21"/>
              </w:rPr>
              <w:t>严重帕金森病</w:t>
            </w:r>
          </w:p>
        </w:tc>
        <w:tc>
          <w:tcPr>
            <w:tcW w:w="6705" w:type="dxa"/>
          </w:tcPr>
          <w:p>
            <w:pPr>
              <w:pStyle w:val="TableParagraph"/>
              <w:spacing w:line="257" w:lineRule="exact"/>
              <w:ind w:left="383"/>
              <w:rPr>
                <w:sz w:val="21"/>
              </w:rPr>
            </w:pPr>
            <w:r>
              <w:rPr>
                <w:sz w:val="21"/>
              </w:rPr>
              <w:t>是一种中枢神经系统的退行性疾病，临床表现为震颤麻痹、共济失</w:t>
            </w:r>
          </w:p>
          <w:p>
            <w:pPr>
              <w:pStyle w:val="TableParagraph"/>
              <w:spacing w:before="37"/>
              <w:ind w:left="383"/>
              <w:rPr>
                <w:sz w:val="21"/>
              </w:rPr>
            </w:pPr>
            <w:r>
              <w:rPr>
                <w:sz w:val="21"/>
              </w:rPr>
              <w:t>调等。须满足下列全部条件：</w:t>
            </w:r>
          </w:p>
          <w:p>
            <w:pPr>
              <w:pStyle w:val="TableParagraph"/>
              <w:spacing w:before="37"/>
              <w:ind w:left="383"/>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383" w:right="198"/>
              <w:rPr>
                <w:sz w:val="21"/>
              </w:rPr>
            </w:pPr>
            <w:r>
              <w:rPr>
                <w:spacing w:val="-14"/>
                <w:sz w:val="21"/>
              </w:rPr>
              <w:t>（</w:t>
            </w:r>
            <w:r>
              <w:rPr>
                <w:rFonts w:ascii="Times New Roman" w:eastAsia="Times New Roman"/>
                <w:spacing w:val="-14"/>
                <w:sz w:val="21"/>
              </w:rPr>
              <w:t>2</w:t>
            </w:r>
            <w:r>
              <w:rPr>
                <w:spacing w:val="-14"/>
                <w:sz w:val="21"/>
              </w:rPr>
              <w:t>）</w:t>
            </w:r>
            <w:r>
              <w:rPr>
                <w:spacing w:val="-7"/>
                <w:sz w:val="21"/>
              </w:rPr>
              <w:t>自主生活能力完全丧失，无法独立完成六项基本日常生活活动</w:t>
            </w:r>
            <w:r>
              <w:rPr>
                <w:spacing w:val="-5"/>
                <w:sz w:val="21"/>
              </w:rPr>
              <w:t>中的三项或三项以上。</w:t>
            </w:r>
          </w:p>
          <w:p>
            <w:pPr>
              <w:pStyle w:val="TableParagraph"/>
              <w:spacing w:before="22"/>
              <w:ind w:left="383"/>
              <w:rPr>
                <w:b/>
                <w:sz w:val="21"/>
              </w:rPr>
            </w:pPr>
            <w:r>
              <w:rPr>
                <w:b/>
                <w:sz w:val="21"/>
              </w:rPr>
              <w:t>继发性帕金森综合征不在保障范围内。</w:t>
            </w:r>
          </w:p>
        </w:tc>
      </w:tr>
      <w:tr>
        <w:trPr>
          <w:trHeight w:val="631" w:hRule="atLeast"/>
        </w:trPr>
        <w:tc>
          <w:tcPr>
            <w:tcW w:w="542" w:type="dxa"/>
          </w:tcPr>
          <w:p>
            <w:pPr>
              <w:pStyle w:val="TableParagraph"/>
              <w:spacing w:before="29"/>
              <w:ind w:right="77"/>
              <w:jc w:val="right"/>
              <w:rPr>
                <w:rFonts w:ascii="Times New Roman"/>
                <w:sz w:val="21"/>
              </w:rPr>
            </w:pPr>
            <w:r>
              <w:rPr>
                <w:rFonts w:ascii="Times New Roman"/>
                <w:sz w:val="21"/>
              </w:rPr>
              <w:t>20.</w:t>
            </w:r>
          </w:p>
        </w:tc>
        <w:tc>
          <w:tcPr>
            <w:tcW w:w="3055" w:type="dxa"/>
          </w:tcPr>
          <w:p>
            <w:pPr>
              <w:pStyle w:val="TableParagraph"/>
              <w:spacing w:line="257" w:lineRule="exact"/>
              <w:ind w:left="78"/>
              <w:rPr>
                <w:sz w:val="21"/>
              </w:rPr>
            </w:pPr>
            <w:r>
              <w:rPr>
                <w:sz w:val="21"/>
              </w:rPr>
              <w:t>严重Ⅲ度烧伤</w:t>
            </w:r>
          </w:p>
        </w:tc>
        <w:tc>
          <w:tcPr>
            <w:tcW w:w="6705" w:type="dxa"/>
          </w:tcPr>
          <w:p>
            <w:pPr>
              <w:pStyle w:val="TableParagraph"/>
              <w:spacing w:line="273" w:lineRule="exact"/>
              <w:ind w:left="383"/>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ind w:left="383"/>
              <w:rPr>
                <w:sz w:val="21"/>
              </w:rPr>
            </w:pPr>
            <w:r>
              <w:rPr>
                <w:rFonts w:ascii="Times New Roman" w:eastAsia="Times New Roman"/>
                <w:sz w:val="21"/>
              </w:rPr>
              <w:t>20</w:t>
            </w:r>
            <w:r>
              <w:rPr>
                <w:sz w:val="21"/>
              </w:rPr>
              <w:t>％以上。体表面积根据《中国新九分法》计算。</w:t>
            </w:r>
          </w:p>
        </w:tc>
      </w:tr>
      <w:tr>
        <w:trPr>
          <w:trHeight w:val="1248" w:hRule="atLeast"/>
        </w:trPr>
        <w:tc>
          <w:tcPr>
            <w:tcW w:w="542" w:type="dxa"/>
          </w:tcPr>
          <w:p>
            <w:pPr>
              <w:pStyle w:val="TableParagraph"/>
              <w:spacing w:before="21"/>
              <w:ind w:right="77"/>
              <w:jc w:val="right"/>
              <w:rPr>
                <w:rFonts w:ascii="Times New Roman"/>
                <w:sz w:val="21"/>
              </w:rPr>
            </w:pPr>
            <w:r>
              <w:rPr>
                <w:rFonts w:ascii="Times New Roman"/>
                <w:sz w:val="21"/>
              </w:rPr>
              <w:t>21.</w:t>
            </w:r>
          </w:p>
        </w:tc>
        <w:tc>
          <w:tcPr>
            <w:tcW w:w="3055" w:type="dxa"/>
          </w:tcPr>
          <w:p>
            <w:pPr>
              <w:pStyle w:val="TableParagraph"/>
              <w:spacing w:line="249" w:lineRule="exact"/>
              <w:ind w:left="78"/>
              <w:rPr>
                <w:sz w:val="21"/>
              </w:rPr>
            </w:pPr>
            <w:r>
              <w:rPr>
                <w:sz w:val="21"/>
              </w:rPr>
              <w:t>严重原发性肺动脉高压</w:t>
            </w:r>
          </w:p>
        </w:tc>
        <w:tc>
          <w:tcPr>
            <w:tcW w:w="6705" w:type="dxa"/>
          </w:tcPr>
          <w:p>
            <w:pPr>
              <w:pStyle w:val="TableParagraph"/>
              <w:spacing w:line="249" w:lineRule="exact"/>
              <w:ind w:left="383"/>
              <w:rPr>
                <w:sz w:val="21"/>
              </w:rPr>
            </w:pPr>
            <w:r>
              <w:rPr>
                <w:sz w:val="21"/>
              </w:rPr>
              <w:t>指不明原因的肺动脉压力持续性增高，进行性发展而导致的慢性疾</w:t>
            </w:r>
          </w:p>
          <w:p>
            <w:pPr>
              <w:pStyle w:val="TableParagraph"/>
              <w:spacing w:line="273" w:lineRule="auto" w:before="37"/>
              <w:ind w:left="383" w:right="196"/>
              <w:rPr>
                <w:sz w:val="21"/>
              </w:rPr>
            </w:pPr>
            <w:r>
              <w:rPr>
                <w:sz w:val="21"/>
              </w:rPr>
              <w:t>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w:t>
            </w:r>
          </w:p>
          <w:p>
            <w:pPr>
              <w:pStyle w:val="TableParagraph"/>
              <w:spacing w:line="279" w:lineRule="exact"/>
              <w:ind w:left="383"/>
              <w:rPr>
                <w:sz w:val="21"/>
              </w:rPr>
            </w:pPr>
            <w:r>
              <w:rPr>
                <w:rFonts w:ascii="Times New Roman" w:eastAsia="Times New Roman"/>
                <w:sz w:val="21"/>
              </w:rPr>
              <w:t>30mmHg</w:t>
            </w:r>
            <w:r>
              <w:rPr>
                <w:sz w:val="21"/>
              </w:rPr>
              <w:t>。</w:t>
            </w:r>
          </w:p>
        </w:tc>
      </w:tr>
      <w:tr>
        <w:trPr>
          <w:trHeight w:val="1240" w:hRule="atLeast"/>
        </w:trPr>
        <w:tc>
          <w:tcPr>
            <w:tcW w:w="542" w:type="dxa"/>
          </w:tcPr>
          <w:p>
            <w:pPr>
              <w:pStyle w:val="TableParagraph"/>
              <w:spacing w:before="21"/>
              <w:ind w:right="77"/>
              <w:jc w:val="right"/>
              <w:rPr>
                <w:rFonts w:ascii="Times New Roman"/>
                <w:sz w:val="21"/>
              </w:rPr>
            </w:pPr>
            <w:r>
              <w:rPr>
                <w:rFonts w:ascii="Times New Roman"/>
                <w:sz w:val="21"/>
              </w:rPr>
              <w:t>22.</w:t>
            </w:r>
          </w:p>
        </w:tc>
        <w:tc>
          <w:tcPr>
            <w:tcW w:w="3055" w:type="dxa"/>
          </w:tcPr>
          <w:p>
            <w:pPr>
              <w:pStyle w:val="TableParagraph"/>
              <w:spacing w:line="249" w:lineRule="exact"/>
              <w:ind w:left="78"/>
              <w:rPr>
                <w:sz w:val="21"/>
              </w:rPr>
            </w:pPr>
            <w:r>
              <w:rPr>
                <w:sz w:val="21"/>
              </w:rPr>
              <w:t>严重运动神经元病</w:t>
            </w:r>
          </w:p>
        </w:tc>
        <w:tc>
          <w:tcPr>
            <w:tcW w:w="6705" w:type="dxa"/>
          </w:tcPr>
          <w:p>
            <w:pPr>
              <w:pStyle w:val="TableParagraph"/>
              <w:spacing w:line="249" w:lineRule="exact"/>
              <w:ind w:left="383"/>
              <w:rPr>
                <w:sz w:val="21"/>
              </w:rPr>
            </w:pPr>
            <w:r>
              <w:rPr>
                <w:sz w:val="21"/>
              </w:rPr>
              <w:t>是一组中枢神经系统运动神经元的进行性变性疾病，包括进行性脊</w:t>
            </w:r>
          </w:p>
          <w:p>
            <w:pPr>
              <w:pStyle w:val="TableParagraph"/>
              <w:spacing w:line="273" w:lineRule="auto" w:before="37"/>
              <w:ind w:left="383" w:right="197"/>
              <w:jc w:val="both"/>
              <w:rPr>
                <w:sz w:val="21"/>
              </w:rPr>
            </w:pPr>
            <w:r>
              <w:rPr>
                <w:sz w:val="21"/>
              </w:rPr>
              <w:t>肌萎缩症、进行性延髓麻痹症、原发性侧索硬化症、肌萎缩性侧索硬化症。须满足自主生活能力完全丧失，无法独立完成六项基本日常生活活动中的三项或三项以上的条件。</w:t>
            </w:r>
          </w:p>
        </w:tc>
      </w:tr>
      <w:tr>
        <w:trPr>
          <w:trHeight w:val="1872" w:hRule="atLeast"/>
        </w:trPr>
        <w:tc>
          <w:tcPr>
            <w:tcW w:w="542" w:type="dxa"/>
          </w:tcPr>
          <w:p>
            <w:pPr>
              <w:pStyle w:val="TableParagraph"/>
              <w:spacing w:before="29"/>
              <w:ind w:right="77"/>
              <w:jc w:val="right"/>
              <w:rPr>
                <w:rFonts w:ascii="Times New Roman"/>
                <w:sz w:val="21"/>
              </w:rPr>
            </w:pPr>
            <w:r>
              <w:rPr>
                <w:rFonts w:ascii="Times New Roman"/>
                <w:sz w:val="21"/>
              </w:rPr>
              <w:t>23.</w:t>
            </w:r>
          </w:p>
        </w:tc>
        <w:tc>
          <w:tcPr>
            <w:tcW w:w="3055" w:type="dxa"/>
          </w:tcPr>
          <w:p>
            <w:pPr>
              <w:pStyle w:val="TableParagraph"/>
              <w:spacing w:line="273" w:lineRule="exact"/>
              <w:ind w:left="78"/>
              <w:rPr>
                <w:b/>
                <w:sz w:val="21"/>
              </w:rPr>
            </w:pPr>
            <w:r>
              <w:rPr>
                <w:sz w:val="21"/>
              </w:rPr>
              <w:t>语言能力丧失 </w:t>
            </w:r>
            <w:r>
              <w:rPr>
                <w:rFonts w:ascii="Times New Roman" w:eastAsia="Times New Roman"/>
                <w:sz w:val="21"/>
              </w:rPr>
              <w:t>-  </w:t>
            </w:r>
            <w:r>
              <w:rPr>
                <w:b/>
                <w:sz w:val="21"/>
              </w:rPr>
              <w:t>三岁始理赔</w:t>
            </w:r>
          </w:p>
        </w:tc>
        <w:tc>
          <w:tcPr>
            <w:tcW w:w="6705" w:type="dxa"/>
          </w:tcPr>
          <w:p>
            <w:pPr>
              <w:pStyle w:val="TableParagraph"/>
              <w:spacing w:line="273" w:lineRule="exact"/>
              <w:ind w:left="383"/>
              <w:rPr>
                <w:rFonts w:ascii="Times New Roman" w:eastAsia="Times New Roman"/>
                <w:sz w:val="21"/>
              </w:rPr>
            </w:pPr>
            <w:r>
              <w:rPr>
                <w:sz w:val="21"/>
              </w:rPr>
              <w:t>指因疾病或意外伤害导致完全丧失语言能力，经过积极治疗至少 </w:t>
            </w:r>
            <w:r>
              <w:rPr>
                <w:rFonts w:ascii="Times New Roman" w:eastAsia="Times New Roman"/>
                <w:sz w:val="21"/>
              </w:rPr>
              <w:t>12</w:t>
            </w:r>
          </w:p>
          <w:p>
            <w:pPr>
              <w:pStyle w:val="TableParagraph"/>
              <w:spacing w:line="273" w:lineRule="auto" w:before="21"/>
              <w:ind w:left="383" w:right="198"/>
              <w:rPr>
                <w:sz w:val="21"/>
              </w:rPr>
            </w:pPr>
            <w:r>
              <w:rPr>
                <w:spacing w:val="-21"/>
                <w:sz w:val="21"/>
              </w:rPr>
              <w:t>个月</w:t>
            </w:r>
            <w:r>
              <w:rPr>
                <w:sz w:val="21"/>
              </w:rPr>
              <w:t>（</w:t>
            </w:r>
            <w:r>
              <w:rPr>
                <w:spacing w:val="-3"/>
                <w:sz w:val="21"/>
              </w:rPr>
              <w:t>声带完全切除不受此时间限制</w:t>
            </w:r>
            <w:r>
              <w:rPr>
                <w:spacing w:val="-74"/>
                <w:sz w:val="21"/>
              </w:rPr>
              <w:t>）</w:t>
            </w:r>
            <w:r>
              <w:rPr>
                <w:spacing w:val="-10"/>
                <w:sz w:val="21"/>
              </w:rPr>
              <w:t>，仍无法通过现有医疗手段恢复。</w:t>
            </w:r>
          </w:p>
          <w:p>
            <w:pPr>
              <w:pStyle w:val="TableParagraph"/>
              <w:spacing w:before="7"/>
              <w:ind w:left="383"/>
              <w:rPr>
                <w:b/>
                <w:sz w:val="21"/>
              </w:rPr>
            </w:pPr>
            <w:r>
              <w:rPr>
                <w:b/>
                <w:sz w:val="21"/>
              </w:rPr>
              <w:t>精神心理因素所致的语言能力丧失不在保障范围内。</w:t>
            </w:r>
          </w:p>
          <w:p>
            <w:pPr>
              <w:pStyle w:val="TableParagraph"/>
              <w:spacing w:line="273" w:lineRule="auto" w:before="36"/>
              <w:ind w:left="383" w:right="198"/>
              <w:rPr>
                <w:sz w:val="21"/>
              </w:rPr>
            </w:pPr>
            <w:r>
              <w:rPr>
                <w:sz w:val="21"/>
              </w:rPr>
              <w:t>被保险人申请理赔时年龄必须在三周岁以上，并且提供理赔当时的语言能力丧失诊断及检查证据。</w:t>
            </w:r>
          </w:p>
        </w:tc>
      </w:tr>
      <w:tr>
        <w:trPr>
          <w:trHeight w:val="2191" w:hRule="atLeast"/>
        </w:trPr>
        <w:tc>
          <w:tcPr>
            <w:tcW w:w="542" w:type="dxa"/>
          </w:tcPr>
          <w:p>
            <w:pPr>
              <w:pStyle w:val="TableParagraph"/>
              <w:spacing w:before="29"/>
              <w:ind w:right="77"/>
              <w:jc w:val="right"/>
              <w:rPr>
                <w:rFonts w:ascii="Times New Roman"/>
                <w:sz w:val="21"/>
              </w:rPr>
            </w:pPr>
            <w:r>
              <w:rPr>
                <w:rFonts w:ascii="Times New Roman"/>
                <w:sz w:val="21"/>
              </w:rPr>
              <w:t>24.</w:t>
            </w:r>
          </w:p>
        </w:tc>
        <w:tc>
          <w:tcPr>
            <w:tcW w:w="3055" w:type="dxa"/>
          </w:tcPr>
          <w:p>
            <w:pPr>
              <w:pStyle w:val="TableParagraph"/>
              <w:spacing w:line="257" w:lineRule="exact"/>
              <w:ind w:left="78"/>
              <w:rPr>
                <w:sz w:val="21"/>
              </w:rPr>
            </w:pPr>
            <w:r>
              <w:rPr>
                <w:sz w:val="21"/>
              </w:rPr>
              <w:t>重型再生障碍性贫血</w:t>
            </w:r>
          </w:p>
        </w:tc>
        <w:tc>
          <w:tcPr>
            <w:tcW w:w="6705" w:type="dxa"/>
          </w:tcPr>
          <w:p>
            <w:pPr>
              <w:pStyle w:val="TableParagraph"/>
              <w:spacing w:line="257" w:lineRule="exact"/>
              <w:ind w:left="383"/>
              <w:rPr>
                <w:sz w:val="21"/>
              </w:rPr>
            </w:pPr>
            <w:r>
              <w:rPr>
                <w:sz w:val="21"/>
              </w:rPr>
              <w:t>指因骨髓造血功能慢性持续性衰竭导致的贫血、中性粒细胞减少及</w:t>
            </w:r>
          </w:p>
          <w:p>
            <w:pPr>
              <w:pStyle w:val="TableParagraph"/>
              <w:spacing w:before="37"/>
              <w:ind w:left="383"/>
              <w:rPr>
                <w:sz w:val="21"/>
              </w:rPr>
            </w:pPr>
            <w:r>
              <w:rPr>
                <w:sz w:val="21"/>
              </w:rPr>
              <w:t>血小板减少。须满足下列全部条件：</w:t>
            </w:r>
          </w:p>
          <w:p>
            <w:pPr>
              <w:pStyle w:val="TableParagraph"/>
              <w:spacing w:before="37"/>
              <w:ind w:left="38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383"/>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909"/>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909"/>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909"/>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882" w:hRule="atLeast"/>
        </w:trPr>
        <w:tc>
          <w:tcPr>
            <w:tcW w:w="542" w:type="dxa"/>
          </w:tcPr>
          <w:p>
            <w:pPr>
              <w:pStyle w:val="TableParagraph"/>
              <w:spacing w:before="21"/>
              <w:ind w:right="77"/>
              <w:jc w:val="right"/>
              <w:rPr>
                <w:rFonts w:ascii="Times New Roman"/>
                <w:sz w:val="21"/>
              </w:rPr>
            </w:pPr>
            <w:r>
              <w:rPr>
                <w:rFonts w:ascii="Times New Roman"/>
                <w:sz w:val="21"/>
              </w:rPr>
              <w:t>25.</w:t>
            </w:r>
          </w:p>
        </w:tc>
        <w:tc>
          <w:tcPr>
            <w:tcW w:w="3055" w:type="dxa"/>
          </w:tcPr>
          <w:p>
            <w:pPr>
              <w:pStyle w:val="TableParagraph"/>
              <w:spacing w:line="249" w:lineRule="exact"/>
              <w:ind w:left="78"/>
              <w:rPr>
                <w:sz w:val="21"/>
              </w:rPr>
            </w:pPr>
            <w:r>
              <w:rPr>
                <w:sz w:val="21"/>
              </w:rPr>
              <w:t>主动脉手术</w:t>
            </w:r>
          </w:p>
        </w:tc>
        <w:tc>
          <w:tcPr>
            <w:tcW w:w="6705" w:type="dxa"/>
          </w:tcPr>
          <w:p>
            <w:pPr>
              <w:pStyle w:val="TableParagraph"/>
              <w:spacing w:line="249" w:lineRule="exact"/>
              <w:ind w:left="383"/>
              <w:rPr>
                <w:sz w:val="21"/>
              </w:rPr>
            </w:pPr>
            <w:r>
              <w:rPr>
                <w:sz w:val="21"/>
              </w:rPr>
              <w:t>指为治疗主动脉疾病，实际实施了开胸或开腹进行的切除、置换、</w:t>
            </w:r>
          </w:p>
          <w:p>
            <w:pPr>
              <w:pStyle w:val="TableParagraph"/>
              <w:spacing w:line="310" w:lineRule="atLeast" w:before="2"/>
              <w:ind w:left="383" w:right="198"/>
              <w:rPr>
                <w:sz w:val="21"/>
              </w:rPr>
            </w:pPr>
            <w:r>
              <w:rPr>
                <w:sz w:val="21"/>
              </w:rPr>
              <w:t>修补病损主动脉血管的手术。主动脉指胸主动脉和腹主动脉，不包括胸主动脉和腹主动脉的分支血管。</w:t>
            </w:r>
          </w:p>
        </w:tc>
      </w:tr>
    </w:tbl>
    <w:p>
      <w:pPr>
        <w:spacing w:after="0" w:line="310" w:lineRule="atLeast"/>
        <w:rPr>
          <w:sz w:val="21"/>
        </w:rPr>
        <w:sectPr>
          <w:pgSz w:w="11910" w:h="16160"/>
          <w:pgMar w:header="0" w:footer="631" w:top="1440" w:bottom="820" w:left="760" w:right="620"/>
        </w:sectPr>
      </w:pPr>
    </w:p>
    <w:p>
      <w:pPr>
        <w:spacing w:before="7"/>
        <w:ind w:left="3898" w:right="0" w:firstLine="0"/>
        <w:jc w:val="left"/>
        <w:rPr>
          <w:b/>
          <w:sz w:val="21"/>
        </w:rPr>
      </w:pPr>
      <w:r>
        <w:rPr>
          <w:b/>
          <w:sz w:val="21"/>
        </w:rPr>
        <w:t>动脉内血管成形术不在保障范围内。</w:t>
      </w:r>
    </w:p>
    <w:p>
      <w:pPr>
        <w:pStyle w:val="ListParagraph"/>
        <w:numPr>
          <w:ilvl w:val="0"/>
          <w:numId w:val="8"/>
        </w:numPr>
        <w:tabs>
          <w:tab w:pos="539" w:val="left" w:leader="none"/>
          <w:tab w:pos="3898" w:val="left" w:leader="none"/>
        </w:tabs>
        <w:spacing w:line="240" w:lineRule="auto" w:before="56" w:after="0"/>
        <w:ind w:left="538" w:right="0" w:hanging="421"/>
        <w:jc w:val="left"/>
        <w:rPr>
          <w:sz w:val="21"/>
        </w:rPr>
      </w:pPr>
      <w:r>
        <w:rPr>
          <w:sz w:val="21"/>
        </w:rPr>
        <w:t>严重</w:t>
      </w:r>
      <w:r>
        <w:rPr>
          <w:spacing w:val="-3"/>
          <w:sz w:val="21"/>
        </w:rPr>
        <w:t>多</w:t>
      </w:r>
      <w:r>
        <w:rPr>
          <w:sz w:val="21"/>
        </w:rPr>
        <w:t>发</w:t>
      </w:r>
      <w:r>
        <w:rPr>
          <w:spacing w:val="-3"/>
          <w:sz w:val="21"/>
        </w:rPr>
        <w:t>性</w:t>
      </w:r>
      <w:r>
        <w:rPr>
          <w:sz w:val="21"/>
        </w:rPr>
        <w:t>硬化</w:t>
        <w:tab/>
        <w:t>多发性硬化为中枢神经</w:t>
      </w:r>
      <w:r>
        <w:rPr>
          <w:spacing w:val="-3"/>
          <w:sz w:val="21"/>
        </w:rPr>
        <w:t>系</w:t>
      </w:r>
      <w:r>
        <w:rPr>
          <w:sz w:val="21"/>
        </w:rPr>
        <w:t>统白质多灶性脱髓鞘病</w:t>
      </w:r>
      <w:r>
        <w:rPr>
          <w:spacing w:val="-3"/>
          <w:sz w:val="21"/>
        </w:rPr>
        <w:t>变</w:t>
      </w:r>
      <w:r>
        <w:rPr>
          <w:sz w:val="21"/>
        </w:rPr>
        <w:t>，病变有时累及</w:t>
      </w:r>
    </w:p>
    <w:p>
      <w:pPr>
        <w:pStyle w:val="BodyText"/>
        <w:spacing w:line="264" w:lineRule="auto" w:before="21"/>
        <w:ind w:left="3898" w:right="105"/>
        <w:jc w:val="both"/>
      </w:pPr>
      <w:r>
        <w:rPr/>
        <w:t>灰质。多发性硬化须由核磁共振检查（</w:t>
      </w:r>
      <w:r>
        <w:rPr>
          <w:rFonts w:ascii="Times New Roman" w:eastAsia="Times New Roman"/>
        </w:rPr>
        <w:t>MRI</w:t>
      </w:r>
      <w:r>
        <w:rPr/>
        <w:t>）等影像学检查证实， 经三级医院神经科专科医生明确诊断，并且已经造成永久不可逆的神经系统功能损害。永久不可逆神经系统功能损害指被保险人持续</w:t>
      </w:r>
    </w:p>
    <w:p>
      <w:pPr>
        <w:pStyle w:val="BodyText"/>
        <w:spacing w:before="16"/>
        <w:ind w:left="3898"/>
        <w:jc w:val="both"/>
      </w:pPr>
      <w:r>
        <w:rPr>
          <w:rFonts w:ascii="Times New Roman" w:eastAsia="Times New Roman"/>
        </w:rPr>
        <w:t>180 </w:t>
      </w:r>
      <w:r>
        <w:rPr/>
        <w:t>天无法独立完成下列基本日常生活活动：</w:t>
      </w:r>
    </w:p>
    <w:p>
      <w:pPr>
        <w:pStyle w:val="BodyText"/>
        <w:spacing w:before="21"/>
        <w:ind w:left="3901"/>
        <w:jc w:val="both"/>
      </w:pPr>
      <w:r>
        <w:rPr/>
        <w:t>（</w:t>
      </w:r>
      <w:r>
        <w:rPr>
          <w:rFonts w:ascii="Times New Roman" w:eastAsia="Times New Roman"/>
        </w:rPr>
        <w:t>1</w:t>
      </w:r>
      <w:r>
        <w:rPr/>
        <w:t>）移动：自己从一个房间移动到另一个房间；或者</w:t>
      </w:r>
    </w:p>
    <w:p>
      <w:pPr>
        <w:pStyle w:val="BodyText"/>
        <w:spacing w:before="21"/>
        <w:ind w:left="3901"/>
        <w:jc w:val="both"/>
      </w:pPr>
      <w:r>
        <w:rPr/>
        <w:t>（</w:t>
      </w:r>
      <w:r>
        <w:rPr>
          <w:rFonts w:ascii="Times New Roman" w:eastAsia="Times New Roman"/>
        </w:rPr>
        <w:t>2</w:t>
      </w:r>
      <w:r>
        <w:rPr/>
        <w:t>）进食：自己从已准备好的碗或碟中取食物放入口中。</w:t>
      </w:r>
    </w:p>
    <w:p>
      <w:pPr>
        <w:pStyle w:val="ListParagraph"/>
        <w:numPr>
          <w:ilvl w:val="0"/>
          <w:numId w:val="8"/>
        </w:numPr>
        <w:tabs>
          <w:tab w:pos="539" w:val="left" w:leader="none"/>
          <w:tab w:pos="3898" w:val="left" w:leader="none"/>
        </w:tabs>
        <w:spacing w:line="240" w:lineRule="auto" w:before="21" w:after="0"/>
        <w:ind w:left="538" w:right="0" w:hanging="421"/>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被保险人在其常规职业</w:t>
      </w:r>
      <w:r>
        <w:rPr>
          <w:spacing w:val="-3"/>
          <w:sz w:val="21"/>
        </w:rPr>
        <w:t>工</w:t>
      </w:r>
      <w:r>
        <w:rPr>
          <w:sz w:val="21"/>
        </w:rPr>
        <w:t>作过程中遭遇外伤，或</w:t>
      </w:r>
      <w:r>
        <w:rPr>
          <w:spacing w:val="-3"/>
          <w:sz w:val="21"/>
        </w:rPr>
        <w:t>者</w:t>
      </w:r>
      <w:r>
        <w:rPr>
          <w:sz w:val="21"/>
        </w:rPr>
        <w:t>职业需要处理血</w:t>
      </w:r>
    </w:p>
    <w:p>
      <w:pPr>
        <w:pStyle w:val="BodyText"/>
        <w:spacing w:line="256" w:lineRule="auto" w:before="21"/>
        <w:ind w:left="3898" w:right="1441"/>
      </w:pPr>
      <w:r>
        <w:rPr>
          <w:spacing w:val="-3"/>
          <w:w w:val="100"/>
        </w:rPr>
        <w:t>液或者其他体液时感染上人类免疫缺陷病毒（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rPr>
        <w:t>理赔必须符合下列所有条件：</w:t>
      </w:r>
    </w:p>
    <w:p>
      <w:pPr>
        <w:pStyle w:val="BodyText"/>
        <w:spacing w:line="256" w:lineRule="auto" w:before="23" w:after="27"/>
        <w:ind w:left="3898" w:right="30"/>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6"/>
      </w:tblGrid>
      <w:tr>
        <w:trPr>
          <w:trHeight w:val="311" w:hRule="atLeast"/>
        </w:trPr>
        <w:tc>
          <w:tcPr>
            <w:tcW w:w="2727" w:type="dxa"/>
            <w:tcBorders>
              <w:bottom w:val="single" w:sz="6" w:space="0" w:color="000000"/>
              <w:right w:val="single" w:sz="6" w:space="0" w:color="000000"/>
            </w:tcBorders>
          </w:tcPr>
          <w:p>
            <w:pPr>
              <w:pStyle w:val="TableParagraph"/>
              <w:spacing w:line="270" w:lineRule="exact"/>
              <w:ind w:left="69"/>
              <w:rPr>
                <w:sz w:val="21"/>
              </w:rPr>
            </w:pPr>
            <w:r>
              <w:rPr>
                <w:sz w:val="21"/>
              </w:rPr>
              <w:t>医生和牙科医生</w:t>
            </w:r>
          </w:p>
        </w:tc>
        <w:tc>
          <w:tcPr>
            <w:tcW w:w="2836" w:type="dxa"/>
            <w:tcBorders>
              <w:left w:val="single" w:sz="6" w:space="0" w:color="000000"/>
              <w:bottom w:val="single" w:sz="6" w:space="0" w:color="000000"/>
            </w:tcBorders>
          </w:tcPr>
          <w:p>
            <w:pPr>
              <w:pStyle w:val="TableParagraph"/>
              <w:spacing w:line="270" w:lineRule="exact"/>
              <w:ind w:left="64"/>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实验室工作人员</w:t>
            </w:r>
          </w:p>
        </w:tc>
        <w:tc>
          <w:tcPr>
            <w:tcW w:w="2836"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医生助理和牙医助理</w:t>
            </w:r>
          </w:p>
        </w:tc>
        <w:tc>
          <w:tcPr>
            <w:tcW w:w="2836"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救护车工作人员</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73" w:lineRule="exact"/>
              <w:ind w:left="69"/>
              <w:rPr>
                <w:sz w:val="21"/>
              </w:rPr>
            </w:pPr>
            <w:r>
              <w:rPr>
                <w:sz w:val="21"/>
              </w:rPr>
              <w:t>助产士</w:t>
            </w:r>
          </w:p>
        </w:tc>
        <w:tc>
          <w:tcPr>
            <w:tcW w:w="2836" w:type="dxa"/>
            <w:tcBorders>
              <w:top w:val="single" w:sz="6" w:space="0" w:color="000000"/>
              <w:left w:val="single" w:sz="6" w:space="0" w:color="000000"/>
              <w:bottom w:val="single" w:sz="6" w:space="0" w:color="000000"/>
            </w:tcBorders>
          </w:tcPr>
          <w:p>
            <w:pPr>
              <w:pStyle w:val="TableParagraph"/>
              <w:spacing w:line="273" w:lineRule="exact"/>
              <w:ind w:left="64"/>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70" w:lineRule="exact"/>
              <w:ind w:left="69"/>
              <w:rPr>
                <w:sz w:val="21"/>
              </w:rPr>
            </w:pPr>
            <w:r>
              <w:rPr>
                <w:sz w:val="21"/>
              </w:rPr>
              <w:t>警察</w:t>
            </w:r>
          </w:p>
        </w:tc>
        <w:tc>
          <w:tcPr>
            <w:tcW w:w="2836" w:type="dxa"/>
            <w:tcBorders>
              <w:top w:val="single" w:sz="6" w:space="0" w:color="000000"/>
              <w:left w:val="single" w:sz="6" w:space="0" w:color="000000"/>
            </w:tcBorders>
          </w:tcPr>
          <w:p>
            <w:pPr>
              <w:pStyle w:val="TableParagraph"/>
              <w:spacing w:line="270" w:lineRule="exact"/>
              <w:ind w:left="64"/>
              <w:rPr>
                <w:sz w:val="21"/>
              </w:rPr>
            </w:pPr>
            <w:r>
              <w:rPr>
                <w:sz w:val="21"/>
              </w:rPr>
              <w:t>狱警</w:t>
            </w:r>
          </w:p>
        </w:tc>
      </w:tr>
    </w:tbl>
    <w:p>
      <w:pPr>
        <w:pStyle w:val="BodyText"/>
        <w:spacing w:line="256" w:lineRule="auto"/>
        <w:ind w:left="3898" w:right="102"/>
        <w:jc w:val="both"/>
      </w:pPr>
      <w:r>
        <w:rPr>
          <w:spacing w:val="-27"/>
        </w:rPr>
        <w:t>（</w:t>
      </w:r>
      <w:r>
        <w:rPr>
          <w:rFonts w:ascii="Times New Roman" w:eastAsia="Times New Roman"/>
          <w:spacing w:val="-27"/>
        </w:rPr>
        <w:t>2</w:t>
      </w:r>
      <w:r>
        <w:rPr>
          <w:spacing w:val="-27"/>
        </w:rPr>
        <w:t>）</w:t>
      </w:r>
      <w:r>
        <w:rPr>
          <w:spacing w:val="-5"/>
        </w:rPr>
        <w:t>必须提供被保险人在所报事故发生后的 </w:t>
      </w:r>
      <w:r>
        <w:rPr>
          <w:rFonts w:ascii="Times New Roman" w:eastAsia="Times New Roman"/>
        </w:rPr>
        <w:t>5 </w:t>
      </w:r>
      <w:r>
        <w:rPr>
          <w:spacing w:val="-3"/>
        </w:rPr>
        <w:t>天以内进行的检查报</w:t>
      </w:r>
      <w:r>
        <w:rPr>
          <w:spacing w:val="-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17"/>
        </w:rPr>
        <w:t>或 </w:t>
      </w:r>
      <w:r>
        <w:rPr>
          <w:rFonts w:ascii="Times New Roman" w:eastAsia="Times New Roman"/>
        </w:rPr>
        <w:t>HIV </w:t>
      </w:r>
      <w:r>
        <w:rPr/>
        <w:t>抗体阴性；</w:t>
      </w:r>
    </w:p>
    <w:p>
      <w:pPr>
        <w:pStyle w:val="BodyText"/>
        <w:spacing w:line="256" w:lineRule="auto" w:before="22"/>
        <w:ind w:left="3898" w:right="53"/>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4"/>
        <w:ind w:left="3898" w:right="128"/>
      </w:pPr>
      <w:r>
        <w:rPr/>
        <w:t>我们承担本项疾病责任不受本附加合同第八条“责任免除”中“被保险人感染艾滋病病毒或患艾滋病”的限制。</w:t>
      </w:r>
    </w:p>
    <w:p>
      <w:pPr>
        <w:pStyle w:val="ListParagraph"/>
        <w:numPr>
          <w:ilvl w:val="0"/>
          <w:numId w:val="8"/>
        </w:numPr>
        <w:tabs>
          <w:tab w:pos="539" w:val="left" w:leader="none"/>
          <w:tab w:pos="3898" w:val="left" w:leader="none"/>
        </w:tabs>
        <w:spacing w:line="240" w:lineRule="auto" w:before="7" w:after="0"/>
        <w:ind w:left="538" w:right="0" w:hanging="421"/>
        <w:jc w:val="left"/>
        <w:rPr>
          <w:sz w:val="21"/>
        </w:rPr>
      </w:pPr>
      <w:r>
        <w:rPr>
          <w:sz w:val="21"/>
        </w:rPr>
        <w:t>特发</w:t>
      </w:r>
      <w:r>
        <w:rPr>
          <w:spacing w:val="-3"/>
          <w:sz w:val="21"/>
        </w:rPr>
        <w:t>性</w:t>
      </w:r>
      <w:r>
        <w:rPr>
          <w:sz w:val="21"/>
        </w:rPr>
        <w:t>慢</w:t>
      </w:r>
      <w:r>
        <w:rPr>
          <w:spacing w:val="-3"/>
          <w:sz w:val="21"/>
        </w:rPr>
        <w:t>性</w:t>
      </w:r>
      <w:r>
        <w:rPr>
          <w:sz w:val="21"/>
        </w:rPr>
        <w:t>肾</w:t>
      </w:r>
      <w:r>
        <w:rPr>
          <w:spacing w:val="-3"/>
          <w:sz w:val="21"/>
        </w:rPr>
        <w:t>上</w:t>
      </w:r>
      <w:r>
        <w:rPr>
          <w:sz w:val="21"/>
        </w:rPr>
        <w:t>腺</w:t>
      </w:r>
      <w:r>
        <w:rPr>
          <w:spacing w:val="-3"/>
          <w:sz w:val="21"/>
        </w:rPr>
        <w:t>皮</w:t>
      </w:r>
      <w:r>
        <w:rPr>
          <w:sz w:val="21"/>
        </w:rPr>
        <w:t>质</w:t>
      </w:r>
      <w:r>
        <w:rPr>
          <w:spacing w:val="-3"/>
          <w:sz w:val="21"/>
        </w:rPr>
        <w:t>功</w:t>
      </w:r>
      <w:r>
        <w:rPr>
          <w:sz w:val="21"/>
        </w:rPr>
        <w:t>能</w:t>
      </w:r>
      <w:r>
        <w:rPr>
          <w:spacing w:val="-3"/>
          <w:sz w:val="21"/>
        </w:rPr>
        <w:t>减</w:t>
      </w:r>
      <w:r>
        <w:rPr>
          <w:sz w:val="21"/>
        </w:rPr>
        <w:t>退</w:t>
        <w:tab/>
        <w:t>指自身免疫性肾上腺炎</w:t>
      </w:r>
      <w:r>
        <w:rPr>
          <w:spacing w:val="-3"/>
          <w:sz w:val="21"/>
        </w:rPr>
        <w:t>（</w:t>
      </w:r>
      <w:r>
        <w:rPr>
          <w:sz w:val="21"/>
        </w:rPr>
        <w:t>既往称：特发性肾上腺</w:t>
      </w:r>
      <w:r>
        <w:rPr>
          <w:spacing w:val="-3"/>
          <w:sz w:val="21"/>
        </w:rPr>
        <w:t>皮</w:t>
      </w:r>
      <w:r>
        <w:rPr>
          <w:sz w:val="21"/>
        </w:rPr>
        <w:t>质萎缩）导致肾</w:t>
      </w:r>
    </w:p>
    <w:p>
      <w:pPr>
        <w:pStyle w:val="BodyText"/>
        <w:spacing w:before="21"/>
        <w:ind w:left="3898"/>
        <w:jc w:val="both"/>
      </w:pPr>
      <w:r>
        <w:rPr/>
        <w:t>上腺萎缩和慢性肾上腺皮质功能减退。必须满足所有以下条件：</w:t>
      </w:r>
    </w:p>
    <w:p>
      <w:pPr>
        <w:pStyle w:val="BodyText"/>
        <w:spacing w:before="37"/>
        <w:ind w:left="3898"/>
        <w:jc w:val="both"/>
      </w:pPr>
      <w:r>
        <w:rPr/>
        <w:t>（</w:t>
      </w:r>
      <w:r>
        <w:rPr>
          <w:rFonts w:ascii="Times New Roman" w:eastAsia="Times New Roman"/>
        </w:rPr>
        <w:t>1</w:t>
      </w:r>
      <w:r>
        <w:rPr/>
        <w:t>）明确诊断，符合所有以下诊断标准；</w:t>
      </w:r>
    </w:p>
    <w:p>
      <w:pPr>
        <w:pStyle w:val="BodyText"/>
        <w:spacing w:before="21"/>
        <w:ind w:left="4424"/>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1"/>
        <w:ind w:left="3898" w:right="106" w:firstLine="525"/>
        <w:jc w:val="both"/>
      </w:pPr>
      <w:r>
        <w:rPr>
          <w:spacing w:val="-7"/>
        </w:rPr>
        <w:t>② 血浆和尿游离皮质醇及尿 </w:t>
      </w:r>
      <w:r>
        <w:rPr/>
        <w:t>17</w:t>
      </w:r>
      <w:r>
        <w:rPr>
          <w:spacing w:val="-9"/>
        </w:rPr>
        <w:t> 羟皮质类固醇、</w:t>
      </w:r>
      <w:r>
        <w:rPr/>
        <w:t>17</w:t>
      </w:r>
      <w:r>
        <w:rPr>
          <w:spacing w:val="-12"/>
        </w:rPr>
        <w:t> 酮皮质类</w:t>
      </w:r>
      <w:r>
        <w:rPr>
          <w:spacing w:val="-8"/>
        </w:rPr>
        <w:t>固醇测定、血浆肾素活性、血管紧张素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9" w:lineRule="auto" w:before="16"/>
        <w:ind w:left="3898" w:right="253" w:firstLine="525"/>
      </w:pPr>
      <w:r>
        <w:rPr/>
        <w:t>③ 促肾上腺皮质激素</w:t>
      </w:r>
      <w:r>
        <w:rPr>
          <w:rFonts w:ascii="Times New Roman" w:hAnsi="Times New Roman" w:eastAsia="Times New Roman"/>
        </w:rPr>
        <w:t>(ACTH)</w:t>
      </w:r>
      <w:r>
        <w:rPr/>
        <w:t>刺激试验显示为原发性肾上腺皮质功能减退症。</w:t>
      </w:r>
    </w:p>
    <w:p>
      <w:pPr>
        <w:pStyle w:val="BodyText"/>
        <w:spacing w:before="20"/>
        <w:ind w:left="3898"/>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3898" w:right="55"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ListParagraph"/>
        <w:numPr>
          <w:ilvl w:val="0"/>
          <w:numId w:val="8"/>
        </w:numPr>
        <w:tabs>
          <w:tab w:pos="539" w:val="left" w:leader="none"/>
          <w:tab w:pos="3898" w:val="left" w:leader="none"/>
        </w:tabs>
        <w:spacing w:line="240" w:lineRule="auto" w:before="22" w:after="0"/>
        <w:ind w:left="538" w:right="0" w:hanging="421"/>
        <w:jc w:val="left"/>
        <w:rPr>
          <w:sz w:val="21"/>
        </w:rPr>
      </w:pPr>
      <w:r>
        <w:rPr>
          <w:sz w:val="21"/>
        </w:rPr>
        <w:t>严重</w:t>
      </w:r>
      <w:r>
        <w:rPr>
          <w:spacing w:val="-3"/>
          <w:sz w:val="21"/>
        </w:rPr>
        <w:t>冠</w:t>
      </w:r>
      <w:r>
        <w:rPr>
          <w:sz w:val="21"/>
        </w:rPr>
        <w:t>状</w:t>
      </w:r>
      <w:r>
        <w:rPr>
          <w:spacing w:val="-3"/>
          <w:sz w:val="21"/>
        </w:rPr>
        <w:t>动</w:t>
      </w:r>
      <w:r>
        <w:rPr>
          <w:sz w:val="21"/>
        </w:rPr>
        <w:t>脉</w:t>
      </w:r>
      <w:r>
        <w:rPr>
          <w:spacing w:val="-3"/>
          <w:sz w:val="21"/>
        </w:rPr>
        <w:t>粥</w:t>
      </w:r>
      <w:r>
        <w:rPr>
          <w:sz w:val="21"/>
        </w:rPr>
        <w:t>样</w:t>
      </w:r>
      <w:r>
        <w:rPr>
          <w:spacing w:val="-3"/>
          <w:sz w:val="21"/>
        </w:rPr>
        <w:t>硬</w:t>
      </w:r>
      <w:r>
        <w:rPr>
          <w:sz w:val="21"/>
        </w:rPr>
        <w:t>化</w:t>
      </w:r>
      <w:r>
        <w:rPr>
          <w:spacing w:val="-3"/>
          <w:sz w:val="21"/>
        </w:rPr>
        <w:t>性</w:t>
      </w:r>
      <w:r>
        <w:rPr>
          <w:sz w:val="21"/>
        </w:rPr>
        <w:t>心</w:t>
      </w:r>
      <w:r>
        <w:rPr>
          <w:spacing w:val="-3"/>
          <w:sz w:val="21"/>
        </w:rPr>
        <w:t>脏</w:t>
      </w:r>
      <w:r>
        <w:rPr>
          <w:sz w:val="21"/>
        </w:rPr>
        <w:t>病</w:t>
        <w:tab/>
        <w:t>指经心脏科专科医师根</w:t>
      </w:r>
      <w:r>
        <w:rPr>
          <w:spacing w:val="-3"/>
          <w:sz w:val="21"/>
        </w:rPr>
        <w:t>据</w:t>
      </w:r>
      <w:r>
        <w:rPr>
          <w:sz w:val="21"/>
        </w:rPr>
        <w:t>冠状动脉造影检查结果</w:t>
      </w:r>
      <w:r>
        <w:rPr>
          <w:spacing w:val="-3"/>
          <w:sz w:val="21"/>
        </w:rPr>
        <w:t>确</w:t>
      </w:r>
      <w:r>
        <w:rPr>
          <w:sz w:val="21"/>
        </w:rPr>
        <w:t>诊为主要血管严</w:t>
      </w:r>
    </w:p>
    <w:p>
      <w:pPr>
        <w:pStyle w:val="BodyText"/>
        <w:spacing w:before="20"/>
        <w:ind w:left="3898"/>
      </w:pPr>
      <w:r>
        <w:rPr/>
        <w:t>重狭窄性病变，须满足下列至少一项条件：</w:t>
      </w:r>
    </w:p>
    <w:p>
      <w:pPr>
        <w:pStyle w:val="BodyText"/>
        <w:spacing w:line="256" w:lineRule="auto" w:before="36"/>
        <w:ind w:left="3898" w:right="209"/>
      </w:pPr>
      <w:r>
        <w:rPr>
          <w:w w:val="100"/>
        </w:rPr>
        <w:t>（</w:t>
      </w:r>
      <w:r>
        <w:rPr>
          <w:rFonts w:ascii="Times New Roman" w:eastAsia="Times New Roman"/>
          <w:w w:val="100"/>
        </w:rPr>
        <w:t>1</w:t>
      </w:r>
      <w:r>
        <w:rPr>
          <w:spacing w:val="-94"/>
          <w:w w:val="100"/>
        </w:rPr>
        <w:t>）</w:t>
      </w:r>
      <w:r>
        <w:rPr>
          <w:spacing w:val="-10"/>
          <w:w w:val="100"/>
        </w:rPr>
        <w:t>左冠状动脉主干和右冠状动脉中，一支血管管腔堵塞</w:t>
      </w:r>
      <w:r>
        <w:rPr>
          <w:rFonts w:ascii="Times New Roman" w:eastAsia="Times New Roman"/>
          <w:w w:val="100"/>
        </w:rPr>
        <w:t>7</w:t>
      </w:r>
      <w:r>
        <w:rPr>
          <w:rFonts w:ascii="Times New Roman" w:eastAsia="Times New Roman"/>
          <w:spacing w:val="-3"/>
          <w:w w:val="100"/>
        </w:rPr>
        <w:t>5</w:t>
      </w:r>
      <w:r>
        <w:rPr>
          <w:spacing w:val="-2"/>
          <w:w w:val="100"/>
        </w:rPr>
        <w:t>％以上</w:t>
      </w:r>
      <w:r>
        <w:rPr>
          <w:spacing w:val="-3"/>
        </w:rPr>
        <w:t>另一支血管管腔堵塞</w:t>
      </w:r>
      <w:r>
        <w:rPr>
          <w:rFonts w:ascii="Times New Roman" w:eastAsia="Times New Roman"/>
        </w:rPr>
        <w:t>60</w:t>
      </w:r>
      <w:r>
        <w:rPr/>
        <w:t>％以上；</w:t>
      </w:r>
    </w:p>
    <w:p>
      <w:pPr>
        <w:pStyle w:val="BodyText"/>
        <w:spacing w:line="256" w:lineRule="auto" w:before="4"/>
        <w:ind w:left="3898" w:right="51"/>
      </w:pPr>
      <w:r>
        <w:rPr/>
        <w:t>（</w:t>
      </w:r>
      <w:r>
        <w:rPr>
          <w:rFonts w:ascii="Times New Roman" w:eastAsia="Times New Roman"/>
        </w:rPr>
        <w:t>2</w:t>
      </w:r>
      <w:r>
        <w:rPr/>
        <w:t>）前降支、回旋支和右冠状动脉中，至少一支血管管腔堵塞</w:t>
      </w:r>
      <w:r>
        <w:rPr>
          <w:rFonts w:ascii="Times New Roman" w:eastAsia="Times New Roman"/>
        </w:rPr>
        <w:t>75% </w:t>
      </w:r>
      <w:r>
        <w:rPr/>
        <w:t>以上，其他两支血管管腔堵塞</w:t>
      </w:r>
      <w:r>
        <w:rPr>
          <w:rFonts w:ascii="Times New Roman" w:eastAsia="Times New Roman"/>
        </w:rPr>
        <w:t>60%</w:t>
      </w:r>
      <w:r>
        <w:rPr/>
        <w:t>以上。</w:t>
      </w:r>
    </w:p>
    <w:p>
      <w:pPr>
        <w:spacing w:after="0" w:line="256" w:lineRule="auto"/>
        <w:sectPr>
          <w:pgSz w:w="11910" w:h="16160"/>
          <w:pgMar w:header="0" w:footer="631" w:top="1360" w:bottom="82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28"/>
        <w:gridCol w:w="6533"/>
      </w:tblGrid>
      <w:tr>
        <w:trPr>
          <w:trHeight w:val="569" w:hRule="atLeast"/>
        </w:trPr>
        <w:tc>
          <w:tcPr>
            <w:tcW w:w="542" w:type="dxa"/>
          </w:tcPr>
          <w:p>
            <w:pPr>
              <w:pStyle w:val="TableParagraph"/>
              <w:rPr>
                <w:rFonts w:ascii="Times New Roman"/>
                <w:sz w:val="20"/>
              </w:rPr>
            </w:pPr>
          </w:p>
        </w:tc>
        <w:tc>
          <w:tcPr>
            <w:tcW w:w="3228" w:type="dxa"/>
          </w:tcPr>
          <w:p>
            <w:pPr>
              <w:pStyle w:val="TableParagraph"/>
              <w:rPr>
                <w:rFonts w:ascii="Times New Roman"/>
                <w:sz w:val="20"/>
              </w:rPr>
            </w:pPr>
          </w:p>
        </w:tc>
        <w:tc>
          <w:tcPr>
            <w:tcW w:w="6533" w:type="dxa"/>
          </w:tcPr>
          <w:p>
            <w:pPr>
              <w:pStyle w:val="TableParagraph"/>
              <w:spacing w:line="202" w:lineRule="exact"/>
              <w:ind w:left="211"/>
              <w:rPr>
                <w:sz w:val="21"/>
              </w:rPr>
            </w:pPr>
            <w:r>
              <w:rPr>
                <w:sz w:val="21"/>
              </w:rPr>
              <w:t>前降支的分支血管、左旋支的分支血管及右冠状动脉的分支血管的</w:t>
            </w:r>
          </w:p>
          <w:p>
            <w:pPr>
              <w:pStyle w:val="TableParagraph"/>
              <w:spacing w:before="37"/>
              <w:ind w:left="211"/>
              <w:rPr>
                <w:sz w:val="21"/>
              </w:rPr>
            </w:pPr>
            <w:r>
              <w:rPr>
                <w:sz w:val="21"/>
              </w:rPr>
              <w:t>狭窄不作为本保障的衡量指标。</w:t>
            </w:r>
          </w:p>
        </w:tc>
      </w:tr>
      <w:tr>
        <w:trPr>
          <w:trHeight w:val="1871" w:hRule="atLeast"/>
        </w:trPr>
        <w:tc>
          <w:tcPr>
            <w:tcW w:w="542" w:type="dxa"/>
          </w:tcPr>
          <w:p>
            <w:pPr>
              <w:pStyle w:val="TableParagraph"/>
              <w:spacing w:before="29"/>
              <w:ind w:right="77"/>
              <w:jc w:val="right"/>
              <w:rPr>
                <w:rFonts w:ascii="Times New Roman"/>
                <w:sz w:val="21"/>
              </w:rPr>
            </w:pPr>
            <w:r>
              <w:rPr>
                <w:rFonts w:ascii="Times New Roman"/>
                <w:sz w:val="21"/>
              </w:rPr>
              <w:t>30.</w:t>
            </w:r>
          </w:p>
        </w:tc>
        <w:tc>
          <w:tcPr>
            <w:tcW w:w="3228" w:type="dxa"/>
          </w:tcPr>
          <w:p>
            <w:pPr>
              <w:pStyle w:val="TableParagraph"/>
              <w:spacing w:line="257" w:lineRule="exact"/>
              <w:ind w:left="78"/>
              <w:rPr>
                <w:sz w:val="21"/>
              </w:rPr>
            </w:pPr>
            <w:r>
              <w:rPr>
                <w:sz w:val="21"/>
              </w:rPr>
              <w:t>脊髓灰质炎</w:t>
            </w:r>
          </w:p>
        </w:tc>
        <w:tc>
          <w:tcPr>
            <w:tcW w:w="6533" w:type="dxa"/>
          </w:tcPr>
          <w:p>
            <w:pPr>
              <w:pStyle w:val="TableParagraph"/>
              <w:spacing w:line="257" w:lineRule="exact"/>
              <w:ind w:left="211"/>
              <w:rPr>
                <w:sz w:val="21"/>
              </w:rPr>
            </w:pPr>
            <w:r>
              <w:rPr>
                <w:sz w:val="21"/>
              </w:rPr>
              <w:t>指由于脊髓灰质炎病毒感染所致的瘫痪性疾病，临床表现为运动功</w:t>
            </w:r>
          </w:p>
          <w:p>
            <w:pPr>
              <w:pStyle w:val="TableParagraph"/>
              <w:spacing w:line="268" w:lineRule="auto" w:before="37"/>
              <w:ind w:left="211" w:right="198"/>
              <w:jc w:val="both"/>
              <w:rPr>
                <w:sz w:val="21"/>
              </w:rPr>
            </w:pPr>
            <w:r>
              <w:rPr>
                <w:spacing w:val="-1"/>
                <w:sz w:val="21"/>
              </w:rPr>
              <w:t>能损害或呼吸无力。脊髓灰质炎必须明确诊断。本附加合同仅对脊</w:t>
            </w:r>
            <w:r>
              <w:rPr>
                <w:spacing w:val="-3"/>
                <w:sz w:val="21"/>
              </w:rPr>
              <w:t>髓灰质炎造成的神经系统功能损害导致被保险人一肢或一肢以上肢体机能永久完全丧失的情况予以理赔。肢体机能永久完全丧失，指疾病确诊</w:t>
            </w:r>
            <w:r>
              <w:rPr>
                <w:rFonts w:ascii="Times New Roman" w:eastAsia="Times New Roman"/>
                <w:sz w:val="21"/>
              </w:rPr>
              <w:t>180</w:t>
            </w:r>
            <w:r>
              <w:rPr>
                <w:spacing w:val="-10"/>
                <w:sz w:val="21"/>
              </w:rPr>
              <w:t>天后，每肢三大关节中的两大关节仍然完全僵硬，或不</w:t>
            </w:r>
            <w:r>
              <w:rPr>
                <w:spacing w:val="-5"/>
                <w:sz w:val="21"/>
              </w:rPr>
              <w:t>能随意识活动。</w:t>
            </w:r>
          </w:p>
        </w:tc>
      </w:tr>
      <w:tr>
        <w:trPr>
          <w:trHeight w:val="4368" w:hRule="atLeast"/>
        </w:trPr>
        <w:tc>
          <w:tcPr>
            <w:tcW w:w="542" w:type="dxa"/>
          </w:tcPr>
          <w:p>
            <w:pPr>
              <w:pStyle w:val="TableParagraph"/>
              <w:spacing w:before="29"/>
              <w:ind w:right="77"/>
              <w:jc w:val="right"/>
              <w:rPr>
                <w:rFonts w:ascii="Times New Roman"/>
                <w:sz w:val="21"/>
              </w:rPr>
            </w:pPr>
            <w:r>
              <w:rPr>
                <w:rFonts w:ascii="Times New Roman"/>
                <w:sz w:val="21"/>
              </w:rPr>
              <w:t>31.</w:t>
            </w:r>
          </w:p>
        </w:tc>
        <w:tc>
          <w:tcPr>
            <w:tcW w:w="3228" w:type="dxa"/>
          </w:tcPr>
          <w:p>
            <w:pPr>
              <w:pStyle w:val="TableParagraph"/>
              <w:spacing w:line="257" w:lineRule="exact"/>
              <w:ind w:left="78"/>
              <w:rPr>
                <w:sz w:val="21"/>
              </w:rPr>
            </w:pPr>
            <w:r>
              <w:rPr>
                <w:sz w:val="21"/>
              </w:rPr>
              <w:t>全身性（型）重症肌无力</w:t>
            </w:r>
          </w:p>
        </w:tc>
        <w:tc>
          <w:tcPr>
            <w:tcW w:w="6533" w:type="dxa"/>
          </w:tcPr>
          <w:p>
            <w:pPr>
              <w:pStyle w:val="TableParagraph"/>
              <w:spacing w:line="257" w:lineRule="exact"/>
              <w:ind w:left="211"/>
              <w:rPr>
                <w:sz w:val="21"/>
              </w:rPr>
            </w:pPr>
            <w:r>
              <w:rPr>
                <w:sz w:val="21"/>
              </w:rPr>
              <w:t>指一种神经与肌肉接头部位传递障碍的自身免疫性疾病，临床特征</w:t>
            </w:r>
          </w:p>
          <w:p>
            <w:pPr>
              <w:pStyle w:val="TableParagraph"/>
              <w:spacing w:line="273" w:lineRule="auto" w:before="37"/>
              <w:ind w:left="211" w:right="199"/>
              <w:jc w:val="both"/>
              <w:rPr>
                <w:sz w:val="21"/>
              </w:rPr>
            </w:pPr>
            <w:r>
              <w:rPr>
                <w:sz w:val="21"/>
              </w:rPr>
              <w:t>是局部或全身横纹肌于活动时易于疲劳无力，颅神经眼外肌最易累及，也可涉及呼吸肌、下肢近端肌群乃至全身肌肉。其诊断必须同时满足下列全部条件：</w:t>
            </w:r>
          </w:p>
          <w:p>
            <w:pPr>
              <w:pStyle w:val="TableParagraph"/>
              <w:spacing w:line="256" w:lineRule="auto" w:before="7"/>
              <w:ind w:left="211" w:right="196"/>
              <w:jc w:val="both"/>
              <w:rPr>
                <w:sz w:val="21"/>
              </w:rPr>
            </w:pPr>
            <w:r>
              <w:rPr>
                <w:spacing w:val="-10"/>
                <w:sz w:val="21"/>
              </w:rPr>
              <w:t>（</w:t>
            </w:r>
            <w:r>
              <w:rPr>
                <w:rFonts w:ascii="Times New Roman" w:eastAsia="Times New Roman"/>
                <w:spacing w:val="-10"/>
                <w:sz w:val="21"/>
              </w:rPr>
              <w:t>1</w:t>
            </w:r>
            <w:r>
              <w:rPr>
                <w:spacing w:val="-10"/>
                <w:sz w:val="21"/>
              </w:rPr>
              <w:t>）</w:t>
            </w:r>
            <w:r>
              <w:rPr>
                <w:spacing w:val="-8"/>
                <w:sz w:val="21"/>
              </w:rPr>
              <w:t>经药物、胸腺手术治疗一年以上无法控制病情，丧失正常工作</w:t>
            </w:r>
            <w:r>
              <w:rPr>
                <w:spacing w:val="-1"/>
                <w:sz w:val="21"/>
              </w:rPr>
              <w:t>能力</w:t>
            </w:r>
            <w:r>
              <w:rPr>
                <w:spacing w:val="-3"/>
                <w:sz w:val="21"/>
              </w:rPr>
              <w:t>（为维持生命必要的日常生活活动，全需他人扶助</w:t>
            </w:r>
            <w:r>
              <w:rPr>
                <w:sz w:val="21"/>
              </w:rPr>
              <w:t>）（</w:t>
            </w:r>
            <w:r>
              <w:rPr>
                <w:spacing w:val="-3"/>
                <w:sz w:val="21"/>
              </w:rPr>
              <w:t>注</w:t>
            </w:r>
            <w:r>
              <w:rPr>
                <w:sz w:val="21"/>
              </w:rPr>
              <w:t>）；</w:t>
            </w:r>
          </w:p>
          <w:p>
            <w:pPr>
              <w:pStyle w:val="TableParagraph"/>
              <w:spacing w:line="264" w:lineRule="auto" w:before="22"/>
              <w:ind w:left="211" w:right="199"/>
              <w:jc w:val="both"/>
              <w:rPr>
                <w:sz w:val="21"/>
              </w:rPr>
            </w:pPr>
            <w:r>
              <w:rPr>
                <w:spacing w:val="-10"/>
                <w:sz w:val="21"/>
              </w:rPr>
              <w:t>（</w:t>
            </w:r>
            <w:r>
              <w:rPr>
                <w:rFonts w:ascii="Times New Roman" w:eastAsia="Times New Roman"/>
                <w:spacing w:val="-10"/>
                <w:sz w:val="21"/>
              </w:rPr>
              <w:t>2</w:t>
            </w:r>
            <w:r>
              <w:rPr>
                <w:spacing w:val="-10"/>
                <w:sz w:val="21"/>
              </w:rPr>
              <w:t>）</w:t>
            </w:r>
            <w:r>
              <w:rPr>
                <w:spacing w:val="-7"/>
                <w:sz w:val="21"/>
              </w:rPr>
              <w:t>出现因延髓肌受累引起的构音困难、进食呛咳；或由于肌无力累及延髓肌、呼吸肌而致机体呼吸功能不正常的危急状态即肌无力危象；</w:t>
            </w:r>
          </w:p>
          <w:p>
            <w:pPr>
              <w:pStyle w:val="TableParagraph"/>
              <w:spacing w:line="256" w:lineRule="auto" w:before="16"/>
              <w:ind w:left="211" w:right="196"/>
              <w:jc w:val="both"/>
              <w:rPr>
                <w:sz w:val="21"/>
              </w:rPr>
            </w:pPr>
            <w:r>
              <w:rPr>
                <w:spacing w:val="-10"/>
                <w:sz w:val="21"/>
              </w:rPr>
              <w:t>（</w:t>
            </w:r>
            <w:r>
              <w:rPr>
                <w:rFonts w:ascii="Times New Roman" w:eastAsia="Times New Roman"/>
                <w:spacing w:val="-10"/>
                <w:sz w:val="21"/>
              </w:rPr>
              <w:t>3</w:t>
            </w:r>
            <w:r>
              <w:rPr>
                <w:spacing w:val="-10"/>
                <w:sz w:val="21"/>
              </w:rPr>
              <w:t>）</w:t>
            </w:r>
            <w:r>
              <w:rPr>
                <w:spacing w:val="-9"/>
                <w:sz w:val="21"/>
              </w:rPr>
              <w:t>症状缓解、复发及恶化交替出现，临床接受新斯的明等抗胆碱</w:t>
            </w:r>
            <w:r>
              <w:rPr>
                <w:spacing w:val="-5"/>
                <w:sz w:val="21"/>
              </w:rPr>
              <w:t>酯酶药物治疗的病史。</w:t>
            </w:r>
          </w:p>
          <w:p>
            <w:pPr>
              <w:pStyle w:val="TableParagraph"/>
              <w:spacing w:line="273" w:lineRule="auto" w:before="22"/>
              <w:ind w:left="211" w:right="200"/>
              <w:rPr>
                <w:sz w:val="21"/>
              </w:rPr>
            </w:pPr>
            <w:r>
              <w:rPr>
                <w:spacing w:val="-10"/>
                <w:sz w:val="21"/>
              </w:rPr>
              <w:t>注：为维持生命必要的日常生活活动，全需他人扶助系指食物摄取</w:t>
            </w:r>
            <w:r>
              <w:rPr>
                <w:spacing w:val="-2"/>
                <w:sz w:val="21"/>
              </w:rPr>
              <w:t>大小便始末、穿脱衣服、起居、步行、入浴等，皆不能自己为之， </w:t>
            </w:r>
            <w:r>
              <w:rPr>
                <w:spacing w:val="-3"/>
                <w:sz w:val="21"/>
              </w:rPr>
              <w:t>需要他人帮助。</w:t>
            </w:r>
          </w:p>
        </w:tc>
      </w:tr>
      <w:tr>
        <w:trPr>
          <w:trHeight w:val="1248" w:hRule="atLeast"/>
        </w:trPr>
        <w:tc>
          <w:tcPr>
            <w:tcW w:w="542" w:type="dxa"/>
          </w:tcPr>
          <w:p>
            <w:pPr>
              <w:pStyle w:val="TableParagraph"/>
              <w:spacing w:before="29"/>
              <w:ind w:right="77"/>
              <w:jc w:val="right"/>
              <w:rPr>
                <w:rFonts w:ascii="Times New Roman"/>
                <w:sz w:val="21"/>
              </w:rPr>
            </w:pPr>
            <w:r>
              <w:rPr>
                <w:rFonts w:ascii="Times New Roman"/>
                <w:sz w:val="21"/>
              </w:rPr>
              <w:t>32.</w:t>
            </w:r>
          </w:p>
        </w:tc>
        <w:tc>
          <w:tcPr>
            <w:tcW w:w="3228" w:type="dxa"/>
          </w:tcPr>
          <w:p>
            <w:pPr>
              <w:pStyle w:val="TableParagraph"/>
              <w:spacing w:line="257" w:lineRule="exact"/>
              <w:ind w:left="78"/>
              <w:rPr>
                <w:sz w:val="21"/>
              </w:rPr>
            </w:pPr>
            <w:r>
              <w:rPr>
                <w:sz w:val="21"/>
              </w:rPr>
              <w:t>严重心肌病</w:t>
            </w:r>
          </w:p>
        </w:tc>
        <w:tc>
          <w:tcPr>
            <w:tcW w:w="6533" w:type="dxa"/>
          </w:tcPr>
          <w:p>
            <w:pPr>
              <w:pStyle w:val="TableParagraph"/>
              <w:spacing w:line="257" w:lineRule="exact"/>
              <w:ind w:left="211"/>
              <w:rPr>
                <w:sz w:val="21"/>
              </w:rPr>
            </w:pPr>
            <w:r>
              <w:rPr>
                <w:sz w:val="21"/>
              </w:rPr>
              <w:t>指被保人因心肌病导致慢性心功能损害造成永久不可逆性的心功能</w:t>
            </w:r>
          </w:p>
          <w:p>
            <w:pPr>
              <w:pStyle w:val="TableParagraph"/>
              <w:spacing w:line="264" w:lineRule="auto" w:before="37"/>
              <w:ind w:left="211" w:right="196"/>
              <w:jc w:val="both"/>
              <w:rPr>
                <w:sz w:val="21"/>
              </w:rPr>
            </w:pPr>
            <w:r>
              <w:rPr>
                <w:spacing w:val="-2"/>
                <w:sz w:val="21"/>
              </w:rPr>
              <w:t>衰竭。心功能衰竭程度达到纽约心脏病学会的心功能分级标准之心功能</w:t>
            </w:r>
            <w:r>
              <w:rPr>
                <w:rFonts w:ascii="Times New Roman" w:eastAsia="Times New Roman"/>
                <w:spacing w:val="-2"/>
                <w:sz w:val="21"/>
              </w:rPr>
              <w:t>IV</w:t>
            </w:r>
            <w:r>
              <w:rPr>
                <w:spacing w:val="-9"/>
                <w:sz w:val="21"/>
              </w:rPr>
              <w:t>级，且心功能衰竭状态持续至少</w:t>
            </w:r>
            <w:r>
              <w:rPr>
                <w:rFonts w:ascii="Times New Roman" w:eastAsia="Times New Roman"/>
                <w:sz w:val="21"/>
              </w:rPr>
              <w:t>180</w:t>
            </w:r>
            <w:r>
              <w:rPr>
                <w:spacing w:val="-8"/>
                <w:sz w:val="21"/>
              </w:rPr>
              <w:t>天。被保险人永久不可逆</w:t>
            </w:r>
            <w:r>
              <w:rPr>
                <w:spacing w:val="-5"/>
                <w:sz w:val="21"/>
              </w:rPr>
              <w:t>性的体力活动能力受限，不能从事任何体力活动。</w:t>
            </w:r>
          </w:p>
        </w:tc>
      </w:tr>
      <w:tr>
        <w:trPr>
          <w:trHeight w:val="936" w:hRule="atLeast"/>
        </w:trPr>
        <w:tc>
          <w:tcPr>
            <w:tcW w:w="542" w:type="dxa"/>
          </w:tcPr>
          <w:p>
            <w:pPr>
              <w:pStyle w:val="TableParagraph"/>
              <w:spacing w:before="29"/>
              <w:ind w:right="77"/>
              <w:jc w:val="right"/>
              <w:rPr>
                <w:rFonts w:ascii="Times New Roman"/>
                <w:sz w:val="21"/>
              </w:rPr>
            </w:pPr>
            <w:r>
              <w:rPr>
                <w:rFonts w:ascii="Times New Roman"/>
                <w:sz w:val="21"/>
              </w:rPr>
              <w:t>33.</w:t>
            </w:r>
          </w:p>
        </w:tc>
        <w:tc>
          <w:tcPr>
            <w:tcW w:w="3228" w:type="dxa"/>
          </w:tcPr>
          <w:p>
            <w:pPr>
              <w:pStyle w:val="TableParagraph"/>
              <w:spacing w:line="273" w:lineRule="exact"/>
              <w:ind w:left="78"/>
              <w:rPr>
                <w:sz w:val="21"/>
              </w:rPr>
            </w:pPr>
            <w:r>
              <w:rPr>
                <w:sz w:val="21"/>
              </w:rPr>
              <w:t>严重克罗恩病（</w:t>
            </w:r>
            <w:r>
              <w:rPr>
                <w:rFonts w:ascii="Times New Roman" w:hAnsi="Times New Roman" w:eastAsia="Times New Roman"/>
                <w:sz w:val="21"/>
              </w:rPr>
              <w:t>Crohn’s </w:t>
            </w:r>
            <w:r>
              <w:rPr>
                <w:sz w:val="21"/>
              </w:rPr>
              <w:t>病）</w:t>
            </w:r>
          </w:p>
        </w:tc>
        <w:tc>
          <w:tcPr>
            <w:tcW w:w="6533" w:type="dxa"/>
          </w:tcPr>
          <w:p>
            <w:pPr>
              <w:pStyle w:val="TableParagraph"/>
              <w:spacing w:line="257" w:lineRule="exact"/>
              <w:ind w:left="211"/>
              <w:rPr>
                <w:sz w:val="21"/>
              </w:rPr>
            </w:pPr>
            <w:r>
              <w:rPr>
                <w:sz w:val="21"/>
              </w:rPr>
              <w:t>克罗恩病是一种慢性肉芽肿性肠炎，具有特征性的克罗恩病病理组</w:t>
            </w:r>
          </w:p>
          <w:p>
            <w:pPr>
              <w:pStyle w:val="TableParagraph"/>
              <w:spacing w:line="273" w:lineRule="auto" w:before="37"/>
              <w:ind w:left="211" w:right="199"/>
              <w:rPr>
                <w:sz w:val="21"/>
              </w:rPr>
            </w:pPr>
            <w:r>
              <w:rPr>
                <w:sz w:val="21"/>
              </w:rPr>
              <w:t>织学变化。诊断必须由病理检查结果证实。被保险人所患的克罗恩病必须已经造成瘘管形成并伴有肠梗阻或肠穿孔。</w:t>
            </w:r>
          </w:p>
        </w:tc>
      </w:tr>
      <w:tr>
        <w:trPr>
          <w:trHeight w:val="1256" w:hRule="atLeast"/>
        </w:trPr>
        <w:tc>
          <w:tcPr>
            <w:tcW w:w="542" w:type="dxa"/>
          </w:tcPr>
          <w:p>
            <w:pPr>
              <w:pStyle w:val="TableParagraph"/>
              <w:spacing w:before="29"/>
              <w:ind w:right="77"/>
              <w:jc w:val="right"/>
              <w:rPr>
                <w:rFonts w:ascii="Times New Roman"/>
                <w:sz w:val="21"/>
              </w:rPr>
            </w:pPr>
            <w:r>
              <w:rPr>
                <w:rFonts w:ascii="Times New Roman"/>
                <w:sz w:val="21"/>
              </w:rPr>
              <w:t>34.</w:t>
            </w:r>
          </w:p>
        </w:tc>
        <w:tc>
          <w:tcPr>
            <w:tcW w:w="3228" w:type="dxa"/>
          </w:tcPr>
          <w:p>
            <w:pPr>
              <w:pStyle w:val="TableParagraph"/>
              <w:spacing w:line="257" w:lineRule="exact"/>
              <w:ind w:left="78"/>
              <w:rPr>
                <w:sz w:val="21"/>
              </w:rPr>
            </w:pPr>
            <w:r>
              <w:rPr>
                <w:sz w:val="21"/>
              </w:rPr>
              <w:t>严重溃疡性结肠炎</w:t>
            </w:r>
          </w:p>
        </w:tc>
        <w:tc>
          <w:tcPr>
            <w:tcW w:w="6533" w:type="dxa"/>
          </w:tcPr>
          <w:p>
            <w:pPr>
              <w:pStyle w:val="TableParagraph"/>
              <w:spacing w:line="257" w:lineRule="exact"/>
              <w:ind w:left="211"/>
              <w:rPr>
                <w:sz w:val="21"/>
              </w:rPr>
            </w:pPr>
            <w:r>
              <w:rPr>
                <w:sz w:val="21"/>
              </w:rPr>
              <w:t>本附加合同所保障的溃疡性结肠炎是指伴有致命性电解质紊乱的急</w:t>
            </w:r>
          </w:p>
          <w:p>
            <w:pPr>
              <w:pStyle w:val="TableParagraph"/>
              <w:spacing w:line="273" w:lineRule="auto" w:before="37"/>
              <w:ind w:left="211" w:right="199"/>
              <w:jc w:val="both"/>
              <w:rPr>
                <w:sz w:val="21"/>
              </w:rPr>
            </w:pPr>
            <w:r>
              <w:rPr>
                <w:sz w:val="21"/>
              </w:rPr>
              <w:t>性暴发性溃疡性结肠炎，病变累及全结肠，表现为严重的血便和系统性症状体征。溃疡性结肠炎必须根据组织病理学特点诊断，并且被保险人已经接受了结肠切除和</w:t>
            </w:r>
            <w:r>
              <w:rPr>
                <w:rFonts w:ascii="Times New Roman" w:eastAsia="Times New Roman"/>
                <w:sz w:val="21"/>
              </w:rPr>
              <w:t>/</w:t>
            </w:r>
            <w:r>
              <w:rPr>
                <w:sz w:val="21"/>
              </w:rPr>
              <w:t>或回肠造瘘术。</w:t>
            </w:r>
          </w:p>
        </w:tc>
      </w:tr>
      <w:tr>
        <w:trPr>
          <w:trHeight w:val="1552" w:hRule="atLeast"/>
        </w:trPr>
        <w:tc>
          <w:tcPr>
            <w:tcW w:w="542" w:type="dxa"/>
          </w:tcPr>
          <w:p>
            <w:pPr>
              <w:pStyle w:val="TableParagraph"/>
              <w:spacing w:before="21"/>
              <w:ind w:right="77"/>
              <w:jc w:val="right"/>
              <w:rPr>
                <w:rFonts w:ascii="Times New Roman"/>
                <w:sz w:val="21"/>
              </w:rPr>
            </w:pPr>
            <w:r>
              <w:rPr>
                <w:rFonts w:ascii="Times New Roman"/>
                <w:sz w:val="21"/>
              </w:rPr>
              <w:t>35.</w:t>
            </w:r>
          </w:p>
        </w:tc>
        <w:tc>
          <w:tcPr>
            <w:tcW w:w="3228" w:type="dxa"/>
          </w:tcPr>
          <w:p>
            <w:pPr>
              <w:pStyle w:val="TableParagraph"/>
              <w:spacing w:line="250" w:lineRule="exact"/>
              <w:ind w:left="78"/>
              <w:rPr>
                <w:sz w:val="21"/>
              </w:rPr>
            </w:pPr>
            <w:r>
              <w:rPr>
                <w:sz w:val="21"/>
              </w:rPr>
              <w:t>植物人状态</w:t>
            </w:r>
          </w:p>
        </w:tc>
        <w:tc>
          <w:tcPr>
            <w:tcW w:w="6533" w:type="dxa"/>
          </w:tcPr>
          <w:p>
            <w:pPr>
              <w:pStyle w:val="TableParagraph"/>
              <w:spacing w:line="265" w:lineRule="exact"/>
              <w:ind w:left="211"/>
              <w:rPr>
                <w:sz w:val="21"/>
              </w:rPr>
            </w:pPr>
            <w:r>
              <w:rPr>
                <w:sz w:val="21"/>
              </w:rPr>
              <w:t>植物人状态是指由于严重颅脑外伤造成大脑和</w:t>
            </w:r>
            <w:r>
              <w:rPr>
                <w:rFonts w:ascii="Times New Roman" w:eastAsia="Times New Roman"/>
                <w:sz w:val="21"/>
              </w:rPr>
              <w:t>/</w:t>
            </w:r>
            <w:r>
              <w:rPr>
                <w:sz w:val="21"/>
              </w:rPr>
              <w:t>或脑干严重损害导</w:t>
            </w:r>
          </w:p>
          <w:p>
            <w:pPr>
              <w:pStyle w:val="TableParagraph"/>
              <w:spacing w:line="266" w:lineRule="auto" w:before="21"/>
              <w:ind w:left="211" w:right="198"/>
              <w:jc w:val="both"/>
              <w:rPr>
                <w:sz w:val="21"/>
              </w:rPr>
            </w:pPr>
            <w:r>
              <w:rPr>
                <w:sz w:val="21"/>
              </w:rPr>
              <w:t>致完全永久性的对自身和环境的意识丧失和中枢神经系统功能丧失，仅残存植物神经功能的疾病状态。对自身和环境的意识丧失的完全永久性指严重颅脑外伤后对自身和环境的意识丧失持续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1559" w:hRule="atLeast"/>
        </w:trPr>
        <w:tc>
          <w:tcPr>
            <w:tcW w:w="542" w:type="dxa"/>
          </w:tcPr>
          <w:p>
            <w:pPr>
              <w:pStyle w:val="TableParagraph"/>
              <w:spacing w:before="29"/>
              <w:ind w:right="75"/>
              <w:jc w:val="right"/>
              <w:rPr>
                <w:rFonts w:ascii="Times New Roman"/>
                <w:sz w:val="21"/>
              </w:rPr>
            </w:pPr>
            <w:r>
              <w:rPr>
                <w:rFonts w:ascii="Times New Roman"/>
                <w:sz w:val="21"/>
              </w:rPr>
              <w:t>36.</w:t>
            </w:r>
          </w:p>
        </w:tc>
        <w:tc>
          <w:tcPr>
            <w:tcW w:w="3228" w:type="dxa"/>
          </w:tcPr>
          <w:p>
            <w:pPr>
              <w:pStyle w:val="TableParagraph"/>
              <w:spacing w:line="273" w:lineRule="exact"/>
              <w:ind w:left="78"/>
              <w:rPr>
                <w:sz w:val="21"/>
              </w:rPr>
            </w:pPr>
            <w:r>
              <w:rPr>
                <w:sz w:val="21"/>
              </w:rPr>
              <w:t>严重 </w:t>
            </w:r>
            <w:r>
              <w:rPr>
                <w:rFonts w:ascii="Times New Roman" w:eastAsia="Times New Roman"/>
                <w:sz w:val="21"/>
              </w:rPr>
              <w:t>1 </w:t>
            </w:r>
            <w:r>
              <w:rPr>
                <w:sz w:val="21"/>
              </w:rPr>
              <w:t>型糖尿病</w:t>
            </w:r>
          </w:p>
        </w:tc>
        <w:tc>
          <w:tcPr>
            <w:tcW w:w="6533" w:type="dxa"/>
          </w:tcPr>
          <w:p>
            <w:pPr>
              <w:pStyle w:val="TableParagraph"/>
              <w:spacing w:line="257" w:lineRule="exact"/>
              <w:ind w:left="211"/>
              <w:rPr>
                <w:sz w:val="21"/>
              </w:rPr>
            </w:pPr>
            <w:r>
              <w:rPr>
                <w:sz w:val="21"/>
              </w:rPr>
              <w:t>指由于胰岛素分泌绝对不足引起的慢性血糖升高，且已经持续性地</w:t>
            </w:r>
          </w:p>
          <w:p>
            <w:pPr>
              <w:pStyle w:val="TableParagraph"/>
              <w:spacing w:line="261" w:lineRule="auto" w:before="37"/>
              <w:ind w:left="211" w:right="198"/>
              <w:jc w:val="both"/>
              <w:rPr>
                <w:sz w:val="21"/>
              </w:rPr>
            </w:pPr>
            <w:r>
              <w:rPr>
                <w:spacing w:val="-3"/>
                <w:sz w:val="21"/>
              </w:rPr>
              <w:t>依赖外源性胰岛素维持</w:t>
            </w:r>
            <w:r>
              <w:rPr>
                <w:rFonts w:ascii="Times New Roman" w:eastAsia="Times New Roman"/>
                <w:sz w:val="21"/>
              </w:rPr>
              <w:t>180</w:t>
            </w:r>
            <w:r>
              <w:rPr>
                <w:spacing w:val="-4"/>
                <w:sz w:val="21"/>
              </w:rPr>
              <w:t>天以上。须经血胰岛素测定、血</w:t>
            </w:r>
            <w:r>
              <w:rPr>
                <w:rFonts w:ascii="Times New Roman" w:eastAsia="Times New Roman"/>
                <w:sz w:val="21"/>
              </w:rPr>
              <w:t>C</w:t>
            </w:r>
            <w:r>
              <w:rPr>
                <w:spacing w:val="-2"/>
                <w:sz w:val="21"/>
              </w:rPr>
              <w:t>肽测定或尿</w:t>
            </w:r>
            <w:r>
              <w:rPr>
                <w:rFonts w:ascii="Times New Roman" w:eastAsia="Times New Roman"/>
                <w:spacing w:val="-2"/>
                <w:sz w:val="21"/>
              </w:rPr>
              <w:t>C</w:t>
            </w:r>
            <w:r>
              <w:rPr>
                <w:spacing w:val="-2"/>
                <w:sz w:val="21"/>
              </w:rPr>
              <w:t>肽测定，结果异常，并由内分泌科专科医生明确诊断。并须</w:t>
            </w:r>
            <w:r>
              <w:rPr>
                <w:spacing w:val="-3"/>
                <w:sz w:val="21"/>
              </w:rPr>
              <w:t>在本附加合同有效期内，因需要已经接受下列治疗：因严重心律失常已经植入了心脏起搏器，或因坏疽需切除至少一个脚趾。</w:t>
            </w:r>
          </w:p>
        </w:tc>
      </w:tr>
      <w:tr>
        <w:trPr>
          <w:trHeight w:val="282" w:hRule="atLeast"/>
        </w:trPr>
        <w:tc>
          <w:tcPr>
            <w:tcW w:w="542" w:type="dxa"/>
          </w:tcPr>
          <w:p>
            <w:pPr>
              <w:pStyle w:val="TableParagraph"/>
              <w:spacing w:line="233" w:lineRule="exact" w:before="29"/>
              <w:ind w:right="75"/>
              <w:jc w:val="right"/>
              <w:rPr>
                <w:rFonts w:ascii="Times New Roman"/>
                <w:sz w:val="21"/>
              </w:rPr>
            </w:pPr>
            <w:r>
              <w:rPr>
                <w:rFonts w:ascii="Times New Roman"/>
                <w:sz w:val="21"/>
              </w:rPr>
              <w:t>37.</w:t>
            </w:r>
          </w:p>
        </w:tc>
        <w:tc>
          <w:tcPr>
            <w:tcW w:w="3228" w:type="dxa"/>
          </w:tcPr>
          <w:p>
            <w:pPr>
              <w:pStyle w:val="TableParagraph"/>
              <w:spacing w:line="262" w:lineRule="exact"/>
              <w:ind w:left="78"/>
              <w:rPr>
                <w:rFonts w:ascii="Times New Roman" w:eastAsia="Times New Roman"/>
                <w:sz w:val="21"/>
              </w:rPr>
            </w:pPr>
            <w:r>
              <w:rPr>
                <w:sz w:val="21"/>
              </w:rPr>
              <w:t>系统性红斑狼疮 －（并发）</w:t>
            </w:r>
            <w:r>
              <w:rPr>
                <w:rFonts w:ascii="Times New Roman" w:eastAsia="Times New Roman"/>
                <w:sz w:val="21"/>
              </w:rPr>
              <w:t>III</w:t>
            </w:r>
          </w:p>
        </w:tc>
        <w:tc>
          <w:tcPr>
            <w:tcW w:w="6533" w:type="dxa"/>
          </w:tcPr>
          <w:p>
            <w:pPr>
              <w:pStyle w:val="TableParagraph"/>
              <w:spacing w:line="257" w:lineRule="exact"/>
              <w:ind w:left="211"/>
              <w:rPr>
                <w:sz w:val="21"/>
              </w:rPr>
            </w:pPr>
            <w:r>
              <w:rPr>
                <w:sz w:val="21"/>
              </w:rPr>
              <w:t>系统性红斑狼疮是由多种因素引起，累及多系统的自身免疫性疾病</w:t>
            </w:r>
          </w:p>
        </w:tc>
      </w:tr>
    </w:tbl>
    <w:p>
      <w:pPr>
        <w:spacing w:after="0" w:line="257" w:lineRule="exact"/>
        <w:rPr>
          <w:sz w:val="21"/>
        </w:rPr>
        <w:sectPr>
          <w:pgSz w:w="11910" w:h="16160"/>
          <w:pgMar w:header="0" w:footer="631" w:top="1440" w:bottom="820" w:left="760" w:right="620"/>
        </w:sectPr>
      </w:pPr>
    </w:p>
    <w:p>
      <w:pPr>
        <w:pStyle w:val="BodyText"/>
        <w:tabs>
          <w:tab w:pos="3898" w:val="left" w:leader="none"/>
        </w:tabs>
        <w:spacing w:before="7"/>
        <w:ind w:left="538"/>
      </w:pPr>
      <w:r>
        <w:rPr/>
        <w:t>型或</w:t>
      </w:r>
      <w:r>
        <w:rPr>
          <w:spacing w:val="-3"/>
        </w:rPr>
        <w:t>以</w:t>
      </w:r>
      <w:r>
        <w:rPr/>
        <w:t>上</w:t>
      </w:r>
      <w:r>
        <w:rPr>
          <w:spacing w:val="-3"/>
        </w:rPr>
        <w:t>狼</w:t>
      </w:r>
      <w:r>
        <w:rPr/>
        <w:t>疮</w:t>
      </w:r>
      <w:r>
        <w:rPr>
          <w:spacing w:val="-3"/>
        </w:rPr>
        <w:t>性</w:t>
      </w:r>
      <w:r>
        <w:rPr/>
        <w:t>肾炎</w:t>
        <w:tab/>
        <w:t>其特</w:t>
      </w:r>
      <w:r>
        <w:rPr>
          <w:spacing w:val="-3"/>
        </w:rPr>
        <w:t>点</w:t>
      </w:r>
      <w:r>
        <w:rPr/>
        <w:t>是</w:t>
      </w:r>
      <w:r>
        <w:rPr>
          <w:spacing w:val="-3"/>
        </w:rPr>
        <w:t>生</w:t>
      </w:r>
      <w:r>
        <w:rPr/>
        <w:t>成</w:t>
      </w:r>
      <w:r>
        <w:rPr>
          <w:spacing w:val="-3"/>
        </w:rPr>
        <w:t>自</w:t>
      </w:r>
      <w:r>
        <w:rPr/>
        <w:t>身</w:t>
      </w:r>
      <w:r>
        <w:rPr>
          <w:spacing w:val="-3"/>
        </w:rPr>
        <w:t>抗</w:t>
      </w:r>
      <w:r>
        <w:rPr/>
        <w:t>体</w:t>
      </w:r>
      <w:r>
        <w:rPr>
          <w:spacing w:val="-3"/>
        </w:rPr>
        <w:t>对</w:t>
      </w:r>
      <w:r>
        <w:rPr/>
        <w:t>抗多</w:t>
      </w:r>
      <w:r>
        <w:rPr>
          <w:spacing w:val="-3"/>
        </w:rPr>
        <w:t>种</w:t>
      </w:r>
      <w:r>
        <w:rPr/>
        <w:t>自</w:t>
      </w:r>
      <w:r>
        <w:rPr>
          <w:spacing w:val="-3"/>
        </w:rPr>
        <w:t>身</w:t>
      </w:r>
      <w:r>
        <w:rPr/>
        <w:t>抗</w:t>
      </w:r>
      <w:r>
        <w:rPr>
          <w:spacing w:val="-3"/>
        </w:rPr>
        <w:t>原</w:t>
      </w:r>
      <w:r>
        <w:rPr/>
        <w:t>。</w:t>
      </w:r>
      <w:r>
        <w:rPr>
          <w:spacing w:val="-3"/>
        </w:rPr>
        <w:t>多</w:t>
      </w:r>
      <w:r>
        <w:rPr/>
        <w:t>见</w:t>
      </w:r>
      <w:r>
        <w:rPr>
          <w:spacing w:val="-3"/>
        </w:rPr>
        <w:t>于</w:t>
      </w:r>
      <w:r>
        <w:rPr/>
        <w:t>育龄</w:t>
      </w:r>
      <w:r>
        <w:rPr>
          <w:spacing w:val="-3"/>
        </w:rPr>
        <w:t>妇</w:t>
      </w:r>
      <w:r>
        <w:rPr/>
        <w:t>女。</w:t>
      </w:r>
    </w:p>
    <w:p>
      <w:pPr>
        <w:spacing w:line="266" w:lineRule="auto" w:before="37"/>
        <w:ind w:left="3898" w:right="102" w:firstLine="0"/>
        <w:jc w:val="both"/>
        <w:rPr>
          <w:b/>
          <w:sz w:val="21"/>
        </w:rPr>
      </w:pPr>
      <w:r>
        <w:rPr>
          <w:spacing w:val="-2"/>
          <w:sz w:val="21"/>
        </w:rPr>
        <w:t>本附加合同所指的系统性红斑狼疮仅限于累及肾脏</w:t>
      </w:r>
      <w:r>
        <w:rPr>
          <w:sz w:val="21"/>
        </w:rPr>
        <w:t>（经肾脏活检确</w:t>
      </w:r>
      <w:r>
        <w:rPr>
          <w:spacing w:val="-8"/>
          <w:sz w:val="21"/>
        </w:rPr>
        <w:t>认的，符合 </w:t>
      </w:r>
      <w:r>
        <w:rPr>
          <w:rFonts w:ascii="Times New Roman" w:eastAsia="Times New Roman"/>
          <w:sz w:val="21"/>
        </w:rPr>
        <w:t>WHO </w:t>
      </w:r>
      <w:r>
        <w:rPr>
          <w:spacing w:val="-9"/>
          <w:sz w:val="21"/>
        </w:rPr>
        <w:t>诊断标准定义 </w:t>
      </w:r>
      <w:r>
        <w:rPr>
          <w:rFonts w:ascii="Times New Roman" w:eastAsia="Times New Roman"/>
          <w:sz w:val="21"/>
        </w:rPr>
        <w:t>III </w:t>
      </w:r>
      <w:r>
        <w:rPr>
          <w:spacing w:val="-14"/>
          <w:sz w:val="21"/>
        </w:rPr>
        <w:t>型或 </w:t>
      </w:r>
      <w:r>
        <w:rPr>
          <w:rFonts w:ascii="Times New Roman" w:eastAsia="Times New Roman"/>
          <w:sz w:val="21"/>
        </w:rPr>
        <w:t>III </w:t>
      </w:r>
      <w:r>
        <w:rPr>
          <w:spacing w:val="-2"/>
          <w:sz w:val="21"/>
        </w:rPr>
        <w:t>型以上狼疮性肾炎</w:t>
      </w:r>
      <w:r>
        <w:rPr>
          <w:sz w:val="21"/>
        </w:rPr>
        <w:t>）的</w:t>
      </w:r>
      <w:r>
        <w:rPr>
          <w:spacing w:val="-3"/>
          <w:sz w:val="21"/>
        </w:rPr>
        <w:t>系统性红斑狼疮。</w:t>
      </w:r>
      <w:r>
        <w:rPr>
          <w:b/>
          <w:sz w:val="21"/>
        </w:rPr>
        <w:t>其他类型的红斑性狼疮，如盘状狼疮、仅累及血</w:t>
      </w:r>
      <w:r>
        <w:rPr>
          <w:b/>
          <w:spacing w:val="-2"/>
          <w:sz w:val="21"/>
        </w:rPr>
        <w:t>液及关节的狼疮不在保障范围內。</w:t>
      </w:r>
    </w:p>
    <w:p>
      <w:pPr>
        <w:pStyle w:val="BodyText"/>
        <w:spacing w:before="14" w:after="34"/>
        <w:ind w:left="3898"/>
      </w:pPr>
      <w:r>
        <w:rPr/>
        <w:t>世界卫生组织（</w:t>
      </w:r>
      <w:r>
        <w:rPr>
          <w:rFonts w:ascii="Times New Roman" w:eastAsia="Times New Roman"/>
        </w:rPr>
        <w:t>WHO</w:t>
      </w:r>
      <w:r>
        <w:rPr/>
        <w:t>）狼疮性肾炎分型：</w:t>
      </w:r>
    </w:p>
    <w:tbl>
      <w:tblPr>
        <w:tblW w:w="0" w:type="auto"/>
        <w:jc w:val="left"/>
        <w:tblInd w:w="3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52" w:hRule="atLeast"/>
        </w:trPr>
        <w:tc>
          <w:tcPr>
            <w:tcW w:w="2088" w:type="dxa"/>
            <w:tcBorders>
              <w:left w:val="single" w:sz="4" w:space="0" w:color="000000"/>
              <w:bottom w:val="thinThickMediumGap" w:sz="4" w:space="0" w:color="000000"/>
              <w:right w:val="single" w:sz="4" w:space="0" w:color="000000"/>
            </w:tcBorders>
          </w:tcPr>
          <w:p>
            <w:pPr>
              <w:pStyle w:val="TableParagraph"/>
              <w:spacing w:before="8"/>
              <w:ind w:left="107"/>
              <w:rPr>
                <w:sz w:val="21"/>
              </w:rPr>
            </w:pPr>
            <w:r>
              <w:rPr>
                <w:rFonts w:ascii="Times New Roman" w:eastAsia="Times New Roman"/>
                <w:sz w:val="21"/>
              </w:rPr>
              <w:t>I </w:t>
            </w:r>
            <w:r>
              <w:rPr>
                <w:sz w:val="21"/>
              </w:rPr>
              <w:t>型</w:t>
            </w:r>
          </w:p>
        </w:tc>
        <w:tc>
          <w:tcPr>
            <w:tcW w:w="2088" w:type="dxa"/>
            <w:tcBorders>
              <w:left w:val="single" w:sz="4" w:space="0" w:color="000000"/>
              <w:bottom w:val="thinThickMediumGap" w:sz="4" w:space="0" w:color="000000"/>
              <w:right w:val="single" w:sz="4" w:space="0" w:color="000000"/>
            </w:tcBorders>
          </w:tcPr>
          <w:p>
            <w:pPr>
              <w:pStyle w:val="TableParagraph"/>
              <w:spacing w:before="8"/>
              <w:ind w:left="108"/>
              <w:rPr>
                <w:sz w:val="21"/>
              </w:rPr>
            </w:pPr>
            <w:r>
              <w:rPr>
                <w:sz w:val="21"/>
              </w:rPr>
              <w:t>微小病变型</w:t>
            </w:r>
          </w:p>
        </w:tc>
      </w:tr>
      <w:tr>
        <w:trPr>
          <w:trHeight w:val="352" w:hRule="atLeast"/>
        </w:trPr>
        <w:tc>
          <w:tcPr>
            <w:tcW w:w="2088" w:type="dxa"/>
            <w:tcBorders>
              <w:top w:val="thickThinMediumGap" w:sz="4" w:space="0" w:color="000000"/>
              <w:left w:val="single" w:sz="4" w:space="0" w:color="000000"/>
              <w:bottom w:val="single" w:sz="12" w:space="0" w:color="000000"/>
              <w:right w:val="single" w:sz="4" w:space="0" w:color="000000"/>
            </w:tcBorders>
          </w:tcPr>
          <w:p>
            <w:pPr>
              <w:pStyle w:val="TableParagraph"/>
              <w:spacing w:before="9"/>
              <w:ind w:left="107"/>
              <w:rPr>
                <w:sz w:val="21"/>
              </w:rPr>
            </w:pPr>
            <w:r>
              <w:rPr>
                <w:rFonts w:ascii="Times New Roman" w:eastAsia="Times New Roman"/>
                <w:sz w:val="21"/>
              </w:rPr>
              <w:t>II </w:t>
            </w:r>
            <w:r>
              <w:rPr>
                <w:sz w:val="21"/>
              </w:rPr>
              <w:t>型</w:t>
            </w:r>
          </w:p>
        </w:tc>
        <w:tc>
          <w:tcPr>
            <w:tcW w:w="2088" w:type="dxa"/>
            <w:tcBorders>
              <w:top w:val="thickThinMediumGap" w:sz="4" w:space="0" w:color="000000"/>
              <w:left w:val="single" w:sz="4" w:space="0" w:color="000000"/>
              <w:bottom w:val="single" w:sz="12" w:space="0" w:color="000000"/>
              <w:right w:val="single" w:sz="4" w:space="0" w:color="000000"/>
            </w:tcBorders>
          </w:tcPr>
          <w:p>
            <w:pPr>
              <w:pStyle w:val="TableParagraph"/>
              <w:spacing w:before="9"/>
              <w:ind w:left="108"/>
              <w:rPr>
                <w:sz w:val="21"/>
              </w:rPr>
            </w:pPr>
            <w:r>
              <w:rPr>
                <w:sz w:val="21"/>
              </w:rPr>
              <w:t>系膜病变型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局灶及节段增生型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弥漫增生型</w:t>
            </w:r>
          </w:p>
        </w:tc>
      </w:tr>
      <w:tr>
        <w:trPr>
          <w:trHeight w:val="352"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9"/>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9"/>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ListParagraph"/>
        <w:numPr>
          <w:ilvl w:val="0"/>
          <w:numId w:val="9"/>
        </w:numPr>
        <w:tabs>
          <w:tab w:pos="539" w:val="left" w:leader="none"/>
          <w:tab w:pos="3898" w:val="left" w:leader="none"/>
        </w:tabs>
        <w:spacing w:line="240" w:lineRule="auto" w:before="0" w:after="0"/>
        <w:ind w:left="538" w:right="0" w:hanging="421"/>
        <w:jc w:val="left"/>
        <w:rPr>
          <w:sz w:val="21"/>
        </w:rPr>
      </w:pPr>
      <w:r>
        <w:rPr>
          <w:sz w:val="21"/>
        </w:rPr>
        <w:t>非阿</w:t>
      </w:r>
      <w:r>
        <w:rPr>
          <w:spacing w:val="-3"/>
          <w:sz w:val="21"/>
        </w:rPr>
        <w:t>尔</w:t>
      </w:r>
      <w:r>
        <w:rPr>
          <w:sz w:val="21"/>
        </w:rPr>
        <w:t>茨</w:t>
      </w:r>
      <w:r>
        <w:rPr>
          <w:spacing w:val="-3"/>
          <w:sz w:val="21"/>
        </w:rPr>
        <w:t>海</w:t>
      </w:r>
      <w:r>
        <w:rPr>
          <w:sz w:val="21"/>
        </w:rPr>
        <w:t>默</w:t>
      </w:r>
      <w:r>
        <w:rPr>
          <w:spacing w:val="-3"/>
          <w:sz w:val="21"/>
        </w:rPr>
        <w:t>病</w:t>
      </w:r>
      <w:r>
        <w:rPr>
          <w:sz w:val="21"/>
        </w:rPr>
        <w:t>所</w:t>
      </w:r>
      <w:r>
        <w:rPr>
          <w:spacing w:val="-3"/>
          <w:sz w:val="21"/>
        </w:rPr>
        <w:t>致</w:t>
      </w:r>
      <w:r>
        <w:rPr>
          <w:sz w:val="21"/>
        </w:rPr>
        <w:t>严</w:t>
      </w:r>
      <w:r>
        <w:rPr>
          <w:spacing w:val="-3"/>
          <w:sz w:val="21"/>
        </w:rPr>
        <w:t>重</w:t>
      </w:r>
      <w:r>
        <w:rPr>
          <w:sz w:val="21"/>
        </w:rPr>
        <w:t>痴呆</w:t>
        <w:tab/>
        <w:t>指因</w:t>
      </w:r>
      <w:r>
        <w:rPr>
          <w:spacing w:val="-3"/>
          <w:sz w:val="21"/>
        </w:rPr>
        <w:t>阿</w:t>
      </w:r>
      <w:r>
        <w:rPr>
          <w:sz w:val="21"/>
        </w:rPr>
        <w:t>尔</w:t>
      </w:r>
      <w:r>
        <w:rPr>
          <w:spacing w:val="-3"/>
          <w:sz w:val="21"/>
        </w:rPr>
        <w:t>茨</w:t>
      </w:r>
      <w:r>
        <w:rPr>
          <w:sz w:val="21"/>
        </w:rPr>
        <w:t>海</w:t>
      </w:r>
      <w:r>
        <w:rPr>
          <w:spacing w:val="-3"/>
          <w:sz w:val="21"/>
        </w:rPr>
        <w:t>默</w:t>
      </w:r>
      <w:r>
        <w:rPr>
          <w:sz w:val="21"/>
        </w:rPr>
        <w:t>病</w:t>
      </w:r>
      <w:r>
        <w:rPr>
          <w:spacing w:val="-3"/>
          <w:sz w:val="21"/>
        </w:rPr>
        <w:t>以</w:t>
      </w:r>
      <w:r>
        <w:rPr>
          <w:sz w:val="21"/>
        </w:rPr>
        <w:t>外</w:t>
      </w:r>
      <w:r>
        <w:rPr>
          <w:spacing w:val="-3"/>
          <w:sz w:val="21"/>
        </w:rPr>
        <w:t>的</w:t>
      </w:r>
      <w:r>
        <w:rPr>
          <w:sz w:val="21"/>
        </w:rPr>
        <w:t>脑的</w:t>
      </w:r>
      <w:r>
        <w:rPr>
          <w:spacing w:val="-3"/>
          <w:sz w:val="21"/>
        </w:rPr>
        <w:t>器</w:t>
      </w:r>
      <w:r>
        <w:rPr>
          <w:sz w:val="21"/>
        </w:rPr>
        <w:t>质</w:t>
      </w:r>
      <w:r>
        <w:rPr>
          <w:spacing w:val="-3"/>
          <w:sz w:val="21"/>
        </w:rPr>
        <w:t>性</w:t>
      </w:r>
      <w:r>
        <w:rPr>
          <w:sz w:val="21"/>
        </w:rPr>
        <w:t>疾</w:t>
      </w:r>
      <w:r>
        <w:rPr>
          <w:spacing w:val="-3"/>
          <w:sz w:val="21"/>
        </w:rPr>
        <w:t>病</w:t>
      </w:r>
      <w:r>
        <w:rPr>
          <w:sz w:val="21"/>
        </w:rPr>
        <w:t>造</w:t>
      </w:r>
      <w:r>
        <w:rPr>
          <w:spacing w:val="-3"/>
          <w:sz w:val="21"/>
        </w:rPr>
        <w:t>成</w:t>
      </w:r>
      <w:r>
        <w:rPr>
          <w:sz w:val="21"/>
        </w:rPr>
        <w:t>脑</w:t>
      </w:r>
      <w:r>
        <w:rPr>
          <w:spacing w:val="-3"/>
          <w:sz w:val="21"/>
        </w:rPr>
        <w:t>功</w:t>
      </w:r>
      <w:r>
        <w:rPr>
          <w:sz w:val="21"/>
        </w:rPr>
        <w:t>能衰</w:t>
      </w:r>
      <w:r>
        <w:rPr>
          <w:spacing w:val="-3"/>
          <w:sz w:val="21"/>
        </w:rPr>
        <w:t>竭</w:t>
      </w:r>
      <w:r>
        <w:rPr>
          <w:sz w:val="21"/>
        </w:rPr>
        <w:t>导</w:t>
      </w:r>
      <w:r>
        <w:rPr>
          <w:spacing w:val="-3"/>
          <w:sz w:val="21"/>
        </w:rPr>
        <w:t>致</w:t>
      </w:r>
      <w:r>
        <w:rPr>
          <w:sz w:val="21"/>
        </w:rPr>
        <w:t>永久</w:t>
      </w:r>
    </w:p>
    <w:p>
      <w:pPr>
        <w:pStyle w:val="BodyText"/>
        <w:spacing w:line="273" w:lineRule="auto" w:before="21"/>
        <w:ind w:left="3898" w:right="128"/>
        <w:jc w:val="both"/>
      </w:pPr>
      <w:r>
        <w:rPr/>
        <w:t>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before="7"/>
        <w:ind w:left="3898" w:right="0" w:firstLine="0"/>
        <w:jc w:val="left"/>
        <w:rPr>
          <w:b/>
          <w:sz w:val="21"/>
        </w:rPr>
      </w:pPr>
      <w:r>
        <w:rPr>
          <w:b/>
          <w:sz w:val="21"/>
        </w:rPr>
        <w:t>神经官能症,精神疾病及酒精中毒所致脑损害不在保障范围内。</w:t>
      </w:r>
    </w:p>
    <w:p>
      <w:pPr>
        <w:pStyle w:val="ListParagraph"/>
        <w:numPr>
          <w:ilvl w:val="0"/>
          <w:numId w:val="9"/>
        </w:numPr>
        <w:tabs>
          <w:tab w:pos="539" w:val="left" w:leader="none"/>
          <w:tab w:pos="3898" w:val="left" w:leader="none"/>
        </w:tabs>
        <w:spacing w:line="240" w:lineRule="auto" w:before="36" w:after="0"/>
        <w:ind w:left="538" w:right="0" w:hanging="421"/>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侵犯</w:t>
      </w:r>
    </w:p>
    <w:p>
      <w:pPr>
        <w:pStyle w:val="BodyText"/>
        <w:spacing w:line="268" w:lineRule="auto" w:before="20"/>
        <w:ind w:left="3898" w:right="102"/>
        <w:jc w:val="both"/>
      </w:pPr>
      <w:r>
        <w:rPr>
          <w:spacing w:val="-3"/>
        </w:rPr>
        <w:t>至少三个主要关节（腕关节、肘关节、肩关节、踝关节、膝关节、髋关节</w:t>
      </w:r>
      <w:r>
        <w:rPr/>
        <w:t>）</w:t>
      </w:r>
      <w:r>
        <w:rPr>
          <w:spacing w:val="-3"/>
        </w:rPr>
        <w:t>或关节组（如手的多个指间、掌指关节，足的多个足趾、跖趾关节等</w:t>
      </w:r>
      <w:r>
        <w:rPr>
          <w:spacing w:val="-106"/>
        </w:rPr>
        <w:t>）</w:t>
      </w:r>
      <w:r>
        <w:rPr>
          <w:spacing w:val="-11"/>
        </w:rPr>
        <w:t>。类风湿性关节炎须明确诊断，并已达到类风湿性关节</w:t>
      </w:r>
      <w:r>
        <w:rPr>
          <w:spacing w:val="-10"/>
        </w:rPr>
        <w:t>炎功能活动分级</w:t>
      </w:r>
      <w:r>
        <w:rPr/>
        <w:t>（</w:t>
      </w:r>
      <w:r>
        <w:rPr>
          <w:spacing w:val="-3"/>
        </w:rPr>
        <w:t>注</w:t>
      </w:r>
      <w:r>
        <w:rPr>
          <w:spacing w:val="-11"/>
        </w:rPr>
        <w:t>）</w:t>
      </w:r>
      <w:r>
        <w:rPr>
          <w:rFonts w:ascii="Times New Roman" w:eastAsia="Times New Roman"/>
          <w:spacing w:val="-11"/>
        </w:rPr>
        <w:t>IV </w:t>
      </w:r>
      <w:r>
        <w:rPr>
          <w:spacing w:val="-5"/>
        </w:rPr>
        <w:t>级的永久不可逆性关节功能障碍，且须满</w:t>
      </w:r>
      <w:r>
        <w:rPr>
          <w:spacing w:val="-4"/>
        </w:rPr>
        <w:t>足下列全部条件：</w:t>
      </w:r>
    </w:p>
    <w:p>
      <w:pPr>
        <w:pStyle w:val="BodyText"/>
        <w:spacing w:before="11"/>
        <w:ind w:left="3898"/>
        <w:jc w:val="both"/>
      </w:pPr>
      <w:r>
        <w:rPr/>
        <w:t>（</w:t>
      </w:r>
      <w:r>
        <w:rPr>
          <w:rFonts w:ascii="Times New Roman" w:eastAsia="Times New Roman"/>
        </w:rPr>
        <w:t>1</w:t>
      </w:r>
      <w:r>
        <w:rPr/>
        <w:t>）晨僵；</w:t>
      </w:r>
    </w:p>
    <w:p>
      <w:pPr>
        <w:pStyle w:val="BodyText"/>
        <w:spacing w:before="21"/>
        <w:ind w:left="3898"/>
        <w:jc w:val="both"/>
      </w:pPr>
      <w:r>
        <w:rPr/>
        <w:t>（</w:t>
      </w:r>
      <w:r>
        <w:rPr>
          <w:rFonts w:ascii="Times New Roman" w:eastAsia="Times New Roman"/>
        </w:rPr>
        <w:t>2</w:t>
      </w:r>
      <w:r>
        <w:rPr/>
        <w:t>）对称性关节炎；</w:t>
      </w:r>
    </w:p>
    <w:p>
      <w:pPr>
        <w:pStyle w:val="BodyText"/>
        <w:spacing w:before="21"/>
        <w:ind w:left="3898"/>
        <w:jc w:val="both"/>
      </w:pPr>
      <w:r>
        <w:rPr/>
        <w:t>（</w:t>
      </w:r>
      <w:r>
        <w:rPr>
          <w:rFonts w:ascii="Times New Roman" w:eastAsia="Times New Roman"/>
        </w:rPr>
        <w:t>3</w:t>
      </w:r>
      <w:r>
        <w:rPr/>
        <w:t>）类风湿性皮下结节；</w:t>
      </w:r>
    </w:p>
    <w:p>
      <w:pPr>
        <w:pStyle w:val="BodyText"/>
        <w:spacing w:before="21"/>
        <w:ind w:left="3898"/>
        <w:jc w:val="both"/>
      </w:pPr>
      <w:r>
        <w:rPr/>
        <w:t>（</w:t>
      </w:r>
      <w:r>
        <w:rPr>
          <w:rFonts w:ascii="Times New Roman" w:eastAsia="Times New Roman"/>
        </w:rPr>
        <w:t>4</w:t>
      </w:r>
      <w:r>
        <w:rPr/>
        <w:t>）类风湿因子滴度升高；</w:t>
      </w:r>
    </w:p>
    <w:p>
      <w:pPr>
        <w:pStyle w:val="BodyText"/>
        <w:spacing w:line="256" w:lineRule="auto" w:before="21"/>
        <w:ind w:left="3898" w:right="923"/>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4304"/>
      </w:pPr>
      <w:r>
        <w:rPr/>
        <w:t>Ⅰ级：关节功能完整，一般活动无障碍。</w:t>
      </w:r>
    </w:p>
    <w:p>
      <w:pPr>
        <w:pStyle w:val="BodyText"/>
        <w:spacing w:before="36"/>
        <w:ind w:left="4304"/>
      </w:pPr>
      <w:r>
        <w:rPr/>
        <w:t>Ⅱ级：有关节不适或障碍，但尚能完成一半活动。</w:t>
      </w:r>
    </w:p>
    <w:p>
      <w:pPr>
        <w:pStyle w:val="BodyText"/>
        <w:spacing w:before="36"/>
        <w:ind w:left="4304"/>
      </w:pPr>
      <w:r>
        <w:rPr/>
        <w:t>Ⅲ级：功能活动明显受限，但大部分生活可自理。</w:t>
      </w:r>
    </w:p>
    <w:p>
      <w:pPr>
        <w:pStyle w:val="BodyText"/>
        <w:spacing w:before="36"/>
        <w:ind w:left="4304"/>
      </w:pPr>
      <w:r>
        <w:rPr/>
        <w:t>Ⅳ级：生活不能自理或卧床。</w:t>
      </w:r>
    </w:p>
    <w:p>
      <w:pPr>
        <w:pStyle w:val="ListParagraph"/>
        <w:numPr>
          <w:ilvl w:val="0"/>
          <w:numId w:val="9"/>
        </w:numPr>
        <w:tabs>
          <w:tab w:pos="539" w:val="left" w:leader="none"/>
          <w:tab w:pos="3898" w:val="left" w:leader="none"/>
        </w:tabs>
        <w:spacing w:line="240" w:lineRule="auto" w:before="36" w:after="0"/>
        <w:ind w:left="538" w:right="0" w:hanging="421"/>
        <w:jc w:val="left"/>
        <w:rPr>
          <w:sz w:val="21"/>
        </w:rPr>
      </w:pPr>
      <w:r>
        <w:rPr>
          <w:sz w:val="21"/>
        </w:rPr>
        <w:t>严重</w:t>
      </w:r>
      <w:r>
        <w:rPr>
          <w:spacing w:val="-3"/>
          <w:sz w:val="21"/>
        </w:rPr>
        <w:t>哮</w:t>
      </w:r>
      <w:r>
        <w:rPr>
          <w:sz w:val="21"/>
        </w:rPr>
        <w:t>喘</w:t>
      </w:r>
      <w:r>
        <w:rPr>
          <w:spacing w:val="2"/>
          <w:sz w:val="21"/>
        </w:rPr>
        <w:t> </w:t>
      </w:r>
      <w:r>
        <w:rPr>
          <w:rFonts w:ascii="Times New Roman" w:eastAsia="Times New Roman"/>
          <w:sz w:val="21"/>
        </w:rPr>
        <w:t>-  </w:t>
      </w:r>
      <w:r>
        <w:rPr>
          <w:b/>
          <w:sz w:val="21"/>
        </w:rPr>
        <w:t>二十五岁前</w:t>
      </w:r>
      <w:r>
        <w:rPr>
          <w:b/>
          <w:spacing w:val="-3"/>
          <w:sz w:val="21"/>
        </w:rPr>
        <w:t>理</w:t>
      </w:r>
      <w:r>
        <w:rPr>
          <w:b/>
          <w:sz w:val="21"/>
        </w:rPr>
        <w:t>赔</w:t>
        <w:tab/>
      </w:r>
      <w:r>
        <w:rPr>
          <w:sz w:val="21"/>
        </w:rPr>
        <w:t>指一种反复发作的严重</w:t>
      </w:r>
      <w:r>
        <w:rPr>
          <w:spacing w:val="-3"/>
          <w:sz w:val="21"/>
        </w:rPr>
        <w:t>支</w:t>
      </w:r>
      <w:r>
        <w:rPr>
          <w:sz w:val="21"/>
        </w:rPr>
        <w:t>气管阻塞性疾病，经我</w:t>
      </w:r>
      <w:r>
        <w:rPr>
          <w:spacing w:val="-3"/>
          <w:sz w:val="21"/>
        </w:rPr>
        <w:t>们</w:t>
      </w:r>
      <w:r>
        <w:rPr>
          <w:sz w:val="21"/>
        </w:rPr>
        <w:t>认可的专科医生</w:t>
      </w:r>
    </w:p>
    <w:p>
      <w:pPr>
        <w:pStyle w:val="BodyText"/>
        <w:spacing w:before="20"/>
        <w:ind w:left="3898"/>
        <w:jc w:val="both"/>
      </w:pPr>
      <w:r>
        <w:rPr/>
        <w:t>确诊，且必须同时符合下列标准：</w:t>
      </w:r>
    </w:p>
    <w:p>
      <w:pPr>
        <w:pStyle w:val="BodyText"/>
        <w:spacing w:before="36"/>
        <w:ind w:left="3898"/>
        <w:jc w:val="both"/>
      </w:pPr>
      <w:r>
        <w:rPr>
          <w:w w:val="100"/>
        </w:rPr>
        <w:t>（</w:t>
      </w:r>
      <w:r>
        <w:rPr>
          <w:rFonts w:ascii="Times New Roman" w:eastAsia="Times New Roman"/>
          <w:w w:val="100"/>
        </w:rPr>
        <w:t>1</w:t>
      </w:r>
      <w:r>
        <w:rPr>
          <w:spacing w:val="-94"/>
          <w:w w:val="100"/>
        </w:rPr>
        <w:t>）</w:t>
      </w:r>
      <w:r>
        <w:rPr>
          <w:spacing w:val="-8"/>
          <w:w w:val="100"/>
        </w:rPr>
        <w:t>过去两年中曾因哮喘持续状态住院治疗，并提供完整住院记录</w:t>
      </w:r>
    </w:p>
    <w:p>
      <w:pPr>
        <w:pStyle w:val="BodyText"/>
        <w:spacing w:before="20"/>
        <w:ind w:left="3898"/>
        <w:jc w:val="both"/>
      </w:pPr>
      <w:r>
        <w:rPr/>
        <w:t>（</w:t>
      </w:r>
      <w:r>
        <w:rPr>
          <w:rFonts w:ascii="Times New Roman" w:eastAsia="Times New Roman"/>
        </w:rPr>
        <w:t>2</w:t>
      </w:r>
      <w:r>
        <w:rPr/>
        <w:t>）因慢性过度换气导致胸廓畸形；</w:t>
      </w:r>
    </w:p>
    <w:p>
      <w:pPr>
        <w:pStyle w:val="BodyText"/>
        <w:spacing w:before="20"/>
        <w:ind w:left="3898"/>
        <w:jc w:val="both"/>
      </w:pPr>
      <w:r>
        <w:rPr/>
        <w:t>（</w:t>
      </w:r>
      <w:r>
        <w:rPr>
          <w:rFonts w:ascii="Times New Roman" w:eastAsia="Times New Roman"/>
        </w:rPr>
        <w:t>3</w:t>
      </w:r>
      <w:r>
        <w:rPr/>
        <w:t>）在家中需要医生处方的氧气治疗法；</w:t>
      </w:r>
    </w:p>
    <w:p>
      <w:pPr>
        <w:pStyle w:val="BodyText"/>
        <w:spacing w:line="256" w:lineRule="auto" w:before="20"/>
        <w:ind w:left="3898" w:right="865"/>
      </w:pPr>
      <w:r>
        <w:rPr/>
        <w:t>（</w:t>
      </w:r>
      <w:r>
        <w:rPr>
          <w:rFonts w:ascii="Times New Roman" w:eastAsia="Times New Roman"/>
        </w:rPr>
        <w:t>4</w:t>
      </w:r>
      <w:r>
        <w:rPr/>
        <w:t>）持续日常服用口服类固醇激素治疗持续至少六个月。被保险人申请理赔时年龄必须在年满二十五周岁之前。</w:t>
      </w:r>
    </w:p>
    <w:p>
      <w:pPr>
        <w:spacing w:after="0" w:line="256" w:lineRule="auto"/>
        <w:sectPr>
          <w:pgSz w:w="11910" w:h="16160"/>
          <w:pgMar w:header="0" w:footer="631" w:top="1360" w:bottom="82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125"/>
        <w:gridCol w:w="6634"/>
      </w:tblGrid>
      <w:tr>
        <w:trPr>
          <w:trHeight w:val="1826" w:hRule="atLeast"/>
        </w:trPr>
        <w:tc>
          <w:tcPr>
            <w:tcW w:w="542" w:type="dxa"/>
          </w:tcPr>
          <w:p>
            <w:pPr>
              <w:pStyle w:val="TableParagraph"/>
              <w:spacing w:line="234" w:lineRule="exact"/>
              <w:ind w:right="75"/>
              <w:jc w:val="right"/>
              <w:rPr>
                <w:rFonts w:ascii="Times New Roman"/>
                <w:sz w:val="21"/>
              </w:rPr>
            </w:pPr>
            <w:r>
              <w:rPr>
                <w:rFonts w:ascii="Times New Roman"/>
                <w:sz w:val="21"/>
              </w:rPr>
              <w:t>41.</w:t>
            </w:r>
          </w:p>
        </w:tc>
        <w:tc>
          <w:tcPr>
            <w:tcW w:w="3125" w:type="dxa"/>
          </w:tcPr>
          <w:p>
            <w:pPr>
              <w:pStyle w:val="TableParagraph"/>
              <w:spacing w:line="220" w:lineRule="exact"/>
              <w:ind w:left="78"/>
              <w:rPr>
                <w:sz w:val="21"/>
              </w:rPr>
            </w:pPr>
            <w:r>
              <w:rPr>
                <w:sz w:val="21"/>
              </w:rPr>
              <w:t>肾髓质囊性病</w:t>
            </w:r>
          </w:p>
        </w:tc>
        <w:tc>
          <w:tcPr>
            <w:tcW w:w="6634" w:type="dxa"/>
          </w:tcPr>
          <w:p>
            <w:pPr>
              <w:pStyle w:val="TableParagraph"/>
              <w:spacing w:line="220" w:lineRule="exact"/>
              <w:ind w:left="313"/>
              <w:rPr>
                <w:sz w:val="21"/>
              </w:rPr>
            </w:pPr>
            <w:r>
              <w:rPr>
                <w:sz w:val="21"/>
              </w:rPr>
              <w:t>肾髓质囊性病的诊断须同时符合下列要求：</w:t>
            </w:r>
          </w:p>
          <w:p>
            <w:pPr>
              <w:pStyle w:val="TableParagraph"/>
              <w:spacing w:before="37"/>
              <w:ind w:left="313"/>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313"/>
              <w:rPr>
                <w:sz w:val="21"/>
              </w:rPr>
            </w:pPr>
            <w:r>
              <w:rPr>
                <w:sz w:val="21"/>
              </w:rPr>
              <w:t>（</w:t>
            </w:r>
            <w:r>
              <w:rPr>
                <w:rFonts w:ascii="Times New Roman" w:eastAsia="Times New Roman"/>
                <w:sz w:val="21"/>
              </w:rPr>
              <w:t>2</w:t>
            </w:r>
            <w:r>
              <w:rPr>
                <w:sz w:val="21"/>
              </w:rPr>
              <w:t>）肾功能衰竭；</w:t>
            </w:r>
          </w:p>
          <w:p>
            <w:pPr>
              <w:pStyle w:val="TableParagraph"/>
              <w:spacing w:before="20"/>
              <w:ind w:left="313"/>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313" w:right="196"/>
              <w:rPr>
                <w:sz w:val="21"/>
              </w:rPr>
            </w:pPr>
            <w:r>
              <w:rPr>
                <w:sz w:val="21"/>
              </w:rPr>
              <w:t>我们承担本项疾病责任不受本附加合同第八条“责任免除”中“遗传性疾病，先天性畸形、变形或染色体异常”的限制。</w:t>
            </w:r>
          </w:p>
        </w:tc>
      </w:tr>
      <w:tr>
        <w:trPr>
          <w:trHeight w:val="1880" w:hRule="atLeast"/>
        </w:trPr>
        <w:tc>
          <w:tcPr>
            <w:tcW w:w="542" w:type="dxa"/>
          </w:tcPr>
          <w:p>
            <w:pPr>
              <w:pStyle w:val="TableParagraph"/>
              <w:spacing w:before="38"/>
              <w:ind w:right="75"/>
              <w:jc w:val="right"/>
              <w:rPr>
                <w:rFonts w:ascii="Times New Roman"/>
                <w:sz w:val="21"/>
              </w:rPr>
            </w:pPr>
            <w:r>
              <w:rPr>
                <w:rFonts w:ascii="Times New Roman"/>
                <w:sz w:val="21"/>
              </w:rPr>
              <w:t>42.</w:t>
            </w:r>
          </w:p>
        </w:tc>
        <w:tc>
          <w:tcPr>
            <w:tcW w:w="3125" w:type="dxa"/>
          </w:tcPr>
          <w:p>
            <w:pPr>
              <w:pStyle w:val="TableParagraph"/>
              <w:spacing w:line="266" w:lineRule="exact"/>
              <w:ind w:left="78"/>
              <w:rPr>
                <w:sz w:val="21"/>
              </w:rPr>
            </w:pPr>
            <w:r>
              <w:rPr>
                <w:sz w:val="21"/>
              </w:rPr>
              <w:t>重症急性坏死性筋膜炎</w:t>
            </w:r>
          </w:p>
        </w:tc>
        <w:tc>
          <w:tcPr>
            <w:tcW w:w="6634" w:type="dxa"/>
          </w:tcPr>
          <w:p>
            <w:pPr>
              <w:pStyle w:val="TableParagraph"/>
              <w:spacing w:line="273" w:lineRule="auto"/>
              <w:ind w:left="313" w:right="197"/>
              <w:jc w:val="both"/>
              <w:rPr>
                <w:sz w:val="21"/>
              </w:rPr>
            </w:pPr>
            <w:r>
              <w:rPr>
                <w:sz w:val="21"/>
              </w:rPr>
              <w:t>是一种由细菌侵入皮下组织和筋膜引起的急性坏死性软组织感染， 可伴有毒血症、败血症、中毒性休克、弥漫性血管内凝血及多器官衰竭。必须满足以下所有条件：</w:t>
            </w:r>
          </w:p>
          <w:p>
            <w:pPr>
              <w:pStyle w:val="TableParagraph"/>
              <w:spacing w:before="16"/>
              <w:ind w:left="313"/>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313"/>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1"/>
              <w:ind w:left="313"/>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42" w:type="dxa"/>
          </w:tcPr>
          <w:p>
            <w:pPr>
              <w:pStyle w:val="TableParagraph"/>
              <w:spacing w:before="30"/>
              <w:ind w:right="75"/>
              <w:jc w:val="right"/>
              <w:rPr>
                <w:rFonts w:ascii="Times New Roman"/>
                <w:sz w:val="21"/>
              </w:rPr>
            </w:pPr>
            <w:r>
              <w:rPr>
                <w:rFonts w:ascii="Times New Roman"/>
                <w:sz w:val="21"/>
              </w:rPr>
              <w:t>43.</w:t>
            </w:r>
          </w:p>
        </w:tc>
        <w:tc>
          <w:tcPr>
            <w:tcW w:w="3125" w:type="dxa"/>
          </w:tcPr>
          <w:p>
            <w:pPr>
              <w:pStyle w:val="TableParagraph"/>
              <w:spacing w:line="258" w:lineRule="exact"/>
              <w:ind w:left="78"/>
              <w:rPr>
                <w:sz w:val="21"/>
              </w:rPr>
            </w:pPr>
            <w:r>
              <w:rPr>
                <w:sz w:val="21"/>
              </w:rPr>
              <w:t>慢性呼吸功能衰竭终末期肺病</w:t>
            </w:r>
          </w:p>
        </w:tc>
        <w:tc>
          <w:tcPr>
            <w:tcW w:w="6634" w:type="dxa"/>
          </w:tcPr>
          <w:p>
            <w:pPr>
              <w:pStyle w:val="TableParagraph"/>
              <w:spacing w:line="258" w:lineRule="exact"/>
              <w:ind w:left="313"/>
              <w:rPr>
                <w:sz w:val="21"/>
              </w:rPr>
            </w:pPr>
            <w:r>
              <w:rPr>
                <w:sz w:val="21"/>
              </w:rPr>
              <w:t>指慢性肺部疾病导致永久不可逆性的慢性呼吸功能衰竭，必须由呼</w:t>
            </w:r>
          </w:p>
          <w:p>
            <w:pPr>
              <w:pStyle w:val="TableParagraph"/>
              <w:spacing w:before="37"/>
              <w:ind w:left="313"/>
              <w:rPr>
                <w:sz w:val="21"/>
              </w:rPr>
            </w:pPr>
            <w:r>
              <w:rPr>
                <w:sz w:val="21"/>
              </w:rPr>
              <w:t>吸专科医师确认并符合下列所有条件：</w:t>
            </w:r>
          </w:p>
          <w:p>
            <w:pPr>
              <w:pStyle w:val="TableParagraph"/>
              <w:spacing w:before="37"/>
              <w:ind w:left="313"/>
              <w:rPr>
                <w:sz w:val="21"/>
              </w:rPr>
            </w:pPr>
            <w:r>
              <w:rPr>
                <w:sz w:val="21"/>
              </w:rPr>
              <w:t>（</w:t>
            </w:r>
            <w:r>
              <w:rPr>
                <w:rFonts w:ascii="Times New Roman" w:eastAsia="Times New Roman"/>
                <w:sz w:val="21"/>
              </w:rPr>
              <w:t>1</w:t>
            </w:r>
            <w:r>
              <w:rPr>
                <w:sz w:val="21"/>
              </w:rPr>
              <w:t>）休息时出现呼吸困难；</w:t>
            </w:r>
          </w:p>
          <w:p>
            <w:pPr>
              <w:pStyle w:val="TableParagraph"/>
              <w:spacing w:before="21"/>
              <w:ind w:left="313"/>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21"/>
              <w:ind w:left="313"/>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before="21"/>
              <w:ind w:left="313"/>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42" w:type="dxa"/>
          </w:tcPr>
          <w:p>
            <w:pPr>
              <w:pStyle w:val="TableParagraph"/>
              <w:spacing w:before="30"/>
              <w:ind w:right="75"/>
              <w:jc w:val="right"/>
              <w:rPr>
                <w:rFonts w:ascii="Times New Roman"/>
                <w:sz w:val="21"/>
              </w:rPr>
            </w:pPr>
            <w:r>
              <w:rPr>
                <w:rFonts w:ascii="Times New Roman"/>
                <w:sz w:val="21"/>
              </w:rPr>
              <w:t>44.</w:t>
            </w:r>
          </w:p>
        </w:tc>
        <w:tc>
          <w:tcPr>
            <w:tcW w:w="3125" w:type="dxa"/>
          </w:tcPr>
          <w:p>
            <w:pPr>
              <w:pStyle w:val="TableParagraph"/>
              <w:spacing w:line="258" w:lineRule="exact"/>
              <w:ind w:left="78"/>
              <w:rPr>
                <w:sz w:val="21"/>
              </w:rPr>
            </w:pPr>
            <w:r>
              <w:rPr>
                <w:sz w:val="21"/>
              </w:rPr>
              <w:t>胰腺移植</w:t>
            </w:r>
          </w:p>
        </w:tc>
        <w:tc>
          <w:tcPr>
            <w:tcW w:w="6634" w:type="dxa"/>
          </w:tcPr>
          <w:p>
            <w:pPr>
              <w:pStyle w:val="TableParagraph"/>
              <w:spacing w:line="258" w:lineRule="exact"/>
              <w:ind w:left="313"/>
              <w:rPr>
                <w:sz w:val="21"/>
              </w:rPr>
            </w:pPr>
            <w:r>
              <w:rPr>
                <w:sz w:val="21"/>
              </w:rPr>
              <w:t>指因胰腺功能衰竭，已经实施了在全身麻醉下进行的胰腺的异体器</w:t>
            </w:r>
          </w:p>
          <w:p>
            <w:pPr>
              <w:pStyle w:val="TableParagraph"/>
              <w:spacing w:before="37"/>
              <w:ind w:left="313"/>
              <w:rPr>
                <w:sz w:val="21"/>
              </w:rPr>
            </w:pPr>
            <w:r>
              <w:rPr>
                <w:spacing w:val="-2"/>
                <w:sz w:val="21"/>
              </w:rPr>
              <w:t>官移植手术</w:t>
            </w:r>
            <w:r>
              <w:rPr>
                <w:sz w:val="21"/>
              </w:rPr>
              <w:t>（</w:t>
            </w:r>
            <w:r>
              <w:rPr>
                <w:spacing w:val="-3"/>
                <w:sz w:val="21"/>
              </w:rPr>
              <w:t>供体必须是人体器官</w:t>
            </w:r>
            <w:r>
              <w:rPr>
                <w:spacing w:val="-108"/>
                <w:sz w:val="21"/>
              </w:rPr>
              <w:t>）</w:t>
            </w:r>
            <w:r>
              <w:rPr>
                <w:sz w:val="21"/>
              </w:rPr>
              <w:t>。</w:t>
            </w:r>
          </w:p>
          <w:p>
            <w:pPr>
              <w:pStyle w:val="TableParagraph"/>
              <w:spacing w:before="37"/>
              <w:ind w:left="313"/>
              <w:rPr>
                <w:b/>
                <w:sz w:val="21"/>
              </w:rPr>
            </w:pPr>
            <w:r>
              <w:rPr>
                <w:b/>
                <w:sz w:val="21"/>
              </w:rPr>
              <w:t>单纯胰岛移植、部分胰腺组织或细胞的移植不在保障范围内。</w:t>
            </w:r>
          </w:p>
        </w:tc>
      </w:tr>
      <w:tr>
        <w:trPr>
          <w:trHeight w:val="944" w:hRule="atLeast"/>
        </w:trPr>
        <w:tc>
          <w:tcPr>
            <w:tcW w:w="542" w:type="dxa"/>
          </w:tcPr>
          <w:p>
            <w:pPr>
              <w:pStyle w:val="TableParagraph"/>
              <w:spacing w:before="38"/>
              <w:ind w:right="77"/>
              <w:jc w:val="right"/>
              <w:rPr>
                <w:rFonts w:ascii="Times New Roman"/>
                <w:sz w:val="21"/>
              </w:rPr>
            </w:pPr>
            <w:r>
              <w:rPr>
                <w:rFonts w:ascii="Times New Roman"/>
                <w:sz w:val="21"/>
              </w:rPr>
              <w:t>45.</w:t>
            </w:r>
          </w:p>
        </w:tc>
        <w:tc>
          <w:tcPr>
            <w:tcW w:w="3125" w:type="dxa"/>
          </w:tcPr>
          <w:p>
            <w:pPr>
              <w:pStyle w:val="TableParagraph"/>
              <w:spacing w:line="266" w:lineRule="exact"/>
              <w:ind w:left="78"/>
              <w:rPr>
                <w:sz w:val="21"/>
              </w:rPr>
            </w:pPr>
            <w:r>
              <w:rPr>
                <w:sz w:val="21"/>
              </w:rPr>
              <w:t>埃博拉病毒感染</w:t>
            </w:r>
          </w:p>
        </w:tc>
        <w:tc>
          <w:tcPr>
            <w:tcW w:w="6634" w:type="dxa"/>
          </w:tcPr>
          <w:p>
            <w:pPr>
              <w:pStyle w:val="TableParagraph"/>
              <w:spacing w:line="266" w:lineRule="exact"/>
              <w:ind w:left="313"/>
              <w:rPr>
                <w:sz w:val="21"/>
              </w:rPr>
            </w:pPr>
            <w:r>
              <w:rPr>
                <w:sz w:val="21"/>
              </w:rPr>
              <w:t>指受埃博拉病毒感染导致出血性发热。埃博拉病必须经国家机关认</w:t>
            </w:r>
          </w:p>
          <w:p>
            <w:pPr>
              <w:pStyle w:val="TableParagraph"/>
              <w:spacing w:line="312" w:lineRule="exact" w:before="33"/>
              <w:ind w:left="313" w:right="196"/>
              <w:rPr>
                <w:sz w:val="21"/>
              </w:rPr>
            </w:pPr>
            <w:r>
              <w:rPr>
                <w:sz w:val="21"/>
              </w:rPr>
              <w:t>可的有合法资质的传染病专家确诊，并且埃博拉病毒的存在必须经过实验室检查证实。该病必须从症状开始后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42" w:type="dxa"/>
          </w:tcPr>
          <w:p>
            <w:pPr>
              <w:pStyle w:val="TableParagraph"/>
              <w:spacing w:before="30"/>
              <w:ind w:right="75"/>
              <w:jc w:val="right"/>
              <w:rPr>
                <w:rFonts w:ascii="Times New Roman"/>
                <w:sz w:val="21"/>
              </w:rPr>
            </w:pPr>
            <w:r>
              <w:rPr>
                <w:rFonts w:ascii="Times New Roman"/>
                <w:sz w:val="21"/>
              </w:rPr>
              <w:t>46.</w:t>
            </w:r>
          </w:p>
        </w:tc>
        <w:tc>
          <w:tcPr>
            <w:tcW w:w="3125" w:type="dxa"/>
          </w:tcPr>
          <w:p>
            <w:pPr>
              <w:pStyle w:val="TableParagraph"/>
              <w:spacing w:line="258" w:lineRule="exact"/>
              <w:ind w:left="78"/>
              <w:rPr>
                <w:sz w:val="21"/>
              </w:rPr>
            </w:pPr>
            <w:r>
              <w:rPr>
                <w:sz w:val="21"/>
              </w:rPr>
              <w:t>破裂脑动脉瘤夹闭手术</w:t>
            </w:r>
          </w:p>
        </w:tc>
        <w:tc>
          <w:tcPr>
            <w:tcW w:w="6634" w:type="dxa"/>
          </w:tcPr>
          <w:p>
            <w:pPr>
              <w:pStyle w:val="TableParagraph"/>
              <w:spacing w:line="258" w:lineRule="exact"/>
              <w:ind w:left="313"/>
              <w:rPr>
                <w:sz w:val="21"/>
              </w:rPr>
            </w:pPr>
            <w:r>
              <w:rPr>
                <w:sz w:val="21"/>
              </w:rPr>
              <w:t>指因脑动脉瘤破裂造成蛛网膜下腔出血，被保险人实际接受了在全</w:t>
            </w:r>
          </w:p>
          <w:p>
            <w:pPr>
              <w:pStyle w:val="TableParagraph"/>
              <w:spacing w:before="37"/>
              <w:ind w:left="313"/>
              <w:rPr>
                <w:sz w:val="21"/>
              </w:rPr>
            </w:pPr>
            <w:r>
              <w:rPr>
                <w:sz w:val="21"/>
              </w:rPr>
              <w:t>麻下进行的开颅动脉瘤夹闭手术。</w:t>
            </w:r>
          </w:p>
          <w:p>
            <w:pPr>
              <w:pStyle w:val="TableParagraph"/>
              <w:spacing w:line="310" w:lineRule="atLeast" w:before="2"/>
              <w:ind w:left="313" w:right="303"/>
              <w:rPr>
                <w:b/>
                <w:sz w:val="21"/>
              </w:rPr>
            </w:pPr>
            <w:r>
              <w:rPr>
                <w:b/>
                <w:spacing w:val="-7"/>
                <w:sz w:val="21"/>
              </w:rPr>
              <w:t>脑动脉瘤</w:t>
            </w:r>
            <w:r>
              <w:rPr>
                <w:b/>
                <w:sz w:val="21"/>
              </w:rPr>
              <w:t>（未破裂</w:t>
            </w:r>
            <w:r>
              <w:rPr>
                <w:b/>
                <w:spacing w:val="-27"/>
                <w:sz w:val="21"/>
              </w:rPr>
              <w:t>）</w:t>
            </w:r>
            <w:r>
              <w:rPr>
                <w:b/>
                <w:spacing w:val="-8"/>
                <w:sz w:val="21"/>
              </w:rPr>
              <w:t>预防性手术、颅骨打孔手术、动脉瘤栓塞手术血管内手术及其他颅脑手术不在保障范围内。</w:t>
            </w:r>
          </w:p>
        </w:tc>
      </w:tr>
      <w:tr>
        <w:trPr>
          <w:trHeight w:val="943" w:hRule="atLeast"/>
        </w:trPr>
        <w:tc>
          <w:tcPr>
            <w:tcW w:w="542" w:type="dxa"/>
          </w:tcPr>
          <w:p>
            <w:pPr>
              <w:pStyle w:val="TableParagraph"/>
              <w:spacing w:before="38"/>
              <w:ind w:right="75"/>
              <w:jc w:val="right"/>
              <w:rPr>
                <w:rFonts w:ascii="Times New Roman"/>
                <w:sz w:val="21"/>
              </w:rPr>
            </w:pPr>
            <w:r>
              <w:rPr>
                <w:rFonts w:ascii="Times New Roman"/>
                <w:sz w:val="21"/>
              </w:rPr>
              <w:t>47.</w:t>
            </w:r>
          </w:p>
        </w:tc>
        <w:tc>
          <w:tcPr>
            <w:tcW w:w="3125" w:type="dxa"/>
          </w:tcPr>
          <w:p>
            <w:pPr>
              <w:pStyle w:val="TableParagraph"/>
              <w:spacing w:line="266" w:lineRule="exact"/>
              <w:ind w:left="78"/>
              <w:rPr>
                <w:sz w:val="21"/>
              </w:rPr>
            </w:pPr>
            <w:r>
              <w:rPr>
                <w:sz w:val="21"/>
              </w:rPr>
              <w:t>丝虫病所致象皮肿</w:t>
            </w:r>
          </w:p>
        </w:tc>
        <w:tc>
          <w:tcPr>
            <w:tcW w:w="6634" w:type="dxa"/>
          </w:tcPr>
          <w:p>
            <w:pPr>
              <w:pStyle w:val="TableParagraph"/>
              <w:spacing w:line="273" w:lineRule="auto"/>
              <w:ind w:left="313" w:right="197"/>
              <w:rPr>
                <w:sz w:val="21"/>
              </w:rPr>
            </w:pPr>
            <w:r>
              <w:rPr>
                <w:spacing w:val="-2"/>
                <w:sz w:val="21"/>
              </w:rPr>
              <w:t>指因丝虫感染导致淋巴阻塞性出现严重淋巴水肿，达到国际淋巴学</w:t>
            </w:r>
            <w:r>
              <w:rPr>
                <w:spacing w:val="-7"/>
                <w:sz w:val="21"/>
              </w:rPr>
              <w:t>会淋巴水肿分期第 </w:t>
            </w:r>
            <w:r>
              <w:rPr>
                <w:rFonts w:ascii="Times New Roman" w:eastAsia="Times New Roman"/>
                <w:sz w:val="21"/>
              </w:rPr>
              <w:t>III </w:t>
            </w:r>
            <w:r>
              <w:rPr>
                <w:spacing w:val="-11"/>
                <w:sz w:val="21"/>
              </w:rPr>
              <w:t>期，临床表现为肢体象皮肿，患肢较健肢增粗</w:t>
            </w:r>
          </w:p>
          <w:p>
            <w:pPr>
              <w:pStyle w:val="TableParagraph"/>
              <w:spacing w:line="279" w:lineRule="exact" w:before="9"/>
              <w:ind w:left="313"/>
              <w:rPr>
                <w:sz w:val="21"/>
              </w:rPr>
            </w:pPr>
            <w:r>
              <w:rPr>
                <w:rFonts w:ascii="Times New Roman" w:eastAsia="Times New Roman"/>
                <w:sz w:val="21"/>
              </w:rPr>
              <w:t>30%</w:t>
            </w:r>
            <w:r>
              <w:rPr>
                <w:sz w:val="21"/>
              </w:rPr>
              <w:t>以上，日常生活不能自理。</w:t>
            </w:r>
          </w:p>
        </w:tc>
      </w:tr>
      <w:tr>
        <w:trPr>
          <w:trHeight w:val="1240" w:hRule="atLeast"/>
        </w:trPr>
        <w:tc>
          <w:tcPr>
            <w:tcW w:w="542" w:type="dxa"/>
          </w:tcPr>
          <w:p>
            <w:pPr>
              <w:pStyle w:val="TableParagraph"/>
              <w:spacing w:before="30"/>
              <w:ind w:right="75"/>
              <w:jc w:val="right"/>
              <w:rPr>
                <w:rFonts w:ascii="Times New Roman"/>
                <w:sz w:val="21"/>
              </w:rPr>
            </w:pPr>
            <w:r>
              <w:rPr>
                <w:rFonts w:ascii="Times New Roman"/>
                <w:sz w:val="21"/>
              </w:rPr>
              <w:t>48.</w:t>
            </w:r>
          </w:p>
        </w:tc>
        <w:tc>
          <w:tcPr>
            <w:tcW w:w="3125" w:type="dxa"/>
          </w:tcPr>
          <w:p>
            <w:pPr>
              <w:pStyle w:val="TableParagraph"/>
              <w:spacing w:line="258" w:lineRule="exact"/>
              <w:ind w:left="78"/>
              <w:rPr>
                <w:sz w:val="21"/>
              </w:rPr>
            </w:pPr>
            <w:r>
              <w:rPr>
                <w:sz w:val="21"/>
              </w:rPr>
              <w:t>急性坏死性胰腺炎开腹手术</w:t>
            </w:r>
          </w:p>
        </w:tc>
        <w:tc>
          <w:tcPr>
            <w:tcW w:w="6634" w:type="dxa"/>
          </w:tcPr>
          <w:p>
            <w:pPr>
              <w:pStyle w:val="TableParagraph"/>
              <w:spacing w:line="258" w:lineRule="exact"/>
              <w:ind w:left="313"/>
              <w:rPr>
                <w:sz w:val="21"/>
              </w:rPr>
            </w:pPr>
            <w:r>
              <w:rPr>
                <w:sz w:val="21"/>
              </w:rPr>
              <w:t>指为治疗急性坏死性胰腺炎，实际实施了开腹进行的坏死组织清除</w:t>
            </w:r>
          </w:p>
          <w:p>
            <w:pPr>
              <w:pStyle w:val="TableParagraph"/>
              <w:spacing w:before="37"/>
              <w:ind w:left="313"/>
              <w:rPr>
                <w:sz w:val="21"/>
              </w:rPr>
            </w:pPr>
            <w:r>
              <w:rPr>
                <w:sz w:val="21"/>
              </w:rPr>
              <w:t>术、病灶切除术或胰腺部分切除术。</w:t>
            </w:r>
          </w:p>
          <w:p>
            <w:pPr>
              <w:pStyle w:val="TableParagraph"/>
              <w:spacing w:line="310" w:lineRule="atLeast" w:before="2"/>
              <w:ind w:left="313" w:right="197"/>
              <w:rPr>
                <w:sz w:val="21"/>
              </w:rPr>
            </w:pPr>
            <w:r>
              <w:rPr>
                <w:b/>
                <w:sz w:val="21"/>
              </w:rPr>
              <w:t>为治疗因酒精中毒引起的急性坏死性胰腺炎的开腹手术不在保障范围内</w:t>
            </w:r>
            <w:r>
              <w:rPr>
                <w:sz w:val="21"/>
              </w:rPr>
              <w:t>。</w:t>
            </w:r>
          </w:p>
        </w:tc>
      </w:tr>
      <w:tr>
        <w:trPr>
          <w:trHeight w:val="1560" w:hRule="atLeast"/>
        </w:trPr>
        <w:tc>
          <w:tcPr>
            <w:tcW w:w="542" w:type="dxa"/>
          </w:tcPr>
          <w:p>
            <w:pPr>
              <w:pStyle w:val="TableParagraph"/>
              <w:spacing w:before="38"/>
              <w:ind w:right="75"/>
              <w:jc w:val="right"/>
              <w:rPr>
                <w:rFonts w:ascii="Times New Roman"/>
                <w:sz w:val="21"/>
              </w:rPr>
            </w:pPr>
            <w:r>
              <w:rPr>
                <w:rFonts w:ascii="Times New Roman"/>
                <w:sz w:val="21"/>
              </w:rPr>
              <w:t>49.</w:t>
            </w:r>
          </w:p>
        </w:tc>
        <w:tc>
          <w:tcPr>
            <w:tcW w:w="3125" w:type="dxa"/>
          </w:tcPr>
          <w:p>
            <w:pPr>
              <w:pStyle w:val="TableParagraph"/>
              <w:spacing w:line="266" w:lineRule="exact"/>
              <w:ind w:left="78"/>
              <w:rPr>
                <w:sz w:val="21"/>
              </w:rPr>
            </w:pPr>
            <w:r>
              <w:rPr>
                <w:sz w:val="21"/>
              </w:rPr>
              <w:t>主动脉夹层血肿</w:t>
            </w:r>
          </w:p>
        </w:tc>
        <w:tc>
          <w:tcPr>
            <w:tcW w:w="6634" w:type="dxa"/>
          </w:tcPr>
          <w:p>
            <w:pPr>
              <w:pStyle w:val="TableParagraph"/>
              <w:spacing w:line="264" w:lineRule="auto"/>
              <w:ind w:left="313" w:right="197"/>
              <w:rPr>
                <w:sz w:val="21"/>
              </w:rPr>
            </w:pPr>
            <w:r>
              <w:rPr>
                <w:spacing w:val="-2"/>
                <w:sz w:val="21"/>
              </w:rPr>
              <w:t>是指主动脉壁在受到某些病理因素的破坏后，高速、高压的主动脉</w:t>
            </w:r>
            <w:r>
              <w:rPr>
                <w:spacing w:val="-3"/>
                <w:sz w:val="21"/>
              </w:rPr>
              <w:t>血流将其内膜撕裂，以致主动脉腔内的血流通过主动脉内膜的破裂</w:t>
            </w:r>
            <w:r>
              <w:rPr>
                <w:w w:val="100"/>
                <w:sz w:val="21"/>
              </w:rPr>
              <w:t>口进入主动脉内壁而形成血肿。被保险人需通过断层扫描</w:t>
            </w:r>
            <w:r>
              <w:rPr>
                <w:spacing w:val="7"/>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4"/>
                <w:w w:val="100"/>
                <w:sz w:val="21"/>
              </w:rPr>
              <w:t>）、</w:t>
            </w:r>
            <w:r>
              <w:rPr>
                <w:spacing w:val="1"/>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0"/>
                <w:w w:val="100"/>
                <w:sz w:val="21"/>
              </w:rPr>
              <w:t>I</w:t>
            </w:r>
            <w:r>
              <w:rPr>
                <w:spacing w:val="-104"/>
                <w:w w:val="100"/>
                <w:sz w:val="21"/>
              </w:rPr>
              <w:t>）</w:t>
            </w:r>
            <w:r>
              <w:rPr>
                <w:w w:val="100"/>
                <w:sz w:val="21"/>
              </w:rPr>
              <w:t>、磁共振血管检验法</w:t>
            </w:r>
            <w:r>
              <w:rPr>
                <w:spacing w:val="7"/>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2"/>
                <w:w w:val="100"/>
                <w:sz w:val="21"/>
              </w:rPr>
              <w:t>A</w:t>
            </w:r>
            <w:r>
              <w:rPr>
                <w:w w:val="100"/>
                <w:sz w:val="21"/>
              </w:rPr>
              <w:t>）或血管扫描等</w:t>
            </w:r>
            <w:r>
              <w:rPr>
                <w:spacing w:val="-3"/>
                <w:sz w:val="21"/>
              </w:rPr>
              <w:t>检查，并且实施了胸腹切开的直视主动脉手术。</w:t>
            </w:r>
          </w:p>
        </w:tc>
      </w:tr>
      <w:tr>
        <w:trPr>
          <w:trHeight w:val="1218" w:hRule="atLeast"/>
        </w:trPr>
        <w:tc>
          <w:tcPr>
            <w:tcW w:w="542" w:type="dxa"/>
          </w:tcPr>
          <w:p>
            <w:pPr>
              <w:pStyle w:val="TableParagraph"/>
              <w:spacing w:before="38"/>
              <w:ind w:right="75"/>
              <w:jc w:val="right"/>
              <w:rPr>
                <w:rFonts w:ascii="Times New Roman"/>
                <w:sz w:val="21"/>
              </w:rPr>
            </w:pPr>
            <w:r>
              <w:rPr>
                <w:rFonts w:ascii="Times New Roman"/>
                <w:sz w:val="21"/>
              </w:rPr>
              <w:t>50.</w:t>
            </w:r>
          </w:p>
        </w:tc>
        <w:tc>
          <w:tcPr>
            <w:tcW w:w="3125" w:type="dxa"/>
          </w:tcPr>
          <w:p>
            <w:pPr>
              <w:pStyle w:val="TableParagraph"/>
              <w:spacing w:line="266" w:lineRule="exact"/>
              <w:ind w:left="78"/>
              <w:rPr>
                <w:sz w:val="21"/>
              </w:rPr>
            </w:pPr>
            <w:r>
              <w:rPr>
                <w:sz w:val="21"/>
              </w:rPr>
              <w:t>系统性硬皮病</w:t>
            </w:r>
          </w:p>
        </w:tc>
        <w:tc>
          <w:tcPr>
            <w:tcW w:w="6634" w:type="dxa"/>
          </w:tcPr>
          <w:p>
            <w:pPr>
              <w:pStyle w:val="TableParagraph"/>
              <w:spacing w:line="273" w:lineRule="auto"/>
              <w:ind w:left="313" w:right="197"/>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line="271" w:lineRule="exact" w:before="16"/>
              <w:ind w:left="313"/>
              <w:jc w:val="both"/>
              <w:rPr>
                <w:sz w:val="21"/>
              </w:rPr>
            </w:pPr>
            <w:r>
              <w:rPr>
                <w:sz w:val="21"/>
              </w:rPr>
              <w:t>（</w:t>
            </w:r>
            <w:r>
              <w:rPr>
                <w:rFonts w:ascii="Times New Roman" w:eastAsia="Times New Roman"/>
                <w:sz w:val="21"/>
              </w:rPr>
              <w:t>1</w:t>
            </w:r>
            <w:r>
              <w:rPr>
                <w:sz w:val="21"/>
              </w:rPr>
              <w:t>）肺脏：肺部病变进而发展为肺间质纤维化和肺动脉高压；</w:t>
            </w:r>
          </w:p>
        </w:tc>
      </w:tr>
    </w:tbl>
    <w:p>
      <w:pPr>
        <w:spacing w:after="0" w:line="271" w:lineRule="exact"/>
        <w:jc w:val="both"/>
        <w:rPr>
          <w:sz w:val="21"/>
        </w:rPr>
        <w:sectPr>
          <w:pgSz w:w="11910" w:h="16160"/>
          <w:pgMar w:header="0" w:footer="631" w:top="1420" w:bottom="82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837"/>
        <w:gridCol w:w="6925"/>
      </w:tblGrid>
      <w:tr>
        <w:trPr>
          <w:trHeight w:val="896" w:hRule="atLeast"/>
        </w:trPr>
        <w:tc>
          <w:tcPr>
            <w:tcW w:w="542" w:type="dxa"/>
          </w:tcPr>
          <w:p>
            <w:pPr>
              <w:pStyle w:val="TableParagraph"/>
              <w:rPr>
                <w:rFonts w:ascii="Times New Roman"/>
                <w:sz w:val="20"/>
              </w:rPr>
            </w:pPr>
          </w:p>
        </w:tc>
        <w:tc>
          <w:tcPr>
            <w:tcW w:w="2837" w:type="dxa"/>
          </w:tcPr>
          <w:p>
            <w:pPr>
              <w:pStyle w:val="TableParagraph"/>
              <w:rPr>
                <w:rFonts w:ascii="Times New Roman"/>
                <w:sz w:val="20"/>
              </w:rPr>
            </w:pPr>
          </w:p>
        </w:tc>
        <w:tc>
          <w:tcPr>
            <w:tcW w:w="6925" w:type="dxa"/>
          </w:tcPr>
          <w:p>
            <w:pPr>
              <w:pStyle w:val="TableParagraph"/>
              <w:spacing w:line="234" w:lineRule="exact"/>
              <w:ind w:left="602"/>
              <w:rPr>
                <w:rFonts w:ascii="Times New Roman" w:eastAsia="Times New Roman"/>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p>
          <w:p>
            <w:pPr>
              <w:pStyle w:val="TableParagraph"/>
              <w:spacing w:before="21"/>
              <w:ind w:left="602"/>
              <w:rPr>
                <w:sz w:val="21"/>
              </w:rPr>
            </w:pPr>
            <w:r>
              <w:rPr>
                <w:sz w:val="21"/>
              </w:rPr>
              <w:t>级；</w:t>
            </w:r>
          </w:p>
          <w:p>
            <w:pPr>
              <w:pStyle w:val="TableParagraph"/>
              <w:spacing w:before="36"/>
              <w:ind w:left="602"/>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42" w:type="dxa"/>
          </w:tcPr>
          <w:p>
            <w:pPr>
              <w:pStyle w:val="TableParagraph"/>
              <w:spacing w:before="30"/>
              <w:ind w:right="75"/>
              <w:jc w:val="right"/>
              <w:rPr>
                <w:rFonts w:ascii="Times New Roman"/>
                <w:sz w:val="21"/>
              </w:rPr>
            </w:pPr>
            <w:r>
              <w:rPr>
                <w:rFonts w:ascii="Times New Roman"/>
                <w:sz w:val="21"/>
              </w:rPr>
              <w:t>51.</w:t>
            </w:r>
          </w:p>
        </w:tc>
        <w:tc>
          <w:tcPr>
            <w:tcW w:w="2837" w:type="dxa"/>
          </w:tcPr>
          <w:p>
            <w:pPr>
              <w:pStyle w:val="TableParagraph"/>
              <w:spacing w:line="258" w:lineRule="exact"/>
              <w:ind w:left="78"/>
              <w:rPr>
                <w:sz w:val="21"/>
              </w:rPr>
            </w:pPr>
            <w:r>
              <w:rPr>
                <w:sz w:val="21"/>
              </w:rPr>
              <w:t>原发性硬化性胆管炎</w:t>
            </w:r>
          </w:p>
        </w:tc>
        <w:tc>
          <w:tcPr>
            <w:tcW w:w="6925" w:type="dxa"/>
          </w:tcPr>
          <w:p>
            <w:pPr>
              <w:pStyle w:val="TableParagraph"/>
              <w:spacing w:line="258" w:lineRule="exact"/>
              <w:ind w:left="602"/>
              <w:rPr>
                <w:sz w:val="21"/>
              </w:rPr>
            </w:pPr>
            <w:r>
              <w:rPr>
                <w:sz w:val="21"/>
              </w:rPr>
              <w:t>指一种胆汁淤积综合征，其特征是肝内、肝外胆道因纤维化性炎症</w:t>
            </w:r>
          </w:p>
          <w:p>
            <w:pPr>
              <w:pStyle w:val="TableParagraph"/>
              <w:spacing w:line="273" w:lineRule="auto" w:before="37"/>
              <w:ind w:left="602" w:right="200"/>
              <w:rPr>
                <w:sz w:val="21"/>
              </w:rPr>
            </w:pPr>
            <w:r>
              <w:rPr>
                <w:sz w:val="21"/>
              </w:rPr>
              <w:t>逐渐狭窄，并最终导致完全阻塞而发展为肝硬化。本病须经内镜逆行胰胆管造影等影像学检查证实，并须满足下列全部条件：</w:t>
            </w:r>
          </w:p>
          <w:p>
            <w:pPr>
              <w:pStyle w:val="TableParagraph"/>
              <w:spacing w:before="7"/>
              <w:ind w:left="602"/>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602"/>
              <w:rPr>
                <w:sz w:val="21"/>
              </w:rPr>
            </w:pPr>
            <w:r>
              <w:rPr>
                <w:sz w:val="21"/>
              </w:rPr>
              <w:t>（</w:t>
            </w:r>
            <w:r>
              <w:rPr>
                <w:rFonts w:ascii="Times New Roman" w:eastAsia="Times New Roman"/>
                <w:sz w:val="21"/>
              </w:rPr>
              <w:t>2</w:t>
            </w:r>
            <w:r>
              <w:rPr>
                <w:sz w:val="21"/>
              </w:rPr>
              <w:t>）持续性黄疸病史；</w:t>
            </w:r>
          </w:p>
          <w:p>
            <w:pPr>
              <w:pStyle w:val="TableParagraph"/>
              <w:spacing w:before="20"/>
              <w:ind w:left="602"/>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602"/>
              <w:rPr>
                <w:b/>
                <w:sz w:val="21"/>
              </w:rPr>
            </w:pPr>
            <w:r>
              <w:rPr>
                <w:b/>
                <w:sz w:val="21"/>
              </w:rPr>
              <w:t>因肿瘤或胆管损伤等继发性的硬化性胆管炎不在保障范围内。</w:t>
            </w:r>
          </w:p>
        </w:tc>
      </w:tr>
      <w:tr>
        <w:trPr>
          <w:trHeight w:val="3432" w:hRule="atLeast"/>
        </w:trPr>
        <w:tc>
          <w:tcPr>
            <w:tcW w:w="542" w:type="dxa"/>
          </w:tcPr>
          <w:p>
            <w:pPr>
              <w:pStyle w:val="TableParagraph"/>
              <w:spacing w:before="38"/>
              <w:ind w:right="75"/>
              <w:jc w:val="right"/>
              <w:rPr>
                <w:rFonts w:ascii="Times New Roman"/>
                <w:sz w:val="21"/>
              </w:rPr>
            </w:pPr>
            <w:r>
              <w:rPr>
                <w:rFonts w:ascii="Times New Roman"/>
                <w:sz w:val="21"/>
              </w:rPr>
              <w:t>52.</w:t>
            </w:r>
          </w:p>
        </w:tc>
        <w:tc>
          <w:tcPr>
            <w:tcW w:w="2837" w:type="dxa"/>
          </w:tcPr>
          <w:p>
            <w:pPr>
              <w:pStyle w:val="TableParagraph"/>
              <w:spacing w:line="282" w:lineRule="exact"/>
              <w:ind w:left="78"/>
              <w:rPr>
                <w:sz w:val="21"/>
              </w:rPr>
            </w:pPr>
            <w:r>
              <w:rPr>
                <w:sz w:val="21"/>
              </w:rPr>
              <w:t>经输血导致的 </w:t>
            </w:r>
            <w:r>
              <w:rPr>
                <w:rFonts w:ascii="Times New Roman" w:eastAsia="Times New Roman"/>
                <w:sz w:val="21"/>
              </w:rPr>
              <w:t>HIV </w:t>
            </w:r>
            <w:r>
              <w:rPr>
                <w:sz w:val="21"/>
              </w:rPr>
              <w:t>感染</w:t>
            </w:r>
          </w:p>
        </w:tc>
        <w:tc>
          <w:tcPr>
            <w:tcW w:w="6925" w:type="dxa"/>
          </w:tcPr>
          <w:p>
            <w:pPr>
              <w:pStyle w:val="TableParagraph"/>
              <w:spacing w:line="259" w:lineRule="auto"/>
              <w:ind w:left="602" w:right="203"/>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9"/>
              <w:ind w:left="602"/>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602" w:right="122"/>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602"/>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602" w:right="200"/>
              <w:jc w:val="both"/>
              <w:rPr>
                <w:sz w:val="21"/>
              </w:rPr>
            </w:pPr>
            <w:r>
              <w:rPr>
                <w:b/>
                <w:sz w:val="21"/>
              </w:rPr>
              <w:t>任何因其他传播方式（包括：性传播或静脉注射毒品）导致的</w:t>
            </w:r>
            <w:r>
              <w:rPr>
                <w:rFonts w:ascii="Times New Roman" w:eastAsia="Times New Roman"/>
                <w:b/>
                <w:sz w:val="21"/>
              </w:rPr>
              <w:t>HIV </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2"/>
              <w:ind w:left="602" w:right="199"/>
              <w:rPr>
                <w:sz w:val="21"/>
              </w:rPr>
            </w:pPr>
            <w:r>
              <w:rPr>
                <w:sz w:val="21"/>
              </w:rPr>
              <w:t>我们承担本项疾病责任不受本附加合同第八条“责任免除”中“被保险人感染艾滋病病毒或患艾滋病”的限制。</w:t>
            </w:r>
          </w:p>
        </w:tc>
      </w:tr>
      <w:tr>
        <w:trPr>
          <w:trHeight w:val="1560" w:hRule="atLeast"/>
        </w:trPr>
        <w:tc>
          <w:tcPr>
            <w:tcW w:w="542" w:type="dxa"/>
          </w:tcPr>
          <w:p>
            <w:pPr>
              <w:pStyle w:val="TableParagraph"/>
              <w:spacing w:before="38"/>
              <w:ind w:right="75"/>
              <w:jc w:val="right"/>
              <w:rPr>
                <w:rFonts w:ascii="Times New Roman"/>
                <w:sz w:val="21"/>
              </w:rPr>
            </w:pPr>
            <w:r>
              <w:rPr>
                <w:rFonts w:ascii="Times New Roman"/>
                <w:sz w:val="21"/>
              </w:rPr>
              <w:t>53.</w:t>
            </w:r>
          </w:p>
        </w:tc>
        <w:tc>
          <w:tcPr>
            <w:tcW w:w="2837" w:type="dxa"/>
          </w:tcPr>
          <w:p>
            <w:pPr>
              <w:pStyle w:val="TableParagraph"/>
              <w:spacing w:line="266" w:lineRule="exact"/>
              <w:ind w:left="78"/>
              <w:rPr>
                <w:sz w:val="21"/>
              </w:rPr>
            </w:pPr>
            <w:r>
              <w:rPr>
                <w:sz w:val="21"/>
              </w:rPr>
              <w:t>疯牛病</w:t>
            </w:r>
          </w:p>
        </w:tc>
        <w:tc>
          <w:tcPr>
            <w:tcW w:w="6925" w:type="dxa"/>
          </w:tcPr>
          <w:p>
            <w:pPr>
              <w:pStyle w:val="TableParagraph"/>
              <w:spacing w:line="273" w:lineRule="auto"/>
              <w:ind w:left="602" w:right="200"/>
              <w:jc w:val="both"/>
              <w:rPr>
                <w:sz w:val="21"/>
              </w:rPr>
            </w:pP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TableParagraph"/>
              <w:spacing w:before="16"/>
              <w:ind w:left="602"/>
              <w:jc w:val="both"/>
              <w:rPr>
                <w:b/>
                <w:sz w:val="21"/>
              </w:rPr>
            </w:pPr>
            <w:r>
              <w:rPr>
                <w:b/>
                <w:sz w:val="21"/>
              </w:rPr>
              <w:t>疑似诊断不作为理赔依据。</w:t>
            </w:r>
          </w:p>
        </w:tc>
      </w:tr>
      <w:tr>
        <w:trPr>
          <w:trHeight w:val="1560" w:hRule="atLeast"/>
        </w:trPr>
        <w:tc>
          <w:tcPr>
            <w:tcW w:w="542" w:type="dxa"/>
          </w:tcPr>
          <w:p>
            <w:pPr>
              <w:pStyle w:val="TableParagraph"/>
              <w:spacing w:before="38"/>
              <w:ind w:right="75"/>
              <w:jc w:val="right"/>
              <w:rPr>
                <w:rFonts w:ascii="Times New Roman"/>
                <w:sz w:val="21"/>
              </w:rPr>
            </w:pPr>
            <w:r>
              <w:rPr>
                <w:rFonts w:ascii="Times New Roman"/>
                <w:sz w:val="21"/>
              </w:rPr>
              <w:t>54.</w:t>
            </w:r>
          </w:p>
        </w:tc>
        <w:tc>
          <w:tcPr>
            <w:tcW w:w="2837" w:type="dxa"/>
          </w:tcPr>
          <w:p>
            <w:pPr>
              <w:pStyle w:val="TableParagraph"/>
              <w:spacing w:line="266" w:lineRule="exact"/>
              <w:ind w:left="78"/>
              <w:rPr>
                <w:sz w:val="21"/>
              </w:rPr>
            </w:pPr>
            <w:r>
              <w:rPr>
                <w:sz w:val="21"/>
              </w:rPr>
              <w:t>慢性复发性胰腺炎</w:t>
            </w:r>
          </w:p>
        </w:tc>
        <w:tc>
          <w:tcPr>
            <w:tcW w:w="6925" w:type="dxa"/>
          </w:tcPr>
          <w:p>
            <w:pPr>
              <w:pStyle w:val="TableParagraph"/>
              <w:spacing w:line="266" w:lineRule="auto"/>
              <w:ind w:left="602" w:right="199"/>
              <w:jc w:val="both"/>
              <w:rPr>
                <w:sz w:val="21"/>
              </w:rPr>
            </w:pPr>
            <w:r>
              <w:rPr>
                <w:spacing w:val="-2"/>
                <w:sz w:val="21"/>
              </w:rPr>
              <w:t>指有腹痛等典型症状的胰腺炎反复发作，导致胰腺进行性破坏，并</w:t>
            </w:r>
            <w:r>
              <w:rPr>
                <w:spacing w:val="-3"/>
                <w:sz w:val="21"/>
              </w:rPr>
              <w:t>导致胰腺功能紊乱而导致严重糖尿病以及营养不良、恶液质。断层</w:t>
            </w:r>
            <w:r>
              <w:rPr>
                <w:spacing w:val="-8"/>
                <w:sz w:val="21"/>
              </w:rPr>
              <w:t>扫描</w:t>
            </w:r>
            <w:r>
              <w:rPr>
                <w:spacing w:val="-4"/>
                <w:sz w:val="21"/>
              </w:rPr>
              <w:t>（</w:t>
            </w:r>
            <w:r>
              <w:rPr>
                <w:rFonts w:ascii="Times New Roman" w:eastAsia="Times New Roman"/>
                <w:spacing w:val="-4"/>
                <w:sz w:val="21"/>
              </w:rPr>
              <w:t>CT</w:t>
            </w:r>
            <w:r>
              <w:rPr>
                <w:spacing w:val="-4"/>
                <w:sz w:val="21"/>
              </w:rPr>
              <w:t>）检查证实胰腺存在广泛钙化，且必须接受酶替代以及胰</w:t>
            </w:r>
            <w:r>
              <w:rPr>
                <w:spacing w:val="-3"/>
                <w:sz w:val="21"/>
              </w:rPr>
              <w:t>岛素替代治疗</w:t>
            </w:r>
            <w:r>
              <w:rPr>
                <w:rFonts w:ascii="Times New Roman" w:eastAsia="Times New Roman"/>
                <w:spacing w:val="-3"/>
                <w:sz w:val="21"/>
              </w:rPr>
              <w:t>6</w:t>
            </w:r>
            <w:r>
              <w:rPr>
                <w:spacing w:val="-3"/>
                <w:sz w:val="21"/>
              </w:rPr>
              <w:t>个月以上。诊断必须由消化科专科医生确诊。</w:t>
            </w:r>
          </w:p>
          <w:p>
            <w:pPr>
              <w:pStyle w:val="TableParagraph"/>
              <w:spacing w:line="271" w:lineRule="exact" w:before="9"/>
              <w:ind w:left="602"/>
              <w:jc w:val="both"/>
              <w:rPr>
                <w:b/>
                <w:sz w:val="21"/>
              </w:rPr>
            </w:pPr>
            <w:r>
              <w:rPr>
                <w:b/>
                <w:sz w:val="21"/>
              </w:rPr>
              <w:t>酒精导致的慢性复发性胰腺炎不在保障范围内。</w:t>
            </w:r>
          </w:p>
        </w:tc>
      </w:tr>
      <w:tr>
        <w:trPr>
          <w:trHeight w:val="890" w:hRule="atLeast"/>
        </w:trPr>
        <w:tc>
          <w:tcPr>
            <w:tcW w:w="542" w:type="dxa"/>
          </w:tcPr>
          <w:p>
            <w:pPr>
              <w:pStyle w:val="TableParagraph"/>
              <w:spacing w:before="38"/>
              <w:ind w:right="75"/>
              <w:jc w:val="right"/>
              <w:rPr>
                <w:rFonts w:ascii="Times New Roman"/>
                <w:sz w:val="21"/>
              </w:rPr>
            </w:pPr>
            <w:r>
              <w:rPr>
                <w:rFonts w:ascii="Times New Roman"/>
                <w:sz w:val="21"/>
              </w:rPr>
              <w:t>55.</w:t>
            </w:r>
          </w:p>
        </w:tc>
        <w:tc>
          <w:tcPr>
            <w:tcW w:w="2837" w:type="dxa"/>
          </w:tcPr>
          <w:p>
            <w:pPr>
              <w:pStyle w:val="TableParagraph"/>
              <w:spacing w:line="266" w:lineRule="exact"/>
              <w:ind w:left="78"/>
              <w:rPr>
                <w:sz w:val="21"/>
              </w:rPr>
            </w:pPr>
            <w:r>
              <w:rPr>
                <w:sz w:val="21"/>
              </w:rPr>
              <w:t>严重川崎病</w:t>
            </w:r>
          </w:p>
        </w:tc>
        <w:tc>
          <w:tcPr>
            <w:tcW w:w="6925" w:type="dxa"/>
          </w:tcPr>
          <w:p>
            <w:pPr>
              <w:pStyle w:val="TableParagraph"/>
              <w:spacing w:line="273" w:lineRule="auto"/>
              <w:ind w:left="602" w:right="199"/>
              <w:rPr>
                <w:sz w:val="21"/>
              </w:rPr>
            </w:pPr>
            <w:r>
              <w:rPr>
                <w:sz w:val="21"/>
              </w:rPr>
              <w:t>为一种病因不明的系统性血管炎。本附加合同仅对诊断性检查证实川崎病并发动脉瘤或其他心血管异常并且实际接受了手术治疗的情</w:t>
            </w:r>
          </w:p>
          <w:p>
            <w:pPr>
              <w:pStyle w:val="TableParagraph"/>
              <w:spacing w:line="255" w:lineRule="exact" w:before="17"/>
              <w:ind w:left="602"/>
              <w:rPr>
                <w:sz w:val="21"/>
              </w:rPr>
            </w:pPr>
            <w:r>
              <w:rPr>
                <w:sz w:val="21"/>
              </w:rPr>
              <w:t>况予以理赔。</w:t>
            </w:r>
          </w:p>
        </w:tc>
      </w:tr>
    </w:tbl>
    <w:p>
      <w:pPr>
        <w:spacing w:after="0" w:line="255" w:lineRule="exact"/>
        <w:rPr>
          <w:sz w:val="21"/>
        </w:rPr>
        <w:sectPr>
          <w:pgSz w:w="11910" w:h="16160"/>
          <w:pgMar w:header="0" w:footer="631" w:top="1420" w:bottom="820" w:left="760" w:right="620"/>
        </w:sectPr>
      </w:pPr>
    </w:p>
    <w:p>
      <w:pPr>
        <w:spacing w:before="7"/>
        <w:ind w:left="117" w:right="0" w:firstLine="0"/>
        <w:jc w:val="left"/>
        <w:rPr>
          <w:b/>
          <w:sz w:val="21"/>
        </w:rPr>
      </w:pPr>
      <w:bookmarkStart w:name="_bookmark24" w:id="25"/>
      <w:bookmarkEnd w:id="25"/>
      <w:r>
        <w:rPr/>
      </w:r>
      <w:r>
        <w:rPr>
          <w:b/>
          <w:sz w:val="21"/>
        </w:rPr>
        <w:t>附表一：现金价值表</w:t>
      </w:r>
    </w:p>
    <w:p>
      <w:pPr>
        <w:pStyle w:val="BodyText"/>
        <w:spacing w:before="11"/>
        <w:rPr>
          <w:b/>
          <w:sz w:val="15"/>
        </w:rPr>
      </w:pPr>
    </w:p>
    <w:tbl>
      <w:tblPr>
        <w:tblW w:w="0" w:type="auto"/>
        <w:jc w:val="left"/>
        <w:tblInd w:w="19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1"/>
        <w:gridCol w:w="1042"/>
        <w:gridCol w:w="1039"/>
        <w:gridCol w:w="1044"/>
        <w:gridCol w:w="950"/>
      </w:tblGrid>
      <w:tr>
        <w:trPr>
          <w:trHeight w:val="623" w:hRule="atLeast"/>
        </w:trPr>
        <w:tc>
          <w:tcPr>
            <w:tcW w:w="2091" w:type="dxa"/>
            <w:vMerge w:val="restart"/>
          </w:tcPr>
          <w:p>
            <w:pPr>
              <w:pStyle w:val="TableParagraph"/>
              <w:spacing w:line="273" w:lineRule="auto"/>
              <w:ind w:left="98" w:right="81"/>
              <w:jc w:val="center"/>
              <w:rPr>
                <w:sz w:val="21"/>
              </w:rPr>
            </w:pPr>
            <w:r>
              <w:rPr>
                <w:sz w:val="21"/>
              </w:rPr>
              <w:t>本附加合同最后一期已交保险费未到期的月数</w:t>
            </w:r>
          </w:p>
        </w:tc>
        <w:tc>
          <w:tcPr>
            <w:tcW w:w="4075" w:type="dxa"/>
            <w:gridSpan w:val="4"/>
            <w:tcBorders>
              <w:right w:val="single" w:sz="4" w:space="0" w:color="000000"/>
            </w:tcBorders>
          </w:tcPr>
          <w:p>
            <w:pPr>
              <w:pStyle w:val="TableParagraph"/>
              <w:spacing w:line="262" w:lineRule="exact"/>
              <w:ind w:left="669"/>
              <w:rPr>
                <w:sz w:val="21"/>
              </w:rPr>
            </w:pPr>
            <w:r>
              <w:rPr>
                <w:sz w:val="21"/>
              </w:rPr>
              <w:t>不同交费方式下退还现金价值</w:t>
            </w:r>
          </w:p>
          <w:p>
            <w:pPr>
              <w:pStyle w:val="TableParagraph"/>
              <w:spacing w:before="37"/>
              <w:ind w:left="669"/>
              <w:rPr>
                <w:sz w:val="21"/>
              </w:rPr>
            </w:pPr>
            <w:r>
              <w:rPr>
                <w:sz w:val="21"/>
              </w:rPr>
              <w:t>占最后一期已交保险费的比例</w:t>
            </w:r>
          </w:p>
        </w:tc>
      </w:tr>
      <w:tr>
        <w:trPr>
          <w:trHeight w:val="313" w:hRule="atLeast"/>
        </w:trPr>
        <w:tc>
          <w:tcPr>
            <w:tcW w:w="2091" w:type="dxa"/>
            <w:vMerge/>
            <w:tcBorders>
              <w:top w:val="nil"/>
            </w:tcBorders>
          </w:tcPr>
          <w:p>
            <w:pPr>
              <w:rPr>
                <w:sz w:val="2"/>
                <w:szCs w:val="2"/>
              </w:rPr>
            </w:pPr>
          </w:p>
        </w:tc>
        <w:tc>
          <w:tcPr>
            <w:tcW w:w="1042" w:type="dxa"/>
          </w:tcPr>
          <w:p>
            <w:pPr>
              <w:pStyle w:val="TableParagraph"/>
              <w:spacing w:line="264" w:lineRule="exact"/>
              <w:ind w:left="290" w:right="276"/>
              <w:jc w:val="center"/>
              <w:rPr>
                <w:sz w:val="21"/>
              </w:rPr>
            </w:pPr>
            <w:r>
              <w:rPr>
                <w:sz w:val="21"/>
              </w:rPr>
              <w:t>月交</w:t>
            </w:r>
          </w:p>
        </w:tc>
        <w:tc>
          <w:tcPr>
            <w:tcW w:w="1039" w:type="dxa"/>
          </w:tcPr>
          <w:p>
            <w:pPr>
              <w:pStyle w:val="TableParagraph"/>
              <w:spacing w:line="264" w:lineRule="exact"/>
              <w:ind w:left="290" w:right="273"/>
              <w:jc w:val="center"/>
              <w:rPr>
                <w:sz w:val="21"/>
              </w:rPr>
            </w:pPr>
            <w:r>
              <w:rPr>
                <w:sz w:val="21"/>
              </w:rPr>
              <w:t>季交</w:t>
            </w:r>
          </w:p>
        </w:tc>
        <w:tc>
          <w:tcPr>
            <w:tcW w:w="1044" w:type="dxa"/>
          </w:tcPr>
          <w:p>
            <w:pPr>
              <w:pStyle w:val="TableParagraph"/>
              <w:spacing w:line="264" w:lineRule="exact"/>
              <w:ind w:left="188" w:right="171"/>
              <w:jc w:val="center"/>
              <w:rPr>
                <w:sz w:val="21"/>
              </w:rPr>
            </w:pPr>
            <w:r>
              <w:rPr>
                <w:sz w:val="21"/>
              </w:rPr>
              <w:t>半年交</w:t>
            </w:r>
          </w:p>
        </w:tc>
        <w:tc>
          <w:tcPr>
            <w:tcW w:w="950" w:type="dxa"/>
          </w:tcPr>
          <w:p>
            <w:pPr>
              <w:pStyle w:val="TableParagraph"/>
              <w:spacing w:line="264" w:lineRule="exact"/>
              <w:ind w:left="245" w:right="229"/>
              <w:jc w:val="center"/>
              <w:rPr>
                <w:sz w:val="21"/>
              </w:rPr>
            </w:pPr>
            <w:r>
              <w:rPr>
                <w:sz w:val="21"/>
              </w:rPr>
              <w:t>年交</w:t>
            </w:r>
          </w:p>
        </w:tc>
      </w:tr>
      <w:tr>
        <w:trPr>
          <w:trHeight w:val="311" w:hRule="atLeast"/>
        </w:trPr>
        <w:tc>
          <w:tcPr>
            <w:tcW w:w="2091" w:type="dxa"/>
          </w:tcPr>
          <w:p>
            <w:pPr>
              <w:pStyle w:val="TableParagraph"/>
              <w:spacing w:line="278" w:lineRule="exact"/>
              <w:ind w:left="624"/>
              <w:rPr>
                <w:sz w:val="21"/>
              </w:rPr>
            </w:pPr>
            <w:r>
              <w:rPr>
                <w:sz w:val="21"/>
              </w:rPr>
              <w:t>满</w:t>
            </w:r>
            <w:r>
              <w:rPr>
                <w:rFonts w:ascii="Times New Roman" w:eastAsia="Times New Roman"/>
                <w:sz w:val="21"/>
              </w:rPr>
              <w:t>10</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line="262" w:lineRule="exact"/>
              <w:ind w:left="12"/>
              <w:jc w:val="center"/>
              <w:rPr>
                <w:sz w:val="21"/>
              </w:rPr>
            </w:pPr>
            <w:r>
              <w:rPr>
                <w:w w:val="100"/>
                <w:sz w:val="21"/>
              </w:rPr>
              <w:t>—</w:t>
            </w:r>
          </w:p>
        </w:tc>
        <w:tc>
          <w:tcPr>
            <w:tcW w:w="1044" w:type="dxa"/>
          </w:tcPr>
          <w:p>
            <w:pPr>
              <w:pStyle w:val="TableParagraph"/>
              <w:spacing w:line="262" w:lineRule="exact"/>
              <w:ind w:left="12"/>
              <w:jc w:val="center"/>
              <w:rPr>
                <w:sz w:val="21"/>
              </w:rPr>
            </w:pPr>
            <w:r>
              <w:rPr>
                <w:w w:val="100"/>
                <w:sz w:val="21"/>
              </w:rPr>
              <w:t>—</w:t>
            </w:r>
          </w:p>
        </w:tc>
        <w:tc>
          <w:tcPr>
            <w:tcW w:w="950" w:type="dxa"/>
          </w:tcPr>
          <w:p>
            <w:pPr>
              <w:pStyle w:val="TableParagraph"/>
              <w:spacing w:before="34"/>
              <w:ind w:left="243" w:right="229"/>
              <w:jc w:val="center"/>
              <w:rPr>
                <w:rFonts w:ascii="Times New Roman"/>
                <w:sz w:val="21"/>
              </w:rPr>
            </w:pPr>
            <w:r>
              <w:rPr>
                <w:rFonts w:ascii="Times New Roman"/>
                <w:sz w:val="21"/>
              </w:rPr>
              <w:t>60%</w:t>
            </w:r>
          </w:p>
        </w:tc>
      </w:tr>
      <w:tr>
        <w:trPr>
          <w:trHeight w:val="311" w:hRule="atLeast"/>
        </w:trPr>
        <w:tc>
          <w:tcPr>
            <w:tcW w:w="2091" w:type="dxa"/>
          </w:tcPr>
          <w:p>
            <w:pPr>
              <w:pStyle w:val="TableParagraph"/>
              <w:spacing w:line="278" w:lineRule="exact"/>
              <w:ind w:right="31"/>
              <w:jc w:val="right"/>
              <w:rPr>
                <w:sz w:val="21"/>
              </w:rPr>
            </w:pPr>
            <w:r>
              <w:rPr>
                <w:sz w:val="21"/>
              </w:rPr>
              <w:t>满</w:t>
            </w:r>
            <w:r>
              <w:rPr>
                <w:rFonts w:ascii="Times New Roman" w:eastAsia="Times New Roman"/>
                <w:sz w:val="21"/>
              </w:rPr>
              <w:t>9</w:t>
            </w:r>
            <w:r>
              <w:rPr>
                <w:sz w:val="21"/>
              </w:rPr>
              <w:t>个月但不满</w:t>
            </w:r>
            <w:r>
              <w:rPr>
                <w:rFonts w:ascii="Times New Roman" w:eastAsia="Times New Roman"/>
                <w:sz w:val="21"/>
              </w:rPr>
              <w:t>10</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before="34"/>
              <w:ind w:left="12"/>
              <w:jc w:val="center"/>
              <w:rPr>
                <w:rFonts w:ascii="Times New Roman" w:hAnsi="Times New Roman"/>
                <w:sz w:val="21"/>
              </w:rPr>
            </w:pPr>
            <w:r>
              <w:rPr>
                <w:rFonts w:ascii="Times New Roman" w:hAnsi="Times New Roman"/>
                <w:w w:val="100"/>
                <w:sz w:val="21"/>
              </w:rPr>
              <w:t>—</w:t>
            </w:r>
          </w:p>
        </w:tc>
        <w:tc>
          <w:tcPr>
            <w:tcW w:w="1044" w:type="dxa"/>
          </w:tcPr>
          <w:p>
            <w:pPr>
              <w:pStyle w:val="TableParagraph"/>
              <w:spacing w:line="262" w:lineRule="exact"/>
              <w:ind w:left="12"/>
              <w:jc w:val="center"/>
              <w:rPr>
                <w:sz w:val="21"/>
              </w:rPr>
            </w:pPr>
            <w:r>
              <w:rPr>
                <w:w w:val="100"/>
                <w:sz w:val="21"/>
              </w:rPr>
              <w:t>—</w:t>
            </w:r>
          </w:p>
        </w:tc>
        <w:tc>
          <w:tcPr>
            <w:tcW w:w="950" w:type="dxa"/>
          </w:tcPr>
          <w:p>
            <w:pPr>
              <w:pStyle w:val="TableParagraph"/>
              <w:spacing w:before="34"/>
              <w:ind w:left="243" w:right="229"/>
              <w:jc w:val="center"/>
              <w:rPr>
                <w:rFonts w:ascii="Times New Roman"/>
                <w:sz w:val="21"/>
              </w:rPr>
            </w:pPr>
            <w:r>
              <w:rPr>
                <w:rFonts w:ascii="Times New Roman"/>
                <w:sz w:val="21"/>
              </w:rPr>
              <w:t>50%</w:t>
            </w:r>
          </w:p>
        </w:tc>
      </w:tr>
      <w:tr>
        <w:trPr>
          <w:trHeight w:val="311" w:hRule="atLeast"/>
        </w:trPr>
        <w:tc>
          <w:tcPr>
            <w:tcW w:w="2091" w:type="dxa"/>
          </w:tcPr>
          <w:p>
            <w:pPr>
              <w:pStyle w:val="TableParagraph"/>
              <w:spacing w:line="278" w:lineRule="exact"/>
              <w:ind w:right="81"/>
              <w:jc w:val="right"/>
              <w:rPr>
                <w:sz w:val="21"/>
              </w:rPr>
            </w:pPr>
            <w:r>
              <w:rPr>
                <w:sz w:val="21"/>
              </w:rPr>
              <w:t>满</w:t>
            </w:r>
            <w:r>
              <w:rPr>
                <w:rFonts w:ascii="Times New Roman" w:eastAsia="Times New Roman"/>
                <w:sz w:val="21"/>
              </w:rPr>
              <w:t>8</w:t>
            </w:r>
            <w:r>
              <w:rPr>
                <w:sz w:val="21"/>
              </w:rPr>
              <w:t>个月但不满</w:t>
            </w:r>
            <w:r>
              <w:rPr>
                <w:rFonts w:ascii="Times New Roman" w:eastAsia="Times New Roman"/>
                <w:sz w:val="21"/>
              </w:rPr>
              <w:t>9</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line="262" w:lineRule="exact"/>
              <w:ind w:left="12"/>
              <w:jc w:val="center"/>
              <w:rPr>
                <w:sz w:val="21"/>
              </w:rPr>
            </w:pPr>
            <w:r>
              <w:rPr>
                <w:w w:val="100"/>
                <w:sz w:val="21"/>
              </w:rPr>
              <w:t>—</w:t>
            </w:r>
          </w:p>
        </w:tc>
        <w:tc>
          <w:tcPr>
            <w:tcW w:w="1044" w:type="dxa"/>
          </w:tcPr>
          <w:p>
            <w:pPr>
              <w:pStyle w:val="TableParagraph"/>
              <w:spacing w:line="262" w:lineRule="exact"/>
              <w:ind w:left="12"/>
              <w:jc w:val="center"/>
              <w:rPr>
                <w:sz w:val="21"/>
              </w:rPr>
            </w:pPr>
            <w:r>
              <w:rPr>
                <w:w w:val="100"/>
                <w:sz w:val="21"/>
              </w:rPr>
              <w:t>—</w:t>
            </w:r>
          </w:p>
        </w:tc>
        <w:tc>
          <w:tcPr>
            <w:tcW w:w="950" w:type="dxa"/>
          </w:tcPr>
          <w:p>
            <w:pPr>
              <w:pStyle w:val="TableParagraph"/>
              <w:spacing w:before="34"/>
              <w:ind w:left="243" w:right="229"/>
              <w:jc w:val="center"/>
              <w:rPr>
                <w:rFonts w:ascii="Times New Roman"/>
                <w:sz w:val="21"/>
              </w:rPr>
            </w:pPr>
            <w:r>
              <w:rPr>
                <w:rFonts w:ascii="Times New Roman"/>
                <w:sz w:val="21"/>
              </w:rPr>
              <w:t>40%</w:t>
            </w:r>
          </w:p>
        </w:tc>
      </w:tr>
      <w:tr>
        <w:trPr>
          <w:trHeight w:val="313" w:hRule="atLeast"/>
        </w:trPr>
        <w:tc>
          <w:tcPr>
            <w:tcW w:w="2091" w:type="dxa"/>
          </w:tcPr>
          <w:p>
            <w:pPr>
              <w:pStyle w:val="TableParagraph"/>
              <w:spacing w:line="280" w:lineRule="exact"/>
              <w:ind w:right="81"/>
              <w:jc w:val="right"/>
              <w:rPr>
                <w:sz w:val="21"/>
              </w:rPr>
            </w:pPr>
            <w:r>
              <w:rPr>
                <w:sz w:val="21"/>
              </w:rPr>
              <w:t>满</w:t>
            </w:r>
            <w:r>
              <w:rPr>
                <w:rFonts w:ascii="Times New Roman" w:eastAsia="Times New Roman"/>
                <w:sz w:val="21"/>
              </w:rPr>
              <w:t>7</w:t>
            </w:r>
            <w:r>
              <w:rPr>
                <w:sz w:val="21"/>
              </w:rPr>
              <w:t>个月但不满</w:t>
            </w:r>
            <w:r>
              <w:rPr>
                <w:rFonts w:ascii="Times New Roman" w:eastAsia="Times New Roman"/>
                <w:sz w:val="21"/>
              </w:rPr>
              <w:t>8</w:t>
            </w:r>
            <w:r>
              <w:rPr>
                <w:sz w:val="21"/>
              </w:rPr>
              <w:t>个月</w:t>
            </w:r>
          </w:p>
        </w:tc>
        <w:tc>
          <w:tcPr>
            <w:tcW w:w="1042" w:type="dxa"/>
          </w:tcPr>
          <w:p>
            <w:pPr>
              <w:pStyle w:val="TableParagraph"/>
              <w:spacing w:line="264" w:lineRule="exact"/>
              <w:ind w:left="9"/>
              <w:jc w:val="center"/>
              <w:rPr>
                <w:sz w:val="21"/>
              </w:rPr>
            </w:pPr>
            <w:r>
              <w:rPr>
                <w:w w:val="100"/>
                <w:sz w:val="21"/>
              </w:rPr>
              <w:t>—</w:t>
            </w:r>
          </w:p>
        </w:tc>
        <w:tc>
          <w:tcPr>
            <w:tcW w:w="1039" w:type="dxa"/>
          </w:tcPr>
          <w:p>
            <w:pPr>
              <w:pStyle w:val="TableParagraph"/>
              <w:spacing w:line="264" w:lineRule="exact"/>
              <w:ind w:left="12"/>
              <w:jc w:val="center"/>
              <w:rPr>
                <w:sz w:val="21"/>
              </w:rPr>
            </w:pPr>
            <w:r>
              <w:rPr>
                <w:w w:val="100"/>
                <w:sz w:val="21"/>
              </w:rPr>
              <w:t>—</w:t>
            </w:r>
          </w:p>
        </w:tc>
        <w:tc>
          <w:tcPr>
            <w:tcW w:w="1044" w:type="dxa"/>
          </w:tcPr>
          <w:p>
            <w:pPr>
              <w:pStyle w:val="TableParagraph"/>
              <w:spacing w:line="264" w:lineRule="exact"/>
              <w:ind w:left="12"/>
              <w:jc w:val="center"/>
              <w:rPr>
                <w:sz w:val="21"/>
              </w:rPr>
            </w:pPr>
            <w:r>
              <w:rPr>
                <w:w w:val="100"/>
                <w:sz w:val="21"/>
              </w:rPr>
              <w:t>—</w:t>
            </w:r>
          </w:p>
        </w:tc>
        <w:tc>
          <w:tcPr>
            <w:tcW w:w="950" w:type="dxa"/>
          </w:tcPr>
          <w:p>
            <w:pPr>
              <w:pStyle w:val="TableParagraph"/>
              <w:spacing w:before="36"/>
              <w:ind w:left="243" w:right="229"/>
              <w:jc w:val="center"/>
              <w:rPr>
                <w:rFonts w:ascii="Times New Roman"/>
                <w:sz w:val="21"/>
              </w:rPr>
            </w:pPr>
            <w:r>
              <w:rPr>
                <w:rFonts w:ascii="Times New Roman"/>
                <w:sz w:val="21"/>
              </w:rPr>
              <w:t>30%</w:t>
            </w:r>
          </w:p>
        </w:tc>
      </w:tr>
      <w:tr>
        <w:trPr>
          <w:trHeight w:val="311" w:hRule="atLeast"/>
        </w:trPr>
        <w:tc>
          <w:tcPr>
            <w:tcW w:w="2091" w:type="dxa"/>
          </w:tcPr>
          <w:p>
            <w:pPr>
              <w:pStyle w:val="TableParagraph"/>
              <w:spacing w:line="278" w:lineRule="exact"/>
              <w:ind w:right="81"/>
              <w:jc w:val="right"/>
              <w:rPr>
                <w:sz w:val="21"/>
              </w:rPr>
            </w:pPr>
            <w:r>
              <w:rPr>
                <w:sz w:val="21"/>
              </w:rPr>
              <w:t>满</w:t>
            </w:r>
            <w:r>
              <w:rPr>
                <w:rFonts w:ascii="Times New Roman" w:eastAsia="Times New Roman"/>
                <w:sz w:val="21"/>
              </w:rPr>
              <w:t>6</w:t>
            </w:r>
            <w:r>
              <w:rPr>
                <w:sz w:val="21"/>
              </w:rPr>
              <w:t>个月但不满</w:t>
            </w:r>
            <w:r>
              <w:rPr>
                <w:rFonts w:ascii="Times New Roman" w:eastAsia="Times New Roman"/>
                <w:sz w:val="21"/>
              </w:rPr>
              <w:t>7</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line="262" w:lineRule="exact"/>
              <w:ind w:left="12"/>
              <w:jc w:val="center"/>
              <w:rPr>
                <w:sz w:val="21"/>
              </w:rPr>
            </w:pPr>
            <w:r>
              <w:rPr>
                <w:w w:val="100"/>
                <w:sz w:val="21"/>
              </w:rPr>
              <w:t>—</w:t>
            </w:r>
          </w:p>
        </w:tc>
        <w:tc>
          <w:tcPr>
            <w:tcW w:w="1044" w:type="dxa"/>
          </w:tcPr>
          <w:p>
            <w:pPr>
              <w:pStyle w:val="TableParagraph"/>
              <w:spacing w:line="262" w:lineRule="exact"/>
              <w:ind w:left="12"/>
              <w:jc w:val="center"/>
              <w:rPr>
                <w:sz w:val="21"/>
              </w:rPr>
            </w:pPr>
            <w:r>
              <w:rPr>
                <w:w w:val="100"/>
                <w:sz w:val="21"/>
              </w:rPr>
              <w:t>—</w:t>
            </w:r>
          </w:p>
        </w:tc>
        <w:tc>
          <w:tcPr>
            <w:tcW w:w="950" w:type="dxa"/>
          </w:tcPr>
          <w:p>
            <w:pPr>
              <w:pStyle w:val="TableParagraph"/>
              <w:spacing w:before="34"/>
              <w:ind w:left="243" w:right="229"/>
              <w:jc w:val="center"/>
              <w:rPr>
                <w:rFonts w:ascii="Times New Roman"/>
                <w:sz w:val="21"/>
              </w:rPr>
            </w:pPr>
            <w:r>
              <w:rPr>
                <w:rFonts w:ascii="Times New Roman"/>
                <w:sz w:val="21"/>
              </w:rPr>
              <w:t>25%</w:t>
            </w:r>
          </w:p>
        </w:tc>
      </w:tr>
      <w:tr>
        <w:trPr>
          <w:trHeight w:val="311" w:hRule="atLeast"/>
        </w:trPr>
        <w:tc>
          <w:tcPr>
            <w:tcW w:w="2091" w:type="dxa"/>
          </w:tcPr>
          <w:p>
            <w:pPr>
              <w:pStyle w:val="TableParagraph"/>
              <w:spacing w:line="278" w:lineRule="exact"/>
              <w:ind w:right="81"/>
              <w:jc w:val="right"/>
              <w:rPr>
                <w:sz w:val="21"/>
              </w:rPr>
            </w:pPr>
            <w:r>
              <w:rPr>
                <w:sz w:val="21"/>
              </w:rPr>
              <w:t>满</w:t>
            </w:r>
            <w:r>
              <w:rPr>
                <w:rFonts w:ascii="Times New Roman" w:eastAsia="Times New Roman"/>
                <w:sz w:val="21"/>
              </w:rPr>
              <w:t>5</w:t>
            </w:r>
            <w:r>
              <w:rPr>
                <w:sz w:val="21"/>
              </w:rPr>
              <w:t>个月但不满</w:t>
            </w:r>
            <w:r>
              <w:rPr>
                <w:rFonts w:ascii="Times New Roman" w:eastAsia="Times New Roman"/>
                <w:sz w:val="21"/>
              </w:rPr>
              <w:t>6</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line="262" w:lineRule="exact"/>
              <w:ind w:left="12"/>
              <w:jc w:val="center"/>
              <w:rPr>
                <w:sz w:val="21"/>
              </w:rPr>
            </w:pPr>
            <w:r>
              <w:rPr>
                <w:w w:val="100"/>
                <w:sz w:val="21"/>
              </w:rPr>
              <w:t>—</w:t>
            </w:r>
          </w:p>
        </w:tc>
        <w:tc>
          <w:tcPr>
            <w:tcW w:w="1044" w:type="dxa"/>
          </w:tcPr>
          <w:p>
            <w:pPr>
              <w:pStyle w:val="TableParagraph"/>
              <w:spacing w:before="34"/>
              <w:ind w:left="186" w:right="171"/>
              <w:jc w:val="center"/>
              <w:rPr>
                <w:rFonts w:ascii="Times New Roman"/>
                <w:sz w:val="21"/>
              </w:rPr>
            </w:pPr>
            <w:r>
              <w:rPr>
                <w:rFonts w:ascii="Times New Roman"/>
                <w:sz w:val="21"/>
              </w:rPr>
              <w:t>50%</w:t>
            </w:r>
          </w:p>
        </w:tc>
        <w:tc>
          <w:tcPr>
            <w:tcW w:w="950" w:type="dxa"/>
          </w:tcPr>
          <w:p>
            <w:pPr>
              <w:pStyle w:val="TableParagraph"/>
              <w:spacing w:before="34"/>
              <w:ind w:left="11"/>
              <w:jc w:val="center"/>
              <w:rPr>
                <w:rFonts w:ascii="Times New Roman"/>
                <w:sz w:val="21"/>
              </w:rPr>
            </w:pPr>
            <w:r>
              <w:rPr>
                <w:rFonts w:ascii="Times New Roman"/>
                <w:w w:val="100"/>
                <w:sz w:val="21"/>
              </w:rPr>
              <w:t>0</w:t>
            </w:r>
          </w:p>
        </w:tc>
      </w:tr>
      <w:tr>
        <w:trPr>
          <w:trHeight w:val="312" w:hRule="atLeast"/>
        </w:trPr>
        <w:tc>
          <w:tcPr>
            <w:tcW w:w="2091" w:type="dxa"/>
          </w:tcPr>
          <w:p>
            <w:pPr>
              <w:pStyle w:val="TableParagraph"/>
              <w:spacing w:line="279" w:lineRule="exact"/>
              <w:ind w:right="81"/>
              <w:jc w:val="right"/>
              <w:rPr>
                <w:sz w:val="21"/>
              </w:rPr>
            </w:pPr>
            <w:r>
              <w:rPr>
                <w:sz w:val="21"/>
              </w:rPr>
              <w:t>满</w:t>
            </w:r>
            <w:r>
              <w:rPr>
                <w:rFonts w:ascii="Times New Roman" w:eastAsia="Times New Roman"/>
                <w:sz w:val="21"/>
              </w:rPr>
              <w:t>4</w:t>
            </w:r>
            <w:r>
              <w:rPr>
                <w:sz w:val="21"/>
              </w:rPr>
              <w:t>个月但不满</w:t>
            </w:r>
            <w:r>
              <w:rPr>
                <w:rFonts w:ascii="Times New Roman" w:eastAsia="Times New Roman"/>
                <w:sz w:val="21"/>
              </w:rPr>
              <w:t>5</w:t>
            </w:r>
            <w:r>
              <w:rPr>
                <w:sz w:val="21"/>
              </w:rPr>
              <w:t>个月</w:t>
            </w:r>
          </w:p>
        </w:tc>
        <w:tc>
          <w:tcPr>
            <w:tcW w:w="1042" w:type="dxa"/>
          </w:tcPr>
          <w:p>
            <w:pPr>
              <w:pStyle w:val="TableParagraph"/>
              <w:spacing w:line="263" w:lineRule="exact"/>
              <w:ind w:left="9"/>
              <w:jc w:val="center"/>
              <w:rPr>
                <w:sz w:val="21"/>
              </w:rPr>
            </w:pPr>
            <w:r>
              <w:rPr>
                <w:w w:val="100"/>
                <w:sz w:val="21"/>
              </w:rPr>
              <w:t>—</w:t>
            </w:r>
          </w:p>
        </w:tc>
        <w:tc>
          <w:tcPr>
            <w:tcW w:w="1039" w:type="dxa"/>
          </w:tcPr>
          <w:p>
            <w:pPr>
              <w:pStyle w:val="TableParagraph"/>
              <w:spacing w:line="263" w:lineRule="exact"/>
              <w:ind w:left="12"/>
              <w:jc w:val="center"/>
              <w:rPr>
                <w:sz w:val="21"/>
              </w:rPr>
            </w:pPr>
            <w:r>
              <w:rPr>
                <w:w w:val="100"/>
                <w:sz w:val="21"/>
              </w:rPr>
              <w:t>—</w:t>
            </w:r>
          </w:p>
        </w:tc>
        <w:tc>
          <w:tcPr>
            <w:tcW w:w="1044" w:type="dxa"/>
          </w:tcPr>
          <w:p>
            <w:pPr>
              <w:pStyle w:val="TableParagraph"/>
              <w:spacing w:before="34"/>
              <w:ind w:left="186" w:right="171"/>
              <w:jc w:val="center"/>
              <w:rPr>
                <w:rFonts w:ascii="Times New Roman"/>
                <w:sz w:val="21"/>
              </w:rPr>
            </w:pPr>
            <w:r>
              <w:rPr>
                <w:rFonts w:ascii="Times New Roman"/>
                <w:sz w:val="21"/>
              </w:rPr>
              <w:t>40%</w:t>
            </w:r>
          </w:p>
        </w:tc>
        <w:tc>
          <w:tcPr>
            <w:tcW w:w="950" w:type="dxa"/>
          </w:tcPr>
          <w:p>
            <w:pPr>
              <w:pStyle w:val="TableParagraph"/>
              <w:spacing w:before="34"/>
              <w:ind w:left="11"/>
              <w:jc w:val="center"/>
              <w:rPr>
                <w:rFonts w:ascii="Times New Roman"/>
                <w:sz w:val="21"/>
              </w:rPr>
            </w:pPr>
            <w:r>
              <w:rPr>
                <w:rFonts w:ascii="Times New Roman"/>
                <w:w w:val="100"/>
                <w:sz w:val="21"/>
              </w:rPr>
              <w:t>0</w:t>
            </w:r>
          </w:p>
        </w:tc>
      </w:tr>
      <w:tr>
        <w:trPr>
          <w:trHeight w:val="313" w:hRule="atLeast"/>
        </w:trPr>
        <w:tc>
          <w:tcPr>
            <w:tcW w:w="2091" w:type="dxa"/>
          </w:tcPr>
          <w:p>
            <w:pPr>
              <w:pStyle w:val="TableParagraph"/>
              <w:spacing w:line="280" w:lineRule="exact"/>
              <w:ind w:right="81"/>
              <w:jc w:val="right"/>
              <w:rPr>
                <w:sz w:val="21"/>
              </w:rPr>
            </w:pPr>
            <w:r>
              <w:rPr>
                <w:sz w:val="21"/>
              </w:rPr>
              <w:t>满</w:t>
            </w:r>
            <w:r>
              <w:rPr>
                <w:rFonts w:ascii="Times New Roman" w:eastAsia="Times New Roman"/>
                <w:sz w:val="21"/>
              </w:rPr>
              <w:t>3</w:t>
            </w:r>
            <w:r>
              <w:rPr>
                <w:sz w:val="21"/>
              </w:rPr>
              <w:t>个月但不满</w:t>
            </w:r>
            <w:r>
              <w:rPr>
                <w:rFonts w:ascii="Times New Roman" w:eastAsia="Times New Roman"/>
                <w:sz w:val="21"/>
              </w:rPr>
              <w:t>4</w:t>
            </w:r>
            <w:r>
              <w:rPr>
                <w:sz w:val="21"/>
              </w:rPr>
              <w:t>个月</w:t>
            </w:r>
          </w:p>
        </w:tc>
        <w:tc>
          <w:tcPr>
            <w:tcW w:w="1042" w:type="dxa"/>
          </w:tcPr>
          <w:p>
            <w:pPr>
              <w:pStyle w:val="TableParagraph"/>
              <w:spacing w:line="264" w:lineRule="exact"/>
              <w:ind w:left="9"/>
              <w:jc w:val="center"/>
              <w:rPr>
                <w:sz w:val="21"/>
              </w:rPr>
            </w:pPr>
            <w:r>
              <w:rPr>
                <w:w w:val="100"/>
                <w:sz w:val="21"/>
              </w:rPr>
              <w:t>—</w:t>
            </w:r>
          </w:p>
        </w:tc>
        <w:tc>
          <w:tcPr>
            <w:tcW w:w="1039" w:type="dxa"/>
          </w:tcPr>
          <w:p>
            <w:pPr>
              <w:pStyle w:val="TableParagraph"/>
              <w:spacing w:line="264" w:lineRule="exact"/>
              <w:ind w:left="12"/>
              <w:jc w:val="center"/>
              <w:rPr>
                <w:sz w:val="21"/>
              </w:rPr>
            </w:pPr>
            <w:r>
              <w:rPr>
                <w:w w:val="100"/>
                <w:sz w:val="21"/>
              </w:rPr>
              <w:t>—</w:t>
            </w:r>
          </w:p>
        </w:tc>
        <w:tc>
          <w:tcPr>
            <w:tcW w:w="1044" w:type="dxa"/>
          </w:tcPr>
          <w:p>
            <w:pPr>
              <w:pStyle w:val="TableParagraph"/>
              <w:spacing w:before="36"/>
              <w:ind w:left="186" w:right="171"/>
              <w:jc w:val="center"/>
              <w:rPr>
                <w:rFonts w:ascii="Times New Roman"/>
                <w:sz w:val="21"/>
              </w:rPr>
            </w:pPr>
            <w:r>
              <w:rPr>
                <w:rFonts w:ascii="Times New Roman"/>
                <w:sz w:val="21"/>
              </w:rPr>
              <w:t>25%</w:t>
            </w:r>
          </w:p>
        </w:tc>
        <w:tc>
          <w:tcPr>
            <w:tcW w:w="950" w:type="dxa"/>
          </w:tcPr>
          <w:p>
            <w:pPr>
              <w:pStyle w:val="TableParagraph"/>
              <w:spacing w:before="36"/>
              <w:ind w:left="11"/>
              <w:jc w:val="center"/>
              <w:rPr>
                <w:rFonts w:ascii="Times New Roman"/>
                <w:sz w:val="21"/>
              </w:rPr>
            </w:pPr>
            <w:r>
              <w:rPr>
                <w:rFonts w:ascii="Times New Roman"/>
                <w:w w:val="100"/>
                <w:sz w:val="21"/>
              </w:rPr>
              <w:t>0</w:t>
            </w:r>
          </w:p>
        </w:tc>
      </w:tr>
      <w:tr>
        <w:trPr>
          <w:trHeight w:val="311" w:hRule="atLeast"/>
        </w:trPr>
        <w:tc>
          <w:tcPr>
            <w:tcW w:w="2091" w:type="dxa"/>
          </w:tcPr>
          <w:p>
            <w:pPr>
              <w:pStyle w:val="TableParagraph"/>
              <w:spacing w:line="278" w:lineRule="exact"/>
              <w:ind w:right="81"/>
              <w:jc w:val="right"/>
              <w:rPr>
                <w:sz w:val="21"/>
              </w:rPr>
            </w:pPr>
            <w:r>
              <w:rPr>
                <w:sz w:val="21"/>
              </w:rPr>
              <w:t>满</w:t>
            </w:r>
            <w:r>
              <w:rPr>
                <w:rFonts w:ascii="Times New Roman" w:eastAsia="Times New Roman"/>
                <w:sz w:val="21"/>
              </w:rPr>
              <w:t>2</w:t>
            </w:r>
            <w:r>
              <w:rPr>
                <w:sz w:val="21"/>
              </w:rPr>
              <w:t>个月但不满</w:t>
            </w:r>
            <w:r>
              <w:rPr>
                <w:rFonts w:ascii="Times New Roman" w:eastAsia="Times New Roman"/>
                <w:sz w:val="21"/>
              </w:rPr>
              <w:t>3</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before="34"/>
              <w:ind w:left="288" w:right="273"/>
              <w:jc w:val="center"/>
              <w:rPr>
                <w:rFonts w:ascii="Times New Roman"/>
                <w:sz w:val="21"/>
              </w:rPr>
            </w:pPr>
            <w:r>
              <w:rPr>
                <w:rFonts w:ascii="Times New Roman"/>
                <w:sz w:val="21"/>
              </w:rPr>
              <w:t>30%</w:t>
            </w:r>
          </w:p>
        </w:tc>
        <w:tc>
          <w:tcPr>
            <w:tcW w:w="1044" w:type="dxa"/>
          </w:tcPr>
          <w:p>
            <w:pPr>
              <w:pStyle w:val="TableParagraph"/>
              <w:spacing w:before="34"/>
              <w:ind w:left="12"/>
              <w:jc w:val="center"/>
              <w:rPr>
                <w:rFonts w:ascii="Times New Roman"/>
                <w:sz w:val="21"/>
              </w:rPr>
            </w:pPr>
            <w:r>
              <w:rPr>
                <w:rFonts w:ascii="Times New Roman"/>
                <w:w w:val="100"/>
                <w:sz w:val="21"/>
              </w:rPr>
              <w:t>0</w:t>
            </w:r>
          </w:p>
        </w:tc>
        <w:tc>
          <w:tcPr>
            <w:tcW w:w="950" w:type="dxa"/>
          </w:tcPr>
          <w:p>
            <w:pPr>
              <w:pStyle w:val="TableParagraph"/>
              <w:spacing w:before="34"/>
              <w:ind w:left="11"/>
              <w:jc w:val="center"/>
              <w:rPr>
                <w:rFonts w:ascii="Times New Roman"/>
                <w:sz w:val="21"/>
              </w:rPr>
            </w:pPr>
            <w:r>
              <w:rPr>
                <w:rFonts w:ascii="Times New Roman"/>
                <w:w w:val="100"/>
                <w:sz w:val="21"/>
              </w:rPr>
              <w:t>0</w:t>
            </w:r>
          </w:p>
        </w:tc>
      </w:tr>
      <w:tr>
        <w:trPr>
          <w:trHeight w:val="311" w:hRule="atLeast"/>
        </w:trPr>
        <w:tc>
          <w:tcPr>
            <w:tcW w:w="2091" w:type="dxa"/>
          </w:tcPr>
          <w:p>
            <w:pPr>
              <w:pStyle w:val="TableParagraph"/>
              <w:spacing w:line="278" w:lineRule="exact"/>
              <w:ind w:left="571"/>
              <w:rPr>
                <w:sz w:val="21"/>
              </w:rPr>
            </w:pPr>
            <w:r>
              <w:rPr>
                <w:sz w:val="21"/>
              </w:rPr>
              <w:t>不满</w:t>
            </w:r>
            <w:r>
              <w:rPr>
                <w:rFonts w:ascii="Times New Roman" w:eastAsia="Times New Roman"/>
                <w:sz w:val="21"/>
              </w:rPr>
              <w:t>2</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before="34"/>
              <w:ind w:left="12"/>
              <w:jc w:val="center"/>
              <w:rPr>
                <w:rFonts w:ascii="Times New Roman"/>
                <w:sz w:val="21"/>
              </w:rPr>
            </w:pPr>
            <w:r>
              <w:rPr>
                <w:rFonts w:ascii="Times New Roman"/>
                <w:w w:val="100"/>
                <w:sz w:val="21"/>
              </w:rPr>
              <w:t>0</w:t>
            </w:r>
          </w:p>
        </w:tc>
        <w:tc>
          <w:tcPr>
            <w:tcW w:w="1044" w:type="dxa"/>
          </w:tcPr>
          <w:p>
            <w:pPr>
              <w:pStyle w:val="TableParagraph"/>
              <w:spacing w:before="34"/>
              <w:ind w:left="12"/>
              <w:jc w:val="center"/>
              <w:rPr>
                <w:rFonts w:ascii="Times New Roman"/>
                <w:sz w:val="21"/>
              </w:rPr>
            </w:pPr>
            <w:r>
              <w:rPr>
                <w:rFonts w:ascii="Times New Roman"/>
                <w:w w:val="100"/>
                <w:sz w:val="21"/>
              </w:rPr>
              <w:t>0</w:t>
            </w:r>
          </w:p>
        </w:tc>
        <w:tc>
          <w:tcPr>
            <w:tcW w:w="950" w:type="dxa"/>
          </w:tcPr>
          <w:p>
            <w:pPr>
              <w:pStyle w:val="TableParagraph"/>
              <w:spacing w:before="34"/>
              <w:ind w:left="11"/>
              <w:jc w:val="center"/>
              <w:rPr>
                <w:rFonts w:ascii="Times New Roman"/>
                <w:sz w:val="21"/>
              </w:rPr>
            </w:pPr>
            <w:r>
              <w:rPr>
                <w:rFonts w:ascii="Times New Roman"/>
                <w:w w:val="100"/>
                <w:sz w:val="21"/>
              </w:rPr>
              <w:t>0</w:t>
            </w:r>
          </w:p>
        </w:tc>
      </w:tr>
    </w:tbl>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54"/>
        <w:ind w:left="117" w:right="0" w:firstLine="0"/>
        <w:jc w:val="lef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360" w:bottom="820" w:left="960" w:right="800"/>
      <w:cols w:num="2" w:equalWidth="0">
        <w:col w:w="8170" w:space="235"/>
        <w:col w:w="174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7.130005pt;margin-top:761.429871pt;width:248.9pt;height:13.7pt;mso-position-horizontal-relative:page;mso-position-vertical-relative:page;z-index:-33304" type="#_x0000_t202" filled="false" stroked="false">
          <v:textbox inset="0,0,0,0">
            <w:txbxContent>
              <w:p>
                <w:pPr>
                  <w:pStyle w:val="BodyText"/>
                  <w:spacing w:line="254" w:lineRule="exact"/>
                  <w:ind w:left="20"/>
                </w:pPr>
                <w:r>
                  <w:rPr/>
                  <w:t>太平附加真爱豁免保费重大疾病保险，第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16</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7.130005pt;margin-top:761.429871pt;width:248.9pt;height:13.7pt;mso-position-horizontal-relative:page;mso-position-vertical-relative:page;z-index:-33280" type="#_x0000_t202" filled="false" stroked="false">
          <v:textbox inset="0,0,0,0">
            <w:txbxContent>
              <w:p>
                <w:pPr>
                  <w:pStyle w:val="BodyText"/>
                  <w:spacing w:line="254" w:lineRule="exact"/>
                  <w:ind w:left="20"/>
                </w:pPr>
                <w:r>
                  <w:rPr/>
                  <w:t>太平附加真爱豁免保费重大疾病保险，第</w:t>
                </w:r>
                <w:r>
                  <w:rPr>
                    <w:rFonts w:ascii="Times New Roman" w:eastAsia="Times New Roman"/>
                  </w:rPr>
                  <w:t>4</w:t>
                </w:r>
                <w:r>
                  <w:rPr/>
                  <w:t>页，共</w:t>
                </w:r>
                <w:r>
                  <w:rPr>
                    <w:rFonts w:ascii="Times New Roman" w:eastAsia="Times New Roman"/>
                  </w:rPr>
                  <w:t>16</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74.610001pt;margin-top:761.429871pt;width:254.2pt;height:13.7pt;mso-position-horizontal-relative:page;mso-position-vertical-relative:page;z-index:-33256" type="#_x0000_t202" filled="false" stroked="false">
          <v:textbox inset="0,0,0,0">
            <w:txbxContent>
              <w:p>
                <w:pPr>
                  <w:pStyle w:val="BodyText"/>
                  <w:spacing w:line="254" w:lineRule="exact"/>
                  <w:ind w:left="20"/>
                </w:pPr>
                <w:r>
                  <w:rPr/>
                  <w:t>太平附加真爱豁免保费重大疾病保险，第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16</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8">
    <w:multiLevelType w:val="hybridMultilevel"/>
    <w:lvl w:ilvl="0">
      <w:start w:val="38"/>
      <w:numFmt w:val="decimal"/>
      <w:lvlText w:val="%1."/>
      <w:lvlJc w:val="left"/>
      <w:pPr>
        <w:ind w:left="53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3900" w:hanging="421"/>
      </w:pPr>
      <w:rPr>
        <w:rFonts w:hint="default"/>
      </w:rPr>
    </w:lvl>
    <w:lvl w:ilvl="2">
      <w:start w:val="0"/>
      <w:numFmt w:val="bullet"/>
      <w:lvlText w:val="•"/>
      <w:lvlJc w:val="left"/>
      <w:pPr>
        <w:ind w:left="4591" w:hanging="421"/>
      </w:pPr>
      <w:rPr>
        <w:rFonts w:hint="default"/>
      </w:rPr>
    </w:lvl>
    <w:lvl w:ilvl="3">
      <w:start w:val="0"/>
      <w:numFmt w:val="bullet"/>
      <w:lvlText w:val="•"/>
      <w:lvlJc w:val="left"/>
      <w:pPr>
        <w:ind w:left="5283" w:hanging="421"/>
      </w:pPr>
      <w:rPr>
        <w:rFonts w:hint="default"/>
      </w:rPr>
    </w:lvl>
    <w:lvl w:ilvl="4">
      <w:start w:val="0"/>
      <w:numFmt w:val="bullet"/>
      <w:lvlText w:val="•"/>
      <w:lvlJc w:val="left"/>
      <w:pPr>
        <w:ind w:left="5975" w:hanging="421"/>
      </w:pPr>
      <w:rPr>
        <w:rFonts w:hint="default"/>
      </w:rPr>
    </w:lvl>
    <w:lvl w:ilvl="5">
      <w:start w:val="0"/>
      <w:numFmt w:val="bullet"/>
      <w:lvlText w:val="•"/>
      <w:lvlJc w:val="left"/>
      <w:pPr>
        <w:ind w:left="6667" w:hanging="421"/>
      </w:pPr>
      <w:rPr>
        <w:rFonts w:hint="default"/>
      </w:rPr>
    </w:lvl>
    <w:lvl w:ilvl="6">
      <w:start w:val="0"/>
      <w:numFmt w:val="bullet"/>
      <w:lvlText w:val="•"/>
      <w:lvlJc w:val="left"/>
      <w:pPr>
        <w:ind w:left="7359" w:hanging="421"/>
      </w:pPr>
      <w:rPr>
        <w:rFonts w:hint="default"/>
      </w:rPr>
    </w:lvl>
    <w:lvl w:ilvl="7">
      <w:start w:val="0"/>
      <w:numFmt w:val="bullet"/>
      <w:lvlText w:val="•"/>
      <w:lvlJc w:val="left"/>
      <w:pPr>
        <w:ind w:left="8050" w:hanging="421"/>
      </w:pPr>
      <w:rPr>
        <w:rFonts w:hint="default"/>
      </w:rPr>
    </w:lvl>
    <w:lvl w:ilvl="8">
      <w:start w:val="0"/>
      <w:numFmt w:val="bullet"/>
      <w:lvlText w:val="•"/>
      <w:lvlJc w:val="left"/>
      <w:pPr>
        <w:ind w:left="8742" w:hanging="421"/>
      </w:pPr>
      <w:rPr>
        <w:rFonts w:hint="default"/>
      </w:rPr>
    </w:lvl>
  </w:abstractNum>
  <w:abstractNum w:abstractNumId="7">
    <w:multiLevelType w:val="hybridMultilevel"/>
    <w:lvl w:ilvl="0">
      <w:start w:val="26"/>
      <w:numFmt w:val="decimal"/>
      <w:lvlText w:val="%1."/>
      <w:lvlJc w:val="left"/>
      <w:pPr>
        <w:ind w:left="53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1498" w:hanging="421"/>
      </w:pPr>
      <w:rPr>
        <w:rFonts w:hint="default"/>
      </w:rPr>
    </w:lvl>
    <w:lvl w:ilvl="2">
      <w:start w:val="0"/>
      <w:numFmt w:val="bullet"/>
      <w:lvlText w:val="•"/>
      <w:lvlJc w:val="left"/>
      <w:pPr>
        <w:ind w:left="2457" w:hanging="421"/>
      </w:pPr>
      <w:rPr>
        <w:rFonts w:hint="default"/>
      </w:rPr>
    </w:lvl>
    <w:lvl w:ilvl="3">
      <w:start w:val="0"/>
      <w:numFmt w:val="bullet"/>
      <w:lvlText w:val="•"/>
      <w:lvlJc w:val="left"/>
      <w:pPr>
        <w:ind w:left="3415" w:hanging="421"/>
      </w:pPr>
      <w:rPr>
        <w:rFonts w:hint="default"/>
      </w:rPr>
    </w:lvl>
    <w:lvl w:ilvl="4">
      <w:start w:val="0"/>
      <w:numFmt w:val="bullet"/>
      <w:lvlText w:val="•"/>
      <w:lvlJc w:val="left"/>
      <w:pPr>
        <w:ind w:left="4374" w:hanging="421"/>
      </w:pPr>
      <w:rPr>
        <w:rFonts w:hint="default"/>
      </w:rPr>
    </w:lvl>
    <w:lvl w:ilvl="5">
      <w:start w:val="0"/>
      <w:numFmt w:val="bullet"/>
      <w:lvlText w:val="•"/>
      <w:lvlJc w:val="left"/>
      <w:pPr>
        <w:ind w:left="5333" w:hanging="421"/>
      </w:pPr>
      <w:rPr>
        <w:rFonts w:hint="default"/>
      </w:rPr>
    </w:lvl>
    <w:lvl w:ilvl="6">
      <w:start w:val="0"/>
      <w:numFmt w:val="bullet"/>
      <w:lvlText w:val="•"/>
      <w:lvlJc w:val="left"/>
      <w:pPr>
        <w:ind w:left="6291" w:hanging="421"/>
      </w:pPr>
      <w:rPr>
        <w:rFonts w:hint="default"/>
      </w:rPr>
    </w:lvl>
    <w:lvl w:ilvl="7">
      <w:start w:val="0"/>
      <w:numFmt w:val="bullet"/>
      <w:lvlText w:val="•"/>
      <w:lvlJc w:val="left"/>
      <w:pPr>
        <w:ind w:left="7250" w:hanging="421"/>
      </w:pPr>
      <w:rPr>
        <w:rFonts w:hint="default"/>
      </w:rPr>
    </w:lvl>
    <w:lvl w:ilvl="8">
      <w:start w:val="0"/>
      <w:numFmt w:val="bullet"/>
      <w:lvlText w:val="•"/>
      <w:lvlJc w:val="left"/>
      <w:pPr>
        <w:ind w:left="8209" w:hanging="421"/>
      </w:pPr>
      <w:rPr>
        <w:rFonts w:hint="default"/>
      </w:rPr>
    </w:lvl>
  </w:abstractNum>
  <w:abstractNum w:abstractNumId="6">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5">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8" w:hanging="267"/>
      </w:pPr>
      <w:rPr>
        <w:rFonts w:hint="default"/>
      </w:rPr>
    </w:lvl>
    <w:lvl w:ilvl="2">
      <w:start w:val="0"/>
      <w:numFmt w:val="bullet"/>
      <w:lvlText w:val="•"/>
      <w:lvlJc w:val="left"/>
      <w:pPr>
        <w:ind w:left="2137" w:hanging="267"/>
      </w:pPr>
      <w:rPr>
        <w:rFonts w:hint="default"/>
      </w:rPr>
    </w:lvl>
    <w:lvl w:ilvl="3">
      <w:start w:val="0"/>
      <w:numFmt w:val="bullet"/>
      <w:lvlText w:val="•"/>
      <w:lvlJc w:val="left"/>
      <w:pPr>
        <w:ind w:left="3145" w:hanging="267"/>
      </w:pPr>
      <w:rPr>
        <w:rFonts w:hint="default"/>
      </w:rPr>
    </w:lvl>
    <w:lvl w:ilvl="4">
      <w:start w:val="0"/>
      <w:numFmt w:val="bullet"/>
      <w:lvlText w:val="•"/>
      <w:lvlJc w:val="left"/>
      <w:pPr>
        <w:ind w:left="4154" w:hanging="267"/>
      </w:pPr>
      <w:rPr>
        <w:rFonts w:hint="default"/>
      </w:rPr>
    </w:lvl>
    <w:lvl w:ilvl="5">
      <w:start w:val="0"/>
      <w:numFmt w:val="bullet"/>
      <w:lvlText w:val="•"/>
      <w:lvlJc w:val="left"/>
      <w:pPr>
        <w:ind w:left="5163" w:hanging="267"/>
      </w:pPr>
      <w:rPr>
        <w:rFonts w:hint="default"/>
      </w:rPr>
    </w:lvl>
    <w:lvl w:ilvl="6">
      <w:start w:val="0"/>
      <w:numFmt w:val="bullet"/>
      <w:lvlText w:val="•"/>
      <w:lvlJc w:val="left"/>
      <w:pPr>
        <w:ind w:left="6171" w:hanging="267"/>
      </w:pPr>
      <w:rPr>
        <w:rFonts w:hint="default"/>
      </w:rPr>
    </w:lvl>
    <w:lvl w:ilvl="7">
      <w:start w:val="0"/>
      <w:numFmt w:val="bullet"/>
      <w:lvlText w:val="•"/>
      <w:lvlJc w:val="left"/>
      <w:pPr>
        <w:ind w:left="7180" w:hanging="267"/>
      </w:pPr>
      <w:rPr>
        <w:rFonts w:hint="default"/>
      </w:rPr>
    </w:lvl>
    <w:lvl w:ilvl="8">
      <w:start w:val="0"/>
      <w:numFmt w:val="bullet"/>
      <w:lvlText w:val="•"/>
      <w:lvlJc w:val="left"/>
      <w:pPr>
        <w:ind w:left="8189"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80" w:hanging="420"/>
      </w:pPr>
      <w:rPr>
        <w:rFonts w:hint="default"/>
      </w:rPr>
    </w:lvl>
    <w:lvl w:ilvl="2">
      <w:start w:val="0"/>
      <w:numFmt w:val="bullet"/>
      <w:lvlText w:val="•"/>
      <w:lvlJc w:val="left"/>
      <w:pPr>
        <w:ind w:left="3661" w:hanging="420"/>
      </w:pPr>
      <w:rPr>
        <w:rFonts w:hint="default"/>
      </w:rPr>
    </w:lvl>
    <w:lvl w:ilvl="3">
      <w:start w:val="0"/>
      <w:numFmt w:val="bullet"/>
      <w:lvlText w:val="•"/>
      <w:lvlJc w:val="left"/>
      <w:pPr>
        <w:ind w:left="4541" w:hanging="420"/>
      </w:pPr>
      <w:rPr>
        <w:rFonts w:hint="default"/>
      </w:rPr>
    </w:lvl>
    <w:lvl w:ilvl="4">
      <w:start w:val="0"/>
      <w:numFmt w:val="bullet"/>
      <w:lvlText w:val="•"/>
      <w:lvlJc w:val="left"/>
      <w:pPr>
        <w:ind w:left="5422" w:hanging="420"/>
      </w:pPr>
      <w:rPr>
        <w:rFonts w:hint="default"/>
      </w:rPr>
    </w:lvl>
    <w:lvl w:ilvl="5">
      <w:start w:val="0"/>
      <w:numFmt w:val="bullet"/>
      <w:lvlText w:val="•"/>
      <w:lvlJc w:val="left"/>
      <w:pPr>
        <w:ind w:left="6303" w:hanging="420"/>
      </w:pPr>
      <w:rPr>
        <w:rFonts w:hint="default"/>
      </w:rPr>
    </w:lvl>
    <w:lvl w:ilvl="6">
      <w:start w:val="0"/>
      <w:numFmt w:val="bullet"/>
      <w:lvlText w:val="•"/>
      <w:lvlJc w:val="left"/>
      <w:pPr>
        <w:ind w:left="7183" w:hanging="420"/>
      </w:pPr>
      <w:rPr>
        <w:rFonts w:hint="default"/>
      </w:rPr>
    </w:lvl>
    <w:lvl w:ilvl="7">
      <w:start w:val="0"/>
      <w:numFmt w:val="bullet"/>
      <w:lvlText w:val="•"/>
      <w:lvlJc w:val="left"/>
      <w:pPr>
        <w:ind w:left="8064" w:hanging="420"/>
      </w:pPr>
      <w:rPr>
        <w:rFonts w:hint="default"/>
      </w:rPr>
    </w:lvl>
    <w:lvl w:ilvl="8">
      <w:start w:val="0"/>
      <w:numFmt w:val="bullet"/>
      <w:lvlText w:val="•"/>
      <w:lvlJc w:val="left"/>
      <w:pPr>
        <w:ind w:left="8945" w:hanging="420"/>
      </w:pPr>
      <w:rPr>
        <w:rFonts w:hint="default"/>
      </w:rPr>
    </w:lvl>
  </w:abstractNum>
  <w:num w:numId="5">
    <w:abstractNumId w:val="4"/>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538"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2018-10-19T22:26:33Z</dcterms:created>
  <dcterms:modified xsi:type="dcterms:W3CDTF">2018-10-19T22:26:33Z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Microsoft® Word 2010</vt:lpwstr>
  </property>
  <property fmtid="{D5CDD505-2E9C-101B-9397-08002B2CF9AE}" pid="4" name="LastSaved">
    <vt:filetime>2018-10-19T00:00:00Z</vt:filetime>
  </property>
</Properties>
</file>