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7"/>
        <w:ind w:left="0" w:right="116"/>
        <w:jc w:val="right"/>
      </w:pPr>
      <w:r>
        <w:rPr/>
        <w:t>人保健康[2015]疾病保险 013 号</w:t>
      </w:r>
    </w:p>
    <w:p>
      <w:pPr>
        <w:pStyle w:val="Heading1"/>
        <w:tabs>
          <w:tab w:pos="9042" w:val="left" w:leader="none"/>
        </w:tabs>
        <w:spacing w:line="1136" w:lineRule="exact" w:before="30"/>
        <w:ind w:left="3043" w:right="0"/>
        <w:jc w:val="left"/>
      </w:pPr>
      <w:r>
        <w:rPr>
          <w:w w:val="95"/>
        </w:rPr>
        <w:t>中国人民健康保险股份有限公司</w:t>
        <w:tab/>
      </w:r>
      <w:r>
        <w:rPr>
          <w:position w:val="-14"/>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position w:val="-14"/>
        </w:rPr>
      </w:r>
    </w:p>
    <w:p>
      <w:pPr>
        <w:spacing w:line="414" w:lineRule="exact" w:before="0"/>
        <w:ind w:left="2119" w:right="0" w:firstLine="0"/>
        <w:jc w:val="left"/>
        <w:rPr>
          <w:sz w:val="32"/>
        </w:rPr>
      </w:pPr>
      <w:r>
        <w:rPr>
          <w:b/>
          <w:w w:val="95"/>
          <w:sz w:val="32"/>
        </w:rPr>
        <w:t>附加福泽一生个人重大疾病保险（B 款）条款 </w:t>
      </w:r>
      <w:r>
        <w:rPr>
          <w:w w:val="95"/>
          <w:sz w:val="32"/>
          <w:vertAlign w:val="superscript"/>
        </w:rPr>
        <w:t>请扫描以查询验证条款</w:t>
      </w:r>
      <w:r>
        <w:rPr>
          <w:w w:val="95"/>
          <w:sz w:val="32"/>
          <w:vertAlign w:val="baseline"/>
        </w:rPr>
      </w:r>
    </w:p>
    <w:p>
      <w:pPr>
        <w:pStyle w:val="BodyText"/>
        <w:spacing w:before="2"/>
        <w:ind w:left="0"/>
        <w:rPr>
          <w:sz w:val="16"/>
        </w:rPr>
      </w:pPr>
    </w:p>
    <w:p>
      <w:pPr>
        <w:spacing w:before="8"/>
        <w:ind w:left="2237" w:right="2856" w:firstLine="0"/>
        <w:jc w:val="center"/>
        <w:rPr>
          <w:rFonts w:ascii="黑体" w:eastAsia="黑体" w:hint="eastAsia"/>
          <w:b/>
          <w:sz w:val="30"/>
        </w:rPr>
      </w:pPr>
      <w:r>
        <w:rPr>
          <w:rFonts w:ascii="黑体" w:eastAsia="黑体" w:hint="eastAsia"/>
          <w:b/>
          <w:w w:val="95"/>
          <w:sz w:val="30"/>
        </w:rPr>
        <w:t>阅读指引</w:t>
      </w:r>
    </w:p>
    <w:p>
      <w:pPr>
        <w:pStyle w:val="BodyText"/>
        <w:spacing w:before="154"/>
        <w:ind w:left="2238" w:right="2856"/>
        <w:jc w:val="center"/>
      </w:pPr>
      <w:r>
        <w:rPr/>
        <w:pict>
          <v:group style="position:absolute;margin-left:38.160pt;margin-top:27.28368pt;width:518.9pt;height:593.6pt;mso-position-horizontal-relative:page;mso-position-vertical-relative:paragraph;z-index:-36616" coordorigin="763,546" coordsize="10378,11872">
            <v:shape style="position:absolute;left:763;top:545;width:10378;height:11872" type="#_x0000_t75" stroked="false">
              <v:imagedata r:id="rId6" o:title=""/>
            </v:shape>
            <v:rect style="position:absolute;left:1210;top:5835;width:9454;height:6396" filled="false" stroked="true" strokeweight=".75pt" strokecolor="#000000">
              <v:stroke dashstyle="dot"/>
            </v:rect>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旨</w:t>
      </w:r>
      <w:r>
        <w:rPr>
          <w:spacing w:val="-63"/>
          <w:w w:val="100"/>
          <w:position w:val="-7"/>
        </w:rPr>
        <w:t>．</w:t>
      </w:r>
      <w:r>
        <w:rPr>
          <w:spacing w:val="-151"/>
          <w:w w:val="100"/>
        </w:rPr>
        <w:t>在</w:t>
      </w:r>
      <w:r>
        <w:rPr>
          <w:spacing w:val="-63"/>
          <w:w w:val="100"/>
          <w:position w:val="-7"/>
        </w:rPr>
        <w:t>．</w:t>
      </w:r>
      <w:r>
        <w:rPr>
          <w:spacing w:val="-149"/>
          <w:w w:val="100"/>
        </w:rPr>
        <w:t>帮</w:t>
      </w:r>
      <w:r>
        <w:rPr>
          <w:spacing w:val="-63"/>
          <w:w w:val="100"/>
          <w:position w:val="-7"/>
        </w:rPr>
        <w:t>．</w:t>
      </w:r>
      <w:r>
        <w:rPr>
          <w:spacing w:val="-151"/>
          <w:w w:val="100"/>
        </w:rPr>
        <w:t>助</w:t>
      </w:r>
      <w:r>
        <w:rPr>
          <w:spacing w:val="-63"/>
          <w:w w:val="100"/>
          <w:position w:val="-7"/>
        </w:rPr>
        <w:t>．</w:t>
      </w:r>
      <w:r>
        <w:rPr>
          <w:spacing w:val="-149"/>
          <w:w w:val="100"/>
        </w:rPr>
        <w:t>投</w:t>
      </w:r>
      <w:r>
        <w:rPr>
          <w:spacing w:val="-63"/>
          <w:w w:val="100"/>
          <w:position w:val="-7"/>
        </w:rPr>
        <w:t>．</w:t>
      </w:r>
      <w:r>
        <w:rPr>
          <w:spacing w:val="-151"/>
          <w:w w:val="100"/>
        </w:rPr>
        <w:t>保</w:t>
      </w:r>
      <w:r>
        <w:rPr>
          <w:spacing w:val="-63"/>
          <w:w w:val="100"/>
          <w:position w:val="-7"/>
        </w:rPr>
        <w:t>．</w:t>
      </w:r>
      <w:r>
        <w:rPr>
          <w:spacing w:val="-149"/>
          <w:w w:val="100"/>
        </w:rPr>
        <w:t>人</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w:t>
      </w:r>
      <w:r>
        <w:rPr>
          <w:spacing w:val="-63"/>
          <w:w w:val="100"/>
          <w:position w:val="-7"/>
        </w:rPr>
        <w:t>．</w:t>
      </w:r>
      <w:r>
        <w:rPr>
          <w:spacing w:val="-152"/>
          <w:w w:val="100"/>
        </w:rPr>
        <w:t>具</w:t>
      </w:r>
      <w:r>
        <w:rPr>
          <w:spacing w:val="-63"/>
          <w:w w:val="100"/>
          <w:position w:val="-7"/>
        </w:rPr>
        <w:t>．</w:t>
      </w:r>
      <w:r>
        <w:rPr>
          <w:spacing w:val="-149"/>
          <w:w w:val="100"/>
        </w:rPr>
        <w:t>体</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51"/>
          <w:w w:val="100"/>
        </w:rPr>
        <w:t>以</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pStyle w:val="Heading2"/>
        <w:tabs>
          <w:tab w:pos="1253" w:val="left" w:leader="none"/>
        </w:tabs>
        <w:spacing w:before="84"/>
      </w:pPr>
      <w:r>
        <w:rPr>
          <w:rFonts w:ascii="Arial" w:hAnsi="Arial" w:eastAsia="Arial"/>
          <w:w w:val="105"/>
          <w:position w:val="-11"/>
          <w:sz w:val="52"/>
        </w:rPr>
        <w:t></w:t>
        <w:tab/>
      </w:r>
      <w:r>
        <w:rPr>
          <w:spacing w:val="-1"/>
        </w:rPr>
        <w:t>投保人拥有的重要权益</w:t>
      </w:r>
    </w:p>
    <w:p>
      <w:pPr>
        <w:pStyle w:val="ListParagraph"/>
        <w:numPr>
          <w:ilvl w:val="0"/>
          <w:numId w:val="1"/>
        </w:numPr>
        <w:tabs>
          <w:tab w:pos="1634" w:val="left" w:leader="none"/>
          <w:tab w:pos="1635" w:val="left" w:leader="none"/>
          <w:tab w:pos="9937" w:val="right" w:leader="dot"/>
        </w:tabs>
        <w:spacing w:line="240" w:lineRule="auto" w:before="25" w:after="0"/>
        <w:ind w:left="1634" w:right="0" w:hanging="420"/>
        <w:jc w:val="left"/>
        <w:rPr>
          <w:sz w:val="21"/>
        </w:rPr>
      </w:pPr>
      <w:r>
        <w:rPr>
          <w:sz w:val="21"/>
        </w:rPr>
        <w:t>本附</w:t>
      </w:r>
      <w:r>
        <w:rPr>
          <w:spacing w:val="-3"/>
          <w:sz w:val="21"/>
        </w:rPr>
        <w:t>加</w:t>
      </w:r>
      <w:r>
        <w:rPr>
          <w:sz w:val="21"/>
        </w:rPr>
        <w:t>险</w:t>
      </w:r>
      <w:r>
        <w:rPr>
          <w:spacing w:val="-3"/>
          <w:sz w:val="21"/>
        </w:rPr>
        <w:t>合</w:t>
      </w:r>
      <w:r>
        <w:rPr>
          <w:sz w:val="21"/>
        </w:rPr>
        <w:t>同</w:t>
      </w:r>
      <w:r>
        <w:rPr>
          <w:spacing w:val="-3"/>
          <w:sz w:val="21"/>
        </w:rPr>
        <w:t>为</w:t>
      </w:r>
      <w:r>
        <w:rPr>
          <w:sz w:val="21"/>
        </w:rPr>
        <w:t>被</w:t>
      </w:r>
      <w:r>
        <w:rPr>
          <w:spacing w:val="-3"/>
          <w:sz w:val="21"/>
        </w:rPr>
        <w:t>保</w:t>
      </w:r>
      <w:r>
        <w:rPr>
          <w:sz w:val="21"/>
        </w:rPr>
        <w:t>险</w:t>
      </w:r>
      <w:r>
        <w:rPr>
          <w:spacing w:val="-3"/>
          <w:sz w:val="21"/>
        </w:rPr>
        <w:t>人</w:t>
      </w:r>
      <w:r>
        <w:rPr>
          <w:sz w:val="21"/>
        </w:rPr>
        <w:t>提供</w:t>
      </w:r>
      <w:r>
        <w:rPr>
          <w:spacing w:val="-3"/>
          <w:sz w:val="21"/>
        </w:rPr>
        <w:t>的</w:t>
      </w:r>
      <w:r>
        <w:rPr>
          <w:sz w:val="21"/>
        </w:rPr>
        <w:t>保</w:t>
      </w:r>
      <w:r>
        <w:rPr>
          <w:spacing w:val="-3"/>
          <w:sz w:val="21"/>
        </w:rPr>
        <w:t>障</w:t>
      </w:r>
      <w:r>
        <w:rPr>
          <w:sz w:val="21"/>
        </w:rPr>
        <w:t>内</w:t>
      </w:r>
      <w:r>
        <w:rPr>
          <w:spacing w:val="-3"/>
          <w:sz w:val="21"/>
        </w:rPr>
        <w:t>容</w:t>
      </w:r>
      <w:r>
        <w:rPr>
          <w:sz w:val="21"/>
        </w:rPr>
        <w:t>在</w:t>
      </w:r>
      <w:r>
        <w:rPr>
          <w:spacing w:val="-3"/>
          <w:sz w:val="21"/>
        </w:rPr>
        <w:t>保</w:t>
      </w:r>
      <w:r>
        <w:rPr>
          <w:sz w:val="21"/>
        </w:rPr>
        <w:t>险</w:t>
      </w:r>
      <w:r>
        <w:rPr>
          <w:spacing w:val="-3"/>
          <w:sz w:val="21"/>
        </w:rPr>
        <w:t>责</w:t>
      </w:r>
      <w:r>
        <w:rPr>
          <w:sz w:val="21"/>
        </w:rPr>
        <w:t>任条</w:t>
      </w:r>
      <w:r>
        <w:rPr>
          <w:spacing w:val="-3"/>
          <w:sz w:val="21"/>
        </w:rPr>
        <w:t>款</w:t>
      </w:r>
      <w:r>
        <w:rPr>
          <w:sz w:val="21"/>
        </w:rPr>
        <w:t>中</w:t>
      </w:r>
      <w:r>
        <w:rPr>
          <w:spacing w:val="-3"/>
          <w:sz w:val="21"/>
        </w:rPr>
        <w:t>列</w:t>
      </w:r>
      <w:r>
        <w:rPr>
          <w:sz w:val="21"/>
        </w:rPr>
        <w:t>明…</w:t>
        <w:tab/>
        <w:t>2.4</w:t>
      </w:r>
    </w:p>
    <w:p>
      <w:pPr>
        <w:pStyle w:val="Heading2"/>
        <w:tabs>
          <w:tab w:pos="1253" w:val="left" w:leader="none"/>
        </w:tabs>
        <w:spacing w:before="21"/>
      </w:pPr>
      <w:r>
        <w:rPr>
          <w:rFonts w:ascii="Arial" w:hAnsi="Arial" w:eastAsia="Arial"/>
          <w:w w:val="105"/>
          <w:position w:val="-11"/>
          <w:sz w:val="52"/>
        </w:rPr>
        <w:t></w:t>
        <w:tab/>
      </w:r>
      <w:r>
        <w:rPr>
          <w:spacing w:val="-2"/>
        </w:rPr>
        <w:t>投保人需要特别注意的事项</w:t>
      </w:r>
    </w:p>
    <w:p>
      <w:pPr>
        <w:pStyle w:val="ListParagraph"/>
        <w:numPr>
          <w:ilvl w:val="0"/>
          <w:numId w:val="1"/>
        </w:numPr>
        <w:tabs>
          <w:tab w:pos="1634" w:val="left" w:leader="none"/>
          <w:tab w:pos="1635" w:val="left" w:leader="none"/>
          <w:tab w:pos="9937" w:val="right" w:leader="dot"/>
        </w:tabs>
        <w:spacing w:line="240" w:lineRule="auto" w:before="25" w:after="0"/>
        <w:ind w:left="1634" w:right="0" w:hanging="420"/>
        <w:jc w:val="left"/>
        <w:rPr>
          <w:sz w:val="21"/>
        </w:rPr>
      </w:pPr>
      <w:r>
        <w:rPr>
          <w:sz w:val="21"/>
        </w:rPr>
        <w:t>对某</w:t>
      </w:r>
      <w:r>
        <w:rPr>
          <w:spacing w:val="-3"/>
          <w:sz w:val="21"/>
        </w:rPr>
        <w:t>些</w:t>
      </w:r>
      <w:r>
        <w:rPr>
          <w:sz w:val="21"/>
        </w:rPr>
        <w:t>情</w:t>
      </w:r>
      <w:r>
        <w:rPr>
          <w:spacing w:val="-3"/>
          <w:sz w:val="21"/>
        </w:rPr>
        <w:t>形</w:t>
      </w:r>
      <w:r>
        <w:rPr>
          <w:sz w:val="21"/>
        </w:rPr>
        <w:t>造</w:t>
      </w:r>
      <w:r>
        <w:rPr>
          <w:spacing w:val="-3"/>
          <w:sz w:val="21"/>
        </w:rPr>
        <w:t>成</w:t>
      </w:r>
      <w:r>
        <w:rPr>
          <w:sz w:val="21"/>
        </w:rPr>
        <w:t>的</w:t>
      </w:r>
      <w:r>
        <w:rPr>
          <w:spacing w:val="-3"/>
          <w:sz w:val="21"/>
        </w:rPr>
        <w:t>保</w:t>
      </w:r>
      <w:r>
        <w:rPr>
          <w:sz w:val="21"/>
        </w:rPr>
        <w:t>险</w:t>
      </w:r>
      <w:r>
        <w:rPr>
          <w:spacing w:val="-3"/>
          <w:sz w:val="21"/>
        </w:rPr>
        <w:t>事</w:t>
      </w:r>
      <w:r>
        <w:rPr>
          <w:sz w:val="21"/>
        </w:rPr>
        <w:t>故，</w:t>
      </w:r>
      <w:r>
        <w:rPr>
          <w:spacing w:val="-3"/>
          <w:sz w:val="21"/>
        </w:rPr>
        <w:t>本</w:t>
      </w:r>
      <w:r>
        <w:rPr>
          <w:sz w:val="21"/>
        </w:rPr>
        <w:t>公</w:t>
      </w:r>
      <w:r>
        <w:rPr>
          <w:spacing w:val="-3"/>
          <w:sz w:val="21"/>
        </w:rPr>
        <w:t>司</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2.5</w:t>
      </w:r>
    </w:p>
    <w:p>
      <w:pPr>
        <w:pStyle w:val="ListParagraph"/>
        <w:numPr>
          <w:ilvl w:val="0"/>
          <w:numId w:val="1"/>
        </w:numPr>
        <w:tabs>
          <w:tab w:pos="1634" w:val="left" w:leader="none"/>
          <w:tab w:pos="1635" w:val="left" w:leader="none"/>
          <w:tab w:pos="9937" w:val="right" w:leader="dot"/>
        </w:tabs>
        <w:spacing w:line="240" w:lineRule="auto" w:before="22" w:after="0"/>
        <w:ind w:left="1634" w:right="0" w:hanging="420"/>
        <w:jc w:val="left"/>
        <w:rPr>
          <w:sz w:val="21"/>
        </w:rPr>
      </w:pPr>
      <w:r>
        <w:rPr>
          <w:sz w:val="21"/>
        </w:rPr>
        <w:t>投保</w:t>
      </w:r>
      <w:r>
        <w:rPr>
          <w:spacing w:val="-3"/>
          <w:sz w:val="21"/>
        </w:rPr>
        <w:t>人</w:t>
      </w:r>
      <w:r>
        <w:rPr>
          <w:sz w:val="21"/>
        </w:rPr>
        <w:t>有</w:t>
      </w:r>
      <w:r>
        <w:rPr>
          <w:spacing w:val="-3"/>
          <w:sz w:val="21"/>
        </w:rPr>
        <w:t>如</w:t>
      </w:r>
      <w:r>
        <w:rPr>
          <w:sz w:val="21"/>
        </w:rPr>
        <w:t>实</w:t>
      </w:r>
      <w:r>
        <w:rPr>
          <w:spacing w:val="-3"/>
          <w:sz w:val="21"/>
        </w:rPr>
        <w:t>告</w:t>
      </w:r>
      <w:r>
        <w:rPr>
          <w:sz w:val="21"/>
        </w:rPr>
        <w:t>知</w:t>
      </w:r>
      <w:r>
        <w:rPr>
          <w:spacing w:val="-3"/>
          <w:sz w:val="21"/>
        </w:rPr>
        <w:t>的</w:t>
      </w:r>
      <w:r>
        <w:rPr>
          <w:sz w:val="21"/>
        </w:rPr>
        <w:t>义务</w:t>
        <w:tab/>
        <w:t>6.1</w:t>
      </w:r>
    </w:p>
    <w:p>
      <w:pPr>
        <w:pStyle w:val="ListParagraph"/>
        <w:numPr>
          <w:ilvl w:val="0"/>
          <w:numId w:val="1"/>
        </w:numPr>
        <w:tabs>
          <w:tab w:pos="1634" w:val="left" w:leader="none"/>
          <w:tab w:pos="1635" w:val="left" w:leader="none"/>
          <w:tab w:pos="9937" w:val="right" w:leader="dot"/>
        </w:tabs>
        <w:spacing w:line="240" w:lineRule="auto" w:before="23" w:after="0"/>
        <w:ind w:left="1634"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w:t>
      </w:r>
      <w:r>
        <w:rPr>
          <w:spacing w:val="-3"/>
          <w:sz w:val="21"/>
        </w:rPr>
        <w:t>请</w:t>
      </w:r>
      <w:r>
        <w:rPr>
          <w:sz w:val="21"/>
        </w:rPr>
        <w:t>及</w:t>
      </w:r>
      <w:r>
        <w:rPr>
          <w:spacing w:val="-3"/>
          <w:sz w:val="21"/>
        </w:rPr>
        <w:t>时</w:t>
      </w:r>
      <w:r>
        <w:rPr>
          <w:sz w:val="21"/>
        </w:rPr>
        <w:t>通知</w:t>
      </w:r>
      <w:r>
        <w:rPr>
          <w:spacing w:val="-3"/>
          <w:sz w:val="21"/>
        </w:rPr>
        <w:t>本</w:t>
      </w:r>
      <w:r>
        <w:rPr>
          <w:sz w:val="21"/>
        </w:rPr>
        <w:t>公司</w:t>
        <w:tab/>
        <w:t>5.1</w:t>
      </w:r>
    </w:p>
    <w:p>
      <w:pPr>
        <w:pStyle w:val="ListParagraph"/>
        <w:numPr>
          <w:ilvl w:val="0"/>
          <w:numId w:val="1"/>
        </w:numPr>
        <w:tabs>
          <w:tab w:pos="1634" w:val="left" w:leader="none"/>
          <w:tab w:pos="1635" w:val="left" w:leader="none"/>
          <w:tab w:pos="9937" w:val="right" w:leader="dot"/>
        </w:tabs>
        <w:spacing w:line="240" w:lineRule="auto" w:before="22" w:after="0"/>
        <w:ind w:left="1634" w:right="0" w:hanging="420"/>
        <w:jc w:val="left"/>
        <w:rPr>
          <w:sz w:val="21"/>
        </w:rPr>
      </w:pPr>
      <w:r>
        <w:rPr>
          <w:sz w:val="21"/>
        </w:rPr>
        <w:t>本附</w:t>
      </w:r>
      <w:r>
        <w:rPr>
          <w:spacing w:val="-3"/>
          <w:sz w:val="21"/>
        </w:rPr>
        <w:t>加</w:t>
      </w:r>
      <w:r>
        <w:rPr>
          <w:sz w:val="21"/>
        </w:rPr>
        <w:t>险</w:t>
      </w:r>
      <w:r>
        <w:rPr>
          <w:spacing w:val="-3"/>
          <w:sz w:val="21"/>
        </w:rPr>
        <w:t>合</w:t>
      </w:r>
      <w:r>
        <w:rPr>
          <w:sz w:val="21"/>
        </w:rPr>
        <w:t>同</w:t>
      </w:r>
      <w:r>
        <w:rPr>
          <w:spacing w:val="-3"/>
          <w:sz w:val="21"/>
        </w:rPr>
        <w:t>与</w:t>
      </w:r>
      <w:r>
        <w:rPr>
          <w:sz w:val="21"/>
        </w:rPr>
        <w:t>主</w:t>
      </w:r>
      <w:r>
        <w:rPr>
          <w:spacing w:val="-3"/>
          <w:sz w:val="21"/>
        </w:rPr>
        <w:t>险</w:t>
      </w:r>
      <w:r>
        <w:rPr>
          <w:sz w:val="21"/>
        </w:rPr>
        <w:t>合</w:t>
      </w:r>
      <w:r>
        <w:rPr>
          <w:spacing w:val="-3"/>
          <w:sz w:val="21"/>
        </w:rPr>
        <w:t>同</w:t>
      </w:r>
      <w:r>
        <w:rPr>
          <w:sz w:val="21"/>
        </w:rPr>
        <w:t>的相</w:t>
      </w:r>
      <w:r>
        <w:rPr>
          <w:spacing w:val="-3"/>
          <w:sz w:val="21"/>
        </w:rPr>
        <w:t>关</w:t>
      </w:r>
      <w:r>
        <w:rPr>
          <w:sz w:val="21"/>
        </w:rPr>
        <w:t>约</w:t>
      </w:r>
      <w:r>
        <w:rPr>
          <w:spacing w:val="-3"/>
          <w:sz w:val="21"/>
        </w:rPr>
        <w:t>定</w:t>
      </w:r>
      <w:r>
        <w:rPr>
          <w:sz w:val="21"/>
        </w:rPr>
        <w:t>见</w:t>
      </w:r>
      <w:r>
        <w:rPr>
          <w:spacing w:val="-3"/>
          <w:sz w:val="21"/>
        </w:rPr>
        <w:t>条</w:t>
      </w:r>
      <w:r>
        <w:rPr>
          <w:sz w:val="21"/>
        </w:rPr>
        <w:t>款</w:t>
      </w:r>
      <w:r>
        <w:rPr>
          <w:spacing w:val="-3"/>
          <w:sz w:val="21"/>
        </w:rPr>
        <w:t>中</w:t>
      </w:r>
      <w:r>
        <w:rPr>
          <w:sz w:val="21"/>
        </w:rPr>
        <w:t>的</w:t>
      </w:r>
      <w:r>
        <w:rPr>
          <w:spacing w:val="-3"/>
          <w:sz w:val="21"/>
        </w:rPr>
        <w:t>特</w:t>
      </w:r>
      <w:r>
        <w:rPr>
          <w:sz w:val="21"/>
        </w:rPr>
        <w:t>别提示</w:t>
        <w:tab/>
        <w:t>6.4</w:t>
      </w:r>
    </w:p>
    <w:p>
      <w:pPr>
        <w:pStyle w:val="ListParagraph"/>
        <w:numPr>
          <w:ilvl w:val="0"/>
          <w:numId w:val="1"/>
        </w:numPr>
        <w:tabs>
          <w:tab w:pos="1634" w:val="left" w:leader="none"/>
          <w:tab w:pos="1635" w:val="left" w:leader="none"/>
          <w:tab w:pos="9726" w:val="right" w:leader="dot"/>
        </w:tabs>
        <w:spacing w:line="240" w:lineRule="auto" w:before="22" w:after="0"/>
        <w:ind w:left="1634" w:right="0" w:hanging="420"/>
        <w:jc w:val="left"/>
        <w:rPr>
          <w:sz w:val="21"/>
        </w:rPr>
      </w:pPr>
      <w:r>
        <w:rPr>
          <w:sz w:val="21"/>
        </w:rPr>
        <w:t>本附</w:t>
      </w:r>
      <w:r>
        <w:rPr>
          <w:spacing w:val="-3"/>
          <w:sz w:val="21"/>
        </w:rPr>
        <w:t>加</w:t>
      </w:r>
      <w:r>
        <w:rPr>
          <w:sz w:val="21"/>
        </w:rPr>
        <w:t>险</w:t>
      </w:r>
      <w:r>
        <w:rPr>
          <w:spacing w:val="-3"/>
          <w:sz w:val="21"/>
        </w:rPr>
        <w:t>合</w:t>
      </w:r>
      <w:r>
        <w:rPr>
          <w:sz w:val="21"/>
        </w:rPr>
        <w:t>同</w:t>
      </w:r>
      <w:r>
        <w:rPr>
          <w:spacing w:val="-3"/>
          <w:sz w:val="21"/>
        </w:rPr>
        <w:t>对</w:t>
      </w:r>
      <w:r>
        <w:rPr>
          <w:sz w:val="21"/>
        </w:rPr>
        <w:t>条</w:t>
      </w:r>
      <w:r>
        <w:rPr>
          <w:spacing w:val="-3"/>
          <w:sz w:val="21"/>
        </w:rPr>
        <w:t>款</w:t>
      </w:r>
      <w:r>
        <w:rPr>
          <w:sz w:val="21"/>
        </w:rPr>
        <w:t>中</w:t>
      </w:r>
      <w:r>
        <w:rPr>
          <w:spacing w:val="-3"/>
          <w:sz w:val="21"/>
        </w:rPr>
        <w:t>出</w:t>
      </w:r>
      <w:r>
        <w:rPr>
          <w:sz w:val="21"/>
        </w:rPr>
        <w:t>现的</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w:t>
      </w:r>
      <w:r>
        <w:rPr>
          <w:spacing w:val="-3"/>
          <w:sz w:val="21"/>
        </w:rPr>
        <w:t>了</w:t>
      </w:r>
      <w:r>
        <w:rPr>
          <w:sz w:val="21"/>
        </w:rPr>
        <w:t>解释</w:t>
      </w:r>
      <w:r>
        <w:rPr>
          <w:spacing w:val="-3"/>
          <w:sz w:val="21"/>
        </w:rPr>
        <w:t>，</w:t>
      </w:r>
      <w:r>
        <w:rPr>
          <w:sz w:val="21"/>
        </w:rPr>
        <w:t>请</w:t>
      </w:r>
      <w:r>
        <w:rPr>
          <w:spacing w:val="-3"/>
          <w:sz w:val="21"/>
        </w:rPr>
        <w:t>投</w:t>
      </w:r>
      <w:r>
        <w:rPr>
          <w:sz w:val="21"/>
        </w:rPr>
        <w:t>保</w:t>
      </w:r>
      <w:r>
        <w:rPr>
          <w:spacing w:val="-3"/>
          <w:sz w:val="21"/>
        </w:rPr>
        <w:t>人</w:t>
      </w:r>
      <w:r>
        <w:rPr>
          <w:sz w:val="21"/>
        </w:rPr>
        <w:t>注意</w:t>
        <w:tab/>
        <w:t>7</w:t>
      </w:r>
    </w:p>
    <w:p>
      <w:pPr>
        <w:pStyle w:val="ListParagraph"/>
        <w:numPr>
          <w:ilvl w:val="0"/>
          <w:numId w:val="1"/>
        </w:numPr>
        <w:tabs>
          <w:tab w:pos="1634" w:val="left" w:leader="none"/>
          <w:tab w:pos="1635" w:val="left" w:leader="none"/>
          <w:tab w:pos="9937" w:val="right" w:leader="dot"/>
        </w:tabs>
        <w:spacing w:line="240" w:lineRule="auto" w:before="22" w:after="0"/>
        <w:ind w:left="1634" w:right="0" w:hanging="420"/>
        <w:jc w:val="left"/>
        <w:rPr>
          <w:sz w:val="21"/>
        </w:rPr>
      </w:pPr>
      <w:r>
        <w:rPr>
          <w:sz w:val="21"/>
        </w:rPr>
        <w:t>请投</w:t>
      </w:r>
      <w:r>
        <w:rPr>
          <w:spacing w:val="-3"/>
          <w:sz w:val="21"/>
        </w:rPr>
        <w:t>保</w:t>
      </w:r>
      <w:r>
        <w:rPr>
          <w:sz w:val="21"/>
        </w:rPr>
        <w:t>人</w:t>
      </w:r>
      <w:r>
        <w:rPr>
          <w:spacing w:val="-3"/>
          <w:sz w:val="21"/>
        </w:rPr>
        <w:t>仔</w:t>
      </w:r>
      <w:r>
        <w:rPr>
          <w:sz w:val="21"/>
        </w:rPr>
        <w:t>细</w:t>
      </w:r>
      <w:r>
        <w:rPr>
          <w:spacing w:val="-3"/>
          <w:sz w:val="21"/>
        </w:rPr>
        <w:t>阅</w:t>
      </w:r>
      <w:r>
        <w:rPr>
          <w:sz w:val="21"/>
        </w:rPr>
        <w:t>读</w:t>
      </w:r>
      <w:r>
        <w:rPr>
          <w:spacing w:val="-3"/>
          <w:sz w:val="21"/>
        </w:rPr>
        <w:t>本</w:t>
      </w:r>
      <w:r>
        <w:rPr>
          <w:sz w:val="21"/>
        </w:rPr>
        <w:t>附</w:t>
      </w:r>
      <w:r>
        <w:rPr>
          <w:spacing w:val="-3"/>
          <w:sz w:val="21"/>
        </w:rPr>
        <w:t>加</w:t>
      </w:r>
      <w:r>
        <w:rPr>
          <w:sz w:val="21"/>
        </w:rPr>
        <w:t>险合</w:t>
      </w:r>
      <w:r>
        <w:rPr>
          <w:spacing w:val="-3"/>
          <w:sz w:val="21"/>
        </w:rPr>
        <w:t>同</w:t>
      </w:r>
      <w:r>
        <w:rPr>
          <w:sz w:val="21"/>
        </w:rPr>
        <w:t>的</w:t>
      </w:r>
      <w:r>
        <w:rPr>
          <w:spacing w:val="-3"/>
          <w:sz w:val="21"/>
        </w:rPr>
        <w:t>对</w:t>
      </w:r>
      <w:r>
        <w:rPr>
          <w:sz w:val="21"/>
        </w:rPr>
        <w:t>重</w:t>
      </w:r>
      <w:r>
        <w:rPr>
          <w:spacing w:val="-3"/>
          <w:sz w:val="21"/>
        </w:rPr>
        <w:t>大</w:t>
      </w:r>
      <w:r>
        <w:rPr>
          <w:sz w:val="21"/>
        </w:rPr>
        <w:t>疾</w:t>
      </w:r>
      <w:r>
        <w:rPr>
          <w:spacing w:val="-3"/>
          <w:sz w:val="21"/>
        </w:rPr>
        <w:t>病</w:t>
      </w:r>
      <w:r>
        <w:rPr>
          <w:sz w:val="21"/>
        </w:rPr>
        <w:t>的</w:t>
      </w:r>
      <w:r>
        <w:rPr>
          <w:spacing w:val="-3"/>
          <w:sz w:val="21"/>
        </w:rPr>
        <w:t>定</w:t>
      </w:r>
      <w:r>
        <w:rPr>
          <w:sz w:val="21"/>
        </w:rPr>
        <w:t>义</w:t>
        <w:tab/>
        <w:t>7.7</w:t>
      </w:r>
    </w:p>
    <w:p>
      <w:pPr>
        <w:tabs>
          <w:tab w:pos="1253" w:val="left" w:leader="none"/>
        </w:tabs>
        <w:spacing w:before="22"/>
        <w:ind w:left="242" w:right="0" w:firstLine="0"/>
        <w:jc w:val="left"/>
        <w:rPr>
          <w:b/>
          <w:sz w:val="21"/>
        </w:rPr>
      </w:pPr>
      <w:r>
        <w:rPr>
          <w:rFonts w:ascii="Arial" w:hAnsi="Arial" w:eastAsia="Arial"/>
          <w:b/>
          <w:w w:val="105"/>
          <w:position w:val="-11"/>
          <w:sz w:val="52"/>
        </w:rPr>
        <w:t></w:t>
        <w:tab/>
      </w:r>
      <w:r>
        <w:rPr>
          <w:b/>
          <w:spacing w:val="-2"/>
          <w:sz w:val="21"/>
        </w:rPr>
        <w:t>条款中凡是以</w:t>
      </w:r>
      <w:r>
        <w:rPr>
          <w:rFonts w:ascii="黑体" w:hAnsi="黑体" w:eastAsia="黑体" w:hint="eastAsia"/>
          <w:spacing w:val="-2"/>
          <w:sz w:val="21"/>
          <w:u w:val="single"/>
        </w:rPr>
        <w:t>黑体字加下划线</w:t>
      </w:r>
      <w:r>
        <w:rPr>
          <w:b/>
          <w:spacing w:val="-3"/>
          <w:sz w:val="21"/>
        </w:rPr>
        <w:t>标示的内容均为免除或减轻本公司责任的条款，请投保人特别注意。</w:t>
      </w:r>
    </w:p>
    <w:p>
      <w:pPr>
        <w:tabs>
          <w:tab w:pos="1253" w:val="left" w:leader="none"/>
        </w:tabs>
        <w:spacing w:before="26"/>
        <w:ind w:left="242" w:right="0" w:firstLine="0"/>
        <w:jc w:val="left"/>
        <w:rPr>
          <w:b/>
          <w:sz w:val="21"/>
        </w:rPr>
      </w:pPr>
      <w:r>
        <w:rPr>
          <w:rFonts w:ascii="Arial" w:hAnsi="Arial" w:eastAsia="Arial"/>
          <w:b/>
          <w:w w:val="105"/>
          <w:position w:val="-11"/>
          <w:sz w:val="52"/>
        </w:rPr>
        <w:t></w:t>
        <w:tab/>
      </w:r>
      <w:r>
        <w:rPr>
          <w:b/>
          <w:spacing w:val="-3"/>
          <w:sz w:val="21"/>
        </w:rPr>
        <w:t>条款是保险合同的重要内容，为充分保障投保人的权益，请投保人仔细阅读本条款。</w:t>
      </w:r>
    </w:p>
    <w:p>
      <w:pPr>
        <w:tabs>
          <w:tab w:pos="1253" w:val="left" w:leader="none"/>
        </w:tabs>
        <w:spacing w:before="26"/>
        <w:ind w:left="242" w:right="0" w:firstLine="0"/>
        <w:jc w:val="left"/>
        <w:rPr>
          <w:b/>
          <w:sz w:val="21"/>
        </w:rPr>
      </w:pP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240" w:bottom="280" w:left="660" w:right="40"/>
        </w:sectPr>
      </w:pPr>
    </w:p>
    <w:p>
      <w:pPr>
        <w:pStyle w:val="Heading2"/>
        <w:spacing w:before="79"/>
        <w:ind w:left="1718"/>
      </w:pPr>
      <w:r>
        <w:rPr/>
        <w:t>1．被保险人范围</w:t>
      </w:r>
    </w:p>
    <w:p>
      <w:pPr>
        <w:spacing w:line="244" w:lineRule="auto" w:before="6"/>
        <w:ind w:left="1718" w:right="303" w:firstLine="208"/>
        <w:jc w:val="left"/>
        <w:rPr>
          <w:b/>
          <w:sz w:val="21"/>
        </w:rPr>
      </w:pPr>
      <w:r>
        <w:rPr>
          <w:sz w:val="21"/>
        </w:rPr>
        <w:t>1.1 被保险人范围</w:t>
      </w:r>
      <w:r>
        <w:rPr>
          <w:b/>
          <w:sz w:val="21"/>
        </w:rPr>
        <w:t>2．保险责任及责任免除</w:t>
      </w:r>
    </w:p>
    <w:p>
      <w:pPr>
        <w:pStyle w:val="ListParagraph"/>
        <w:numPr>
          <w:ilvl w:val="1"/>
          <w:numId w:val="2"/>
        </w:numPr>
        <w:tabs>
          <w:tab w:pos="2350" w:val="left" w:leader="none"/>
        </w:tabs>
        <w:spacing w:line="274" w:lineRule="exact" w:before="0" w:after="0"/>
        <w:ind w:left="2350" w:right="0" w:hanging="423"/>
        <w:jc w:val="left"/>
        <w:rPr>
          <w:sz w:val="21"/>
        </w:rPr>
      </w:pPr>
      <w:r>
        <w:rPr>
          <w:spacing w:val="-3"/>
          <w:sz w:val="21"/>
        </w:rPr>
        <w:t>保险期间</w:t>
      </w:r>
    </w:p>
    <w:p>
      <w:pPr>
        <w:pStyle w:val="ListParagraph"/>
        <w:numPr>
          <w:ilvl w:val="1"/>
          <w:numId w:val="2"/>
        </w:numPr>
        <w:tabs>
          <w:tab w:pos="2350" w:val="left" w:leader="none"/>
        </w:tabs>
        <w:spacing w:line="240" w:lineRule="auto" w:before="6" w:after="0"/>
        <w:ind w:left="2350" w:right="0" w:hanging="423"/>
        <w:jc w:val="left"/>
        <w:rPr>
          <w:sz w:val="21"/>
        </w:rPr>
      </w:pPr>
      <w:r>
        <w:rPr>
          <w:spacing w:val="-3"/>
          <w:sz w:val="21"/>
        </w:rPr>
        <w:t>基本保险金额</w:t>
      </w:r>
    </w:p>
    <w:p>
      <w:pPr>
        <w:pStyle w:val="ListParagraph"/>
        <w:numPr>
          <w:ilvl w:val="1"/>
          <w:numId w:val="2"/>
        </w:numPr>
        <w:tabs>
          <w:tab w:pos="2350" w:val="left" w:leader="none"/>
        </w:tabs>
        <w:spacing w:line="240" w:lineRule="auto" w:before="6" w:after="0"/>
        <w:ind w:left="2350" w:right="0" w:hanging="423"/>
        <w:jc w:val="left"/>
        <w:rPr>
          <w:sz w:val="21"/>
        </w:rPr>
      </w:pPr>
      <w:r>
        <w:rPr>
          <w:spacing w:val="-3"/>
          <w:sz w:val="21"/>
        </w:rPr>
        <w:t>基本保险金额的变更</w:t>
      </w:r>
    </w:p>
    <w:p>
      <w:pPr>
        <w:pStyle w:val="ListParagraph"/>
        <w:numPr>
          <w:ilvl w:val="1"/>
          <w:numId w:val="2"/>
        </w:numPr>
        <w:tabs>
          <w:tab w:pos="2350" w:val="left" w:leader="none"/>
        </w:tabs>
        <w:spacing w:line="240" w:lineRule="auto" w:before="3" w:after="0"/>
        <w:ind w:left="2350" w:right="0" w:hanging="423"/>
        <w:jc w:val="left"/>
        <w:rPr>
          <w:sz w:val="21"/>
        </w:rPr>
      </w:pPr>
      <w:r>
        <w:rPr>
          <w:spacing w:val="-3"/>
          <w:sz w:val="21"/>
        </w:rPr>
        <w:t>保险责任</w:t>
      </w:r>
    </w:p>
    <w:p>
      <w:pPr>
        <w:pStyle w:val="ListParagraph"/>
        <w:numPr>
          <w:ilvl w:val="1"/>
          <w:numId w:val="2"/>
        </w:numPr>
        <w:tabs>
          <w:tab w:pos="2350" w:val="left" w:leader="none"/>
        </w:tabs>
        <w:spacing w:line="240" w:lineRule="auto" w:before="5" w:after="0"/>
        <w:ind w:left="2350" w:right="0" w:hanging="423"/>
        <w:jc w:val="left"/>
        <w:rPr>
          <w:sz w:val="21"/>
        </w:rPr>
      </w:pPr>
      <w:r>
        <w:rPr>
          <w:spacing w:val="-3"/>
          <w:sz w:val="21"/>
        </w:rPr>
        <w:t>责任免除</w:t>
      </w:r>
    </w:p>
    <w:p>
      <w:pPr>
        <w:pStyle w:val="Heading2"/>
        <w:spacing w:before="5"/>
        <w:ind w:left="1714"/>
      </w:pPr>
      <w:r>
        <w:rPr/>
        <w:t>3．合同效力</w:t>
      </w:r>
    </w:p>
    <w:p>
      <w:pPr>
        <w:pStyle w:val="ListParagraph"/>
        <w:numPr>
          <w:ilvl w:val="1"/>
          <w:numId w:val="3"/>
        </w:numPr>
        <w:tabs>
          <w:tab w:pos="2350" w:val="left" w:leader="none"/>
        </w:tabs>
        <w:spacing w:line="240" w:lineRule="auto" w:before="3" w:after="0"/>
        <w:ind w:left="2350" w:right="0" w:hanging="423"/>
        <w:jc w:val="left"/>
        <w:rPr>
          <w:sz w:val="21"/>
        </w:rPr>
      </w:pPr>
      <w:r>
        <w:rPr>
          <w:spacing w:val="-3"/>
          <w:sz w:val="21"/>
        </w:rPr>
        <w:t>合同成立与生效</w:t>
      </w:r>
    </w:p>
    <w:p>
      <w:pPr>
        <w:pStyle w:val="ListParagraph"/>
        <w:numPr>
          <w:ilvl w:val="1"/>
          <w:numId w:val="3"/>
        </w:numPr>
        <w:tabs>
          <w:tab w:pos="2350" w:val="left" w:leader="none"/>
        </w:tabs>
        <w:spacing w:line="240" w:lineRule="auto" w:before="6" w:after="0"/>
        <w:ind w:left="2350" w:right="0" w:hanging="423"/>
        <w:jc w:val="left"/>
        <w:rPr>
          <w:sz w:val="21"/>
        </w:rPr>
      </w:pPr>
      <w:r>
        <w:rPr>
          <w:spacing w:val="-2"/>
          <w:sz w:val="21"/>
        </w:rPr>
        <w:t>犹豫期</w:t>
      </w:r>
    </w:p>
    <w:p>
      <w:pPr>
        <w:pStyle w:val="ListParagraph"/>
        <w:numPr>
          <w:ilvl w:val="1"/>
          <w:numId w:val="3"/>
        </w:numPr>
        <w:tabs>
          <w:tab w:pos="2350" w:val="left" w:leader="none"/>
        </w:tabs>
        <w:spacing w:line="240" w:lineRule="auto" w:before="6" w:after="0"/>
        <w:ind w:left="2350" w:right="0" w:hanging="423"/>
        <w:jc w:val="left"/>
        <w:rPr>
          <w:sz w:val="21"/>
        </w:rPr>
      </w:pPr>
      <w:r>
        <w:rPr>
          <w:spacing w:val="-2"/>
          <w:sz w:val="21"/>
        </w:rPr>
        <w:t>宽限期</w:t>
      </w:r>
    </w:p>
    <w:p>
      <w:pPr>
        <w:pStyle w:val="ListParagraph"/>
        <w:numPr>
          <w:ilvl w:val="1"/>
          <w:numId w:val="3"/>
        </w:numPr>
        <w:tabs>
          <w:tab w:pos="2350" w:val="left" w:leader="none"/>
        </w:tabs>
        <w:spacing w:line="240" w:lineRule="auto" w:before="3" w:after="0"/>
        <w:ind w:left="2350" w:right="0" w:hanging="423"/>
        <w:jc w:val="left"/>
        <w:rPr>
          <w:sz w:val="21"/>
        </w:rPr>
      </w:pPr>
      <w:r>
        <w:rPr>
          <w:spacing w:val="-3"/>
          <w:sz w:val="21"/>
        </w:rPr>
        <w:t>合同效力中止</w:t>
      </w:r>
    </w:p>
    <w:p>
      <w:pPr>
        <w:pStyle w:val="ListParagraph"/>
        <w:numPr>
          <w:ilvl w:val="1"/>
          <w:numId w:val="3"/>
        </w:numPr>
        <w:tabs>
          <w:tab w:pos="2350" w:val="left" w:leader="none"/>
        </w:tabs>
        <w:spacing w:line="240" w:lineRule="auto" w:before="5" w:after="0"/>
        <w:ind w:left="2350" w:right="0" w:hanging="423"/>
        <w:jc w:val="left"/>
        <w:rPr>
          <w:sz w:val="21"/>
        </w:rPr>
      </w:pPr>
      <w:r>
        <w:rPr>
          <w:spacing w:val="-3"/>
          <w:sz w:val="21"/>
        </w:rPr>
        <w:t>合同效力恢复</w:t>
      </w:r>
    </w:p>
    <w:p>
      <w:pPr>
        <w:pStyle w:val="ListParagraph"/>
        <w:numPr>
          <w:ilvl w:val="1"/>
          <w:numId w:val="3"/>
        </w:numPr>
        <w:tabs>
          <w:tab w:pos="2350" w:val="left" w:leader="none"/>
        </w:tabs>
        <w:spacing w:line="240" w:lineRule="auto" w:before="5" w:after="0"/>
        <w:ind w:left="2350" w:right="0" w:hanging="423"/>
        <w:jc w:val="left"/>
        <w:rPr>
          <w:sz w:val="21"/>
        </w:rPr>
      </w:pPr>
      <w:r>
        <w:rPr>
          <w:spacing w:val="-3"/>
          <w:sz w:val="21"/>
        </w:rPr>
        <w:t>解除合同的手续</w:t>
      </w:r>
    </w:p>
    <w:p>
      <w:pPr>
        <w:pStyle w:val="Heading2"/>
        <w:ind w:left="1714"/>
      </w:pPr>
      <w:r>
        <w:rPr/>
        <w:t>4．风险保险费</w:t>
      </w:r>
    </w:p>
    <w:p>
      <w:pPr>
        <w:pStyle w:val="BodyText"/>
        <w:spacing w:before="6"/>
        <w:ind w:left="1927"/>
      </w:pPr>
      <w:r>
        <w:rPr/>
        <w:t>4.1 风险保险费</w:t>
      </w:r>
    </w:p>
    <w:p>
      <w:pPr>
        <w:pStyle w:val="Heading2"/>
        <w:spacing w:before="5"/>
        <w:ind w:left="1714"/>
      </w:pPr>
      <w:r>
        <w:rPr/>
        <w:t>5．保险金的申请及给付</w:t>
      </w:r>
    </w:p>
    <w:p>
      <w:pPr>
        <w:pStyle w:val="ListParagraph"/>
        <w:numPr>
          <w:ilvl w:val="1"/>
          <w:numId w:val="4"/>
        </w:numPr>
        <w:tabs>
          <w:tab w:pos="2350" w:val="left" w:leader="none"/>
        </w:tabs>
        <w:spacing w:line="240" w:lineRule="auto" w:before="3" w:after="0"/>
        <w:ind w:left="1714" w:right="0" w:firstLine="213"/>
        <w:jc w:val="left"/>
        <w:rPr>
          <w:sz w:val="21"/>
        </w:rPr>
      </w:pPr>
      <w:r>
        <w:rPr>
          <w:spacing w:val="-3"/>
          <w:sz w:val="21"/>
        </w:rPr>
        <w:t>保险事故通知</w:t>
      </w:r>
    </w:p>
    <w:p>
      <w:pPr>
        <w:pStyle w:val="ListParagraph"/>
        <w:numPr>
          <w:ilvl w:val="1"/>
          <w:numId w:val="4"/>
        </w:numPr>
        <w:tabs>
          <w:tab w:pos="2350" w:val="left" w:leader="none"/>
        </w:tabs>
        <w:spacing w:line="240" w:lineRule="auto" w:before="5" w:after="0"/>
        <w:ind w:left="1714" w:right="0" w:firstLine="213"/>
        <w:jc w:val="left"/>
        <w:rPr>
          <w:sz w:val="21"/>
        </w:rPr>
      </w:pPr>
      <w:r>
        <w:rPr>
          <w:spacing w:val="-2"/>
          <w:sz w:val="21"/>
        </w:rPr>
        <w:t>受益人</w:t>
      </w:r>
    </w:p>
    <w:p>
      <w:pPr>
        <w:pStyle w:val="ListParagraph"/>
        <w:numPr>
          <w:ilvl w:val="1"/>
          <w:numId w:val="4"/>
        </w:numPr>
        <w:tabs>
          <w:tab w:pos="2350" w:val="left" w:leader="none"/>
        </w:tabs>
        <w:spacing w:line="240" w:lineRule="auto" w:before="5" w:after="0"/>
        <w:ind w:left="1714" w:right="0" w:firstLine="213"/>
        <w:jc w:val="left"/>
        <w:rPr>
          <w:sz w:val="21"/>
        </w:rPr>
      </w:pPr>
      <w:r>
        <w:rPr>
          <w:spacing w:val="-3"/>
          <w:sz w:val="21"/>
        </w:rPr>
        <w:t>保险金申请资料</w:t>
      </w:r>
    </w:p>
    <w:p>
      <w:pPr>
        <w:pStyle w:val="ListParagraph"/>
        <w:numPr>
          <w:ilvl w:val="1"/>
          <w:numId w:val="4"/>
        </w:numPr>
        <w:tabs>
          <w:tab w:pos="2350" w:val="left" w:leader="none"/>
        </w:tabs>
        <w:spacing w:line="240" w:lineRule="auto" w:before="3" w:after="0"/>
        <w:ind w:left="1714" w:right="0" w:firstLine="213"/>
        <w:jc w:val="left"/>
        <w:rPr>
          <w:sz w:val="21"/>
        </w:rPr>
      </w:pPr>
      <w:r>
        <w:rPr>
          <w:spacing w:val="-3"/>
          <w:sz w:val="21"/>
        </w:rPr>
        <w:t>保险金的给付</w:t>
      </w:r>
    </w:p>
    <w:p>
      <w:pPr>
        <w:pStyle w:val="ListParagraph"/>
        <w:numPr>
          <w:ilvl w:val="1"/>
          <w:numId w:val="4"/>
        </w:numPr>
        <w:tabs>
          <w:tab w:pos="2348" w:val="left" w:leader="none"/>
        </w:tabs>
        <w:spacing w:line="242" w:lineRule="auto" w:before="79" w:after="0"/>
        <w:ind w:left="1714" w:right="3726" w:firstLine="211"/>
        <w:jc w:val="left"/>
        <w:rPr>
          <w:b/>
          <w:sz w:val="21"/>
        </w:rPr>
      </w:pPr>
      <w:r>
        <w:rPr>
          <w:spacing w:val="-3"/>
          <w:w w:val="100"/>
          <w:sz w:val="21"/>
        </w:rPr>
        <w:br w:type="column"/>
      </w:r>
      <w:r>
        <w:rPr>
          <w:spacing w:val="-3"/>
          <w:sz w:val="21"/>
        </w:rPr>
        <w:t>诉讼时效</w:t>
      </w:r>
      <w:r>
        <w:rPr>
          <w:b/>
          <w:spacing w:val="-3"/>
          <w:sz w:val="21"/>
        </w:rPr>
        <w:t>6．其他事项</w:t>
      </w:r>
    </w:p>
    <w:p>
      <w:pPr>
        <w:pStyle w:val="ListParagraph"/>
        <w:numPr>
          <w:ilvl w:val="1"/>
          <w:numId w:val="5"/>
        </w:numPr>
        <w:tabs>
          <w:tab w:pos="2348" w:val="left" w:leader="none"/>
        </w:tabs>
        <w:spacing w:line="240" w:lineRule="auto" w:before="4" w:after="0"/>
        <w:ind w:left="2348" w:right="0" w:hanging="423"/>
        <w:jc w:val="left"/>
        <w:rPr>
          <w:sz w:val="21"/>
        </w:rPr>
      </w:pPr>
      <w:r>
        <w:rPr>
          <w:spacing w:val="-3"/>
          <w:sz w:val="21"/>
        </w:rPr>
        <w:t>明确说明与如实告知</w:t>
      </w:r>
    </w:p>
    <w:p>
      <w:pPr>
        <w:pStyle w:val="ListParagraph"/>
        <w:numPr>
          <w:ilvl w:val="1"/>
          <w:numId w:val="5"/>
        </w:numPr>
        <w:tabs>
          <w:tab w:pos="2348" w:val="left" w:leader="none"/>
        </w:tabs>
        <w:spacing w:line="240" w:lineRule="auto" w:before="5" w:after="0"/>
        <w:ind w:left="2348" w:right="0" w:hanging="423"/>
        <w:jc w:val="left"/>
        <w:rPr>
          <w:sz w:val="21"/>
        </w:rPr>
      </w:pPr>
      <w:r>
        <w:rPr>
          <w:spacing w:val="-3"/>
          <w:sz w:val="21"/>
        </w:rPr>
        <w:t>本公司合同解除权的限制</w:t>
      </w:r>
    </w:p>
    <w:p>
      <w:pPr>
        <w:pStyle w:val="ListParagraph"/>
        <w:numPr>
          <w:ilvl w:val="1"/>
          <w:numId w:val="5"/>
        </w:numPr>
        <w:tabs>
          <w:tab w:pos="2348" w:val="left" w:leader="none"/>
        </w:tabs>
        <w:spacing w:line="240" w:lineRule="auto" w:before="3" w:after="0"/>
        <w:ind w:left="2348" w:right="0" w:hanging="423"/>
        <w:jc w:val="left"/>
        <w:rPr>
          <w:sz w:val="21"/>
        </w:rPr>
      </w:pPr>
      <w:r>
        <w:rPr>
          <w:spacing w:val="-3"/>
          <w:sz w:val="21"/>
        </w:rPr>
        <w:t>合同内容变更</w:t>
      </w:r>
    </w:p>
    <w:p>
      <w:pPr>
        <w:pStyle w:val="ListParagraph"/>
        <w:numPr>
          <w:ilvl w:val="1"/>
          <w:numId w:val="5"/>
        </w:numPr>
        <w:tabs>
          <w:tab w:pos="2348" w:val="left" w:leader="none"/>
        </w:tabs>
        <w:spacing w:line="240" w:lineRule="auto" w:before="6" w:after="0"/>
        <w:ind w:left="2348" w:right="0" w:hanging="423"/>
        <w:jc w:val="left"/>
        <w:rPr>
          <w:sz w:val="21"/>
        </w:rPr>
      </w:pPr>
      <w:r>
        <w:rPr>
          <w:spacing w:val="-3"/>
          <w:sz w:val="21"/>
        </w:rPr>
        <w:t>特别提示</w:t>
      </w:r>
    </w:p>
    <w:p>
      <w:pPr>
        <w:pStyle w:val="Heading2"/>
        <w:spacing w:before="6"/>
        <w:ind w:left="1713"/>
      </w:pPr>
      <w:r>
        <w:rPr/>
        <w:t>7．名词释义</w:t>
      </w:r>
    </w:p>
    <w:p>
      <w:pPr>
        <w:pStyle w:val="ListParagraph"/>
        <w:numPr>
          <w:ilvl w:val="1"/>
          <w:numId w:val="6"/>
        </w:numPr>
        <w:tabs>
          <w:tab w:pos="2348" w:val="left" w:leader="none"/>
        </w:tabs>
        <w:spacing w:line="240" w:lineRule="auto" w:before="3" w:after="0"/>
        <w:ind w:left="1925" w:right="0" w:firstLine="0"/>
        <w:jc w:val="left"/>
        <w:rPr>
          <w:sz w:val="21"/>
        </w:rPr>
      </w:pPr>
      <w:r>
        <w:rPr>
          <w:spacing w:val="-3"/>
          <w:sz w:val="21"/>
        </w:rPr>
        <w:t>周岁</w:t>
      </w:r>
    </w:p>
    <w:p>
      <w:pPr>
        <w:pStyle w:val="ListParagraph"/>
        <w:numPr>
          <w:ilvl w:val="1"/>
          <w:numId w:val="6"/>
        </w:numPr>
        <w:tabs>
          <w:tab w:pos="2348" w:val="left" w:leader="none"/>
        </w:tabs>
        <w:spacing w:line="240" w:lineRule="auto" w:before="5" w:after="0"/>
        <w:ind w:left="1925" w:right="0" w:firstLine="0"/>
        <w:jc w:val="left"/>
        <w:rPr>
          <w:sz w:val="21"/>
        </w:rPr>
      </w:pPr>
      <w:r>
        <w:rPr>
          <w:spacing w:val="-3"/>
          <w:sz w:val="21"/>
        </w:rPr>
        <w:t>保单周年日</w:t>
      </w:r>
    </w:p>
    <w:p>
      <w:pPr>
        <w:pStyle w:val="ListParagraph"/>
        <w:numPr>
          <w:ilvl w:val="1"/>
          <w:numId w:val="6"/>
        </w:numPr>
        <w:tabs>
          <w:tab w:pos="2348" w:val="left" w:leader="none"/>
        </w:tabs>
        <w:spacing w:line="240" w:lineRule="auto" w:before="5" w:after="0"/>
        <w:ind w:left="1925" w:right="0" w:firstLine="0"/>
        <w:jc w:val="left"/>
        <w:rPr>
          <w:sz w:val="21"/>
        </w:rPr>
      </w:pPr>
      <w:r>
        <w:rPr>
          <w:spacing w:val="-3"/>
          <w:sz w:val="21"/>
        </w:rPr>
        <w:t>保单年度</w:t>
      </w:r>
    </w:p>
    <w:p>
      <w:pPr>
        <w:pStyle w:val="ListParagraph"/>
        <w:numPr>
          <w:ilvl w:val="1"/>
          <w:numId w:val="6"/>
        </w:numPr>
        <w:tabs>
          <w:tab w:pos="2348" w:val="left" w:leader="none"/>
        </w:tabs>
        <w:spacing w:line="240" w:lineRule="auto" w:before="3" w:after="0"/>
        <w:ind w:left="1925" w:right="0" w:firstLine="0"/>
        <w:jc w:val="left"/>
        <w:rPr>
          <w:sz w:val="21"/>
        </w:rPr>
      </w:pPr>
      <w:r>
        <w:rPr>
          <w:spacing w:val="-3"/>
          <w:sz w:val="21"/>
        </w:rPr>
        <w:t>意外伤害</w:t>
      </w:r>
    </w:p>
    <w:p>
      <w:pPr>
        <w:pStyle w:val="ListParagraph"/>
        <w:numPr>
          <w:ilvl w:val="1"/>
          <w:numId w:val="6"/>
        </w:numPr>
        <w:tabs>
          <w:tab w:pos="2348" w:val="left" w:leader="none"/>
        </w:tabs>
        <w:spacing w:line="240" w:lineRule="auto" w:before="6" w:after="0"/>
        <w:ind w:left="1925" w:right="0" w:firstLine="0"/>
        <w:jc w:val="left"/>
        <w:rPr>
          <w:sz w:val="21"/>
        </w:rPr>
      </w:pPr>
      <w:r>
        <w:rPr>
          <w:spacing w:val="-3"/>
          <w:sz w:val="21"/>
        </w:rPr>
        <w:t>本公司认可的医院</w:t>
      </w:r>
    </w:p>
    <w:p>
      <w:pPr>
        <w:pStyle w:val="ListParagraph"/>
        <w:numPr>
          <w:ilvl w:val="1"/>
          <w:numId w:val="6"/>
        </w:numPr>
        <w:tabs>
          <w:tab w:pos="2348" w:val="left" w:leader="none"/>
        </w:tabs>
        <w:spacing w:line="240" w:lineRule="auto" w:before="6" w:after="0"/>
        <w:ind w:left="1925" w:right="0" w:firstLine="0"/>
        <w:jc w:val="left"/>
        <w:rPr>
          <w:sz w:val="21"/>
        </w:rPr>
      </w:pPr>
      <w:r>
        <w:rPr>
          <w:spacing w:val="-3"/>
          <w:sz w:val="21"/>
        </w:rPr>
        <w:t>专科医生</w:t>
      </w:r>
    </w:p>
    <w:p>
      <w:pPr>
        <w:pStyle w:val="ListParagraph"/>
        <w:numPr>
          <w:ilvl w:val="1"/>
          <w:numId w:val="6"/>
        </w:numPr>
        <w:tabs>
          <w:tab w:pos="2348" w:val="left" w:leader="none"/>
        </w:tabs>
        <w:spacing w:line="240" w:lineRule="auto" w:before="3" w:after="0"/>
        <w:ind w:left="1925" w:right="0" w:firstLine="0"/>
        <w:jc w:val="left"/>
        <w:rPr>
          <w:sz w:val="21"/>
        </w:rPr>
      </w:pPr>
      <w:r>
        <w:rPr>
          <w:spacing w:val="-3"/>
          <w:sz w:val="21"/>
        </w:rPr>
        <w:t>重大疾病</w:t>
      </w:r>
    </w:p>
    <w:p>
      <w:pPr>
        <w:pStyle w:val="ListParagraph"/>
        <w:numPr>
          <w:ilvl w:val="1"/>
          <w:numId w:val="6"/>
        </w:numPr>
        <w:tabs>
          <w:tab w:pos="2348" w:val="left" w:leader="none"/>
        </w:tabs>
        <w:spacing w:line="240" w:lineRule="auto" w:before="5" w:after="0"/>
        <w:ind w:left="1925" w:right="0" w:firstLine="0"/>
        <w:jc w:val="left"/>
        <w:rPr>
          <w:sz w:val="21"/>
        </w:rPr>
      </w:pPr>
      <w:r>
        <w:rPr>
          <w:spacing w:val="-3"/>
          <w:sz w:val="21"/>
        </w:rPr>
        <w:t>肢体机能完全丧失</w:t>
      </w:r>
    </w:p>
    <w:p>
      <w:pPr>
        <w:pStyle w:val="ListParagraph"/>
        <w:numPr>
          <w:ilvl w:val="1"/>
          <w:numId w:val="6"/>
        </w:numPr>
        <w:tabs>
          <w:tab w:pos="2348" w:val="left" w:leader="none"/>
        </w:tabs>
        <w:spacing w:line="244" w:lineRule="auto" w:before="5" w:after="0"/>
        <w:ind w:left="1925" w:right="1835" w:firstLine="0"/>
        <w:jc w:val="left"/>
        <w:rPr>
          <w:sz w:val="21"/>
        </w:rPr>
      </w:pPr>
      <w:r>
        <w:rPr>
          <w:spacing w:val="-3"/>
          <w:sz w:val="21"/>
        </w:rPr>
        <w:t>语言能力或咀嚼吞咽能力完全丧失</w:t>
      </w:r>
    </w:p>
    <w:p>
      <w:pPr>
        <w:pStyle w:val="ListParagraph"/>
        <w:numPr>
          <w:ilvl w:val="1"/>
          <w:numId w:val="6"/>
        </w:numPr>
        <w:tabs>
          <w:tab w:pos="2452" w:val="left" w:leader="none"/>
        </w:tabs>
        <w:spacing w:line="240" w:lineRule="auto" w:before="1" w:after="0"/>
        <w:ind w:left="2451" w:right="0" w:hanging="526"/>
        <w:jc w:val="left"/>
        <w:rPr>
          <w:sz w:val="21"/>
        </w:rPr>
      </w:pPr>
      <w:r>
        <w:rPr>
          <w:spacing w:val="-3"/>
          <w:sz w:val="21"/>
        </w:rPr>
        <w:t>六项基本日常生活活动</w:t>
      </w:r>
    </w:p>
    <w:p>
      <w:pPr>
        <w:pStyle w:val="ListParagraph"/>
        <w:numPr>
          <w:ilvl w:val="1"/>
          <w:numId w:val="6"/>
        </w:numPr>
        <w:tabs>
          <w:tab w:pos="2452" w:val="left" w:leader="none"/>
        </w:tabs>
        <w:spacing w:line="240" w:lineRule="auto" w:before="5" w:after="0"/>
        <w:ind w:left="2451" w:right="0" w:hanging="526"/>
        <w:jc w:val="left"/>
        <w:rPr>
          <w:sz w:val="21"/>
        </w:rPr>
      </w:pPr>
      <w:r>
        <w:rPr>
          <w:spacing w:val="-3"/>
          <w:sz w:val="21"/>
        </w:rPr>
        <w:t>永久不可逆</w:t>
      </w:r>
    </w:p>
    <w:p>
      <w:pPr>
        <w:pStyle w:val="Heading2"/>
        <w:spacing w:line="244" w:lineRule="auto"/>
        <w:ind w:left="1713" w:right="1621"/>
      </w:pPr>
      <w:r>
        <w:rPr/>
        <w:t>附表：每千元基本保险金额的月重大疾病风险保险费表</w:t>
      </w:r>
    </w:p>
    <w:p>
      <w:pPr>
        <w:spacing w:after="0" w:line="244" w:lineRule="auto"/>
        <w:sectPr>
          <w:type w:val="continuous"/>
          <w:pgSz w:w="11910" w:h="16840"/>
          <w:pgMar w:top="240" w:bottom="280" w:left="660" w:right="40"/>
          <w:cols w:num="2" w:equalWidth="0">
            <w:col w:w="4242" w:space="47"/>
            <w:col w:w="6921"/>
          </w:cols>
        </w:sectPr>
      </w:pPr>
    </w:p>
    <w:p>
      <w:pPr>
        <w:pStyle w:val="Heading1"/>
        <w:spacing w:line="394" w:lineRule="exact"/>
      </w:pPr>
      <w:r>
        <w:rPr>
          <w:w w:val="95"/>
        </w:rPr>
        <w:t>中国人民健康保险股份有限公司</w:t>
      </w:r>
    </w:p>
    <w:p>
      <w:pPr>
        <w:spacing w:before="97"/>
        <w:ind w:left="1582" w:right="1581" w:firstLine="0"/>
        <w:jc w:val="center"/>
        <w:rPr>
          <w:b/>
          <w:sz w:val="32"/>
        </w:rPr>
      </w:pPr>
      <w:r>
        <w:rPr>
          <w:b/>
          <w:sz w:val="32"/>
        </w:rPr>
        <w:t>附加福泽一生个人重大疾病保险（B 款）条款</w:t>
      </w:r>
    </w:p>
    <w:p>
      <w:pPr>
        <w:pStyle w:val="BodyText"/>
        <w:spacing w:before="0"/>
        <w:ind w:left="0"/>
        <w:rPr>
          <w:b/>
          <w:sz w:val="20"/>
        </w:rPr>
      </w:pPr>
    </w:p>
    <w:p>
      <w:pPr>
        <w:pStyle w:val="BodyText"/>
        <w:spacing w:before="7"/>
        <w:ind w:left="0"/>
        <w:rPr>
          <w:b/>
          <w:sz w:val="1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7"/>
        <w:gridCol w:w="8811"/>
      </w:tblGrid>
      <w:tr>
        <w:trPr>
          <w:trHeight w:val="358" w:hRule="atLeast"/>
        </w:trPr>
        <w:tc>
          <w:tcPr>
            <w:tcW w:w="587" w:type="dxa"/>
            <w:shd w:val="clear" w:color="auto" w:fill="CCCCCC"/>
          </w:tcPr>
          <w:p>
            <w:pPr>
              <w:pStyle w:val="TableParagraph"/>
              <w:spacing w:line="276" w:lineRule="exact"/>
              <w:ind w:left="108"/>
              <w:rPr>
                <w:b/>
                <w:sz w:val="24"/>
              </w:rPr>
            </w:pPr>
            <w:r>
              <w:rPr>
                <w:b/>
                <w:w w:val="99"/>
                <w:sz w:val="24"/>
              </w:rPr>
              <w:t>1</w:t>
            </w:r>
          </w:p>
        </w:tc>
        <w:tc>
          <w:tcPr>
            <w:tcW w:w="8811" w:type="dxa"/>
            <w:shd w:val="clear" w:color="auto" w:fill="CCCCCC"/>
          </w:tcPr>
          <w:p>
            <w:pPr>
              <w:pStyle w:val="TableParagraph"/>
              <w:spacing w:line="276" w:lineRule="exact"/>
              <w:ind w:left="162"/>
              <w:rPr>
                <w:b/>
                <w:sz w:val="24"/>
              </w:rPr>
            </w:pPr>
            <w:r>
              <w:rPr>
                <w:b/>
                <w:w w:val="95"/>
                <w:sz w:val="24"/>
              </w:rPr>
              <w:t>被保险人范围</w:t>
            </w:r>
          </w:p>
        </w:tc>
      </w:tr>
      <w:tr>
        <w:trPr>
          <w:trHeight w:val="726" w:hRule="atLeast"/>
        </w:trPr>
        <w:tc>
          <w:tcPr>
            <w:tcW w:w="587" w:type="dxa"/>
          </w:tcPr>
          <w:p>
            <w:pPr>
              <w:pStyle w:val="TableParagraph"/>
              <w:spacing w:line="271" w:lineRule="exact"/>
              <w:ind w:left="108"/>
              <w:rPr>
                <w:b/>
                <w:sz w:val="21"/>
              </w:rPr>
            </w:pPr>
            <w:r>
              <w:rPr>
                <w:b/>
                <w:sz w:val="21"/>
              </w:rPr>
              <w:t>1.1</w:t>
            </w:r>
          </w:p>
        </w:tc>
        <w:tc>
          <w:tcPr>
            <w:tcW w:w="8811" w:type="dxa"/>
          </w:tcPr>
          <w:p>
            <w:pPr>
              <w:pStyle w:val="TableParagraph"/>
              <w:spacing w:line="297" w:lineRule="auto"/>
              <w:ind w:left="162" w:right="104"/>
              <w:rPr>
                <w:sz w:val="21"/>
              </w:rPr>
            </w:pPr>
            <w:r>
              <w:rPr>
                <w:b/>
                <w:spacing w:val="0"/>
                <w:sz w:val="21"/>
              </w:rPr>
              <w:t>被保险人范围 </w:t>
            </w:r>
            <w:r>
              <w:rPr>
                <w:spacing w:val="-9"/>
                <w:sz w:val="21"/>
              </w:rPr>
              <w:t>凡投保时出生满 </w:t>
            </w:r>
            <w:r>
              <w:rPr>
                <w:sz w:val="21"/>
              </w:rPr>
              <w:t>28</w:t>
            </w:r>
            <w:r>
              <w:rPr>
                <w:spacing w:val="-26"/>
                <w:sz w:val="21"/>
              </w:rPr>
              <w:t> 天至 </w:t>
            </w:r>
            <w:r>
              <w:rPr>
                <w:sz w:val="21"/>
              </w:rPr>
              <w:t>60</w:t>
            </w:r>
            <w:r>
              <w:rPr>
                <w:spacing w:val="-51"/>
                <w:sz w:val="21"/>
              </w:rPr>
              <w:t> </w:t>
            </w:r>
            <w:r>
              <w:rPr>
                <w:b/>
                <w:spacing w:val="-17"/>
                <w:sz w:val="21"/>
              </w:rPr>
              <w:t>周岁 </w:t>
            </w:r>
            <w:r>
              <w:rPr>
                <w:rFonts w:ascii="Times New Roman" w:eastAsia="Times New Roman"/>
                <w:b/>
                <w:i/>
                <w:spacing w:val="-6"/>
                <w:position w:val="11"/>
                <w:sz w:val="16"/>
              </w:rPr>
              <w:t>7.1</w:t>
            </w:r>
            <w:r>
              <w:rPr>
                <w:spacing w:val="-3"/>
                <w:sz w:val="21"/>
              </w:rPr>
              <w:t>，身体健康的个人均可作为被保险人参加本保险。</w:t>
            </w:r>
          </w:p>
        </w:tc>
      </w:tr>
      <w:tr>
        <w:trPr>
          <w:trHeight w:val="388" w:hRule="atLeast"/>
        </w:trPr>
        <w:tc>
          <w:tcPr>
            <w:tcW w:w="587" w:type="dxa"/>
            <w:shd w:val="clear" w:color="auto" w:fill="CCCCCC"/>
          </w:tcPr>
          <w:p>
            <w:pPr>
              <w:pStyle w:val="TableParagraph"/>
              <w:spacing w:line="276" w:lineRule="exact"/>
              <w:ind w:left="108"/>
              <w:rPr>
                <w:b/>
                <w:sz w:val="24"/>
              </w:rPr>
            </w:pPr>
            <w:r>
              <w:rPr>
                <w:b/>
                <w:w w:val="99"/>
                <w:sz w:val="24"/>
              </w:rPr>
              <w:t>2</w:t>
            </w:r>
          </w:p>
        </w:tc>
        <w:tc>
          <w:tcPr>
            <w:tcW w:w="8811" w:type="dxa"/>
            <w:shd w:val="clear" w:color="auto" w:fill="CCCCCC"/>
          </w:tcPr>
          <w:p>
            <w:pPr>
              <w:pStyle w:val="TableParagraph"/>
              <w:spacing w:line="276" w:lineRule="exact"/>
              <w:ind w:left="162"/>
              <w:rPr>
                <w:b/>
                <w:sz w:val="24"/>
              </w:rPr>
            </w:pPr>
            <w:r>
              <w:rPr>
                <w:b/>
                <w:w w:val="95"/>
                <w:sz w:val="24"/>
              </w:rPr>
              <w:t>保险责任及责任免除</w:t>
            </w:r>
          </w:p>
        </w:tc>
      </w:tr>
      <w:tr>
        <w:trPr>
          <w:trHeight w:val="657" w:hRule="atLeast"/>
        </w:trPr>
        <w:tc>
          <w:tcPr>
            <w:tcW w:w="587" w:type="dxa"/>
          </w:tcPr>
          <w:p>
            <w:pPr>
              <w:pStyle w:val="TableParagraph"/>
              <w:spacing w:line="241" w:lineRule="exact"/>
              <w:ind w:left="108"/>
              <w:rPr>
                <w:b/>
                <w:sz w:val="21"/>
              </w:rPr>
            </w:pPr>
            <w:r>
              <w:rPr>
                <w:b/>
                <w:sz w:val="21"/>
              </w:rPr>
              <w:t>2.1</w:t>
            </w:r>
          </w:p>
        </w:tc>
        <w:tc>
          <w:tcPr>
            <w:tcW w:w="8811" w:type="dxa"/>
          </w:tcPr>
          <w:p>
            <w:pPr>
              <w:pStyle w:val="TableParagraph"/>
              <w:spacing w:line="241" w:lineRule="exact"/>
              <w:ind w:left="162"/>
              <w:rPr>
                <w:sz w:val="21"/>
              </w:rPr>
            </w:pPr>
            <w:r>
              <w:rPr>
                <w:b/>
                <w:sz w:val="21"/>
              </w:rPr>
              <w:t>保险期间 </w:t>
            </w:r>
            <w:r>
              <w:rPr>
                <w:sz w:val="21"/>
              </w:rPr>
              <w:t>本附加险合同的保险期间为自本附加险合同生效之日起至被保险人年满 75 周岁对</w:t>
            </w:r>
          </w:p>
          <w:p>
            <w:pPr>
              <w:pStyle w:val="TableParagraph"/>
              <w:spacing w:before="61"/>
              <w:ind w:left="162"/>
              <w:rPr>
                <w:sz w:val="21"/>
              </w:rPr>
            </w:pPr>
            <w:r>
              <w:rPr>
                <w:sz w:val="21"/>
              </w:rPr>
              <w:t>应的</w:t>
            </w:r>
            <w:r>
              <w:rPr>
                <w:b/>
                <w:sz w:val="21"/>
              </w:rPr>
              <w:t>保单周年日 </w:t>
            </w:r>
            <w:r>
              <w:rPr>
                <w:rFonts w:ascii="Times New Roman" w:eastAsia="Times New Roman"/>
                <w:b/>
                <w:i/>
                <w:position w:val="11"/>
                <w:sz w:val="16"/>
              </w:rPr>
              <w:t>7.2 </w:t>
            </w:r>
            <w:r>
              <w:rPr>
                <w:sz w:val="21"/>
              </w:rPr>
              <w:t>止。</w:t>
            </w:r>
          </w:p>
        </w:tc>
      </w:tr>
      <w:tr>
        <w:trPr>
          <w:trHeight w:val="1022" w:hRule="atLeast"/>
        </w:trPr>
        <w:tc>
          <w:tcPr>
            <w:tcW w:w="587" w:type="dxa"/>
          </w:tcPr>
          <w:p>
            <w:pPr>
              <w:pStyle w:val="TableParagraph"/>
              <w:spacing w:before="2"/>
              <w:ind w:left="108"/>
              <w:rPr>
                <w:b/>
                <w:sz w:val="21"/>
              </w:rPr>
            </w:pPr>
            <w:r>
              <w:rPr>
                <w:b/>
                <w:sz w:val="21"/>
              </w:rPr>
              <w:t>2.2</w:t>
            </w:r>
          </w:p>
        </w:tc>
        <w:tc>
          <w:tcPr>
            <w:tcW w:w="8811" w:type="dxa"/>
          </w:tcPr>
          <w:p>
            <w:pPr>
              <w:pStyle w:val="TableParagraph"/>
              <w:spacing w:before="2"/>
              <w:ind w:left="162"/>
              <w:rPr>
                <w:sz w:val="21"/>
              </w:rPr>
            </w:pPr>
            <w:r>
              <w:rPr>
                <w:b/>
                <w:sz w:val="21"/>
              </w:rPr>
              <w:t>基本保险金额 </w:t>
            </w:r>
            <w:r>
              <w:rPr>
                <w:sz w:val="21"/>
              </w:rPr>
              <w:t>本附加险合同的基本保险金额由投保人与本公司约定，并在保险单上载明，本</w:t>
            </w:r>
          </w:p>
          <w:p>
            <w:pPr>
              <w:pStyle w:val="TableParagraph"/>
              <w:spacing w:line="340" w:lineRule="atLeast"/>
              <w:ind w:left="162" w:right="103"/>
              <w:rPr>
                <w:sz w:val="21"/>
              </w:rPr>
            </w:pPr>
            <w:r>
              <w:rPr>
                <w:spacing w:val="-6"/>
                <w:sz w:val="21"/>
              </w:rPr>
              <w:t>附加险合同的基本保险金额不得高于主险合同的基本保险金额，且须符合本公司当时的投保规</w:t>
            </w:r>
            <w:r>
              <w:rPr>
                <w:spacing w:val="-4"/>
                <w:sz w:val="21"/>
              </w:rPr>
              <w:t>定。若该金额发生变更，则以变更生效后的金额为基本保险金额。</w:t>
            </w:r>
          </w:p>
        </w:tc>
      </w:tr>
      <w:tr>
        <w:trPr>
          <w:trHeight w:val="680" w:hRule="atLeast"/>
        </w:trPr>
        <w:tc>
          <w:tcPr>
            <w:tcW w:w="587" w:type="dxa"/>
          </w:tcPr>
          <w:p>
            <w:pPr>
              <w:pStyle w:val="TableParagraph"/>
              <w:ind w:left="108"/>
              <w:rPr>
                <w:b/>
                <w:sz w:val="21"/>
              </w:rPr>
            </w:pPr>
            <w:r>
              <w:rPr>
                <w:b/>
                <w:sz w:val="21"/>
              </w:rPr>
              <w:t>2.3</w:t>
            </w:r>
          </w:p>
        </w:tc>
        <w:tc>
          <w:tcPr>
            <w:tcW w:w="8811" w:type="dxa"/>
          </w:tcPr>
          <w:p>
            <w:pPr>
              <w:pStyle w:val="TableParagraph"/>
              <w:ind w:left="162"/>
              <w:rPr>
                <w:sz w:val="21"/>
              </w:rPr>
            </w:pPr>
            <w:r>
              <w:rPr>
                <w:b/>
                <w:sz w:val="21"/>
              </w:rPr>
              <w:t>基本保险金额的变更 </w:t>
            </w:r>
            <w:r>
              <w:rPr>
                <w:sz w:val="21"/>
              </w:rPr>
              <w:t>本附加险合同有效期内，经本公司同意，投保人可变更本附加险合同的</w:t>
            </w:r>
          </w:p>
          <w:p>
            <w:pPr>
              <w:pStyle w:val="TableParagraph"/>
              <w:spacing w:before="66"/>
              <w:ind w:left="162"/>
              <w:rPr>
                <w:sz w:val="21"/>
              </w:rPr>
            </w:pPr>
            <w:r>
              <w:rPr>
                <w:sz w:val="21"/>
              </w:rPr>
              <w:t>基本保险金额。</w:t>
            </w:r>
          </w:p>
        </w:tc>
      </w:tr>
      <w:tr>
        <w:trPr>
          <w:trHeight w:val="3418" w:hRule="atLeast"/>
        </w:trPr>
        <w:tc>
          <w:tcPr>
            <w:tcW w:w="587" w:type="dxa"/>
          </w:tcPr>
          <w:p>
            <w:pPr>
              <w:pStyle w:val="TableParagraph"/>
              <w:ind w:left="0"/>
              <w:rPr>
                <w:rFonts w:ascii="Times New Roman"/>
                <w:sz w:val="20"/>
              </w:rPr>
            </w:pPr>
          </w:p>
        </w:tc>
        <w:tc>
          <w:tcPr>
            <w:tcW w:w="8811" w:type="dxa"/>
          </w:tcPr>
          <w:p>
            <w:pPr>
              <w:pStyle w:val="TableParagraph"/>
              <w:spacing w:before="1"/>
              <w:ind w:left="162"/>
              <w:rPr>
                <w:b/>
                <w:sz w:val="21"/>
              </w:rPr>
            </w:pPr>
            <w:r>
              <w:rPr>
                <w:b/>
                <w:sz w:val="21"/>
              </w:rPr>
              <w:t>基本保险金额增加</w:t>
            </w:r>
          </w:p>
          <w:p>
            <w:pPr>
              <w:pStyle w:val="TableParagraph"/>
              <w:spacing w:line="295" w:lineRule="auto" w:before="66"/>
              <w:ind w:left="162" w:right="103"/>
              <w:jc w:val="both"/>
              <w:rPr>
                <w:sz w:val="21"/>
              </w:rPr>
            </w:pPr>
            <w:r>
              <w:rPr>
                <w:spacing w:val="-7"/>
                <w:sz w:val="21"/>
              </w:rPr>
              <w:t>本附加险合同生效一年后，投保人可随时向本公司申请增加本附加险合同的基本保险金额，但</w:t>
            </w:r>
            <w:r>
              <w:rPr>
                <w:spacing w:val="-5"/>
                <w:sz w:val="21"/>
              </w:rPr>
              <w:t>每个</w:t>
            </w:r>
            <w:r>
              <w:rPr>
                <w:b/>
                <w:spacing w:val="-9"/>
                <w:sz w:val="21"/>
              </w:rPr>
              <w:t>保单年度 </w:t>
            </w:r>
            <w:r>
              <w:rPr>
                <w:rFonts w:ascii="Times New Roman" w:eastAsia="Times New Roman"/>
                <w:b/>
                <w:i/>
                <w:position w:val="11"/>
                <w:sz w:val="16"/>
              </w:rPr>
              <w:t>7.3 </w:t>
            </w:r>
            <w:r>
              <w:rPr>
                <w:spacing w:val="-3"/>
                <w:sz w:val="21"/>
              </w:rPr>
              <w:t>最多申请一次。投保人申请增加本附加险合同的基本保险金额时必须同时满足以下条件：</w:t>
            </w:r>
          </w:p>
          <w:p>
            <w:pPr>
              <w:pStyle w:val="TableParagraph"/>
              <w:numPr>
                <w:ilvl w:val="0"/>
                <w:numId w:val="7"/>
              </w:numPr>
              <w:tabs>
                <w:tab w:pos="582" w:val="left" w:leader="none"/>
                <w:tab w:pos="583" w:val="left" w:leader="none"/>
              </w:tabs>
              <w:spacing w:line="240" w:lineRule="auto" w:before="17" w:after="0"/>
              <w:ind w:left="582" w:right="0" w:hanging="420"/>
              <w:jc w:val="left"/>
              <w:rPr>
                <w:sz w:val="21"/>
              </w:rPr>
            </w:pPr>
            <w:r>
              <w:rPr>
                <w:spacing w:val="-9"/>
                <w:sz w:val="21"/>
              </w:rPr>
              <w:t>在被保险人 </w:t>
            </w:r>
            <w:r>
              <w:rPr>
                <w:sz w:val="21"/>
              </w:rPr>
              <w:t>55</w:t>
            </w:r>
            <w:r>
              <w:rPr>
                <w:spacing w:val="-8"/>
                <w:sz w:val="21"/>
              </w:rPr>
              <w:t> 周岁对应的保单周年日之前申请；</w:t>
            </w:r>
          </w:p>
          <w:p>
            <w:pPr>
              <w:pStyle w:val="TableParagraph"/>
              <w:numPr>
                <w:ilvl w:val="0"/>
                <w:numId w:val="7"/>
              </w:numPr>
              <w:tabs>
                <w:tab w:pos="582" w:val="left" w:leader="none"/>
                <w:tab w:pos="583" w:val="left" w:leader="none"/>
              </w:tabs>
              <w:spacing w:line="240" w:lineRule="auto" w:before="65" w:after="0"/>
              <w:ind w:left="582" w:right="0" w:hanging="420"/>
              <w:jc w:val="left"/>
              <w:rPr>
                <w:sz w:val="21"/>
              </w:rPr>
            </w:pPr>
            <w:r>
              <w:rPr>
                <w:spacing w:val="-3"/>
                <w:sz w:val="21"/>
              </w:rPr>
              <w:t>主险合同以前各期和当期应交期交保险费均已交纳；</w:t>
            </w:r>
          </w:p>
          <w:p>
            <w:pPr>
              <w:pStyle w:val="TableParagraph"/>
              <w:numPr>
                <w:ilvl w:val="0"/>
                <w:numId w:val="7"/>
              </w:numPr>
              <w:tabs>
                <w:tab w:pos="582" w:val="left" w:leader="none"/>
                <w:tab w:pos="583" w:val="left" w:leader="none"/>
              </w:tabs>
              <w:spacing w:line="240" w:lineRule="auto" w:before="65" w:after="0"/>
              <w:ind w:left="582" w:right="0" w:hanging="420"/>
              <w:jc w:val="left"/>
              <w:rPr>
                <w:sz w:val="21"/>
              </w:rPr>
            </w:pPr>
            <w:r>
              <w:rPr>
                <w:spacing w:val="-3"/>
                <w:sz w:val="21"/>
              </w:rPr>
              <w:t>本附加险合同申请增加后的基本保险金额不得高于当时主险合同的基本保险金额。</w:t>
            </w:r>
          </w:p>
          <w:p>
            <w:pPr>
              <w:pStyle w:val="TableParagraph"/>
              <w:spacing w:line="295" w:lineRule="auto" w:before="65"/>
              <w:ind w:left="162" w:right="103"/>
              <w:rPr>
                <w:sz w:val="21"/>
              </w:rPr>
            </w:pPr>
            <w:r>
              <w:rPr>
                <w:spacing w:val="-7"/>
                <w:sz w:val="21"/>
              </w:rPr>
              <w:t>在申请增加基本保险金额时，投保人须提供被保险人的健康声明书、体检报告及其他相关证明文件。</w:t>
            </w:r>
          </w:p>
          <w:p>
            <w:pPr>
              <w:pStyle w:val="TableParagraph"/>
              <w:spacing w:before="18"/>
              <w:ind w:left="162"/>
              <w:rPr>
                <w:sz w:val="21"/>
              </w:rPr>
            </w:pPr>
            <w:r>
              <w:rPr>
                <w:sz w:val="21"/>
              </w:rPr>
              <w:t>经本公司同意后，本附加险合同增加的基本保险金额自下一个结算日零时起生效。</w:t>
            </w:r>
          </w:p>
        </w:tc>
      </w:tr>
      <w:tr>
        <w:trPr>
          <w:trHeight w:val="2042" w:hRule="atLeast"/>
        </w:trPr>
        <w:tc>
          <w:tcPr>
            <w:tcW w:w="587" w:type="dxa"/>
          </w:tcPr>
          <w:p>
            <w:pPr>
              <w:pStyle w:val="TableParagraph"/>
              <w:ind w:left="0"/>
              <w:rPr>
                <w:rFonts w:ascii="Times New Roman"/>
                <w:sz w:val="20"/>
              </w:rPr>
            </w:pPr>
          </w:p>
        </w:tc>
        <w:tc>
          <w:tcPr>
            <w:tcW w:w="8811" w:type="dxa"/>
          </w:tcPr>
          <w:p>
            <w:pPr>
              <w:pStyle w:val="TableParagraph"/>
              <w:spacing w:before="1"/>
              <w:ind w:left="162"/>
              <w:rPr>
                <w:b/>
                <w:sz w:val="21"/>
              </w:rPr>
            </w:pPr>
            <w:r>
              <w:rPr>
                <w:b/>
                <w:sz w:val="21"/>
              </w:rPr>
              <w:t>基本保险金额减少</w:t>
            </w:r>
          </w:p>
          <w:p>
            <w:pPr>
              <w:pStyle w:val="TableParagraph"/>
              <w:spacing w:line="297" w:lineRule="auto" w:before="66"/>
              <w:ind w:left="162" w:right="103"/>
              <w:rPr>
                <w:sz w:val="21"/>
              </w:rPr>
            </w:pPr>
            <w:r>
              <w:rPr>
                <w:spacing w:val="-7"/>
                <w:sz w:val="21"/>
              </w:rPr>
              <w:t>本附加险合同生效一年后，投保人可随时向本公司申请减少本附加险合同的基本保险金额，但</w:t>
            </w:r>
            <w:r>
              <w:rPr>
                <w:spacing w:val="-5"/>
                <w:sz w:val="21"/>
              </w:rPr>
              <w:t>每个保单年度最多申请一次。</w:t>
            </w:r>
          </w:p>
          <w:p>
            <w:pPr>
              <w:pStyle w:val="TableParagraph"/>
              <w:spacing w:line="295" w:lineRule="auto" w:before="15"/>
              <w:ind w:left="162" w:right="103"/>
              <w:rPr>
                <w:sz w:val="21"/>
              </w:rPr>
            </w:pPr>
            <w:r>
              <w:rPr>
                <w:spacing w:val="-7"/>
                <w:sz w:val="21"/>
              </w:rPr>
              <w:t>若投保人申请减少主险合同的基本保险金额，且减少后的基本保险金额低于本附加险合同的基</w:t>
            </w:r>
            <w:r>
              <w:rPr>
                <w:spacing w:val="-5"/>
                <w:sz w:val="21"/>
              </w:rPr>
              <w:t>本保险金额，则本附加险合同的基本保险金额自动减少至主险合同减少后的基本保险金额。</w:t>
            </w:r>
          </w:p>
          <w:p>
            <w:pPr>
              <w:pStyle w:val="TableParagraph"/>
              <w:spacing w:before="17"/>
              <w:ind w:left="162"/>
              <w:rPr>
                <w:sz w:val="21"/>
              </w:rPr>
            </w:pPr>
            <w:r>
              <w:rPr>
                <w:sz w:val="21"/>
              </w:rPr>
              <w:t>经本公司同意后，本附加险合同减少的基本保险金额自下一个结算日零时起效力终止。</w:t>
            </w:r>
          </w:p>
        </w:tc>
      </w:tr>
      <w:tr>
        <w:trPr>
          <w:trHeight w:val="340" w:hRule="atLeast"/>
        </w:trPr>
        <w:tc>
          <w:tcPr>
            <w:tcW w:w="587" w:type="dxa"/>
          </w:tcPr>
          <w:p>
            <w:pPr>
              <w:pStyle w:val="TableParagraph"/>
              <w:spacing w:before="1"/>
              <w:ind w:left="108"/>
              <w:rPr>
                <w:b/>
                <w:sz w:val="21"/>
              </w:rPr>
            </w:pPr>
            <w:r>
              <w:rPr>
                <w:b/>
                <w:sz w:val="21"/>
              </w:rPr>
              <w:t>2.4</w:t>
            </w:r>
          </w:p>
        </w:tc>
        <w:tc>
          <w:tcPr>
            <w:tcW w:w="8811" w:type="dxa"/>
          </w:tcPr>
          <w:p>
            <w:pPr>
              <w:pStyle w:val="TableParagraph"/>
              <w:spacing w:before="1"/>
              <w:ind w:left="162"/>
              <w:rPr>
                <w:sz w:val="21"/>
              </w:rPr>
            </w:pPr>
            <w:r>
              <w:rPr>
                <w:b/>
                <w:sz w:val="21"/>
              </w:rPr>
              <w:t>保险责任 </w:t>
            </w:r>
            <w:r>
              <w:rPr>
                <w:sz w:val="21"/>
              </w:rPr>
              <w:t>本附加险合同有效期内，本公司承担下列保险责任：</w:t>
            </w:r>
          </w:p>
        </w:tc>
      </w:tr>
      <w:tr>
        <w:trPr>
          <w:trHeight w:val="2671" w:hRule="atLeast"/>
        </w:trPr>
        <w:tc>
          <w:tcPr>
            <w:tcW w:w="587" w:type="dxa"/>
          </w:tcPr>
          <w:p>
            <w:pPr>
              <w:pStyle w:val="TableParagraph"/>
              <w:ind w:left="0"/>
              <w:rPr>
                <w:rFonts w:ascii="Times New Roman"/>
                <w:sz w:val="20"/>
              </w:rPr>
            </w:pPr>
          </w:p>
        </w:tc>
        <w:tc>
          <w:tcPr>
            <w:tcW w:w="8811" w:type="dxa"/>
          </w:tcPr>
          <w:p>
            <w:pPr>
              <w:pStyle w:val="TableParagraph"/>
              <w:spacing w:before="1"/>
              <w:ind w:left="162"/>
              <w:rPr>
                <w:b/>
                <w:sz w:val="21"/>
              </w:rPr>
            </w:pPr>
            <w:r>
              <w:rPr>
                <w:b/>
                <w:sz w:val="21"/>
              </w:rPr>
              <w:t>等待期</w:t>
            </w:r>
          </w:p>
          <w:p>
            <w:pPr>
              <w:pStyle w:val="TableParagraph"/>
              <w:spacing w:line="297" w:lineRule="auto" w:before="66"/>
              <w:ind w:left="162" w:right="135"/>
              <w:rPr>
                <w:sz w:val="21"/>
              </w:rPr>
            </w:pPr>
            <w:r>
              <w:rPr>
                <w:spacing w:val="-3"/>
                <w:w w:val="100"/>
                <w:sz w:val="21"/>
              </w:rPr>
              <w:t>自本附加险合同生效之日起</w:t>
            </w:r>
            <w:r>
              <w:rPr>
                <w:w w:val="100"/>
                <w:sz w:val="21"/>
              </w:rPr>
              <w:t>（</w:t>
            </w:r>
            <w:r>
              <w:rPr>
                <w:spacing w:val="-3"/>
                <w:w w:val="100"/>
                <w:sz w:val="21"/>
              </w:rPr>
              <w:t>合同复效的则自最后一次复效之日起</w:t>
            </w:r>
            <w:r>
              <w:rPr>
                <w:spacing w:val="-106"/>
                <w:w w:val="100"/>
                <w:sz w:val="21"/>
              </w:rPr>
              <w:t>）</w:t>
            </w:r>
            <w:r>
              <w:rPr>
                <w:spacing w:val="-3"/>
                <w:w w:val="100"/>
                <w:sz w:val="21"/>
              </w:rPr>
              <w:t>，本公司将对一段时间内</w:t>
            </w:r>
            <w:r>
              <w:rPr>
                <w:spacing w:val="-3"/>
                <w:sz w:val="21"/>
              </w:rPr>
              <w:t>发生的保险事故不承担给付保险金的责任，这段时间称为等待期。本附加险合同的等待期为</w:t>
            </w:r>
          </w:p>
          <w:p>
            <w:pPr>
              <w:pStyle w:val="TableParagraph"/>
              <w:spacing w:before="16"/>
              <w:ind w:left="162"/>
              <w:rPr>
                <w:sz w:val="21"/>
              </w:rPr>
            </w:pPr>
            <w:r>
              <w:rPr>
                <w:sz w:val="21"/>
              </w:rPr>
              <w:t>180 日。</w:t>
            </w:r>
          </w:p>
          <w:p>
            <w:pPr>
              <w:pStyle w:val="TableParagraph"/>
              <w:spacing w:line="297" w:lineRule="auto" w:before="61"/>
              <w:ind w:left="162" w:right="103"/>
              <w:jc w:val="both"/>
              <w:rPr>
                <w:sz w:val="21"/>
              </w:rPr>
            </w:pPr>
            <w:r>
              <w:rPr>
                <w:spacing w:val="-3"/>
                <w:sz w:val="21"/>
              </w:rPr>
              <w:t>被保险人等待期内因</w:t>
            </w:r>
            <w:r>
              <w:rPr>
                <w:b/>
                <w:spacing w:val="-10"/>
                <w:sz w:val="21"/>
              </w:rPr>
              <w:t>意外伤害 </w:t>
            </w:r>
            <w:r>
              <w:rPr>
                <w:rFonts w:ascii="Times New Roman" w:eastAsia="Times New Roman"/>
                <w:b/>
                <w:i/>
                <w:position w:val="11"/>
                <w:sz w:val="16"/>
              </w:rPr>
              <w:t>7.4 </w:t>
            </w:r>
            <w:r>
              <w:rPr>
                <w:spacing w:val="-3"/>
                <w:sz w:val="21"/>
              </w:rPr>
              <w:t>之外的其它原因初次发生本附加险合同约定的</w:t>
            </w:r>
            <w:r>
              <w:rPr>
                <w:b/>
                <w:spacing w:val="-9"/>
                <w:sz w:val="21"/>
              </w:rPr>
              <w:t>重大疾病 </w:t>
            </w:r>
            <w:r>
              <w:rPr>
                <w:rFonts w:ascii="Times New Roman" w:eastAsia="Times New Roman"/>
                <w:b/>
                <w:i/>
                <w:position w:val="11"/>
                <w:sz w:val="16"/>
              </w:rPr>
              <w:t>7.7</w:t>
            </w:r>
            <w:r>
              <w:rPr>
                <w:sz w:val="21"/>
              </w:rPr>
              <w:t>， </w:t>
            </w:r>
            <w:r>
              <w:rPr>
                <w:spacing w:val="-9"/>
                <w:sz w:val="21"/>
              </w:rPr>
              <w:t>本公司不承担保险责任，本附加险合同效力终止。本公司将等待期内已收取的本附加险合同的</w:t>
            </w:r>
            <w:r>
              <w:rPr>
                <w:spacing w:val="-5"/>
                <w:sz w:val="21"/>
              </w:rPr>
              <w:t>风险保险费无息退还至主险合同的个人账户，主险合同的个人账户价值按退还的金额等额增</w:t>
            </w:r>
          </w:p>
          <w:p>
            <w:pPr>
              <w:pStyle w:val="TableParagraph"/>
              <w:spacing w:line="255" w:lineRule="exact" w:before="13"/>
              <w:ind w:left="162"/>
              <w:jc w:val="both"/>
              <w:rPr>
                <w:sz w:val="21"/>
              </w:rPr>
            </w:pPr>
            <w:r>
              <w:rPr>
                <w:sz w:val="21"/>
              </w:rPr>
              <w:t>加；被保险人因意外伤害原因初次发生本附加险合同约定的重大疾病，无等待期。</w:t>
            </w:r>
          </w:p>
        </w:tc>
      </w:tr>
    </w:tbl>
    <w:p>
      <w:pPr>
        <w:spacing w:after="0" w:line="255" w:lineRule="exact"/>
        <w:jc w:val="both"/>
        <w:rPr>
          <w:sz w:val="21"/>
        </w:rPr>
        <w:sectPr>
          <w:footerReference w:type="default" r:id="rId7"/>
          <w:pgSz w:w="11910" w:h="16840"/>
          <w:pgMar w:footer="925" w:header="0" w:top="1200" w:bottom="1120" w:left="1140" w:right="1140"/>
          <w:pgNumType w:start="1"/>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7"/>
        <w:gridCol w:w="8811"/>
      </w:tblGrid>
      <w:tr>
        <w:trPr>
          <w:trHeight w:val="617" w:hRule="atLeast"/>
        </w:trPr>
        <w:tc>
          <w:tcPr>
            <w:tcW w:w="587" w:type="dxa"/>
          </w:tcPr>
          <w:p>
            <w:pPr>
              <w:pStyle w:val="TableParagraph"/>
              <w:ind w:left="0"/>
              <w:rPr>
                <w:rFonts w:ascii="Times New Roman"/>
                <w:sz w:val="20"/>
              </w:rPr>
            </w:pPr>
          </w:p>
        </w:tc>
        <w:tc>
          <w:tcPr>
            <w:tcW w:w="8811" w:type="dxa"/>
          </w:tcPr>
          <w:p>
            <w:pPr>
              <w:pStyle w:val="TableParagraph"/>
              <w:spacing w:line="208" w:lineRule="exact"/>
              <w:ind w:left="162"/>
              <w:rPr>
                <w:sz w:val="21"/>
              </w:rPr>
            </w:pPr>
            <w:r>
              <w:rPr>
                <w:sz w:val="21"/>
              </w:rPr>
              <w:t>若投保人申请增加本附加险合同的基本保险金额，则对于每次增加的部分也适用上述等待期的</w:t>
            </w:r>
          </w:p>
          <w:p>
            <w:pPr>
              <w:pStyle w:val="TableParagraph"/>
              <w:spacing w:before="66"/>
              <w:ind w:left="162"/>
              <w:rPr>
                <w:sz w:val="21"/>
              </w:rPr>
            </w:pPr>
            <w:r>
              <w:rPr>
                <w:sz w:val="21"/>
              </w:rPr>
              <w:t>约定。</w:t>
            </w:r>
          </w:p>
        </w:tc>
      </w:tr>
      <w:tr>
        <w:trPr>
          <w:trHeight w:val="3077" w:hRule="atLeast"/>
        </w:trPr>
        <w:tc>
          <w:tcPr>
            <w:tcW w:w="587" w:type="dxa"/>
          </w:tcPr>
          <w:p>
            <w:pPr>
              <w:pStyle w:val="TableParagraph"/>
              <w:ind w:left="0"/>
              <w:rPr>
                <w:rFonts w:ascii="Times New Roman"/>
                <w:sz w:val="20"/>
              </w:rPr>
            </w:pPr>
          </w:p>
        </w:tc>
        <w:tc>
          <w:tcPr>
            <w:tcW w:w="8811" w:type="dxa"/>
          </w:tcPr>
          <w:p>
            <w:pPr>
              <w:pStyle w:val="TableParagraph"/>
              <w:spacing w:line="273" w:lineRule="exact"/>
              <w:ind w:left="162"/>
              <w:rPr>
                <w:b/>
                <w:sz w:val="21"/>
              </w:rPr>
            </w:pPr>
            <w:r>
              <w:rPr>
                <w:b/>
                <w:sz w:val="21"/>
              </w:rPr>
              <w:t>重大疾病保险金</w:t>
            </w:r>
          </w:p>
          <w:p>
            <w:pPr>
              <w:pStyle w:val="TableParagraph"/>
              <w:spacing w:line="297" w:lineRule="auto" w:before="64"/>
              <w:ind w:left="162" w:right="104"/>
              <w:jc w:val="both"/>
              <w:rPr>
                <w:sz w:val="21"/>
              </w:rPr>
            </w:pPr>
            <w:r>
              <w:rPr>
                <w:spacing w:val="-3"/>
                <w:sz w:val="21"/>
              </w:rPr>
              <w:t>被保险人等待期后经</w:t>
            </w:r>
            <w:r>
              <w:rPr>
                <w:b/>
                <w:spacing w:val="-9"/>
                <w:sz w:val="21"/>
              </w:rPr>
              <w:t>本公司认可的医院 </w:t>
            </w:r>
            <w:r>
              <w:rPr>
                <w:rFonts w:ascii="Times New Roman" w:eastAsia="Times New Roman"/>
                <w:b/>
                <w:i/>
                <w:position w:val="11"/>
                <w:sz w:val="16"/>
              </w:rPr>
              <w:t>7.5 </w:t>
            </w:r>
            <w:r>
              <w:rPr>
                <w:b/>
                <w:spacing w:val="-13"/>
                <w:sz w:val="21"/>
              </w:rPr>
              <w:t>专科医生 </w:t>
            </w:r>
            <w:r>
              <w:rPr>
                <w:rFonts w:ascii="Times New Roman" w:eastAsia="Times New Roman"/>
                <w:b/>
                <w:i/>
                <w:position w:val="11"/>
                <w:sz w:val="16"/>
              </w:rPr>
              <w:t>7.6 </w:t>
            </w:r>
            <w:r>
              <w:rPr>
                <w:spacing w:val="-3"/>
                <w:sz w:val="21"/>
              </w:rPr>
              <w:t>确诊初次发生本附加险合同约定的重大</w:t>
            </w:r>
            <w:r>
              <w:rPr>
                <w:spacing w:val="-9"/>
                <w:sz w:val="21"/>
              </w:rPr>
              <w:t>疾病，本公司按照本附加险合同的基本保险金额给付重大疾病保险金，同时本附加险合同效力</w:t>
            </w:r>
            <w:r>
              <w:rPr>
                <w:sz w:val="21"/>
              </w:rPr>
              <w:t>终止。</w:t>
            </w:r>
          </w:p>
          <w:p>
            <w:pPr>
              <w:pStyle w:val="TableParagraph"/>
              <w:spacing w:line="297" w:lineRule="auto" w:before="15"/>
              <w:ind w:left="162" w:right="103"/>
              <w:rPr>
                <w:sz w:val="21"/>
              </w:rPr>
            </w:pPr>
            <w:r>
              <w:rPr>
                <w:spacing w:val="-8"/>
                <w:sz w:val="21"/>
              </w:rPr>
              <w:t>本公司给付重大疾病保险金后，主险合同及其附加险《中国人民健康保险股份有限公司附加福</w:t>
            </w:r>
            <w:r>
              <w:rPr>
                <w:spacing w:val="-3"/>
                <w:sz w:val="21"/>
              </w:rPr>
              <w:t>泽一生个人意外伤害保险</w:t>
            </w:r>
            <w:r>
              <w:rPr>
                <w:sz w:val="21"/>
              </w:rPr>
              <w:t>（B</w:t>
            </w:r>
            <w:r>
              <w:rPr>
                <w:spacing w:val="-20"/>
                <w:sz w:val="21"/>
              </w:rPr>
              <w:t> 款</w:t>
            </w:r>
            <w:r>
              <w:rPr>
                <w:spacing w:val="-106"/>
                <w:sz w:val="21"/>
              </w:rPr>
              <w:t>）</w:t>
            </w:r>
            <w:r>
              <w:rPr>
                <w:spacing w:val="-3"/>
                <w:sz w:val="21"/>
              </w:rPr>
              <w:t>》合同的基本保险金额按给付重大疾病保险金的金额同时等</w:t>
            </w:r>
            <w:r>
              <w:rPr>
                <w:spacing w:val="-10"/>
                <w:sz w:val="21"/>
              </w:rPr>
              <w:t>额减少。若主险合同的基本保险金额减少至零，则本公司向投保人退还重大疾病保险金申请日</w:t>
            </w:r>
            <w:r>
              <w:rPr>
                <w:spacing w:val="-3"/>
                <w:sz w:val="21"/>
              </w:rPr>
              <w:t>主险合同的个人账户价值，同时主险合同效力终止。</w:t>
            </w:r>
          </w:p>
          <w:p>
            <w:pPr>
              <w:pStyle w:val="TableParagraph"/>
              <w:spacing w:before="15"/>
              <w:ind w:left="162"/>
              <w:rPr>
                <w:rFonts w:ascii="黑体" w:eastAsia="黑体" w:hint="eastAsia"/>
                <w:sz w:val="21"/>
              </w:rPr>
            </w:pPr>
            <w:r>
              <w:rPr>
                <w:rFonts w:ascii="黑体" w:eastAsia="黑体" w:hint="eastAsia"/>
                <w:sz w:val="21"/>
                <w:u w:val="single"/>
              </w:rPr>
              <w:t>若主险合同已给付护理保险金，则本公司不再给付本附加险合同的重大疾病保险金。</w:t>
            </w:r>
          </w:p>
        </w:tc>
      </w:tr>
      <w:tr>
        <w:trPr>
          <w:trHeight w:val="717" w:hRule="atLeast"/>
        </w:trPr>
        <w:tc>
          <w:tcPr>
            <w:tcW w:w="587" w:type="dxa"/>
          </w:tcPr>
          <w:p>
            <w:pPr>
              <w:pStyle w:val="TableParagraph"/>
              <w:spacing w:line="273" w:lineRule="exact"/>
              <w:ind w:left="108"/>
              <w:rPr>
                <w:b/>
                <w:sz w:val="21"/>
              </w:rPr>
            </w:pPr>
            <w:r>
              <w:rPr>
                <w:b/>
                <w:sz w:val="21"/>
              </w:rPr>
              <w:t>2.5</w:t>
            </w:r>
          </w:p>
        </w:tc>
        <w:tc>
          <w:tcPr>
            <w:tcW w:w="8811" w:type="dxa"/>
          </w:tcPr>
          <w:p>
            <w:pPr>
              <w:pStyle w:val="TableParagraph"/>
              <w:spacing w:line="297" w:lineRule="auto"/>
              <w:ind w:left="162" w:right="341"/>
              <w:rPr>
                <w:rFonts w:ascii="黑体" w:eastAsia="黑体" w:hint="eastAsia"/>
                <w:sz w:val="21"/>
              </w:rPr>
            </w:pPr>
            <w:r>
              <w:rPr>
                <w:b/>
                <w:sz w:val="21"/>
              </w:rPr>
              <w:t>责任免除 </w:t>
            </w:r>
            <w:r>
              <w:rPr>
                <w:rFonts w:ascii="黑体" w:eastAsia="黑体" w:hint="eastAsia"/>
                <w:sz w:val="21"/>
                <w:u w:val="single"/>
              </w:rPr>
              <w:t>因主险合同责任免除所列情况导致被保险人初次发Th本附加险合同约定的重大疾病，本公司不承担给付保险金的责任，同时本附加险合同效力终止。</w:t>
            </w:r>
          </w:p>
        </w:tc>
      </w:tr>
      <w:tr>
        <w:trPr>
          <w:trHeight w:val="388" w:hRule="atLeast"/>
        </w:trPr>
        <w:tc>
          <w:tcPr>
            <w:tcW w:w="587" w:type="dxa"/>
            <w:shd w:val="clear" w:color="auto" w:fill="CCCCCC"/>
          </w:tcPr>
          <w:p>
            <w:pPr>
              <w:pStyle w:val="TableParagraph"/>
              <w:spacing w:line="273" w:lineRule="exact"/>
              <w:ind w:left="108"/>
              <w:rPr>
                <w:b/>
                <w:sz w:val="24"/>
              </w:rPr>
            </w:pPr>
            <w:r>
              <w:rPr>
                <w:b/>
                <w:w w:val="99"/>
                <w:sz w:val="24"/>
              </w:rPr>
              <w:t>3</w:t>
            </w:r>
          </w:p>
        </w:tc>
        <w:tc>
          <w:tcPr>
            <w:tcW w:w="8811" w:type="dxa"/>
            <w:shd w:val="clear" w:color="auto" w:fill="CCCCCC"/>
          </w:tcPr>
          <w:p>
            <w:pPr>
              <w:pStyle w:val="TableParagraph"/>
              <w:spacing w:line="273" w:lineRule="exact"/>
              <w:ind w:left="162"/>
              <w:rPr>
                <w:b/>
                <w:sz w:val="24"/>
              </w:rPr>
            </w:pPr>
            <w:r>
              <w:rPr>
                <w:b/>
                <w:sz w:val="24"/>
              </w:rPr>
              <w:t>合同效力</w:t>
            </w:r>
          </w:p>
        </w:tc>
      </w:tr>
      <w:tr>
        <w:trPr>
          <w:trHeight w:val="1325" w:hRule="atLeast"/>
        </w:trPr>
        <w:tc>
          <w:tcPr>
            <w:tcW w:w="587" w:type="dxa"/>
          </w:tcPr>
          <w:p>
            <w:pPr>
              <w:pStyle w:val="TableParagraph"/>
              <w:spacing w:line="238" w:lineRule="exact"/>
              <w:ind w:left="108"/>
              <w:rPr>
                <w:b/>
                <w:sz w:val="21"/>
              </w:rPr>
            </w:pPr>
            <w:r>
              <w:rPr>
                <w:b/>
                <w:sz w:val="21"/>
              </w:rPr>
              <w:t>3.1</w:t>
            </w:r>
          </w:p>
        </w:tc>
        <w:tc>
          <w:tcPr>
            <w:tcW w:w="8811" w:type="dxa"/>
          </w:tcPr>
          <w:p>
            <w:pPr>
              <w:pStyle w:val="TableParagraph"/>
              <w:spacing w:line="238" w:lineRule="exact"/>
              <w:ind w:left="162"/>
              <w:rPr>
                <w:b/>
                <w:sz w:val="21"/>
              </w:rPr>
            </w:pPr>
            <w:r>
              <w:rPr>
                <w:b/>
                <w:sz w:val="21"/>
              </w:rPr>
              <w:t>合同成立与生效</w:t>
            </w:r>
          </w:p>
          <w:p>
            <w:pPr>
              <w:pStyle w:val="TableParagraph"/>
              <w:spacing w:line="297" w:lineRule="auto" w:before="66"/>
              <w:ind w:left="162" w:right="103"/>
              <w:jc w:val="both"/>
              <w:rPr>
                <w:sz w:val="21"/>
              </w:rPr>
            </w:pPr>
            <w:r>
              <w:rPr>
                <w:spacing w:val="-9"/>
                <w:sz w:val="21"/>
              </w:rPr>
              <w:t>除另有约定外，本附加险合同须与主险合同同时投保，本附加险合同的成立日及生效日与主险</w:t>
            </w:r>
            <w:r>
              <w:rPr>
                <w:spacing w:val="-12"/>
                <w:sz w:val="21"/>
              </w:rPr>
              <w:t>合同相同，并在保险单上载明，本公司自载明于保险单上的生效日开始承担本附加险合同约定</w:t>
            </w:r>
            <w:r>
              <w:rPr>
                <w:spacing w:val="-6"/>
                <w:sz w:val="21"/>
              </w:rPr>
              <w:t>的保险责任。</w:t>
            </w:r>
          </w:p>
        </w:tc>
      </w:tr>
      <w:tr>
        <w:trPr>
          <w:trHeight w:val="2042" w:hRule="atLeast"/>
        </w:trPr>
        <w:tc>
          <w:tcPr>
            <w:tcW w:w="587" w:type="dxa"/>
          </w:tcPr>
          <w:p>
            <w:pPr>
              <w:pStyle w:val="TableParagraph"/>
              <w:spacing w:line="273" w:lineRule="exact"/>
              <w:ind w:left="108"/>
              <w:rPr>
                <w:b/>
                <w:sz w:val="21"/>
              </w:rPr>
            </w:pPr>
            <w:r>
              <w:rPr>
                <w:b/>
                <w:sz w:val="21"/>
              </w:rPr>
              <w:t>3.2</w:t>
            </w:r>
          </w:p>
        </w:tc>
        <w:tc>
          <w:tcPr>
            <w:tcW w:w="8811" w:type="dxa"/>
          </w:tcPr>
          <w:p>
            <w:pPr>
              <w:pStyle w:val="TableParagraph"/>
              <w:spacing w:line="273" w:lineRule="exact"/>
              <w:ind w:left="162"/>
              <w:rPr>
                <w:b/>
                <w:sz w:val="21"/>
              </w:rPr>
            </w:pPr>
            <w:r>
              <w:rPr>
                <w:b/>
                <w:sz w:val="21"/>
              </w:rPr>
              <w:t>犹豫期</w:t>
            </w:r>
          </w:p>
          <w:p>
            <w:pPr>
              <w:pStyle w:val="TableParagraph"/>
              <w:spacing w:line="297" w:lineRule="auto" w:before="66"/>
              <w:ind w:left="162" w:right="134"/>
              <w:jc w:val="both"/>
              <w:rPr>
                <w:sz w:val="21"/>
              </w:rPr>
            </w:pPr>
            <w:r>
              <w:rPr>
                <w:spacing w:val="-5"/>
                <w:sz w:val="21"/>
              </w:rPr>
              <w:t>自投保人签收本附加险合同之日起有 </w:t>
            </w:r>
            <w:r>
              <w:rPr>
                <w:sz w:val="21"/>
              </w:rPr>
              <w:t>15</w:t>
            </w:r>
            <w:r>
              <w:rPr>
                <w:spacing w:val="-7"/>
                <w:sz w:val="21"/>
              </w:rPr>
              <w:t> 天的犹豫期。如果投保人在此期间内向本公司书面申</w:t>
            </w:r>
            <w:r>
              <w:rPr>
                <w:spacing w:val="-5"/>
                <w:sz w:val="21"/>
              </w:rPr>
              <w:t>请撤销本附加险合同，本附加险合同不产生效力，本公司将不承担保险责任。</w:t>
            </w:r>
          </w:p>
          <w:p>
            <w:pPr>
              <w:pStyle w:val="TableParagraph"/>
              <w:spacing w:line="297" w:lineRule="auto" w:before="15"/>
              <w:ind w:left="162" w:right="103"/>
              <w:jc w:val="both"/>
              <w:rPr>
                <w:sz w:val="21"/>
              </w:rPr>
            </w:pPr>
            <w:r>
              <w:rPr>
                <w:spacing w:val="-7"/>
                <w:sz w:val="21"/>
              </w:rPr>
              <w:t>投保人犹豫期内撤销本附加险合同，且本公司已收取本附加险合同风险保险费的，若主险合同</w:t>
            </w:r>
            <w:r>
              <w:rPr>
                <w:spacing w:val="-11"/>
                <w:sz w:val="21"/>
              </w:rPr>
              <w:t>继续有效，本公司会在收到撤销本附加险合同申请书之日将本附加险合同所收取的风险保险费</w:t>
            </w:r>
            <w:r>
              <w:rPr>
                <w:spacing w:val="-3"/>
                <w:sz w:val="21"/>
              </w:rPr>
              <w:t>无息退还至主险合同的个人账户，主险合同的个人账户价值按退还的金额等额增加。</w:t>
            </w:r>
          </w:p>
        </w:tc>
      </w:tr>
      <w:tr>
        <w:trPr>
          <w:trHeight w:val="2043" w:hRule="atLeast"/>
        </w:trPr>
        <w:tc>
          <w:tcPr>
            <w:tcW w:w="587" w:type="dxa"/>
          </w:tcPr>
          <w:p>
            <w:pPr>
              <w:pStyle w:val="TableParagraph"/>
              <w:spacing w:line="273" w:lineRule="exact"/>
              <w:ind w:left="108"/>
              <w:rPr>
                <w:b/>
                <w:sz w:val="21"/>
              </w:rPr>
            </w:pPr>
            <w:r>
              <w:rPr>
                <w:b/>
                <w:sz w:val="21"/>
              </w:rPr>
              <w:t>3.3</w:t>
            </w:r>
          </w:p>
        </w:tc>
        <w:tc>
          <w:tcPr>
            <w:tcW w:w="8811" w:type="dxa"/>
          </w:tcPr>
          <w:p>
            <w:pPr>
              <w:pStyle w:val="TableParagraph"/>
              <w:spacing w:line="273" w:lineRule="exact"/>
              <w:ind w:left="162"/>
              <w:rPr>
                <w:b/>
                <w:sz w:val="21"/>
              </w:rPr>
            </w:pPr>
            <w:r>
              <w:rPr>
                <w:b/>
                <w:sz w:val="21"/>
              </w:rPr>
              <w:t>宽限期</w:t>
            </w:r>
          </w:p>
          <w:p>
            <w:pPr>
              <w:pStyle w:val="TableParagraph"/>
              <w:spacing w:before="66"/>
              <w:ind w:left="162"/>
              <w:rPr>
                <w:sz w:val="21"/>
              </w:rPr>
            </w:pPr>
            <w:r>
              <w:rPr>
                <w:sz w:val="21"/>
              </w:rPr>
              <w:t>若主险合同进入宽限期，则本附加险合同进入宽限期。</w:t>
            </w:r>
          </w:p>
          <w:p>
            <w:pPr>
              <w:pStyle w:val="TableParagraph"/>
              <w:spacing w:line="297" w:lineRule="auto" w:before="66"/>
              <w:ind w:left="162" w:right="103"/>
              <w:rPr>
                <w:sz w:val="21"/>
              </w:rPr>
            </w:pPr>
            <w:r>
              <w:rPr>
                <w:spacing w:val="-7"/>
                <w:sz w:val="21"/>
              </w:rPr>
              <w:t>宽限期内发生保险事故的，本公司仍承担本附加险合同的保险责任，但在给付保险金时，须扣</w:t>
            </w:r>
            <w:r>
              <w:rPr>
                <w:spacing w:val="-3"/>
                <w:sz w:val="21"/>
              </w:rPr>
              <w:t>除欠交的主险合同的保单管理费和主险合同的风险保险费及其附加险合同的风险保险费。</w:t>
            </w:r>
          </w:p>
          <w:p>
            <w:pPr>
              <w:pStyle w:val="TableParagraph"/>
              <w:spacing w:before="15"/>
              <w:ind w:left="162"/>
              <w:rPr>
                <w:sz w:val="21"/>
              </w:rPr>
            </w:pPr>
            <w:r>
              <w:rPr>
                <w:sz w:val="21"/>
              </w:rPr>
              <w:t>如果宽限期结束时投保人仍未交纳保险费，自宽限期结束日的次日零时起主、附险合同效力中</w:t>
            </w:r>
          </w:p>
          <w:p>
            <w:pPr>
              <w:pStyle w:val="TableParagraph"/>
              <w:spacing w:before="65"/>
              <w:ind w:left="162"/>
              <w:rPr>
                <w:sz w:val="21"/>
              </w:rPr>
            </w:pPr>
            <w:r>
              <w:rPr>
                <w:sz w:val="21"/>
              </w:rPr>
              <w:t>止。在本附加险合同效力中止期间，本公司不承担本附加险的保险责任。</w:t>
            </w:r>
          </w:p>
        </w:tc>
      </w:tr>
      <w:tr>
        <w:trPr>
          <w:trHeight w:val="2723" w:hRule="atLeast"/>
        </w:trPr>
        <w:tc>
          <w:tcPr>
            <w:tcW w:w="587" w:type="dxa"/>
          </w:tcPr>
          <w:p>
            <w:pPr>
              <w:pStyle w:val="TableParagraph"/>
              <w:spacing w:line="272" w:lineRule="exact"/>
              <w:ind w:left="108"/>
              <w:rPr>
                <w:b/>
                <w:sz w:val="21"/>
              </w:rPr>
            </w:pPr>
            <w:r>
              <w:rPr>
                <w:b/>
                <w:sz w:val="21"/>
              </w:rPr>
              <w:t>3.4</w:t>
            </w:r>
          </w:p>
        </w:tc>
        <w:tc>
          <w:tcPr>
            <w:tcW w:w="8811" w:type="dxa"/>
          </w:tcPr>
          <w:p>
            <w:pPr>
              <w:pStyle w:val="TableParagraph"/>
              <w:spacing w:line="272" w:lineRule="exact"/>
              <w:ind w:left="162"/>
              <w:rPr>
                <w:b/>
                <w:sz w:val="21"/>
              </w:rPr>
            </w:pPr>
            <w:r>
              <w:rPr>
                <w:b/>
                <w:sz w:val="21"/>
              </w:rPr>
              <w:t>合同效力中止</w:t>
            </w:r>
          </w:p>
          <w:p>
            <w:pPr>
              <w:pStyle w:val="TableParagraph"/>
              <w:spacing w:before="66"/>
              <w:ind w:left="162"/>
              <w:rPr>
                <w:sz w:val="21"/>
              </w:rPr>
            </w:pPr>
            <w:r>
              <w:rPr>
                <w:sz w:val="21"/>
              </w:rPr>
              <w:t>发生下列情况之一时，本附加险合同效力中止：</w:t>
            </w:r>
          </w:p>
          <w:p>
            <w:pPr>
              <w:pStyle w:val="TableParagraph"/>
              <w:numPr>
                <w:ilvl w:val="0"/>
                <w:numId w:val="8"/>
              </w:numPr>
              <w:tabs>
                <w:tab w:pos="583" w:val="left" w:leader="none"/>
              </w:tabs>
              <w:spacing w:line="297" w:lineRule="auto" w:before="66" w:after="0"/>
              <w:ind w:left="582" w:right="103" w:hanging="420"/>
              <w:jc w:val="both"/>
              <w:rPr>
                <w:sz w:val="21"/>
              </w:rPr>
            </w:pPr>
            <w:r>
              <w:rPr>
                <w:spacing w:val="-16"/>
                <w:sz w:val="21"/>
              </w:rPr>
              <w:t>在第 </w:t>
            </w:r>
            <w:r>
              <w:rPr>
                <w:sz w:val="21"/>
              </w:rPr>
              <w:t>1</w:t>
            </w:r>
            <w:r>
              <w:rPr>
                <w:spacing w:val="-33"/>
                <w:sz w:val="21"/>
              </w:rPr>
              <w:t> 至 </w:t>
            </w:r>
            <w:r>
              <w:rPr>
                <w:sz w:val="21"/>
              </w:rPr>
              <w:t>10</w:t>
            </w:r>
            <w:r>
              <w:rPr>
                <w:spacing w:val="-15"/>
                <w:sz w:val="21"/>
              </w:rPr>
              <w:t> 个保单年度内，若投保人在主险合同的期交保险费约定交纳日及其后 </w:t>
            </w:r>
            <w:r>
              <w:rPr>
                <w:sz w:val="21"/>
              </w:rPr>
              <w:t>60</w:t>
            </w:r>
            <w:r>
              <w:rPr>
                <w:spacing w:val="-17"/>
                <w:sz w:val="21"/>
              </w:rPr>
              <w:t> 日内</w:t>
            </w:r>
            <w:r>
              <w:rPr>
                <w:spacing w:val="-8"/>
                <w:sz w:val="21"/>
              </w:rPr>
              <w:t>未交纳该期主险合同期交保险费，则自主险合同期交保险费约定交纳日之后第 </w:t>
            </w:r>
            <w:r>
              <w:rPr>
                <w:sz w:val="21"/>
              </w:rPr>
              <w:t>60</w:t>
            </w:r>
            <w:r>
              <w:rPr>
                <w:spacing w:val="-12"/>
                <w:sz w:val="21"/>
              </w:rPr>
              <w:t> 日次日</w:t>
            </w:r>
            <w:r>
              <w:rPr>
                <w:spacing w:val="-6"/>
                <w:sz w:val="21"/>
              </w:rPr>
              <w:t>零时起，本附加险合同效力中止；</w:t>
            </w:r>
          </w:p>
          <w:p>
            <w:pPr>
              <w:pStyle w:val="TableParagraph"/>
              <w:numPr>
                <w:ilvl w:val="0"/>
                <w:numId w:val="8"/>
              </w:numPr>
              <w:tabs>
                <w:tab w:pos="582" w:val="left" w:leader="none"/>
                <w:tab w:pos="583" w:val="left" w:leader="none"/>
              </w:tabs>
              <w:spacing w:line="240" w:lineRule="auto" w:before="16" w:after="0"/>
              <w:ind w:left="582" w:right="0" w:hanging="420"/>
              <w:jc w:val="left"/>
              <w:rPr>
                <w:sz w:val="21"/>
              </w:rPr>
            </w:pPr>
            <w:r>
              <w:rPr>
                <w:spacing w:val="-8"/>
                <w:sz w:val="21"/>
              </w:rPr>
              <w:t>本附加险条款第 </w:t>
            </w:r>
            <w:r>
              <w:rPr>
                <w:sz w:val="21"/>
              </w:rPr>
              <w:t>3.3</w:t>
            </w:r>
            <w:r>
              <w:rPr>
                <w:spacing w:val="-8"/>
                <w:sz w:val="21"/>
              </w:rPr>
              <w:t> 条约定的合同效力中止情况；</w:t>
            </w:r>
          </w:p>
          <w:p>
            <w:pPr>
              <w:pStyle w:val="TableParagraph"/>
              <w:numPr>
                <w:ilvl w:val="0"/>
                <w:numId w:val="8"/>
              </w:numPr>
              <w:tabs>
                <w:tab w:pos="582" w:val="left" w:leader="none"/>
                <w:tab w:pos="583" w:val="left" w:leader="none"/>
              </w:tabs>
              <w:spacing w:line="240" w:lineRule="auto" w:before="63" w:after="0"/>
              <w:ind w:left="582" w:right="0" w:hanging="420"/>
              <w:jc w:val="left"/>
              <w:rPr>
                <w:sz w:val="21"/>
              </w:rPr>
            </w:pPr>
            <w:r>
              <w:rPr>
                <w:spacing w:val="-3"/>
                <w:sz w:val="21"/>
              </w:rPr>
              <w:t>主险合同效力中止，本附加险合同效力同时中止。</w:t>
            </w:r>
          </w:p>
          <w:p>
            <w:pPr>
              <w:pStyle w:val="TableParagraph"/>
              <w:spacing w:before="65"/>
              <w:ind w:left="162"/>
              <w:rPr>
                <w:sz w:val="21"/>
              </w:rPr>
            </w:pPr>
            <w:r>
              <w:rPr>
                <w:sz w:val="21"/>
              </w:rPr>
              <w:t>在本附加险合同效力中止期间，本公司不承担本附加险的保险责任。</w:t>
            </w:r>
          </w:p>
        </w:tc>
      </w:tr>
      <w:tr>
        <w:trPr>
          <w:trHeight w:val="957" w:hRule="atLeast"/>
        </w:trPr>
        <w:tc>
          <w:tcPr>
            <w:tcW w:w="587" w:type="dxa"/>
          </w:tcPr>
          <w:p>
            <w:pPr>
              <w:pStyle w:val="TableParagraph"/>
              <w:spacing w:line="273" w:lineRule="exact"/>
              <w:ind w:left="108"/>
              <w:rPr>
                <w:b/>
                <w:sz w:val="21"/>
              </w:rPr>
            </w:pPr>
            <w:r>
              <w:rPr>
                <w:b/>
                <w:sz w:val="21"/>
              </w:rPr>
              <w:t>3.5</w:t>
            </w:r>
          </w:p>
        </w:tc>
        <w:tc>
          <w:tcPr>
            <w:tcW w:w="8811" w:type="dxa"/>
          </w:tcPr>
          <w:p>
            <w:pPr>
              <w:pStyle w:val="TableParagraph"/>
              <w:spacing w:line="273" w:lineRule="exact"/>
              <w:ind w:left="162"/>
              <w:rPr>
                <w:b/>
                <w:sz w:val="21"/>
              </w:rPr>
            </w:pPr>
            <w:r>
              <w:rPr>
                <w:b/>
                <w:sz w:val="21"/>
              </w:rPr>
              <w:t>合同效力恢复</w:t>
            </w:r>
          </w:p>
          <w:p>
            <w:pPr>
              <w:pStyle w:val="TableParagraph"/>
              <w:spacing w:before="66"/>
              <w:ind w:left="162"/>
              <w:rPr>
                <w:sz w:val="21"/>
              </w:rPr>
            </w:pPr>
            <w:r>
              <w:rPr>
                <w:sz w:val="21"/>
              </w:rPr>
              <w:t>自本附加险合同效力中止之日起 2 年内，投保人可向本公司申请恢复合同效力。</w:t>
            </w:r>
          </w:p>
          <w:p>
            <w:pPr>
              <w:pStyle w:val="TableParagraph"/>
              <w:spacing w:line="258" w:lineRule="exact" w:before="66"/>
              <w:ind w:left="162"/>
              <w:rPr>
                <w:sz w:val="21"/>
              </w:rPr>
            </w:pPr>
            <w:r>
              <w:rPr>
                <w:sz w:val="21"/>
              </w:rPr>
              <w:t>经本公司与投保人协商并达成协议，自投保人补交所欠的主险合同的保险费的次日零时起，本</w:t>
            </w:r>
          </w:p>
        </w:tc>
      </w:tr>
    </w:tbl>
    <w:p>
      <w:pPr>
        <w:spacing w:after="0" w:line="258" w:lineRule="exact"/>
        <w:rPr>
          <w:sz w:val="21"/>
        </w:rPr>
        <w:sectPr>
          <w:pgSz w:w="11910" w:h="16840"/>
          <w:pgMar w:header="0" w:footer="925" w:top="1260" w:bottom="112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7"/>
        <w:gridCol w:w="8811"/>
      </w:tblGrid>
      <w:tr>
        <w:trPr>
          <w:trHeight w:val="957" w:hRule="atLeast"/>
        </w:trPr>
        <w:tc>
          <w:tcPr>
            <w:tcW w:w="587" w:type="dxa"/>
          </w:tcPr>
          <w:p>
            <w:pPr>
              <w:pStyle w:val="TableParagraph"/>
              <w:ind w:left="0"/>
              <w:rPr>
                <w:rFonts w:ascii="Times New Roman"/>
                <w:sz w:val="20"/>
              </w:rPr>
            </w:pPr>
          </w:p>
        </w:tc>
        <w:tc>
          <w:tcPr>
            <w:tcW w:w="8811" w:type="dxa"/>
          </w:tcPr>
          <w:p>
            <w:pPr>
              <w:pStyle w:val="TableParagraph"/>
              <w:spacing w:line="208" w:lineRule="exact"/>
              <w:ind w:left="162"/>
              <w:rPr>
                <w:sz w:val="21"/>
              </w:rPr>
            </w:pPr>
            <w:r>
              <w:rPr>
                <w:spacing w:val="-9"/>
                <w:sz w:val="21"/>
              </w:rPr>
              <w:t>附加险合同效力恢复。但是，自本附加险合同效力中止之日起满 </w:t>
            </w:r>
            <w:r>
              <w:rPr>
                <w:sz w:val="21"/>
              </w:rPr>
              <w:t>2</w:t>
            </w:r>
            <w:r>
              <w:rPr>
                <w:spacing w:val="-8"/>
                <w:sz w:val="21"/>
              </w:rPr>
              <w:t> 年双方未达成协议的，本公</w:t>
            </w:r>
          </w:p>
          <w:p>
            <w:pPr>
              <w:pStyle w:val="TableParagraph"/>
              <w:spacing w:before="66"/>
              <w:ind w:left="162"/>
              <w:rPr>
                <w:sz w:val="21"/>
              </w:rPr>
            </w:pPr>
            <w:r>
              <w:rPr>
                <w:sz w:val="21"/>
              </w:rPr>
              <w:t>司有权解除本附加险合同，本附加险合同自解除之日起合同效力终止。</w:t>
            </w:r>
          </w:p>
          <w:p>
            <w:pPr>
              <w:pStyle w:val="TableParagraph"/>
              <w:spacing w:before="66"/>
              <w:ind w:left="162"/>
              <w:rPr>
                <w:sz w:val="21"/>
              </w:rPr>
            </w:pPr>
            <w:r>
              <w:rPr>
                <w:sz w:val="21"/>
              </w:rPr>
              <w:t>主险合同效力中止期间，本公司不接受单独恢复本附加险合同效力的申请。</w:t>
            </w:r>
          </w:p>
        </w:tc>
      </w:tr>
      <w:tr>
        <w:trPr>
          <w:trHeight w:val="1736" w:hRule="atLeast"/>
        </w:trPr>
        <w:tc>
          <w:tcPr>
            <w:tcW w:w="587" w:type="dxa"/>
          </w:tcPr>
          <w:p>
            <w:pPr>
              <w:pStyle w:val="TableParagraph"/>
              <w:spacing w:line="273" w:lineRule="exact"/>
              <w:ind w:left="108"/>
              <w:rPr>
                <w:b/>
                <w:sz w:val="21"/>
              </w:rPr>
            </w:pPr>
            <w:r>
              <w:rPr>
                <w:b/>
                <w:sz w:val="21"/>
              </w:rPr>
              <w:t>3.6</w:t>
            </w:r>
          </w:p>
        </w:tc>
        <w:tc>
          <w:tcPr>
            <w:tcW w:w="8811" w:type="dxa"/>
          </w:tcPr>
          <w:p>
            <w:pPr>
              <w:pStyle w:val="TableParagraph"/>
              <w:spacing w:line="273" w:lineRule="exact"/>
              <w:ind w:left="162"/>
              <w:rPr>
                <w:b/>
                <w:sz w:val="21"/>
              </w:rPr>
            </w:pPr>
            <w:r>
              <w:rPr>
                <w:b/>
                <w:sz w:val="21"/>
              </w:rPr>
              <w:t>解除合同的手续</w:t>
            </w:r>
          </w:p>
          <w:p>
            <w:pPr>
              <w:pStyle w:val="TableParagraph"/>
              <w:spacing w:before="66"/>
              <w:ind w:left="162"/>
              <w:rPr>
                <w:sz w:val="21"/>
              </w:rPr>
            </w:pPr>
            <w:r>
              <w:rPr>
                <w:sz w:val="21"/>
              </w:rPr>
              <w:t>如投保人犹豫期后申请解除本附加险合同，应填写解除合同申请书并向本公司提供下列资料：</w:t>
            </w:r>
          </w:p>
          <w:p>
            <w:pPr>
              <w:pStyle w:val="TableParagraph"/>
              <w:numPr>
                <w:ilvl w:val="0"/>
                <w:numId w:val="9"/>
              </w:numPr>
              <w:tabs>
                <w:tab w:pos="582" w:val="left" w:leader="none"/>
                <w:tab w:pos="583" w:val="left" w:leader="none"/>
              </w:tabs>
              <w:spacing w:line="240" w:lineRule="auto" w:before="63" w:after="0"/>
              <w:ind w:left="582" w:right="0" w:hanging="420"/>
              <w:jc w:val="left"/>
              <w:rPr>
                <w:sz w:val="21"/>
              </w:rPr>
            </w:pPr>
            <w:r>
              <w:rPr>
                <w:spacing w:val="-1"/>
                <w:sz w:val="21"/>
              </w:rPr>
              <w:t>保险合同；</w:t>
            </w:r>
          </w:p>
          <w:p>
            <w:pPr>
              <w:pStyle w:val="TableParagraph"/>
              <w:numPr>
                <w:ilvl w:val="0"/>
                <w:numId w:val="9"/>
              </w:numPr>
              <w:tabs>
                <w:tab w:pos="582" w:val="left" w:leader="none"/>
                <w:tab w:pos="583" w:val="left" w:leader="none"/>
              </w:tabs>
              <w:spacing w:line="240" w:lineRule="auto" w:before="65" w:after="0"/>
              <w:ind w:left="582" w:right="0" w:hanging="420"/>
              <w:jc w:val="left"/>
              <w:rPr>
                <w:sz w:val="21"/>
              </w:rPr>
            </w:pPr>
            <w:r>
              <w:rPr>
                <w:spacing w:val="-3"/>
                <w:sz w:val="21"/>
              </w:rPr>
              <w:t>投保人的有效身份证件。</w:t>
            </w:r>
          </w:p>
          <w:p>
            <w:pPr>
              <w:pStyle w:val="TableParagraph"/>
              <w:spacing w:before="65"/>
              <w:ind w:left="162"/>
              <w:rPr>
                <w:sz w:val="21"/>
              </w:rPr>
            </w:pPr>
            <w:r>
              <w:rPr>
                <w:sz w:val="21"/>
              </w:rPr>
              <w:t>自本公司收到解除本附加险合同申请书时起，本附加险合同效力终止。</w:t>
            </w:r>
          </w:p>
        </w:tc>
      </w:tr>
      <w:tr>
        <w:trPr>
          <w:trHeight w:val="388" w:hRule="atLeast"/>
        </w:trPr>
        <w:tc>
          <w:tcPr>
            <w:tcW w:w="587" w:type="dxa"/>
            <w:shd w:val="clear" w:color="auto" w:fill="CCCCCC"/>
          </w:tcPr>
          <w:p>
            <w:pPr>
              <w:pStyle w:val="TableParagraph"/>
              <w:spacing w:line="273" w:lineRule="exact"/>
              <w:ind w:left="108"/>
              <w:rPr>
                <w:b/>
                <w:sz w:val="24"/>
              </w:rPr>
            </w:pPr>
            <w:r>
              <w:rPr>
                <w:b/>
                <w:w w:val="99"/>
                <w:sz w:val="24"/>
              </w:rPr>
              <w:t>4</w:t>
            </w:r>
          </w:p>
        </w:tc>
        <w:tc>
          <w:tcPr>
            <w:tcW w:w="8811" w:type="dxa"/>
            <w:shd w:val="clear" w:color="auto" w:fill="CCCCCC"/>
          </w:tcPr>
          <w:p>
            <w:pPr>
              <w:pStyle w:val="TableParagraph"/>
              <w:spacing w:line="273" w:lineRule="exact"/>
              <w:ind w:left="162"/>
              <w:rPr>
                <w:b/>
                <w:sz w:val="24"/>
              </w:rPr>
            </w:pPr>
            <w:r>
              <w:rPr>
                <w:b/>
                <w:w w:val="95"/>
                <w:sz w:val="24"/>
              </w:rPr>
              <w:t>风险保险费</w:t>
            </w:r>
          </w:p>
        </w:tc>
      </w:tr>
      <w:tr>
        <w:trPr>
          <w:trHeight w:val="2724" w:hRule="atLeast"/>
        </w:trPr>
        <w:tc>
          <w:tcPr>
            <w:tcW w:w="587" w:type="dxa"/>
          </w:tcPr>
          <w:p>
            <w:pPr>
              <w:pStyle w:val="TableParagraph"/>
              <w:spacing w:line="238" w:lineRule="exact"/>
              <w:ind w:left="108"/>
              <w:rPr>
                <w:b/>
                <w:sz w:val="21"/>
              </w:rPr>
            </w:pPr>
            <w:r>
              <w:rPr>
                <w:b/>
                <w:sz w:val="21"/>
              </w:rPr>
              <w:t>4.1</w:t>
            </w:r>
          </w:p>
        </w:tc>
        <w:tc>
          <w:tcPr>
            <w:tcW w:w="8811" w:type="dxa"/>
          </w:tcPr>
          <w:p>
            <w:pPr>
              <w:pStyle w:val="TableParagraph"/>
              <w:spacing w:line="238" w:lineRule="exact"/>
              <w:ind w:left="162"/>
              <w:rPr>
                <w:b/>
                <w:sz w:val="21"/>
              </w:rPr>
            </w:pPr>
            <w:r>
              <w:rPr>
                <w:b/>
                <w:sz w:val="21"/>
              </w:rPr>
              <w:t>风险保险费</w:t>
            </w:r>
          </w:p>
          <w:p>
            <w:pPr>
              <w:pStyle w:val="TableParagraph"/>
              <w:spacing w:line="297" w:lineRule="auto" w:before="66"/>
              <w:ind w:left="162" w:right="103"/>
              <w:jc w:val="both"/>
              <w:rPr>
                <w:sz w:val="21"/>
              </w:rPr>
            </w:pPr>
            <w:r>
              <w:rPr>
                <w:spacing w:val="-6"/>
                <w:sz w:val="21"/>
              </w:rPr>
              <w:t>指为被保险人提供本附加险重大疾病保障利益而收取的保险费。本附加险合同的风险保险费根</w:t>
            </w:r>
            <w:r>
              <w:rPr>
                <w:spacing w:val="-10"/>
                <w:sz w:val="21"/>
              </w:rPr>
              <w:t>据被保险人的年龄、性别、基本保险金额和风险状况进行确定，收费标准参见附表《每千元基</w:t>
            </w:r>
            <w:r>
              <w:rPr>
                <w:spacing w:val="-11"/>
                <w:sz w:val="21"/>
              </w:rPr>
              <w:t>本保险金额的月重大疾病风险保险费表》。若根据被保险人的风险状况需要增加本附加险合同</w:t>
            </w:r>
            <w:r>
              <w:rPr>
                <w:spacing w:val="-3"/>
                <w:sz w:val="21"/>
              </w:rPr>
              <w:t>的风险保险费的，本公司将会在保险单上载明、批注或附贴批单。</w:t>
            </w:r>
          </w:p>
          <w:p>
            <w:pPr>
              <w:pStyle w:val="TableParagraph"/>
              <w:spacing w:line="297" w:lineRule="auto" w:before="15"/>
              <w:ind w:left="162" w:right="103"/>
              <w:jc w:val="both"/>
              <w:rPr>
                <w:sz w:val="21"/>
              </w:rPr>
            </w:pPr>
            <w:r>
              <w:rPr>
                <w:spacing w:val="-8"/>
                <w:sz w:val="21"/>
              </w:rPr>
              <w:t>本公司将在本附加险合同生效后，在主险合同的每个结算日与主险合同的风险保险费一起从主险合同的个人账户中扣除上月本附加险合同的风险保险费。不满整月的风险保险费按照该月整</w:t>
            </w:r>
            <w:r>
              <w:rPr>
                <w:spacing w:val="-3"/>
                <w:sz w:val="21"/>
              </w:rPr>
              <w:t>月风险保险费</w:t>
            </w:r>
            <w:r>
              <w:rPr>
                <w:rFonts w:ascii="Times New Roman" w:hAnsi="Times New Roman" w:eastAsia="Times New Roman"/>
                <w:sz w:val="21"/>
              </w:rPr>
              <w:t>×</w:t>
            </w:r>
            <w:r>
              <w:rPr>
                <w:spacing w:val="-3"/>
                <w:sz w:val="21"/>
              </w:rPr>
              <w:t>当月实际经过天数</w:t>
            </w:r>
            <w:r>
              <w:rPr>
                <w:rFonts w:ascii="Times New Roman" w:hAnsi="Times New Roman" w:eastAsia="Times New Roman"/>
                <w:spacing w:val="-4"/>
                <w:sz w:val="21"/>
              </w:rPr>
              <w:t>/</w:t>
            </w:r>
            <w:r>
              <w:rPr>
                <w:spacing w:val="-3"/>
                <w:sz w:val="21"/>
              </w:rPr>
              <w:t>当月天数收取。</w:t>
            </w:r>
          </w:p>
        </w:tc>
      </w:tr>
      <w:tr>
        <w:trPr>
          <w:trHeight w:val="388" w:hRule="atLeast"/>
        </w:trPr>
        <w:tc>
          <w:tcPr>
            <w:tcW w:w="587" w:type="dxa"/>
            <w:shd w:val="clear" w:color="auto" w:fill="CCCCCC"/>
          </w:tcPr>
          <w:p>
            <w:pPr>
              <w:pStyle w:val="TableParagraph"/>
              <w:spacing w:line="273" w:lineRule="exact"/>
              <w:ind w:left="108"/>
              <w:rPr>
                <w:b/>
                <w:sz w:val="24"/>
              </w:rPr>
            </w:pPr>
            <w:r>
              <w:rPr>
                <w:b/>
                <w:w w:val="99"/>
                <w:sz w:val="24"/>
              </w:rPr>
              <w:t>5</w:t>
            </w:r>
          </w:p>
        </w:tc>
        <w:tc>
          <w:tcPr>
            <w:tcW w:w="8811" w:type="dxa"/>
            <w:shd w:val="clear" w:color="auto" w:fill="CCCCCC"/>
          </w:tcPr>
          <w:p>
            <w:pPr>
              <w:pStyle w:val="TableParagraph"/>
              <w:spacing w:line="273" w:lineRule="exact"/>
              <w:ind w:left="162"/>
              <w:rPr>
                <w:b/>
                <w:sz w:val="24"/>
              </w:rPr>
            </w:pPr>
            <w:r>
              <w:rPr>
                <w:b/>
                <w:w w:val="95"/>
                <w:sz w:val="24"/>
              </w:rPr>
              <w:t>保险金的申请及给付</w:t>
            </w:r>
          </w:p>
        </w:tc>
      </w:tr>
      <w:tr>
        <w:trPr>
          <w:trHeight w:val="2007" w:hRule="atLeast"/>
        </w:trPr>
        <w:tc>
          <w:tcPr>
            <w:tcW w:w="587" w:type="dxa"/>
          </w:tcPr>
          <w:p>
            <w:pPr>
              <w:pStyle w:val="TableParagraph"/>
              <w:spacing w:line="238" w:lineRule="exact"/>
              <w:ind w:left="108"/>
              <w:rPr>
                <w:b/>
                <w:sz w:val="21"/>
              </w:rPr>
            </w:pPr>
            <w:r>
              <w:rPr>
                <w:b/>
                <w:sz w:val="21"/>
              </w:rPr>
              <w:t>5.1</w:t>
            </w:r>
          </w:p>
        </w:tc>
        <w:tc>
          <w:tcPr>
            <w:tcW w:w="8811" w:type="dxa"/>
          </w:tcPr>
          <w:p>
            <w:pPr>
              <w:pStyle w:val="TableParagraph"/>
              <w:spacing w:line="238" w:lineRule="exact"/>
              <w:ind w:left="162"/>
              <w:rPr>
                <w:b/>
                <w:sz w:val="21"/>
              </w:rPr>
            </w:pPr>
            <w:r>
              <w:rPr>
                <w:b/>
                <w:sz w:val="21"/>
              </w:rPr>
              <w:t>保险事故通知</w:t>
            </w:r>
          </w:p>
          <w:p>
            <w:pPr>
              <w:pStyle w:val="TableParagraph"/>
              <w:spacing w:before="66"/>
              <w:ind w:left="162"/>
              <w:rPr>
                <w:sz w:val="21"/>
              </w:rPr>
            </w:pPr>
            <w:r>
              <w:rPr>
                <w:sz w:val="21"/>
              </w:rPr>
              <w:t>投保人、被保险人或受益人知道保险事故发生后应当在 10 日内通知本公司。</w:t>
            </w:r>
          </w:p>
          <w:p>
            <w:pPr>
              <w:pStyle w:val="TableParagraph"/>
              <w:spacing w:line="297" w:lineRule="auto" w:before="66"/>
              <w:ind w:left="162"/>
              <w:rPr>
                <w:sz w:val="21"/>
              </w:rPr>
            </w:pPr>
            <w:r>
              <w:rPr>
                <w:spacing w:val="-13"/>
                <w:sz w:val="21"/>
              </w:rPr>
              <w:t>如果投保人、被保险人或受益人故意或者因重大过失未及时通知，致使保险事故的性质、原因、</w:t>
            </w:r>
            <w:r>
              <w:rPr>
                <w:spacing w:val="-10"/>
                <w:sz w:val="21"/>
              </w:rPr>
              <w:t>损失程度等难以确定的，本公司对无法确定的部分，不承担给付保险金的责任，但本公司通过</w:t>
            </w:r>
            <w:r>
              <w:rPr>
                <w:spacing w:val="-5"/>
                <w:sz w:val="21"/>
              </w:rPr>
              <w:t>其他途径已经及时知道或者应当及时知道保险事故发生或者虽未及时通知但不影响本公司确 </w:t>
            </w:r>
            <w:r>
              <w:rPr>
                <w:spacing w:val="-4"/>
                <w:sz w:val="21"/>
              </w:rPr>
              <w:t>定保险事故的性质、原因、损失程度的除外。</w:t>
            </w:r>
          </w:p>
        </w:tc>
      </w:tr>
      <w:tr>
        <w:trPr>
          <w:trHeight w:val="341" w:hRule="atLeast"/>
        </w:trPr>
        <w:tc>
          <w:tcPr>
            <w:tcW w:w="587" w:type="dxa"/>
          </w:tcPr>
          <w:p>
            <w:pPr>
              <w:pStyle w:val="TableParagraph"/>
              <w:spacing w:line="273" w:lineRule="exact"/>
              <w:ind w:left="108"/>
              <w:rPr>
                <w:b/>
                <w:sz w:val="21"/>
              </w:rPr>
            </w:pPr>
            <w:r>
              <w:rPr>
                <w:b/>
                <w:sz w:val="21"/>
              </w:rPr>
              <w:t>5.2</w:t>
            </w:r>
          </w:p>
        </w:tc>
        <w:tc>
          <w:tcPr>
            <w:tcW w:w="8811" w:type="dxa"/>
          </w:tcPr>
          <w:p>
            <w:pPr>
              <w:pStyle w:val="TableParagraph"/>
              <w:spacing w:line="273" w:lineRule="exact"/>
              <w:ind w:left="162"/>
              <w:rPr>
                <w:sz w:val="21"/>
              </w:rPr>
            </w:pPr>
            <w:r>
              <w:rPr>
                <w:b/>
                <w:sz w:val="21"/>
              </w:rPr>
              <w:t>受益人 </w:t>
            </w:r>
            <w:r>
              <w:rPr>
                <w:sz w:val="21"/>
              </w:rPr>
              <w:t>除合同另有约定外，重大疾病保险金的受益人为被保险人本人。</w:t>
            </w:r>
          </w:p>
        </w:tc>
      </w:tr>
      <w:tr>
        <w:trPr>
          <w:trHeight w:val="340" w:hRule="atLeast"/>
        </w:trPr>
        <w:tc>
          <w:tcPr>
            <w:tcW w:w="587" w:type="dxa"/>
          </w:tcPr>
          <w:p>
            <w:pPr>
              <w:pStyle w:val="TableParagraph"/>
              <w:spacing w:line="273" w:lineRule="exact"/>
              <w:ind w:left="108"/>
              <w:rPr>
                <w:b/>
                <w:sz w:val="21"/>
              </w:rPr>
            </w:pPr>
            <w:r>
              <w:rPr>
                <w:b/>
                <w:sz w:val="21"/>
              </w:rPr>
              <w:t>5.3</w:t>
            </w:r>
          </w:p>
        </w:tc>
        <w:tc>
          <w:tcPr>
            <w:tcW w:w="8811" w:type="dxa"/>
          </w:tcPr>
          <w:p>
            <w:pPr>
              <w:pStyle w:val="TableParagraph"/>
              <w:spacing w:line="273" w:lineRule="exact"/>
              <w:ind w:left="162"/>
              <w:rPr>
                <w:sz w:val="21"/>
              </w:rPr>
            </w:pPr>
            <w:r>
              <w:rPr>
                <w:b/>
                <w:sz w:val="21"/>
              </w:rPr>
              <w:t>保险金申请资料 </w:t>
            </w:r>
            <w:r>
              <w:rPr>
                <w:sz w:val="21"/>
              </w:rPr>
              <w:t>申请人应提供下列资料，本公司有权保留申请资料的原件或复印件：</w:t>
            </w:r>
          </w:p>
        </w:tc>
      </w:tr>
      <w:tr>
        <w:trPr>
          <w:trHeight w:val="2042" w:hRule="atLeast"/>
        </w:trPr>
        <w:tc>
          <w:tcPr>
            <w:tcW w:w="587" w:type="dxa"/>
          </w:tcPr>
          <w:p>
            <w:pPr>
              <w:pStyle w:val="TableParagraph"/>
              <w:ind w:left="0"/>
              <w:rPr>
                <w:rFonts w:ascii="Times New Roman"/>
                <w:sz w:val="20"/>
              </w:rPr>
            </w:pPr>
          </w:p>
        </w:tc>
        <w:tc>
          <w:tcPr>
            <w:tcW w:w="8811" w:type="dxa"/>
          </w:tcPr>
          <w:p>
            <w:pPr>
              <w:pStyle w:val="TableParagraph"/>
              <w:spacing w:line="273" w:lineRule="exact"/>
              <w:ind w:left="162"/>
              <w:rPr>
                <w:b/>
                <w:sz w:val="21"/>
              </w:rPr>
            </w:pPr>
            <w:r>
              <w:rPr>
                <w:b/>
                <w:sz w:val="21"/>
              </w:rPr>
              <w:t>重大疾病保险金</w:t>
            </w:r>
          </w:p>
          <w:p>
            <w:pPr>
              <w:pStyle w:val="TableParagraph"/>
              <w:numPr>
                <w:ilvl w:val="0"/>
                <w:numId w:val="10"/>
              </w:numPr>
              <w:tabs>
                <w:tab w:pos="582" w:val="left" w:leader="none"/>
                <w:tab w:pos="583" w:val="left" w:leader="none"/>
              </w:tabs>
              <w:spacing w:line="240" w:lineRule="auto" w:before="66" w:after="0"/>
              <w:ind w:left="582" w:right="0" w:hanging="420"/>
              <w:jc w:val="left"/>
              <w:rPr>
                <w:sz w:val="21"/>
              </w:rPr>
            </w:pPr>
            <w:r>
              <w:rPr>
                <w:spacing w:val="-3"/>
                <w:sz w:val="21"/>
              </w:rPr>
              <w:t>申请人和受益人的有效身份证件；</w:t>
            </w:r>
          </w:p>
          <w:p>
            <w:pPr>
              <w:pStyle w:val="TableParagraph"/>
              <w:numPr>
                <w:ilvl w:val="0"/>
                <w:numId w:val="10"/>
              </w:numPr>
              <w:tabs>
                <w:tab w:pos="582" w:val="left" w:leader="none"/>
                <w:tab w:pos="583" w:val="left" w:leader="none"/>
              </w:tabs>
              <w:spacing w:line="297" w:lineRule="auto" w:before="63" w:after="0"/>
              <w:ind w:left="582" w:right="34" w:hanging="420"/>
              <w:jc w:val="left"/>
              <w:rPr>
                <w:sz w:val="21"/>
              </w:rPr>
            </w:pPr>
            <w:r>
              <w:rPr>
                <w:spacing w:val="-7"/>
                <w:sz w:val="21"/>
              </w:rPr>
              <w:t>由本公司认可的医院专科医生出具的疾病诊断证明书、病历记录，以及由本公司认可的医</w:t>
            </w:r>
            <w:r>
              <w:rPr>
                <w:spacing w:val="-3"/>
                <w:sz w:val="21"/>
              </w:rPr>
              <w:t>院出具的确诊疾病必需的病理显微镜检查、血液检查、影像学检查及其他科学检验报告；</w:t>
            </w:r>
          </w:p>
          <w:p>
            <w:pPr>
              <w:pStyle w:val="TableParagraph"/>
              <w:numPr>
                <w:ilvl w:val="0"/>
                <w:numId w:val="10"/>
              </w:numPr>
              <w:tabs>
                <w:tab w:pos="582" w:val="left" w:leader="none"/>
                <w:tab w:pos="583" w:val="left" w:leader="none"/>
              </w:tabs>
              <w:spacing w:line="240" w:lineRule="auto" w:before="15" w:after="0"/>
              <w:ind w:left="582" w:right="0" w:hanging="420"/>
              <w:jc w:val="left"/>
              <w:rPr>
                <w:sz w:val="21"/>
              </w:rPr>
            </w:pPr>
            <w:r>
              <w:rPr>
                <w:spacing w:val="-3"/>
                <w:sz w:val="21"/>
              </w:rPr>
              <w:t>所能提供的与确认保险事故的性质、原因等有关的其他证明和资料。</w:t>
            </w:r>
          </w:p>
          <w:p>
            <w:pPr>
              <w:pStyle w:val="TableParagraph"/>
              <w:spacing w:before="66"/>
              <w:ind w:left="162"/>
              <w:rPr>
                <w:sz w:val="21"/>
              </w:rPr>
            </w:pPr>
            <w:r>
              <w:rPr>
                <w:sz w:val="21"/>
              </w:rPr>
              <w:t>以上证明和资料不完整的，本公司将及时一次性通知申请人补充提供有关证明和资料。</w:t>
            </w:r>
          </w:p>
        </w:tc>
      </w:tr>
      <w:tr>
        <w:trPr>
          <w:trHeight w:val="2659" w:hRule="atLeast"/>
        </w:trPr>
        <w:tc>
          <w:tcPr>
            <w:tcW w:w="587" w:type="dxa"/>
          </w:tcPr>
          <w:p>
            <w:pPr>
              <w:pStyle w:val="TableParagraph"/>
              <w:spacing w:line="273" w:lineRule="exact"/>
              <w:ind w:left="108"/>
              <w:rPr>
                <w:b/>
                <w:sz w:val="21"/>
              </w:rPr>
            </w:pPr>
            <w:r>
              <w:rPr>
                <w:b/>
                <w:sz w:val="21"/>
              </w:rPr>
              <w:t>5.4</w:t>
            </w:r>
          </w:p>
        </w:tc>
        <w:tc>
          <w:tcPr>
            <w:tcW w:w="8811" w:type="dxa"/>
          </w:tcPr>
          <w:p>
            <w:pPr>
              <w:pStyle w:val="TableParagraph"/>
              <w:spacing w:line="273" w:lineRule="exact"/>
              <w:ind w:left="162"/>
              <w:rPr>
                <w:b/>
                <w:sz w:val="21"/>
              </w:rPr>
            </w:pPr>
            <w:r>
              <w:rPr>
                <w:b/>
                <w:sz w:val="21"/>
              </w:rPr>
              <w:t>保险金的给付</w:t>
            </w:r>
          </w:p>
          <w:p>
            <w:pPr>
              <w:pStyle w:val="TableParagraph"/>
              <w:spacing w:before="66"/>
              <w:ind w:left="162"/>
              <w:rPr>
                <w:sz w:val="21"/>
              </w:rPr>
            </w:pPr>
            <w:r>
              <w:rPr>
                <w:spacing w:val="-6"/>
                <w:sz w:val="21"/>
              </w:rPr>
              <w:t>本公司在收到保险金给付申请书及合同约定的证明和资料后，将在 </w:t>
            </w:r>
            <w:r>
              <w:rPr>
                <w:sz w:val="21"/>
              </w:rPr>
              <w:t>5</w:t>
            </w:r>
            <w:r>
              <w:rPr>
                <w:spacing w:val="-11"/>
                <w:sz w:val="21"/>
              </w:rPr>
              <w:t> 日内作出核定；情形复杂</w:t>
            </w:r>
          </w:p>
          <w:p>
            <w:pPr>
              <w:pStyle w:val="TableParagraph"/>
              <w:spacing w:line="297" w:lineRule="auto" w:before="63"/>
              <w:ind w:left="162" w:right="107"/>
              <w:rPr>
                <w:sz w:val="21"/>
              </w:rPr>
            </w:pPr>
            <w:r>
              <w:rPr>
                <w:spacing w:val="-13"/>
                <w:sz w:val="21"/>
              </w:rPr>
              <w:t>的，在 </w:t>
            </w:r>
            <w:r>
              <w:rPr>
                <w:sz w:val="21"/>
              </w:rPr>
              <w:t>30</w:t>
            </w:r>
            <w:r>
              <w:rPr>
                <w:spacing w:val="-10"/>
                <w:sz w:val="21"/>
              </w:rPr>
              <w:t> 日内作出核定。对属于保险责任的，本公司在与受益人达成给付保险金的协议后 </w:t>
            </w:r>
            <w:r>
              <w:rPr>
                <w:spacing w:val="-3"/>
                <w:sz w:val="21"/>
              </w:rPr>
              <w:t>10 日内，履行给付保险金义务。</w:t>
            </w:r>
          </w:p>
          <w:p>
            <w:pPr>
              <w:pStyle w:val="TableParagraph"/>
              <w:spacing w:before="15"/>
              <w:ind w:left="162"/>
              <w:rPr>
                <w:sz w:val="21"/>
              </w:rPr>
            </w:pPr>
            <w:r>
              <w:rPr>
                <w:sz w:val="21"/>
              </w:rPr>
              <w:t>本公司未及时履行前款规定义务的，除支付保险金外，应当赔偿受益人因此受到的损失。</w:t>
            </w:r>
          </w:p>
          <w:p>
            <w:pPr>
              <w:pStyle w:val="TableParagraph"/>
              <w:spacing w:line="297" w:lineRule="auto" w:before="66"/>
              <w:ind w:left="162" w:right="103"/>
              <w:rPr>
                <w:sz w:val="21"/>
              </w:rPr>
            </w:pPr>
            <w:r>
              <w:rPr>
                <w:spacing w:val="-12"/>
                <w:sz w:val="21"/>
              </w:rPr>
              <w:t>对不属于保险责任的，本公司自作出核定之日起 </w:t>
            </w:r>
            <w:r>
              <w:rPr>
                <w:sz w:val="21"/>
              </w:rPr>
              <w:t>3</w:t>
            </w:r>
            <w:r>
              <w:rPr>
                <w:spacing w:val="-7"/>
                <w:sz w:val="21"/>
              </w:rPr>
              <w:t> 日内向受益人发出拒绝给付保险金通知书并</w:t>
            </w:r>
            <w:r>
              <w:rPr>
                <w:spacing w:val="-4"/>
                <w:sz w:val="21"/>
              </w:rPr>
              <w:t>说明理由。</w:t>
            </w:r>
          </w:p>
          <w:p>
            <w:pPr>
              <w:pStyle w:val="TableParagraph"/>
              <w:spacing w:line="258" w:lineRule="exact" w:before="15"/>
              <w:ind w:left="162"/>
              <w:rPr>
                <w:sz w:val="21"/>
              </w:rPr>
            </w:pPr>
            <w:r>
              <w:rPr>
                <w:sz w:val="21"/>
              </w:rPr>
              <w:t>本公司在收到保险金给付申请书及有关证明和资料之日起 60 日内，对给付保险金的数额不能</w:t>
            </w:r>
          </w:p>
        </w:tc>
      </w:tr>
    </w:tbl>
    <w:p>
      <w:pPr>
        <w:spacing w:after="0" w:line="258" w:lineRule="exact"/>
        <w:rPr>
          <w:sz w:val="21"/>
        </w:rPr>
        <w:sectPr>
          <w:pgSz w:w="11910" w:h="16840"/>
          <w:pgMar w:header="0" w:footer="925" w:top="1260" w:bottom="112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7"/>
        <w:gridCol w:w="8811"/>
      </w:tblGrid>
      <w:tr>
        <w:trPr>
          <w:trHeight w:val="617" w:hRule="atLeast"/>
        </w:trPr>
        <w:tc>
          <w:tcPr>
            <w:tcW w:w="587" w:type="dxa"/>
          </w:tcPr>
          <w:p>
            <w:pPr>
              <w:pStyle w:val="TableParagraph"/>
              <w:ind w:left="0"/>
              <w:rPr>
                <w:rFonts w:ascii="Times New Roman"/>
                <w:sz w:val="20"/>
              </w:rPr>
            </w:pPr>
          </w:p>
        </w:tc>
        <w:tc>
          <w:tcPr>
            <w:tcW w:w="8811" w:type="dxa"/>
          </w:tcPr>
          <w:p>
            <w:pPr>
              <w:pStyle w:val="TableParagraph"/>
              <w:spacing w:line="208" w:lineRule="exact"/>
              <w:ind w:left="162" w:right="-15"/>
              <w:rPr>
                <w:sz w:val="21"/>
              </w:rPr>
            </w:pPr>
            <w:r>
              <w:rPr>
                <w:spacing w:val="-16"/>
                <w:sz w:val="21"/>
              </w:rPr>
              <w:t>确定的，根据已有证明和资料可以确定的数额先予支付；本公司最终确定给付保险金的数额后，</w:t>
            </w:r>
          </w:p>
          <w:p>
            <w:pPr>
              <w:pStyle w:val="TableParagraph"/>
              <w:spacing w:before="66"/>
              <w:ind w:left="162"/>
              <w:rPr>
                <w:sz w:val="21"/>
              </w:rPr>
            </w:pPr>
            <w:r>
              <w:rPr>
                <w:sz w:val="21"/>
              </w:rPr>
              <w:t>将支付相应的差额。</w:t>
            </w:r>
          </w:p>
        </w:tc>
      </w:tr>
      <w:tr>
        <w:trPr>
          <w:trHeight w:val="716" w:hRule="atLeast"/>
        </w:trPr>
        <w:tc>
          <w:tcPr>
            <w:tcW w:w="587" w:type="dxa"/>
          </w:tcPr>
          <w:p>
            <w:pPr>
              <w:pStyle w:val="TableParagraph"/>
              <w:spacing w:line="273" w:lineRule="exact"/>
              <w:ind w:left="108"/>
              <w:rPr>
                <w:b/>
                <w:sz w:val="21"/>
              </w:rPr>
            </w:pPr>
            <w:r>
              <w:rPr>
                <w:b/>
                <w:sz w:val="21"/>
              </w:rPr>
              <w:t>5.5</w:t>
            </w:r>
          </w:p>
        </w:tc>
        <w:tc>
          <w:tcPr>
            <w:tcW w:w="8811" w:type="dxa"/>
          </w:tcPr>
          <w:p>
            <w:pPr>
              <w:pStyle w:val="TableParagraph"/>
              <w:spacing w:line="297" w:lineRule="auto"/>
              <w:ind w:left="162" w:right="130"/>
              <w:rPr>
                <w:sz w:val="21"/>
              </w:rPr>
            </w:pPr>
            <w:r>
              <w:rPr>
                <w:b/>
                <w:spacing w:val="2"/>
                <w:sz w:val="21"/>
              </w:rPr>
              <w:t>诉讼时效 </w:t>
            </w:r>
            <w:r>
              <w:rPr>
                <w:spacing w:val="-5"/>
                <w:sz w:val="21"/>
              </w:rPr>
              <w:t>受益人向本公司请求给付保险金的诉讼时效期间为 </w:t>
            </w:r>
            <w:r>
              <w:rPr>
                <w:sz w:val="21"/>
              </w:rPr>
              <w:t>2</w:t>
            </w:r>
            <w:r>
              <w:rPr>
                <w:spacing w:val="-8"/>
                <w:sz w:val="21"/>
              </w:rPr>
              <w:t> 年，自其知道或者应当知道保</w:t>
            </w:r>
            <w:r>
              <w:rPr>
                <w:spacing w:val="-5"/>
                <w:sz w:val="21"/>
              </w:rPr>
              <w:t>险事故发生之日起计算。</w:t>
            </w:r>
          </w:p>
        </w:tc>
      </w:tr>
      <w:tr>
        <w:trPr>
          <w:trHeight w:val="388" w:hRule="atLeast"/>
        </w:trPr>
        <w:tc>
          <w:tcPr>
            <w:tcW w:w="587" w:type="dxa"/>
            <w:shd w:val="clear" w:color="auto" w:fill="CCCCCC"/>
          </w:tcPr>
          <w:p>
            <w:pPr>
              <w:pStyle w:val="TableParagraph"/>
              <w:spacing w:line="273" w:lineRule="exact"/>
              <w:ind w:left="108"/>
              <w:rPr>
                <w:b/>
                <w:sz w:val="24"/>
              </w:rPr>
            </w:pPr>
            <w:r>
              <w:rPr>
                <w:b/>
                <w:w w:val="99"/>
                <w:sz w:val="24"/>
              </w:rPr>
              <w:t>6</w:t>
            </w:r>
          </w:p>
        </w:tc>
        <w:tc>
          <w:tcPr>
            <w:tcW w:w="8811" w:type="dxa"/>
            <w:shd w:val="clear" w:color="auto" w:fill="CCCCCC"/>
          </w:tcPr>
          <w:p>
            <w:pPr>
              <w:pStyle w:val="TableParagraph"/>
              <w:spacing w:line="273" w:lineRule="exact"/>
              <w:ind w:left="162"/>
              <w:rPr>
                <w:b/>
                <w:sz w:val="24"/>
              </w:rPr>
            </w:pPr>
            <w:r>
              <w:rPr>
                <w:b/>
                <w:sz w:val="24"/>
              </w:rPr>
              <w:t>其他事项</w:t>
            </w:r>
          </w:p>
        </w:tc>
      </w:tr>
      <w:tr>
        <w:trPr>
          <w:trHeight w:val="4391" w:hRule="atLeast"/>
        </w:trPr>
        <w:tc>
          <w:tcPr>
            <w:tcW w:w="587" w:type="dxa"/>
          </w:tcPr>
          <w:p>
            <w:pPr>
              <w:pStyle w:val="TableParagraph"/>
              <w:spacing w:line="238" w:lineRule="exact"/>
              <w:ind w:left="108"/>
              <w:rPr>
                <w:b/>
                <w:sz w:val="21"/>
              </w:rPr>
            </w:pPr>
            <w:r>
              <w:rPr>
                <w:b/>
                <w:sz w:val="21"/>
              </w:rPr>
              <w:t>6.1</w:t>
            </w:r>
          </w:p>
        </w:tc>
        <w:tc>
          <w:tcPr>
            <w:tcW w:w="8811" w:type="dxa"/>
          </w:tcPr>
          <w:p>
            <w:pPr>
              <w:pStyle w:val="TableParagraph"/>
              <w:spacing w:line="238" w:lineRule="exact"/>
              <w:ind w:left="162"/>
              <w:rPr>
                <w:b/>
                <w:sz w:val="21"/>
              </w:rPr>
            </w:pPr>
            <w:r>
              <w:rPr>
                <w:b/>
                <w:sz w:val="21"/>
              </w:rPr>
              <w:t>明确说明与如实告知</w:t>
            </w:r>
          </w:p>
          <w:p>
            <w:pPr>
              <w:pStyle w:val="TableParagraph"/>
              <w:spacing w:before="66"/>
              <w:ind w:left="162"/>
              <w:rPr>
                <w:sz w:val="21"/>
              </w:rPr>
            </w:pPr>
            <w:r>
              <w:rPr>
                <w:sz w:val="21"/>
              </w:rPr>
              <w:t>订立本附加险合同时，本公司应向投保人说明本附加险合同的内容。</w:t>
            </w:r>
          </w:p>
          <w:p>
            <w:pPr>
              <w:pStyle w:val="TableParagraph"/>
              <w:spacing w:before="63"/>
              <w:ind w:left="162"/>
              <w:rPr>
                <w:sz w:val="21"/>
              </w:rPr>
            </w:pPr>
            <w:r>
              <w:rPr>
                <w:sz w:val="21"/>
              </w:rPr>
              <w:t>本公司就投保人和被保险人的有关情况提出询问，投保人应当如实告知。</w:t>
            </w:r>
          </w:p>
          <w:p>
            <w:pPr>
              <w:pStyle w:val="TableParagraph"/>
              <w:spacing w:line="297" w:lineRule="auto" w:before="65"/>
              <w:ind w:left="162" w:right="103"/>
              <w:rPr>
                <w:sz w:val="21"/>
              </w:rPr>
            </w:pPr>
            <w:r>
              <w:rPr>
                <w:spacing w:val="-6"/>
                <w:sz w:val="21"/>
              </w:rPr>
              <w:t>如果投保人故意或者因重大过失未履行前款规定的如实告知义务，足以影响本公司决定是否同</w:t>
            </w:r>
            <w:r>
              <w:rPr>
                <w:spacing w:val="-4"/>
                <w:sz w:val="21"/>
              </w:rPr>
              <w:t>意承保或者提高保险费率的，本公司有权解除本附加险合同。</w:t>
            </w:r>
          </w:p>
          <w:p>
            <w:pPr>
              <w:pStyle w:val="TableParagraph"/>
              <w:spacing w:line="297" w:lineRule="auto" w:before="15"/>
              <w:ind w:left="162" w:right="103"/>
              <w:rPr>
                <w:sz w:val="21"/>
              </w:rPr>
            </w:pPr>
            <w:r>
              <w:rPr>
                <w:spacing w:val="-6"/>
                <w:sz w:val="21"/>
              </w:rPr>
              <w:t>如果投保人故意不履行如实告知义务，对于本附加险合同解除前发生的保险事故，本公司不承</w:t>
            </w:r>
            <w:r>
              <w:rPr>
                <w:spacing w:val="-4"/>
                <w:sz w:val="21"/>
              </w:rPr>
              <w:t>担给付保险金的责任，并不退还本附加险已收取的风险保险费。</w:t>
            </w:r>
          </w:p>
          <w:p>
            <w:pPr>
              <w:pStyle w:val="TableParagraph"/>
              <w:spacing w:line="297" w:lineRule="auto" w:before="15"/>
              <w:ind w:left="162" w:right="103"/>
              <w:jc w:val="both"/>
              <w:rPr>
                <w:sz w:val="21"/>
              </w:rPr>
            </w:pPr>
            <w:r>
              <w:rPr>
                <w:spacing w:val="-6"/>
                <w:sz w:val="21"/>
              </w:rPr>
              <w:t>如果投保人因重大过失未履行如实告知义务，对保险事故的发生有严重影响的，对于本附加险</w:t>
            </w:r>
            <w:r>
              <w:rPr>
                <w:spacing w:val="-9"/>
                <w:sz w:val="21"/>
              </w:rPr>
              <w:t>合同解除前发生的保险事故，本公司不承担给付保险金的责任，但应当将本附加险合同已收取的风险保险费无息退还至主险合同的个人账户，主险合同的个人账户价值按退还的金额等额增加。</w:t>
            </w:r>
          </w:p>
          <w:p>
            <w:pPr>
              <w:pStyle w:val="TableParagraph"/>
              <w:spacing w:line="297" w:lineRule="auto" w:before="15"/>
              <w:ind w:left="162" w:right="103"/>
              <w:rPr>
                <w:sz w:val="21"/>
              </w:rPr>
            </w:pPr>
            <w:r>
              <w:rPr>
                <w:spacing w:val="-6"/>
                <w:sz w:val="21"/>
              </w:rPr>
              <w:t>本公司在本附加险合同订立时已经知道投保人未如实告知的情况的，本公司不得解除本附加险</w:t>
            </w:r>
            <w:r>
              <w:rPr>
                <w:spacing w:val="-4"/>
                <w:sz w:val="21"/>
              </w:rPr>
              <w:t>合同；发生保险事故的，本公司承担给付保险金的责任。</w:t>
            </w:r>
          </w:p>
        </w:tc>
      </w:tr>
      <w:tr>
        <w:trPr>
          <w:trHeight w:val="1020" w:hRule="atLeast"/>
        </w:trPr>
        <w:tc>
          <w:tcPr>
            <w:tcW w:w="587" w:type="dxa"/>
          </w:tcPr>
          <w:p>
            <w:pPr>
              <w:pStyle w:val="TableParagraph"/>
              <w:spacing w:line="273" w:lineRule="exact"/>
              <w:ind w:left="108"/>
              <w:rPr>
                <w:b/>
                <w:sz w:val="21"/>
              </w:rPr>
            </w:pPr>
            <w:r>
              <w:rPr>
                <w:b/>
                <w:sz w:val="21"/>
              </w:rPr>
              <w:t>6.2</w:t>
            </w:r>
          </w:p>
        </w:tc>
        <w:tc>
          <w:tcPr>
            <w:tcW w:w="8811" w:type="dxa"/>
          </w:tcPr>
          <w:p>
            <w:pPr>
              <w:pStyle w:val="TableParagraph"/>
              <w:spacing w:line="273" w:lineRule="exact"/>
              <w:ind w:left="162"/>
              <w:rPr>
                <w:sz w:val="21"/>
              </w:rPr>
            </w:pPr>
            <w:r>
              <w:rPr>
                <w:b/>
                <w:sz w:val="21"/>
              </w:rPr>
              <w:t>本公司合同解除权的限制 </w:t>
            </w:r>
            <w:r>
              <w:rPr>
                <w:sz w:val="21"/>
              </w:rPr>
              <w:t>前条规定的合同解除权，自本公司知道有解除事由之日起，超过 30</w:t>
            </w:r>
          </w:p>
          <w:p>
            <w:pPr>
              <w:pStyle w:val="TableParagraph"/>
              <w:spacing w:line="297" w:lineRule="auto" w:before="63"/>
              <w:ind w:left="162" w:right="103"/>
              <w:rPr>
                <w:sz w:val="21"/>
              </w:rPr>
            </w:pPr>
            <w:r>
              <w:rPr>
                <w:spacing w:val="-8"/>
                <w:sz w:val="21"/>
              </w:rPr>
              <w:t>日不行使而消灭。自本附加险合同成立之日起超过 </w:t>
            </w:r>
            <w:r>
              <w:rPr>
                <w:sz w:val="21"/>
              </w:rPr>
              <w:t>2</w:t>
            </w:r>
            <w:r>
              <w:rPr>
                <w:spacing w:val="-10"/>
                <w:sz w:val="21"/>
              </w:rPr>
              <w:t> 年的，本公司不得解除本附加险合同；发</w:t>
            </w:r>
            <w:r>
              <w:rPr>
                <w:spacing w:val="-5"/>
                <w:sz w:val="21"/>
              </w:rPr>
              <w:t>生保险事故的，本公司承担给付保险金的责任。</w:t>
            </w:r>
          </w:p>
        </w:tc>
      </w:tr>
      <w:tr>
        <w:trPr>
          <w:trHeight w:val="681" w:hRule="atLeast"/>
        </w:trPr>
        <w:tc>
          <w:tcPr>
            <w:tcW w:w="587" w:type="dxa"/>
          </w:tcPr>
          <w:p>
            <w:pPr>
              <w:pStyle w:val="TableParagraph"/>
              <w:spacing w:line="273" w:lineRule="exact"/>
              <w:ind w:left="108"/>
              <w:rPr>
                <w:b/>
                <w:sz w:val="21"/>
              </w:rPr>
            </w:pPr>
            <w:r>
              <w:rPr>
                <w:b/>
                <w:sz w:val="21"/>
              </w:rPr>
              <w:t>6.3</w:t>
            </w:r>
          </w:p>
        </w:tc>
        <w:tc>
          <w:tcPr>
            <w:tcW w:w="8811" w:type="dxa"/>
          </w:tcPr>
          <w:p>
            <w:pPr>
              <w:pStyle w:val="TableParagraph"/>
              <w:spacing w:line="297" w:lineRule="auto"/>
              <w:ind w:left="162" w:right="128"/>
              <w:rPr>
                <w:sz w:val="21"/>
              </w:rPr>
            </w:pPr>
            <w:r>
              <w:rPr>
                <w:b/>
                <w:sz w:val="21"/>
              </w:rPr>
              <w:t>合同内容变更 </w:t>
            </w:r>
            <w:r>
              <w:rPr>
                <w:sz w:val="21"/>
              </w:rPr>
              <w:t>投保人和本公司可以协商变更合同内容。变更本附加险合同的，由本公司在保险单或者其他保险凭证上批注或者附贴批单，或者由投保人和本公司订立变更的书面协议。</w:t>
            </w:r>
          </w:p>
        </w:tc>
      </w:tr>
      <w:tr>
        <w:trPr>
          <w:trHeight w:val="2077" w:hRule="atLeast"/>
        </w:trPr>
        <w:tc>
          <w:tcPr>
            <w:tcW w:w="587" w:type="dxa"/>
          </w:tcPr>
          <w:p>
            <w:pPr>
              <w:pStyle w:val="TableParagraph"/>
              <w:spacing w:line="273" w:lineRule="exact"/>
              <w:ind w:left="108"/>
              <w:rPr>
                <w:b/>
                <w:sz w:val="21"/>
              </w:rPr>
            </w:pPr>
            <w:r>
              <w:rPr>
                <w:b/>
                <w:sz w:val="21"/>
              </w:rPr>
              <w:t>6.4</w:t>
            </w:r>
          </w:p>
        </w:tc>
        <w:tc>
          <w:tcPr>
            <w:tcW w:w="8811" w:type="dxa"/>
          </w:tcPr>
          <w:p>
            <w:pPr>
              <w:pStyle w:val="TableParagraph"/>
              <w:spacing w:line="273" w:lineRule="exact"/>
              <w:ind w:left="162"/>
              <w:rPr>
                <w:b/>
                <w:sz w:val="21"/>
              </w:rPr>
            </w:pPr>
            <w:r>
              <w:rPr>
                <w:b/>
                <w:sz w:val="21"/>
              </w:rPr>
              <w:t>特别提示</w:t>
            </w:r>
          </w:p>
          <w:p>
            <w:pPr>
              <w:pStyle w:val="TableParagraph"/>
              <w:spacing w:line="297" w:lineRule="auto" w:before="66"/>
              <w:ind w:left="162" w:right="238"/>
              <w:rPr>
                <w:sz w:val="21"/>
              </w:rPr>
            </w:pPr>
            <w:r>
              <w:rPr>
                <w:spacing w:val="-3"/>
                <w:sz w:val="21"/>
              </w:rPr>
              <w:t>本附加险合同的主险合同为《中国人民健康保险股份有限公司福泽一生个人护理保险（</w:t>
            </w:r>
            <w:r>
              <w:rPr>
                <w:sz w:val="21"/>
              </w:rPr>
              <w:t>万能型,B</w:t>
            </w:r>
            <w:r>
              <w:rPr>
                <w:spacing w:val="-23"/>
                <w:sz w:val="21"/>
              </w:rPr>
              <w:t> 款</w:t>
            </w:r>
            <w:r>
              <w:rPr>
                <w:spacing w:val="-106"/>
                <w:sz w:val="21"/>
              </w:rPr>
              <w:t>）</w:t>
            </w:r>
            <w:r>
              <w:rPr>
                <w:spacing w:val="-3"/>
                <w:sz w:val="21"/>
              </w:rPr>
              <w:t>》合同。</w:t>
            </w:r>
          </w:p>
          <w:p>
            <w:pPr>
              <w:pStyle w:val="TableParagraph"/>
              <w:spacing w:before="13"/>
              <w:ind w:left="162"/>
              <w:rPr>
                <w:sz w:val="21"/>
              </w:rPr>
            </w:pPr>
            <w:r>
              <w:rPr>
                <w:sz w:val="21"/>
              </w:rPr>
              <w:t>主险合同效力终止，本附加险合同效力即行终止；主险合同无效，本附加险合同亦无效。</w:t>
            </w:r>
          </w:p>
          <w:p>
            <w:pPr>
              <w:pStyle w:val="TableParagraph"/>
              <w:spacing w:line="297" w:lineRule="auto" w:before="66"/>
              <w:ind w:left="162" w:right="103"/>
              <w:rPr>
                <w:sz w:val="21"/>
              </w:rPr>
            </w:pPr>
            <w:r>
              <w:rPr>
                <w:spacing w:val="-7"/>
                <w:sz w:val="21"/>
              </w:rPr>
              <w:t>当本附加险条款与主险条款内容不一致时，以本附加险条款中的规定为准；本附加险条款中未</w:t>
            </w:r>
            <w:r>
              <w:rPr>
                <w:spacing w:val="-5"/>
                <w:sz w:val="21"/>
              </w:rPr>
              <w:t>约定的事项，以主险条款为准。</w:t>
            </w:r>
          </w:p>
        </w:tc>
      </w:tr>
      <w:tr>
        <w:trPr>
          <w:trHeight w:val="388" w:hRule="atLeast"/>
        </w:trPr>
        <w:tc>
          <w:tcPr>
            <w:tcW w:w="587" w:type="dxa"/>
            <w:shd w:val="clear" w:color="auto" w:fill="CCCCCC"/>
          </w:tcPr>
          <w:p>
            <w:pPr>
              <w:pStyle w:val="TableParagraph"/>
              <w:spacing w:line="273" w:lineRule="exact"/>
              <w:ind w:left="108"/>
              <w:rPr>
                <w:b/>
                <w:sz w:val="24"/>
              </w:rPr>
            </w:pPr>
            <w:r>
              <w:rPr>
                <w:b/>
                <w:w w:val="99"/>
                <w:sz w:val="24"/>
              </w:rPr>
              <w:t>7</w:t>
            </w:r>
          </w:p>
        </w:tc>
        <w:tc>
          <w:tcPr>
            <w:tcW w:w="8811" w:type="dxa"/>
            <w:shd w:val="clear" w:color="auto" w:fill="CCCCCC"/>
          </w:tcPr>
          <w:p>
            <w:pPr>
              <w:pStyle w:val="TableParagraph"/>
              <w:spacing w:line="273" w:lineRule="exact"/>
              <w:ind w:left="162"/>
              <w:rPr>
                <w:b/>
                <w:sz w:val="24"/>
              </w:rPr>
            </w:pPr>
            <w:r>
              <w:rPr>
                <w:b/>
                <w:sz w:val="24"/>
              </w:rPr>
              <w:t>名词释义</w:t>
            </w:r>
          </w:p>
        </w:tc>
      </w:tr>
      <w:tr>
        <w:trPr>
          <w:trHeight w:val="305" w:hRule="atLeast"/>
        </w:trPr>
        <w:tc>
          <w:tcPr>
            <w:tcW w:w="587" w:type="dxa"/>
          </w:tcPr>
          <w:p>
            <w:pPr>
              <w:pStyle w:val="TableParagraph"/>
              <w:spacing w:line="238" w:lineRule="exact"/>
              <w:ind w:left="108"/>
              <w:rPr>
                <w:b/>
                <w:sz w:val="21"/>
              </w:rPr>
            </w:pPr>
            <w:r>
              <w:rPr>
                <w:b/>
                <w:sz w:val="21"/>
              </w:rPr>
              <w:t>7.1</w:t>
            </w:r>
          </w:p>
        </w:tc>
        <w:tc>
          <w:tcPr>
            <w:tcW w:w="8811" w:type="dxa"/>
          </w:tcPr>
          <w:p>
            <w:pPr>
              <w:pStyle w:val="TableParagraph"/>
              <w:spacing w:line="238" w:lineRule="exact"/>
              <w:ind w:left="162"/>
              <w:rPr>
                <w:sz w:val="21"/>
              </w:rPr>
            </w:pPr>
            <w:r>
              <w:rPr>
                <w:b/>
                <w:sz w:val="21"/>
              </w:rPr>
              <w:t>周岁 </w:t>
            </w:r>
            <w:r>
              <w:rPr>
                <w:sz w:val="21"/>
              </w:rPr>
              <w:t>以法定身份证明文件中记载的出生日期为基础计算。</w:t>
            </w:r>
          </w:p>
        </w:tc>
      </w:tr>
      <w:tr>
        <w:trPr>
          <w:trHeight w:val="681" w:hRule="atLeast"/>
        </w:trPr>
        <w:tc>
          <w:tcPr>
            <w:tcW w:w="587" w:type="dxa"/>
          </w:tcPr>
          <w:p>
            <w:pPr>
              <w:pStyle w:val="TableParagraph"/>
              <w:spacing w:line="273" w:lineRule="exact"/>
              <w:ind w:left="108"/>
              <w:rPr>
                <w:b/>
                <w:sz w:val="21"/>
              </w:rPr>
            </w:pPr>
            <w:r>
              <w:rPr>
                <w:b/>
                <w:sz w:val="21"/>
              </w:rPr>
              <w:t>7.2</w:t>
            </w:r>
          </w:p>
        </w:tc>
        <w:tc>
          <w:tcPr>
            <w:tcW w:w="8811" w:type="dxa"/>
          </w:tcPr>
          <w:p>
            <w:pPr>
              <w:pStyle w:val="TableParagraph"/>
              <w:spacing w:line="297" w:lineRule="auto"/>
              <w:ind w:left="162" w:right="130"/>
              <w:rPr>
                <w:sz w:val="21"/>
              </w:rPr>
            </w:pPr>
            <w:r>
              <w:rPr>
                <w:b/>
                <w:sz w:val="21"/>
              </w:rPr>
              <w:t>保单周年日 </w:t>
            </w:r>
            <w:r>
              <w:rPr>
                <w:sz w:val="21"/>
              </w:rPr>
              <w:t>指在本合同有效期间内，合同生效日在以后每年的对应日。若当月无对应的同一日，则以该月最后一日作为对应日。</w:t>
            </w:r>
          </w:p>
        </w:tc>
      </w:tr>
      <w:tr>
        <w:trPr>
          <w:trHeight w:val="679" w:hRule="atLeast"/>
        </w:trPr>
        <w:tc>
          <w:tcPr>
            <w:tcW w:w="587" w:type="dxa"/>
          </w:tcPr>
          <w:p>
            <w:pPr>
              <w:pStyle w:val="TableParagraph"/>
              <w:spacing w:line="273" w:lineRule="exact"/>
              <w:ind w:left="108"/>
              <w:rPr>
                <w:b/>
                <w:sz w:val="21"/>
              </w:rPr>
            </w:pPr>
            <w:r>
              <w:rPr>
                <w:b/>
                <w:sz w:val="21"/>
              </w:rPr>
              <w:t>7.3</w:t>
            </w:r>
          </w:p>
        </w:tc>
        <w:tc>
          <w:tcPr>
            <w:tcW w:w="8811" w:type="dxa"/>
          </w:tcPr>
          <w:p>
            <w:pPr>
              <w:pStyle w:val="TableParagraph"/>
              <w:spacing w:line="295" w:lineRule="auto"/>
              <w:ind w:left="162" w:right="130"/>
              <w:rPr>
                <w:sz w:val="21"/>
              </w:rPr>
            </w:pPr>
            <w:r>
              <w:rPr>
                <w:b/>
                <w:sz w:val="21"/>
              </w:rPr>
              <w:t>保单年度 </w:t>
            </w:r>
            <w:r>
              <w:rPr>
                <w:sz w:val="21"/>
              </w:rPr>
              <w:t>指在保险合同有效期内，保险合同生效日起一年期间或保单周年日起至下一个保单周年日的期间。</w:t>
            </w:r>
          </w:p>
        </w:tc>
      </w:tr>
      <w:tr>
        <w:trPr>
          <w:trHeight w:val="341" w:hRule="atLeast"/>
        </w:trPr>
        <w:tc>
          <w:tcPr>
            <w:tcW w:w="587" w:type="dxa"/>
          </w:tcPr>
          <w:p>
            <w:pPr>
              <w:pStyle w:val="TableParagraph"/>
              <w:spacing w:line="273" w:lineRule="exact"/>
              <w:ind w:left="108"/>
              <w:rPr>
                <w:b/>
                <w:sz w:val="21"/>
              </w:rPr>
            </w:pPr>
            <w:r>
              <w:rPr>
                <w:b/>
                <w:sz w:val="21"/>
              </w:rPr>
              <w:t>7.4</w:t>
            </w:r>
          </w:p>
        </w:tc>
        <w:tc>
          <w:tcPr>
            <w:tcW w:w="8811" w:type="dxa"/>
          </w:tcPr>
          <w:p>
            <w:pPr>
              <w:pStyle w:val="TableParagraph"/>
              <w:spacing w:line="273" w:lineRule="exact"/>
              <w:ind w:left="162"/>
              <w:rPr>
                <w:sz w:val="21"/>
              </w:rPr>
            </w:pPr>
            <w:r>
              <w:rPr>
                <w:b/>
                <w:sz w:val="21"/>
              </w:rPr>
              <w:t>意外伤害 </w:t>
            </w:r>
            <w:r>
              <w:rPr>
                <w:sz w:val="21"/>
              </w:rPr>
              <w:t>指因遭受外来的、突发的、非本意的、非疾病的客观事件而使身体受到伤害。</w:t>
            </w:r>
          </w:p>
        </w:tc>
      </w:tr>
      <w:tr>
        <w:trPr>
          <w:trHeight w:val="1022" w:hRule="atLeast"/>
        </w:trPr>
        <w:tc>
          <w:tcPr>
            <w:tcW w:w="587" w:type="dxa"/>
          </w:tcPr>
          <w:p>
            <w:pPr>
              <w:pStyle w:val="TableParagraph"/>
              <w:spacing w:line="273" w:lineRule="exact"/>
              <w:ind w:left="108"/>
              <w:rPr>
                <w:b/>
                <w:sz w:val="21"/>
              </w:rPr>
            </w:pPr>
            <w:r>
              <w:rPr>
                <w:b/>
                <w:sz w:val="21"/>
              </w:rPr>
              <w:t>7.5</w:t>
            </w:r>
          </w:p>
        </w:tc>
        <w:tc>
          <w:tcPr>
            <w:tcW w:w="8811" w:type="dxa"/>
          </w:tcPr>
          <w:p>
            <w:pPr>
              <w:pStyle w:val="TableParagraph"/>
              <w:spacing w:line="297" w:lineRule="auto"/>
              <w:ind w:left="162" w:right="104"/>
              <w:jc w:val="both"/>
              <w:rPr>
                <w:rFonts w:ascii="黑体" w:eastAsia="黑体" w:hint="eastAsia"/>
                <w:sz w:val="21"/>
              </w:rPr>
            </w:pPr>
            <w:r>
              <w:rPr>
                <w:b/>
                <w:spacing w:val="2"/>
                <w:sz w:val="21"/>
              </w:rPr>
              <w:t>本公司认可的医院 </w:t>
            </w:r>
            <w:r>
              <w:rPr>
                <w:spacing w:val="-3"/>
                <w:sz w:val="21"/>
              </w:rPr>
              <w:t>指依法设立的国家卫生部医院等级分类中的二级甲等或二级甲等以上医疗</w:t>
            </w:r>
            <w:r>
              <w:rPr>
                <w:spacing w:val="-8"/>
                <w:sz w:val="21"/>
              </w:rPr>
              <w:t>机构，</w:t>
            </w:r>
            <w:r>
              <w:rPr>
                <w:rFonts w:ascii="黑体" w:eastAsia="黑体" w:hint="eastAsia"/>
                <w:spacing w:val="-8"/>
                <w:sz w:val="21"/>
                <w:u w:val="single"/>
              </w:rPr>
              <w:t>但不包括疗养院、护理院、康复中心、戒酒或戒毒中心、精神心理治疗中心以及无相应</w:t>
            </w:r>
            <w:r>
              <w:rPr>
                <w:rFonts w:ascii="黑体" w:eastAsia="黑体" w:hint="eastAsia"/>
                <w:spacing w:val="-5"/>
                <w:sz w:val="21"/>
                <w:u w:val="single"/>
              </w:rPr>
              <w:t>医护人员或设备的二级或三级医院的联合医院或联合病房。</w:t>
            </w:r>
          </w:p>
        </w:tc>
      </w:tr>
      <w:tr>
        <w:trPr>
          <w:trHeight w:val="275" w:hRule="atLeast"/>
        </w:trPr>
        <w:tc>
          <w:tcPr>
            <w:tcW w:w="587" w:type="dxa"/>
          </w:tcPr>
          <w:p>
            <w:pPr>
              <w:pStyle w:val="TableParagraph"/>
              <w:spacing w:line="256" w:lineRule="exact"/>
              <w:ind w:left="108"/>
              <w:rPr>
                <w:b/>
                <w:sz w:val="21"/>
              </w:rPr>
            </w:pPr>
            <w:r>
              <w:rPr>
                <w:b/>
                <w:sz w:val="21"/>
              </w:rPr>
              <w:t>7.6</w:t>
            </w:r>
          </w:p>
        </w:tc>
        <w:tc>
          <w:tcPr>
            <w:tcW w:w="8811" w:type="dxa"/>
          </w:tcPr>
          <w:p>
            <w:pPr>
              <w:pStyle w:val="TableParagraph"/>
              <w:spacing w:line="256" w:lineRule="exact"/>
              <w:ind w:left="162"/>
              <w:rPr>
                <w:b/>
                <w:sz w:val="21"/>
              </w:rPr>
            </w:pPr>
            <w:r>
              <w:rPr>
                <w:b/>
                <w:sz w:val="21"/>
              </w:rPr>
              <w:t>专科医生</w:t>
            </w:r>
          </w:p>
        </w:tc>
      </w:tr>
    </w:tbl>
    <w:p>
      <w:pPr>
        <w:spacing w:after="0" w:line="256" w:lineRule="exact"/>
        <w:rPr>
          <w:sz w:val="21"/>
        </w:rPr>
        <w:sectPr>
          <w:pgSz w:w="11910" w:h="16840"/>
          <w:pgMar w:header="0" w:footer="925" w:top="1260" w:bottom="1120" w:left="1140" w:right="11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9011"/>
      </w:tblGrid>
      <w:tr>
        <w:trPr>
          <w:trHeight w:val="1638" w:hRule="atLeast"/>
        </w:trPr>
        <w:tc>
          <w:tcPr>
            <w:tcW w:w="679" w:type="dxa"/>
          </w:tcPr>
          <w:p>
            <w:pPr>
              <w:pStyle w:val="TableParagraph"/>
              <w:ind w:left="0"/>
              <w:rPr>
                <w:rFonts w:ascii="Times New Roman"/>
                <w:sz w:val="20"/>
              </w:rPr>
            </w:pPr>
          </w:p>
        </w:tc>
        <w:tc>
          <w:tcPr>
            <w:tcW w:w="9011" w:type="dxa"/>
          </w:tcPr>
          <w:p>
            <w:pPr>
              <w:pStyle w:val="TableParagraph"/>
              <w:spacing w:line="208" w:lineRule="exact"/>
              <w:ind w:left="161"/>
              <w:rPr>
                <w:sz w:val="21"/>
              </w:rPr>
            </w:pPr>
            <w:r>
              <w:rPr>
                <w:sz w:val="21"/>
              </w:rPr>
              <w:t>指应当同时满足以下四项资格条件：</w:t>
            </w:r>
          </w:p>
          <w:p>
            <w:pPr>
              <w:pStyle w:val="TableParagraph"/>
              <w:numPr>
                <w:ilvl w:val="0"/>
                <w:numId w:val="11"/>
              </w:numPr>
              <w:tabs>
                <w:tab w:pos="581" w:val="left" w:leader="none"/>
                <w:tab w:pos="582" w:val="left" w:leader="none"/>
              </w:tabs>
              <w:spacing w:line="240" w:lineRule="auto" w:before="66" w:after="0"/>
              <w:ind w:left="581" w:right="0" w:hanging="420"/>
              <w:jc w:val="left"/>
              <w:rPr>
                <w:sz w:val="21"/>
              </w:rPr>
            </w:pPr>
            <w:r>
              <w:rPr>
                <w:spacing w:val="-9"/>
                <w:sz w:val="21"/>
              </w:rPr>
              <w:t>具有有效的中华人民共和国《医师资格证书》；</w:t>
            </w:r>
          </w:p>
          <w:p>
            <w:pPr>
              <w:pStyle w:val="TableParagraph"/>
              <w:numPr>
                <w:ilvl w:val="0"/>
                <w:numId w:val="11"/>
              </w:numPr>
              <w:tabs>
                <w:tab w:pos="581" w:val="left" w:leader="none"/>
                <w:tab w:pos="582" w:val="left" w:leader="none"/>
              </w:tabs>
              <w:spacing w:line="240" w:lineRule="auto" w:before="66" w:after="0"/>
              <w:ind w:left="581" w:right="0" w:hanging="420"/>
              <w:jc w:val="left"/>
              <w:rPr>
                <w:sz w:val="21"/>
              </w:rPr>
            </w:pPr>
            <w:r>
              <w:rPr>
                <w:spacing w:val="-9"/>
                <w:sz w:val="21"/>
              </w:rPr>
              <w:t>具有有效的中华人民共和国《医师执业证书》，并按期到相关部门登记注册；</w:t>
            </w:r>
          </w:p>
          <w:p>
            <w:pPr>
              <w:pStyle w:val="TableParagraph"/>
              <w:numPr>
                <w:ilvl w:val="0"/>
                <w:numId w:val="11"/>
              </w:numPr>
              <w:tabs>
                <w:tab w:pos="581" w:val="left" w:leader="none"/>
                <w:tab w:pos="582" w:val="left" w:leader="none"/>
              </w:tabs>
              <w:spacing w:line="240" w:lineRule="auto" w:before="65" w:after="0"/>
              <w:ind w:left="581" w:right="0" w:hanging="420"/>
              <w:jc w:val="left"/>
              <w:rPr>
                <w:sz w:val="21"/>
              </w:rPr>
            </w:pPr>
            <w:r>
              <w:rPr>
                <w:spacing w:val="-7"/>
                <w:sz w:val="21"/>
              </w:rPr>
              <w:t>具有有效的中华人民共和国主治医师或主治医师以上职称的《医师职称证书》；</w:t>
            </w:r>
          </w:p>
          <w:p>
            <w:pPr>
              <w:pStyle w:val="TableParagraph"/>
              <w:numPr>
                <w:ilvl w:val="0"/>
                <w:numId w:val="11"/>
              </w:numPr>
              <w:tabs>
                <w:tab w:pos="581" w:val="left" w:leader="none"/>
                <w:tab w:pos="582" w:val="left" w:leader="none"/>
              </w:tabs>
              <w:spacing w:line="240" w:lineRule="auto" w:before="65" w:after="0"/>
              <w:ind w:left="581" w:right="0" w:hanging="420"/>
              <w:jc w:val="left"/>
              <w:rPr>
                <w:sz w:val="21"/>
              </w:rPr>
            </w:pPr>
            <w:r>
              <w:rPr>
                <w:spacing w:val="-3"/>
                <w:sz w:val="21"/>
              </w:rPr>
              <w:t>在二级或二级以上医院的相应科室从事临床工作三年以上。</w:t>
            </w:r>
          </w:p>
        </w:tc>
      </w:tr>
      <w:tr>
        <w:trPr>
          <w:trHeight w:val="339" w:hRule="atLeast"/>
        </w:trPr>
        <w:tc>
          <w:tcPr>
            <w:tcW w:w="679" w:type="dxa"/>
          </w:tcPr>
          <w:p>
            <w:pPr>
              <w:pStyle w:val="TableParagraph"/>
              <w:spacing w:line="272" w:lineRule="exact"/>
              <w:ind w:left="200"/>
              <w:rPr>
                <w:b/>
                <w:sz w:val="21"/>
              </w:rPr>
            </w:pPr>
            <w:r>
              <w:rPr>
                <w:b/>
                <w:sz w:val="21"/>
              </w:rPr>
              <w:t>7.7</w:t>
            </w:r>
          </w:p>
        </w:tc>
        <w:tc>
          <w:tcPr>
            <w:tcW w:w="9011" w:type="dxa"/>
          </w:tcPr>
          <w:p>
            <w:pPr>
              <w:pStyle w:val="TableParagraph"/>
              <w:spacing w:line="272" w:lineRule="exact"/>
              <w:ind w:left="161"/>
              <w:rPr>
                <w:sz w:val="21"/>
              </w:rPr>
            </w:pPr>
            <w:r>
              <w:rPr>
                <w:b/>
                <w:sz w:val="21"/>
              </w:rPr>
              <w:t>重大疾病 </w:t>
            </w:r>
            <w:r>
              <w:rPr>
                <w:sz w:val="21"/>
              </w:rPr>
              <w:t>被保险人发生符合以下疾病定义所述条件的疾病，应当由专科医生明确诊断。</w:t>
            </w:r>
          </w:p>
        </w:tc>
      </w:tr>
      <w:tr>
        <w:trPr>
          <w:trHeight w:val="3795" w:hRule="atLeast"/>
        </w:trPr>
        <w:tc>
          <w:tcPr>
            <w:tcW w:w="679" w:type="dxa"/>
          </w:tcPr>
          <w:p>
            <w:pPr>
              <w:pStyle w:val="TableParagraph"/>
              <w:ind w:left="0"/>
              <w:rPr>
                <w:rFonts w:ascii="Times New Roman"/>
                <w:sz w:val="20"/>
              </w:rPr>
            </w:pPr>
          </w:p>
        </w:tc>
        <w:tc>
          <w:tcPr>
            <w:tcW w:w="9011" w:type="dxa"/>
          </w:tcPr>
          <w:p>
            <w:pPr>
              <w:pStyle w:val="TableParagraph"/>
              <w:spacing w:line="273" w:lineRule="exact"/>
              <w:ind w:left="161"/>
              <w:rPr>
                <w:b/>
                <w:sz w:val="21"/>
              </w:rPr>
            </w:pPr>
            <w:r>
              <w:rPr>
                <w:b/>
                <w:sz w:val="21"/>
              </w:rPr>
              <w:t>恶性肿瘤</w:t>
            </w:r>
          </w:p>
          <w:p>
            <w:pPr>
              <w:pStyle w:val="TableParagraph"/>
              <w:spacing w:line="297" w:lineRule="auto" w:before="61"/>
              <w:ind w:left="161" w:right="305"/>
              <w:jc w:val="both"/>
              <w:rPr>
                <w:sz w:val="22"/>
              </w:rPr>
            </w:pPr>
            <w:r>
              <w:rPr>
                <w:spacing w:val="-6"/>
                <w:sz w:val="22"/>
              </w:rPr>
              <w:t>指恶性细胞不受控制的进行性增长和扩散，浸润和破坏周围正常组织，可以经血管、淋巴</w:t>
            </w:r>
            <w:r>
              <w:rPr>
                <w:spacing w:val="-8"/>
                <w:sz w:val="22"/>
              </w:rPr>
              <w:t>管和体腔扩散转移到身体其它部位的疾病。经病理学检查结果明确诊断，临床诊断属于世</w:t>
            </w:r>
            <w:r>
              <w:rPr>
                <w:spacing w:val="-3"/>
                <w:sz w:val="22"/>
              </w:rPr>
              <w:t>界卫生组织《疾病和有关健康问题的国际统计分类》</w:t>
            </w:r>
            <w:r>
              <w:rPr>
                <w:sz w:val="22"/>
              </w:rPr>
              <w:t>（ICD-10）</w:t>
            </w:r>
            <w:r>
              <w:rPr>
                <w:spacing w:val="-3"/>
                <w:sz w:val="22"/>
              </w:rPr>
              <w:t>的恶性肿瘤范畴。</w:t>
            </w:r>
          </w:p>
          <w:p>
            <w:pPr>
              <w:pStyle w:val="TableParagraph"/>
              <w:spacing w:before="21"/>
              <w:ind w:left="161"/>
              <w:jc w:val="both"/>
              <w:rPr>
                <w:rFonts w:ascii="黑体" w:eastAsia="黑体" w:hint="eastAsia"/>
                <w:sz w:val="21"/>
              </w:rPr>
            </w:pPr>
            <w:r>
              <w:rPr>
                <w:rFonts w:ascii="黑体" w:eastAsia="黑体" w:hint="eastAsia"/>
                <w:sz w:val="21"/>
                <w:u w:val="single"/>
              </w:rPr>
              <w:t>下列疾病不在保障范围内：</w:t>
            </w:r>
          </w:p>
          <w:p>
            <w:pPr>
              <w:pStyle w:val="TableParagraph"/>
              <w:numPr>
                <w:ilvl w:val="0"/>
                <w:numId w:val="12"/>
              </w:numPr>
              <w:tabs>
                <w:tab w:pos="582" w:val="left" w:leader="none"/>
              </w:tabs>
              <w:spacing w:line="240" w:lineRule="auto" w:before="66" w:after="0"/>
              <w:ind w:left="581" w:right="0" w:hanging="420"/>
              <w:jc w:val="both"/>
              <w:rPr>
                <w:rFonts w:ascii="黑体" w:eastAsia="黑体" w:hint="eastAsia"/>
                <w:sz w:val="21"/>
              </w:rPr>
            </w:pPr>
            <w:r>
              <w:rPr>
                <w:rFonts w:ascii="黑体" w:eastAsia="黑体" w:hint="eastAsia"/>
                <w:spacing w:val="-1"/>
                <w:sz w:val="21"/>
                <w:u w:val="single"/>
              </w:rPr>
              <w:t>原位癌；</w:t>
            </w:r>
          </w:p>
          <w:p>
            <w:pPr>
              <w:pStyle w:val="TableParagraph"/>
              <w:numPr>
                <w:ilvl w:val="0"/>
                <w:numId w:val="12"/>
              </w:numPr>
              <w:tabs>
                <w:tab w:pos="582" w:val="left" w:leader="none"/>
              </w:tabs>
              <w:spacing w:line="240" w:lineRule="auto" w:before="66" w:after="0"/>
              <w:ind w:left="581" w:right="0" w:hanging="420"/>
              <w:jc w:val="both"/>
              <w:rPr>
                <w:rFonts w:ascii="黑体" w:eastAsia="黑体" w:hint="eastAsia"/>
                <w:sz w:val="21"/>
              </w:rPr>
            </w:pPr>
            <w:r>
              <w:rPr>
                <w:rFonts w:ascii="黑体" w:eastAsia="黑体" w:hint="eastAsia"/>
                <w:spacing w:val="-14"/>
                <w:sz w:val="21"/>
                <w:u w:val="single"/>
              </w:rPr>
              <w:t>相当于 </w:t>
            </w:r>
            <w:r>
              <w:rPr>
                <w:rFonts w:ascii="黑体" w:eastAsia="黑体" w:hint="eastAsia"/>
                <w:sz w:val="21"/>
                <w:u w:val="single"/>
              </w:rPr>
              <w:t>Binet</w:t>
            </w:r>
            <w:r>
              <w:rPr>
                <w:rFonts w:ascii="黑体" w:eastAsia="黑体" w:hint="eastAsia"/>
                <w:spacing w:val="-18"/>
                <w:sz w:val="21"/>
                <w:u w:val="single"/>
              </w:rPr>
              <w:t> 分期方案 </w:t>
            </w:r>
            <w:r>
              <w:rPr>
                <w:rFonts w:ascii="黑体" w:eastAsia="黑体" w:hint="eastAsia"/>
                <w:sz w:val="21"/>
                <w:u w:val="single"/>
              </w:rPr>
              <w:t>A</w:t>
            </w:r>
            <w:r>
              <w:rPr>
                <w:rFonts w:ascii="黑体" w:eastAsia="黑体" w:hint="eastAsia"/>
                <w:spacing w:val="-9"/>
                <w:sz w:val="21"/>
                <w:u w:val="single"/>
              </w:rPr>
              <w:t> 期程度的慢性淋巴细胞白血病；</w:t>
            </w:r>
          </w:p>
          <w:p>
            <w:pPr>
              <w:pStyle w:val="TableParagraph"/>
              <w:numPr>
                <w:ilvl w:val="0"/>
                <w:numId w:val="12"/>
              </w:numPr>
              <w:tabs>
                <w:tab w:pos="582" w:val="left" w:leader="none"/>
              </w:tabs>
              <w:spacing w:line="240" w:lineRule="auto" w:before="64" w:after="0"/>
              <w:ind w:left="581" w:right="0" w:hanging="420"/>
              <w:jc w:val="both"/>
              <w:rPr>
                <w:rFonts w:ascii="黑体" w:eastAsia="黑体" w:hint="eastAsia"/>
                <w:sz w:val="21"/>
              </w:rPr>
            </w:pPr>
            <w:r>
              <w:rPr>
                <w:rFonts w:ascii="黑体" w:eastAsia="黑体" w:hint="eastAsia"/>
                <w:spacing w:val="-14"/>
                <w:sz w:val="21"/>
                <w:u w:val="single"/>
              </w:rPr>
              <w:t>相当于 </w:t>
            </w:r>
            <w:r>
              <w:rPr>
                <w:rFonts w:ascii="黑体" w:eastAsia="黑体" w:hint="eastAsia"/>
                <w:sz w:val="21"/>
                <w:u w:val="single"/>
              </w:rPr>
              <w:t>Ann</w:t>
            </w:r>
            <w:r>
              <w:rPr>
                <w:rFonts w:ascii="黑体" w:eastAsia="黑体" w:hint="eastAsia"/>
                <w:spacing w:val="5"/>
                <w:sz w:val="21"/>
                <w:u w:val="single"/>
              </w:rPr>
              <w:t> </w:t>
            </w:r>
            <w:r>
              <w:rPr>
                <w:rFonts w:ascii="黑体" w:eastAsia="黑体" w:hint="eastAsia"/>
                <w:sz w:val="21"/>
                <w:u w:val="single"/>
              </w:rPr>
              <w:t>Arbor</w:t>
            </w:r>
            <w:r>
              <w:rPr>
                <w:rFonts w:ascii="黑体" w:eastAsia="黑体" w:hint="eastAsia"/>
                <w:spacing w:val="-19"/>
                <w:sz w:val="21"/>
                <w:u w:val="single"/>
              </w:rPr>
              <w:t> 分期方案 </w:t>
            </w:r>
            <w:r>
              <w:rPr>
                <w:rFonts w:ascii="黑体" w:eastAsia="黑体" w:hint="eastAsia"/>
                <w:sz w:val="21"/>
                <w:u w:val="single"/>
              </w:rPr>
              <w:t>I</w:t>
            </w:r>
            <w:r>
              <w:rPr>
                <w:rFonts w:ascii="黑体" w:eastAsia="黑体" w:hint="eastAsia"/>
                <w:spacing w:val="-9"/>
                <w:sz w:val="21"/>
                <w:u w:val="single"/>
              </w:rPr>
              <w:t> 期程度的何杰金氏病；</w:t>
            </w:r>
          </w:p>
          <w:p>
            <w:pPr>
              <w:pStyle w:val="TableParagraph"/>
              <w:numPr>
                <w:ilvl w:val="0"/>
                <w:numId w:val="12"/>
              </w:numPr>
              <w:tabs>
                <w:tab w:pos="582" w:val="left" w:leader="none"/>
              </w:tabs>
              <w:spacing w:line="240" w:lineRule="auto" w:before="65" w:after="0"/>
              <w:ind w:left="581" w:right="0" w:hanging="420"/>
              <w:jc w:val="both"/>
              <w:rPr>
                <w:rFonts w:ascii="黑体" w:eastAsia="黑体" w:hint="eastAsia"/>
                <w:sz w:val="21"/>
              </w:rPr>
            </w:pPr>
            <w:r>
              <w:rPr>
                <w:rFonts w:ascii="黑体" w:eastAsia="黑体" w:hint="eastAsia"/>
                <w:spacing w:val="-1"/>
                <w:w w:val="100"/>
                <w:sz w:val="21"/>
                <w:u w:val="single"/>
              </w:rPr>
              <w:t>皮肤癌</w:t>
            </w:r>
            <w:r>
              <w:rPr>
                <w:rFonts w:ascii="黑体" w:eastAsia="黑体" w:hint="eastAsia"/>
                <w:w w:val="100"/>
                <w:sz w:val="21"/>
                <w:u w:val="single"/>
              </w:rPr>
              <w:t>（</w:t>
            </w:r>
            <w:r>
              <w:rPr>
                <w:rFonts w:ascii="黑体" w:eastAsia="黑体" w:hint="eastAsia"/>
                <w:spacing w:val="-3"/>
                <w:w w:val="100"/>
                <w:sz w:val="21"/>
                <w:u w:val="single"/>
              </w:rPr>
              <w:t>不包括恶性黑色素瘤及已发</w:t>
            </w:r>
            <w:r>
              <w:rPr>
                <w:rFonts w:ascii="黑体" w:eastAsia="黑体" w:hint="eastAsia"/>
                <w:w w:val="100"/>
                <w:sz w:val="21"/>
                <w:u w:val="single"/>
              </w:rPr>
              <w:t>Th</w:t>
            </w:r>
            <w:r>
              <w:rPr>
                <w:rFonts w:ascii="黑体" w:eastAsia="黑体" w:hint="eastAsia"/>
                <w:spacing w:val="-3"/>
                <w:w w:val="100"/>
                <w:sz w:val="21"/>
                <w:u w:val="single"/>
              </w:rPr>
              <w:t>转移的皮肤癌</w:t>
            </w:r>
            <w:r>
              <w:rPr>
                <w:rFonts w:ascii="黑体" w:eastAsia="黑体" w:hint="eastAsia"/>
                <w:spacing w:val="-106"/>
                <w:w w:val="100"/>
                <w:sz w:val="21"/>
                <w:u w:val="single"/>
              </w:rPr>
              <w:t>）</w:t>
            </w:r>
            <w:r>
              <w:rPr>
                <w:rFonts w:ascii="黑体" w:eastAsia="黑体" w:hint="eastAsia"/>
                <w:w w:val="100"/>
                <w:sz w:val="21"/>
                <w:u w:val="single"/>
              </w:rPr>
              <w:t>；</w:t>
            </w:r>
          </w:p>
          <w:p>
            <w:pPr>
              <w:pStyle w:val="TableParagraph"/>
              <w:numPr>
                <w:ilvl w:val="0"/>
                <w:numId w:val="12"/>
              </w:numPr>
              <w:tabs>
                <w:tab w:pos="582" w:val="left" w:leader="none"/>
              </w:tabs>
              <w:spacing w:line="240" w:lineRule="auto" w:before="65" w:after="0"/>
              <w:ind w:left="581" w:right="0" w:hanging="420"/>
              <w:jc w:val="both"/>
              <w:rPr>
                <w:rFonts w:ascii="黑体" w:eastAsia="黑体" w:hint="eastAsia"/>
                <w:sz w:val="21"/>
              </w:rPr>
            </w:pPr>
            <w:r>
              <w:rPr>
                <w:rFonts w:ascii="黑体" w:eastAsia="黑体" w:hint="eastAsia"/>
                <w:position w:val="1"/>
                <w:sz w:val="21"/>
                <w:u w:val="single"/>
              </w:rPr>
              <w:t>TNM</w:t>
            </w:r>
            <w:r>
              <w:rPr>
                <w:rFonts w:ascii="黑体" w:eastAsia="黑体" w:hint="eastAsia"/>
                <w:spacing w:val="-19"/>
                <w:position w:val="1"/>
                <w:sz w:val="21"/>
                <w:u w:val="single"/>
              </w:rPr>
              <w:t> 分期为 </w:t>
            </w:r>
            <w:r>
              <w:rPr>
                <w:rFonts w:ascii="黑体" w:eastAsia="黑体" w:hint="eastAsia"/>
                <w:position w:val="1"/>
                <w:sz w:val="21"/>
                <w:u w:val="single"/>
              </w:rPr>
              <w:t>T</w:t>
            </w:r>
            <w:r>
              <w:rPr>
                <w:rFonts w:ascii="黑体" w:eastAsia="黑体" w:hint="eastAsia"/>
                <w:sz w:val="11"/>
                <w:u w:val="single"/>
              </w:rPr>
              <w:t>1</w:t>
            </w:r>
            <w:r>
              <w:rPr>
                <w:rFonts w:ascii="黑体" w:eastAsia="黑体" w:hint="eastAsia"/>
                <w:position w:val="1"/>
                <w:sz w:val="21"/>
                <w:u w:val="single"/>
              </w:rPr>
              <w:t>N</w:t>
            </w:r>
            <w:r>
              <w:rPr>
                <w:rFonts w:ascii="黑体" w:eastAsia="黑体" w:hint="eastAsia"/>
                <w:sz w:val="11"/>
                <w:u w:val="single"/>
              </w:rPr>
              <w:t>0</w:t>
            </w:r>
            <w:r>
              <w:rPr>
                <w:rFonts w:ascii="黑体" w:eastAsia="黑体" w:hint="eastAsia"/>
                <w:position w:val="1"/>
                <w:sz w:val="21"/>
                <w:u w:val="single"/>
              </w:rPr>
              <w:t>M</w:t>
            </w:r>
            <w:r>
              <w:rPr>
                <w:rFonts w:ascii="黑体" w:eastAsia="黑体" w:hint="eastAsia"/>
                <w:sz w:val="11"/>
                <w:u w:val="single"/>
              </w:rPr>
              <w:t>0</w:t>
            </w:r>
            <w:r>
              <w:rPr>
                <w:rFonts w:ascii="黑体" w:eastAsia="黑体" w:hint="eastAsia"/>
                <w:spacing w:val="-25"/>
                <w:sz w:val="11"/>
                <w:u w:val="single"/>
              </w:rPr>
              <w:t> </w:t>
            </w:r>
            <w:r>
              <w:rPr>
                <w:rFonts w:ascii="黑体" w:eastAsia="黑体" w:hint="eastAsia"/>
                <w:spacing w:val="-3"/>
                <w:position w:val="1"/>
                <w:sz w:val="21"/>
                <w:u w:val="single"/>
              </w:rPr>
              <w:t>期或更轻分期的前列腺癌；</w:t>
            </w:r>
          </w:p>
          <w:p>
            <w:pPr>
              <w:pStyle w:val="TableParagraph"/>
              <w:numPr>
                <w:ilvl w:val="0"/>
                <w:numId w:val="12"/>
              </w:numPr>
              <w:tabs>
                <w:tab w:pos="582" w:val="left" w:leader="none"/>
              </w:tabs>
              <w:spacing w:line="240" w:lineRule="auto" w:before="66" w:after="0"/>
              <w:ind w:left="581" w:right="0" w:hanging="420"/>
              <w:jc w:val="both"/>
              <w:rPr>
                <w:rFonts w:ascii="黑体" w:eastAsia="黑体" w:hint="eastAsia"/>
                <w:sz w:val="21"/>
              </w:rPr>
            </w:pPr>
            <w:r>
              <w:rPr>
                <w:rFonts w:ascii="黑体" w:eastAsia="黑体" w:hint="eastAsia"/>
                <w:spacing w:val="-3"/>
                <w:sz w:val="21"/>
                <w:u w:val="single"/>
              </w:rPr>
              <w:t>感染艾滋病病毒或患艾滋病期间所患恶性肿瘤。</w:t>
            </w:r>
          </w:p>
        </w:tc>
      </w:tr>
      <w:tr>
        <w:trPr>
          <w:trHeight w:val="2042" w:hRule="atLeast"/>
        </w:trPr>
        <w:tc>
          <w:tcPr>
            <w:tcW w:w="679" w:type="dxa"/>
          </w:tcPr>
          <w:p>
            <w:pPr>
              <w:pStyle w:val="TableParagraph"/>
              <w:ind w:left="0"/>
              <w:rPr>
                <w:rFonts w:ascii="Times New Roman"/>
                <w:sz w:val="20"/>
              </w:rPr>
            </w:pPr>
          </w:p>
        </w:tc>
        <w:tc>
          <w:tcPr>
            <w:tcW w:w="9011" w:type="dxa"/>
          </w:tcPr>
          <w:p>
            <w:pPr>
              <w:pStyle w:val="TableParagraph"/>
              <w:spacing w:line="273" w:lineRule="exact"/>
              <w:ind w:left="161"/>
              <w:rPr>
                <w:b/>
                <w:sz w:val="21"/>
              </w:rPr>
            </w:pPr>
            <w:r>
              <w:rPr>
                <w:b/>
                <w:sz w:val="21"/>
              </w:rPr>
              <w:t>急性心肌梗塞</w:t>
            </w:r>
          </w:p>
          <w:p>
            <w:pPr>
              <w:pStyle w:val="TableParagraph"/>
              <w:spacing w:before="66"/>
              <w:ind w:left="161"/>
              <w:rPr>
                <w:sz w:val="21"/>
              </w:rPr>
            </w:pPr>
            <w:r>
              <w:rPr>
                <w:sz w:val="21"/>
              </w:rPr>
              <w:t>指因冠状动脉阻塞导致的相应区域供血不足造成部分心肌坏死。须满足下列至少三项条件：</w:t>
            </w:r>
          </w:p>
          <w:p>
            <w:pPr>
              <w:pStyle w:val="TableParagraph"/>
              <w:numPr>
                <w:ilvl w:val="0"/>
                <w:numId w:val="13"/>
              </w:numPr>
              <w:tabs>
                <w:tab w:pos="581" w:val="left" w:leader="none"/>
                <w:tab w:pos="582" w:val="left" w:leader="none"/>
              </w:tabs>
              <w:spacing w:line="240" w:lineRule="auto" w:before="63" w:after="0"/>
              <w:ind w:left="581" w:right="0" w:hanging="420"/>
              <w:jc w:val="left"/>
              <w:rPr>
                <w:sz w:val="21"/>
              </w:rPr>
            </w:pPr>
            <w:r>
              <w:rPr>
                <w:spacing w:val="-3"/>
                <w:sz w:val="21"/>
              </w:rPr>
              <w:t>典型临床表现，例如急性胸痛等；</w:t>
            </w:r>
          </w:p>
          <w:p>
            <w:pPr>
              <w:pStyle w:val="TableParagraph"/>
              <w:numPr>
                <w:ilvl w:val="0"/>
                <w:numId w:val="13"/>
              </w:numPr>
              <w:tabs>
                <w:tab w:pos="581" w:val="left" w:leader="none"/>
                <w:tab w:pos="582" w:val="left" w:leader="none"/>
              </w:tabs>
              <w:spacing w:line="240" w:lineRule="auto" w:before="65" w:after="0"/>
              <w:ind w:left="581" w:right="0" w:hanging="420"/>
              <w:jc w:val="left"/>
              <w:rPr>
                <w:sz w:val="21"/>
              </w:rPr>
            </w:pPr>
            <w:r>
              <w:rPr>
                <w:spacing w:val="-3"/>
                <w:sz w:val="21"/>
              </w:rPr>
              <w:t>新近的心电图改变提示急性心肌梗塞；</w:t>
            </w:r>
          </w:p>
          <w:p>
            <w:pPr>
              <w:pStyle w:val="TableParagraph"/>
              <w:numPr>
                <w:ilvl w:val="0"/>
                <w:numId w:val="13"/>
              </w:numPr>
              <w:tabs>
                <w:tab w:pos="581" w:val="left" w:leader="none"/>
                <w:tab w:pos="582" w:val="left" w:leader="none"/>
              </w:tabs>
              <w:spacing w:line="240" w:lineRule="auto" w:before="65" w:after="0"/>
              <w:ind w:left="581" w:right="0" w:hanging="420"/>
              <w:jc w:val="left"/>
              <w:rPr>
                <w:sz w:val="21"/>
              </w:rPr>
            </w:pPr>
            <w:r>
              <w:rPr>
                <w:spacing w:val="-3"/>
                <w:sz w:val="21"/>
              </w:rPr>
              <w:t>心肌酶或肌钙蛋白有诊断意义的升高，或呈符合急性心肌梗塞的动态性变化；</w:t>
            </w:r>
          </w:p>
          <w:p>
            <w:pPr>
              <w:pStyle w:val="TableParagraph"/>
              <w:numPr>
                <w:ilvl w:val="0"/>
                <w:numId w:val="13"/>
              </w:numPr>
              <w:tabs>
                <w:tab w:pos="581" w:val="left" w:leader="none"/>
                <w:tab w:pos="582" w:val="left" w:leader="none"/>
              </w:tabs>
              <w:spacing w:line="240" w:lineRule="auto" w:before="65" w:after="0"/>
              <w:ind w:left="581" w:right="0" w:hanging="420"/>
              <w:jc w:val="left"/>
              <w:rPr>
                <w:sz w:val="21"/>
              </w:rPr>
            </w:pPr>
            <w:r>
              <w:rPr>
                <w:spacing w:val="-15"/>
                <w:sz w:val="21"/>
              </w:rPr>
              <w:t>发病 </w:t>
            </w:r>
            <w:r>
              <w:rPr>
                <w:sz w:val="21"/>
              </w:rPr>
              <w:t>90</w:t>
            </w:r>
            <w:r>
              <w:rPr>
                <w:spacing w:val="-11"/>
                <w:sz w:val="21"/>
              </w:rPr>
              <w:t> 天后，经检查证实左心室功能降低，如左心室射血分数低于 </w:t>
            </w:r>
            <w:r>
              <w:rPr>
                <w:sz w:val="21"/>
              </w:rPr>
              <w:t>50%。</w:t>
            </w:r>
          </w:p>
        </w:tc>
      </w:tr>
      <w:tr>
        <w:trPr>
          <w:trHeight w:val="2082" w:hRule="atLeast"/>
        </w:trPr>
        <w:tc>
          <w:tcPr>
            <w:tcW w:w="679" w:type="dxa"/>
          </w:tcPr>
          <w:p>
            <w:pPr>
              <w:pStyle w:val="TableParagraph"/>
              <w:ind w:left="0"/>
              <w:rPr>
                <w:rFonts w:ascii="Times New Roman"/>
                <w:sz w:val="20"/>
              </w:rPr>
            </w:pPr>
          </w:p>
        </w:tc>
        <w:tc>
          <w:tcPr>
            <w:tcW w:w="9011" w:type="dxa"/>
          </w:tcPr>
          <w:p>
            <w:pPr>
              <w:pStyle w:val="TableParagraph"/>
              <w:spacing w:line="273" w:lineRule="exact"/>
              <w:ind w:left="161"/>
              <w:rPr>
                <w:b/>
                <w:sz w:val="21"/>
              </w:rPr>
            </w:pPr>
            <w:r>
              <w:rPr>
                <w:b/>
                <w:sz w:val="21"/>
              </w:rPr>
              <w:t>脑中风后遗症</w:t>
            </w:r>
          </w:p>
          <w:p>
            <w:pPr>
              <w:pStyle w:val="TableParagraph"/>
              <w:spacing w:line="297" w:lineRule="auto" w:before="66"/>
              <w:ind w:left="161" w:right="304"/>
              <w:rPr>
                <w:sz w:val="21"/>
              </w:rPr>
            </w:pPr>
            <w:r>
              <w:rPr>
                <w:spacing w:val="-7"/>
                <w:sz w:val="21"/>
              </w:rPr>
              <w:t>指因脑血管的突发病变引起脑血管出血、栓塞或梗塞，并导致神经系统永久性的功能障碍。神经系统永久性的功能障碍，指疾病确诊 </w:t>
            </w:r>
            <w:r>
              <w:rPr>
                <w:sz w:val="21"/>
              </w:rPr>
              <w:t>180</w:t>
            </w:r>
            <w:r>
              <w:rPr>
                <w:spacing w:val="-7"/>
                <w:sz w:val="21"/>
              </w:rPr>
              <w:t> 天后，仍遗留下列一种或一种以上障碍：</w:t>
            </w:r>
          </w:p>
          <w:p>
            <w:pPr>
              <w:pStyle w:val="TableParagraph"/>
              <w:numPr>
                <w:ilvl w:val="0"/>
                <w:numId w:val="14"/>
              </w:numPr>
              <w:tabs>
                <w:tab w:pos="581" w:val="left" w:leader="none"/>
                <w:tab w:pos="582" w:val="left" w:leader="none"/>
              </w:tabs>
              <w:spacing w:line="240" w:lineRule="auto" w:before="10" w:after="0"/>
              <w:ind w:left="581" w:right="0" w:hanging="420"/>
              <w:jc w:val="left"/>
              <w:rPr>
                <w:sz w:val="21"/>
              </w:rPr>
            </w:pPr>
            <w:r>
              <w:rPr>
                <w:spacing w:val="-3"/>
                <w:sz w:val="21"/>
              </w:rPr>
              <w:t>一肢或一肢以上</w:t>
            </w:r>
            <w:r>
              <w:rPr>
                <w:b/>
                <w:spacing w:val="-6"/>
                <w:sz w:val="21"/>
              </w:rPr>
              <w:t>肢体机能完全丧失 </w:t>
            </w:r>
            <w:r>
              <w:rPr>
                <w:rFonts w:ascii="Times New Roman" w:eastAsia="Times New Roman"/>
                <w:b/>
                <w:i/>
                <w:position w:val="11"/>
                <w:sz w:val="16"/>
              </w:rPr>
              <w:t>7.8</w:t>
            </w:r>
            <w:r>
              <w:rPr>
                <w:sz w:val="21"/>
              </w:rPr>
              <w:t>；</w:t>
            </w:r>
          </w:p>
          <w:p>
            <w:pPr>
              <w:pStyle w:val="TableParagraph"/>
              <w:numPr>
                <w:ilvl w:val="0"/>
                <w:numId w:val="14"/>
              </w:numPr>
              <w:tabs>
                <w:tab w:pos="581" w:val="left" w:leader="none"/>
                <w:tab w:pos="582" w:val="left" w:leader="none"/>
              </w:tabs>
              <w:spacing w:line="240" w:lineRule="auto" w:before="65" w:after="0"/>
              <w:ind w:left="581" w:right="0" w:hanging="420"/>
              <w:jc w:val="left"/>
              <w:rPr>
                <w:sz w:val="21"/>
              </w:rPr>
            </w:pPr>
            <w:r>
              <w:rPr>
                <w:b/>
                <w:spacing w:val="-5"/>
                <w:sz w:val="21"/>
              </w:rPr>
              <w:t>语言能力或咀嚼吞咽能力完全丧失 </w:t>
            </w:r>
            <w:r>
              <w:rPr>
                <w:rFonts w:ascii="Times New Roman" w:eastAsia="Times New Roman"/>
                <w:b/>
                <w:i/>
                <w:position w:val="11"/>
                <w:sz w:val="16"/>
              </w:rPr>
              <w:t>7.9</w:t>
            </w:r>
            <w:r>
              <w:rPr>
                <w:sz w:val="21"/>
              </w:rPr>
              <w:t>；</w:t>
            </w:r>
          </w:p>
          <w:p>
            <w:pPr>
              <w:pStyle w:val="TableParagraph"/>
              <w:numPr>
                <w:ilvl w:val="0"/>
                <w:numId w:val="14"/>
              </w:numPr>
              <w:tabs>
                <w:tab w:pos="581" w:val="left" w:leader="none"/>
                <w:tab w:pos="582" w:val="left" w:leader="none"/>
              </w:tabs>
              <w:spacing w:line="240" w:lineRule="auto" w:before="63" w:after="0"/>
              <w:ind w:left="581" w:right="0" w:hanging="420"/>
              <w:jc w:val="left"/>
              <w:rPr>
                <w:sz w:val="21"/>
              </w:rPr>
            </w:pPr>
            <w:r>
              <w:rPr>
                <w:spacing w:val="-3"/>
                <w:sz w:val="21"/>
              </w:rPr>
              <w:t>自主生活能力完全丧失，无法独立完成</w:t>
            </w:r>
            <w:r>
              <w:rPr>
                <w:b/>
                <w:spacing w:val="-4"/>
                <w:sz w:val="21"/>
              </w:rPr>
              <w:t>六项基本日常生活活动 </w:t>
            </w:r>
            <w:r>
              <w:rPr>
                <w:rFonts w:ascii="Times New Roman" w:eastAsia="Times New Roman"/>
                <w:b/>
                <w:i/>
                <w:position w:val="11"/>
                <w:sz w:val="16"/>
              </w:rPr>
              <w:t>7.10</w:t>
            </w:r>
            <w:r>
              <w:rPr>
                <w:rFonts w:ascii="Times New Roman" w:eastAsia="Times New Roman"/>
                <w:b/>
                <w:i/>
                <w:spacing w:val="12"/>
                <w:position w:val="11"/>
                <w:sz w:val="16"/>
              </w:rPr>
              <w:t> </w:t>
            </w:r>
            <w:r>
              <w:rPr>
                <w:spacing w:val="-3"/>
                <w:sz w:val="21"/>
              </w:rPr>
              <w:t>中的三项或三项以上。</w:t>
            </w:r>
          </w:p>
        </w:tc>
      </w:tr>
      <w:tr>
        <w:trPr>
          <w:trHeight w:val="1702" w:hRule="atLeast"/>
        </w:trPr>
        <w:tc>
          <w:tcPr>
            <w:tcW w:w="679" w:type="dxa"/>
          </w:tcPr>
          <w:p>
            <w:pPr>
              <w:pStyle w:val="TableParagraph"/>
              <w:ind w:left="0"/>
              <w:rPr>
                <w:rFonts w:ascii="Times New Roman"/>
                <w:sz w:val="20"/>
              </w:rPr>
            </w:pPr>
          </w:p>
        </w:tc>
        <w:tc>
          <w:tcPr>
            <w:tcW w:w="9011" w:type="dxa"/>
          </w:tcPr>
          <w:p>
            <w:pPr>
              <w:pStyle w:val="TableParagraph"/>
              <w:spacing w:line="274" w:lineRule="exact"/>
              <w:ind w:left="161"/>
              <w:rPr>
                <w:b/>
                <w:sz w:val="21"/>
              </w:rPr>
            </w:pPr>
            <w:r>
              <w:rPr>
                <w:b/>
                <w:sz w:val="21"/>
              </w:rPr>
              <w:t>重大器官移植术或造血干细胞移植术</w:t>
            </w:r>
          </w:p>
          <w:p>
            <w:pPr>
              <w:pStyle w:val="TableParagraph"/>
              <w:spacing w:line="297" w:lineRule="auto" w:before="63"/>
              <w:ind w:left="161" w:right="304"/>
              <w:rPr>
                <w:sz w:val="21"/>
              </w:rPr>
            </w:pPr>
            <w:r>
              <w:rPr>
                <w:spacing w:val="-8"/>
                <w:sz w:val="21"/>
              </w:rPr>
              <w:t>重大器官移植术，指因相应器官功能衰竭，已经实施了肾脏、肝脏、心脏或肺脏的异体移植手术。</w:t>
            </w:r>
          </w:p>
          <w:p>
            <w:pPr>
              <w:pStyle w:val="TableParagraph"/>
              <w:spacing w:line="297" w:lineRule="auto" w:before="15"/>
              <w:ind w:left="161" w:right="304"/>
              <w:rPr>
                <w:sz w:val="21"/>
              </w:rPr>
            </w:pPr>
            <w:r>
              <w:rPr>
                <w:spacing w:val="-8"/>
                <w:sz w:val="21"/>
              </w:rPr>
              <w:t>造血干细胞移植术，指因造血功能损害或造血系统恶性肿瘤，已经实施了造血干细胞</w:t>
            </w:r>
            <w:r>
              <w:rPr>
                <w:spacing w:val="-3"/>
                <w:sz w:val="21"/>
              </w:rPr>
              <w:t>（</w:t>
            </w:r>
            <w:r>
              <w:rPr>
                <w:spacing w:val="-2"/>
                <w:sz w:val="21"/>
              </w:rPr>
              <w:t>包括骨</w:t>
            </w:r>
            <w:r>
              <w:rPr>
                <w:spacing w:val="-3"/>
                <w:sz w:val="21"/>
              </w:rPr>
              <w:t>髓造血干细胞、外周血造血干细胞和脐血造血干细胞</w:t>
            </w:r>
            <w:r>
              <w:rPr>
                <w:sz w:val="21"/>
              </w:rPr>
              <w:t>）</w:t>
            </w:r>
            <w:r>
              <w:rPr>
                <w:spacing w:val="-3"/>
                <w:sz w:val="21"/>
              </w:rPr>
              <w:t>的异体移植手术。</w:t>
            </w:r>
          </w:p>
        </w:tc>
      </w:tr>
      <w:tr>
        <w:trPr>
          <w:trHeight w:val="1361" w:hRule="atLeast"/>
        </w:trPr>
        <w:tc>
          <w:tcPr>
            <w:tcW w:w="679" w:type="dxa"/>
          </w:tcPr>
          <w:p>
            <w:pPr>
              <w:pStyle w:val="TableParagraph"/>
              <w:ind w:left="0"/>
              <w:rPr>
                <w:rFonts w:ascii="Times New Roman"/>
                <w:sz w:val="20"/>
              </w:rPr>
            </w:pPr>
          </w:p>
        </w:tc>
        <w:tc>
          <w:tcPr>
            <w:tcW w:w="9011" w:type="dxa"/>
          </w:tcPr>
          <w:p>
            <w:pPr>
              <w:pStyle w:val="TableParagraph"/>
              <w:spacing w:line="273" w:lineRule="exact"/>
              <w:ind w:left="161"/>
              <w:rPr>
                <w:b/>
                <w:sz w:val="21"/>
              </w:rPr>
            </w:pPr>
            <w:r>
              <w:rPr>
                <w:b/>
                <w:sz w:val="21"/>
              </w:rPr>
              <w:t>冠状动脉搭桥术（或称冠状动脉旁路移植术）</w:t>
            </w:r>
          </w:p>
          <w:p>
            <w:pPr>
              <w:pStyle w:val="TableParagraph"/>
              <w:spacing w:before="66"/>
              <w:ind w:left="161"/>
              <w:rPr>
                <w:sz w:val="21"/>
              </w:rPr>
            </w:pPr>
            <w:r>
              <w:rPr>
                <w:sz w:val="21"/>
              </w:rPr>
              <w:t>指为治疗严重的冠心病，实际实施了开胸进行的冠状动脉血管旁路移植的手术。</w:t>
            </w:r>
          </w:p>
          <w:p>
            <w:pPr>
              <w:pStyle w:val="TableParagraph"/>
              <w:spacing w:line="295" w:lineRule="auto" w:before="65"/>
              <w:ind w:left="161" w:right="304"/>
              <w:rPr>
                <w:rFonts w:ascii="黑体" w:eastAsia="黑体" w:hint="eastAsia"/>
                <w:sz w:val="21"/>
              </w:rPr>
            </w:pPr>
            <w:r>
              <w:rPr>
                <w:rFonts w:ascii="黑体" w:eastAsia="黑体" w:hint="eastAsia"/>
                <w:spacing w:val="-8"/>
                <w:sz w:val="21"/>
                <w:u w:val="single"/>
              </w:rPr>
              <w:t>冠状动脉支架植入术、心导管球囊扩张术、激光射频技术及其它非开胸的介入手术、腔镜手术</w:t>
            </w:r>
            <w:r>
              <w:rPr>
                <w:rFonts w:ascii="黑体" w:eastAsia="黑体" w:hint="eastAsia"/>
                <w:spacing w:val="-203"/>
                <w:sz w:val="21"/>
                <w:u w:val="single"/>
              </w:rPr>
              <w:t>不</w:t>
            </w:r>
            <w:r>
              <w:rPr>
                <w:rFonts w:ascii="黑体" w:eastAsia="黑体" w:hint="eastAsia"/>
                <w:spacing w:val="-3"/>
                <w:sz w:val="21"/>
                <w:u w:val="single"/>
              </w:rPr>
              <w:t>在保障范围内。</w:t>
            </w:r>
          </w:p>
        </w:tc>
      </w:tr>
      <w:tr>
        <w:trPr>
          <w:trHeight w:val="616" w:hRule="atLeast"/>
        </w:trPr>
        <w:tc>
          <w:tcPr>
            <w:tcW w:w="679" w:type="dxa"/>
          </w:tcPr>
          <w:p>
            <w:pPr>
              <w:pStyle w:val="TableParagraph"/>
              <w:ind w:left="0"/>
              <w:rPr>
                <w:rFonts w:ascii="Times New Roman"/>
                <w:sz w:val="20"/>
              </w:rPr>
            </w:pPr>
          </w:p>
        </w:tc>
        <w:tc>
          <w:tcPr>
            <w:tcW w:w="9011" w:type="dxa"/>
          </w:tcPr>
          <w:p>
            <w:pPr>
              <w:pStyle w:val="TableParagraph"/>
              <w:spacing w:line="273" w:lineRule="exact"/>
              <w:ind w:left="161"/>
              <w:rPr>
                <w:sz w:val="21"/>
              </w:rPr>
            </w:pPr>
            <w:r>
              <w:rPr>
                <w:b/>
                <w:sz w:val="21"/>
              </w:rPr>
              <w:t>终末期肾病（或称慢性肾功能衰竭尿毒症期） </w:t>
            </w:r>
            <w:r>
              <w:rPr>
                <w:sz w:val="21"/>
              </w:rPr>
              <w:t>指双肾功能慢性不可逆性衰竭，达到尿毒症期，</w:t>
            </w:r>
          </w:p>
          <w:p>
            <w:pPr>
              <w:pStyle w:val="TableParagraph"/>
              <w:spacing w:line="258" w:lineRule="exact" w:before="66"/>
              <w:ind w:left="161"/>
              <w:rPr>
                <w:sz w:val="21"/>
              </w:rPr>
            </w:pPr>
            <w:r>
              <w:rPr>
                <w:sz w:val="21"/>
              </w:rPr>
              <w:t>经诊断后已经进行了至少 90 天的规律性透析治疗或实施了肾脏移植手术。</w:t>
            </w:r>
          </w:p>
        </w:tc>
      </w:tr>
    </w:tbl>
    <w:p>
      <w:pPr>
        <w:spacing w:after="0" w:line="258" w:lineRule="exact"/>
        <w:rPr>
          <w:sz w:val="21"/>
        </w:rPr>
        <w:sectPr>
          <w:pgSz w:w="11910" w:h="16840"/>
          <w:pgMar w:header="0" w:footer="925" w:top="1260" w:bottom="1120" w:left="1060" w:right="940"/>
        </w:sect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3"/>
      </w:tblGrid>
      <w:tr>
        <w:trPr>
          <w:trHeight w:val="617" w:hRule="atLeast"/>
        </w:trPr>
        <w:tc>
          <w:tcPr>
            <w:tcW w:w="9013" w:type="dxa"/>
          </w:tcPr>
          <w:p>
            <w:pPr>
              <w:pStyle w:val="TableParagraph"/>
              <w:spacing w:line="208" w:lineRule="exact"/>
              <w:ind w:left="200"/>
              <w:rPr>
                <w:sz w:val="21"/>
              </w:rPr>
            </w:pPr>
            <w:r>
              <w:rPr>
                <w:b/>
                <w:sz w:val="21"/>
              </w:rPr>
              <w:t>多个肢体缺失 </w:t>
            </w:r>
            <w:r>
              <w:rPr>
                <w:sz w:val="21"/>
              </w:rPr>
              <w:t>指因疾病或意外伤害导致两个或两个以上肢体自腕关节或踝关节近端（靠近躯</w:t>
            </w:r>
          </w:p>
          <w:p>
            <w:pPr>
              <w:pStyle w:val="TableParagraph"/>
              <w:spacing w:before="66"/>
              <w:ind w:left="200"/>
              <w:rPr>
                <w:sz w:val="21"/>
              </w:rPr>
            </w:pPr>
            <w:r>
              <w:rPr>
                <w:sz w:val="21"/>
              </w:rPr>
              <w:t>干端）以上完全性断离。</w:t>
            </w:r>
          </w:p>
        </w:tc>
      </w:tr>
      <w:tr>
        <w:trPr>
          <w:trHeight w:val="2383" w:hRule="atLeast"/>
        </w:trPr>
        <w:tc>
          <w:tcPr>
            <w:tcW w:w="9013" w:type="dxa"/>
          </w:tcPr>
          <w:p>
            <w:pPr>
              <w:pStyle w:val="TableParagraph"/>
              <w:spacing w:line="273" w:lineRule="exact"/>
              <w:ind w:left="200"/>
              <w:rPr>
                <w:b/>
                <w:sz w:val="21"/>
              </w:rPr>
            </w:pPr>
            <w:r>
              <w:rPr>
                <w:b/>
                <w:sz w:val="21"/>
              </w:rPr>
              <w:t>急性或亚急性重症肝炎</w:t>
            </w:r>
          </w:p>
          <w:p>
            <w:pPr>
              <w:pStyle w:val="TableParagraph"/>
              <w:spacing w:line="297" w:lineRule="auto" w:before="66"/>
              <w:ind w:left="200" w:right="267"/>
              <w:rPr>
                <w:sz w:val="21"/>
              </w:rPr>
            </w:pPr>
            <w:r>
              <w:rPr>
                <w:spacing w:val="-7"/>
                <w:sz w:val="21"/>
              </w:rPr>
              <w:t>指因肝炎病毒感染引起肝脏组织弥漫性坏死，导致急性肝功能衰竭，且经血清学或病毒学检查</w:t>
            </w:r>
            <w:r>
              <w:rPr>
                <w:spacing w:val="-5"/>
                <w:sz w:val="21"/>
              </w:rPr>
              <w:t>证实，并须满足下列全部条件：</w:t>
            </w:r>
          </w:p>
          <w:p>
            <w:pPr>
              <w:pStyle w:val="TableParagraph"/>
              <w:numPr>
                <w:ilvl w:val="0"/>
                <w:numId w:val="15"/>
              </w:numPr>
              <w:tabs>
                <w:tab w:pos="619" w:val="left" w:leader="none"/>
                <w:tab w:pos="620" w:val="left" w:leader="none"/>
              </w:tabs>
              <w:spacing w:line="240" w:lineRule="auto" w:before="13" w:after="0"/>
              <w:ind w:left="620" w:right="0" w:hanging="420"/>
              <w:jc w:val="left"/>
              <w:rPr>
                <w:sz w:val="21"/>
              </w:rPr>
            </w:pPr>
            <w:r>
              <w:rPr>
                <w:spacing w:val="-3"/>
                <w:sz w:val="21"/>
              </w:rPr>
              <w:t>重度黄疸或黄疸迅速加重；</w:t>
            </w:r>
          </w:p>
          <w:p>
            <w:pPr>
              <w:pStyle w:val="TableParagraph"/>
              <w:numPr>
                <w:ilvl w:val="0"/>
                <w:numId w:val="15"/>
              </w:numPr>
              <w:tabs>
                <w:tab w:pos="619" w:val="left" w:leader="none"/>
                <w:tab w:pos="620" w:val="left" w:leader="none"/>
              </w:tabs>
              <w:spacing w:line="240" w:lineRule="auto" w:before="65" w:after="0"/>
              <w:ind w:left="620" w:right="0" w:hanging="420"/>
              <w:jc w:val="left"/>
              <w:rPr>
                <w:sz w:val="21"/>
              </w:rPr>
            </w:pPr>
            <w:r>
              <w:rPr>
                <w:spacing w:val="-1"/>
                <w:sz w:val="21"/>
              </w:rPr>
              <w:t>肝性脑病；</w:t>
            </w:r>
          </w:p>
          <w:p>
            <w:pPr>
              <w:pStyle w:val="TableParagraph"/>
              <w:numPr>
                <w:ilvl w:val="0"/>
                <w:numId w:val="15"/>
              </w:numPr>
              <w:tabs>
                <w:tab w:pos="619" w:val="left" w:leader="none"/>
                <w:tab w:pos="620" w:val="left" w:leader="none"/>
              </w:tabs>
              <w:spacing w:line="240" w:lineRule="auto" w:before="65" w:after="0"/>
              <w:ind w:left="620" w:right="0" w:hanging="420"/>
              <w:jc w:val="left"/>
              <w:rPr>
                <w:sz w:val="21"/>
              </w:rPr>
            </w:pPr>
            <w:r>
              <w:rPr>
                <w:sz w:val="21"/>
              </w:rPr>
              <w:t>B</w:t>
            </w:r>
            <w:r>
              <w:rPr>
                <w:spacing w:val="-7"/>
                <w:sz w:val="21"/>
              </w:rPr>
              <w:t> 超或其它影像学检查显示肝脏体积急速萎缩；</w:t>
            </w:r>
          </w:p>
          <w:p>
            <w:pPr>
              <w:pStyle w:val="TableParagraph"/>
              <w:numPr>
                <w:ilvl w:val="0"/>
                <w:numId w:val="15"/>
              </w:numPr>
              <w:tabs>
                <w:tab w:pos="619" w:val="left" w:leader="none"/>
                <w:tab w:pos="620" w:val="left" w:leader="none"/>
              </w:tabs>
              <w:spacing w:line="240" w:lineRule="auto" w:before="65" w:after="0"/>
              <w:ind w:left="620" w:right="0" w:hanging="420"/>
              <w:jc w:val="left"/>
              <w:rPr>
                <w:sz w:val="21"/>
              </w:rPr>
            </w:pPr>
            <w:r>
              <w:rPr>
                <w:spacing w:val="-3"/>
                <w:sz w:val="21"/>
              </w:rPr>
              <w:t>肝功能指标进行性恶化。</w:t>
            </w:r>
          </w:p>
        </w:tc>
      </w:tr>
      <w:tr>
        <w:trPr>
          <w:trHeight w:val="2383" w:hRule="atLeast"/>
        </w:trPr>
        <w:tc>
          <w:tcPr>
            <w:tcW w:w="9013" w:type="dxa"/>
          </w:tcPr>
          <w:p>
            <w:pPr>
              <w:pStyle w:val="TableParagraph"/>
              <w:spacing w:line="273" w:lineRule="exact"/>
              <w:ind w:left="200"/>
              <w:rPr>
                <w:b/>
                <w:sz w:val="21"/>
              </w:rPr>
            </w:pPr>
            <w:r>
              <w:rPr>
                <w:b/>
                <w:sz w:val="21"/>
              </w:rPr>
              <w:t>良性脑肿瘤</w:t>
            </w:r>
          </w:p>
          <w:p>
            <w:pPr>
              <w:pStyle w:val="TableParagraph"/>
              <w:spacing w:line="297" w:lineRule="auto" w:before="66"/>
              <w:ind w:left="200" w:right="268"/>
              <w:jc w:val="both"/>
              <w:rPr>
                <w:sz w:val="21"/>
              </w:rPr>
            </w:pPr>
            <w:r>
              <w:rPr>
                <w:spacing w:val="-8"/>
                <w:sz w:val="21"/>
              </w:rPr>
              <w:t>指脑的良性肿瘤，已经引起颅内压增高，临床表现为视神经乳头水肿、精神症状、癫痫及运动</w:t>
            </w:r>
            <w:r>
              <w:rPr>
                <w:spacing w:val="-9"/>
                <w:w w:val="100"/>
                <w:sz w:val="21"/>
              </w:rPr>
              <w:t>感觉障碍等，并危及生命。须由头颅断层扫描</w:t>
            </w:r>
            <w:r>
              <w:rPr>
                <w:spacing w:val="-1"/>
                <w:w w:val="100"/>
                <w:sz w:val="21"/>
              </w:rPr>
              <w:t>（</w:t>
            </w:r>
            <w:r>
              <w:rPr>
                <w:w w:val="100"/>
                <w:sz w:val="21"/>
              </w:rPr>
              <w:t>C</w:t>
            </w:r>
            <w:r>
              <w:rPr>
                <w:spacing w:val="-3"/>
                <w:w w:val="100"/>
                <w:sz w:val="21"/>
              </w:rPr>
              <w:t>T</w:t>
            </w:r>
            <w:r>
              <w:rPr>
                <w:spacing w:val="-108"/>
                <w:w w:val="100"/>
                <w:sz w:val="21"/>
              </w:rPr>
              <w:t>）</w:t>
            </w:r>
            <w:r>
              <w:rPr>
                <w:spacing w:val="-7"/>
                <w:w w:val="100"/>
                <w:sz w:val="21"/>
              </w:rPr>
              <w:t>、核磁共振检查</w:t>
            </w:r>
            <w:r>
              <w:rPr>
                <w:w w:val="100"/>
                <w:sz w:val="21"/>
              </w:rPr>
              <w:t>（M</w:t>
            </w:r>
            <w:r>
              <w:rPr>
                <w:spacing w:val="-3"/>
                <w:w w:val="100"/>
                <w:sz w:val="21"/>
              </w:rPr>
              <w:t>R</w:t>
            </w:r>
            <w:r>
              <w:rPr>
                <w:spacing w:val="-1"/>
                <w:w w:val="100"/>
                <w:sz w:val="21"/>
              </w:rPr>
              <w:t>I</w:t>
            </w:r>
            <w:r>
              <w:rPr>
                <w:spacing w:val="-15"/>
                <w:w w:val="100"/>
                <w:sz w:val="21"/>
              </w:rPr>
              <w:t>）</w:t>
            </w:r>
            <w:r>
              <w:rPr>
                <w:spacing w:val="-3"/>
                <w:w w:val="100"/>
                <w:sz w:val="21"/>
              </w:rPr>
              <w:t>或正电子发射断层</w:t>
            </w:r>
            <w:r>
              <w:rPr>
                <w:spacing w:val="-1"/>
                <w:sz w:val="21"/>
              </w:rPr>
              <w:t>扫描（PET）</w:t>
            </w:r>
            <w:r>
              <w:rPr>
                <w:spacing w:val="-3"/>
                <w:sz w:val="21"/>
              </w:rPr>
              <w:t>等影像学检查证实，并须满足下列至少一项条件：</w:t>
            </w:r>
          </w:p>
          <w:p>
            <w:pPr>
              <w:pStyle w:val="TableParagraph"/>
              <w:numPr>
                <w:ilvl w:val="0"/>
                <w:numId w:val="16"/>
              </w:numPr>
              <w:tabs>
                <w:tab w:pos="620" w:val="left" w:leader="none"/>
              </w:tabs>
              <w:spacing w:line="240" w:lineRule="auto" w:before="16" w:after="0"/>
              <w:ind w:left="620" w:right="0" w:hanging="420"/>
              <w:jc w:val="both"/>
              <w:rPr>
                <w:sz w:val="21"/>
              </w:rPr>
            </w:pPr>
            <w:r>
              <w:rPr>
                <w:spacing w:val="-3"/>
                <w:sz w:val="21"/>
              </w:rPr>
              <w:t>实际实施了开颅进行的脑肿瘤完全切除或部分切除的手术；</w:t>
            </w:r>
          </w:p>
          <w:p>
            <w:pPr>
              <w:pStyle w:val="TableParagraph"/>
              <w:numPr>
                <w:ilvl w:val="0"/>
                <w:numId w:val="16"/>
              </w:numPr>
              <w:tabs>
                <w:tab w:pos="620" w:val="left" w:leader="none"/>
              </w:tabs>
              <w:spacing w:line="240" w:lineRule="auto" w:before="65" w:after="0"/>
              <w:ind w:left="620" w:right="0" w:hanging="420"/>
              <w:jc w:val="both"/>
              <w:rPr>
                <w:sz w:val="21"/>
              </w:rPr>
            </w:pPr>
            <w:r>
              <w:rPr>
                <w:spacing w:val="-3"/>
                <w:sz w:val="21"/>
              </w:rPr>
              <w:t>实际实施了对脑肿瘤进行的放射治疗。</w:t>
            </w:r>
          </w:p>
          <w:p>
            <w:pPr>
              <w:pStyle w:val="TableParagraph"/>
              <w:spacing w:before="65"/>
              <w:ind w:left="200"/>
              <w:jc w:val="both"/>
              <w:rPr>
                <w:rFonts w:ascii="黑体" w:eastAsia="黑体" w:hint="eastAsia"/>
                <w:sz w:val="21"/>
              </w:rPr>
            </w:pPr>
            <w:r>
              <w:rPr>
                <w:rFonts w:ascii="黑体" w:eastAsia="黑体" w:hint="eastAsia"/>
                <w:sz w:val="21"/>
                <w:u w:val="single"/>
              </w:rPr>
              <w:t>脑垂体瘤、脑囊肿、脑血管性疾病不在保障范围内。</w:t>
            </w:r>
          </w:p>
        </w:tc>
      </w:tr>
      <w:tr>
        <w:trPr>
          <w:trHeight w:val="2383" w:hRule="atLeast"/>
        </w:trPr>
        <w:tc>
          <w:tcPr>
            <w:tcW w:w="9013" w:type="dxa"/>
          </w:tcPr>
          <w:p>
            <w:pPr>
              <w:pStyle w:val="TableParagraph"/>
              <w:spacing w:line="273" w:lineRule="exact"/>
              <w:ind w:left="200"/>
              <w:rPr>
                <w:b/>
                <w:sz w:val="21"/>
              </w:rPr>
            </w:pPr>
            <w:r>
              <w:rPr>
                <w:b/>
                <w:sz w:val="21"/>
              </w:rPr>
              <w:t>慢性肝功能衰竭失代偿期</w:t>
            </w:r>
          </w:p>
          <w:p>
            <w:pPr>
              <w:pStyle w:val="TableParagraph"/>
              <w:spacing w:before="66"/>
              <w:ind w:left="200"/>
              <w:rPr>
                <w:sz w:val="21"/>
              </w:rPr>
            </w:pPr>
            <w:r>
              <w:rPr>
                <w:sz w:val="21"/>
              </w:rPr>
              <w:t>指因慢性肝脏疾病导致肝功能衰竭。须满足下列全部条件：</w:t>
            </w:r>
          </w:p>
          <w:p>
            <w:pPr>
              <w:pStyle w:val="TableParagraph"/>
              <w:numPr>
                <w:ilvl w:val="0"/>
                <w:numId w:val="17"/>
              </w:numPr>
              <w:tabs>
                <w:tab w:pos="619" w:val="left" w:leader="none"/>
                <w:tab w:pos="620" w:val="left" w:leader="none"/>
              </w:tabs>
              <w:spacing w:line="240" w:lineRule="auto" w:before="63" w:after="0"/>
              <w:ind w:left="620" w:right="0" w:hanging="420"/>
              <w:jc w:val="left"/>
              <w:rPr>
                <w:sz w:val="21"/>
              </w:rPr>
            </w:pPr>
            <w:r>
              <w:rPr>
                <w:spacing w:val="-2"/>
                <w:sz w:val="21"/>
              </w:rPr>
              <w:t>持续性黄疸；</w:t>
            </w:r>
          </w:p>
          <w:p>
            <w:pPr>
              <w:pStyle w:val="TableParagraph"/>
              <w:numPr>
                <w:ilvl w:val="0"/>
                <w:numId w:val="17"/>
              </w:numPr>
              <w:tabs>
                <w:tab w:pos="619" w:val="left" w:leader="none"/>
                <w:tab w:pos="620" w:val="left" w:leader="none"/>
              </w:tabs>
              <w:spacing w:line="240" w:lineRule="auto" w:before="65" w:after="0"/>
              <w:ind w:left="620" w:right="0" w:hanging="420"/>
              <w:jc w:val="left"/>
              <w:rPr>
                <w:sz w:val="21"/>
              </w:rPr>
            </w:pPr>
            <w:r>
              <w:rPr>
                <w:sz w:val="21"/>
              </w:rPr>
              <w:t>腹水；</w:t>
            </w:r>
          </w:p>
          <w:p>
            <w:pPr>
              <w:pStyle w:val="TableParagraph"/>
              <w:numPr>
                <w:ilvl w:val="0"/>
                <w:numId w:val="17"/>
              </w:numPr>
              <w:tabs>
                <w:tab w:pos="619" w:val="left" w:leader="none"/>
                <w:tab w:pos="620" w:val="left" w:leader="none"/>
              </w:tabs>
              <w:spacing w:line="240" w:lineRule="auto" w:before="65" w:after="0"/>
              <w:ind w:left="620" w:right="0" w:hanging="420"/>
              <w:jc w:val="left"/>
              <w:rPr>
                <w:sz w:val="21"/>
              </w:rPr>
            </w:pPr>
            <w:r>
              <w:rPr>
                <w:spacing w:val="-1"/>
                <w:sz w:val="21"/>
              </w:rPr>
              <w:t>肝性脑病；</w:t>
            </w:r>
          </w:p>
          <w:p>
            <w:pPr>
              <w:pStyle w:val="TableParagraph"/>
              <w:numPr>
                <w:ilvl w:val="0"/>
                <w:numId w:val="17"/>
              </w:numPr>
              <w:tabs>
                <w:tab w:pos="619" w:val="left" w:leader="none"/>
                <w:tab w:pos="620" w:val="left" w:leader="none"/>
              </w:tabs>
              <w:spacing w:line="240" w:lineRule="auto" w:before="65" w:after="0"/>
              <w:ind w:left="620" w:right="0" w:hanging="420"/>
              <w:jc w:val="left"/>
              <w:rPr>
                <w:sz w:val="21"/>
              </w:rPr>
            </w:pPr>
            <w:r>
              <w:rPr>
                <w:spacing w:val="-3"/>
                <w:sz w:val="21"/>
              </w:rPr>
              <w:t>充血性脾肿大伴脾功能亢进或食管胃底静脉曲张。</w:t>
            </w:r>
          </w:p>
          <w:p>
            <w:pPr>
              <w:pStyle w:val="TableParagraph"/>
              <w:spacing w:before="65"/>
              <w:ind w:left="200"/>
              <w:rPr>
                <w:rFonts w:ascii="黑体" w:eastAsia="黑体" w:hint="eastAsia"/>
                <w:sz w:val="21"/>
              </w:rPr>
            </w:pPr>
            <w:r>
              <w:rPr>
                <w:rFonts w:ascii="黑体" w:eastAsia="黑体" w:hint="eastAsia"/>
                <w:sz w:val="21"/>
                <w:u w:val="single"/>
              </w:rPr>
              <w:t>因酗酒或药物滥用导致的肝功能衰竭不在保障范围内。</w:t>
            </w:r>
          </w:p>
        </w:tc>
      </w:tr>
      <w:tr>
        <w:trPr>
          <w:trHeight w:val="2042" w:hRule="atLeast"/>
        </w:trPr>
        <w:tc>
          <w:tcPr>
            <w:tcW w:w="9013" w:type="dxa"/>
          </w:tcPr>
          <w:p>
            <w:pPr>
              <w:pStyle w:val="TableParagraph"/>
              <w:spacing w:line="273" w:lineRule="exact"/>
              <w:ind w:left="200"/>
              <w:rPr>
                <w:b/>
                <w:sz w:val="21"/>
              </w:rPr>
            </w:pPr>
            <w:r>
              <w:rPr>
                <w:b/>
                <w:sz w:val="21"/>
              </w:rPr>
              <w:t>脑炎后遗症或脑膜炎后遗症</w:t>
            </w:r>
          </w:p>
          <w:p>
            <w:pPr>
              <w:pStyle w:val="TableParagraph"/>
              <w:spacing w:line="297" w:lineRule="auto" w:before="64"/>
              <w:ind w:left="200" w:right="268"/>
              <w:rPr>
                <w:sz w:val="21"/>
              </w:rPr>
            </w:pPr>
            <w:r>
              <w:rPr>
                <w:spacing w:val="-6"/>
                <w:sz w:val="21"/>
              </w:rPr>
              <w:t>指因患脑炎或脑膜炎导致的神经系统永久性的功能障碍。神经系统永久性的功能障碍，指疾病</w:t>
            </w:r>
            <w:r>
              <w:rPr>
                <w:spacing w:val="-18"/>
                <w:sz w:val="21"/>
              </w:rPr>
              <w:t>确诊 </w:t>
            </w:r>
            <w:r>
              <w:rPr>
                <w:sz w:val="21"/>
              </w:rPr>
              <w:t>180</w:t>
            </w:r>
            <w:r>
              <w:rPr>
                <w:spacing w:val="-8"/>
                <w:sz w:val="21"/>
              </w:rPr>
              <w:t> 天后，仍遗留下列一种或一种以上障碍：</w:t>
            </w:r>
          </w:p>
          <w:p>
            <w:pPr>
              <w:pStyle w:val="TableParagraph"/>
              <w:numPr>
                <w:ilvl w:val="0"/>
                <w:numId w:val="18"/>
              </w:numPr>
              <w:tabs>
                <w:tab w:pos="619" w:val="left" w:leader="none"/>
                <w:tab w:pos="620" w:val="left" w:leader="none"/>
              </w:tabs>
              <w:spacing w:line="240" w:lineRule="auto" w:before="15" w:after="0"/>
              <w:ind w:left="620" w:right="0" w:hanging="420"/>
              <w:jc w:val="left"/>
              <w:rPr>
                <w:sz w:val="21"/>
              </w:rPr>
            </w:pPr>
            <w:r>
              <w:rPr>
                <w:spacing w:val="-3"/>
                <w:sz w:val="21"/>
              </w:rPr>
              <w:t>一肢或一肢以上肢体机能完全丧失；</w:t>
            </w:r>
          </w:p>
          <w:p>
            <w:pPr>
              <w:pStyle w:val="TableParagraph"/>
              <w:numPr>
                <w:ilvl w:val="0"/>
                <w:numId w:val="18"/>
              </w:numPr>
              <w:tabs>
                <w:tab w:pos="619" w:val="left" w:leader="none"/>
                <w:tab w:pos="620" w:val="left" w:leader="none"/>
              </w:tabs>
              <w:spacing w:line="240" w:lineRule="auto" w:before="65" w:after="0"/>
              <w:ind w:left="620" w:right="0" w:hanging="420"/>
              <w:jc w:val="left"/>
              <w:rPr>
                <w:sz w:val="21"/>
              </w:rPr>
            </w:pPr>
            <w:r>
              <w:rPr>
                <w:spacing w:val="-3"/>
                <w:sz w:val="21"/>
              </w:rPr>
              <w:t>语言能力或咀嚼吞咽能力完全丧失；</w:t>
            </w:r>
          </w:p>
          <w:p>
            <w:pPr>
              <w:pStyle w:val="TableParagraph"/>
              <w:numPr>
                <w:ilvl w:val="0"/>
                <w:numId w:val="18"/>
              </w:numPr>
              <w:tabs>
                <w:tab w:pos="619" w:val="left" w:leader="none"/>
                <w:tab w:pos="620" w:val="left" w:leader="none"/>
              </w:tabs>
              <w:spacing w:line="240" w:lineRule="auto" w:before="65" w:after="0"/>
              <w:ind w:left="620" w:right="0" w:hanging="420"/>
              <w:jc w:val="left"/>
              <w:rPr>
                <w:sz w:val="21"/>
              </w:rPr>
            </w:pPr>
            <w:r>
              <w:rPr>
                <w:spacing w:val="-3"/>
                <w:sz w:val="21"/>
              </w:rPr>
              <w:t>自主生活能力完全丧失，无法独立完成六项基本日常生活活动中的三项或三项以上。</w:t>
            </w:r>
          </w:p>
        </w:tc>
      </w:tr>
      <w:tr>
        <w:trPr>
          <w:trHeight w:val="1701" w:hRule="atLeast"/>
        </w:trPr>
        <w:tc>
          <w:tcPr>
            <w:tcW w:w="9013" w:type="dxa"/>
          </w:tcPr>
          <w:p>
            <w:pPr>
              <w:pStyle w:val="TableParagraph"/>
              <w:spacing w:line="273" w:lineRule="exact"/>
              <w:ind w:left="200"/>
              <w:rPr>
                <w:b/>
                <w:sz w:val="21"/>
              </w:rPr>
            </w:pPr>
            <w:r>
              <w:rPr>
                <w:b/>
                <w:sz w:val="21"/>
              </w:rPr>
              <w:t>深度昏迷</w:t>
            </w:r>
          </w:p>
          <w:p>
            <w:pPr>
              <w:pStyle w:val="TableParagraph"/>
              <w:spacing w:line="297" w:lineRule="auto" w:before="66"/>
              <w:ind w:left="200" w:right="268"/>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分以下，且已经持续使用呼吸机及其它生命</w:t>
            </w:r>
            <w:r>
              <w:rPr>
                <w:spacing w:val="-15"/>
                <w:sz w:val="21"/>
              </w:rPr>
              <w:t>维持系统 </w:t>
            </w:r>
            <w:r>
              <w:rPr>
                <w:sz w:val="21"/>
              </w:rPr>
              <w:t>96</w:t>
            </w:r>
            <w:r>
              <w:rPr>
                <w:spacing w:val="-10"/>
                <w:sz w:val="21"/>
              </w:rPr>
              <w:t> 小时以上。</w:t>
            </w:r>
          </w:p>
          <w:p>
            <w:pPr>
              <w:pStyle w:val="TableParagraph"/>
              <w:spacing w:before="15"/>
              <w:ind w:left="200"/>
              <w:rPr>
                <w:rFonts w:ascii="黑体" w:eastAsia="黑体" w:hint="eastAsia"/>
                <w:sz w:val="21"/>
              </w:rPr>
            </w:pPr>
            <w:r>
              <w:rPr>
                <w:rFonts w:ascii="黑体" w:eastAsia="黑体" w:hint="eastAsia"/>
                <w:sz w:val="21"/>
                <w:u w:val="single"/>
              </w:rPr>
              <w:t>因酗酒或药物滥用导致的深度昏迷不在保障范围内。</w:t>
            </w:r>
          </w:p>
        </w:tc>
      </w:tr>
      <w:tr>
        <w:trPr>
          <w:trHeight w:val="1716" w:hRule="atLeast"/>
        </w:trPr>
        <w:tc>
          <w:tcPr>
            <w:tcW w:w="9013" w:type="dxa"/>
          </w:tcPr>
          <w:p>
            <w:pPr>
              <w:pStyle w:val="TableParagraph"/>
              <w:spacing w:line="273" w:lineRule="exact"/>
              <w:ind w:left="200"/>
              <w:rPr>
                <w:b/>
                <w:sz w:val="21"/>
              </w:rPr>
            </w:pPr>
            <w:r>
              <w:rPr>
                <w:b/>
                <w:sz w:val="21"/>
              </w:rPr>
              <w:t>双耳失聪</w:t>
            </w:r>
          </w:p>
          <w:p>
            <w:pPr>
              <w:pStyle w:val="TableParagraph"/>
              <w:spacing w:before="64"/>
              <w:ind w:left="200"/>
              <w:rPr>
                <w:sz w:val="21"/>
              </w:rPr>
            </w:pPr>
            <w:r>
              <w:rPr>
                <w:spacing w:val="-3"/>
                <w:sz w:val="21"/>
              </w:rPr>
              <w:t>指因疾病或意外伤害导致双耳听力</w:t>
            </w:r>
            <w:r>
              <w:rPr>
                <w:b/>
                <w:spacing w:val="-9"/>
                <w:sz w:val="21"/>
              </w:rPr>
              <w:t>永久不可逆 </w:t>
            </w:r>
            <w:r>
              <w:rPr>
                <w:rFonts w:ascii="Times New Roman" w:eastAsia="Times New Roman"/>
                <w:b/>
                <w:i/>
                <w:spacing w:val="-4"/>
                <w:position w:val="11"/>
                <w:sz w:val="16"/>
              </w:rPr>
              <w:t>7.11 </w:t>
            </w:r>
            <w:r>
              <w:rPr>
                <w:spacing w:val="-10"/>
                <w:sz w:val="21"/>
              </w:rPr>
              <w:t>性丧失，在 </w:t>
            </w:r>
            <w:r>
              <w:rPr>
                <w:sz w:val="21"/>
              </w:rPr>
              <w:t>500</w:t>
            </w:r>
            <w:r>
              <w:rPr>
                <w:spacing w:val="-14"/>
                <w:sz w:val="21"/>
              </w:rPr>
              <w:t> 赫兹、</w:t>
            </w:r>
            <w:r>
              <w:rPr>
                <w:sz w:val="21"/>
              </w:rPr>
              <w:t>1000</w:t>
            </w:r>
            <w:r>
              <w:rPr>
                <w:spacing w:val="-20"/>
                <w:sz w:val="21"/>
              </w:rPr>
              <w:t> 赫兹和 </w:t>
            </w:r>
            <w:r>
              <w:rPr>
                <w:sz w:val="21"/>
              </w:rPr>
              <w:t>2000</w:t>
            </w:r>
            <w:r>
              <w:rPr>
                <w:spacing w:val="-25"/>
                <w:sz w:val="21"/>
              </w:rPr>
              <w:t> 赫</w:t>
            </w:r>
          </w:p>
          <w:p>
            <w:pPr>
              <w:pStyle w:val="TableParagraph"/>
              <w:spacing w:line="297" w:lineRule="auto" w:before="65"/>
              <w:ind w:left="200" w:right="299"/>
              <w:rPr>
                <w:sz w:val="21"/>
              </w:rPr>
            </w:pPr>
            <w:r>
              <w:rPr>
                <w:spacing w:val="-6"/>
                <w:sz w:val="21"/>
              </w:rPr>
              <w:t>兹语音频率下，平均听阈大于 </w:t>
            </w:r>
            <w:r>
              <w:rPr>
                <w:sz w:val="21"/>
              </w:rPr>
              <w:t>90</w:t>
            </w:r>
            <w:r>
              <w:rPr>
                <w:spacing w:val="-7"/>
                <w:sz w:val="21"/>
              </w:rPr>
              <w:t> 分贝，且经纯音听力测试、声导抗检测或听觉诱发电位检测</w:t>
            </w:r>
            <w:r>
              <w:rPr>
                <w:spacing w:val="-5"/>
                <w:sz w:val="21"/>
              </w:rPr>
              <w:t>等证实。</w:t>
            </w:r>
          </w:p>
          <w:p>
            <w:pPr>
              <w:pStyle w:val="TableParagraph"/>
              <w:spacing w:before="15"/>
              <w:ind w:left="200"/>
              <w:rPr>
                <w:sz w:val="21"/>
              </w:rPr>
            </w:pPr>
            <w:r>
              <w:rPr>
                <w:rFonts w:ascii="黑体" w:eastAsia="黑体" w:hint="eastAsia"/>
                <w:sz w:val="21"/>
                <w:u w:val="single"/>
              </w:rPr>
              <w:t>被保险人申请理赔时年龄必须在三周岁以上，</w:t>
            </w:r>
            <w:r>
              <w:rPr>
                <w:sz w:val="21"/>
              </w:rPr>
              <w:t>并且提供理赔当时的听力丧失诊断及检查证据。</w:t>
            </w:r>
          </w:p>
        </w:tc>
      </w:tr>
      <w:tr>
        <w:trPr>
          <w:trHeight w:val="616" w:hRule="atLeast"/>
        </w:trPr>
        <w:tc>
          <w:tcPr>
            <w:tcW w:w="9013" w:type="dxa"/>
          </w:tcPr>
          <w:p>
            <w:pPr>
              <w:pStyle w:val="TableParagraph"/>
              <w:spacing w:line="273" w:lineRule="exact"/>
              <w:ind w:left="200"/>
              <w:rPr>
                <w:b/>
                <w:sz w:val="21"/>
              </w:rPr>
            </w:pPr>
            <w:r>
              <w:rPr>
                <w:b/>
                <w:sz w:val="21"/>
              </w:rPr>
              <w:t>双目失明</w:t>
            </w:r>
          </w:p>
          <w:p>
            <w:pPr>
              <w:pStyle w:val="TableParagraph"/>
              <w:spacing w:line="258" w:lineRule="exact" w:before="66"/>
              <w:ind w:left="200"/>
              <w:rPr>
                <w:sz w:val="21"/>
              </w:rPr>
            </w:pPr>
            <w:r>
              <w:rPr>
                <w:sz w:val="21"/>
              </w:rPr>
              <w:t>指因疾病或意外伤害导致双眼视力永久不可逆性丧失，双眼中较好眼须满足下列至少一项条</w:t>
            </w:r>
          </w:p>
        </w:tc>
      </w:tr>
    </w:tbl>
    <w:p>
      <w:pPr>
        <w:spacing w:after="0" w:line="258" w:lineRule="exact"/>
        <w:rPr>
          <w:sz w:val="21"/>
        </w:rPr>
        <w:sectPr>
          <w:pgSz w:w="11910" w:h="16840"/>
          <w:pgMar w:header="0" w:footer="925" w:top="1260" w:bottom="1120" w:left="1680" w:right="980"/>
        </w:sect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49"/>
      </w:tblGrid>
      <w:tr>
        <w:trPr>
          <w:trHeight w:val="1638" w:hRule="atLeast"/>
        </w:trPr>
        <w:tc>
          <w:tcPr>
            <w:tcW w:w="9049" w:type="dxa"/>
          </w:tcPr>
          <w:p>
            <w:pPr>
              <w:pStyle w:val="TableParagraph"/>
              <w:spacing w:line="208" w:lineRule="exact"/>
              <w:ind w:left="200"/>
              <w:rPr>
                <w:sz w:val="21"/>
              </w:rPr>
            </w:pPr>
            <w:r>
              <w:rPr>
                <w:sz w:val="21"/>
              </w:rPr>
              <w:t>件：</w:t>
            </w:r>
          </w:p>
          <w:p>
            <w:pPr>
              <w:pStyle w:val="TableParagraph"/>
              <w:numPr>
                <w:ilvl w:val="0"/>
                <w:numId w:val="19"/>
              </w:numPr>
              <w:tabs>
                <w:tab w:pos="619" w:val="left" w:leader="none"/>
                <w:tab w:pos="620" w:val="left" w:leader="none"/>
              </w:tabs>
              <w:spacing w:line="240" w:lineRule="auto" w:before="66" w:after="0"/>
              <w:ind w:left="620" w:right="0" w:hanging="420"/>
              <w:jc w:val="left"/>
              <w:rPr>
                <w:sz w:val="21"/>
              </w:rPr>
            </w:pPr>
            <w:r>
              <w:rPr>
                <w:spacing w:val="-3"/>
                <w:sz w:val="21"/>
              </w:rPr>
              <w:t>眼球缺失或摘除；</w:t>
            </w:r>
          </w:p>
          <w:p>
            <w:pPr>
              <w:pStyle w:val="TableParagraph"/>
              <w:numPr>
                <w:ilvl w:val="0"/>
                <w:numId w:val="19"/>
              </w:numPr>
              <w:tabs>
                <w:tab w:pos="619" w:val="left" w:leader="none"/>
                <w:tab w:pos="620" w:val="left" w:leader="none"/>
              </w:tabs>
              <w:spacing w:line="240" w:lineRule="auto" w:before="66" w:after="0"/>
              <w:ind w:left="620" w:right="0" w:hanging="420"/>
              <w:jc w:val="left"/>
              <w:rPr>
                <w:sz w:val="21"/>
              </w:rPr>
            </w:pPr>
            <w:r>
              <w:rPr>
                <w:spacing w:val="-2"/>
                <w:w w:val="100"/>
                <w:sz w:val="21"/>
              </w:rPr>
              <w:t>矫正视力低于</w:t>
            </w:r>
            <w:r>
              <w:rPr>
                <w:spacing w:val="-53"/>
                <w:sz w:val="21"/>
              </w:rPr>
              <w:t> </w:t>
            </w:r>
            <w:r>
              <w:rPr>
                <w:spacing w:val="-3"/>
                <w:w w:val="100"/>
                <w:sz w:val="21"/>
              </w:rPr>
              <w:t>0</w:t>
            </w:r>
            <w:r>
              <w:rPr>
                <w:w w:val="100"/>
                <w:sz w:val="21"/>
              </w:rPr>
              <w:t>.0</w:t>
            </w:r>
            <w:r>
              <w:rPr>
                <w:spacing w:val="-2"/>
                <w:w w:val="100"/>
                <w:sz w:val="21"/>
              </w:rPr>
              <w:t>2</w:t>
            </w:r>
            <w:r>
              <w:rPr>
                <w:w w:val="100"/>
                <w:sz w:val="21"/>
              </w:rPr>
              <w:t>（</w:t>
            </w:r>
            <w:r>
              <w:rPr>
                <w:spacing w:val="-3"/>
                <w:w w:val="100"/>
                <w:sz w:val="21"/>
              </w:rPr>
              <w:t>采用国际标准视力表，如果使用其它视力表应进行换算</w:t>
            </w:r>
            <w:r>
              <w:rPr>
                <w:spacing w:val="-108"/>
                <w:w w:val="100"/>
                <w:sz w:val="21"/>
              </w:rPr>
              <w:t>）</w:t>
            </w:r>
            <w:r>
              <w:rPr>
                <w:w w:val="100"/>
                <w:sz w:val="21"/>
              </w:rPr>
              <w:t>；</w:t>
            </w:r>
          </w:p>
          <w:p>
            <w:pPr>
              <w:pStyle w:val="TableParagraph"/>
              <w:numPr>
                <w:ilvl w:val="0"/>
                <w:numId w:val="19"/>
              </w:numPr>
              <w:tabs>
                <w:tab w:pos="619" w:val="left" w:leader="none"/>
                <w:tab w:pos="620" w:val="left" w:leader="none"/>
              </w:tabs>
              <w:spacing w:line="240" w:lineRule="auto" w:before="65" w:after="0"/>
              <w:ind w:left="620" w:right="0" w:hanging="420"/>
              <w:jc w:val="left"/>
              <w:rPr>
                <w:sz w:val="21"/>
              </w:rPr>
            </w:pPr>
            <w:r>
              <w:rPr>
                <w:spacing w:val="-9"/>
                <w:sz w:val="21"/>
              </w:rPr>
              <w:t>视野半径小于 </w:t>
            </w:r>
            <w:r>
              <w:rPr>
                <w:sz w:val="21"/>
              </w:rPr>
              <w:t>5</w:t>
            </w:r>
            <w:r>
              <w:rPr>
                <w:spacing w:val="-17"/>
                <w:sz w:val="21"/>
              </w:rPr>
              <w:t> 度。</w:t>
            </w:r>
          </w:p>
          <w:p>
            <w:pPr>
              <w:pStyle w:val="TableParagraph"/>
              <w:spacing w:before="65"/>
              <w:ind w:left="200"/>
              <w:rPr>
                <w:sz w:val="21"/>
              </w:rPr>
            </w:pPr>
            <w:r>
              <w:rPr>
                <w:rFonts w:ascii="黑体" w:eastAsia="黑体" w:hint="eastAsia"/>
                <w:sz w:val="21"/>
                <w:u w:val="single"/>
              </w:rPr>
              <w:t>被保险人申请理赔时年龄必须在三周岁以上，</w:t>
            </w:r>
            <w:r>
              <w:rPr>
                <w:sz w:val="21"/>
              </w:rPr>
              <w:t>并且提供理赔当时的视力丧失诊断及检查证据。</w:t>
            </w:r>
          </w:p>
        </w:tc>
      </w:tr>
      <w:tr>
        <w:trPr>
          <w:trHeight w:val="1021" w:hRule="atLeast"/>
        </w:trPr>
        <w:tc>
          <w:tcPr>
            <w:tcW w:w="9049" w:type="dxa"/>
          </w:tcPr>
          <w:p>
            <w:pPr>
              <w:pStyle w:val="TableParagraph"/>
              <w:spacing w:line="297" w:lineRule="auto"/>
              <w:ind w:left="200" w:right="198"/>
              <w:rPr>
                <w:sz w:val="21"/>
              </w:rPr>
            </w:pPr>
            <w:r>
              <w:rPr>
                <w:b/>
                <w:spacing w:val="5"/>
                <w:sz w:val="21"/>
              </w:rPr>
              <w:t>瘫痪 </w:t>
            </w:r>
            <w:r>
              <w:rPr>
                <w:spacing w:val="-3"/>
                <w:sz w:val="21"/>
              </w:rPr>
              <w:t>指因疾病或意外伤害导致两肢或两肢以上肢体机能永久完全丧失。肢体机能永久完全丧</w:t>
            </w:r>
            <w:r>
              <w:rPr>
                <w:spacing w:val="-19"/>
                <w:sz w:val="21"/>
              </w:rPr>
              <w:t>失，指疾病确诊 </w:t>
            </w:r>
            <w:r>
              <w:rPr>
                <w:sz w:val="21"/>
              </w:rPr>
              <w:t>180</w:t>
            </w:r>
            <w:r>
              <w:rPr>
                <w:spacing w:val="-11"/>
                <w:sz w:val="21"/>
              </w:rPr>
              <w:t> 天后或意外伤害发生 </w:t>
            </w:r>
            <w:r>
              <w:rPr>
                <w:sz w:val="21"/>
              </w:rPr>
              <w:t>180</w:t>
            </w:r>
            <w:r>
              <w:rPr>
                <w:spacing w:val="-14"/>
                <w:sz w:val="21"/>
              </w:rPr>
              <w:t> 天后，每肢三大关节中的两大关节仍然完全僵硬， </w:t>
            </w:r>
            <w:r>
              <w:rPr>
                <w:spacing w:val="-7"/>
                <w:sz w:val="21"/>
              </w:rPr>
              <w:t>或不能随意识活动。</w:t>
            </w:r>
          </w:p>
        </w:tc>
      </w:tr>
      <w:tr>
        <w:trPr>
          <w:trHeight w:val="340" w:hRule="atLeast"/>
        </w:trPr>
        <w:tc>
          <w:tcPr>
            <w:tcW w:w="9049" w:type="dxa"/>
          </w:tcPr>
          <w:p>
            <w:pPr>
              <w:pStyle w:val="TableParagraph"/>
              <w:spacing w:line="273" w:lineRule="exact"/>
              <w:ind w:left="200"/>
              <w:rPr>
                <w:sz w:val="21"/>
              </w:rPr>
            </w:pPr>
            <w:r>
              <w:rPr>
                <w:b/>
                <w:sz w:val="21"/>
              </w:rPr>
              <w:t>心脏瓣膜手术 </w:t>
            </w:r>
            <w:r>
              <w:rPr>
                <w:sz w:val="21"/>
              </w:rPr>
              <w:t>指为治疗心脏瓣膜疾病，实际实施了开胸进行的心脏瓣膜置换或修复的手术。</w:t>
            </w:r>
          </w:p>
        </w:tc>
      </w:tr>
      <w:tr>
        <w:trPr>
          <w:trHeight w:val="2042" w:hRule="atLeast"/>
        </w:trPr>
        <w:tc>
          <w:tcPr>
            <w:tcW w:w="9049" w:type="dxa"/>
          </w:tcPr>
          <w:p>
            <w:pPr>
              <w:pStyle w:val="TableParagraph"/>
              <w:spacing w:line="273" w:lineRule="exact"/>
              <w:ind w:left="200"/>
              <w:rPr>
                <w:b/>
                <w:sz w:val="21"/>
              </w:rPr>
            </w:pPr>
            <w:r>
              <w:rPr>
                <w:b/>
                <w:sz w:val="21"/>
              </w:rPr>
              <w:t>严重阿尔茨海默病</w:t>
            </w:r>
          </w:p>
          <w:p>
            <w:pPr>
              <w:pStyle w:val="TableParagraph"/>
              <w:spacing w:line="297" w:lineRule="auto" w:before="66"/>
              <w:ind w:left="200" w:right="234"/>
              <w:rPr>
                <w:sz w:val="21"/>
              </w:rPr>
            </w:pPr>
            <w:r>
              <w:rPr>
                <w:spacing w:val="-3"/>
                <w:sz w:val="21"/>
              </w:rPr>
              <w:t>指因大脑进行性、不可逆性改变导致智能严重衰退或丧失，临床表现为明显的认知能力障碍、</w:t>
            </w:r>
            <w:r>
              <w:rPr>
                <w:spacing w:val="-3"/>
                <w:w w:val="100"/>
                <w:sz w:val="21"/>
              </w:rPr>
              <w:t>行为异常和社交能力减退，其日常生活必须持续受到他人监护。须由头颅断层扫描</w:t>
            </w:r>
            <w:r>
              <w:rPr>
                <w:w w:val="100"/>
                <w:sz w:val="21"/>
              </w:rPr>
              <w:t>（C</w:t>
            </w:r>
            <w:r>
              <w:rPr>
                <w:spacing w:val="-3"/>
                <w:w w:val="100"/>
                <w:sz w:val="21"/>
              </w:rPr>
              <w:t>T</w:t>
            </w:r>
            <w:r>
              <w:rPr>
                <w:spacing w:val="-106"/>
                <w:w w:val="100"/>
                <w:sz w:val="21"/>
              </w:rPr>
              <w:t>）</w:t>
            </w:r>
            <w:r>
              <w:rPr>
                <w:spacing w:val="-2"/>
                <w:w w:val="100"/>
                <w:sz w:val="21"/>
              </w:rPr>
              <w:t>、核</w:t>
            </w:r>
            <w:r>
              <w:rPr>
                <w:spacing w:val="-6"/>
                <w:sz w:val="21"/>
              </w:rPr>
              <w:t>磁共振检查</w:t>
            </w:r>
            <w:r>
              <w:rPr>
                <w:spacing w:val="-5"/>
                <w:sz w:val="21"/>
              </w:rPr>
              <w:t>（MRI）或正电子发射断层扫描（PET）等影像学检查证实，且自主生活能力完全丧</w:t>
            </w:r>
            <w:r>
              <w:rPr>
                <w:spacing w:val="-4"/>
                <w:sz w:val="21"/>
              </w:rPr>
              <w:t>失，无法独立完成六项基本日常生活活动中的三项或三项以上。</w:t>
            </w:r>
          </w:p>
          <w:p>
            <w:pPr>
              <w:pStyle w:val="TableParagraph"/>
              <w:spacing w:before="15"/>
              <w:ind w:left="200"/>
              <w:rPr>
                <w:rFonts w:ascii="黑体" w:eastAsia="黑体" w:hint="eastAsia"/>
                <w:sz w:val="21"/>
              </w:rPr>
            </w:pPr>
            <w:r>
              <w:rPr>
                <w:rFonts w:ascii="黑体" w:eastAsia="黑体" w:hint="eastAsia"/>
                <w:sz w:val="21"/>
                <w:u w:val="single"/>
              </w:rPr>
              <w:t>神经官能症和精神疾病不在保障范围内。</w:t>
            </w:r>
          </w:p>
        </w:tc>
      </w:tr>
      <w:tr>
        <w:trPr>
          <w:trHeight w:val="2383" w:hRule="atLeast"/>
        </w:trPr>
        <w:tc>
          <w:tcPr>
            <w:tcW w:w="9049" w:type="dxa"/>
          </w:tcPr>
          <w:p>
            <w:pPr>
              <w:pStyle w:val="TableParagraph"/>
              <w:spacing w:line="273" w:lineRule="exact"/>
              <w:ind w:left="200"/>
              <w:rPr>
                <w:b/>
                <w:sz w:val="21"/>
              </w:rPr>
            </w:pPr>
            <w:r>
              <w:rPr>
                <w:b/>
                <w:sz w:val="21"/>
              </w:rPr>
              <w:t>严重脑损伤</w:t>
            </w:r>
          </w:p>
          <w:p>
            <w:pPr>
              <w:pStyle w:val="TableParagraph"/>
              <w:spacing w:line="297" w:lineRule="auto" w:before="66"/>
              <w:ind w:left="200" w:right="304"/>
              <w:jc w:val="both"/>
              <w:rPr>
                <w:sz w:val="21"/>
              </w:rPr>
            </w:pPr>
            <w:r>
              <w:rPr>
                <w:spacing w:val="-7"/>
                <w:sz w:val="21"/>
              </w:rPr>
              <w:t>指因头部遭受机械性外力，引起脑重要部位损伤，导致神经系统永久性的功能障碍。须由头颅</w:t>
            </w:r>
            <w:r>
              <w:rPr>
                <w:spacing w:val="-5"/>
                <w:w w:val="100"/>
                <w:sz w:val="21"/>
              </w:rPr>
              <w:t>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或正电子发射断层扫描（</w:t>
            </w:r>
            <w:r>
              <w:rPr>
                <w:w w:val="100"/>
                <w:sz w:val="21"/>
              </w:rPr>
              <w:t>PE</w:t>
            </w:r>
            <w:r>
              <w:rPr>
                <w:spacing w:val="-3"/>
                <w:w w:val="100"/>
                <w:sz w:val="21"/>
              </w:rPr>
              <w:t>T</w:t>
            </w:r>
            <w:r>
              <w:rPr>
                <w:w w:val="100"/>
                <w:sz w:val="21"/>
              </w:rPr>
              <w:t>）</w:t>
            </w:r>
            <w:r>
              <w:rPr>
                <w:spacing w:val="-3"/>
                <w:w w:val="100"/>
                <w:sz w:val="21"/>
              </w:rPr>
              <w:t>等影像学检查证实。神</w:t>
            </w:r>
            <w:r>
              <w:rPr>
                <w:spacing w:val="-5"/>
                <w:sz w:val="21"/>
              </w:rPr>
              <w:t>经系统永久性的功能障碍，指脑损伤 </w:t>
            </w:r>
            <w:r>
              <w:rPr>
                <w:sz w:val="21"/>
              </w:rPr>
              <w:t>180</w:t>
            </w:r>
            <w:r>
              <w:rPr>
                <w:spacing w:val="-7"/>
                <w:sz w:val="21"/>
              </w:rPr>
              <w:t> 天后，仍遗留下列一种或一种以上障碍：</w:t>
            </w:r>
          </w:p>
          <w:p>
            <w:pPr>
              <w:pStyle w:val="TableParagraph"/>
              <w:numPr>
                <w:ilvl w:val="0"/>
                <w:numId w:val="20"/>
              </w:numPr>
              <w:tabs>
                <w:tab w:pos="620" w:val="left" w:leader="none"/>
              </w:tabs>
              <w:spacing w:line="240" w:lineRule="auto" w:before="15" w:after="0"/>
              <w:ind w:left="620" w:right="0" w:hanging="420"/>
              <w:jc w:val="both"/>
              <w:rPr>
                <w:sz w:val="21"/>
              </w:rPr>
            </w:pPr>
            <w:r>
              <w:rPr>
                <w:spacing w:val="-3"/>
                <w:sz w:val="21"/>
              </w:rPr>
              <w:t>一肢或一肢以上肢体机能完全丧失；</w:t>
            </w:r>
          </w:p>
          <w:p>
            <w:pPr>
              <w:pStyle w:val="TableParagraph"/>
              <w:numPr>
                <w:ilvl w:val="0"/>
                <w:numId w:val="20"/>
              </w:numPr>
              <w:tabs>
                <w:tab w:pos="620" w:val="left" w:leader="none"/>
              </w:tabs>
              <w:spacing w:line="240" w:lineRule="auto" w:before="65" w:after="0"/>
              <w:ind w:left="620" w:right="0" w:hanging="420"/>
              <w:jc w:val="both"/>
              <w:rPr>
                <w:sz w:val="21"/>
              </w:rPr>
            </w:pPr>
            <w:r>
              <w:rPr>
                <w:spacing w:val="-3"/>
                <w:sz w:val="21"/>
              </w:rPr>
              <w:t>语言能力或咀嚼吞咽能力完全丧失；</w:t>
            </w:r>
          </w:p>
          <w:p>
            <w:pPr>
              <w:pStyle w:val="TableParagraph"/>
              <w:numPr>
                <w:ilvl w:val="0"/>
                <w:numId w:val="20"/>
              </w:numPr>
              <w:tabs>
                <w:tab w:pos="620" w:val="left" w:leader="none"/>
              </w:tabs>
              <w:spacing w:line="240" w:lineRule="auto" w:before="65" w:after="0"/>
              <w:ind w:left="620" w:right="0" w:hanging="420"/>
              <w:jc w:val="both"/>
              <w:rPr>
                <w:sz w:val="21"/>
              </w:rPr>
            </w:pPr>
            <w:r>
              <w:rPr>
                <w:spacing w:val="-3"/>
                <w:sz w:val="21"/>
              </w:rPr>
              <w:t>自主生活能力完全丧失，无法独立完成六项基本日常生活活动中的三项或三项以上。</w:t>
            </w:r>
          </w:p>
        </w:tc>
      </w:tr>
      <w:tr>
        <w:trPr>
          <w:trHeight w:val="1701" w:hRule="atLeast"/>
        </w:trPr>
        <w:tc>
          <w:tcPr>
            <w:tcW w:w="9049" w:type="dxa"/>
          </w:tcPr>
          <w:p>
            <w:pPr>
              <w:pStyle w:val="TableParagraph"/>
              <w:spacing w:line="273" w:lineRule="exact"/>
              <w:ind w:left="200"/>
              <w:rPr>
                <w:b/>
                <w:sz w:val="21"/>
              </w:rPr>
            </w:pPr>
            <w:r>
              <w:rPr>
                <w:b/>
                <w:sz w:val="21"/>
              </w:rPr>
              <w:t>严重帕金森病</w:t>
            </w:r>
          </w:p>
          <w:p>
            <w:pPr>
              <w:pStyle w:val="TableParagraph"/>
              <w:spacing w:before="66"/>
              <w:ind w:left="200"/>
              <w:rPr>
                <w:sz w:val="21"/>
              </w:rPr>
            </w:pPr>
            <w:r>
              <w:rPr>
                <w:sz w:val="21"/>
              </w:rPr>
              <w:t>是一种中枢神经系统的退行性疾病，临床表现为震颤麻痹、共济失调等。须满足下列全部条件：</w:t>
            </w:r>
          </w:p>
          <w:p>
            <w:pPr>
              <w:pStyle w:val="TableParagraph"/>
              <w:numPr>
                <w:ilvl w:val="0"/>
                <w:numId w:val="21"/>
              </w:numPr>
              <w:tabs>
                <w:tab w:pos="619" w:val="left" w:leader="none"/>
                <w:tab w:pos="620" w:val="left" w:leader="none"/>
              </w:tabs>
              <w:spacing w:line="240" w:lineRule="auto" w:before="64" w:after="0"/>
              <w:ind w:left="620" w:right="0" w:hanging="420"/>
              <w:jc w:val="left"/>
              <w:rPr>
                <w:sz w:val="21"/>
              </w:rPr>
            </w:pPr>
            <w:r>
              <w:rPr>
                <w:spacing w:val="-3"/>
                <w:sz w:val="21"/>
              </w:rPr>
              <w:t>药物治疗无法控制病情；</w:t>
            </w:r>
          </w:p>
          <w:p>
            <w:pPr>
              <w:pStyle w:val="TableParagraph"/>
              <w:numPr>
                <w:ilvl w:val="0"/>
                <w:numId w:val="21"/>
              </w:numPr>
              <w:tabs>
                <w:tab w:pos="619" w:val="left" w:leader="none"/>
                <w:tab w:pos="620" w:val="left" w:leader="none"/>
              </w:tabs>
              <w:spacing w:line="240" w:lineRule="auto" w:before="66" w:after="0"/>
              <w:ind w:left="620" w:right="0" w:hanging="420"/>
              <w:jc w:val="left"/>
              <w:rPr>
                <w:sz w:val="21"/>
              </w:rPr>
            </w:pPr>
            <w:r>
              <w:rPr>
                <w:spacing w:val="-3"/>
                <w:sz w:val="21"/>
              </w:rPr>
              <w:t>自主生活能力完全丧失，无法独立完成六项基本日常生活活动中的三项或三项以上。</w:t>
            </w:r>
          </w:p>
          <w:p>
            <w:pPr>
              <w:pStyle w:val="TableParagraph"/>
              <w:spacing w:before="66"/>
              <w:ind w:left="200"/>
              <w:rPr>
                <w:rFonts w:ascii="黑体" w:eastAsia="黑体" w:hint="eastAsia"/>
                <w:sz w:val="21"/>
              </w:rPr>
            </w:pPr>
            <w:r>
              <w:rPr>
                <w:rFonts w:ascii="黑体" w:eastAsia="黑体" w:hint="eastAsia"/>
                <w:sz w:val="21"/>
                <w:u w:val="single"/>
              </w:rPr>
              <w:t>继发性帕金森综合征不在保障范围内。</w:t>
            </w:r>
          </w:p>
        </w:tc>
      </w:tr>
      <w:tr>
        <w:trPr>
          <w:trHeight w:val="681" w:hRule="atLeast"/>
        </w:trPr>
        <w:tc>
          <w:tcPr>
            <w:tcW w:w="9049" w:type="dxa"/>
          </w:tcPr>
          <w:p>
            <w:pPr>
              <w:pStyle w:val="TableParagraph"/>
              <w:spacing w:line="297" w:lineRule="auto"/>
              <w:ind w:left="200" w:right="229"/>
              <w:rPr>
                <w:sz w:val="21"/>
              </w:rPr>
            </w:pPr>
            <w:r>
              <w:rPr>
                <w:b/>
                <w:spacing w:val="0"/>
                <w:sz w:val="21"/>
              </w:rPr>
              <w:t>严重Ⅲ度烧伤 </w:t>
            </w:r>
            <w:r>
              <w:rPr>
                <w:spacing w:val="-5"/>
                <w:sz w:val="21"/>
              </w:rPr>
              <w:t>指烧伤程度为Ⅲ度，且Ⅲ度烧伤的面积达到全身体表面积的 </w:t>
            </w:r>
            <w:r>
              <w:rPr>
                <w:sz w:val="21"/>
              </w:rPr>
              <w:t>20</w:t>
            </w:r>
            <w:r>
              <w:rPr>
                <w:spacing w:val="-15"/>
                <w:sz w:val="21"/>
              </w:rPr>
              <w:t>％或 </w:t>
            </w:r>
            <w:r>
              <w:rPr>
                <w:sz w:val="21"/>
              </w:rPr>
              <w:t>20</w:t>
            </w:r>
            <w:r>
              <w:rPr>
                <w:spacing w:val="-2"/>
                <w:sz w:val="21"/>
              </w:rPr>
              <w:t>％以上。</w:t>
            </w:r>
            <w:r>
              <w:rPr>
                <w:spacing w:val="-3"/>
                <w:sz w:val="21"/>
              </w:rPr>
              <w:t>体表面积根据《中国新九分法》计算。</w:t>
            </w:r>
          </w:p>
        </w:tc>
      </w:tr>
      <w:tr>
        <w:trPr>
          <w:trHeight w:val="1020" w:hRule="atLeast"/>
        </w:trPr>
        <w:tc>
          <w:tcPr>
            <w:tcW w:w="9049" w:type="dxa"/>
          </w:tcPr>
          <w:p>
            <w:pPr>
              <w:pStyle w:val="TableParagraph"/>
              <w:spacing w:line="297" w:lineRule="auto"/>
              <w:ind w:left="200" w:right="198"/>
              <w:jc w:val="both"/>
              <w:rPr>
                <w:sz w:val="21"/>
              </w:rPr>
            </w:pPr>
            <w:r>
              <w:rPr>
                <w:b/>
                <w:spacing w:val="1"/>
                <w:sz w:val="21"/>
              </w:rPr>
              <w:t>严重原发性肺动脉高压 </w:t>
            </w:r>
            <w:r>
              <w:rPr>
                <w:spacing w:val="-8"/>
                <w:sz w:val="21"/>
              </w:rPr>
              <w:t>指不明原因的肺动脉压力持续性增高，进行性发展而导致的慢性疾病， </w:t>
            </w:r>
            <w:r>
              <w:rPr>
                <w:spacing w:val="-10"/>
                <w:sz w:val="21"/>
              </w:rPr>
              <w:t>已经造成永久不可逆性的体力活动能力受限，达到美国纽约心脏病学会心功能状态分级 </w:t>
            </w:r>
            <w:r>
              <w:rPr>
                <w:sz w:val="21"/>
              </w:rPr>
              <w:t>IV</w:t>
            </w:r>
            <w:r>
              <w:rPr>
                <w:spacing w:val="-14"/>
                <w:sz w:val="21"/>
              </w:rPr>
              <w:t> 级， </w:t>
            </w:r>
            <w:r>
              <w:rPr>
                <w:spacing w:val="-6"/>
                <w:sz w:val="21"/>
              </w:rPr>
              <w:t>且静息状态下肺动脉平均压超过 </w:t>
            </w:r>
            <w:r>
              <w:rPr>
                <w:sz w:val="21"/>
              </w:rPr>
              <w:t>30mmHg。</w:t>
            </w:r>
          </w:p>
        </w:tc>
      </w:tr>
      <w:tr>
        <w:trPr>
          <w:trHeight w:val="1022" w:hRule="atLeast"/>
        </w:trPr>
        <w:tc>
          <w:tcPr>
            <w:tcW w:w="9049" w:type="dxa"/>
          </w:tcPr>
          <w:p>
            <w:pPr>
              <w:pStyle w:val="TableParagraph"/>
              <w:spacing w:line="297" w:lineRule="auto"/>
              <w:ind w:left="200" w:right="304"/>
              <w:jc w:val="both"/>
              <w:rPr>
                <w:sz w:val="21"/>
              </w:rPr>
            </w:pPr>
            <w:r>
              <w:rPr>
                <w:b/>
                <w:spacing w:val="2"/>
                <w:sz w:val="21"/>
              </w:rPr>
              <w:t>严重运动神经元病 </w:t>
            </w:r>
            <w:r>
              <w:rPr>
                <w:spacing w:val="-3"/>
                <w:sz w:val="21"/>
              </w:rPr>
              <w:t>是一组中枢神经系统运动神经元的进行性变性疾病，包括进行性脊肌萎缩</w:t>
            </w:r>
            <w:r>
              <w:rPr>
                <w:spacing w:val="-10"/>
                <w:sz w:val="21"/>
              </w:rPr>
              <w:t>症、进行性延髓麻痹症、原发性侧索硬化症、肌萎缩性侧索硬化症。须满足自主生活能力完全</w:t>
            </w:r>
            <w:r>
              <w:rPr>
                <w:spacing w:val="-5"/>
                <w:sz w:val="21"/>
              </w:rPr>
              <w:t>丧失，无法独立完成六项基本日常生活活动中的三项或三项以上的条件。</w:t>
            </w:r>
          </w:p>
        </w:tc>
      </w:tr>
      <w:tr>
        <w:trPr>
          <w:trHeight w:val="1977" w:hRule="atLeast"/>
        </w:trPr>
        <w:tc>
          <w:tcPr>
            <w:tcW w:w="9049" w:type="dxa"/>
          </w:tcPr>
          <w:p>
            <w:pPr>
              <w:pStyle w:val="TableParagraph"/>
              <w:spacing w:line="273" w:lineRule="exact"/>
              <w:ind w:left="200"/>
              <w:rPr>
                <w:b/>
                <w:sz w:val="21"/>
              </w:rPr>
            </w:pPr>
            <w:r>
              <w:rPr>
                <w:b/>
                <w:sz w:val="21"/>
              </w:rPr>
              <w:t>语言能力丧失</w:t>
            </w:r>
          </w:p>
          <w:p>
            <w:pPr>
              <w:pStyle w:val="TableParagraph"/>
              <w:spacing w:line="295" w:lineRule="auto" w:before="66"/>
              <w:ind w:left="200" w:right="300"/>
              <w:rPr>
                <w:sz w:val="21"/>
              </w:rPr>
            </w:pPr>
            <w:r>
              <w:rPr>
                <w:spacing w:val="-11"/>
                <w:sz w:val="21"/>
              </w:rPr>
              <w:t>指因疾病或意外伤害导致完全丧失语言能力，经过积极治疗至少 </w:t>
            </w:r>
            <w:r>
              <w:rPr>
                <w:sz w:val="21"/>
              </w:rPr>
              <w:t>12</w:t>
            </w:r>
            <w:r>
              <w:rPr>
                <w:spacing w:val="-18"/>
                <w:sz w:val="21"/>
              </w:rPr>
              <w:t> 个月</w:t>
            </w:r>
            <w:r>
              <w:rPr>
                <w:spacing w:val="-5"/>
                <w:sz w:val="21"/>
              </w:rPr>
              <w:t>（</w:t>
            </w:r>
            <w:r>
              <w:rPr>
                <w:spacing w:val="-7"/>
                <w:sz w:val="21"/>
              </w:rPr>
              <w:t>声带完全切除不受此</w:t>
            </w:r>
            <w:r>
              <w:rPr>
                <w:spacing w:val="-5"/>
                <w:w w:val="100"/>
                <w:sz w:val="21"/>
              </w:rPr>
              <w:t>时间限制</w:t>
            </w:r>
            <w:r>
              <w:rPr>
                <w:spacing w:val="-108"/>
                <w:w w:val="100"/>
                <w:sz w:val="21"/>
              </w:rPr>
              <w:t>）</w:t>
            </w:r>
            <w:r>
              <w:rPr>
                <w:spacing w:val="-7"/>
                <w:w w:val="100"/>
                <w:sz w:val="21"/>
              </w:rPr>
              <w:t>，仍无法通过现有医疗手段恢复。</w:t>
            </w:r>
          </w:p>
          <w:p>
            <w:pPr>
              <w:pStyle w:val="TableParagraph"/>
              <w:spacing w:before="17"/>
              <w:ind w:left="200"/>
              <w:rPr>
                <w:rFonts w:ascii="黑体" w:eastAsia="黑体" w:hint="eastAsia"/>
                <w:sz w:val="21"/>
              </w:rPr>
            </w:pPr>
            <w:r>
              <w:rPr>
                <w:rFonts w:ascii="黑体" w:eastAsia="黑体" w:hint="eastAsia"/>
                <w:sz w:val="21"/>
                <w:u w:val="single"/>
              </w:rPr>
              <w:t>精神心理因素所致的语言能力丧失不在保障范围内。</w:t>
            </w:r>
          </w:p>
          <w:p>
            <w:pPr>
              <w:pStyle w:val="TableParagraph"/>
              <w:spacing w:line="340" w:lineRule="atLeast"/>
              <w:ind w:left="200" w:right="236"/>
              <w:rPr>
                <w:sz w:val="21"/>
              </w:rPr>
            </w:pPr>
            <w:r>
              <w:rPr>
                <w:rFonts w:ascii="黑体" w:eastAsia="黑体" w:hint="eastAsia"/>
                <w:sz w:val="21"/>
                <w:u w:val="single"/>
              </w:rPr>
              <w:t>被保险人申请理赔时年龄必须在三周岁以上，</w:t>
            </w:r>
            <w:r>
              <w:rPr>
                <w:sz w:val="21"/>
              </w:rPr>
              <w:t>并且提供理赔当时的语言能力丧失诊断及检查证据。</w:t>
            </w:r>
          </w:p>
        </w:tc>
      </w:tr>
    </w:tbl>
    <w:p>
      <w:pPr>
        <w:spacing w:after="0" w:line="340" w:lineRule="atLeast"/>
        <w:rPr>
          <w:sz w:val="21"/>
        </w:rPr>
        <w:sectPr>
          <w:pgSz w:w="11910" w:h="16840"/>
          <w:pgMar w:header="0" w:footer="925" w:top="1260" w:bottom="1120" w:left="1680" w:right="940"/>
        </w:sectPr>
      </w:pPr>
    </w:p>
    <w:p>
      <w:pPr>
        <w:pStyle w:val="Heading2"/>
        <w:spacing w:before="13"/>
        <w:ind w:left="324"/>
      </w:pPr>
      <w:r>
        <w:rPr/>
        <w:t>重型再生障碍性贫血</w:t>
      </w:r>
    </w:p>
    <w:p>
      <w:pPr>
        <w:pStyle w:val="BodyText"/>
        <w:spacing w:line="297" w:lineRule="auto" w:before="66"/>
        <w:ind w:right="216"/>
      </w:pPr>
      <w:r>
        <w:rPr>
          <w:spacing w:val="-6"/>
        </w:rPr>
        <w:t>指因骨髓造血功能慢性持续性衰竭导致的贫血、中性粒细胞减少及血小板减少。须满足下列全</w:t>
      </w:r>
      <w:r>
        <w:rPr>
          <w:spacing w:val="-4"/>
        </w:rPr>
        <w:t>部条件：</w:t>
      </w:r>
    </w:p>
    <w:p>
      <w:pPr>
        <w:pStyle w:val="ListParagraph"/>
        <w:numPr>
          <w:ilvl w:val="0"/>
          <w:numId w:val="22"/>
        </w:numPr>
        <w:tabs>
          <w:tab w:pos="745" w:val="left" w:leader="none"/>
        </w:tabs>
        <w:spacing w:line="240" w:lineRule="auto" w:before="15" w:after="0"/>
        <w:ind w:left="744" w:right="0" w:hanging="420"/>
        <w:jc w:val="both"/>
        <w:rPr>
          <w:sz w:val="21"/>
        </w:rPr>
      </w:pPr>
      <w:r>
        <w:rPr>
          <w:spacing w:val="-3"/>
          <w:sz w:val="21"/>
        </w:rPr>
        <w:t>骨髓穿刺检查或骨髓活检结果支持诊断；</w:t>
      </w:r>
    </w:p>
    <w:p>
      <w:pPr>
        <w:pStyle w:val="ListParagraph"/>
        <w:numPr>
          <w:ilvl w:val="0"/>
          <w:numId w:val="22"/>
        </w:numPr>
        <w:tabs>
          <w:tab w:pos="745" w:val="left" w:leader="none"/>
        </w:tabs>
        <w:spacing w:line="240" w:lineRule="auto" w:before="65" w:after="0"/>
        <w:ind w:left="744" w:right="0" w:hanging="420"/>
        <w:jc w:val="both"/>
        <w:rPr>
          <w:sz w:val="21"/>
        </w:rPr>
      </w:pPr>
      <w:r>
        <w:rPr>
          <w:spacing w:val="-3"/>
          <w:sz w:val="21"/>
        </w:rPr>
        <w:t>外周血象须具备以下三项条件：</w:t>
      </w:r>
    </w:p>
    <w:p>
      <w:pPr>
        <w:pStyle w:val="BodyText"/>
        <w:spacing w:before="63"/>
        <w:ind w:left="535"/>
      </w:pPr>
      <w:r>
        <w:rPr/>
        <w:t>① 中性粒细胞绝对值≤0.5×10</w:t>
      </w:r>
      <w:r>
        <w:rPr>
          <w:position w:val="11"/>
          <w:sz w:val="11"/>
        </w:rPr>
        <w:t>9</w:t>
      </w:r>
      <w:r>
        <w:rPr/>
        <w:t>/L ；</w:t>
      </w:r>
    </w:p>
    <w:p>
      <w:pPr>
        <w:pStyle w:val="BodyText"/>
        <w:spacing w:before="65"/>
        <w:ind w:left="535"/>
      </w:pPr>
      <w:r>
        <w:rPr/>
        <w:t>② 网织红细胞＜1%；</w:t>
      </w:r>
    </w:p>
    <w:p>
      <w:pPr>
        <w:spacing w:line="297" w:lineRule="auto" w:before="65"/>
        <w:ind w:left="324" w:right="5656" w:firstLine="211"/>
        <w:jc w:val="left"/>
        <w:rPr>
          <w:b/>
          <w:sz w:val="21"/>
        </w:rPr>
      </w:pPr>
      <w:r>
        <w:rPr>
          <w:sz w:val="21"/>
        </w:rPr>
        <w:t>③ 血小板绝对值≤20×10</w:t>
      </w:r>
      <w:r>
        <w:rPr>
          <w:position w:val="11"/>
          <w:sz w:val="11"/>
        </w:rPr>
        <w:t>9</w:t>
      </w:r>
      <w:r>
        <w:rPr>
          <w:sz w:val="21"/>
        </w:rPr>
        <w:t>/L。</w:t>
      </w:r>
      <w:r>
        <w:rPr>
          <w:b/>
          <w:sz w:val="21"/>
        </w:rPr>
        <w:t>主动脉手术</w:t>
      </w:r>
    </w:p>
    <w:p>
      <w:pPr>
        <w:pStyle w:val="BodyText"/>
        <w:spacing w:line="297" w:lineRule="auto" w:before="15"/>
        <w:ind w:right="111"/>
        <w:rPr>
          <w:rFonts w:ascii="黑体" w:eastAsia="黑体" w:hint="eastAsia"/>
        </w:rPr>
      </w:pPr>
      <w:r>
        <w:rPr>
          <w:spacing w:val="-13"/>
        </w:rPr>
        <w:t>指为治疗主动脉疾病，实际实施了开胸或开腹进行的切除、置换、修补病损主动脉血管的手术。</w:t>
      </w:r>
      <w:r>
        <w:rPr>
          <w:spacing w:val="-6"/>
        </w:rPr>
        <w:t>主动脉指胸主动脉和腹主动脉，</w:t>
      </w:r>
      <w:r>
        <w:rPr>
          <w:rFonts w:ascii="黑体" w:eastAsia="黑体" w:hint="eastAsia"/>
          <w:spacing w:val="-3"/>
          <w:u w:val="single"/>
        </w:rPr>
        <w:t>不包括胸主动脉和腹主动脉的分支血管。</w:t>
      </w:r>
    </w:p>
    <w:p>
      <w:pPr>
        <w:pStyle w:val="BodyText"/>
        <w:spacing w:before="13"/>
        <w:rPr>
          <w:rFonts w:ascii="黑体" w:eastAsia="黑体" w:hint="eastAsia"/>
        </w:rPr>
      </w:pPr>
      <w:r>
        <w:rPr>
          <w:rFonts w:ascii="黑体" w:eastAsia="黑体" w:hint="eastAsia"/>
          <w:u w:val="single"/>
        </w:rPr>
        <w:t>动脉内血管成形术不在保障范围内。</w:t>
      </w:r>
    </w:p>
    <w:p>
      <w:pPr>
        <w:pStyle w:val="Heading2"/>
        <w:spacing w:line="297" w:lineRule="auto" w:before="66"/>
        <w:ind w:left="324" w:right="323"/>
      </w:pPr>
      <w:r>
        <w:rPr>
          <w:spacing w:val="-16"/>
        </w:rPr>
        <w:t>以下 </w:t>
      </w:r>
      <w:r>
        <w:rPr/>
        <w:t>6</w:t>
      </w:r>
      <w:r>
        <w:rPr>
          <w:spacing w:val="-7"/>
        </w:rPr>
        <w:t> 种重大疾病不在中国保险行业协会《重大疾病保险的疾病定义使用规范》范围之内。终末期慢性呼吸功能衰竭</w:t>
      </w:r>
    </w:p>
    <w:p>
      <w:pPr>
        <w:pStyle w:val="BodyText"/>
        <w:spacing w:before="15"/>
        <w:jc w:val="both"/>
      </w:pPr>
      <w:r>
        <w:rPr/>
        <w:t>指因慢性呼吸系统疾病导致呼吸功能衰竭。诊断必须满足以下所有条件：</w:t>
      </w:r>
    </w:p>
    <w:p>
      <w:pPr>
        <w:pStyle w:val="ListParagraph"/>
        <w:numPr>
          <w:ilvl w:val="0"/>
          <w:numId w:val="23"/>
        </w:numPr>
        <w:tabs>
          <w:tab w:pos="745" w:val="left" w:leader="none"/>
        </w:tabs>
        <w:spacing w:line="240" w:lineRule="auto" w:before="65" w:after="0"/>
        <w:ind w:left="324" w:right="0" w:firstLine="0"/>
        <w:jc w:val="both"/>
        <w:rPr>
          <w:sz w:val="21"/>
        </w:rPr>
      </w:pPr>
      <w:r>
        <w:rPr>
          <w:spacing w:val="-3"/>
          <w:sz w:val="21"/>
        </w:rPr>
        <w:t>第一秒末用力呼气量</w:t>
      </w:r>
      <w:r>
        <w:rPr>
          <w:sz w:val="21"/>
        </w:rPr>
        <w:t>（FEV1）</w:t>
      </w:r>
      <w:r>
        <w:rPr>
          <w:spacing w:val="-17"/>
          <w:sz w:val="21"/>
        </w:rPr>
        <w:t>小于 </w:t>
      </w:r>
      <w:r>
        <w:rPr>
          <w:sz w:val="21"/>
        </w:rPr>
        <w:t>1</w:t>
      </w:r>
      <w:r>
        <w:rPr>
          <w:spacing w:val="-17"/>
          <w:sz w:val="21"/>
        </w:rPr>
        <w:t> 升；</w:t>
      </w:r>
    </w:p>
    <w:p>
      <w:pPr>
        <w:pStyle w:val="ListParagraph"/>
        <w:numPr>
          <w:ilvl w:val="0"/>
          <w:numId w:val="23"/>
        </w:numPr>
        <w:tabs>
          <w:tab w:pos="745" w:val="left" w:leader="none"/>
        </w:tabs>
        <w:spacing w:line="240" w:lineRule="auto" w:before="65" w:after="0"/>
        <w:ind w:left="324" w:right="0" w:firstLine="0"/>
        <w:jc w:val="both"/>
        <w:rPr>
          <w:sz w:val="21"/>
        </w:rPr>
      </w:pPr>
      <w:r>
        <w:rPr>
          <w:spacing w:val="-7"/>
          <w:sz w:val="21"/>
        </w:rPr>
        <w:t>气道内阻力增加，至少达到 </w:t>
      </w:r>
      <w:r>
        <w:rPr>
          <w:sz w:val="21"/>
        </w:rPr>
        <w:t>0.5</w:t>
      </w:r>
      <w:r>
        <w:rPr>
          <w:spacing w:val="7"/>
          <w:sz w:val="21"/>
        </w:rPr>
        <w:t> </w:t>
      </w:r>
      <w:r>
        <w:rPr>
          <w:sz w:val="21"/>
        </w:rPr>
        <w:t>kPa/l/s；</w:t>
      </w:r>
    </w:p>
    <w:p>
      <w:pPr>
        <w:pStyle w:val="ListParagraph"/>
        <w:numPr>
          <w:ilvl w:val="0"/>
          <w:numId w:val="23"/>
        </w:numPr>
        <w:tabs>
          <w:tab w:pos="745" w:val="left" w:leader="none"/>
        </w:tabs>
        <w:spacing w:line="240" w:lineRule="auto" w:before="65" w:after="0"/>
        <w:ind w:left="324" w:right="0" w:firstLine="0"/>
        <w:jc w:val="both"/>
        <w:rPr>
          <w:sz w:val="21"/>
        </w:rPr>
      </w:pPr>
      <w:r>
        <w:rPr>
          <w:spacing w:val="-3"/>
          <w:sz w:val="21"/>
        </w:rPr>
        <w:t>残气容积占肺总量(</w:t>
      </w:r>
      <w:r>
        <w:rPr>
          <w:sz w:val="21"/>
        </w:rPr>
        <w:t>TLC</w:t>
      </w:r>
      <w:r>
        <w:rPr>
          <w:spacing w:val="-15"/>
          <w:sz w:val="21"/>
        </w:rPr>
        <w:t>)的 </w:t>
      </w:r>
      <w:r>
        <w:rPr>
          <w:sz w:val="21"/>
        </w:rPr>
        <w:t>60</w:t>
      </w:r>
      <w:r>
        <w:rPr>
          <w:spacing w:val="-1"/>
          <w:sz w:val="21"/>
        </w:rPr>
        <w:t>%以上；</w:t>
      </w:r>
    </w:p>
    <w:p>
      <w:pPr>
        <w:pStyle w:val="ListParagraph"/>
        <w:numPr>
          <w:ilvl w:val="0"/>
          <w:numId w:val="23"/>
        </w:numPr>
        <w:tabs>
          <w:tab w:pos="745" w:val="left" w:leader="none"/>
        </w:tabs>
        <w:spacing w:line="240" w:lineRule="auto" w:before="63" w:after="0"/>
        <w:ind w:left="324" w:right="0" w:firstLine="0"/>
        <w:jc w:val="both"/>
        <w:rPr>
          <w:sz w:val="21"/>
        </w:rPr>
      </w:pPr>
      <w:r>
        <w:rPr>
          <w:spacing w:val="-7"/>
          <w:sz w:val="21"/>
        </w:rPr>
        <w:t>胸内气体容积升高，超过 </w:t>
      </w:r>
      <w:r>
        <w:rPr>
          <w:sz w:val="21"/>
        </w:rPr>
        <w:t>170</w:t>
      </w:r>
      <w:r>
        <w:rPr>
          <w:spacing w:val="-1"/>
          <w:sz w:val="21"/>
        </w:rPr>
        <w:t> (基值的百分比)；</w:t>
      </w:r>
    </w:p>
    <w:p>
      <w:pPr>
        <w:pStyle w:val="ListParagraph"/>
        <w:numPr>
          <w:ilvl w:val="0"/>
          <w:numId w:val="23"/>
        </w:numPr>
        <w:tabs>
          <w:tab w:pos="744" w:val="left" w:leader="none"/>
          <w:tab w:pos="745" w:val="left" w:leader="none"/>
        </w:tabs>
        <w:spacing w:line="297" w:lineRule="auto" w:before="65" w:after="0"/>
        <w:ind w:left="324" w:right="5603" w:firstLine="0"/>
        <w:jc w:val="left"/>
        <w:rPr>
          <w:b/>
          <w:sz w:val="21"/>
        </w:rPr>
      </w:pPr>
      <w:r>
        <w:rPr>
          <w:spacing w:val="-1"/>
          <w:position w:val="1"/>
          <w:sz w:val="21"/>
        </w:rPr>
        <w:t>PaO</w:t>
      </w:r>
      <w:r>
        <w:rPr>
          <w:spacing w:val="-1"/>
          <w:sz w:val="11"/>
        </w:rPr>
        <w:t>2</w:t>
      </w:r>
      <w:r>
        <w:rPr>
          <w:spacing w:val="-1"/>
          <w:position w:val="1"/>
          <w:sz w:val="21"/>
        </w:rPr>
        <w:t>&lt;60mmHg，PaCO</w:t>
      </w:r>
      <w:r>
        <w:rPr>
          <w:spacing w:val="-1"/>
          <w:sz w:val="11"/>
        </w:rPr>
        <w:t>2</w:t>
      </w:r>
      <w:r>
        <w:rPr>
          <w:spacing w:val="-1"/>
          <w:position w:val="1"/>
          <w:sz w:val="21"/>
        </w:rPr>
        <w:t>&gt;50mmHg</w:t>
      </w:r>
      <w:r>
        <w:rPr>
          <w:position w:val="1"/>
          <w:sz w:val="21"/>
        </w:rPr>
        <w:t>。</w:t>
      </w:r>
      <w:r>
        <w:rPr>
          <w:b/>
          <w:spacing w:val="-1"/>
          <w:sz w:val="21"/>
        </w:rPr>
        <w:t>系统性红斑狼疮性肾炎</w:t>
      </w:r>
    </w:p>
    <w:p>
      <w:pPr>
        <w:pStyle w:val="BodyText"/>
        <w:spacing w:line="297" w:lineRule="auto" w:before="15"/>
        <w:ind w:right="216"/>
      </w:pPr>
      <w:r>
        <w:rPr>
          <w:spacing w:val="-6"/>
        </w:rPr>
        <w:t>系统性红斑狼疮是一种由多种因素引起，累及多系统的自身免疫性疾病，其特点是体内有大量</w:t>
      </w:r>
      <w:r>
        <w:rPr>
          <w:spacing w:val="-4"/>
        </w:rPr>
        <w:t>自身抗体和免疫复合物，造成组织损伤。</w:t>
      </w:r>
    </w:p>
    <w:p>
      <w:pPr>
        <w:pStyle w:val="BodyText"/>
        <w:spacing w:before="15"/>
      </w:pPr>
      <w:r>
        <w:rPr/>
        <w:t>系统性红斑狼疮性肾炎是由于系统性红斑狼疮累及肾脏所导致的一种并发症，本险种仅对符合</w:t>
      </w:r>
    </w:p>
    <w:p>
      <w:pPr>
        <w:pStyle w:val="BodyText"/>
        <w:spacing w:line="297" w:lineRule="auto" w:before="63"/>
        <w:ind w:right="197"/>
        <w:rPr>
          <w:rFonts w:ascii="黑体" w:eastAsia="黑体" w:hint="eastAsia"/>
        </w:rPr>
      </w:pPr>
      <w:r>
        <w:rPr/>
        <w:t>WHO</w:t>
      </w:r>
      <w:r>
        <w:rPr>
          <w:spacing w:val="-15"/>
        </w:rPr>
        <w:t> 诊断标准定义 </w:t>
      </w:r>
      <w:r>
        <w:rPr/>
        <w:t>III</w:t>
      </w:r>
      <w:r>
        <w:rPr>
          <w:spacing w:val="-24"/>
        </w:rPr>
        <w:t> 型至 </w:t>
      </w:r>
      <w:r>
        <w:rPr/>
        <w:t>V</w:t>
      </w:r>
      <w:r>
        <w:rPr>
          <w:spacing w:val="-9"/>
        </w:rPr>
        <w:t> 型的系统性红斑狼疮性肾炎予以理赔。</w:t>
      </w:r>
      <w:r>
        <w:rPr>
          <w:rFonts w:ascii="黑体" w:eastAsia="黑体" w:hint="eastAsia"/>
          <w:spacing w:val="-3"/>
          <w:u w:val="single"/>
        </w:rPr>
        <w:t>其他类型的红斑性狼疮， 如盘状狼疮、仅累及血液及关节的狼疮不在本险种保障范围內。</w:t>
      </w:r>
    </w:p>
    <w:p>
      <w:pPr>
        <w:pStyle w:val="BodyText"/>
        <w:spacing w:before="15"/>
      </w:pPr>
      <w:r>
        <w:rPr>
          <w:u w:val="single"/>
        </w:rPr>
        <w:t>世界卫生组织（WHO）系统性红斑狼疮性肾炎分型:</w:t>
      </w:r>
    </w:p>
    <w:p>
      <w:pPr>
        <w:pStyle w:val="BodyText"/>
        <w:spacing w:before="8"/>
        <w:ind w:left="0"/>
        <w:rPr>
          <w:sz w:val="7"/>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5"/>
        <w:gridCol w:w="4292"/>
      </w:tblGrid>
      <w:tr>
        <w:trPr>
          <w:trHeight w:val="340" w:hRule="atLeast"/>
        </w:trPr>
        <w:tc>
          <w:tcPr>
            <w:tcW w:w="2835" w:type="dxa"/>
          </w:tcPr>
          <w:p>
            <w:pPr>
              <w:pStyle w:val="TableParagraph"/>
              <w:spacing w:line="241" w:lineRule="exact"/>
              <w:ind w:left="107"/>
              <w:rPr>
                <w:sz w:val="21"/>
              </w:rPr>
            </w:pPr>
            <w:r>
              <w:rPr>
                <w:sz w:val="21"/>
              </w:rPr>
              <w:t>I 型（微小病变型）</w:t>
            </w:r>
          </w:p>
        </w:tc>
        <w:tc>
          <w:tcPr>
            <w:tcW w:w="4292" w:type="dxa"/>
          </w:tcPr>
          <w:p>
            <w:pPr>
              <w:pStyle w:val="TableParagraph"/>
              <w:spacing w:line="241" w:lineRule="exact"/>
              <w:ind w:left="107"/>
              <w:rPr>
                <w:sz w:val="21"/>
              </w:rPr>
            </w:pPr>
            <w:r>
              <w:rPr>
                <w:sz w:val="21"/>
              </w:rPr>
              <w:t>镜下阴性，尿液正常</w:t>
            </w:r>
          </w:p>
        </w:tc>
      </w:tr>
      <w:tr>
        <w:trPr>
          <w:trHeight w:val="340" w:hRule="atLeast"/>
        </w:trPr>
        <w:tc>
          <w:tcPr>
            <w:tcW w:w="2835" w:type="dxa"/>
          </w:tcPr>
          <w:p>
            <w:pPr>
              <w:pStyle w:val="TableParagraph"/>
              <w:spacing w:line="241" w:lineRule="exact"/>
              <w:ind w:left="107"/>
              <w:rPr>
                <w:sz w:val="21"/>
              </w:rPr>
            </w:pPr>
            <w:r>
              <w:rPr>
                <w:sz w:val="21"/>
              </w:rPr>
              <w:t>II 型（系膜病变型）</w:t>
            </w:r>
          </w:p>
        </w:tc>
        <w:tc>
          <w:tcPr>
            <w:tcW w:w="4292" w:type="dxa"/>
          </w:tcPr>
          <w:p>
            <w:pPr>
              <w:pStyle w:val="TableParagraph"/>
              <w:spacing w:line="241" w:lineRule="exact"/>
              <w:ind w:left="107"/>
              <w:rPr>
                <w:sz w:val="21"/>
              </w:rPr>
            </w:pPr>
            <w:r>
              <w:rPr>
                <w:sz w:val="21"/>
              </w:rPr>
              <w:t>中度蛋白尿，偶有尿沉渣改变</w:t>
            </w:r>
          </w:p>
        </w:tc>
      </w:tr>
      <w:tr>
        <w:trPr>
          <w:trHeight w:val="340" w:hRule="atLeast"/>
        </w:trPr>
        <w:tc>
          <w:tcPr>
            <w:tcW w:w="2835" w:type="dxa"/>
          </w:tcPr>
          <w:p>
            <w:pPr>
              <w:pStyle w:val="TableParagraph"/>
              <w:spacing w:line="241" w:lineRule="exact"/>
              <w:ind w:left="107"/>
              <w:rPr>
                <w:sz w:val="21"/>
              </w:rPr>
            </w:pPr>
            <w:r>
              <w:rPr>
                <w:sz w:val="21"/>
              </w:rPr>
              <w:t>III</w:t>
            </w:r>
            <w:r>
              <w:rPr>
                <w:spacing w:val="-21"/>
                <w:sz w:val="21"/>
              </w:rPr>
              <w:t> 型</w:t>
            </w:r>
            <w:r>
              <w:rPr>
                <w:sz w:val="21"/>
              </w:rPr>
              <w:t>（</w:t>
            </w:r>
            <w:r>
              <w:rPr>
                <w:spacing w:val="-3"/>
                <w:sz w:val="21"/>
              </w:rPr>
              <w:t>局灶及节段增生型</w:t>
            </w:r>
            <w:r>
              <w:rPr>
                <w:sz w:val="21"/>
              </w:rPr>
              <w:t>）</w:t>
            </w:r>
          </w:p>
        </w:tc>
        <w:tc>
          <w:tcPr>
            <w:tcW w:w="4292" w:type="dxa"/>
          </w:tcPr>
          <w:p>
            <w:pPr>
              <w:pStyle w:val="TableParagraph"/>
              <w:spacing w:line="241" w:lineRule="exact"/>
              <w:ind w:left="107"/>
              <w:rPr>
                <w:sz w:val="21"/>
              </w:rPr>
            </w:pPr>
            <w:r>
              <w:rPr>
                <w:sz w:val="21"/>
              </w:rPr>
              <w:t>蛋白尿，尿沉渣改变</w:t>
            </w:r>
          </w:p>
        </w:tc>
      </w:tr>
      <w:tr>
        <w:trPr>
          <w:trHeight w:val="340" w:hRule="atLeast"/>
        </w:trPr>
        <w:tc>
          <w:tcPr>
            <w:tcW w:w="2835" w:type="dxa"/>
          </w:tcPr>
          <w:p>
            <w:pPr>
              <w:pStyle w:val="TableParagraph"/>
              <w:spacing w:line="241" w:lineRule="exact"/>
              <w:ind w:left="107"/>
              <w:rPr>
                <w:sz w:val="21"/>
              </w:rPr>
            </w:pPr>
            <w:r>
              <w:rPr>
                <w:sz w:val="21"/>
              </w:rPr>
              <w:t>IV 型（弥漫增生型）</w:t>
            </w:r>
          </w:p>
        </w:tc>
        <w:tc>
          <w:tcPr>
            <w:tcW w:w="4292" w:type="dxa"/>
          </w:tcPr>
          <w:p>
            <w:pPr>
              <w:pStyle w:val="TableParagraph"/>
              <w:spacing w:line="241" w:lineRule="exact"/>
              <w:ind w:left="107"/>
              <w:rPr>
                <w:sz w:val="21"/>
              </w:rPr>
            </w:pPr>
            <w:r>
              <w:rPr>
                <w:sz w:val="21"/>
              </w:rPr>
              <w:t>急性肾炎伴有尿沉渣改变及／或肾病综合征</w:t>
            </w:r>
          </w:p>
        </w:tc>
      </w:tr>
      <w:tr>
        <w:trPr>
          <w:trHeight w:val="340" w:hRule="atLeast"/>
        </w:trPr>
        <w:tc>
          <w:tcPr>
            <w:tcW w:w="2835" w:type="dxa"/>
          </w:tcPr>
          <w:p>
            <w:pPr>
              <w:pStyle w:val="TableParagraph"/>
              <w:spacing w:line="241" w:lineRule="exact"/>
              <w:ind w:left="107"/>
              <w:rPr>
                <w:sz w:val="21"/>
              </w:rPr>
            </w:pPr>
            <w:r>
              <w:rPr>
                <w:sz w:val="21"/>
              </w:rPr>
              <w:t>V 型（膜型）</w:t>
            </w:r>
          </w:p>
        </w:tc>
        <w:tc>
          <w:tcPr>
            <w:tcW w:w="4292" w:type="dxa"/>
          </w:tcPr>
          <w:p>
            <w:pPr>
              <w:pStyle w:val="TableParagraph"/>
              <w:spacing w:line="241" w:lineRule="exact"/>
              <w:ind w:left="107"/>
              <w:rPr>
                <w:sz w:val="21"/>
              </w:rPr>
            </w:pPr>
            <w:r>
              <w:rPr>
                <w:sz w:val="21"/>
              </w:rPr>
              <w:t>肾病综合征或重度蛋白尿</w:t>
            </w:r>
          </w:p>
        </w:tc>
      </w:tr>
    </w:tbl>
    <w:p>
      <w:pPr>
        <w:pStyle w:val="BodyText"/>
        <w:spacing w:line="297" w:lineRule="auto" w:before="150"/>
        <w:ind w:right="217"/>
        <w:jc w:val="both"/>
      </w:pPr>
      <w:r>
        <w:rPr>
          <w:b/>
          <w:spacing w:val="2"/>
        </w:rPr>
        <w:t>严重多发性硬化症 </w:t>
      </w:r>
      <w:r>
        <w:rPr>
          <w:spacing w:val="-3"/>
        </w:rPr>
        <w:t>指以中枢神经系统白质多灶性脱髓鞘病变为特征的一种疾病，病变有时累</w:t>
      </w:r>
      <w:r>
        <w:rPr>
          <w:spacing w:val="-10"/>
        </w:rPr>
        <w:t>及灰质。本险种仅对多发性硬化症造成神经系统功能损害，导致被保险人自主生活能力完全丧</w:t>
      </w:r>
      <w:r>
        <w:rPr>
          <w:spacing w:val="-3"/>
        </w:rPr>
        <w:t>失，无法独立完成六项基本日常生活活动中的三项或三项以上的情况予以理赔。</w:t>
      </w:r>
    </w:p>
    <w:p>
      <w:pPr>
        <w:pStyle w:val="BodyText"/>
        <w:spacing w:line="297" w:lineRule="auto" w:before="15"/>
        <w:ind w:right="217"/>
        <w:jc w:val="both"/>
      </w:pPr>
      <w:r>
        <w:rPr>
          <w:b/>
          <w:spacing w:val="2"/>
        </w:rPr>
        <w:t>严重肌营养不良症 </w:t>
      </w:r>
      <w:r>
        <w:rPr>
          <w:spacing w:val="-3"/>
        </w:rPr>
        <w:t>指一组肌肉变性病变，临床特征为与神经系统病变无关的肌肉无力和肌肉</w:t>
      </w:r>
      <w:r>
        <w:rPr>
          <w:spacing w:val="-9"/>
        </w:rPr>
        <w:t>萎缩。本险种仅对肌营养不良症导致被保险人自主生活能力完全丧失，无法独立完成六项基本</w:t>
      </w:r>
      <w:r>
        <w:rPr>
          <w:spacing w:val="-5"/>
        </w:rPr>
        <w:t>日常生活活动中的三项或三项以上的情况予以理赔。</w:t>
      </w:r>
    </w:p>
    <w:p>
      <w:pPr>
        <w:pStyle w:val="BodyText"/>
        <w:spacing w:line="297" w:lineRule="auto" w:before="15"/>
        <w:ind w:right="216"/>
        <w:rPr>
          <w:rFonts w:ascii="黑体" w:eastAsia="黑体" w:hint="eastAsia"/>
        </w:rPr>
      </w:pPr>
      <w:r>
        <w:rPr>
          <w:b/>
          <w:spacing w:val="5"/>
        </w:rPr>
        <w:t>急性出血坏死性胰腺炎 </w:t>
      </w:r>
      <w:r>
        <w:rPr>
          <w:spacing w:val="-3"/>
        </w:rPr>
        <w:t>指被保险人因为急性出血坏死性胰腺炎已经接受了外科开腹手术治 </w:t>
      </w:r>
      <w:r>
        <w:rPr>
          <w:spacing w:val="-10"/>
        </w:rPr>
        <w:t>疗，以进行坏死组织清除、坏死病灶切除或胰腺切除。</w:t>
      </w:r>
      <w:r>
        <w:rPr>
          <w:rFonts w:ascii="黑体" w:eastAsia="黑体" w:hint="eastAsia"/>
          <w:spacing w:val="-3"/>
          <w:u w:val="single"/>
        </w:rPr>
        <w:t>因饮酒过量所致的急性出血坏死性胰腺</w:t>
      </w:r>
    </w:p>
    <w:p>
      <w:pPr>
        <w:spacing w:after="0" w:line="297" w:lineRule="auto"/>
        <w:rPr>
          <w:rFonts w:ascii="黑体" w:eastAsia="黑体" w:hint="eastAsia"/>
        </w:rPr>
        <w:sectPr>
          <w:pgSz w:w="11910" w:h="16840"/>
          <w:pgMar w:header="0" w:footer="925" w:top="1180" w:bottom="1120" w:left="1680" w:right="11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8925"/>
      </w:tblGrid>
      <w:tr>
        <w:trPr>
          <w:trHeight w:val="276" w:hRule="atLeast"/>
        </w:trPr>
        <w:tc>
          <w:tcPr>
            <w:tcW w:w="732" w:type="dxa"/>
          </w:tcPr>
          <w:p>
            <w:pPr>
              <w:pStyle w:val="TableParagraph"/>
              <w:ind w:left="0"/>
              <w:rPr>
                <w:rFonts w:ascii="Times New Roman"/>
                <w:sz w:val="20"/>
              </w:rPr>
            </w:pPr>
          </w:p>
        </w:tc>
        <w:tc>
          <w:tcPr>
            <w:tcW w:w="8925" w:type="dxa"/>
          </w:tcPr>
          <w:p>
            <w:pPr>
              <w:pStyle w:val="TableParagraph"/>
              <w:spacing w:line="208" w:lineRule="exact"/>
              <w:ind w:left="108"/>
              <w:rPr>
                <w:rFonts w:ascii="黑体" w:eastAsia="黑体" w:hint="eastAsia"/>
                <w:sz w:val="21"/>
              </w:rPr>
            </w:pPr>
            <w:r>
              <w:rPr>
                <w:rFonts w:ascii="黑体" w:eastAsia="黑体" w:hint="eastAsia"/>
                <w:sz w:val="21"/>
                <w:u w:val="single"/>
              </w:rPr>
              <w:t>炎或经腹腔镜手术进行的治疗不在本险种保障范围内。</w:t>
            </w:r>
          </w:p>
        </w:tc>
      </w:tr>
      <w:tr>
        <w:trPr>
          <w:trHeight w:val="681" w:hRule="atLeast"/>
        </w:trPr>
        <w:tc>
          <w:tcPr>
            <w:tcW w:w="732" w:type="dxa"/>
          </w:tcPr>
          <w:p>
            <w:pPr>
              <w:pStyle w:val="TableParagraph"/>
              <w:ind w:left="0"/>
              <w:rPr>
                <w:rFonts w:ascii="Times New Roman"/>
                <w:sz w:val="20"/>
              </w:rPr>
            </w:pPr>
          </w:p>
        </w:tc>
        <w:tc>
          <w:tcPr>
            <w:tcW w:w="8925" w:type="dxa"/>
          </w:tcPr>
          <w:p>
            <w:pPr>
              <w:pStyle w:val="TableParagraph"/>
              <w:spacing w:line="297" w:lineRule="auto"/>
              <w:ind w:left="108" w:right="297"/>
              <w:rPr>
                <w:sz w:val="21"/>
              </w:rPr>
            </w:pPr>
            <w:r>
              <w:rPr>
                <w:b/>
                <w:sz w:val="21"/>
              </w:rPr>
              <w:t>克隆病 </w:t>
            </w:r>
            <w:r>
              <w:rPr>
                <w:sz w:val="21"/>
              </w:rPr>
              <w:t>指一种慢性肉芽肿性肠炎。被保险人所患的克隆病必须已经造成瘘管形成并伴有肠梗阻或引起急性腹膜炎的肠穿孔，诊断必须有结肠镜检查和组织病理学证据支持。</w:t>
            </w:r>
          </w:p>
        </w:tc>
      </w:tr>
      <w:tr>
        <w:trPr>
          <w:trHeight w:val="680" w:hRule="atLeast"/>
        </w:trPr>
        <w:tc>
          <w:tcPr>
            <w:tcW w:w="732" w:type="dxa"/>
          </w:tcPr>
          <w:p>
            <w:pPr>
              <w:pStyle w:val="TableParagraph"/>
              <w:spacing w:line="273" w:lineRule="exact"/>
              <w:ind w:left="76" w:right="89"/>
              <w:jc w:val="center"/>
              <w:rPr>
                <w:b/>
                <w:sz w:val="21"/>
              </w:rPr>
            </w:pPr>
            <w:r>
              <w:rPr>
                <w:b/>
                <w:sz w:val="21"/>
              </w:rPr>
              <w:t>7.8</w:t>
            </w:r>
          </w:p>
        </w:tc>
        <w:tc>
          <w:tcPr>
            <w:tcW w:w="8925" w:type="dxa"/>
          </w:tcPr>
          <w:p>
            <w:pPr>
              <w:pStyle w:val="TableParagraph"/>
              <w:spacing w:line="273" w:lineRule="exact"/>
              <w:ind w:left="108"/>
              <w:rPr>
                <w:sz w:val="21"/>
              </w:rPr>
            </w:pPr>
            <w:r>
              <w:rPr>
                <w:b/>
                <w:sz w:val="21"/>
              </w:rPr>
              <w:t>肢体机能完全丧失 </w:t>
            </w:r>
            <w:r>
              <w:rPr>
                <w:sz w:val="21"/>
              </w:rPr>
              <w:t>重大疾病定义中所指的“肢体机能完全丧失”是指肢体的三大关节中的两</w:t>
            </w:r>
          </w:p>
          <w:p>
            <w:pPr>
              <w:pStyle w:val="TableParagraph"/>
              <w:spacing w:before="66"/>
              <w:ind w:left="108"/>
              <w:rPr>
                <w:sz w:val="21"/>
              </w:rPr>
            </w:pPr>
            <w:r>
              <w:rPr>
                <w:sz w:val="21"/>
              </w:rPr>
              <w:t>大关节僵硬，或不能随意识活动。肢体是指包括肩关节的整个上肢或包括髋关节的整个下肢。</w:t>
            </w:r>
          </w:p>
        </w:tc>
      </w:tr>
      <w:tr>
        <w:trPr>
          <w:trHeight w:val="1702" w:hRule="atLeast"/>
        </w:trPr>
        <w:tc>
          <w:tcPr>
            <w:tcW w:w="732" w:type="dxa"/>
          </w:tcPr>
          <w:p>
            <w:pPr>
              <w:pStyle w:val="TableParagraph"/>
              <w:spacing w:line="272" w:lineRule="exact"/>
              <w:ind w:left="76" w:right="89"/>
              <w:jc w:val="center"/>
              <w:rPr>
                <w:b/>
                <w:sz w:val="21"/>
              </w:rPr>
            </w:pPr>
            <w:r>
              <w:rPr>
                <w:b/>
                <w:sz w:val="21"/>
              </w:rPr>
              <w:t>7.9</w:t>
            </w:r>
          </w:p>
        </w:tc>
        <w:tc>
          <w:tcPr>
            <w:tcW w:w="8925" w:type="dxa"/>
          </w:tcPr>
          <w:p>
            <w:pPr>
              <w:pStyle w:val="TableParagraph"/>
              <w:spacing w:line="272" w:lineRule="exact"/>
              <w:ind w:left="108"/>
              <w:rPr>
                <w:b/>
                <w:sz w:val="21"/>
              </w:rPr>
            </w:pPr>
            <w:r>
              <w:rPr>
                <w:b/>
                <w:sz w:val="21"/>
              </w:rPr>
              <w:t>语言能力或咀嚼吞咽能力完全丧失</w:t>
            </w:r>
          </w:p>
          <w:p>
            <w:pPr>
              <w:pStyle w:val="TableParagraph"/>
              <w:spacing w:line="297" w:lineRule="auto" w:before="66"/>
              <w:ind w:left="108" w:right="199"/>
              <w:rPr>
                <w:sz w:val="21"/>
              </w:rPr>
            </w:pPr>
            <w:r>
              <w:rPr>
                <w:spacing w:val="-3"/>
                <w:sz w:val="21"/>
              </w:rPr>
              <w:t>重大疾病定义中所指的“语言能力完全丧失”是指无法发出四种语音（包括口唇音、齿舌音、口盖音和喉头音</w:t>
            </w:r>
            <w:r>
              <w:rPr>
                <w:sz w:val="21"/>
              </w:rPr>
              <w:t>）</w:t>
            </w:r>
            <w:r>
              <w:rPr>
                <w:spacing w:val="-3"/>
                <w:sz w:val="21"/>
              </w:rPr>
              <w:t>中的任何三种、或声带全部切除，或因大脑语言中枢受伤害而患失语症。 </w:t>
            </w:r>
            <w:r>
              <w:rPr>
                <w:spacing w:val="-9"/>
                <w:sz w:val="21"/>
              </w:rPr>
              <w:t>重大疾病定义中所指的“咀嚼吞咽能力完全丧失”是指因牙齿以外的原因导致器质障碍或机能</w:t>
            </w:r>
            <w:r>
              <w:rPr>
                <w:spacing w:val="-5"/>
                <w:sz w:val="21"/>
              </w:rPr>
              <w:t>障碍，以致不能作咀嚼吞咽运动，除流质食物外不能摄取或吞咽的状态。</w:t>
            </w:r>
          </w:p>
        </w:tc>
      </w:tr>
      <w:tr>
        <w:trPr>
          <w:trHeight w:val="2723" w:hRule="atLeast"/>
        </w:trPr>
        <w:tc>
          <w:tcPr>
            <w:tcW w:w="732" w:type="dxa"/>
          </w:tcPr>
          <w:p>
            <w:pPr>
              <w:pStyle w:val="TableParagraph"/>
              <w:spacing w:line="273" w:lineRule="exact"/>
              <w:ind w:left="179" w:right="89"/>
              <w:jc w:val="center"/>
              <w:rPr>
                <w:b/>
                <w:sz w:val="21"/>
              </w:rPr>
            </w:pPr>
            <w:r>
              <w:rPr>
                <w:b/>
                <w:sz w:val="21"/>
              </w:rPr>
              <w:t>7.10</w:t>
            </w:r>
          </w:p>
        </w:tc>
        <w:tc>
          <w:tcPr>
            <w:tcW w:w="8925" w:type="dxa"/>
          </w:tcPr>
          <w:p>
            <w:pPr>
              <w:pStyle w:val="TableParagraph"/>
              <w:spacing w:line="273" w:lineRule="exact"/>
              <w:ind w:left="108"/>
              <w:rPr>
                <w:b/>
                <w:sz w:val="21"/>
              </w:rPr>
            </w:pPr>
            <w:r>
              <w:rPr>
                <w:b/>
                <w:sz w:val="21"/>
              </w:rPr>
              <w:t>六项基本日常生活活动</w:t>
            </w:r>
          </w:p>
          <w:p>
            <w:pPr>
              <w:pStyle w:val="TableParagraph"/>
              <w:spacing w:before="63"/>
              <w:ind w:left="108"/>
              <w:rPr>
                <w:sz w:val="21"/>
              </w:rPr>
            </w:pPr>
            <w:r>
              <w:rPr>
                <w:sz w:val="21"/>
              </w:rPr>
              <w:t>重大疾病定义中所指的“六项基本日常生活活动”是指：</w:t>
            </w:r>
          </w:p>
          <w:p>
            <w:pPr>
              <w:pStyle w:val="TableParagraph"/>
              <w:numPr>
                <w:ilvl w:val="0"/>
                <w:numId w:val="24"/>
              </w:numPr>
              <w:tabs>
                <w:tab w:pos="528" w:val="left" w:leader="none"/>
                <w:tab w:pos="529" w:val="left" w:leader="none"/>
              </w:tabs>
              <w:spacing w:line="240" w:lineRule="auto" w:before="65" w:after="0"/>
              <w:ind w:left="528" w:right="0" w:hanging="420"/>
              <w:jc w:val="left"/>
              <w:rPr>
                <w:sz w:val="21"/>
              </w:rPr>
            </w:pPr>
            <w:r>
              <w:rPr>
                <w:spacing w:val="-3"/>
                <w:sz w:val="21"/>
              </w:rPr>
              <w:t>穿衣：自己能够穿衣及脱衣；</w:t>
            </w:r>
          </w:p>
          <w:p>
            <w:pPr>
              <w:pStyle w:val="TableParagraph"/>
              <w:numPr>
                <w:ilvl w:val="0"/>
                <w:numId w:val="24"/>
              </w:numPr>
              <w:tabs>
                <w:tab w:pos="528" w:val="left" w:leader="none"/>
                <w:tab w:pos="529" w:val="left" w:leader="none"/>
              </w:tabs>
              <w:spacing w:line="240" w:lineRule="auto" w:before="66" w:after="0"/>
              <w:ind w:left="528" w:right="0" w:hanging="420"/>
              <w:jc w:val="left"/>
              <w:rPr>
                <w:sz w:val="21"/>
              </w:rPr>
            </w:pPr>
            <w:r>
              <w:rPr>
                <w:spacing w:val="-3"/>
                <w:sz w:val="21"/>
              </w:rPr>
              <w:t>移动：自己从一个房间到另一个房间；</w:t>
            </w:r>
          </w:p>
          <w:p>
            <w:pPr>
              <w:pStyle w:val="TableParagraph"/>
              <w:numPr>
                <w:ilvl w:val="0"/>
                <w:numId w:val="24"/>
              </w:numPr>
              <w:tabs>
                <w:tab w:pos="528" w:val="left" w:leader="none"/>
                <w:tab w:pos="529" w:val="left" w:leader="none"/>
              </w:tabs>
              <w:spacing w:line="240" w:lineRule="auto" w:before="65" w:after="0"/>
              <w:ind w:left="528" w:right="0" w:hanging="420"/>
              <w:jc w:val="left"/>
              <w:rPr>
                <w:sz w:val="21"/>
              </w:rPr>
            </w:pPr>
            <w:r>
              <w:rPr>
                <w:spacing w:val="-3"/>
                <w:sz w:val="21"/>
              </w:rPr>
              <w:t>行动：自己上下床或上下轮椅；</w:t>
            </w:r>
          </w:p>
          <w:p>
            <w:pPr>
              <w:pStyle w:val="TableParagraph"/>
              <w:numPr>
                <w:ilvl w:val="0"/>
                <w:numId w:val="24"/>
              </w:numPr>
              <w:tabs>
                <w:tab w:pos="528" w:val="left" w:leader="none"/>
                <w:tab w:pos="529" w:val="left" w:leader="none"/>
              </w:tabs>
              <w:spacing w:line="240" w:lineRule="auto" w:before="65" w:after="0"/>
              <w:ind w:left="528" w:right="0" w:hanging="420"/>
              <w:jc w:val="left"/>
              <w:rPr>
                <w:sz w:val="21"/>
              </w:rPr>
            </w:pPr>
            <w:r>
              <w:rPr>
                <w:spacing w:val="-3"/>
                <w:sz w:val="21"/>
              </w:rPr>
              <w:t>如厕：自己控制进行大小便；</w:t>
            </w:r>
          </w:p>
          <w:p>
            <w:pPr>
              <w:pStyle w:val="TableParagraph"/>
              <w:numPr>
                <w:ilvl w:val="0"/>
                <w:numId w:val="24"/>
              </w:numPr>
              <w:tabs>
                <w:tab w:pos="528" w:val="left" w:leader="none"/>
                <w:tab w:pos="529" w:val="left" w:leader="none"/>
              </w:tabs>
              <w:spacing w:line="240" w:lineRule="auto" w:before="65" w:after="0"/>
              <w:ind w:left="528" w:right="0" w:hanging="420"/>
              <w:jc w:val="left"/>
              <w:rPr>
                <w:sz w:val="21"/>
              </w:rPr>
            </w:pPr>
            <w:r>
              <w:rPr>
                <w:spacing w:val="-3"/>
                <w:sz w:val="21"/>
              </w:rPr>
              <w:t>进食：自己从已准备好的碗或碟中取食物放入口中；</w:t>
            </w:r>
          </w:p>
          <w:p>
            <w:pPr>
              <w:pStyle w:val="TableParagraph"/>
              <w:numPr>
                <w:ilvl w:val="0"/>
                <w:numId w:val="24"/>
              </w:numPr>
              <w:tabs>
                <w:tab w:pos="528" w:val="left" w:leader="none"/>
                <w:tab w:pos="529" w:val="left" w:leader="none"/>
              </w:tabs>
              <w:spacing w:line="240" w:lineRule="auto" w:before="65" w:after="0"/>
              <w:ind w:left="528" w:right="0" w:hanging="420"/>
              <w:jc w:val="left"/>
              <w:rPr>
                <w:sz w:val="21"/>
              </w:rPr>
            </w:pPr>
            <w:r>
              <w:rPr>
                <w:spacing w:val="-3"/>
                <w:sz w:val="21"/>
              </w:rPr>
              <w:t>洗澡：自己进行淋浴或盆浴。</w:t>
            </w:r>
          </w:p>
        </w:tc>
      </w:tr>
      <w:tr>
        <w:trPr>
          <w:trHeight w:val="615" w:hRule="atLeast"/>
        </w:trPr>
        <w:tc>
          <w:tcPr>
            <w:tcW w:w="732" w:type="dxa"/>
          </w:tcPr>
          <w:p>
            <w:pPr>
              <w:pStyle w:val="TableParagraph"/>
              <w:spacing w:line="272" w:lineRule="exact"/>
              <w:ind w:left="179" w:right="89"/>
              <w:jc w:val="center"/>
              <w:rPr>
                <w:b/>
                <w:sz w:val="21"/>
              </w:rPr>
            </w:pPr>
            <w:r>
              <w:rPr>
                <w:b/>
                <w:sz w:val="21"/>
              </w:rPr>
              <w:t>7.11</w:t>
            </w:r>
          </w:p>
        </w:tc>
        <w:tc>
          <w:tcPr>
            <w:tcW w:w="8925" w:type="dxa"/>
          </w:tcPr>
          <w:p>
            <w:pPr>
              <w:pStyle w:val="TableParagraph"/>
              <w:spacing w:line="272" w:lineRule="exact"/>
              <w:ind w:left="108"/>
              <w:rPr>
                <w:sz w:val="21"/>
              </w:rPr>
            </w:pPr>
            <w:r>
              <w:rPr>
                <w:b/>
                <w:sz w:val="21"/>
              </w:rPr>
              <w:t>永久不可逆 </w:t>
            </w:r>
            <w:r>
              <w:rPr>
                <w:sz w:val="21"/>
              </w:rPr>
              <w:t>重大疾病定义中所指的“永久不可逆”是指自疾病确诊或意外伤害发生之日起，</w:t>
            </w:r>
          </w:p>
          <w:p>
            <w:pPr>
              <w:pStyle w:val="TableParagraph"/>
              <w:spacing w:line="258" w:lineRule="exact" w:before="66"/>
              <w:ind w:left="108"/>
              <w:rPr>
                <w:sz w:val="21"/>
              </w:rPr>
            </w:pPr>
            <w:r>
              <w:rPr>
                <w:sz w:val="21"/>
              </w:rPr>
              <w:t>经过积极治疗 180 天后，仍无法通过现有医疗手段恢复。</w:t>
            </w:r>
          </w:p>
        </w:tc>
      </w:tr>
    </w:tbl>
    <w:p>
      <w:pPr>
        <w:spacing w:after="0" w:line="258" w:lineRule="exact"/>
        <w:rPr>
          <w:sz w:val="21"/>
        </w:rPr>
        <w:sectPr>
          <w:pgSz w:w="11910" w:h="16840"/>
          <w:pgMar w:header="0" w:footer="925" w:top="1260" w:bottom="1120" w:left="1060" w:right="980"/>
        </w:sectPr>
      </w:pPr>
    </w:p>
    <w:p>
      <w:pPr>
        <w:pStyle w:val="BodyText"/>
        <w:tabs>
          <w:tab w:pos="7038" w:val="left" w:leader="none"/>
        </w:tabs>
        <w:spacing w:before="13"/>
        <w:ind w:left="103"/>
      </w:pPr>
      <w:r>
        <w:rPr/>
        <w:t>附表：每</w:t>
      </w:r>
      <w:r>
        <w:rPr>
          <w:spacing w:val="-3"/>
        </w:rPr>
        <w:t>千</w:t>
      </w:r>
      <w:r>
        <w:rPr/>
        <w:t>元</w:t>
      </w:r>
      <w:r>
        <w:rPr>
          <w:spacing w:val="-3"/>
        </w:rPr>
        <w:t>基</w:t>
      </w:r>
      <w:r>
        <w:rPr/>
        <w:t>本</w:t>
      </w:r>
      <w:r>
        <w:rPr>
          <w:spacing w:val="-3"/>
        </w:rPr>
        <w:t>保</w:t>
      </w:r>
      <w:r>
        <w:rPr/>
        <w:t>险</w:t>
      </w:r>
      <w:r>
        <w:rPr>
          <w:spacing w:val="-3"/>
        </w:rPr>
        <w:t>金</w:t>
      </w:r>
      <w:r>
        <w:rPr/>
        <w:t>额的</w:t>
      </w:r>
      <w:r>
        <w:rPr>
          <w:spacing w:val="-3"/>
        </w:rPr>
        <w:t>月</w:t>
      </w:r>
      <w:r>
        <w:rPr/>
        <w:t>重</w:t>
      </w:r>
      <w:r>
        <w:rPr>
          <w:spacing w:val="-3"/>
        </w:rPr>
        <w:t>大</w:t>
      </w:r>
      <w:r>
        <w:rPr/>
        <w:t>疾</w:t>
      </w:r>
      <w:r>
        <w:rPr>
          <w:spacing w:val="-3"/>
        </w:rPr>
        <w:t>病</w:t>
      </w:r>
      <w:r>
        <w:rPr/>
        <w:t>风</w:t>
      </w:r>
      <w:r>
        <w:rPr>
          <w:spacing w:val="-3"/>
        </w:rPr>
        <w:t>险</w:t>
      </w:r>
      <w:r>
        <w:rPr/>
        <w:t>保</w:t>
      </w:r>
      <w:r>
        <w:rPr>
          <w:spacing w:val="-3"/>
        </w:rPr>
        <w:t>险</w:t>
      </w:r>
      <w:r>
        <w:rPr/>
        <w:t>费表</w:t>
        <w:tab/>
        <w:t>（单</w:t>
      </w:r>
      <w:r>
        <w:rPr>
          <w:spacing w:val="-3"/>
        </w:rPr>
        <w:t>位</w:t>
      </w:r>
      <w:r>
        <w:rPr/>
        <w:t>：</w:t>
      </w:r>
      <w:r>
        <w:rPr>
          <w:spacing w:val="-3"/>
        </w:rPr>
        <w:t>元</w:t>
      </w:r>
      <w:r>
        <w:rPr/>
        <w:t>）</w:t>
      </w:r>
    </w:p>
    <w:p>
      <w:pPr>
        <w:pStyle w:val="BodyText"/>
        <w:spacing w:before="11"/>
        <w:ind w:left="0"/>
        <w:rPr>
          <w:sz w:val="6"/>
        </w:rPr>
      </w:pPr>
    </w:p>
    <w:tbl>
      <w:tblPr>
        <w:tblW w:w="0" w:type="auto"/>
        <w:jc w:val="left"/>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1189"/>
        <w:gridCol w:w="1188"/>
        <w:gridCol w:w="1188"/>
        <w:gridCol w:w="1185"/>
        <w:gridCol w:w="1188"/>
      </w:tblGrid>
      <w:tr>
        <w:trPr>
          <w:trHeight w:val="312" w:hRule="atLeast"/>
        </w:trPr>
        <w:tc>
          <w:tcPr>
            <w:tcW w:w="1186" w:type="dxa"/>
          </w:tcPr>
          <w:p>
            <w:pPr>
              <w:pStyle w:val="TableParagraph"/>
              <w:spacing w:line="254" w:lineRule="exact"/>
              <w:ind w:left="375" w:right="361"/>
              <w:jc w:val="center"/>
              <w:rPr>
                <w:sz w:val="20"/>
              </w:rPr>
            </w:pPr>
            <w:r>
              <w:rPr>
                <w:sz w:val="20"/>
              </w:rPr>
              <w:t>年龄</w:t>
            </w:r>
          </w:p>
        </w:tc>
        <w:tc>
          <w:tcPr>
            <w:tcW w:w="1189" w:type="dxa"/>
          </w:tcPr>
          <w:p>
            <w:pPr>
              <w:pStyle w:val="TableParagraph"/>
              <w:spacing w:line="254" w:lineRule="exact"/>
              <w:ind w:left="0" w:right="380"/>
              <w:jc w:val="right"/>
              <w:rPr>
                <w:sz w:val="20"/>
              </w:rPr>
            </w:pPr>
            <w:r>
              <w:rPr>
                <w:sz w:val="20"/>
              </w:rPr>
              <w:t>男性</w:t>
            </w:r>
          </w:p>
        </w:tc>
        <w:tc>
          <w:tcPr>
            <w:tcW w:w="1188" w:type="dxa"/>
          </w:tcPr>
          <w:p>
            <w:pPr>
              <w:pStyle w:val="TableParagraph"/>
              <w:spacing w:line="254" w:lineRule="exact"/>
              <w:ind w:right="312"/>
              <w:jc w:val="center"/>
              <w:rPr>
                <w:sz w:val="20"/>
              </w:rPr>
            </w:pPr>
            <w:r>
              <w:rPr>
                <w:sz w:val="20"/>
              </w:rPr>
              <w:t>女性</w:t>
            </w:r>
          </w:p>
        </w:tc>
        <w:tc>
          <w:tcPr>
            <w:tcW w:w="1188" w:type="dxa"/>
          </w:tcPr>
          <w:p>
            <w:pPr>
              <w:pStyle w:val="TableParagraph"/>
              <w:spacing w:line="254" w:lineRule="exact"/>
              <w:ind w:right="312"/>
              <w:jc w:val="center"/>
              <w:rPr>
                <w:sz w:val="20"/>
              </w:rPr>
            </w:pPr>
            <w:r>
              <w:rPr>
                <w:sz w:val="20"/>
              </w:rPr>
              <w:t>年龄</w:t>
            </w:r>
          </w:p>
        </w:tc>
        <w:tc>
          <w:tcPr>
            <w:tcW w:w="1185" w:type="dxa"/>
          </w:tcPr>
          <w:p>
            <w:pPr>
              <w:pStyle w:val="TableParagraph"/>
              <w:spacing w:line="254" w:lineRule="exact"/>
              <w:ind w:right="308"/>
              <w:jc w:val="center"/>
              <w:rPr>
                <w:sz w:val="20"/>
              </w:rPr>
            </w:pPr>
            <w:r>
              <w:rPr>
                <w:sz w:val="20"/>
              </w:rPr>
              <w:t>男性</w:t>
            </w:r>
          </w:p>
        </w:tc>
        <w:tc>
          <w:tcPr>
            <w:tcW w:w="1188" w:type="dxa"/>
          </w:tcPr>
          <w:p>
            <w:pPr>
              <w:pStyle w:val="TableParagraph"/>
              <w:spacing w:line="254" w:lineRule="exact"/>
              <w:ind w:left="0" w:right="376"/>
              <w:jc w:val="right"/>
              <w:rPr>
                <w:sz w:val="20"/>
              </w:rPr>
            </w:pPr>
            <w:r>
              <w:rPr>
                <w:sz w:val="20"/>
              </w:rPr>
              <w:t>女性</w:t>
            </w:r>
          </w:p>
        </w:tc>
      </w:tr>
      <w:tr>
        <w:trPr>
          <w:trHeight w:val="314" w:hRule="atLeast"/>
        </w:trPr>
        <w:tc>
          <w:tcPr>
            <w:tcW w:w="1186" w:type="dxa"/>
            <w:tcBorders>
              <w:bottom w:val="nil"/>
            </w:tcBorders>
          </w:tcPr>
          <w:p>
            <w:pPr>
              <w:pStyle w:val="TableParagraph"/>
              <w:spacing w:line="254" w:lineRule="exact"/>
              <w:ind w:left="8"/>
              <w:jc w:val="center"/>
              <w:rPr>
                <w:sz w:val="20"/>
              </w:rPr>
            </w:pPr>
            <w:r>
              <w:rPr>
                <w:w w:val="99"/>
                <w:sz w:val="20"/>
              </w:rPr>
              <w:t>0</w:t>
            </w:r>
          </w:p>
        </w:tc>
        <w:tc>
          <w:tcPr>
            <w:tcW w:w="1189" w:type="dxa"/>
            <w:tcBorders>
              <w:bottom w:val="nil"/>
            </w:tcBorders>
          </w:tcPr>
          <w:p>
            <w:pPr>
              <w:pStyle w:val="TableParagraph"/>
              <w:spacing w:line="254" w:lineRule="exact"/>
              <w:ind w:left="0" w:right="334"/>
              <w:jc w:val="right"/>
              <w:rPr>
                <w:sz w:val="20"/>
              </w:rPr>
            </w:pPr>
            <w:r>
              <w:rPr>
                <w:sz w:val="20"/>
              </w:rPr>
              <w:t>0.134</w:t>
            </w:r>
          </w:p>
        </w:tc>
        <w:tc>
          <w:tcPr>
            <w:tcW w:w="1188" w:type="dxa"/>
            <w:tcBorders>
              <w:bottom w:val="nil"/>
            </w:tcBorders>
          </w:tcPr>
          <w:p>
            <w:pPr>
              <w:pStyle w:val="TableParagraph"/>
              <w:spacing w:line="254" w:lineRule="exact"/>
              <w:ind w:right="316"/>
              <w:jc w:val="center"/>
              <w:rPr>
                <w:sz w:val="20"/>
              </w:rPr>
            </w:pPr>
            <w:r>
              <w:rPr>
                <w:sz w:val="20"/>
              </w:rPr>
              <w:t>0.151</w:t>
            </w:r>
          </w:p>
        </w:tc>
        <w:tc>
          <w:tcPr>
            <w:tcW w:w="1188" w:type="dxa"/>
            <w:tcBorders>
              <w:bottom w:val="nil"/>
            </w:tcBorders>
          </w:tcPr>
          <w:p>
            <w:pPr>
              <w:pStyle w:val="TableParagraph"/>
              <w:spacing w:line="254" w:lineRule="exact"/>
              <w:ind w:right="312"/>
              <w:jc w:val="center"/>
              <w:rPr>
                <w:sz w:val="20"/>
              </w:rPr>
            </w:pPr>
            <w:r>
              <w:rPr>
                <w:sz w:val="20"/>
              </w:rPr>
              <w:t>38</w:t>
            </w:r>
          </w:p>
        </w:tc>
        <w:tc>
          <w:tcPr>
            <w:tcW w:w="1185" w:type="dxa"/>
            <w:tcBorders>
              <w:bottom w:val="nil"/>
            </w:tcBorders>
          </w:tcPr>
          <w:p>
            <w:pPr>
              <w:pStyle w:val="TableParagraph"/>
              <w:spacing w:line="254" w:lineRule="exact"/>
              <w:ind w:right="313"/>
              <w:jc w:val="center"/>
              <w:rPr>
                <w:sz w:val="20"/>
              </w:rPr>
            </w:pPr>
            <w:r>
              <w:rPr>
                <w:sz w:val="20"/>
              </w:rPr>
              <w:t>0.262</w:t>
            </w:r>
          </w:p>
        </w:tc>
        <w:tc>
          <w:tcPr>
            <w:tcW w:w="1188" w:type="dxa"/>
            <w:tcBorders>
              <w:bottom w:val="nil"/>
            </w:tcBorders>
          </w:tcPr>
          <w:p>
            <w:pPr>
              <w:pStyle w:val="TableParagraph"/>
              <w:spacing w:line="254" w:lineRule="exact"/>
              <w:ind w:left="0" w:right="330"/>
              <w:jc w:val="right"/>
              <w:rPr>
                <w:sz w:val="20"/>
              </w:rPr>
            </w:pPr>
            <w:r>
              <w:rPr>
                <w:sz w:val="20"/>
              </w:rPr>
              <w:t>0.305</w:t>
            </w:r>
          </w:p>
        </w:tc>
      </w:tr>
      <w:tr>
        <w:trPr>
          <w:trHeight w:val="320" w:hRule="atLeast"/>
        </w:trPr>
        <w:tc>
          <w:tcPr>
            <w:tcW w:w="1186" w:type="dxa"/>
            <w:tcBorders>
              <w:top w:val="nil"/>
              <w:bottom w:val="nil"/>
            </w:tcBorders>
          </w:tcPr>
          <w:p>
            <w:pPr>
              <w:pStyle w:val="TableParagraph"/>
              <w:spacing w:line="261" w:lineRule="exact"/>
              <w:ind w:left="8"/>
              <w:jc w:val="center"/>
              <w:rPr>
                <w:sz w:val="20"/>
              </w:rPr>
            </w:pPr>
            <w:r>
              <w:rPr>
                <w:w w:val="99"/>
                <w:sz w:val="20"/>
              </w:rPr>
              <w:t>1</w:t>
            </w:r>
          </w:p>
        </w:tc>
        <w:tc>
          <w:tcPr>
            <w:tcW w:w="1189" w:type="dxa"/>
            <w:tcBorders>
              <w:top w:val="nil"/>
              <w:bottom w:val="nil"/>
            </w:tcBorders>
          </w:tcPr>
          <w:p>
            <w:pPr>
              <w:pStyle w:val="TableParagraph"/>
              <w:spacing w:line="261" w:lineRule="exact"/>
              <w:ind w:left="0" w:right="334"/>
              <w:jc w:val="right"/>
              <w:rPr>
                <w:sz w:val="20"/>
              </w:rPr>
            </w:pPr>
            <w:r>
              <w:rPr>
                <w:sz w:val="20"/>
              </w:rPr>
              <w:t>0.106</w:t>
            </w:r>
          </w:p>
        </w:tc>
        <w:tc>
          <w:tcPr>
            <w:tcW w:w="1188" w:type="dxa"/>
            <w:tcBorders>
              <w:top w:val="nil"/>
              <w:bottom w:val="nil"/>
            </w:tcBorders>
          </w:tcPr>
          <w:p>
            <w:pPr>
              <w:pStyle w:val="TableParagraph"/>
              <w:spacing w:line="261" w:lineRule="exact"/>
              <w:ind w:right="316"/>
              <w:jc w:val="center"/>
              <w:rPr>
                <w:sz w:val="20"/>
              </w:rPr>
            </w:pPr>
            <w:r>
              <w:rPr>
                <w:sz w:val="20"/>
              </w:rPr>
              <w:t>0.126</w:t>
            </w:r>
          </w:p>
        </w:tc>
        <w:tc>
          <w:tcPr>
            <w:tcW w:w="1188" w:type="dxa"/>
            <w:tcBorders>
              <w:top w:val="nil"/>
              <w:bottom w:val="nil"/>
            </w:tcBorders>
          </w:tcPr>
          <w:p>
            <w:pPr>
              <w:pStyle w:val="TableParagraph"/>
              <w:spacing w:line="261" w:lineRule="exact"/>
              <w:ind w:right="312"/>
              <w:jc w:val="center"/>
              <w:rPr>
                <w:sz w:val="20"/>
              </w:rPr>
            </w:pPr>
            <w:r>
              <w:rPr>
                <w:sz w:val="20"/>
              </w:rPr>
              <w:t>39</w:t>
            </w:r>
          </w:p>
        </w:tc>
        <w:tc>
          <w:tcPr>
            <w:tcW w:w="1185" w:type="dxa"/>
            <w:tcBorders>
              <w:top w:val="nil"/>
              <w:bottom w:val="nil"/>
            </w:tcBorders>
          </w:tcPr>
          <w:p>
            <w:pPr>
              <w:pStyle w:val="TableParagraph"/>
              <w:spacing w:line="261" w:lineRule="exact"/>
              <w:ind w:right="313"/>
              <w:jc w:val="center"/>
              <w:rPr>
                <w:sz w:val="20"/>
              </w:rPr>
            </w:pPr>
            <w:r>
              <w:rPr>
                <w:sz w:val="20"/>
              </w:rPr>
              <w:t>0.292</w:t>
            </w:r>
          </w:p>
        </w:tc>
        <w:tc>
          <w:tcPr>
            <w:tcW w:w="1188" w:type="dxa"/>
            <w:tcBorders>
              <w:top w:val="nil"/>
              <w:bottom w:val="nil"/>
            </w:tcBorders>
          </w:tcPr>
          <w:p>
            <w:pPr>
              <w:pStyle w:val="TableParagraph"/>
              <w:spacing w:line="261" w:lineRule="exact"/>
              <w:ind w:left="0" w:right="330"/>
              <w:jc w:val="right"/>
              <w:rPr>
                <w:sz w:val="20"/>
              </w:rPr>
            </w:pPr>
            <w:r>
              <w:rPr>
                <w:sz w:val="20"/>
              </w:rPr>
              <w:t>0.334</w:t>
            </w:r>
          </w:p>
        </w:tc>
      </w:tr>
      <w:tr>
        <w:trPr>
          <w:trHeight w:val="315" w:hRule="atLeast"/>
        </w:trPr>
        <w:tc>
          <w:tcPr>
            <w:tcW w:w="1186" w:type="dxa"/>
            <w:tcBorders>
              <w:top w:val="nil"/>
              <w:bottom w:val="nil"/>
            </w:tcBorders>
          </w:tcPr>
          <w:p>
            <w:pPr>
              <w:pStyle w:val="TableParagraph"/>
              <w:spacing w:line="259" w:lineRule="exact"/>
              <w:ind w:left="8"/>
              <w:jc w:val="center"/>
              <w:rPr>
                <w:sz w:val="20"/>
              </w:rPr>
            </w:pPr>
            <w:r>
              <w:rPr>
                <w:w w:val="99"/>
                <w:sz w:val="20"/>
              </w:rPr>
              <w:t>2</w:t>
            </w:r>
          </w:p>
        </w:tc>
        <w:tc>
          <w:tcPr>
            <w:tcW w:w="1189" w:type="dxa"/>
            <w:tcBorders>
              <w:top w:val="nil"/>
              <w:bottom w:val="nil"/>
            </w:tcBorders>
          </w:tcPr>
          <w:p>
            <w:pPr>
              <w:pStyle w:val="TableParagraph"/>
              <w:spacing w:line="259" w:lineRule="exact"/>
              <w:ind w:left="0" w:right="334"/>
              <w:jc w:val="right"/>
              <w:rPr>
                <w:sz w:val="20"/>
              </w:rPr>
            </w:pPr>
            <w:r>
              <w:rPr>
                <w:sz w:val="20"/>
              </w:rPr>
              <w:t>0.088</w:t>
            </w:r>
          </w:p>
        </w:tc>
        <w:tc>
          <w:tcPr>
            <w:tcW w:w="1188" w:type="dxa"/>
            <w:tcBorders>
              <w:top w:val="nil"/>
              <w:bottom w:val="nil"/>
            </w:tcBorders>
          </w:tcPr>
          <w:p>
            <w:pPr>
              <w:pStyle w:val="TableParagraph"/>
              <w:spacing w:line="259" w:lineRule="exact"/>
              <w:ind w:right="316"/>
              <w:jc w:val="center"/>
              <w:rPr>
                <w:sz w:val="20"/>
              </w:rPr>
            </w:pPr>
            <w:r>
              <w:rPr>
                <w:sz w:val="20"/>
              </w:rPr>
              <w:t>0.111</w:t>
            </w:r>
          </w:p>
        </w:tc>
        <w:tc>
          <w:tcPr>
            <w:tcW w:w="1188" w:type="dxa"/>
            <w:tcBorders>
              <w:top w:val="nil"/>
              <w:bottom w:val="nil"/>
            </w:tcBorders>
          </w:tcPr>
          <w:p>
            <w:pPr>
              <w:pStyle w:val="TableParagraph"/>
              <w:spacing w:line="259" w:lineRule="exact"/>
              <w:ind w:right="312"/>
              <w:jc w:val="center"/>
              <w:rPr>
                <w:sz w:val="20"/>
              </w:rPr>
            </w:pPr>
            <w:r>
              <w:rPr>
                <w:sz w:val="20"/>
              </w:rPr>
              <w:t>40</w:t>
            </w:r>
          </w:p>
        </w:tc>
        <w:tc>
          <w:tcPr>
            <w:tcW w:w="1185" w:type="dxa"/>
            <w:tcBorders>
              <w:top w:val="nil"/>
              <w:bottom w:val="nil"/>
            </w:tcBorders>
          </w:tcPr>
          <w:p>
            <w:pPr>
              <w:pStyle w:val="TableParagraph"/>
              <w:spacing w:line="259" w:lineRule="exact"/>
              <w:ind w:right="313"/>
              <w:jc w:val="center"/>
              <w:rPr>
                <w:sz w:val="20"/>
              </w:rPr>
            </w:pPr>
            <w:r>
              <w:rPr>
                <w:sz w:val="20"/>
              </w:rPr>
              <w:t>0.328</w:t>
            </w:r>
          </w:p>
        </w:tc>
        <w:tc>
          <w:tcPr>
            <w:tcW w:w="1188" w:type="dxa"/>
            <w:tcBorders>
              <w:top w:val="nil"/>
              <w:bottom w:val="nil"/>
            </w:tcBorders>
          </w:tcPr>
          <w:p>
            <w:pPr>
              <w:pStyle w:val="TableParagraph"/>
              <w:spacing w:line="259" w:lineRule="exact"/>
              <w:ind w:left="0" w:right="330"/>
              <w:jc w:val="right"/>
              <w:rPr>
                <w:sz w:val="20"/>
              </w:rPr>
            </w:pPr>
            <w:r>
              <w:rPr>
                <w:sz w:val="20"/>
              </w:rPr>
              <w:t>0.365</w:t>
            </w:r>
          </w:p>
        </w:tc>
      </w:tr>
      <w:tr>
        <w:trPr>
          <w:trHeight w:val="316" w:hRule="atLeast"/>
        </w:trPr>
        <w:tc>
          <w:tcPr>
            <w:tcW w:w="1186" w:type="dxa"/>
            <w:tcBorders>
              <w:top w:val="nil"/>
              <w:bottom w:val="nil"/>
            </w:tcBorders>
          </w:tcPr>
          <w:p>
            <w:pPr>
              <w:pStyle w:val="TableParagraph"/>
              <w:spacing w:line="256" w:lineRule="exact"/>
              <w:ind w:left="8"/>
              <w:jc w:val="center"/>
              <w:rPr>
                <w:sz w:val="20"/>
              </w:rPr>
            </w:pPr>
            <w:r>
              <w:rPr>
                <w:w w:val="99"/>
                <w:sz w:val="20"/>
              </w:rPr>
              <w:t>3</w:t>
            </w:r>
          </w:p>
        </w:tc>
        <w:tc>
          <w:tcPr>
            <w:tcW w:w="1189" w:type="dxa"/>
            <w:tcBorders>
              <w:top w:val="nil"/>
              <w:bottom w:val="nil"/>
            </w:tcBorders>
          </w:tcPr>
          <w:p>
            <w:pPr>
              <w:pStyle w:val="TableParagraph"/>
              <w:spacing w:line="256" w:lineRule="exact"/>
              <w:ind w:left="0" w:right="334"/>
              <w:jc w:val="right"/>
              <w:rPr>
                <w:sz w:val="20"/>
              </w:rPr>
            </w:pPr>
            <w:r>
              <w:rPr>
                <w:sz w:val="20"/>
              </w:rPr>
              <w:t>0.074</w:t>
            </w:r>
          </w:p>
        </w:tc>
        <w:tc>
          <w:tcPr>
            <w:tcW w:w="1188" w:type="dxa"/>
            <w:tcBorders>
              <w:top w:val="nil"/>
              <w:bottom w:val="nil"/>
            </w:tcBorders>
          </w:tcPr>
          <w:p>
            <w:pPr>
              <w:pStyle w:val="TableParagraph"/>
              <w:spacing w:line="256" w:lineRule="exact"/>
              <w:ind w:right="316"/>
              <w:jc w:val="center"/>
              <w:rPr>
                <w:sz w:val="20"/>
              </w:rPr>
            </w:pPr>
            <w:r>
              <w:rPr>
                <w:sz w:val="20"/>
              </w:rPr>
              <w:t>0.096</w:t>
            </w:r>
          </w:p>
        </w:tc>
        <w:tc>
          <w:tcPr>
            <w:tcW w:w="1188" w:type="dxa"/>
            <w:tcBorders>
              <w:top w:val="nil"/>
              <w:bottom w:val="nil"/>
            </w:tcBorders>
          </w:tcPr>
          <w:p>
            <w:pPr>
              <w:pStyle w:val="TableParagraph"/>
              <w:spacing w:line="256" w:lineRule="exact"/>
              <w:ind w:right="312"/>
              <w:jc w:val="center"/>
              <w:rPr>
                <w:sz w:val="20"/>
              </w:rPr>
            </w:pPr>
            <w:r>
              <w:rPr>
                <w:sz w:val="20"/>
              </w:rPr>
              <w:t>41</w:t>
            </w:r>
          </w:p>
        </w:tc>
        <w:tc>
          <w:tcPr>
            <w:tcW w:w="1185" w:type="dxa"/>
            <w:tcBorders>
              <w:top w:val="nil"/>
              <w:bottom w:val="nil"/>
            </w:tcBorders>
          </w:tcPr>
          <w:p>
            <w:pPr>
              <w:pStyle w:val="TableParagraph"/>
              <w:spacing w:line="256" w:lineRule="exact"/>
              <w:ind w:right="313"/>
              <w:jc w:val="center"/>
              <w:rPr>
                <w:sz w:val="20"/>
              </w:rPr>
            </w:pPr>
            <w:r>
              <w:rPr>
                <w:sz w:val="20"/>
              </w:rPr>
              <w:t>0.370</w:t>
            </w:r>
          </w:p>
        </w:tc>
        <w:tc>
          <w:tcPr>
            <w:tcW w:w="1188" w:type="dxa"/>
            <w:tcBorders>
              <w:top w:val="nil"/>
              <w:bottom w:val="nil"/>
            </w:tcBorders>
          </w:tcPr>
          <w:p>
            <w:pPr>
              <w:pStyle w:val="TableParagraph"/>
              <w:spacing w:line="256" w:lineRule="exact"/>
              <w:ind w:left="0" w:right="330"/>
              <w:jc w:val="right"/>
              <w:rPr>
                <w:sz w:val="20"/>
              </w:rPr>
            </w:pPr>
            <w:r>
              <w:rPr>
                <w:sz w:val="20"/>
              </w:rPr>
              <w:t>0.400</w:t>
            </w:r>
          </w:p>
        </w:tc>
      </w:tr>
      <w:tr>
        <w:trPr>
          <w:trHeight w:val="328" w:hRule="atLeast"/>
        </w:trPr>
        <w:tc>
          <w:tcPr>
            <w:tcW w:w="1186" w:type="dxa"/>
            <w:tcBorders>
              <w:top w:val="nil"/>
            </w:tcBorders>
          </w:tcPr>
          <w:p>
            <w:pPr>
              <w:pStyle w:val="TableParagraph"/>
              <w:spacing w:line="261" w:lineRule="exact"/>
              <w:ind w:left="8"/>
              <w:jc w:val="center"/>
              <w:rPr>
                <w:sz w:val="20"/>
              </w:rPr>
            </w:pPr>
            <w:r>
              <w:rPr>
                <w:w w:val="99"/>
                <w:sz w:val="20"/>
              </w:rPr>
              <w:t>4</w:t>
            </w:r>
          </w:p>
        </w:tc>
        <w:tc>
          <w:tcPr>
            <w:tcW w:w="1189" w:type="dxa"/>
            <w:tcBorders>
              <w:top w:val="nil"/>
            </w:tcBorders>
          </w:tcPr>
          <w:p>
            <w:pPr>
              <w:pStyle w:val="TableParagraph"/>
              <w:spacing w:line="261" w:lineRule="exact"/>
              <w:ind w:left="0" w:right="334"/>
              <w:jc w:val="right"/>
              <w:rPr>
                <w:sz w:val="20"/>
              </w:rPr>
            </w:pPr>
            <w:r>
              <w:rPr>
                <w:sz w:val="20"/>
              </w:rPr>
              <w:t>0.067</w:t>
            </w:r>
          </w:p>
        </w:tc>
        <w:tc>
          <w:tcPr>
            <w:tcW w:w="1188" w:type="dxa"/>
            <w:tcBorders>
              <w:top w:val="nil"/>
            </w:tcBorders>
          </w:tcPr>
          <w:p>
            <w:pPr>
              <w:pStyle w:val="TableParagraph"/>
              <w:spacing w:line="261" w:lineRule="exact"/>
              <w:ind w:right="316"/>
              <w:jc w:val="center"/>
              <w:rPr>
                <w:sz w:val="20"/>
              </w:rPr>
            </w:pPr>
            <w:r>
              <w:rPr>
                <w:sz w:val="20"/>
              </w:rPr>
              <w:t>0.089</w:t>
            </w:r>
          </w:p>
        </w:tc>
        <w:tc>
          <w:tcPr>
            <w:tcW w:w="1188" w:type="dxa"/>
            <w:tcBorders>
              <w:top w:val="nil"/>
            </w:tcBorders>
          </w:tcPr>
          <w:p>
            <w:pPr>
              <w:pStyle w:val="TableParagraph"/>
              <w:spacing w:line="261" w:lineRule="exact"/>
              <w:ind w:right="312"/>
              <w:jc w:val="center"/>
              <w:rPr>
                <w:sz w:val="20"/>
              </w:rPr>
            </w:pPr>
            <w:r>
              <w:rPr>
                <w:sz w:val="20"/>
              </w:rPr>
              <w:t>42</w:t>
            </w:r>
          </w:p>
        </w:tc>
        <w:tc>
          <w:tcPr>
            <w:tcW w:w="1185" w:type="dxa"/>
            <w:tcBorders>
              <w:top w:val="nil"/>
            </w:tcBorders>
          </w:tcPr>
          <w:p>
            <w:pPr>
              <w:pStyle w:val="TableParagraph"/>
              <w:spacing w:line="261" w:lineRule="exact"/>
              <w:ind w:right="313"/>
              <w:jc w:val="center"/>
              <w:rPr>
                <w:sz w:val="20"/>
              </w:rPr>
            </w:pPr>
            <w:r>
              <w:rPr>
                <w:sz w:val="20"/>
              </w:rPr>
              <w:t>0.418</w:t>
            </w:r>
          </w:p>
        </w:tc>
        <w:tc>
          <w:tcPr>
            <w:tcW w:w="1188" w:type="dxa"/>
            <w:tcBorders>
              <w:top w:val="nil"/>
            </w:tcBorders>
          </w:tcPr>
          <w:p>
            <w:pPr>
              <w:pStyle w:val="TableParagraph"/>
              <w:spacing w:line="261" w:lineRule="exact"/>
              <w:ind w:left="0" w:right="330"/>
              <w:jc w:val="right"/>
              <w:rPr>
                <w:sz w:val="20"/>
              </w:rPr>
            </w:pPr>
            <w:r>
              <w:rPr>
                <w:sz w:val="20"/>
              </w:rPr>
              <w:t>0.438</w:t>
            </w:r>
          </w:p>
        </w:tc>
      </w:tr>
      <w:tr>
        <w:trPr>
          <w:trHeight w:val="314" w:hRule="atLeast"/>
        </w:trPr>
        <w:tc>
          <w:tcPr>
            <w:tcW w:w="1186" w:type="dxa"/>
            <w:tcBorders>
              <w:bottom w:val="nil"/>
            </w:tcBorders>
          </w:tcPr>
          <w:p>
            <w:pPr>
              <w:pStyle w:val="TableParagraph"/>
              <w:spacing w:line="254" w:lineRule="exact"/>
              <w:ind w:left="8"/>
              <w:jc w:val="center"/>
              <w:rPr>
                <w:sz w:val="20"/>
              </w:rPr>
            </w:pPr>
            <w:r>
              <w:rPr>
                <w:w w:val="99"/>
                <w:sz w:val="20"/>
              </w:rPr>
              <w:t>5</w:t>
            </w:r>
          </w:p>
        </w:tc>
        <w:tc>
          <w:tcPr>
            <w:tcW w:w="1189" w:type="dxa"/>
            <w:tcBorders>
              <w:bottom w:val="nil"/>
            </w:tcBorders>
          </w:tcPr>
          <w:p>
            <w:pPr>
              <w:pStyle w:val="TableParagraph"/>
              <w:spacing w:line="254" w:lineRule="exact"/>
              <w:ind w:left="0" w:right="334"/>
              <w:jc w:val="right"/>
              <w:rPr>
                <w:sz w:val="20"/>
              </w:rPr>
            </w:pPr>
            <w:r>
              <w:rPr>
                <w:sz w:val="20"/>
              </w:rPr>
              <w:t>0.062</w:t>
            </w:r>
          </w:p>
        </w:tc>
        <w:tc>
          <w:tcPr>
            <w:tcW w:w="1188" w:type="dxa"/>
            <w:tcBorders>
              <w:bottom w:val="nil"/>
            </w:tcBorders>
          </w:tcPr>
          <w:p>
            <w:pPr>
              <w:pStyle w:val="TableParagraph"/>
              <w:spacing w:line="254" w:lineRule="exact"/>
              <w:ind w:right="316"/>
              <w:jc w:val="center"/>
              <w:rPr>
                <w:sz w:val="20"/>
              </w:rPr>
            </w:pPr>
            <w:r>
              <w:rPr>
                <w:sz w:val="20"/>
              </w:rPr>
              <w:t>0.082</w:t>
            </w:r>
          </w:p>
        </w:tc>
        <w:tc>
          <w:tcPr>
            <w:tcW w:w="1188" w:type="dxa"/>
            <w:tcBorders>
              <w:bottom w:val="nil"/>
            </w:tcBorders>
          </w:tcPr>
          <w:p>
            <w:pPr>
              <w:pStyle w:val="TableParagraph"/>
              <w:spacing w:line="254" w:lineRule="exact"/>
              <w:ind w:right="312"/>
              <w:jc w:val="center"/>
              <w:rPr>
                <w:sz w:val="20"/>
              </w:rPr>
            </w:pPr>
            <w:r>
              <w:rPr>
                <w:sz w:val="20"/>
              </w:rPr>
              <w:t>43</w:t>
            </w:r>
          </w:p>
        </w:tc>
        <w:tc>
          <w:tcPr>
            <w:tcW w:w="1185" w:type="dxa"/>
            <w:tcBorders>
              <w:bottom w:val="nil"/>
            </w:tcBorders>
          </w:tcPr>
          <w:p>
            <w:pPr>
              <w:pStyle w:val="TableParagraph"/>
              <w:spacing w:line="254" w:lineRule="exact"/>
              <w:ind w:right="313"/>
              <w:jc w:val="center"/>
              <w:rPr>
                <w:sz w:val="20"/>
              </w:rPr>
            </w:pPr>
            <w:r>
              <w:rPr>
                <w:sz w:val="20"/>
              </w:rPr>
              <w:t>0.470</w:t>
            </w:r>
          </w:p>
        </w:tc>
        <w:tc>
          <w:tcPr>
            <w:tcW w:w="1188" w:type="dxa"/>
            <w:tcBorders>
              <w:bottom w:val="nil"/>
            </w:tcBorders>
          </w:tcPr>
          <w:p>
            <w:pPr>
              <w:pStyle w:val="TableParagraph"/>
              <w:spacing w:line="254" w:lineRule="exact"/>
              <w:ind w:left="0" w:right="330"/>
              <w:jc w:val="right"/>
              <w:rPr>
                <w:sz w:val="20"/>
              </w:rPr>
            </w:pPr>
            <w:r>
              <w:rPr>
                <w:sz w:val="20"/>
              </w:rPr>
              <w:t>0.479</w:t>
            </w:r>
          </w:p>
        </w:tc>
      </w:tr>
      <w:tr>
        <w:trPr>
          <w:trHeight w:val="316" w:hRule="atLeast"/>
        </w:trPr>
        <w:tc>
          <w:tcPr>
            <w:tcW w:w="1186" w:type="dxa"/>
            <w:tcBorders>
              <w:top w:val="nil"/>
              <w:bottom w:val="nil"/>
            </w:tcBorders>
          </w:tcPr>
          <w:p>
            <w:pPr>
              <w:pStyle w:val="TableParagraph"/>
              <w:spacing w:line="261" w:lineRule="exact"/>
              <w:ind w:left="8"/>
              <w:jc w:val="center"/>
              <w:rPr>
                <w:sz w:val="20"/>
              </w:rPr>
            </w:pPr>
            <w:r>
              <w:rPr>
                <w:w w:val="99"/>
                <w:sz w:val="20"/>
              </w:rPr>
              <w:t>6</w:t>
            </w:r>
          </w:p>
        </w:tc>
        <w:tc>
          <w:tcPr>
            <w:tcW w:w="1189" w:type="dxa"/>
            <w:tcBorders>
              <w:top w:val="nil"/>
              <w:bottom w:val="nil"/>
            </w:tcBorders>
          </w:tcPr>
          <w:p>
            <w:pPr>
              <w:pStyle w:val="TableParagraph"/>
              <w:spacing w:line="261" w:lineRule="exact"/>
              <w:ind w:left="0" w:right="334"/>
              <w:jc w:val="right"/>
              <w:rPr>
                <w:sz w:val="20"/>
              </w:rPr>
            </w:pPr>
            <w:r>
              <w:rPr>
                <w:sz w:val="20"/>
              </w:rPr>
              <w:t>0.059</w:t>
            </w:r>
          </w:p>
        </w:tc>
        <w:tc>
          <w:tcPr>
            <w:tcW w:w="1188" w:type="dxa"/>
            <w:tcBorders>
              <w:top w:val="nil"/>
              <w:bottom w:val="nil"/>
            </w:tcBorders>
          </w:tcPr>
          <w:p>
            <w:pPr>
              <w:pStyle w:val="TableParagraph"/>
              <w:spacing w:line="261" w:lineRule="exact"/>
              <w:ind w:right="316"/>
              <w:jc w:val="center"/>
              <w:rPr>
                <w:sz w:val="20"/>
              </w:rPr>
            </w:pPr>
            <w:r>
              <w:rPr>
                <w:sz w:val="20"/>
              </w:rPr>
              <w:t>0.077</w:t>
            </w:r>
          </w:p>
        </w:tc>
        <w:tc>
          <w:tcPr>
            <w:tcW w:w="1188" w:type="dxa"/>
            <w:tcBorders>
              <w:top w:val="nil"/>
              <w:bottom w:val="nil"/>
            </w:tcBorders>
          </w:tcPr>
          <w:p>
            <w:pPr>
              <w:pStyle w:val="TableParagraph"/>
              <w:spacing w:line="261" w:lineRule="exact"/>
              <w:ind w:right="312"/>
              <w:jc w:val="center"/>
              <w:rPr>
                <w:sz w:val="20"/>
              </w:rPr>
            </w:pPr>
            <w:r>
              <w:rPr>
                <w:sz w:val="20"/>
              </w:rPr>
              <w:t>44</w:t>
            </w:r>
          </w:p>
        </w:tc>
        <w:tc>
          <w:tcPr>
            <w:tcW w:w="1185" w:type="dxa"/>
            <w:tcBorders>
              <w:top w:val="nil"/>
              <w:bottom w:val="nil"/>
            </w:tcBorders>
          </w:tcPr>
          <w:p>
            <w:pPr>
              <w:pStyle w:val="TableParagraph"/>
              <w:spacing w:line="261" w:lineRule="exact"/>
              <w:ind w:right="313"/>
              <w:jc w:val="center"/>
              <w:rPr>
                <w:sz w:val="20"/>
              </w:rPr>
            </w:pPr>
            <w:r>
              <w:rPr>
                <w:sz w:val="20"/>
              </w:rPr>
              <w:t>0.526</w:t>
            </w:r>
          </w:p>
        </w:tc>
        <w:tc>
          <w:tcPr>
            <w:tcW w:w="1188" w:type="dxa"/>
            <w:tcBorders>
              <w:top w:val="nil"/>
              <w:bottom w:val="nil"/>
            </w:tcBorders>
          </w:tcPr>
          <w:p>
            <w:pPr>
              <w:pStyle w:val="TableParagraph"/>
              <w:spacing w:line="261" w:lineRule="exact"/>
              <w:ind w:left="0" w:right="330"/>
              <w:jc w:val="right"/>
              <w:rPr>
                <w:sz w:val="20"/>
              </w:rPr>
            </w:pPr>
            <w:r>
              <w:rPr>
                <w:sz w:val="20"/>
              </w:rPr>
              <w:t>0.524</w:t>
            </w:r>
          </w:p>
        </w:tc>
      </w:tr>
      <w:tr>
        <w:trPr>
          <w:trHeight w:val="316" w:hRule="atLeast"/>
        </w:trPr>
        <w:tc>
          <w:tcPr>
            <w:tcW w:w="1186" w:type="dxa"/>
            <w:tcBorders>
              <w:top w:val="nil"/>
              <w:bottom w:val="nil"/>
            </w:tcBorders>
          </w:tcPr>
          <w:p>
            <w:pPr>
              <w:pStyle w:val="TableParagraph"/>
              <w:spacing w:line="256" w:lineRule="exact"/>
              <w:ind w:left="8"/>
              <w:jc w:val="center"/>
              <w:rPr>
                <w:sz w:val="20"/>
              </w:rPr>
            </w:pPr>
            <w:r>
              <w:rPr>
                <w:w w:val="99"/>
                <w:sz w:val="20"/>
              </w:rPr>
              <w:t>7</w:t>
            </w:r>
          </w:p>
        </w:tc>
        <w:tc>
          <w:tcPr>
            <w:tcW w:w="1189" w:type="dxa"/>
            <w:tcBorders>
              <w:top w:val="nil"/>
              <w:bottom w:val="nil"/>
            </w:tcBorders>
          </w:tcPr>
          <w:p>
            <w:pPr>
              <w:pStyle w:val="TableParagraph"/>
              <w:spacing w:line="256" w:lineRule="exact"/>
              <w:ind w:left="0" w:right="334"/>
              <w:jc w:val="right"/>
              <w:rPr>
                <w:sz w:val="20"/>
              </w:rPr>
            </w:pPr>
            <w:r>
              <w:rPr>
                <w:sz w:val="20"/>
              </w:rPr>
              <w:t>0.056</w:t>
            </w:r>
          </w:p>
        </w:tc>
        <w:tc>
          <w:tcPr>
            <w:tcW w:w="1188" w:type="dxa"/>
            <w:tcBorders>
              <w:top w:val="nil"/>
              <w:bottom w:val="nil"/>
            </w:tcBorders>
          </w:tcPr>
          <w:p>
            <w:pPr>
              <w:pStyle w:val="TableParagraph"/>
              <w:spacing w:line="256" w:lineRule="exact"/>
              <w:ind w:right="316"/>
              <w:jc w:val="center"/>
              <w:rPr>
                <w:sz w:val="20"/>
              </w:rPr>
            </w:pPr>
            <w:r>
              <w:rPr>
                <w:sz w:val="20"/>
              </w:rPr>
              <w:t>0.074</w:t>
            </w:r>
          </w:p>
        </w:tc>
        <w:tc>
          <w:tcPr>
            <w:tcW w:w="1188" w:type="dxa"/>
            <w:tcBorders>
              <w:top w:val="nil"/>
              <w:bottom w:val="nil"/>
            </w:tcBorders>
          </w:tcPr>
          <w:p>
            <w:pPr>
              <w:pStyle w:val="TableParagraph"/>
              <w:spacing w:line="256" w:lineRule="exact"/>
              <w:ind w:right="312"/>
              <w:jc w:val="center"/>
              <w:rPr>
                <w:sz w:val="20"/>
              </w:rPr>
            </w:pPr>
            <w:r>
              <w:rPr>
                <w:sz w:val="20"/>
              </w:rPr>
              <w:t>45</w:t>
            </w:r>
          </w:p>
        </w:tc>
        <w:tc>
          <w:tcPr>
            <w:tcW w:w="1185" w:type="dxa"/>
            <w:tcBorders>
              <w:top w:val="nil"/>
              <w:bottom w:val="nil"/>
            </w:tcBorders>
          </w:tcPr>
          <w:p>
            <w:pPr>
              <w:pStyle w:val="TableParagraph"/>
              <w:spacing w:line="256" w:lineRule="exact"/>
              <w:ind w:right="313"/>
              <w:jc w:val="center"/>
              <w:rPr>
                <w:sz w:val="20"/>
              </w:rPr>
            </w:pPr>
            <w:r>
              <w:rPr>
                <w:sz w:val="20"/>
              </w:rPr>
              <w:t>0.584</w:t>
            </w:r>
          </w:p>
        </w:tc>
        <w:tc>
          <w:tcPr>
            <w:tcW w:w="1188" w:type="dxa"/>
            <w:tcBorders>
              <w:top w:val="nil"/>
              <w:bottom w:val="nil"/>
            </w:tcBorders>
          </w:tcPr>
          <w:p>
            <w:pPr>
              <w:pStyle w:val="TableParagraph"/>
              <w:spacing w:line="256" w:lineRule="exact"/>
              <w:ind w:left="0" w:right="330"/>
              <w:jc w:val="right"/>
              <w:rPr>
                <w:sz w:val="20"/>
              </w:rPr>
            </w:pPr>
            <w:r>
              <w:rPr>
                <w:sz w:val="20"/>
              </w:rPr>
              <w:t>0.572</w:t>
            </w:r>
          </w:p>
        </w:tc>
      </w:tr>
      <w:tr>
        <w:trPr>
          <w:trHeight w:val="320" w:hRule="atLeast"/>
        </w:trPr>
        <w:tc>
          <w:tcPr>
            <w:tcW w:w="1186" w:type="dxa"/>
            <w:tcBorders>
              <w:top w:val="nil"/>
              <w:bottom w:val="nil"/>
            </w:tcBorders>
          </w:tcPr>
          <w:p>
            <w:pPr>
              <w:pStyle w:val="TableParagraph"/>
              <w:spacing w:line="261" w:lineRule="exact"/>
              <w:ind w:left="8"/>
              <w:jc w:val="center"/>
              <w:rPr>
                <w:sz w:val="20"/>
              </w:rPr>
            </w:pPr>
            <w:r>
              <w:rPr>
                <w:w w:val="99"/>
                <w:sz w:val="20"/>
              </w:rPr>
              <w:t>8</w:t>
            </w:r>
          </w:p>
        </w:tc>
        <w:tc>
          <w:tcPr>
            <w:tcW w:w="1189" w:type="dxa"/>
            <w:tcBorders>
              <w:top w:val="nil"/>
              <w:bottom w:val="nil"/>
            </w:tcBorders>
          </w:tcPr>
          <w:p>
            <w:pPr>
              <w:pStyle w:val="TableParagraph"/>
              <w:spacing w:line="261" w:lineRule="exact"/>
              <w:ind w:left="0" w:right="334"/>
              <w:jc w:val="right"/>
              <w:rPr>
                <w:sz w:val="20"/>
              </w:rPr>
            </w:pPr>
            <w:r>
              <w:rPr>
                <w:sz w:val="20"/>
              </w:rPr>
              <w:t>0.055</w:t>
            </w:r>
          </w:p>
        </w:tc>
        <w:tc>
          <w:tcPr>
            <w:tcW w:w="1188" w:type="dxa"/>
            <w:tcBorders>
              <w:top w:val="nil"/>
              <w:bottom w:val="nil"/>
            </w:tcBorders>
          </w:tcPr>
          <w:p>
            <w:pPr>
              <w:pStyle w:val="TableParagraph"/>
              <w:spacing w:line="261" w:lineRule="exact"/>
              <w:ind w:right="316"/>
              <w:jc w:val="center"/>
              <w:rPr>
                <w:sz w:val="20"/>
              </w:rPr>
            </w:pPr>
            <w:r>
              <w:rPr>
                <w:sz w:val="20"/>
              </w:rPr>
              <w:t>0.072</w:t>
            </w:r>
          </w:p>
        </w:tc>
        <w:tc>
          <w:tcPr>
            <w:tcW w:w="1188" w:type="dxa"/>
            <w:tcBorders>
              <w:top w:val="nil"/>
              <w:bottom w:val="nil"/>
            </w:tcBorders>
          </w:tcPr>
          <w:p>
            <w:pPr>
              <w:pStyle w:val="TableParagraph"/>
              <w:spacing w:line="261" w:lineRule="exact"/>
              <w:ind w:right="312"/>
              <w:jc w:val="center"/>
              <w:rPr>
                <w:sz w:val="20"/>
              </w:rPr>
            </w:pPr>
            <w:r>
              <w:rPr>
                <w:sz w:val="20"/>
              </w:rPr>
              <w:t>46</w:t>
            </w:r>
          </w:p>
        </w:tc>
        <w:tc>
          <w:tcPr>
            <w:tcW w:w="1185" w:type="dxa"/>
            <w:tcBorders>
              <w:top w:val="nil"/>
              <w:bottom w:val="nil"/>
            </w:tcBorders>
          </w:tcPr>
          <w:p>
            <w:pPr>
              <w:pStyle w:val="TableParagraph"/>
              <w:spacing w:line="261" w:lineRule="exact"/>
              <w:ind w:right="313"/>
              <w:jc w:val="center"/>
              <w:rPr>
                <w:sz w:val="20"/>
              </w:rPr>
            </w:pPr>
            <w:r>
              <w:rPr>
                <w:sz w:val="20"/>
              </w:rPr>
              <w:t>0.644</w:t>
            </w:r>
          </w:p>
        </w:tc>
        <w:tc>
          <w:tcPr>
            <w:tcW w:w="1188" w:type="dxa"/>
            <w:tcBorders>
              <w:top w:val="nil"/>
              <w:bottom w:val="nil"/>
            </w:tcBorders>
          </w:tcPr>
          <w:p>
            <w:pPr>
              <w:pStyle w:val="TableParagraph"/>
              <w:spacing w:line="261" w:lineRule="exact"/>
              <w:ind w:left="0" w:right="330"/>
              <w:jc w:val="right"/>
              <w:rPr>
                <w:sz w:val="20"/>
              </w:rPr>
            </w:pPr>
            <w:r>
              <w:rPr>
                <w:sz w:val="20"/>
              </w:rPr>
              <w:t>0.623</w:t>
            </w:r>
          </w:p>
        </w:tc>
      </w:tr>
      <w:tr>
        <w:trPr>
          <w:trHeight w:val="326" w:hRule="atLeast"/>
        </w:trPr>
        <w:tc>
          <w:tcPr>
            <w:tcW w:w="1186" w:type="dxa"/>
            <w:tcBorders>
              <w:top w:val="nil"/>
            </w:tcBorders>
          </w:tcPr>
          <w:p>
            <w:pPr>
              <w:pStyle w:val="TableParagraph"/>
              <w:spacing w:line="259" w:lineRule="exact"/>
              <w:ind w:left="8"/>
              <w:jc w:val="center"/>
              <w:rPr>
                <w:sz w:val="20"/>
              </w:rPr>
            </w:pPr>
            <w:r>
              <w:rPr>
                <w:w w:val="99"/>
                <w:sz w:val="20"/>
              </w:rPr>
              <w:t>9</w:t>
            </w:r>
          </w:p>
        </w:tc>
        <w:tc>
          <w:tcPr>
            <w:tcW w:w="1189" w:type="dxa"/>
            <w:tcBorders>
              <w:top w:val="nil"/>
            </w:tcBorders>
          </w:tcPr>
          <w:p>
            <w:pPr>
              <w:pStyle w:val="TableParagraph"/>
              <w:spacing w:line="259" w:lineRule="exact"/>
              <w:ind w:left="0" w:right="334"/>
              <w:jc w:val="right"/>
              <w:rPr>
                <w:sz w:val="20"/>
              </w:rPr>
            </w:pPr>
            <w:r>
              <w:rPr>
                <w:sz w:val="20"/>
              </w:rPr>
              <w:t>0.054</w:t>
            </w:r>
          </w:p>
        </w:tc>
        <w:tc>
          <w:tcPr>
            <w:tcW w:w="1188" w:type="dxa"/>
            <w:tcBorders>
              <w:top w:val="nil"/>
            </w:tcBorders>
          </w:tcPr>
          <w:p>
            <w:pPr>
              <w:pStyle w:val="TableParagraph"/>
              <w:spacing w:line="259" w:lineRule="exact"/>
              <w:ind w:right="316"/>
              <w:jc w:val="center"/>
              <w:rPr>
                <w:sz w:val="20"/>
              </w:rPr>
            </w:pPr>
            <w:r>
              <w:rPr>
                <w:sz w:val="20"/>
              </w:rPr>
              <w:t>0.070</w:t>
            </w:r>
          </w:p>
        </w:tc>
        <w:tc>
          <w:tcPr>
            <w:tcW w:w="1188" w:type="dxa"/>
            <w:tcBorders>
              <w:top w:val="nil"/>
            </w:tcBorders>
          </w:tcPr>
          <w:p>
            <w:pPr>
              <w:pStyle w:val="TableParagraph"/>
              <w:spacing w:line="259" w:lineRule="exact"/>
              <w:ind w:right="312"/>
              <w:jc w:val="center"/>
              <w:rPr>
                <w:sz w:val="20"/>
              </w:rPr>
            </w:pPr>
            <w:r>
              <w:rPr>
                <w:sz w:val="20"/>
              </w:rPr>
              <w:t>47</w:t>
            </w:r>
          </w:p>
        </w:tc>
        <w:tc>
          <w:tcPr>
            <w:tcW w:w="1185" w:type="dxa"/>
            <w:tcBorders>
              <w:top w:val="nil"/>
            </w:tcBorders>
          </w:tcPr>
          <w:p>
            <w:pPr>
              <w:pStyle w:val="TableParagraph"/>
              <w:spacing w:line="259" w:lineRule="exact"/>
              <w:ind w:right="313"/>
              <w:jc w:val="center"/>
              <w:rPr>
                <w:sz w:val="20"/>
              </w:rPr>
            </w:pPr>
            <w:r>
              <w:rPr>
                <w:sz w:val="20"/>
              </w:rPr>
              <w:t>0.706</w:t>
            </w:r>
          </w:p>
        </w:tc>
        <w:tc>
          <w:tcPr>
            <w:tcW w:w="1188" w:type="dxa"/>
            <w:tcBorders>
              <w:top w:val="nil"/>
            </w:tcBorders>
          </w:tcPr>
          <w:p>
            <w:pPr>
              <w:pStyle w:val="TableParagraph"/>
              <w:spacing w:line="259" w:lineRule="exact"/>
              <w:ind w:left="0" w:right="330"/>
              <w:jc w:val="right"/>
              <w:rPr>
                <w:sz w:val="20"/>
              </w:rPr>
            </w:pPr>
            <w:r>
              <w:rPr>
                <w:sz w:val="20"/>
              </w:rPr>
              <w:t>0.676</w:t>
            </w:r>
          </w:p>
        </w:tc>
      </w:tr>
      <w:tr>
        <w:trPr>
          <w:trHeight w:val="310" w:hRule="atLeast"/>
        </w:trPr>
        <w:tc>
          <w:tcPr>
            <w:tcW w:w="1186" w:type="dxa"/>
            <w:tcBorders>
              <w:bottom w:val="nil"/>
            </w:tcBorders>
          </w:tcPr>
          <w:p>
            <w:pPr>
              <w:pStyle w:val="TableParagraph"/>
              <w:spacing w:line="254" w:lineRule="exact"/>
              <w:ind w:left="375" w:right="361"/>
              <w:jc w:val="center"/>
              <w:rPr>
                <w:sz w:val="20"/>
              </w:rPr>
            </w:pPr>
            <w:r>
              <w:rPr>
                <w:sz w:val="20"/>
              </w:rPr>
              <w:t>10</w:t>
            </w:r>
          </w:p>
        </w:tc>
        <w:tc>
          <w:tcPr>
            <w:tcW w:w="1189" w:type="dxa"/>
            <w:tcBorders>
              <w:bottom w:val="nil"/>
            </w:tcBorders>
          </w:tcPr>
          <w:p>
            <w:pPr>
              <w:pStyle w:val="TableParagraph"/>
              <w:spacing w:line="254" w:lineRule="exact"/>
              <w:ind w:left="0" w:right="334"/>
              <w:jc w:val="right"/>
              <w:rPr>
                <w:sz w:val="20"/>
              </w:rPr>
            </w:pPr>
            <w:r>
              <w:rPr>
                <w:sz w:val="20"/>
              </w:rPr>
              <w:t>0.053</w:t>
            </w:r>
          </w:p>
        </w:tc>
        <w:tc>
          <w:tcPr>
            <w:tcW w:w="1188" w:type="dxa"/>
            <w:tcBorders>
              <w:bottom w:val="nil"/>
            </w:tcBorders>
          </w:tcPr>
          <w:p>
            <w:pPr>
              <w:pStyle w:val="TableParagraph"/>
              <w:spacing w:line="254" w:lineRule="exact"/>
              <w:ind w:right="316"/>
              <w:jc w:val="center"/>
              <w:rPr>
                <w:sz w:val="20"/>
              </w:rPr>
            </w:pPr>
            <w:r>
              <w:rPr>
                <w:sz w:val="20"/>
              </w:rPr>
              <w:t>0.069</w:t>
            </w:r>
          </w:p>
        </w:tc>
        <w:tc>
          <w:tcPr>
            <w:tcW w:w="1188" w:type="dxa"/>
            <w:tcBorders>
              <w:bottom w:val="nil"/>
            </w:tcBorders>
          </w:tcPr>
          <w:p>
            <w:pPr>
              <w:pStyle w:val="TableParagraph"/>
              <w:spacing w:line="254" w:lineRule="exact"/>
              <w:ind w:right="312"/>
              <w:jc w:val="center"/>
              <w:rPr>
                <w:sz w:val="20"/>
              </w:rPr>
            </w:pPr>
            <w:r>
              <w:rPr>
                <w:sz w:val="20"/>
              </w:rPr>
              <w:t>48</w:t>
            </w:r>
          </w:p>
        </w:tc>
        <w:tc>
          <w:tcPr>
            <w:tcW w:w="1185" w:type="dxa"/>
            <w:tcBorders>
              <w:bottom w:val="nil"/>
            </w:tcBorders>
          </w:tcPr>
          <w:p>
            <w:pPr>
              <w:pStyle w:val="TableParagraph"/>
              <w:spacing w:line="254" w:lineRule="exact"/>
              <w:ind w:right="313"/>
              <w:jc w:val="center"/>
              <w:rPr>
                <w:sz w:val="20"/>
              </w:rPr>
            </w:pPr>
            <w:r>
              <w:rPr>
                <w:sz w:val="20"/>
              </w:rPr>
              <w:t>0.768</w:t>
            </w:r>
          </w:p>
        </w:tc>
        <w:tc>
          <w:tcPr>
            <w:tcW w:w="1188" w:type="dxa"/>
            <w:tcBorders>
              <w:bottom w:val="nil"/>
            </w:tcBorders>
          </w:tcPr>
          <w:p>
            <w:pPr>
              <w:pStyle w:val="TableParagraph"/>
              <w:spacing w:line="254" w:lineRule="exact"/>
              <w:ind w:left="0" w:right="330"/>
              <w:jc w:val="right"/>
              <w:rPr>
                <w:sz w:val="20"/>
              </w:rPr>
            </w:pPr>
            <w:r>
              <w:rPr>
                <w:sz w:val="20"/>
              </w:rPr>
              <w:t>0.731</w:t>
            </w:r>
          </w:p>
        </w:tc>
      </w:tr>
      <w:tr>
        <w:trPr>
          <w:trHeight w:val="317" w:hRule="atLeast"/>
        </w:trPr>
        <w:tc>
          <w:tcPr>
            <w:tcW w:w="1186" w:type="dxa"/>
            <w:tcBorders>
              <w:top w:val="nil"/>
              <w:bottom w:val="nil"/>
            </w:tcBorders>
          </w:tcPr>
          <w:p>
            <w:pPr>
              <w:pStyle w:val="TableParagraph"/>
              <w:spacing w:line="256" w:lineRule="exact"/>
              <w:ind w:left="375" w:right="361"/>
              <w:jc w:val="center"/>
              <w:rPr>
                <w:sz w:val="20"/>
              </w:rPr>
            </w:pPr>
            <w:r>
              <w:rPr>
                <w:sz w:val="20"/>
              </w:rPr>
              <w:t>11</w:t>
            </w:r>
          </w:p>
        </w:tc>
        <w:tc>
          <w:tcPr>
            <w:tcW w:w="1189" w:type="dxa"/>
            <w:tcBorders>
              <w:top w:val="nil"/>
              <w:bottom w:val="nil"/>
            </w:tcBorders>
          </w:tcPr>
          <w:p>
            <w:pPr>
              <w:pStyle w:val="TableParagraph"/>
              <w:spacing w:line="256" w:lineRule="exact"/>
              <w:ind w:left="0" w:right="334"/>
              <w:jc w:val="right"/>
              <w:rPr>
                <w:sz w:val="20"/>
              </w:rPr>
            </w:pPr>
            <w:r>
              <w:rPr>
                <w:sz w:val="20"/>
              </w:rPr>
              <w:t>0.053</w:t>
            </w:r>
          </w:p>
        </w:tc>
        <w:tc>
          <w:tcPr>
            <w:tcW w:w="1188" w:type="dxa"/>
            <w:tcBorders>
              <w:top w:val="nil"/>
              <w:bottom w:val="nil"/>
            </w:tcBorders>
          </w:tcPr>
          <w:p>
            <w:pPr>
              <w:pStyle w:val="TableParagraph"/>
              <w:spacing w:line="256" w:lineRule="exact"/>
              <w:ind w:right="316"/>
              <w:jc w:val="center"/>
              <w:rPr>
                <w:sz w:val="20"/>
              </w:rPr>
            </w:pPr>
            <w:r>
              <w:rPr>
                <w:sz w:val="20"/>
              </w:rPr>
              <w:t>0.070</w:t>
            </w:r>
          </w:p>
        </w:tc>
        <w:tc>
          <w:tcPr>
            <w:tcW w:w="1188" w:type="dxa"/>
            <w:tcBorders>
              <w:top w:val="nil"/>
              <w:bottom w:val="nil"/>
            </w:tcBorders>
          </w:tcPr>
          <w:p>
            <w:pPr>
              <w:pStyle w:val="TableParagraph"/>
              <w:spacing w:line="256" w:lineRule="exact"/>
              <w:ind w:right="312"/>
              <w:jc w:val="center"/>
              <w:rPr>
                <w:sz w:val="20"/>
              </w:rPr>
            </w:pPr>
            <w:r>
              <w:rPr>
                <w:sz w:val="20"/>
              </w:rPr>
              <w:t>49</w:t>
            </w:r>
          </w:p>
        </w:tc>
        <w:tc>
          <w:tcPr>
            <w:tcW w:w="1185" w:type="dxa"/>
            <w:tcBorders>
              <w:top w:val="nil"/>
              <w:bottom w:val="nil"/>
            </w:tcBorders>
          </w:tcPr>
          <w:p>
            <w:pPr>
              <w:pStyle w:val="TableParagraph"/>
              <w:spacing w:line="256" w:lineRule="exact"/>
              <w:ind w:right="313"/>
              <w:jc w:val="center"/>
              <w:rPr>
                <w:sz w:val="20"/>
              </w:rPr>
            </w:pPr>
            <w:r>
              <w:rPr>
                <w:sz w:val="20"/>
              </w:rPr>
              <w:t>0.832</w:t>
            </w:r>
          </w:p>
        </w:tc>
        <w:tc>
          <w:tcPr>
            <w:tcW w:w="1188" w:type="dxa"/>
            <w:tcBorders>
              <w:top w:val="nil"/>
              <w:bottom w:val="nil"/>
            </w:tcBorders>
          </w:tcPr>
          <w:p>
            <w:pPr>
              <w:pStyle w:val="TableParagraph"/>
              <w:spacing w:line="256" w:lineRule="exact"/>
              <w:ind w:left="0" w:right="330"/>
              <w:jc w:val="right"/>
              <w:rPr>
                <w:sz w:val="20"/>
              </w:rPr>
            </w:pPr>
            <w:r>
              <w:rPr>
                <w:sz w:val="20"/>
              </w:rPr>
              <w:t>0.788</w:t>
            </w:r>
          </w:p>
        </w:tc>
      </w:tr>
      <w:tr>
        <w:trPr>
          <w:trHeight w:val="321" w:hRule="atLeast"/>
        </w:trPr>
        <w:tc>
          <w:tcPr>
            <w:tcW w:w="1186" w:type="dxa"/>
            <w:tcBorders>
              <w:top w:val="nil"/>
              <w:bottom w:val="nil"/>
            </w:tcBorders>
          </w:tcPr>
          <w:p>
            <w:pPr>
              <w:pStyle w:val="TableParagraph"/>
              <w:spacing w:line="261" w:lineRule="exact"/>
              <w:ind w:left="375" w:right="361"/>
              <w:jc w:val="center"/>
              <w:rPr>
                <w:sz w:val="20"/>
              </w:rPr>
            </w:pPr>
            <w:r>
              <w:rPr>
                <w:sz w:val="20"/>
              </w:rPr>
              <w:t>12</w:t>
            </w:r>
          </w:p>
        </w:tc>
        <w:tc>
          <w:tcPr>
            <w:tcW w:w="1189" w:type="dxa"/>
            <w:tcBorders>
              <w:top w:val="nil"/>
              <w:bottom w:val="nil"/>
            </w:tcBorders>
          </w:tcPr>
          <w:p>
            <w:pPr>
              <w:pStyle w:val="TableParagraph"/>
              <w:spacing w:line="261" w:lineRule="exact"/>
              <w:ind w:left="0" w:right="334"/>
              <w:jc w:val="right"/>
              <w:rPr>
                <w:sz w:val="20"/>
              </w:rPr>
            </w:pPr>
            <w:r>
              <w:rPr>
                <w:sz w:val="20"/>
              </w:rPr>
              <w:t>0.053</w:t>
            </w:r>
          </w:p>
        </w:tc>
        <w:tc>
          <w:tcPr>
            <w:tcW w:w="1188" w:type="dxa"/>
            <w:tcBorders>
              <w:top w:val="nil"/>
              <w:bottom w:val="nil"/>
            </w:tcBorders>
          </w:tcPr>
          <w:p>
            <w:pPr>
              <w:pStyle w:val="TableParagraph"/>
              <w:spacing w:line="261" w:lineRule="exact"/>
              <w:ind w:right="316"/>
              <w:jc w:val="center"/>
              <w:rPr>
                <w:sz w:val="20"/>
              </w:rPr>
            </w:pPr>
            <w:r>
              <w:rPr>
                <w:sz w:val="20"/>
              </w:rPr>
              <w:t>0.071</w:t>
            </w:r>
          </w:p>
        </w:tc>
        <w:tc>
          <w:tcPr>
            <w:tcW w:w="1188" w:type="dxa"/>
            <w:tcBorders>
              <w:top w:val="nil"/>
              <w:bottom w:val="nil"/>
            </w:tcBorders>
          </w:tcPr>
          <w:p>
            <w:pPr>
              <w:pStyle w:val="TableParagraph"/>
              <w:spacing w:line="261" w:lineRule="exact"/>
              <w:ind w:right="312"/>
              <w:jc w:val="center"/>
              <w:rPr>
                <w:sz w:val="20"/>
              </w:rPr>
            </w:pPr>
            <w:r>
              <w:rPr>
                <w:sz w:val="20"/>
              </w:rPr>
              <w:t>50</w:t>
            </w:r>
          </w:p>
        </w:tc>
        <w:tc>
          <w:tcPr>
            <w:tcW w:w="1185" w:type="dxa"/>
            <w:tcBorders>
              <w:top w:val="nil"/>
              <w:bottom w:val="nil"/>
            </w:tcBorders>
          </w:tcPr>
          <w:p>
            <w:pPr>
              <w:pStyle w:val="TableParagraph"/>
              <w:spacing w:line="261" w:lineRule="exact"/>
              <w:ind w:right="313"/>
              <w:jc w:val="center"/>
              <w:rPr>
                <w:sz w:val="20"/>
              </w:rPr>
            </w:pPr>
            <w:r>
              <w:rPr>
                <w:sz w:val="20"/>
              </w:rPr>
              <w:t>0.898</w:t>
            </w:r>
          </w:p>
        </w:tc>
        <w:tc>
          <w:tcPr>
            <w:tcW w:w="1188" w:type="dxa"/>
            <w:tcBorders>
              <w:top w:val="nil"/>
              <w:bottom w:val="nil"/>
            </w:tcBorders>
          </w:tcPr>
          <w:p>
            <w:pPr>
              <w:pStyle w:val="TableParagraph"/>
              <w:spacing w:line="261" w:lineRule="exact"/>
              <w:ind w:left="0" w:right="330"/>
              <w:jc w:val="right"/>
              <w:rPr>
                <w:sz w:val="20"/>
              </w:rPr>
            </w:pPr>
            <w:r>
              <w:rPr>
                <w:sz w:val="20"/>
              </w:rPr>
              <w:t>0.847</w:t>
            </w:r>
          </w:p>
        </w:tc>
      </w:tr>
      <w:tr>
        <w:trPr>
          <w:trHeight w:val="321" w:hRule="atLeast"/>
        </w:trPr>
        <w:tc>
          <w:tcPr>
            <w:tcW w:w="1186" w:type="dxa"/>
            <w:tcBorders>
              <w:top w:val="nil"/>
              <w:bottom w:val="nil"/>
            </w:tcBorders>
          </w:tcPr>
          <w:p>
            <w:pPr>
              <w:pStyle w:val="TableParagraph"/>
              <w:spacing w:line="261" w:lineRule="exact"/>
              <w:ind w:left="375" w:right="361"/>
              <w:jc w:val="center"/>
              <w:rPr>
                <w:sz w:val="20"/>
              </w:rPr>
            </w:pPr>
            <w:r>
              <w:rPr>
                <w:sz w:val="20"/>
              </w:rPr>
              <w:t>13</w:t>
            </w:r>
          </w:p>
        </w:tc>
        <w:tc>
          <w:tcPr>
            <w:tcW w:w="1189" w:type="dxa"/>
            <w:tcBorders>
              <w:top w:val="nil"/>
              <w:bottom w:val="nil"/>
            </w:tcBorders>
          </w:tcPr>
          <w:p>
            <w:pPr>
              <w:pStyle w:val="TableParagraph"/>
              <w:spacing w:line="261" w:lineRule="exact"/>
              <w:ind w:left="0" w:right="334"/>
              <w:jc w:val="right"/>
              <w:rPr>
                <w:sz w:val="20"/>
              </w:rPr>
            </w:pPr>
            <w:r>
              <w:rPr>
                <w:sz w:val="20"/>
              </w:rPr>
              <w:t>0.054</w:t>
            </w:r>
          </w:p>
        </w:tc>
        <w:tc>
          <w:tcPr>
            <w:tcW w:w="1188" w:type="dxa"/>
            <w:tcBorders>
              <w:top w:val="nil"/>
              <w:bottom w:val="nil"/>
            </w:tcBorders>
          </w:tcPr>
          <w:p>
            <w:pPr>
              <w:pStyle w:val="TableParagraph"/>
              <w:spacing w:line="261" w:lineRule="exact"/>
              <w:ind w:right="316"/>
              <w:jc w:val="center"/>
              <w:rPr>
                <w:sz w:val="20"/>
              </w:rPr>
            </w:pPr>
            <w:r>
              <w:rPr>
                <w:sz w:val="20"/>
              </w:rPr>
              <w:t>0.072</w:t>
            </w:r>
          </w:p>
        </w:tc>
        <w:tc>
          <w:tcPr>
            <w:tcW w:w="1188" w:type="dxa"/>
            <w:tcBorders>
              <w:top w:val="nil"/>
              <w:bottom w:val="nil"/>
            </w:tcBorders>
          </w:tcPr>
          <w:p>
            <w:pPr>
              <w:pStyle w:val="TableParagraph"/>
              <w:spacing w:line="261" w:lineRule="exact"/>
              <w:ind w:right="312"/>
              <w:jc w:val="center"/>
              <w:rPr>
                <w:sz w:val="20"/>
              </w:rPr>
            </w:pPr>
            <w:r>
              <w:rPr>
                <w:sz w:val="20"/>
              </w:rPr>
              <w:t>51</w:t>
            </w:r>
          </w:p>
        </w:tc>
        <w:tc>
          <w:tcPr>
            <w:tcW w:w="1185" w:type="dxa"/>
            <w:tcBorders>
              <w:top w:val="nil"/>
              <w:bottom w:val="nil"/>
            </w:tcBorders>
          </w:tcPr>
          <w:p>
            <w:pPr>
              <w:pStyle w:val="TableParagraph"/>
              <w:spacing w:line="261" w:lineRule="exact"/>
              <w:ind w:right="313"/>
              <w:jc w:val="center"/>
              <w:rPr>
                <w:sz w:val="20"/>
              </w:rPr>
            </w:pPr>
            <w:r>
              <w:rPr>
                <w:sz w:val="20"/>
              </w:rPr>
              <w:t>0.968</w:t>
            </w:r>
          </w:p>
        </w:tc>
        <w:tc>
          <w:tcPr>
            <w:tcW w:w="1188" w:type="dxa"/>
            <w:tcBorders>
              <w:top w:val="nil"/>
              <w:bottom w:val="nil"/>
            </w:tcBorders>
          </w:tcPr>
          <w:p>
            <w:pPr>
              <w:pStyle w:val="TableParagraph"/>
              <w:spacing w:line="261" w:lineRule="exact"/>
              <w:ind w:left="0" w:right="330"/>
              <w:jc w:val="right"/>
              <w:rPr>
                <w:sz w:val="20"/>
              </w:rPr>
            </w:pPr>
            <w:r>
              <w:rPr>
                <w:sz w:val="20"/>
              </w:rPr>
              <w:t>0.909</w:t>
            </w:r>
          </w:p>
        </w:tc>
      </w:tr>
      <w:tr>
        <w:trPr>
          <w:trHeight w:val="318" w:hRule="atLeast"/>
        </w:trPr>
        <w:tc>
          <w:tcPr>
            <w:tcW w:w="1186" w:type="dxa"/>
            <w:tcBorders>
              <w:top w:val="nil"/>
            </w:tcBorders>
          </w:tcPr>
          <w:p>
            <w:pPr>
              <w:pStyle w:val="TableParagraph"/>
              <w:spacing w:line="261" w:lineRule="exact"/>
              <w:ind w:left="375" w:right="361"/>
              <w:jc w:val="center"/>
              <w:rPr>
                <w:sz w:val="20"/>
              </w:rPr>
            </w:pPr>
            <w:r>
              <w:rPr>
                <w:sz w:val="20"/>
              </w:rPr>
              <w:t>14</w:t>
            </w:r>
          </w:p>
        </w:tc>
        <w:tc>
          <w:tcPr>
            <w:tcW w:w="1189" w:type="dxa"/>
            <w:tcBorders>
              <w:top w:val="nil"/>
            </w:tcBorders>
          </w:tcPr>
          <w:p>
            <w:pPr>
              <w:pStyle w:val="TableParagraph"/>
              <w:spacing w:line="261" w:lineRule="exact"/>
              <w:ind w:left="0" w:right="334"/>
              <w:jc w:val="right"/>
              <w:rPr>
                <w:sz w:val="20"/>
              </w:rPr>
            </w:pPr>
            <w:r>
              <w:rPr>
                <w:sz w:val="20"/>
              </w:rPr>
              <w:t>0.056</w:t>
            </w:r>
          </w:p>
        </w:tc>
        <w:tc>
          <w:tcPr>
            <w:tcW w:w="1188" w:type="dxa"/>
            <w:tcBorders>
              <w:top w:val="nil"/>
            </w:tcBorders>
          </w:tcPr>
          <w:p>
            <w:pPr>
              <w:pStyle w:val="TableParagraph"/>
              <w:spacing w:line="261" w:lineRule="exact"/>
              <w:ind w:right="316"/>
              <w:jc w:val="center"/>
              <w:rPr>
                <w:sz w:val="20"/>
              </w:rPr>
            </w:pPr>
            <w:r>
              <w:rPr>
                <w:sz w:val="20"/>
              </w:rPr>
              <w:t>0.075</w:t>
            </w:r>
          </w:p>
        </w:tc>
        <w:tc>
          <w:tcPr>
            <w:tcW w:w="1188" w:type="dxa"/>
            <w:tcBorders>
              <w:top w:val="nil"/>
            </w:tcBorders>
          </w:tcPr>
          <w:p>
            <w:pPr>
              <w:pStyle w:val="TableParagraph"/>
              <w:spacing w:line="261" w:lineRule="exact"/>
              <w:ind w:right="312"/>
              <w:jc w:val="center"/>
              <w:rPr>
                <w:sz w:val="20"/>
              </w:rPr>
            </w:pPr>
            <w:r>
              <w:rPr>
                <w:sz w:val="20"/>
              </w:rPr>
              <w:t>52</w:t>
            </w:r>
          </w:p>
        </w:tc>
        <w:tc>
          <w:tcPr>
            <w:tcW w:w="1185" w:type="dxa"/>
            <w:tcBorders>
              <w:top w:val="nil"/>
            </w:tcBorders>
          </w:tcPr>
          <w:p>
            <w:pPr>
              <w:pStyle w:val="TableParagraph"/>
              <w:spacing w:line="261" w:lineRule="exact"/>
              <w:ind w:right="313"/>
              <w:jc w:val="center"/>
              <w:rPr>
                <w:sz w:val="20"/>
              </w:rPr>
            </w:pPr>
            <w:r>
              <w:rPr>
                <w:sz w:val="20"/>
              </w:rPr>
              <w:t>1.042</w:t>
            </w:r>
          </w:p>
        </w:tc>
        <w:tc>
          <w:tcPr>
            <w:tcW w:w="1188" w:type="dxa"/>
            <w:tcBorders>
              <w:top w:val="nil"/>
            </w:tcBorders>
          </w:tcPr>
          <w:p>
            <w:pPr>
              <w:pStyle w:val="TableParagraph"/>
              <w:spacing w:line="261" w:lineRule="exact"/>
              <w:ind w:left="0" w:right="330"/>
              <w:jc w:val="right"/>
              <w:rPr>
                <w:sz w:val="20"/>
              </w:rPr>
            </w:pPr>
            <w:r>
              <w:rPr>
                <w:sz w:val="20"/>
              </w:rPr>
              <w:t>0.976</w:t>
            </w:r>
          </w:p>
        </w:tc>
      </w:tr>
      <w:tr>
        <w:trPr>
          <w:trHeight w:val="313" w:hRule="atLeast"/>
        </w:trPr>
        <w:tc>
          <w:tcPr>
            <w:tcW w:w="1186" w:type="dxa"/>
            <w:tcBorders>
              <w:bottom w:val="nil"/>
            </w:tcBorders>
          </w:tcPr>
          <w:p>
            <w:pPr>
              <w:pStyle w:val="TableParagraph"/>
              <w:spacing w:line="254" w:lineRule="exact"/>
              <w:ind w:left="375" w:right="361"/>
              <w:jc w:val="center"/>
              <w:rPr>
                <w:sz w:val="20"/>
              </w:rPr>
            </w:pPr>
            <w:r>
              <w:rPr>
                <w:sz w:val="20"/>
              </w:rPr>
              <w:t>15</w:t>
            </w:r>
          </w:p>
        </w:tc>
        <w:tc>
          <w:tcPr>
            <w:tcW w:w="1189" w:type="dxa"/>
            <w:tcBorders>
              <w:bottom w:val="nil"/>
            </w:tcBorders>
          </w:tcPr>
          <w:p>
            <w:pPr>
              <w:pStyle w:val="TableParagraph"/>
              <w:spacing w:line="254" w:lineRule="exact"/>
              <w:ind w:left="0" w:right="334"/>
              <w:jc w:val="right"/>
              <w:rPr>
                <w:sz w:val="20"/>
              </w:rPr>
            </w:pPr>
            <w:r>
              <w:rPr>
                <w:sz w:val="20"/>
              </w:rPr>
              <w:t>0.058</w:t>
            </w:r>
          </w:p>
        </w:tc>
        <w:tc>
          <w:tcPr>
            <w:tcW w:w="1188" w:type="dxa"/>
            <w:tcBorders>
              <w:bottom w:val="nil"/>
            </w:tcBorders>
          </w:tcPr>
          <w:p>
            <w:pPr>
              <w:pStyle w:val="TableParagraph"/>
              <w:spacing w:line="254" w:lineRule="exact"/>
              <w:ind w:right="316"/>
              <w:jc w:val="center"/>
              <w:rPr>
                <w:sz w:val="20"/>
              </w:rPr>
            </w:pPr>
            <w:r>
              <w:rPr>
                <w:sz w:val="20"/>
              </w:rPr>
              <w:t>0.078</w:t>
            </w:r>
          </w:p>
        </w:tc>
        <w:tc>
          <w:tcPr>
            <w:tcW w:w="1188" w:type="dxa"/>
            <w:tcBorders>
              <w:bottom w:val="nil"/>
            </w:tcBorders>
          </w:tcPr>
          <w:p>
            <w:pPr>
              <w:pStyle w:val="TableParagraph"/>
              <w:spacing w:line="254" w:lineRule="exact"/>
              <w:ind w:right="312"/>
              <w:jc w:val="center"/>
              <w:rPr>
                <w:sz w:val="20"/>
              </w:rPr>
            </w:pPr>
            <w:r>
              <w:rPr>
                <w:sz w:val="20"/>
              </w:rPr>
              <w:t>53</w:t>
            </w:r>
          </w:p>
        </w:tc>
        <w:tc>
          <w:tcPr>
            <w:tcW w:w="1185" w:type="dxa"/>
            <w:tcBorders>
              <w:bottom w:val="nil"/>
            </w:tcBorders>
          </w:tcPr>
          <w:p>
            <w:pPr>
              <w:pStyle w:val="TableParagraph"/>
              <w:spacing w:line="254" w:lineRule="exact"/>
              <w:ind w:right="313"/>
              <w:jc w:val="center"/>
              <w:rPr>
                <w:sz w:val="20"/>
              </w:rPr>
            </w:pPr>
            <w:r>
              <w:rPr>
                <w:sz w:val="20"/>
              </w:rPr>
              <w:t>1.124</w:t>
            </w:r>
          </w:p>
        </w:tc>
        <w:tc>
          <w:tcPr>
            <w:tcW w:w="1188" w:type="dxa"/>
            <w:tcBorders>
              <w:bottom w:val="nil"/>
            </w:tcBorders>
          </w:tcPr>
          <w:p>
            <w:pPr>
              <w:pStyle w:val="TableParagraph"/>
              <w:spacing w:line="254" w:lineRule="exact"/>
              <w:ind w:left="0" w:right="330"/>
              <w:jc w:val="right"/>
              <w:rPr>
                <w:sz w:val="20"/>
              </w:rPr>
            </w:pPr>
            <w:r>
              <w:rPr>
                <w:sz w:val="20"/>
              </w:rPr>
              <w:t>1.047</w:t>
            </w:r>
          </w:p>
        </w:tc>
      </w:tr>
      <w:tr>
        <w:trPr>
          <w:trHeight w:val="320" w:hRule="atLeast"/>
        </w:trPr>
        <w:tc>
          <w:tcPr>
            <w:tcW w:w="1186" w:type="dxa"/>
            <w:tcBorders>
              <w:top w:val="nil"/>
              <w:bottom w:val="nil"/>
            </w:tcBorders>
          </w:tcPr>
          <w:p>
            <w:pPr>
              <w:pStyle w:val="TableParagraph"/>
              <w:spacing w:line="259" w:lineRule="exact"/>
              <w:ind w:left="375" w:right="361"/>
              <w:jc w:val="center"/>
              <w:rPr>
                <w:sz w:val="20"/>
              </w:rPr>
            </w:pPr>
            <w:r>
              <w:rPr>
                <w:sz w:val="20"/>
              </w:rPr>
              <w:t>16</w:t>
            </w:r>
          </w:p>
        </w:tc>
        <w:tc>
          <w:tcPr>
            <w:tcW w:w="1189" w:type="dxa"/>
            <w:tcBorders>
              <w:top w:val="nil"/>
              <w:bottom w:val="nil"/>
            </w:tcBorders>
          </w:tcPr>
          <w:p>
            <w:pPr>
              <w:pStyle w:val="TableParagraph"/>
              <w:spacing w:line="259" w:lineRule="exact"/>
              <w:ind w:left="0" w:right="334"/>
              <w:jc w:val="right"/>
              <w:rPr>
                <w:sz w:val="20"/>
              </w:rPr>
            </w:pPr>
            <w:r>
              <w:rPr>
                <w:sz w:val="20"/>
              </w:rPr>
              <w:t>0.061</w:t>
            </w:r>
          </w:p>
        </w:tc>
        <w:tc>
          <w:tcPr>
            <w:tcW w:w="1188" w:type="dxa"/>
            <w:tcBorders>
              <w:top w:val="nil"/>
              <w:bottom w:val="nil"/>
            </w:tcBorders>
          </w:tcPr>
          <w:p>
            <w:pPr>
              <w:pStyle w:val="TableParagraph"/>
              <w:spacing w:line="259" w:lineRule="exact"/>
              <w:ind w:right="316"/>
              <w:jc w:val="center"/>
              <w:rPr>
                <w:sz w:val="20"/>
              </w:rPr>
            </w:pPr>
            <w:r>
              <w:rPr>
                <w:sz w:val="20"/>
              </w:rPr>
              <w:t>0.082</w:t>
            </w:r>
          </w:p>
        </w:tc>
        <w:tc>
          <w:tcPr>
            <w:tcW w:w="1188" w:type="dxa"/>
            <w:tcBorders>
              <w:top w:val="nil"/>
              <w:bottom w:val="nil"/>
            </w:tcBorders>
          </w:tcPr>
          <w:p>
            <w:pPr>
              <w:pStyle w:val="TableParagraph"/>
              <w:spacing w:line="259" w:lineRule="exact"/>
              <w:ind w:right="312"/>
              <w:jc w:val="center"/>
              <w:rPr>
                <w:sz w:val="20"/>
              </w:rPr>
            </w:pPr>
            <w:r>
              <w:rPr>
                <w:sz w:val="20"/>
              </w:rPr>
              <w:t>54</w:t>
            </w:r>
          </w:p>
        </w:tc>
        <w:tc>
          <w:tcPr>
            <w:tcW w:w="1185" w:type="dxa"/>
            <w:tcBorders>
              <w:top w:val="nil"/>
              <w:bottom w:val="nil"/>
            </w:tcBorders>
          </w:tcPr>
          <w:p>
            <w:pPr>
              <w:pStyle w:val="TableParagraph"/>
              <w:spacing w:line="259" w:lineRule="exact"/>
              <w:ind w:right="313"/>
              <w:jc w:val="center"/>
              <w:rPr>
                <w:sz w:val="20"/>
              </w:rPr>
            </w:pPr>
            <w:r>
              <w:rPr>
                <w:sz w:val="20"/>
              </w:rPr>
              <w:t>1.215</w:t>
            </w:r>
          </w:p>
        </w:tc>
        <w:tc>
          <w:tcPr>
            <w:tcW w:w="1188" w:type="dxa"/>
            <w:tcBorders>
              <w:top w:val="nil"/>
              <w:bottom w:val="nil"/>
            </w:tcBorders>
          </w:tcPr>
          <w:p>
            <w:pPr>
              <w:pStyle w:val="TableParagraph"/>
              <w:spacing w:line="259" w:lineRule="exact"/>
              <w:ind w:left="0" w:right="330"/>
              <w:jc w:val="right"/>
              <w:rPr>
                <w:sz w:val="20"/>
              </w:rPr>
            </w:pPr>
            <w:r>
              <w:rPr>
                <w:sz w:val="20"/>
              </w:rPr>
              <w:t>1.123</w:t>
            </w:r>
          </w:p>
        </w:tc>
      </w:tr>
      <w:tr>
        <w:trPr>
          <w:trHeight w:val="316" w:hRule="atLeast"/>
        </w:trPr>
        <w:tc>
          <w:tcPr>
            <w:tcW w:w="1186" w:type="dxa"/>
            <w:tcBorders>
              <w:top w:val="nil"/>
              <w:bottom w:val="nil"/>
            </w:tcBorders>
          </w:tcPr>
          <w:p>
            <w:pPr>
              <w:pStyle w:val="TableParagraph"/>
              <w:spacing w:line="261" w:lineRule="exact"/>
              <w:ind w:left="375" w:right="361"/>
              <w:jc w:val="center"/>
              <w:rPr>
                <w:sz w:val="20"/>
              </w:rPr>
            </w:pPr>
            <w:r>
              <w:rPr>
                <w:sz w:val="20"/>
              </w:rPr>
              <w:t>17</w:t>
            </w:r>
          </w:p>
        </w:tc>
        <w:tc>
          <w:tcPr>
            <w:tcW w:w="1189" w:type="dxa"/>
            <w:tcBorders>
              <w:top w:val="nil"/>
              <w:bottom w:val="nil"/>
            </w:tcBorders>
          </w:tcPr>
          <w:p>
            <w:pPr>
              <w:pStyle w:val="TableParagraph"/>
              <w:spacing w:line="261" w:lineRule="exact"/>
              <w:ind w:left="0" w:right="334"/>
              <w:jc w:val="right"/>
              <w:rPr>
                <w:sz w:val="20"/>
              </w:rPr>
            </w:pPr>
            <w:r>
              <w:rPr>
                <w:sz w:val="20"/>
              </w:rPr>
              <w:t>0.063</w:t>
            </w:r>
          </w:p>
        </w:tc>
        <w:tc>
          <w:tcPr>
            <w:tcW w:w="1188" w:type="dxa"/>
            <w:tcBorders>
              <w:top w:val="nil"/>
              <w:bottom w:val="nil"/>
            </w:tcBorders>
          </w:tcPr>
          <w:p>
            <w:pPr>
              <w:pStyle w:val="TableParagraph"/>
              <w:spacing w:line="261" w:lineRule="exact"/>
              <w:ind w:right="316"/>
              <w:jc w:val="center"/>
              <w:rPr>
                <w:sz w:val="20"/>
              </w:rPr>
            </w:pPr>
            <w:r>
              <w:rPr>
                <w:sz w:val="20"/>
              </w:rPr>
              <w:t>0.086</w:t>
            </w:r>
          </w:p>
        </w:tc>
        <w:tc>
          <w:tcPr>
            <w:tcW w:w="1188" w:type="dxa"/>
            <w:tcBorders>
              <w:top w:val="nil"/>
              <w:bottom w:val="nil"/>
            </w:tcBorders>
          </w:tcPr>
          <w:p>
            <w:pPr>
              <w:pStyle w:val="TableParagraph"/>
              <w:spacing w:line="261" w:lineRule="exact"/>
              <w:ind w:right="312"/>
              <w:jc w:val="center"/>
              <w:rPr>
                <w:sz w:val="20"/>
              </w:rPr>
            </w:pPr>
            <w:r>
              <w:rPr>
                <w:sz w:val="20"/>
              </w:rPr>
              <w:t>55</w:t>
            </w:r>
          </w:p>
        </w:tc>
        <w:tc>
          <w:tcPr>
            <w:tcW w:w="1185" w:type="dxa"/>
            <w:tcBorders>
              <w:top w:val="nil"/>
              <w:bottom w:val="nil"/>
            </w:tcBorders>
          </w:tcPr>
          <w:p>
            <w:pPr>
              <w:pStyle w:val="TableParagraph"/>
              <w:spacing w:line="261" w:lineRule="exact"/>
              <w:ind w:right="313"/>
              <w:jc w:val="center"/>
              <w:rPr>
                <w:sz w:val="20"/>
              </w:rPr>
            </w:pPr>
            <w:r>
              <w:rPr>
                <w:sz w:val="20"/>
              </w:rPr>
              <w:t>1.316</w:t>
            </w:r>
          </w:p>
        </w:tc>
        <w:tc>
          <w:tcPr>
            <w:tcW w:w="1188" w:type="dxa"/>
            <w:tcBorders>
              <w:top w:val="nil"/>
              <w:bottom w:val="nil"/>
            </w:tcBorders>
          </w:tcPr>
          <w:p>
            <w:pPr>
              <w:pStyle w:val="TableParagraph"/>
              <w:spacing w:line="261" w:lineRule="exact"/>
              <w:ind w:left="0" w:right="330"/>
              <w:jc w:val="right"/>
              <w:rPr>
                <w:sz w:val="20"/>
              </w:rPr>
            </w:pPr>
            <w:r>
              <w:rPr>
                <w:sz w:val="20"/>
              </w:rPr>
              <w:t>1.204</w:t>
            </w:r>
          </w:p>
        </w:tc>
      </w:tr>
      <w:tr>
        <w:trPr>
          <w:trHeight w:val="316" w:hRule="atLeast"/>
        </w:trPr>
        <w:tc>
          <w:tcPr>
            <w:tcW w:w="1186" w:type="dxa"/>
            <w:tcBorders>
              <w:top w:val="nil"/>
              <w:bottom w:val="nil"/>
            </w:tcBorders>
          </w:tcPr>
          <w:p>
            <w:pPr>
              <w:pStyle w:val="TableParagraph"/>
              <w:spacing w:line="256" w:lineRule="exact"/>
              <w:ind w:left="375" w:right="361"/>
              <w:jc w:val="center"/>
              <w:rPr>
                <w:sz w:val="20"/>
              </w:rPr>
            </w:pPr>
            <w:r>
              <w:rPr>
                <w:sz w:val="20"/>
              </w:rPr>
              <w:t>18</w:t>
            </w:r>
          </w:p>
        </w:tc>
        <w:tc>
          <w:tcPr>
            <w:tcW w:w="1189" w:type="dxa"/>
            <w:tcBorders>
              <w:top w:val="nil"/>
              <w:bottom w:val="nil"/>
            </w:tcBorders>
          </w:tcPr>
          <w:p>
            <w:pPr>
              <w:pStyle w:val="TableParagraph"/>
              <w:spacing w:line="256" w:lineRule="exact"/>
              <w:ind w:left="0" w:right="334"/>
              <w:jc w:val="right"/>
              <w:rPr>
                <w:sz w:val="20"/>
              </w:rPr>
            </w:pPr>
            <w:r>
              <w:rPr>
                <w:sz w:val="20"/>
              </w:rPr>
              <w:t>0.067</w:t>
            </w:r>
          </w:p>
        </w:tc>
        <w:tc>
          <w:tcPr>
            <w:tcW w:w="1188" w:type="dxa"/>
            <w:tcBorders>
              <w:top w:val="nil"/>
              <w:bottom w:val="nil"/>
            </w:tcBorders>
          </w:tcPr>
          <w:p>
            <w:pPr>
              <w:pStyle w:val="TableParagraph"/>
              <w:spacing w:line="256" w:lineRule="exact"/>
              <w:ind w:right="316"/>
              <w:jc w:val="center"/>
              <w:rPr>
                <w:sz w:val="20"/>
              </w:rPr>
            </w:pPr>
            <w:r>
              <w:rPr>
                <w:sz w:val="20"/>
              </w:rPr>
              <w:t>0.091</w:t>
            </w:r>
          </w:p>
        </w:tc>
        <w:tc>
          <w:tcPr>
            <w:tcW w:w="1188" w:type="dxa"/>
            <w:tcBorders>
              <w:top w:val="nil"/>
              <w:bottom w:val="nil"/>
            </w:tcBorders>
          </w:tcPr>
          <w:p>
            <w:pPr>
              <w:pStyle w:val="TableParagraph"/>
              <w:spacing w:line="256" w:lineRule="exact"/>
              <w:ind w:right="312"/>
              <w:jc w:val="center"/>
              <w:rPr>
                <w:sz w:val="20"/>
              </w:rPr>
            </w:pPr>
            <w:r>
              <w:rPr>
                <w:sz w:val="20"/>
              </w:rPr>
              <w:t>56</w:t>
            </w:r>
          </w:p>
        </w:tc>
        <w:tc>
          <w:tcPr>
            <w:tcW w:w="1185" w:type="dxa"/>
            <w:tcBorders>
              <w:top w:val="nil"/>
              <w:bottom w:val="nil"/>
            </w:tcBorders>
          </w:tcPr>
          <w:p>
            <w:pPr>
              <w:pStyle w:val="TableParagraph"/>
              <w:spacing w:line="256" w:lineRule="exact"/>
              <w:ind w:right="313"/>
              <w:jc w:val="center"/>
              <w:rPr>
                <w:sz w:val="20"/>
              </w:rPr>
            </w:pPr>
            <w:r>
              <w:rPr>
                <w:sz w:val="20"/>
              </w:rPr>
              <w:t>1.425</w:t>
            </w:r>
          </w:p>
        </w:tc>
        <w:tc>
          <w:tcPr>
            <w:tcW w:w="1188" w:type="dxa"/>
            <w:tcBorders>
              <w:top w:val="nil"/>
              <w:bottom w:val="nil"/>
            </w:tcBorders>
          </w:tcPr>
          <w:p>
            <w:pPr>
              <w:pStyle w:val="TableParagraph"/>
              <w:spacing w:line="256" w:lineRule="exact"/>
              <w:ind w:left="0" w:right="330"/>
              <w:jc w:val="right"/>
              <w:rPr>
                <w:sz w:val="20"/>
              </w:rPr>
            </w:pPr>
            <w:r>
              <w:rPr>
                <w:sz w:val="20"/>
              </w:rPr>
              <w:t>1.289</w:t>
            </w:r>
          </w:p>
        </w:tc>
      </w:tr>
      <w:tr>
        <w:trPr>
          <w:trHeight w:val="328" w:hRule="atLeast"/>
        </w:trPr>
        <w:tc>
          <w:tcPr>
            <w:tcW w:w="1186" w:type="dxa"/>
            <w:tcBorders>
              <w:top w:val="nil"/>
            </w:tcBorders>
          </w:tcPr>
          <w:p>
            <w:pPr>
              <w:pStyle w:val="TableParagraph"/>
              <w:spacing w:line="261" w:lineRule="exact"/>
              <w:ind w:left="375" w:right="361"/>
              <w:jc w:val="center"/>
              <w:rPr>
                <w:sz w:val="20"/>
              </w:rPr>
            </w:pPr>
            <w:r>
              <w:rPr>
                <w:sz w:val="20"/>
              </w:rPr>
              <w:t>19</w:t>
            </w:r>
          </w:p>
        </w:tc>
        <w:tc>
          <w:tcPr>
            <w:tcW w:w="1189" w:type="dxa"/>
            <w:tcBorders>
              <w:top w:val="nil"/>
            </w:tcBorders>
          </w:tcPr>
          <w:p>
            <w:pPr>
              <w:pStyle w:val="TableParagraph"/>
              <w:spacing w:line="261" w:lineRule="exact"/>
              <w:ind w:left="0" w:right="334"/>
              <w:jc w:val="right"/>
              <w:rPr>
                <w:sz w:val="20"/>
              </w:rPr>
            </w:pPr>
            <w:r>
              <w:rPr>
                <w:sz w:val="20"/>
              </w:rPr>
              <w:t>0.070</w:t>
            </w:r>
          </w:p>
        </w:tc>
        <w:tc>
          <w:tcPr>
            <w:tcW w:w="1188" w:type="dxa"/>
            <w:tcBorders>
              <w:top w:val="nil"/>
            </w:tcBorders>
          </w:tcPr>
          <w:p>
            <w:pPr>
              <w:pStyle w:val="TableParagraph"/>
              <w:spacing w:line="261" w:lineRule="exact"/>
              <w:ind w:right="316"/>
              <w:jc w:val="center"/>
              <w:rPr>
                <w:sz w:val="20"/>
              </w:rPr>
            </w:pPr>
            <w:r>
              <w:rPr>
                <w:sz w:val="20"/>
              </w:rPr>
              <w:t>0.097</w:t>
            </w:r>
          </w:p>
        </w:tc>
        <w:tc>
          <w:tcPr>
            <w:tcW w:w="1188" w:type="dxa"/>
            <w:tcBorders>
              <w:top w:val="nil"/>
            </w:tcBorders>
          </w:tcPr>
          <w:p>
            <w:pPr>
              <w:pStyle w:val="TableParagraph"/>
              <w:spacing w:line="261" w:lineRule="exact"/>
              <w:ind w:right="312"/>
              <w:jc w:val="center"/>
              <w:rPr>
                <w:sz w:val="20"/>
              </w:rPr>
            </w:pPr>
            <w:r>
              <w:rPr>
                <w:sz w:val="20"/>
              </w:rPr>
              <w:t>57</w:t>
            </w:r>
          </w:p>
        </w:tc>
        <w:tc>
          <w:tcPr>
            <w:tcW w:w="1185" w:type="dxa"/>
            <w:tcBorders>
              <w:top w:val="nil"/>
            </w:tcBorders>
          </w:tcPr>
          <w:p>
            <w:pPr>
              <w:pStyle w:val="TableParagraph"/>
              <w:spacing w:line="261" w:lineRule="exact"/>
              <w:ind w:right="313"/>
              <w:jc w:val="center"/>
              <w:rPr>
                <w:sz w:val="20"/>
              </w:rPr>
            </w:pPr>
            <w:r>
              <w:rPr>
                <w:sz w:val="20"/>
              </w:rPr>
              <w:t>1.543</w:t>
            </w:r>
          </w:p>
        </w:tc>
        <w:tc>
          <w:tcPr>
            <w:tcW w:w="1188" w:type="dxa"/>
            <w:tcBorders>
              <w:top w:val="nil"/>
            </w:tcBorders>
          </w:tcPr>
          <w:p>
            <w:pPr>
              <w:pStyle w:val="TableParagraph"/>
              <w:spacing w:line="261" w:lineRule="exact"/>
              <w:ind w:left="0" w:right="330"/>
              <w:jc w:val="right"/>
              <w:rPr>
                <w:sz w:val="20"/>
              </w:rPr>
            </w:pPr>
            <w:r>
              <w:rPr>
                <w:sz w:val="20"/>
              </w:rPr>
              <w:t>1.380</w:t>
            </w:r>
          </w:p>
        </w:tc>
      </w:tr>
      <w:tr>
        <w:trPr>
          <w:trHeight w:val="314" w:hRule="atLeast"/>
        </w:trPr>
        <w:tc>
          <w:tcPr>
            <w:tcW w:w="1186" w:type="dxa"/>
            <w:tcBorders>
              <w:bottom w:val="nil"/>
            </w:tcBorders>
          </w:tcPr>
          <w:p>
            <w:pPr>
              <w:pStyle w:val="TableParagraph"/>
              <w:spacing w:line="254" w:lineRule="exact"/>
              <w:ind w:left="375" w:right="361"/>
              <w:jc w:val="center"/>
              <w:rPr>
                <w:sz w:val="20"/>
              </w:rPr>
            </w:pPr>
            <w:r>
              <w:rPr>
                <w:sz w:val="20"/>
              </w:rPr>
              <w:t>20</w:t>
            </w:r>
          </w:p>
        </w:tc>
        <w:tc>
          <w:tcPr>
            <w:tcW w:w="1189" w:type="dxa"/>
            <w:tcBorders>
              <w:bottom w:val="nil"/>
            </w:tcBorders>
          </w:tcPr>
          <w:p>
            <w:pPr>
              <w:pStyle w:val="TableParagraph"/>
              <w:spacing w:line="254" w:lineRule="exact"/>
              <w:ind w:left="0" w:right="334"/>
              <w:jc w:val="right"/>
              <w:rPr>
                <w:sz w:val="20"/>
              </w:rPr>
            </w:pPr>
            <w:r>
              <w:rPr>
                <w:sz w:val="20"/>
              </w:rPr>
              <w:t>0.075</w:t>
            </w:r>
          </w:p>
        </w:tc>
        <w:tc>
          <w:tcPr>
            <w:tcW w:w="1188" w:type="dxa"/>
            <w:tcBorders>
              <w:bottom w:val="nil"/>
            </w:tcBorders>
          </w:tcPr>
          <w:p>
            <w:pPr>
              <w:pStyle w:val="TableParagraph"/>
              <w:spacing w:line="254" w:lineRule="exact"/>
              <w:ind w:right="316"/>
              <w:jc w:val="center"/>
              <w:rPr>
                <w:sz w:val="20"/>
              </w:rPr>
            </w:pPr>
            <w:r>
              <w:rPr>
                <w:sz w:val="20"/>
              </w:rPr>
              <w:t>0.103</w:t>
            </w:r>
          </w:p>
        </w:tc>
        <w:tc>
          <w:tcPr>
            <w:tcW w:w="1188" w:type="dxa"/>
            <w:tcBorders>
              <w:bottom w:val="nil"/>
            </w:tcBorders>
          </w:tcPr>
          <w:p>
            <w:pPr>
              <w:pStyle w:val="TableParagraph"/>
              <w:spacing w:line="254" w:lineRule="exact"/>
              <w:ind w:right="312"/>
              <w:jc w:val="center"/>
              <w:rPr>
                <w:sz w:val="20"/>
              </w:rPr>
            </w:pPr>
            <w:r>
              <w:rPr>
                <w:sz w:val="20"/>
              </w:rPr>
              <w:t>58</w:t>
            </w:r>
          </w:p>
        </w:tc>
        <w:tc>
          <w:tcPr>
            <w:tcW w:w="1185" w:type="dxa"/>
            <w:tcBorders>
              <w:bottom w:val="nil"/>
            </w:tcBorders>
          </w:tcPr>
          <w:p>
            <w:pPr>
              <w:pStyle w:val="TableParagraph"/>
              <w:spacing w:line="254" w:lineRule="exact"/>
              <w:ind w:right="313"/>
              <w:jc w:val="center"/>
              <w:rPr>
                <w:sz w:val="20"/>
              </w:rPr>
            </w:pPr>
            <w:r>
              <w:rPr>
                <w:sz w:val="20"/>
              </w:rPr>
              <w:t>1.666</w:t>
            </w:r>
          </w:p>
        </w:tc>
        <w:tc>
          <w:tcPr>
            <w:tcW w:w="1188" w:type="dxa"/>
            <w:tcBorders>
              <w:bottom w:val="nil"/>
            </w:tcBorders>
          </w:tcPr>
          <w:p>
            <w:pPr>
              <w:pStyle w:val="TableParagraph"/>
              <w:spacing w:line="254" w:lineRule="exact"/>
              <w:ind w:left="0" w:right="330"/>
              <w:jc w:val="right"/>
              <w:rPr>
                <w:sz w:val="20"/>
              </w:rPr>
            </w:pPr>
            <w:r>
              <w:rPr>
                <w:sz w:val="20"/>
              </w:rPr>
              <w:t>1.476</w:t>
            </w:r>
          </w:p>
        </w:tc>
      </w:tr>
      <w:tr>
        <w:trPr>
          <w:trHeight w:val="316" w:hRule="atLeast"/>
        </w:trPr>
        <w:tc>
          <w:tcPr>
            <w:tcW w:w="1186" w:type="dxa"/>
            <w:tcBorders>
              <w:top w:val="nil"/>
              <w:bottom w:val="nil"/>
            </w:tcBorders>
          </w:tcPr>
          <w:p>
            <w:pPr>
              <w:pStyle w:val="TableParagraph"/>
              <w:spacing w:line="261" w:lineRule="exact"/>
              <w:ind w:left="375" w:right="361"/>
              <w:jc w:val="center"/>
              <w:rPr>
                <w:sz w:val="20"/>
              </w:rPr>
            </w:pPr>
            <w:r>
              <w:rPr>
                <w:sz w:val="20"/>
              </w:rPr>
              <w:t>21</w:t>
            </w:r>
          </w:p>
        </w:tc>
        <w:tc>
          <w:tcPr>
            <w:tcW w:w="1189" w:type="dxa"/>
            <w:tcBorders>
              <w:top w:val="nil"/>
              <w:bottom w:val="nil"/>
            </w:tcBorders>
          </w:tcPr>
          <w:p>
            <w:pPr>
              <w:pStyle w:val="TableParagraph"/>
              <w:spacing w:line="261" w:lineRule="exact"/>
              <w:ind w:left="0" w:right="334"/>
              <w:jc w:val="right"/>
              <w:rPr>
                <w:sz w:val="20"/>
              </w:rPr>
            </w:pPr>
            <w:r>
              <w:rPr>
                <w:sz w:val="20"/>
              </w:rPr>
              <w:t>0.079</w:t>
            </w:r>
          </w:p>
        </w:tc>
        <w:tc>
          <w:tcPr>
            <w:tcW w:w="1188" w:type="dxa"/>
            <w:tcBorders>
              <w:top w:val="nil"/>
              <w:bottom w:val="nil"/>
            </w:tcBorders>
          </w:tcPr>
          <w:p>
            <w:pPr>
              <w:pStyle w:val="TableParagraph"/>
              <w:spacing w:line="261" w:lineRule="exact"/>
              <w:ind w:right="316"/>
              <w:jc w:val="center"/>
              <w:rPr>
                <w:sz w:val="20"/>
              </w:rPr>
            </w:pPr>
            <w:r>
              <w:rPr>
                <w:sz w:val="20"/>
              </w:rPr>
              <w:t>0.109</w:t>
            </w:r>
          </w:p>
        </w:tc>
        <w:tc>
          <w:tcPr>
            <w:tcW w:w="1188" w:type="dxa"/>
            <w:tcBorders>
              <w:top w:val="nil"/>
              <w:bottom w:val="nil"/>
            </w:tcBorders>
          </w:tcPr>
          <w:p>
            <w:pPr>
              <w:pStyle w:val="TableParagraph"/>
              <w:spacing w:line="261" w:lineRule="exact"/>
              <w:ind w:right="312"/>
              <w:jc w:val="center"/>
              <w:rPr>
                <w:sz w:val="20"/>
              </w:rPr>
            </w:pPr>
            <w:r>
              <w:rPr>
                <w:sz w:val="20"/>
              </w:rPr>
              <w:t>59</w:t>
            </w:r>
          </w:p>
        </w:tc>
        <w:tc>
          <w:tcPr>
            <w:tcW w:w="1185" w:type="dxa"/>
            <w:tcBorders>
              <w:top w:val="nil"/>
              <w:bottom w:val="nil"/>
            </w:tcBorders>
          </w:tcPr>
          <w:p>
            <w:pPr>
              <w:pStyle w:val="TableParagraph"/>
              <w:spacing w:line="261" w:lineRule="exact"/>
              <w:ind w:right="313"/>
              <w:jc w:val="center"/>
              <w:rPr>
                <w:sz w:val="20"/>
              </w:rPr>
            </w:pPr>
            <w:r>
              <w:rPr>
                <w:sz w:val="20"/>
              </w:rPr>
              <w:t>1.793</w:t>
            </w:r>
          </w:p>
        </w:tc>
        <w:tc>
          <w:tcPr>
            <w:tcW w:w="1188" w:type="dxa"/>
            <w:tcBorders>
              <w:top w:val="nil"/>
              <w:bottom w:val="nil"/>
            </w:tcBorders>
          </w:tcPr>
          <w:p>
            <w:pPr>
              <w:pStyle w:val="TableParagraph"/>
              <w:spacing w:line="261" w:lineRule="exact"/>
              <w:ind w:left="0" w:right="330"/>
              <w:jc w:val="right"/>
              <w:rPr>
                <w:sz w:val="20"/>
              </w:rPr>
            </w:pPr>
            <w:r>
              <w:rPr>
                <w:sz w:val="20"/>
              </w:rPr>
              <w:t>1.577</w:t>
            </w:r>
          </w:p>
        </w:tc>
      </w:tr>
      <w:tr>
        <w:trPr>
          <w:trHeight w:val="315" w:hRule="atLeast"/>
        </w:trPr>
        <w:tc>
          <w:tcPr>
            <w:tcW w:w="1186" w:type="dxa"/>
            <w:tcBorders>
              <w:top w:val="nil"/>
              <w:bottom w:val="nil"/>
            </w:tcBorders>
          </w:tcPr>
          <w:p>
            <w:pPr>
              <w:pStyle w:val="TableParagraph"/>
              <w:spacing w:line="256" w:lineRule="exact"/>
              <w:ind w:left="375" w:right="361"/>
              <w:jc w:val="center"/>
              <w:rPr>
                <w:sz w:val="20"/>
              </w:rPr>
            </w:pPr>
            <w:r>
              <w:rPr>
                <w:sz w:val="20"/>
              </w:rPr>
              <w:t>22</w:t>
            </w:r>
          </w:p>
        </w:tc>
        <w:tc>
          <w:tcPr>
            <w:tcW w:w="1189" w:type="dxa"/>
            <w:tcBorders>
              <w:top w:val="nil"/>
              <w:bottom w:val="nil"/>
            </w:tcBorders>
          </w:tcPr>
          <w:p>
            <w:pPr>
              <w:pStyle w:val="TableParagraph"/>
              <w:spacing w:line="256" w:lineRule="exact"/>
              <w:ind w:left="0" w:right="334"/>
              <w:jc w:val="right"/>
              <w:rPr>
                <w:sz w:val="20"/>
              </w:rPr>
            </w:pPr>
            <w:r>
              <w:rPr>
                <w:sz w:val="20"/>
              </w:rPr>
              <w:t>0.084</w:t>
            </w:r>
          </w:p>
        </w:tc>
        <w:tc>
          <w:tcPr>
            <w:tcW w:w="1188" w:type="dxa"/>
            <w:tcBorders>
              <w:top w:val="nil"/>
              <w:bottom w:val="nil"/>
            </w:tcBorders>
          </w:tcPr>
          <w:p>
            <w:pPr>
              <w:pStyle w:val="TableParagraph"/>
              <w:spacing w:line="256" w:lineRule="exact"/>
              <w:ind w:right="316"/>
              <w:jc w:val="center"/>
              <w:rPr>
                <w:sz w:val="20"/>
              </w:rPr>
            </w:pPr>
            <w:r>
              <w:rPr>
                <w:sz w:val="20"/>
              </w:rPr>
              <w:t>0.115</w:t>
            </w:r>
          </w:p>
        </w:tc>
        <w:tc>
          <w:tcPr>
            <w:tcW w:w="1188" w:type="dxa"/>
            <w:tcBorders>
              <w:top w:val="nil"/>
              <w:bottom w:val="nil"/>
            </w:tcBorders>
          </w:tcPr>
          <w:p>
            <w:pPr>
              <w:pStyle w:val="TableParagraph"/>
              <w:spacing w:line="256" w:lineRule="exact"/>
              <w:ind w:right="312"/>
              <w:jc w:val="center"/>
              <w:rPr>
                <w:sz w:val="20"/>
              </w:rPr>
            </w:pPr>
            <w:r>
              <w:rPr>
                <w:sz w:val="20"/>
              </w:rPr>
              <w:t>60</w:t>
            </w:r>
          </w:p>
        </w:tc>
        <w:tc>
          <w:tcPr>
            <w:tcW w:w="1185" w:type="dxa"/>
            <w:tcBorders>
              <w:top w:val="nil"/>
              <w:bottom w:val="nil"/>
            </w:tcBorders>
          </w:tcPr>
          <w:p>
            <w:pPr>
              <w:pStyle w:val="TableParagraph"/>
              <w:spacing w:line="256" w:lineRule="exact"/>
              <w:ind w:right="313"/>
              <w:jc w:val="center"/>
              <w:rPr>
                <w:sz w:val="20"/>
              </w:rPr>
            </w:pPr>
            <w:r>
              <w:rPr>
                <w:sz w:val="20"/>
              </w:rPr>
              <w:t>1.923</w:t>
            </w:r>
          </w:p>
        </w:tc>
        <w:tc>
          <w:tcPr>
            <w:tcW w:w="1188" w:type="dxa"/>
            <w:tcBorders>
              <w:top w:val="nil"/>
              <w:bottom w:val="nil"/>
            </w:tcBorders>
          </w:tcPr>
          <w:p>
            <w:pPr>
              <w:pStyle w:val="TableParagraph"/>
              <w:spacing w:line="256" w:lineRule="exact"/>
              <w:ind w:left="0" w:right="330"/>
              <w:jc w:val="right"/>
              <w:rPr>
                <w:sz w:val="20"/>
              </w:rPr>
            </w:pPr>
            <w:r>
              <w:rPr>
                <w:sz w:val="20"/>
              </w:rPr>
              <w:t>1.684</w:t>
            </w:r>
          </w:p>
        </w:tc>
      </w:tr>
      <w:tr>
        <w:trPr>
          <w:trHeight w:val="320" w:hRule="atLeast"/>
        </w:trPr>
        <w:tc>
          <w:tcPr>
            <w:tcW w:w="1186" w:type="dxa"/>
            <w:tcBorders>
              <w:top w:val="nil"/>
              <w:bottom w:val="nil"/>
            </w:tcBorders>
          </w:tcPr>
          <w:p>
            <w:pPr>
              <w:pStyle w:val="TableParagraph"/>
              <w:spacing w:line="260" w:lineRule="exact"/>
              <w:ind w:left="375" w:right="361"/>
              <w:jc w:val="center"/>
              <w:rPr>
                <w:sz w:val="20"/>
              </w:rPr>
            </w:pPr>
            <w:r>
              <w:rPr>
                <w:sz w:val="20"/>
              </w:rPr>
              <w:t>23</w:t>
            </w:r>
          </w:p>
        </w:tc>
        <w:tc>
          <w:tcPr>
            <w:tcW w:w="1189" w:type="dxa"/>
            <w:tcBorders>
              <w:top w:val="nil"/>
              <w:bottom w:val="nil"/>
            </w:tcBorders>
          </w:tcPr>
          <w:p>
            <w:pPr>
              <w:pStyle w:val="TableParagraph"/>
              <w:spacing w:line="260" w:lineRule="exact"/>
              <w:ind w:left="0" w:right="334"/>
              <w:jc w:val="right"/>
              <w:rPr>
                <w:sz w:val="20"/>
              </w:rPr>
            </w:pPr>
            <w:r>
              <w:rPr>
                <w:sz w:val="20"/>
              </w:rPr>
              <w:t>0.089</w:t>
            </w:r>
          </w:p>
        </w:tc>
        <w:tc>
          <w:tcPr>
            <w:tcW w:w="1188" w:type="dxa"/>
            <w:tcBorders>
              <w:top w:val="nil"/>
              <w:bottom w:val="nil"/>
            </w:tcBorders>
          </w:tcPr>
          <w:p>
            <w:pPr>
              <w:pStyle w:val="TableParagraph"/>
              <w:spacing w:line="260" w:lineRule="exact"/>
              <w:ind w:right="316"/>
              <w:jc w:val="center"/>
              <w:rPr>
                <w:sz w:val="20"/>
              </w:rPr>
            </w:pPr>
            <w:r>
              <w:rPr>
                <w:sz w:val="20"/>
              </w:rPr>
              <w:t>0.120</w:t>
            </w:r>
          </w:p>
        </w:tc>
        <w:tc>
          <w:tcPr>
            <w:tcW w:w="1188" w:type="dxa"/>
            <w:tcBorders>
              <w:top w:val="nil"/>
              <w:bottom w:val="nil"/>
            </w:tcBorders>
          </w:tcPr>
          <w:p>
            <w:pPr>
              <w:pStyle w:val="TableParagraph"/>
              <w:spacing w:line="260" w:lineRule="exact"/>
              <w:ind w:right="312"/>
              <w:jc w:val="center"/>
              <w:rPr>
                <w:sz w:val="20"/>
              </w:rPr>
            </w:pPr>
            <w:r>
              <w:rPr>
                <w:sz w:val="20"/>
              </w:rPr>
              <w:t>61</w:t>
            </w:r>
          </w:p>
        </w:tc>
        <w:tc>
          <w:tcPr>
            <w:tcW w:w="1185" w:type="dxa"/>
            <w:tcBorders>
              <w:top w:val="nil"/>
              <w:bottom w:val="nil"/>
            </w:tcBorders>
          </w:tcPr>
          <w:p>
            <w:pPr>
              <w:pStyle w:val="TableParagraph"/>
              <w:spacing w:line="260" w:lineRule="exact"/>
              <w:ind w:right="313"/>
              <w:jc w:val="center"/>
              <w:rPr>
                <w:sz w:val="20"/>
              </w:rPr>
            </w:pPr>
            <w:r>
              <w:rPr>
                <w:sz w:val="20"/>
              </w:rPr>
              <w:t>2.059</w:t>
            </w:r>
          </w:p>
        </w:tc>
        <w:tc>
          <w:tcPr>
            <w:tcW w:w="1188" w:type="dxa"/>
            <w:tcBorders>
              <w:top w:val="nil"/>
              <w:bottom w:val="nil"/>
            </w:tcBorders>
          </w:tcPr>
          <w:p>
            <w:pPr>
              <w:pStyle w:val="TableParagraph"/>
              <w:spacing w:line="260" w:lineRule="exact"/>
              <w:ind w:left="0" w:right="330"/>
              <w:jc w:val="right"/>
              <w:rPr>
                <w:sz w:val="20"/>
              </w:rPr>
            </w:pPr>
            <w:r>
              <w:rPr>
                <w:sz w:val="20"/>
              </w:rPr>
              <w:t>1.797</w:t>
            </w:r>
          </w:p>
        </w:tc>
      </w:tr>
      <w:tr>
        <w:trPr>
          <w:trHeight w:val="328" w:hRule="atLeast"/>
        </w:trPr>
        <w:tc>
          <w:tcPr>
            <w:tcW w:w="1186" w:type="dxa"/>
            <w:tcBorders>
              <w:top w:val="nil"/>
            </w:tcBorders>
          </w:tcPr>
          <w:p>
            <w:pPr>
              <w:pStyle w:val="TableParagraph"/>
              <w:spacing w:line="261" w:lineRule="exact"/>
              <w:ind w:left="375" w:right="361"/>
              <w:jc w:val="center"/>
              <w:rPr>
                <w:sz w:val="20"/>
              </w:rPr>
            </w:pPr>
            <w:r>
              <w:rPr>
                <w:sz w:val="20"/>
              </w:rPr>
              <w:t>24</w:t>
            </w:r>
          </w:p>
        </w:tc>
        <w:tc>
          <w:tcPr>
            <w:tcW w:w="1189" w:type="dxa"/>
            <w:tcBorders>
              <w:top w:val="nil"/>
            </w:tcBorders>
          </w:tcPr>
          <w:p>
            <w:pPr>
              <w:pStyle w:val="TableParagraph"/>
              <w:spacing w:line="261" w:lineRule="exact"/>
              <w:ind w:left="0" w:right="334"/>
              <w:jc w:val="right"/>
              <w:rPr>
                <w:sz w:val="20"/>
              </w:rPr>
            </w:pPr>
            <w:r>
              <w:rPr>
                <w:sz w:val="20"/>
              </w:rPr>
              <w:t>0.096</w:t>
            </w:r>
          </w:p>
        </w:tc>
        <w:tc>
          <w:tcPr>
            <w:tcW w:w="1188" w:type="dxa"/>
            <w:tcBorders>
              <w:top w:val="nil"/>
            </w:tcBorders>
          </w:tcPr>
          <w:p>
            <w:pPr>
              <w:pStyle w:val="TableParagraph"/>
              <w:spacing w:line="261" w:lineRule="exact"/>
              <w:ind w:right="316"/>
              <w:jc w:val="center"/>
              <w:rPr>
                <w:sz w:val="20"/>
              </w:rPr>
            </w:pPr>
            <w:r>
              <w:rPr>
                <w:sz w:val="20"/>
              </w:rPr>
              <w:t>0.127</w:t>
            </w:r>
          </w:p>
        </w:tc>
        <w:tc>
          <w:tcPr>
            <w:tcW w:w="1188" w:type="dxa"/>
            <w:tcBorders>
              <w:top w:val="nil"/>
            </w:tcBorders>
          </w:tcPr>
          <w:p>
            <w:pPr>
              <w:pStyle w:val="TableParagraph"/>
              <w:spacing w:line="261" w:lineRule="exact"/>
              <w:ind w:right="312"/>
              <w:jc w:val="center"/>
              <w:rPr>
                <w:sz w:val="20"/>
              </w:rPr>
            </w:pPr>
            <w:r>
              <w:rPr>
                <w:sz w:val="20"/>
              </w:rPr>
              <w:t>62</w:t>
            </w:r>
          </w:p>
        </w:tc>
        <w:tc>
          <w:tcPr>
            <w:tcW w:w="1185" w:type="dxa"/>
            <w:tcBorders>
              <w:top w:val="nil"/>
            </w:tcBorders>
          </w:tcPr>
          <w:p>
            <w:pPr>
              <w:pStyle w:val="TableParagraph"/>
              <w:spacing w:line="261" w:lineRule="exact"/>
              <w:ind w:right="313"/>
              <w:jc w:val="center"/>
              <w:rPr>
                <w:sz w:val="20"/>
              </w:rPr>
            </w:pPr>
            <w:r>
              <w:rPr>
                <w:sz w:val="20"/>
              </w:rPr>
              <w:t>2.201</w:t>
            </w:r>
          </w:p>
        </w:tc>
        <w:tc>
          <w:tcPr>
            <w:tcW w:w="1188" w:type="dxa"/>
            <w:tcBorders>
              <w:top w:val="nil"/>
            </w:tcBorders>
          </w:tcPr>
          <w:p>
            <w:pPr>
              <w:pStyle w:val="TableParagraph"/>
              <w:spacing w:line="261" w:lineRule="exact"/>
              <w:ind w:left="0" w:right="330"/>
              <w:jc w:val="right"/>
              <w:rPr>
                <w:sz w:val="20"/>
              </w:rPr>
            </w:pPr>
            <w:r>
              <w:rPr>
                <w:sz w:val="20"/>
              </w:rPr>
              <w:t>1.914</w:t>
            </w:r>
          </w:p>
        </w:tc>
      </w:tr>
      <w:tr>
        <w:trPr>
          <w:trHeight w:val="309" w:hRule="atLeast"/>
        </w:trPr>
        <w:tc>
          <w:tcPr>
            <w:tcW w:w="1186" w:type="dxa"/>
            <w:tcBorders>
              <w:bottom w:val="nil"/>
            </w:tcBorders>
          </w:tcPr>
          <w:p>
            <w:pPr>
              <w:pStyle w:val="TableParagraph"/>
              <w:spacing w:line="254" w:lineRule="exact"/>
              <w:ind w:left="375" w:right="361"/>
              <w:jc w:val="center"/>
              <w:rPr>
                <w:sz w:val="20"/>
              </w:rPr>
            </w:pPr>
            <w:r>
              <w:rPr>
                <w:sz w:val="20"/>
              </w:rPr>
              <w:t>25</w:t>
            </w:r>
          </w:p>
        </w:tc>
        <w:tc>
          <w:tcPr>
            <w:tcW w:w="1189" w:type="dxa"/>
            <w:tcBorders>
              <w:bottom w:val="nil"/>
            </w:tcBorders>
          </w:tcPr>
          <w:p>
            <w:pPr>
              <w:pStyle w:val="TableParagraph"/>
              <w:spacing w:line="254" w:lineRule="exact"/>
              <w:ind w:left="0" w:right="334"/>
              <w:jc w:val="right"/>
              <w:rPr>
                <w:sz w:val="20"/>
              </w:rPr>
            </w:pPr>
            <w:r>
              <w:rPr>
                <w:sz w:val="20"/>
              </w:rPr>
              <w:t>0.102</w:t>
            </w:r>
          </w:p>
        </w:tc>
        <w:tc>
          <w:tcPr>
            <w:tcW w:w="1188" w:type="dxa"/>
            <w:tcBorders>
              <w:bottom w:val="nil"/>
            </w:tcBorders>
          </w:tcPr>
          <w:p>
            <w:pPr>
              <w:pStyle w:val="TableParagraph"/>
              <w:spacing w:line="254" w:lineRule="exact"/>
              <w:ind w:right="316"/>
              <w:jc w:val="center"/>
              <w:rPr>
                <w:sz w:val="20"/>
              </w:rPr>
            </w:pPr>
            <w:r>
              <w:rPr>
                <w:sz w:val="20"/>
              </w:rPr>
              <w:t>0.133</w:t>
            </w:r>
          </w:p>
        </w:tc>
        <w:tc>
          <w:tcPr>
            <w:tcW w:w="1188" w:type="dxa"/>
            <w:tcBorders>
              <w:bottom w:val="nil"/>
            </w:tcBorders>
          </w:tcPr>
          <w:p>
            <w:pPr>
              <w:pStyle w:val="TableParagraph"/>
              <w:spacing w:line="254" w:lineRule="exact"/>
              <w:ind w:right="312"/>
              <w:jc w:val="center"/>
              <w:rPr>
                <w:sz w:val="20"/>
              </w:rPr>
            </w:pPr>
            <w:r>
              <w:rPr>
                <w:sz w:val="20"/>
              </w:rPr>
              <w:t>63</w:t>
            </w:r>
          </w:p>
        </w:tc>
        <w:tc>
          <w:tcPr>
            <w:tcW w:w="1185" w:type="dxa"/>
            <w:tcBorders>
              <w:bottom w:val="nil"/>
            </w:tcBorders>
          </w:tcPr>
          <w:p>
            <w:pPr>
              <w:pStyle w:val="TableParagraph"/>
              <w:spacing w:line="254" w:lineRule="exact"/>
              <w:ind w:right="313"/>
              <w:jc w:val="center"/>
              <w:rPr>
                <w:sz w:val="20"/>
              </w:rPr>
            </w:pPr>
            <w:r>
              <w:rPr>
                <w:sz w:val="20"/>
              </w:rPr>
              <w:t>2.353</w:t>
            </w:r>
          </w:p>
        </w:tc>
        <w:tc>
          <w:tcPr>
            <w:tcW w:w="1188" w:type="dxa"/>
            <w:tcBorders>
              <w:bottom w:val="nil"/>
            </w:tcBorders>
          </w:tcPr>
          <w:p>
            <w:pPr>
              <w:pStyle w:val="TableParagraph"/>
              <w:spacing w:line="254" w:lineRule="exact"/>
              <w:ind w:left="0" w:right="330"/>
              <w:jc w:val="right"/>
              <w:rPr>
                <w:sz w:val="20"/>
              </w:rPr>
            </w:pPr>
            <w:r>
              <w:rPr>
                <w:sz w:val="20"/>
              </w:rPr>
              <w:t>2.037</w:t>
            </w:r>
          </w:p>
        </w:tc>
      </w:tr>
      <w:tr>
        <w:trPr>
          <w:trHeight w:val="316" w:hRule="atLeast"/>
        </w:trPr>
        <w:tc>
          <w:tcPr>
            <w:tcW w:w="1186" w:type="dxa"/>
            <w:tcBorders>
              <w:top w:val="nil"/>
              <w:bottom w:val="nil"/>
            </w:tcBorders>
          </w:tcPr>
          <w:p>
            <w:pPr>
              <w:pStyle w:val="TableParagraph"/>
              <w:spacing w:line="256" w:lineRule="exact"/>
              <w:ind w:left="375" w:right="361"/>
              <w:jc w:val="center"/>
              <w:rPr>
                <w:sz w:val="20"/>
              </w:rPr>
            </w:pPr>
            <w:r>
              <w:rPr>
                <w:sz w:val="20"/>
              </w:rPr>
              <w:t>26</w:t>
            </w:r>
          </w:p>
        </w:tc>
        <w:tc>
          <w:tcPr>
            <w:tcW w:w="1189" w:type="dxa"/>
            <w:tcBorders>
              <w:top w:val="nil"/>
              <w:bottom w:val="nil"/>
            </w:tcBorders>
          </w:tcPr>
          <w:p>
            <w:pPr>
              <w:pStyle w:val="TableParagraph"/>
              <w:spacing w:line="256" w:lineRule="exact"/>
              <w:ind w:left="0" w:right="334"/>
              <w:jc w:val="right"/>
              <w:rPr>
                <w:sz w:val="20"/>
              </w:rPr>
            </w:pPr>
            <w:r>
              <w:rPr>
                <w:sz w:val="20"/>
              </w:rPr>
              <w:t>0.110</w:t>
            </w:r>
          </w:p>
        </w:tc>
        <w:tc>
          <w:tcPr>
            <w:tcW w:w="1188" w:type="dxa"/>
            <w:tcBorders>
              <w:top w:val="nil"/>
              <w:bottom w:val="nil"/>
            </w:tcBorders>
          </w:tcPr>
          <w:p>
            <w:pPr>
              <w:pStyle w:val="TableParagraph"/>
              <w:spacing w:line="256" w:lineRule="exact"/>
              <w:ind w:right="316"/>
              <w:jc w:val="center"/>
              <w:rPr>
                <w:sz w:val="20"/>
              </w:rPr>
            </w:pPr>
            <w:r>
              <w:rPr>
                <w:sz w:val="20"/>
              </w:rPr>
              <w:t>0.141</w:t>
            </w:r>
          </w:p>
        </w:tc>
        <w:tc>
          <w:tcPr>
            <w:tcW w:w="1188" w:type="dxa"/>
            <w:tcBorders>
              <w:top w:val="nil"/>
              <w:bottom w:val="nil"/>
            </w:tcBorders>
          </w:tcPr>
          <w:p>
            <w:pPr>
              <w:pStyle w:val="TableParagraph"/>
              <w:spacing w:line="256" w:lineRule="exact"/>
              <w:ind w:right="312"/>
              <w:jc w:val="center"/>
              <w:rPr>
                <w:sz w:val="20"/>
              </w:rPr>
            </w:pPr>
            <w:r>
              <w:rPr>
                <w:sz w:val="20"/>
              </w:rPr>
              <w:t>64</w:t>
            </w:r>
          </w:p>
        </w:tc>
        <w:tc>
          <w:tcPr>
            <w:tcW w:w="1185" w:type="dxa"/>
            <w:tcBorders>
              <w:top w:val="nil"/>
              <w:bottom w:val="nil"/>
            </w:tcBorders>
          </w:tcPr>
          <w:p>
            <w:pPr>
              <w:pStyle w:val="TableParagraph"/>
              <w:spacing w:line="256" w:lineRule="exact"/>
              <w:ind w:right="313"/>
              <w:jc w:val="center"/>
              <w:rPr>
                <w:sz w:val="20"/>
              </w:rPr>
            </w:pPr>
            <w:r>
              <w:rPr>
                <w:sz w:val="20"/>
              </w:rPr>
              <w:t>2.516</w:t>
            </w:r>
          </w:p>
        </w:tc>
        <w:tc>
          <w:tcPr>
            <w:tcW w:w="1188" w:type="dxa"/>
            <w:tcBorders>
              <w:top w:val="nil"/>
              <w:bottom w:val="nil"/>
            </w:tcBorders>
          </w:tcPr>
          <w:p>
            <w:pPr>
              <w:pStyle w:val="TableParagraph"/>
              <w:spacing w:line="256" w:lineRule="exact"/>
              <w:ind w:left="0" w:right="330"/>
              <w:jc w:val="right"/>
              <w:rPr>
                <w:sz w:val="20"/>
              </w:rPr>
            </w:pPr>
            <w:r>
              <w:rPr>
                <w:sz w:val="20"/>
              </w:rPr>
              <w:t>2.164</w:t>
            </w:r>
          </w:p>
        </w:tc>
      </w:tr>
      <w:tr>
        <w:trPr>
          <w:trHeight w:val="321" w:hRule="atLeast"/>
        </w:trPr>
        <w:tc>
          <w:tcPr>
            <w:tcW w:w="1186" w:type="dxa"/>
            <w:tcBorders>
              <w:top w:val="nil"/>
              <w:bottom w:val="nil"/>
            </w:tcBorders>
          </w:tcPr>
          <w:p>
            <w:pPr>
              <w:pStyle w:val="TableParagraph"/>
              <w:spacing w:line="261" w:lineRule="exact"/>
              <w:ind w:left="375" w:right="361"/>
              <w:jc w:val="center"/>
              <w:rPr>
                <w:sz w:val="20"/>
              </w:rPr>
            </w:pPr>
            <w:r>
              <w:rPr>
                <w:sz w:val="20"/>
              </w:rPr>
              <w:t>27</w:t>
            </w:r>
          </w:p>
        </w:tc>
        <w:tc>
          <w:tcPr>
            <w:tcW w:w="1189" w:type="dxa"/>
            <w:tcBorders>
              <w:top w:val="nil"/>
              <w:bottom w:val="nil"/>
            </w:tcBorders>
          </w:tcPr>
          <w:p>
            <w:pPr>
              <w:pStyle w:val="TableParagraph"/>
              <w:spacing w:line="261" w:lineRule="exact"/>
              <w:ind w:left="0" w:right="334"/>
              <w:jc w:val="right"/>
              <w:rPr>
                <w:sz w:val="20"/>
              </w:rPr>
            </w:pPr>
            <w:r>
              <w:rPr>
                <w:sz w:val="20"/>
              </w:rPr>
              <w:t>0.118</w:t>
            </w:r>
          </w:p>
        </w:tc>
        <w:tc>
          <w:tcPr>
            <w:tcW w:w="1188" w:type="dxa"/>
            <w:tcBorders>
              <w:top w:val="nil"/>
              <w:bottom w:val="nil"/>
            </w:tcBorders>
          </w:tcPr>
          <w:p>
            <w:pPr>
              <w:pStyle w:val="TableParagraph"/>
              <w:spacing w:line="261" w:lineRule="exact"/>
              <w:ind w:right="316"/>
              <w:jc w:val="center"/>
              <w:rPr>
                <w:sz w:val="20"/>
              </w:rPr>
            </w:pPr>
            <w:r>
              <w:rPr>
                <w:sz w:val="20"/>
              </w:rPr>
              <w:t>0.150</w:t>
            </w:r>
          </w:p>
        </w:tc>
        <w:tc>
          <w:tcPr>
            <w:tcW w:w="1188" w:type="dxa"/>
            <w:tcBorders>
              <w:top w:val="nil"/>
              <w:bottom w:val="nil"/>
            </w:tcBorders>
          </w:tcPr>
          <w:p>
            <w:pPr>
              <w:pStyle w:val="TableParagraph"/>
              <w:spacing w:line="261" w:lineRule="exact"/>
              <w:ind w:right="312"/>
              <w:jc w:val="center"/>
              <w:rPr>
                <w:sz w:val="20"/>
              </w:rPr>
            </w:pPr>
            <w:r>
              <w:rPr>
                <w:sz w:val="20"/>
              </w:rPr>
              <w:t>65</w:t>
            </w:r>
          </w:p>
        </w:tc>
        <w:tc>
          <w:tcPr>
            <w:tcW w:w="1185" w:type="dxa"/>
            <w:tcBorders>
              <w:top w:val="nil"/>
              <w:bottom w:val="nil"/>
            </w:tcBorders>
          </w:tcPr>
          <w:p>
            <w:pPr>
              <w:pStyle w:val="TableParagraph"/>
              <w:spacing w:line="261" w:lineRule="exact"/>
              <w:ind w:right="313"/>
              <w:jc w:val="center"/>
              <w:rPr>
                <w:sz w:val="20"/>
              </w:rPr>
            </w:pPr>
            <w:r>
              <w:rPr>
                <w:sz w:val="20"/>
              </w:rPr>
              <w:t>2.689</w:t>
            </w:r>
          </w:p>
        </w:tc>
        <w:tc>
          <w:tcPr>
            <w:tcW w:w="1188" w:type="dxa"/>
            <w:tcBorders>
              <w:top w:val="nil"/>
              <w:bottom w:val="nil"/>
            </w:tcBorders>
          </w:tcPr>
          <w:p>
            <w:pPr>
              <w:pStyle w:val="TableParagraph"/>
              <w:spacing w:line="261" w:lineRule="exact"/>
              <w:ind w:left="0" w:right="330"/>
              <w:jc w:val="right"/>
              <w:rPr>
                <w:sz w:val="20"/>
              </w:rPr>
            </w:pPr>
            <w:r>
              <w:rPr>
                <w:sz w:val="20"/>
              </w:rPr>
              <w:t>2.297</w:t>
            </w:r>
          </w:p>
        </w:tc>
      </w:tr>
      <w:tr>
        <w:trPr>
          <w:trHeight w:val="320" w:hRule="atLeast"/>
        </w:trPr>
        <w:tc>
          <w:tcPr>
            <w:tcW w:w="1186" w:type="dxa"/>
            <w:tcBorders>
              <w:top w:val="nil"/>
              <w:bottom w:val="nil"/>
            </w:tcBorders>
          </w:tcPr>
          <w:p>
            <w:pPr>
              <w:pStyle w:val="TableParagraph"/>
              <w:spacing w:line="261" w:lineRule="exact"/>
              <w:ind w:left="375" w:right="361"/>
              <w:jc w:val="center"/>
              <w:rPr>
                <w:sz w:val="20"/>
              </w:rPr>
            </w:pPr>
            <w:r>
              <w:rPr>
                <w:sz w:val="20"/>
              </w:rPr>
              <w:t>28</w:t>
            </w:r>
          </w:p>
        </w:tc>
        <w:tc>
          <w:tcPr>
            <w:tcW w:w="1189" w:type="dxa"/>
            <w:tcBorders>
              <w:top w:val="nil"/>
              <w:bottom w:val="nil"/>
            </w:tcBorders>
          </w:tcPr>
          <w:p>
            <w:pPr>
              <w:pStyle w:val="TableParagraph"/>
              <w:spacing w:line="261" w:lineRule="exact"/>
              <w:ind w:left="0" w:right="334"/>
              <w:jc w:val="right"/>
              <w:rPr>
                <w:sz w:val="20"/>
              </w:rPr>
            </w:pPr>
            <w:r>
              <w:rPr>
                <w:sz w:val="20"/>
              </w:rPr>
              <w:t>0.128</w:t>
            </w:r>
          </w:p>
        </w:tc>
        <w:tc>
          <w:tcPr>
            <w:tcW w:w="1188" w:type="dxa"/>
            <w:tcBorders>
              <w:top w:val="nil"/>
              <w:bottom w:val="nil"/>
            </w:tcBorders>
          </w:tcPr>
          <w:p>
            <w:pPr>
              <w:pStyle w:val="TableParagraph"/>
              <w:spacing w:line="261" w:lineRule="exact"/>
              <w:ind w:right="316"/>
              <w:jc w:val="center"/>
              <w:rPr>
                <w:sz w:val="20"/>
              </w:rPr>
            </w:pPr>
            <w:r>
              <w:rPr>
                <w:sz w:val="20"/>
              </w:rPr>
              <w:t>0.160</w:t>
            </w:r>
          </w:p>
        </w:tc>
        <w:tc>
          <w:tcPr>
            <w:tcW w:w="1188" w:type="dxa"/>
            <w:tcBorders>
              <w:top w:val="nil"/>
              <w:bottom w:val="nil"/>
            </w:tcBorders>
          </w:tcPr>
          <w:p>
            <w:pPr>
              <w:pStyle w:val="TableParagraph"/>
              <w:spacing w:line="261" w:lineRule="exact"/>
              <w:ind w:right="312"/>
              <w:jc w:val="center"/>
              <w:rPr>
                <w:sz w:val="20"/>
              </w:rPr>
            </w:pPr>
            <w:r>
              <w:rPr>
                <w:sz w:val="20"/>
              </w:rPr>
              <w:t>66</w:t>
            </w:r>
          </w:p>
        </w:tc>
        <w:tc>
          <w:tcPr>
            <w:tcW w:w="1185" w:type="dxa"/>
            <w:tcBorders>
              <w:top w:val="nil"/>
              <w:bottom w:val="nil"/>
            </w:tcBorders>
          </w:tcPr>
          <w:p>
            <w:pPr>
              <w:pStyle w:val="TableParagraph"/>
              <w:spacing w:line="261" w:lineRule="exact"/>
              <w:ind w:right="313"/>
              <w:jc w:val="center"/>
              <w:rPr>
                <w:sz w:val="20"/>
              </w:rPr>
            </w:pPr>
            <w:r>
              <w:rPr>
                <w:sz w:val="20"/>
              </w:rPr>
              <w:t>2.872</w:t>
            </w:r>
          </w:p>
        </w:tc>
        <w:tc>
          <w:tcPr>
            <w:tcW w:w="1188" w:type="dxa"/>
            <w:tcBorders>
              <w:top w:val="nil"/>
              <w:bottom w:val="nil"/>
            </w:tcBorders>
          </w:tcPr>
          <w:p>
            <w:pPr>
              <w:pStyle w:val="TableParagraph"/>
              <w:spacing w:line="261" w:lineRule="exact"/>
              <w:ind w:left="0" w:right="330"/>
              <w:jc w:val="right"/>
              <w:rPr>
                <w:sz w:val="20"/>
              </w:rPr>
            </w:pPr>
            <w:r>
              <w:rPr>
                <w:sz w:val="20"/>
              </w:rPr>
              <w:t>2.436</w:t>
            </w:r>
          </w:p>
        </w:tc>
      </w:tr>
      <w:tr>
        <w:trPr>
          <w:trHeight w:val="317" w:hRule="atLeast"/>
        </w:trPr>
        <w:tc>
          <w:tcPr>
            <w:tcW w:w="1186" w:type="dxa"/>
            <w:tcBorders>
              <w:top w:val="nil"/>
            </w:tcBorders>
          </w:tcPr>
          <w:p>
            <w:pPr>
              <w:pStyle w:val="TableParagraph"/>
              <w:spacing w:line="259" w:lineRule="exact"/>
              <w:ind w:left="375" w:right="361"/>
              <w:jc w:val="center"/>
              <w:rPr>
                <w:sz w:val="20"/>
              </w:rPr>
            </w:pPr>
            <w:r>
              <w:rPr>
                <w:sz w:val="20"/>
              </w:rPr>
              <w:t>29</w:t>
            </w:r>
          </w:p>
        </w:tc>
        <w:tc>
          <w:tcPr>
            <w:tcW w:w="1189" w:type="dxa"/>
            <w:tcBorders>
              <w:top w:val="nil"/>
            </w:tcBorders>
          </w:tcPr>
          <w:p>
            <w:pPr>
              <w:pStyle w:val="TableParagraph"/>
              <w:spacing w:line="259" w:lineRule="exact"/>
              <w:ind w:left="0" w:right="334"/>
              <w:jc w:val="right"/>
              <w:rPr>
                <w:sz w:val="20"/>
              </w:rPr>
            </w:pPr>
            <w:r>
              <w:rPr>
                <w:sz w:val="20"/>
              </w:rPr>
              <w:t>0.138</w:t>
            </w:r>
          </w:p>
        </w:tc>
        <w:tc>
          <w:tcPr>
            <w:tcW w:w="1188" w:type="dxa"/>
            <w:tcBorders>
              <w:top w:val="nil"/>
            </w:tcBorders>
          </w:tcPr>
          <w:p>
            <w:pPr>
              <w:pStyle w:val="TableParagraph"/>
              <w:spacing w:line="259" w:lineRule="exact"/>
              <w:ind w:right="316"/>
              <w:jc w:val="center"/>
              <w:rPr>
                <w:sz w:val="20"/>
              </w:rPr>
            </w:pPr>
            <w:r>
              <w:rPr>
                <w:sz w:val="20"/>
              </w:rPr>
              <w:t>0.171</w:t>
            </w:r>
          </w:p>
        </w:tc>
        <w:tc>
          <w:tcPr>
            <w:tcW w:w="1188" w:type="dxa"/>
            <w:tcBorders>
              <w:top w:val="nil"/>
            </w:tcBorders>
          </w:tcPr>
          <w:p>
            <w:pPr>
              <w:pStyle w:val="TableParagraph"/>
              <w:spacing w:line="259" w:lineRule="exact"/>
              <w:ind w:right="312"/>
              <w:jc w:val="center"/>
              <w:rPr>
                <w:sz w:val="20"/>
              </w:rPr>
            </w:pPr>
            <w:r>
              <w:rPr>
                <w:sz w:val="20"/>
              </w:rPr>
              <w:t>67</w:t>
            </w:r>
          </w:p>
        </w:tc>
        <w:tc>
          <w:tcPr>
            <w:tcW w:w="1185" w:type="dxa"/>
            <w:tcBorders>
              <w:top w:val="nil"/>
            </w:tcBorders>
          </w:tcPr>
          <w:p>
            <w:pPr>
              <w:pStyle w:val="TableParagraph"/>
              <w:spacing w:line="259" w:lineRule="exact"/>
              <w:ind w:right="313"/>
              <w:jc w:val="center"/>
              <w:rPr>
                <w:sz w:val="20"/>
              </w:rPr>
            </w:pPr>
            <w:r>
              <w:rPr>
                <w:sz w:val="20"/>
              </w:rPr>
              <w:t>3.063</w:t>
            </w:r>
          </w:p>
        </w:tc>
        <w:tc>
          <w:tcPr>
            <w:tcW w:w="1188" w:type="dxa"/>
            <w:tcBorders>
              <w:top w:val="nil"/>
            </w:tcBorders>
          </w:tcPr>
          <w:p>
            <w:pPr>
              <w:pStyle w:val="TableParagraph"/>
              <w:spacing w:line="259" w:lineRule="exact"/>
              <w:ind w:left="0" w:right="330"/>
              <w:jc w:val="right"/>
              <w:rPr>
                <w:sz w:val="20"/>
              </w:rPr>
            </w:pPr>
            <w:r>
              <w:rPr>
                <w:sz w:val="20"/>
              </w:rPr>
              <w:t>2.582</w:t>
            </w:r>
          </w:p>
        </w:tc>
      </w:tr>
      <w:tr>
        <w:trPr>
          <w:trHeight w:val="314" w:hRule="atLeast"/>
        </w:trPr>
        <w:tc>
          <w:tcPr>
            <w:tcW w:w="1186" w:type="dxa"/>
            <w:tcBorders>
              <w:bottom w:val="nil"/>
            </w:tcBorders>
          </w:tcPr>
          <w:p>
            <w:pPr>
              <w:pStyle w:val="TableParagraph"/>
              <w:spacing w:line="254" w:lineRule="exact"/>
              <w:ind w:left="375" w:right="361"/>
              <w:jc w:val="center"/>
              <w:rPr>
                <w:sz w:val="20"/>
              </w:rPr>
            </w:pPr>
            <w:r>
              <w:rPr>
                <w:sz w:val="20"/>
              </w:rPr>
              <w:t>30</w:t>
            </w:r>
          </w:p>
        </w:tc>
        <w:tc>
          <w:tcPr>
            <w:tcW w:w="1189" w:type="dxa"/>
            <w:tcBorders>
              <w:bottom w:val="nil"/>
            </w:tcBorders>
          </w:tcPr>
          <w:p>
            <w:pPr>
              <w:pStyle w:val="TableParagraph"/>
              <w:spacing w:line="254" w:lineRule="exact"/>
              <w:ind w:left="0" w:right="334"/>
              <w:jc w:val="right"/>
              <w:rPr>
                <w:sz w:val="20"/>
              </w:rPr>
            </w:pPr>
            <w:r>
              <w:rPr>
                <w:sz w:val="20"/>
              </w:rPr>
              <w:t>0.148</w:t>
            </w:r>
          </w:p>
        </w:tc>
        <w:tc>
          <w:tcPr>
            <w:tcW w:w="1188" w:type="dxa"/>
            <w:tcBorders>
              <w:bottom w:val="nil"/>
            </w:tcBorders>
          </w:tcPr>
          <w:p>
            <w:pPr>
              <w:pStyle w:val="TableParagraph"/>
              <w:spacing w:line="254" w:lineRule="exact"/>
              <w:ind w:right="316"/>
              <w:jc w:val="center"/>
              <w:rPr>
                <w:sz w:val="20"/>
              </w:rPr>
            </w:pPr>
            <w:r>
              <w:rPr>
                <w:sz w:val="20"/>
              </w:rPr>
              <w:t>0.183</w:t>
            </w:r>
          </w:p>
        </w:tc>
        <w:tc>
          <w:tcPr>
            <w:tcW w:w="1188" w:type="dxa"/>
            <w:tcBorders>
              <w:bottom w:val="nil"/>
            </w:tcBorders>
          </w:tcPr>
          <w:p>
            <w:pPr>
              <w:pStyle w:val="TableParagraph"/>
              <w:spacing w:line="254" w:lineRule="exact"/>
              <w:ind w:right="312"/>
              <w:jc w:val="center"/>
              <w:rPr>
                <w:sz w:val="20"/>
              </w:rPr>
            </w:pPr>
            <w:r>
              <w:rPr>
                <w:sz w:val="20"/>
              </w:rPr>
              <w:t>68</w:t>
            </w:r>
          </w:p>
        </w:tc>
        <w:tc>
          <w:tcPr>
            <w:tcW w:w="1185" w:type="dxa"/>
            <w:tcBorders>
              <w:bottom w:val="nil"/>
            </w:tcBorders>
          </w:tcPr>
          <w:p>
            <w:pPr>
              <w:pStyle w:val="TableParagraph"/>
              <w:spacing w:line="254" w:lineRule="exact"/>
              <w:ind w:right="313"/>
              <w:jc w:val="center"/>
              <w:rPr>
                <w:sz w:val="20"/>
              </w:rPr>
            </w:pPr>
            <w:r>
              <w:rPr>
                <w:sz w:val="20"/>
              </w:rPr>
              <w:t>3.260</w:t>
            </w:r>
          </w:p>
        </w:tc>
        <w:tc>
          <w:tcPr>
            <w:tcW w:w="1188" w:type="dxa"/>
            <w:tcBorders>
              <w:bottom w:val="nil"/>
            </w:tcBorders>
          </w:tcPr>
          <w:p>
            <w:pPr>
              <w:pStyle w:val="TableParagraph"/>
              <w:spacing w:line="254" w:lineRule="exact"/>
              <w:ind w:left="0" w:right="330"/>
              <w:jc w:val="right"/>
              <w:rPr>
                <w:sz w:val="20"/>
              </w:rPr>
            </w:pPr>
            <w:r>
              <w:rPr>
                <w:sz w:val="20"/>
              </w:rPr>
              <w:t>2.735</w:t>
            </w:r>
          </w:p>
        </w:tc>
      </w:tr>
      <w:tr>
        <w:trPr>
          <w:trHeight w:val="321" w:hRule="atLeast"/>
        </w:trPr>
        <w:tc>
          <w:tcPr>
            <w:tcW w:w="1186" w:type="dxa"/>
            <w:tcBorders>
              <w:top w:val="nil"/>
              <w:bottom w:val="nil"/>
            </w:tcBorders>
          </w:tcPr>
          <w:p>
            <w:pPr>
              <w:pStyle w:val="TableParagraph"/>
              <w:spacing w:line="261" w:lineRule="exact"/>
              <w:ind w:left="375" w:right="361"/>
              <w:jc w:val="center"/>
              <w:rPr>
                <w:sz w:val="20"/>
              </w:rPr>
            </w:pPr>
            <w:r>
              <w:rPr>
                <w:sz w:val="20"/>
              </w:rPr>
              <w:t>31</w:t>
            </w:r>
          </w:p>
        </w:tc>
        <w:tc>
          <w:tcPr>
            <w:tcW w:w="1189" w:type="dxa"/>
            <w:tcBorders>
              <w:top w:val="nil"/>
              <w:bottom w:val="nil"/>
            </w:tcBorders>
          </w:tcPr>
          <w:p>
            <w:pPr>
              <w:pStyle w:val="TableParagraph"/>
              <w:spacing w:line="261" w:lineRule="exact"/>
              <w:ind w:left="0" w:right="334"/>
              <w:jc w:val="right"/>
              <w:rPr>
                <w:sz w:val="20"/>
              </w:rPr>
            </w:pPr>
            <w:r>
              <w:rPr>
                <w:sz w:val="20"/>
              </w:rPr>
              <w:t>0.159</w:t>
            </w:r>
          </w:p>
        </w:tc>
        <w:tc>
          <w:tcPr>
            <w:tcW w:w="1188" w:type="dxa"/>
            <w:tcBorders>
              <w:top w:val="nil"/>
              <w:bottom w:val="nil"/>
            </w:tcBorders>
          </w:tcPr>
          <w:p>
            <w:pPr>
              <w:pStyle w:val="TableParagraph"/>
              <w:spacing w:line="261" w:lineRule="exact"/>
              <w:ind w:right="316"/>
              <w:jc w:val="center"/>
              <w:rPr>
                <w:sz w:val="20"/>
              </w:rPr>
            </w:pPr>
            <w:r>
              <w:rPr>
                <w:sz w:val="20"/>
              </w:rPr>
              <w:t>0.197</w:t>
            </w:r>
          </w:p>
        </w:tc>
        <w:tc>
          <w:tcPr>
            <w:tcW w:w="1188" w:type="dxa"/>
            <w:tcBorders>
              <w:top w:val="nil"/>
              <w:bottom w:val="nil"/>
            </w:tcBorders>
          </w:tcPr>
          <w:p>
            <w:pPr>
              <w:pStyle w:val="TableParagraph"/>
              <w:spacing w:line="261" w:lineRule="exact"/>
              <w:ind w:right="312"/>
              <w:jc w:val="center"/>
              <w:rPr>
                <w:sz w:val="20"/>
              </w:rPr>
            </w:pPr>
            <w:r>
              <w:rPr>
                <w:sz w:val="20"/>
              </w:rPr>
              <w:t>69</w:t>
            </w:r>
          </w:p>
        </w:tc>
        <w:tc>
          <w:tcPr>
            <w:tcW w:w="1185" w:type="dxa"/>
            <w:tcBorders>
              <w:top w:val="nil"/>
              <w:bottom w:val="nil"/>
            </w:tcBorders>
          </w:tcPr>
          <w:p>
            <w:pPr>
              <w:pStyle w:val="TableParagraph"/>
              <w:spacing w:line="261" w:lineRule="exact"/>
              <w:ind w:right="313"/>
              <w:jc w:val="center"/>
              <w:rPr>
                <w:sz w:val="20"/>
              </w:rPr>
            </w:pPr>
            <w:r>
              <w:rPr>
                <w:sz w:val="20"/>
              </w:rPr>
              <w:t>3.464</w:t>
            </w:r>
          </w:p>
        </w:tc>
        <w:tc>
          <w:tcPr>
            <w:tcW w:w="1188" w:type="dxa"/>
            <w:tcBorders>
              <w:top w:val="nil"/>
              <w:bottom w:val="nil"/>
            </w:tcBorders>
          </w:tcPr>
          <w:p>
            <w:pPr>
              <w:pStyle w:val="TableParagraph"/>
              <w:spacing w:line="261" w:lineRule="exact"/>
              <w:ind w:left="0" w:right="330"/>
              <w:jc w:val="right"/>
              <w:rPr>
                <w:sz w:val="20"/>
              </w:rPr>
            </w:pPr>
            <w:r>
              <w:rPr>
                <w:sz w:val="20"/>
              </w:rPr>
              <w:t>2.894</w:t>
            </w:r>
          </w:p>
        </w:tc>
      </w:tr>
      <w:tr>
        <w:trPr>
          <w:trHeight w:val="316" w:hRule="atLeast"/>
        </w:trPr>
        <w:tc>
          <w:tcPr>
            <w:tcW w:w="1186" w:type="dxa"/>
            <w:tcBorders>
              <w:top w:val="nil"/>
              <w:bottom w:val="nil"/>
            </w:tcBorders>
          </w:tcPr>
          <w:p>
            <w:pPr>
              <w:pStyle w:val="TableParagraph"/>
              <w:spacing w:line="261" w:lineRule="exact"/>
              <w:ind w:left="375" w:right="361"/>
              <w:jc w:val="center"/>
              <w:rPr>
                <w:sz w:val="20"/>
              </w:rPr>
            </w:pPr>
            <w:r>
              <w:rPr>
                <w:sz w:val="20"/>
              </w:rPr>
              <w:t>32</w:t>
            </w:r>
          </w:p>
        </w:tc>
        <w:tc>
          <w:tcPr>
            <w:tcW w:w="1189" w:type="dxa"/>
            <w:tcBorders>
              <w:top w:val="nil"/>
              <w:bottom w:val="nil"/>
            </w:tcBorders>
          </w:tcPr>
          <w:p>
            <w:pPr>
              <w:pStyle w:val="TableParagraph"/>
              <w:spacing w:line="261" w:lineRule="exact"/>
              <w:ind w:left="0" w:right="334"/>
              <w:jc w:val="right"/>
              <w:rPr>
                <w:sz w:val="20"/>
              </w:rPr>
            </w:pPr>
            <w:r>
              <w:rPr>
                <w:sz w:val="20"/>
              </w:rPr>
              <w:t>0.171</w:t>
            </w:r>
          </w:p>
        </w:tc>
        <w:tc>
          <w:tcPr>
            <w:tcW w:w="1188" w:type="dxa"/>
            <w:tcBorders>
              <w:top w:val="nil"/>
              <w:bottom w:val="nil"/>
            </w:tcBorders>
          </w:tcPr>
          <w:p>
            <w:pPr>
              <w:pStyle w:val="TableParagraph"/>
              <w:spacing w:line="261" w:lineRule="exact"/>
              <w:ind w:right="316"/>
              <w:jc w:val="center"/>
              <w:rPr>
                <w:sz w:val="20"/>
              </w:rPr>
            </w:pPr>
            <w:r>
              <w:rPr>
                <w:sz w:val="20"/>
              </w:rPr>
              <w:t>0.211</w:t>
            </w:r>
          </w:p>
        </w:tc>
        <w:tc>
          <w:tcPr>
            <w:tcW w:w="1188" w:type="dxa"/>
            <w:tcBorders>
              <w:top w:val="nil"/>
              <w:bottom w:val="nil"/>
            </w:tcBorders>
          </w:tcPr>
          <w:p>
            <w:pPr>
              <w:pStyle w:val="TableParagraph"/>
              <w:spacing w:line="261" w:lineRule="exact"/>
              <w:ind w:right="312"/>
              <w:jc w:val="center"/>
              <w:rPr>
                <w:sz w:val="20"/>
              </w:rPr>
            </w:pPr>
            <w:r>
              <w:rPr>
                <w:sz w:val="20"/>
              </w:rPr>
              <w:t>70</w:t>
            </w:r>
          </w:p>
        </w:tc>
        <w:tc>
          <w:tcPr>
            <w:tcW w:w="1185" w:type="dxa"/>
            <w:tcBorders>
              <w:top w:val="nil"/>
              <w:bottom w:val="nil"/>
            </w:tcBorders>
          </w:tcPr>
          <w:p>
            <w:pPr>
              <w:pStyle w:val="TableParagraph"/>
              <w:spacing w:line="261" w:lineRule="exact"/>
              <w:ind w:right="313"/>
              <w:jc w:val="center"/>
              <w:rPr>
                <w:sz w:val="20"/>
              </w:rPr>
            </w:pPr>
            <w:r>
              <w:rPr>
                <w:sz w:val="20"/>
              </w:rPr>
              <w:t>3.676</w:t>
            </w:r>
          </w:p>
        </w:tc>
        <w:tc>
          <w:tcPr>
            <w:tcW w:w="1188" w:type="dxa"/>
            <w:tcBorders>
              <w:top w:val="nil"/>
              <w:bottom w:val="nil"/>
            </w:tcBorders>
          </w:tcPr>
          <w:p>
            <w:pPr>
              <w:pStyle w:val="TableParagraph"/>
              <w:spacing w:line="261" w:lineRule="exact"/>
              <w:ind w:left="0" w:right="330"/>
              <w:jc w:val="right"/>
              <w:rPr>
                <w:sz w:val="20"/>
              </w:rPr>
            </w:pPr>
            <w:r>
              <w:rPr>
                <w:sz w:val="20"/>
              </w:rPr>
              <w:t>3.060</w:t>
            </w:r>
          </w:p>
        </w:tc>
      </w:tr>
      <w:tr>
        <w:trPr>
          <w:trHeight w:val="316" w:hRule="atLeast"/>
        </w:trPr>
        <w:tc>
          <w:tcPr>
            <w:tcW w:w="1186" w:type="dxa"/>
            <w:tcBorders>
              <w:top w:val="nil"/>
              <w:bottom w:val="nil"/>
            </w:tcBorders>
          </w:tcPr>
          <w:p>
            <w:pPr>
              <w:pStyle w:val="TableParagraph"/>
              <w:spacing w:line="256" w:lineRule="exact"/>
              <w:ind w:left="375" w:right="361"/>
              <w:jc w:val="center"/>
              <w:rPr>
                <w:sz w:val="20"/>
              </w:rPr>
            </w:pPr>
            <w:r>
              <w:rPr>
                <w:sz w:val="20"/>
              </w:rPr>
              <w:t>33</w:t>
            </w:r>
          </w:p>
        </w:tc>
        <w:tc>
          <w:tcPr>
            <w:tcW w:w="1189" w:type="dxa"/>
            <w:tcBorders>
              <w:top w:val="nil"/>
              <w:bottom w:val="nil"/>
            </w:tcBorders>
          </w:tcPr>
          <w:p>
            <w:pPr>
              <w:pStyle w:val="TableParagraph"/>
              <w:spacing w:line="256" w:lineRule="exact"/>
              <w:ind w:left="0" w:right="334"/>
              <w:jc w:val="right"/>
              <w:rPr>
                <w:sz w:val="20"/>
              </w:rPr>
            </w:pPr>
            <w:r>
              <w:rPr>
                <w:sz w:val="20"/>
              </w:rPr>
              <w:t>0.184</w:t>
            </w:r>
          </w:p>
        </w:tc>
        <w:tc>
          <w:tcPr>
            <w:tcW w:w="1188" w:type="dxa"/>
            <w:tcBorders>
              <w:top w:val="nil"/>
              <w:bottom w:val="nil"/>
            </w:tcBorders>
          </w:tcPr>
          <w:p>
            <w:pPr>
              <w:pStyle w:val="TableParagraph"/>
              <w:spacing w:line="256" w:lineRule="exact"/>
              <w:ind w:right="316"/>
              <w:jc w:val="center"/>
              <w:rPr>
                <w:sz w:val="20"/>
              </w:rPr>
            </w:pPr>
            <w:r>
              <w:rPr>
                <w:sz w:val="20"/>
              </w:rPr>
              <w:t>0.226</w:t>
            </w:r>
          </w:p>
        </w:tc>
        <w:tc>
          <w:tcPr>
            <w:tcW w:w="1188" w:type="dxa"/>
            <w:tcBorders>
              <w:top w:val="nil"/>
              <w:bottom w:val="nil"/>
            </w:tcBorders>
          </w:tcPr>
          <w:p>
            <w:pPr>
              <w:pStyle w:val="TableParagraph"/>
              <w:spacing w:line="256" w:lineRule="exact"/>
              <w:ind w:right="312"/>
              <w:jc w:val="center"/>
              <w:rPr>
                <w:sz w:val="20"/>
              </w:rPr>
            </w:pPr>
            <w:r>
              <w:rPr>
                <w:sz w:val="20"/>
              </w:rPr>
              <w:t>71</w:t>
            </w:r>
          </w:p>
        </w:tc>
        <w:tc>
          <w:tcPr>
            <w:tcW w:w="1185" w:type="dxa"/>
            <w:tcBorders>
              <w:top w:val="nil"/>
              <w:bottom w:val="nil"/>
            </w:tcBorders>
          </w:tcPr>
          <w:p>
            <w:pPr>
              <w:pStyle w:val="TableParagraph"/>
              <w:spacing w:line="256" w:lineRule="exact"/>
              <w:ind w:right="313"/>
              <w:jc w:val="center"/>
              <w:rPr>
                <w:sz w:val="20"/>
              </w:rPr>
            </w:pPr>
            <w:r>
              <w:rPr>
                <w:sz w:val="20"/>
              </w:rPr>
              <w:t>3.900</w:t>
            </w:r>
          </w:p>
        </w:tc>
        <w:tc>
          <w:tcPr>
            <w:tcW w:w="1188" w:type="dxa"/>
            <w:tcBorders>
              <w:top w:val="nil"/>
              <w:bottom w:val="nil"/>
            </w:tcBorders>
          </w:tcPr>
          <w:p>
            <w:pPr>
              <w:pStyle w:val="TableParagraph"/>
              <w:spacing w:line="256" w:lineRule="exact"/>
              <w:ind w:left="0" w:right="330"/>
              <w:jc w:val="right"/>
              <w:rPr>
                <w:sz w:val="20"/>
              </w:rPr>
            </w:pPr>
            <w:r>
              <w:rPr>
                <w:sz w:val="20"/>
              </w:rPr>
              <w:t>3.232</w:t>
            </w:r>
          </w:p>
        </w:tc>
      </w:tr>
      <w:tr>
        <w:trPr>
          <w:trHeight w:val="325" w:hRule="atLeast"/>
        </w:trPr>
        <w:tc>
          <w:tcPr>
            <w:tcW w:w="1186" w:type="dxa"/>
            <w:tcBorders>
              <w:top w:val="nil"/>
            </w:tcBorders>
          </w:tcPr>
          <w:p>
            <w:pPr>
              <w:pStyle w:val="TableParagraph"/>
              <w:spacing w:line="261" w:lineRule="exact"/>
              <w:ind w:left="375" w:right="361"/>
              <w:jc w:val="center"/>
              <w:rPr>
                <w:sz w:val="20"/>
              </w:rPr>
            </w:pPr>
            <w:r>
              <w:rPr>
                <w:sz w:val="20"/>
              </w:rPr>
              <w:t>34</w:t>
            </w:r>
          </w:p>
        </w:tc>
        <w:tc>
          <w:tcPr>
            <w:tcW w:w="1189" w:type="dxa"/>
            <w:tcBorders>
              <w:top w:val="nil"/>
            </w:tcBorders>
          </w:tcPr>
          <w:p>
            <w:pPr>
              <w:pStyle w:val="TableParagraph"/>
              <w:spacing w:line="261" w:lineRule="exact"/>
              <w:ind w:left="0" w:right="334"/>
              <w:jc w:val="right"/>
              <w:rPr>
                <w:sz w:val="20"/>
              </w:rPr>
            </w:pPr>
            <w:r>
              <w:rPr>
                <w:sz w:val="20"/>
              </w:rPr>
              <w:t>0.199</w:t>
            </w:r>
          </w:p>
        </w:tc>
        <w:tc>
          <w:tcPr>
            <w:tcW w:w="1188" w:type="dxa"/>
            <w:tcBorders>
              <w:top w:val="nil"/>
            </w:tcBorders>
          </w:tcPr>
          <w:p>
            <w:pPr>
              <w:pStyle w:val="TableParagraph"/>
              <w:spacing w:line="261" w:lineRule="exact"/>
              <w:ind w:right="316"/>
              <w:jc w:val="center"/>
              <w:rPr>
                <w:sz w:val="20"/>
              </w:rPr>
            </w:pPr>
            <w:r>
              <w:rPr>
                <w:sz w:val="20"/>
              </w:rPr>
              <w:t>0.243</w:t>
            </w:r>
          </w:p>
        </w:tc>
        <w:tc>
          <w:tcPr>
            <w:tcW w:w="1188" w:type="dxa"/>
            <w:tcBorders>
              <w:top w:val="nil"/>
            </w:tcBorders>
          </w:tcPr>
          <w:p>
            <w:pPr>
              <w:pStyle w:val="TableParagraph"/>
              <w:spacing w:line="261" w:lineRule="exact"/>
              <w:ind w:right="312"/>
              <w:jc w:val="center"/>
              <w:rPr>
                <w:sz w:val="20"/>
              </w:rPr>
            </w:pPr>
            <w:r>
              <w:rPr>
                <w:sz w:val="20"/>
              </w:rPr>
              <w:t>72</w:t>
            </w:r>
          </w:p>
        </w:tc>
        <w:tc>
          <w:tcPr>
            <w:tcW w:w="1185" w:type="dxa"/>
            <w:tcBorders>
              <w:top w:val="nil"/>
            </w:tcBorders>
          </w:tcPr>
          <w:p>
            <w:pPr>
              <w:pStyle w:val="TableParagraph"/>
              <w:spacing w:line="261" w:lineRule="exact"/>
              <w:ind w:right="313"/>
              <w:jc w:val="center"/>
              <w:rPr>
                <w:sz w:val="20"/>
              </w:rPr>
            </w:pPr>
            <w:r>
              <w:rPr>
                <w:sz w:val="20"/>
              </w:rPr>
              <w:t>4.136</w:t>
            </w:r>
          </w:p>
        </w:tc>
        <w:tc>
          <w:tcPr>
            <w:tcW w:w="1188" w:type="dxa"/>
            <w:tcBorders>
              <w:top w:val="nil"/>
            </w:tcBorders>
          </w:tcPr>
          <w:p>
            <w:pPr>
              <w:pStyle w:val="TableParagraph"/>
              <w:spacing w:line="261" w:lineRule="exact"/>
              <w:ind w:left="0" w:right="330"/>
              <w:jc w:val="right"/>
              <w:rPr>
                <w:sz w:val="20"/>
              </w:rPr>
            </w:pPr>
            <w:r>
              <w:rPr>
                <w:sz w:val="20"/>
              </w:rPr>
              <w:t>3.410</w:t>
            </w:r>
          </w:p>
        </w:tc>
      </w:tr>
      <w:tr>
        <w:trPr>
          <w:trHeight w:val="316" w:hRule="atLeast"/>
        </w:trPr>
        <w:tc>
          <w:tcPr>
            <w:tcW w:w="1186" w:type="dxa"/>
            <w:tcBorders>
              <w:bottom w:val="nil"/>
            </w:tcBorders>
          </w:tcPr>
          <w:p>
            <w:pPr>
              <w:pStyle w:val="TableParagraph"/>
              <w:spacing w:line="257" w:lineRule="exact"/>
              <w:ind w:left="375" w:right="361"/>
              <w:jc w:val="center"/>
              <w:rPr>
                <w:sz w:val="20"/>
              </w:rPr>
            </w:pPr>
            <w:r>
              <w:rPr>
                <w:sz w:val="20"/>
              </w:rPr>
              <w:t>35</w:t>
            </w:r>
          </w:p>
        </w:tc>
        <w:tc>
          <w:tcPr>
            <w:tcW w:w="1189" w:type="dxa"/>
            <w:tcBorders>
              <w:bottom w:val="nil"/>
            </w:tcBorders>
          </w:tcPr>
          <w:p>
            <w:pPr>
              <w:pStyle w:val="TableParagraph"/>
              <w:spacing w:line="257" w:lineRule="exact"/>
              <w:ind w:left="0" w:right="334"/>
              <w:jc w:val="right"/>
              <w:rPr>
                <w:sz w:val="20"/>
              </w:rPr>
            </w:pPr>
            <w:r>
              <w:rPr>
                <w:sz w:val="20"/>
              </w:rPr>
              <w:t>0.196</w:t>
            </w:r>
          </w:p>
        </w:tc>
        <w:tc>
          <w:tcPr>
            <w:tcW w:w="1188" w:type="dxa"/>
            <w:tcBorders>
              <w:bottom w:val="nil"/>
            </w:tcBorders>
          </w:tcPr>
          <w:p>
            <w:pPr>
              <w:pStyle w:val="TableParagraph"/>
              <w:spacing w:line="257" w:lineRule="exact"/>
              <w:ind w:right="316"/>
              <w:jc w:val="center"/>
              <w:rPr>
                <w:sz w:val="20"/>
              </w:rPr>
            </w:pPr>
            <w:r>
              <w:rPr>
                <w:sz w:val="20"/>
              </w:rPr>
              <w:t>0.238</w:t>
            </w:r>
          </w:p>
        </w:tc>
        <w:tc>
          <w:tcPr>
            <w:tcW w:w="1188" w:type="dxa"/>
            <w:tcBorders>
              <w:bottom w:val="nil"/>
            </w:tcBorders>
          </w:tcPr>
          <w:p>
            <w:pPr>
              <w:pStyle w:val="TableParagraph"/>
              <w:spacing w:line="257" w:lineRule="exact"/>
              <w:ind w:right="312"/>
              <w:jc w:val="center"/>
              <w:rPr>
                <w:sz w:val="20"/>
              </w:rPr>
            </w:pPr>
            <w:r>
              <w:rPr>
                <w:sz w:val="20"/>
              </w:rPr>
              <w:t>73</w:t>
            </w:r>
          </w:p>
        </w:tc>
        <w:tc>
          <w:tcPr>
            <w:tcW w:w="1185" w:type="dxa"/>
            <w:tcBorders>
              <w:bottom w:val="nil"/>
            </w:tcBorders>
          </w:tcPr>
          <w:p>
            <w:pPr>
              <w:pStyle w:val="TableParagraph"/>
              <w:spacing w:line="257" w:lineRule="exact"/>
              <w:ind w:right="313"/>
              <w:jc w:val="center"/>
              <w:rPr>
                <w:sz w:val="20"/>
              </w:rPr>
            </w:pPr>
            <w:r>
              <w:rPr>
                <w:sz w:val="20"/>
              </w:rPr>
              <w:t>4.384</w:t>
            </w:r>
          </w:p>
        </w:tc>
        <w:tc>
          <w:tcPr>
            <w:tcW w:w="1188" w:type="dxa"/>
            <w:tcBorders>
              <w:bottom w:val="nil"/>
            </w:tcBorders>
          </w:tcPr>
          <w:p>
            <w:pPr>
              <w:pStyle w:val="TableParagraph"/>
              <w:spacing w:line="257" w:lineRule="exact"/>
              <w:ind w:left="0" w:right="330"/>
              <w:jc w:val="right"/>
              <w:rPr>
                <w:sz w:val="20"/>
              </w:rPr>
            </w:pPr>
            <w:r>
              <w:rPr>
                <w:sz w:val="20"/>
              </w:rPr>
              <w:t>3.595</w:t>
            </w:r>
          </w:p>
        </w:tc>
      </w:tr>
      <w:tr>
        <w:trPr>
          <w:trHeight w:val="320" w:hRule="atLeast"/>
        </w:trPr>
        <w:tc>
          <w:tcPr>
            <w:tcW w:w="1186" w:type="dxa"/>
            <w:tcBorders>
              <w:top w:val="nil"/>
              <w:bottom w:val="nil"/>
            </w:tcBorders>
          </w:tcPr>
          <w:p>
            <w:pPr>
              <w:pStyle w:val="TableParagraph"/>
              <w:spacing w:line="259" w:lineRule="exact"/>
              <w:ind w:left="375" w:right="361"/>
              <w:jc w:val="center"/>
              <w:rPr>
                <w:sz w:val="20"/>
              </w:rPr>
            </w:pPr>
            <w:r>
              <w:rPr>
                <w:sz w:val="20"/>
              </w:rPr>
              <w:t>36</w:t>
            </w:r>
          </w:p>
        </w:tc>
        <w:tc>
          <w:tcPr>
            <w:tcW w:w="1189" w:type="dxa"/>
            <w:tcBorders>
              <w:top w:val="nil"/>
              <w:bottom w:val="nil"/>
            </w:tcBorders>
          </w:tcPr>
          <w:p>
            <w:pPr>
              <w:pStyle w:val="TableParagraph"/>
              <w:spacing w:line="259" w:lineRule="exact"/>
              <w:ind w:left="0" w:right="334"/>
              <w:jc w:val="right"/>
              <w:rPr>
                <w:sz w:val="20"/>
              </w:rPr>
            </w:pPr>
            <w:r>
              <w:rPr>
                <w:sz w:val="20"/>
              </w:rPr>
              <w:t>0.215</w:t>
            </w:r>
          </w:p>
        </w:tc>
        <w:tc>
          <w:tcPr>
            <w:tcW w:w="1188" w:type="dxa"/>
            <w:tcBorders>
              <w:top w:val="nil"/>
              <w:bottom w:val="nil"/>
            </w:tcBorders>
          </w:tcPr>
          <w:p>
            <w:pPr>
              <w:pStyle w:val="TableParagraph"/>
              <w:spacing w:line="259" w:lineRule="exact"/>
              <w:ind w:right="316"/>
              <w:jc w:val="center"/>
              <w:rPr>
                <w:sz w:val="20"/>
              </w:rPr>
            </w:pPr>
            <w:r>
              <w:rPr>
                <w:sz w:val="20"/>
              </w:rPr>
              <w:t>0.257</w:t>
            </w:r>
          </w:p>
        </w:tc>
        <w:tc>
          <w:tcPr>
            <w:tcW w:w="1188" w:type="dxa"/>
            <w:tcBorders>
              <w:top w:val="nil"/>
              <w:bottom w:val="nil"/>
            </w:tcBorders>
          </w:tcPr>
          <w:p>
            <w:pPr>
              <w:pStyle w:val="TableParagraph"/>
              <w:spacing w:line="259" w:lineRule="exact"/>
              <w:ind w:right="312"/>
              <w:jc w:val="center"/>
              <w:rPr>
                <w:sz w:val="20"/>
              </w:rPr>
            </w:pPr>
            <w:r>
              <w:rPr>
                <w:sz w:val="20"/>
              </w:rPr>
              <w:t>74</w:t>
            </w:r>
          </w:p>
        </w:tc>
        <w:tc>
          <w:tcPr>
            <w:tcW w:w="1185" w:type="dxa"/>
            <w:tcBorders>
              <w:top w:val="nil"/>
              <w:bottom w:val="nil"/>
            </w:tcBorders>
          </w:tcPr>
          <w:p>
            <w:pPr>
              <w:pStyle w:val="TableParagraph"/>
              <w:spacing w:line="259" w:lineRule="exact"/>
              <w:ind w:right="313"/>
              <w:jc w:val="center"/>
              <w:rPr>
                <w:sz w:val="20"/>
              </w:rPr>
            </w:pPr>
            <w:r>
              <w:rPr>
                <w:sz w:val="20"/>
              </w:rPr>
              <w:t>4.645</w:t>
            </w:r>
          </w:p>
        </w:tc>
        <w:tc>
          <w:tcPr>
            <w:tcW w:w="1188" w:type="dxa"/>
            <w:tcBorders>
              <w:top w:val="nil"/>
              <w:bottom w:val="nil"/>
            </w:tcBorders>
          </w:tcPr>
          <w:p>
            <w:pPr>
              <w:pStyle w:val="TableParagraph"/>
              <w:spacing w:line="259" w:lineRule="exact"/>
              <w:ind w:left="0" w:right="330"/>
              <w:jc w:val="right"/>
              <w:rPr>
                <w:sz w:val="20"/>
              </w:rPr>
            </w:pPr>
            <w:r>
              <w:rPr>
                <w:sz w:val="20"/>
              </w:rPr>
              <w:t>3.786</w:t>
            </w:r>
          </w:p>
        </w:tc>
      </w:tr>
      <w:tr>
        <w:trPr>
          <w:trHeight w:val="328" w:hRule="atLeast"/>
        </w:trPr>
        <w:tc>
          <w:tcPr>
            <w:tcW w:w="1186" w:type="dxa"/>
            <w:tcBorders>
              <w:top w:val="nil"/>
            </w:tcBorders>
          </w:tcPr>
          <w:p>
            <w:pPr>
              <w:pStyle w:val="TableParagraph"/>
              <w:spacing w:line="261" w:lineRule="exact"/>
              <w:ind w:left="375" w:right="361"/>
              <w:jc w:val="center"/>
              <w:rPr>
                <w:sz w:val="20"/>
              </w:rPr>
            </w:pPr>
            <w:r>
              <w:rPr>
                <w:sz w:val="20"/>
              </w:rPr>
              <w:t>37</w:t>
            </w:r>
          </w:p>
        </w:tc>
        <w:tc>
          <w:tcPr>
            <w:tcW w:w="1189" w:type="dxa"/>
            <w:tcBorders>
              <w:top w:val="nil"/>
            </w:tcBorders>
          </w:tcPr>
          <w:p>
            <w:pPr>
              <w:pStyle w:val="TableParagraph"/>
              <w:spacing w:line="261" w:lineRule="exact"/>
              <w:ind w:left="0" w:right="334"/>
              <w:jc w:val="right"/>
              <w:rPr>
                <w:sz w:val="20"/>
              </w:rPr>
            </w:pPr>
            <w:r>
              <w:rPr>
                <w:sz w:val="20"/>
              </w:rPr>
              <w:t>0.236</w:t>
            </w:r>
          </w:p>
        </w:tc>
        <w:tc>
          <w:tcPr>
            <w:tcW w:w="1188" w:type="dxa"/>
            <w:tcBorders>
              <w:top w:val="nil"/>
            </w:tcBorders>
          </w:tcPr>
          <w:p>
            <w:pPr>
              <w:pStyle w:val="TableParagraph"/>
              <w:spacing w:line="261" w:lineRule="exact"/>
              <w:ind w:right="316"/>
              <w:jc w:val="center"/>
              <w:rPr>
                <w:sz w:val="20"/>
              </w:rPr>
            </w:pPr>
            <w:r>
              <w:rPr>
                <w:sz w:val="20"/>
              </w:rPr>
              <w:t>0.280</w:t>
            </w:r>
          </w:p>
        </w:tc>
        <w:tc>
          <w:tcPr>
            <w:tcW w:w="1188" w:type="dxa"/>
            <w:tcBorders>
              <w:top w:val="nil"/>
            </w:tcBorders>
          </w:tcPr>
          <w:p>
            <w:pPr>
              <w:pStyle w:val="TableParagraph"/>
              <w:spacing w:line="261" w:lineRule="exact"/>
              <w:ind w:right="312"/>
              <w:jc w:val="center"/>
              <w:rPr>
                <w:sz w:val="20"/>
              </w:rPr>
            </w:pPr>
            <w:r>
              <w:rPr>
                <w:sz w:val="20"/>
              </w:rPr>
              <w:t>75</w:t>
            </w:r>
          </w:p>
        </w:tc>
        <w:tc>
          <w:tcPr>
            <w:tcW w:w="1185" w:type="dxa"/>
            <w:tcBorders>
              <w:top w:val="nil"/>
            </w:tcBorders>
          </w:tcPr>
          <w:p>
            <w:pPr>
              <w:pStyle w:val="TableParagraph"/>
              <w:spacing w:line="261" w:lineRule="exact"/>
              <w:ind w:right="313"/>
              <w:jc w:val="center"/>
              <w:rPr>
                <w:sz w:val="20"/>
              </w:rPr>
            </w:pPr>
            <w:r>
              <w:rPr>
                <w:sz w:val="20"/>
              </w:rPr>
              <w:t>4.917</w:t>
            </w:r>
          </w:p>
        </w:tc>
        <w:tc>
          <w:tcPr>
            <w:tcW w:w="1188" w:type="dxa"/>
            <w:tcBorders>
              <w:top w:val="nil"/>
            </w:tcBorders>
          </w:tcPr>
          <w:p>
            <w:pPr>
              <w:pStyle w:val="TableParagraph"/>
              <w:spacing w:line="261" w:lineRule="exact"/>
              <w:ind w:left="0" w:right="330"/>
              <w:jc w:val="right"/>
              <w:rPr>
                <w:sz w:val="20"/>
              </w:rPr>
            </w:pPr>
            <w:r>
              <w:rPr>
                <w:sz w:val="20"/>
              </w:rPr>
              <w:t>3.986</w:t>
            </w:r>
          </w:p>
        </w:tc>
      </w:tr>
    </w:tbl>
    <w:sectPr>
      <w:pgSz w:w="11910" w:h="16840"/>
      <w:pgMar w:header="0" w:footer="925" w:top="1240" w:bottom="1120" w:left="12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58.369995pt;margin-top:780.675964pt;width:78.7pt;height:12pt;mso-position-horizontal-relative:page;mso-position-vertical-relative:page;z-index:-36616"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10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
      <w:numFmt w:val="decimal"/>
      <w:lvlText w:val="%1)"/>
      <w:lvlJc w:val="left"/>
      <w:pPr>
        <w:ind w:left="528" w:hanging="420"/>
        <w:jc w:val="left"/>
      </w:pPr>
      <w:rPr>
        <w:rFonts w:hint="default" w:ascii="宋体" w:hAnsi="宋体" w:eastAsia="宋体" w:cs="宋体"/>
        <w:w w:val="100"/>
        <w:sz w:val="21"/>
        <w:szCs w:val="21"/>
      </w:rPr>
    </w:lvl>
    <w:lvl w:ilvl="1">
      <w:start w:val="0"/>
      <w:numFmt w:val="bullet"/>
      <w:lvlText w:val="•"/>
      <w:lvlJc w:val="left"/>
      <w:pPr>
        <w:ind w:left="1360" w:hanging="420"/>
      </w:pPr>
      <w:rPr>
        <w:rFonts w:hint="default"/>
      </w:rPr>
    </w:lvl>
    <w:lvl w:ilvl="2">
      <w:start w:val="0"/>
      <w:numFmt w:val="bullet"/>
      <w:lvlText w:val="•"/>
      <w:lvlJc w:val="left"/>
      <w:pPr>
        <w:ind w:left="2201" w:hanging="420"/>
      </w:pPr>
      <w:rPr>
        <w:rFonts w:hint="default"/>
      </w:rPr>
    </w:lvl>
    <w:lvl w:ilvl="3">
      <w:start w:val="0"/>
      <w:numFmt w:val="bullet"/>
      <w:lvlText w:val="•"/>
      <w:lvlJc w:val="left"/>
      <w:pPr>
        <w:ind w:left="3041" w:hanging="420"/>
      </w:pPr>
      <w:rPr>
        <w:rFonts w:hint="default"/>
      </w:rPr>
    </w:lvl>
    <w:lvl w:ilvl="4">
      <w:start w:val="0"/>
      <w:numFmt w:val="bullet"/>
      <w:lvlText w:val="•"/>
      <w:lvlJc w:val="left"/>
      <w:pPr>
        <w:ind w:left="3882" w:hanging="420"/>
      </w:pPr>
      <w:rPr>
        <w:rFonts w:hint="default"/>
      </w:rPr>
    </w:lvl>
    <w:lvl w:ilvl="5">
      <w:start w:val="0"/>
      <w:numFmt w:val="bullet"/>
      <w:lvlText w:val="•"/>
      <w:lvlJc w:val="left"/>
      <w:pPr>
        <w:ind w:left="4722" w:hanging="420"/>
      </w:pPr>
      <w:rPr>
        <w:rFonts w:hint="default"/>
      </w:rPr>
    </w:lvl>
    <w:lvl w:ilvl="6">
      <w:start w:val="0"/>
      <w:numFmt w:val="bullet"/>
      <w:lvlText w:val="•"/>
      <w:lvlJc w:val="left"/>
      <w:pPr>
        <w:ind w:left="5563" w:hanging="420"/>
      </w:pPr>
      <w:rPr>
        <w:rFonts w:hint="default"/>
      </w:rPr>
    </w:lvl>
    <w:lvl w:ilvl="7">
      <w:start w:val="0"/>
      <w:numFmt w:val="bullet"/>
      <w:lvlText w:val="•"/>
      <w:lvlJc w:val="left"/>
      <w:pPr>
        <w:ind w:left="6403" w:hanging="420"/>
      </w:pPr>
      <w:rPr>
        <w:rFonts w:hint="default"/>
      </w:rPr>
    </w:lvl>
    <w:lvl w:ilvl="8">
      <w:start w:val="0"/>
      <w:numFmt w:val="bullet"/>
      <w:lvlText w:val="•"/>
      <w:lvlJc w:val="left"/>
      <w:pPr>
        <w:ind w:left="7244" w:hanging="420"/>
      </w:pPr>
      <w:rPr>
        <w:rFonts w:hint="default"/>
      </w:rPr>
    </w:lvl>
  </w:abstractNum>
  <w:abstractNum w:abstractNumId="22">
    <w:multiLevelType w:val="hybridMultilevel"/>
    <w:lvl w:ilvl="0">
      <w:start w:val="1"/>
      <w:numFmt w:val="decimal"/>
      <w:lvlText w:val="%1)"/>
      <w:lvlJc w:val="left"/>
      <w:pPr>
        <w:ind w:left="324" w:hanging="420"/>
        <w:jc w:val="left"/>
      </w:pPr>
      <w:rPr>
        <w:rFonts w:hint="default" w:ascii="宋体" w:hAnsi="宋体" w:eastAsia="宋体" w:cs="宋体"/>
        <w:w w:val="100"/>
        <w:sz w:val="21"/>
        <w:szCs w:val="21"/>
      </w:rPr>
    </w:lvl>
    <w:lvl w:ilvl="1">
      <w:start w:val="0"/>
      <w:numFmt w:val="bullet"/>
      <w:lvlText w:val="•"/>
      <w:lvlJc w:val="left"/>
      <w:pPr>
        <w:ind w:left="1196" w:hanging="420"/>
      </w:pPr>
      <w:rPr>
        <w:rFonts w:hint="default"/>
      </w:rPr>
    </w:lvl>
    <w:lvl w:ilvl="2">
      <w:start w:val="0"/>
      <w:numFmt w:val="bullet"/>
      <w:lvlText w:val="•"/>
      <w:lvlJc w:val="left"/>
      <w:pPr>
        <w:ind w:left="2073" w:hanging="420"/>
      </w:pPr>
      <w:rPr>
        <w:rFonts w:hint="default"/>
      </w:rPr>
    </w:lvl>
    <w:lvl w:ilvl="3">
      <w:start w:val="0"/>
      <w:numFmt w:val="bullet"/>
      <w:lvlText w:val="•"/>
      <w:lvlJc w:val="left"/>
      <w:pPr>
        <w:ind w:left="2949" w:hanging="420"/>
      </w:pPr>
      <w:rPr>
        <w:rFonts w:hint="default"/>
      </w:rPr>
    </w:lvl>
    <w:lvl w:ilvl="4">
      <w:start w:val="0"/>
      <w:numFmt w:val="bullet"/>
      <w:lvlText w:val="•"/>
      <w:lvlJc w:val="left"/>
      <w:pPr>
        <w:ind w:left="3826" w:hanging="420"/>
      </w:pPr>
      <w:rPr>
        <w:rFonts w:hint="default"/>
      </w:rPr>
    </w:lvl>
    <w:lvl w:ilvl="5">
      <w:start w:val="0"/>
      <w:numFmt w:val="bullet"/>
      <w:lvlText w:val="•"/>
      <w:lvlJc w:val="left"/>
      <w:pPr>
        <w:ind w:left="4703" w:hanging="420"/>
      </w:pPr>
      <w:rPr>
        <w:rFonts w:hint="default"/>
      </w:rPr>
    </w:lvl>
    <w:lvl w:ilvl="6">
      <w:start w:val="0"/>
      <w:numFmt w:val="bullet"/>
      <w:lvlText w:val="•"/>
      <w:lvlJc w:val="left"/>
      <w:pPr>
        <w:ind w:left="5579" w:hanging="420"/>
      </w:pPr>
      <w:rPr>
        <w:rFonts w:hint="default"/>
      </w:rPr>
    </w:lvl>
    <w:lvl w:ilvl="7">
      <w:start w:val="0"/>
      <w:numFmt w:val="bullet"/>
      <w:lvlText w:val="•"/>
      <w:lvlJc w:val="left"/>
      <w:pPr>
        <w:ind w:left="6456" w:hanging="420"/>
      </w:pPr>
      <w:rPr>
        <w:rFonts w:hint="default"/>
      </w:rPr>
    </w:lvl>
    <w:lvl w:ilvl="8">
      <w:start w:val="0"/>
      <w:numFmt w:val="bullet"/>
      <w:lvlText w:val="•"/>
      <w:lvlJc w:val="left"/>
      <w:pPr>
        <w:ind w:left="7333" w:hanging="420"/>
      </w:pPr>
      <w:rPr>
        <w:rFonts w:hint="default"/>
      </w:rPr>
    </w:lvl>
  </w:abstractNum>
  <w:abstractNum w:abstractNumId="21">
    <w:multiLevelType w:val="hybridMultilevel"/>
    <w:lvl w:ilvl="0">
      <w:start w:val="1"/>
      <w:numFmt w:val="decimal"/>
      <w:lvlText w:val="%1)"/>
      <w:lvlJc w:val="left"/>
      <w:pPr>
        <w:ind w:left="744" w:hanging="420"/>
        <w:jc w:val="left"/>
      </w:pPr>
      <w:rPr>
        <w:rFonts w:hint="default" w:ascii="宋体" w:hAnsi="宋体" w:eastAsia="宋体" w:cs="宋体"/>
        <w:w w:val="100"/>
        <w:sz w:val="21"/>
        <w:szCs w:val="21"/>
      </w:rPr>
    </w:lvl>
    <w:lvl w:ilvl="1">
      <w:start w:val="0"/>
      <w:numFmt w:val="bullet"/>
      <w:lvlText w:val="•"/>
      <w:lvlJc w:val="left"/>
      <w:pPr>
        <w:ind w:left="1574" w:hanging="420"/>
      </w:pPr>
      <w:rPr>
        <w:rFonts w:hint="default"/>
      </w:rPr>
    </w:lvl>
    <w:lvl w:ilvl="2">
      <w:start w:val="0"/>
      <w:numFmt w:val="bullet"/>
      <w:lvlText w:val="•"/>
      <w:lvlJc w:val="left"/>
      <w:pPr>
        <w:ind w:left="2409" w:hanging="420"/>
      </w:pPr>
      <w:rPr>
        <w:rFonts w:hint="default"/>
      </w:rPr>
    </w:lvl>
    <w:lvl w:ilvl="3">
      <w:start w:val="0"/>
      <w:numFmt w:val="bullet"/>
      <w:lvlText w:val="•"/>
      <w:lvlJc w:val="left"/>
      <w:pPr>
        <w:ind w:left="3243" w:hanging="420"/>
      </w:pPr>
      <w:rPr>
        <w:rFonts w:hint="default"/>
      </w:rPr>
    </w:lvl>
    <w:lvl w:ilvl="4">
      <w:start w:val="0"/>
      <w:numFmt w:val="bullet"/>
      <w:lvlText w:val="•"/>
      <w:lvlJc w:val="left"/>
      <w:pPr>
        <w:ind w:left="4078" w:hanging="420"/>
      </w:pPr>
      <w:rPr>
        <w:rFonts w:hint="default"/>
      </w:rPr>
    </w:lvl>
    <w:lvl w:ilvl="5">
      <w:start w:val="0"/>
      <w:numFmt w:val="bullet"/>
      <w:lvlText w:val="•"/>
      <w:lvlJc w:val="left"/>
      <w:pPr>
        <w:ind w:left="4913" w:hanging="420"/>
      </w:pPr>
      <w:rPr>
        <w:rFonts w:hint="default"/>
      </w:rPr>
    </w:lvl>
    <w:lvl w:ilvl="6">
      <w:start w:val="0"/>
      <w:numFmt w:val="bullet"/>
      <w:lvlText w:val="•"/>
      <w:lvlJc w:val="left"/>
      <w:pPr>
        <w:ind w:left="5747" w:hanging="420"/>
      </w:pPr>
      <w:rPr>
        <w:rFonts w:hint="default"/>
      </w:rPr>
    </w:lvl>
    <w:lvl w:ilvl="7">
      <w:start w:val="0"/>
      <w:numFmt w:val="bullet"/>
      <w:lvlText w:val="•"/>
      <w:lvlJc w:val="left"/>
      <w:pPr>
        <w:ind w:left="6582" w:hanging="420"/>
      </w:pPr>
      <w:rPr>
        <w:rFonts w:hint="default"/>
      </w:rPr>
    </w:lvl>
    <w:lvl w:ilvl="8">
      <w:start w:val="0"/>
      <w:numFmt w:val="bullet"/>
      <w:lvlText w:val="•"/>
      <w:lvlJc w:val="left"/>
      <w:pPr>
        <w:ind w:left="7417" w:hanging="420"/>
      </w:pPr>
      <w:rPr>
        <w:rFonts w:hint="default"/>
      </w:rPr>
    </w:lvl>
  </w:abstractNum>
  <w:abstractNum w:abstractNumId="20">
    <w:multiLevelType w:val="hybridMultilevel"/>
    <w:lvl w:ilvl="0">
      <w:start w:val="1"/>
      <w:numFmt w:val="decimal"/>
      <w:lvlText w:val="%1)"/>
      <w:lvlJc w:val="left"/>
      <w:pPr>
        <w:ind w:left="620" w:hanging="420"/>
        <w:jc w:val="left"/>
      </w:pPr>
      <w:rPr>
        <w:rFonts w:hint="default" w:ascii="宋体" w:hAnsi="宋体" w:eastAsia="宋体" w:cs="宋体"/>
        <w:w w:val="100"/>
        <w:sz w:val="21"/>
        <w:szCs w:val="21"/>
      </w:rPr>
    </w:lvl>
    <w:lvl w:ilvl="1">
      <w:start w:val="0"/>
      <w:numFmt w:val="bullet"/>
      <w:lvlText w:val="•"/>
      <w:lvlJc w:val="left"/>
      <w:pPr>
        <w:ind w:left="1462" w:hanging="420"/>
      </w:pPr>
      <w:rPr>
        <w:rFonts w:hint="default"/>
      </w:rPr>
    </w:lvl>
    <w:lvl w:ilvl="2">
      <w:start w:val="0"/>
      <w:numFmt w:val="bullet"/>
      <w:lvlText w:val="•"/>
      <w:lvlJc w:val="left"/>
      <w:pPr>
        <w:ind w:left="2305" w:hanging="420"/>
      </w:pPr>
      <w:rPr>
        <w:rFonts w:hint="default"/>
      </w:rPr>
    </w:lvl>
    <w:lvl w:ilvl="3">
      <w:start w:val="0"/>
      <w:numFmt w:val="bullet"/>
      <w:lvlText w:val="•"/>
      <w:lvlJc w:val="left"/>
      <w:pPr>
        <w:ind w:left="3148" w:hanging="420"/>
      </w:pPr>
      <w:rPr>
        <w:rFonts w:hint="default"/>
      </w:rPr>
    </w:lvl>
    <w:lvl w:ilvl="4">
      <w:start w:val="0"/>
      <w:numFmt w:val="bullet"/>
      <w:lvlText w:val="•"/>
      <w:lvlJc w:val="left"/>
      <w:pPr>
        <w:ind w:left="3991" w:hanging="420"/>
      </w:pPr>
      <w:rPr>
        <w:rFonts w:hint="default"/>
      </w:rPr>
    </w:lvl>
    <w:lvl w:ilvl="5">
      <w:start w:val="0"/>
      <w:numFmt w:val="bullet"/>
      <w:lvlText w:val="•"/>
      <w:lvlJc w:val="left"/>
      <w:pPr>
        <w:ind w:left="4834" w:hanging="420"/>
      </w:pPr>
      <w:rPr>
        <w:rFonts w:hint="default"/>
      </w:rPr>
    </w:lvl>
    <w:lvl w:ilvl="6">
      <w:start w:val="0"/>
      <w:numFmt w:val="bullet"/>
      <w:lvlText w:val="•"/>
      <w:lvlJc w:val="left"/>
      <w:pPr>
        <w:ind w:left="5677" w:hanging="420"/>
      </w:pPr>
      <w:rPr>
        <w:rFonts w:hint="default"/>
      </w:rPr>
    </w:lvl>
    <w:lvl w:ilvl="7">
      <w:start w:val="0"/>
      <w:numFmt w:val="bullet"/>
      <w:lvlText w:val="•"/>
      <w:lvlJc w:val="left"/>
      <w:pPr>
        <w:ind w:left="6520" w:hanging="420"/>
      </w:pPr>
      <w:rPr>
        <w:rFonts w:hint="default"/>
      </w:rPr>
    </w:lvl>
    <w:lvl w:ilvl="8">
      <w:start w:val="0"/>
      <w:numFmt w:val="bullet"/>
      <w:lvlText w:val="•"/>
      <w:lvlJc w:val="left"/>
      <w:pPr>
        <w:ind w:left="7363" w:hanging="420"/>
      </w:pPr>
      <w:rPr>
        <w:rFonts w:hint="default"/>
      </w:rPr>
    </w:lvl>
  </w:abstractNum>
  <w:abstractNum w:abstractNumId="19">
    <w:multiLevelType w:val="hybridMultilevel"/>
    <w:lvl w:ilvl="0">
      <w:start w:val="1"/>
      <w:numFmt w:val="decimal"/>
      <w:lvlText w:val="%1)"/>
      <w:lvlJc w:val="left"/>
      <w:pPr>
        <w:ind w:left="620" w:hanging="420"/>
        <w:jc w:val="left"/>
      </w:pPr>
      <w:rPr>
        <w:rFonts w:hint="default" w:ascii="宋体" w:hAnsi="宋体" w:eastAsia="宋体" w:cs="宋体"/>
        <w:w w:val="100"/>
        <w:sz w:val="21"/>
        <w:szCs w:val="21"/>
      </w:rPr>
    </w:lvl>
    <w:lvl w:ilvl="1">
      <w:start w:val="0"/>
      <w:numFmt w:val="bullet"/>
      <w:lvlText w:val="•"/>
      <w:lvlJc w:val="left"/>
      <w:pPr>
        <w:ind w:left="1462" w:hanging="420"/>
      </w:pPr>
      <w:rPr>
        <w:rFonts w:hint="default"/>
      </w:rPr>
    </w:lvl>
    <w:lvl w:ilvl="2">
      <w:start w:val="0"/>
      <w:numFmt w:val="bullet"/>
      <w:lvlText w:val="•"/>
      <w:lvlJc w:val="left"/>
      <w:pPr>
        <w:ind w:left="2305" w:hanging="420"/>
      </w:pPr>
      <w:rPr>
        <w:rFonts w:hint="default"/>
      </w:rPr>
    </w:lvl>
    <w:lvl w:ilvl="3">
      <w:start w:val="0"/>
      <w:numFmt w:val="bullet"/>
      <w:lvlText w:val="•"/>
      <w:lvlJc w:val="left"/>
      <w:pPr>
        <w:ind w:left="3148" w:hanging="420"/>
      </w:pPr>
      <w:rPr>
        <w:rFonts w:hint="default"/>
      </w:rPr>
    </w:lvl>
    <w:lvl w:ilvl="4">
      <w:start w:val="0"/>
      <w:numFmt w:val="bullet"/>
      <w:lvlText w:val="•"/>
      <w:lvlJc w:val="left"/>
      <w:pPr>
        <w:ind w:left="3991" w:hanging="420"/>
      </w:pPr>
      <w:rPr>
        <w:rFonts w:hint="default"/>
      </w:rPr>
    </w:lvl>
    <w:lvl w:ilvl="5">
      <w:start w:val="0"/>
      <w:numFmt w:val="bullet"/>
      <w:lvlText w:val="•"/>
      <w:lvlJc w:val="left"/>
      <w:pPr>
        <w:ind w:left="4834" w:hanging="420"/>
      </w:pPr>
      <w:rPr>
        <w:rFonts w:hint="default"/>
      </w:rPr>
    </w:lvl>
    <w:lvl w:ilvl="6">
      <w:start w:val="0"/>
      <w:numFmt w:val="bullet"/>
      <w:lvlText w:val="•"/>
      <w:lvlJc w:val="left"/>
      <w:pPr>
        <w:ind w:left="5677" w:hanging="420"/>
      </w:pPr>
      <w:rPr>
        <w:rFonts w:hint="default"/>
      </w:rPr>
    </w:lvl>
    <w:lvl w:ilvl="7">
      <w:start w:val="0"/>
      <w:numFmt w:val="bullet"/>
      <w:lvlText w:val="•"/>
      <w:lvlJc w:val="left"/>
      <w:pPr>
        <w:ind w:left="6520" w:hanging="420"/>
      </w:pPr>
      <w:rPr>
        <w:rFonts w:hint="default"/>
      </w:rPr>
    </w:lvl>
    <w:lvl w:ilvl="8">
      <w:start w:val="0"/>
      <w:numFmt w:val="bullet"/>
      <w:lvlText w:val="•"/>
      <w:lvlJc w:val="left"/>
      <w:pPr>
        <w:ind w:left="7363" w:hanging="420"/>
      </w:pPr>
      <w:rPr>
        <w:rFonts w:hint="default"/>
      </w:rPr>
    </w:lvl>
  </w:abstractNum>
  <w:abstractNum w:abstractNumId="18">
    <w:multiLevelType w:val="hybridMultilevel"/>
    <w:lvl w:ilvl="0">
      <w:start w:val="1"/>
      <w:numFmt w:val="decimal"/>
      <w:lvlText w:val="%1)"/>
      <w:lvlJc w:val="left"/>
      <w:pPr>
        <w:ind w:left="620" w:hanging="420"/>
        <w:jc w:val="left"/>
      </w:pPr>
      <w:rPr>
        <w:rFonts w:hint="default" w:ascii="宋体" w:hAnsi="宋体" w:eastAsia="宋体" w:cs="宋体"/>
        <w:w w:val="100"/>
        <w:sz w:val="21"/>
        <w:szCs w:val="21"/>
      </w:rPr>
    </w:lvl>
    <w:lvl w:ilvl="1">
      <w:start w:val="0"/>
      <w:numFmt w:val="bullet"/>
      <w:lvlText w:val="•"/>
      <w:lvlJc w:val="left"/>
      <w:pPr>
        <w:ind w:left="1462" w:hanging="420"/>
      </w:pPr>
      <w:rPr>
        <w:rFonts w:hint="default"/>
      </w:rPr>
    </w:lvl>
    <w:lvl w:ilvl="2">
      <w:start w:val="0"/>
      <w:numFmt w:val="bullet"/>
      <w:lvlText w:val="•"/>
      <w:lvlJc w:val="left"/>
      <w:pPr>
        <w:ind w:left="2305" w:hanging="420"/>
      </w:pPr>
      <w:rPr>
        <w:rFonts w:hint="default"/>
      </w:rPr>
    </w:lvl>
    <w:lvl w:ilvl="3">
      <w:start w:val="0"/>
      <w:numFmt w:val="bullet"/>
      <w:lvlText w:val="•"/>
      <w:lvlJc w:val="left"/>
      <w:pPr>
        <w:ind w:left="3148" w:hanging="420"/>
      </w:pPr>
      <w:rPr>
        <w:rFonts w:hint="default"/>
      </w:rPr>
    </w:lvl>
    <w:lvl w:ilvl="4">
      <w:start w:val="0"/>
      <w:numFmt w:val="bullet"/>
      <w:lvlText w:val="•"/>
      <w:lvlJc w:val="left"/>
      <w:pPr>
        <w:ind w:left="3991" w:hanging="420"/>
      </w:pPr>
      <w:rPr>
        <w:rFonts w:hint="default"/>
      </w:rPr>
    </w:lvl>
    <w:lvl w:ilvl="5">
      <w:start w:val="0"/>
      <w:numFmt w:val="bullet"/>
      <w:lvlText w:val="•"/>
      <w:lvlJc w:val="left"/>
      <w:pPr>
        <w:ind w:left="4834" w:hanging="420"/>
      </w:pPr>
      <w:rPr>
        <w:rFonts w:hint="default"/>
      </w:rPr>
    </w:lvl>
    <w:lvl w:ilvl="6">
      <w:start w:val="0"/>
      <w:numFmt w:val="bullet"/>
      <w:lvlText w:val="•"/>
      <w:lvlJc w:val="left"/>
      <w:pPr>
        <w:ind w:left="5677" w:hanging="420"/>
      </w:pPr>
      <w:rPr>
        <w:rFonts w:hint="default"/>
      </w:rPr>
    </w:lvl>
    <w:lvl w:ilvl="7">
      <w:start w:val="0"/>
      <w:numFmt w:val="bullet"/>
      <w:lvlText w:val="•"/>
      <w:lvlJc w:val="left"/>
      <w:pPr>
        <w:ind w:left="6520" w:hanging="420"/>
      </w:pPr>
      <w:rPr>
        <w:rFonts w:hint="default"/>
      </w:rPr>
    </w:lvl>
    <w:lvl w:ilvl="8">
      <w:start w:val="0"/>
      <w:numFmt w:val="bullet"/>
      <w:lvlText w:val="•"/>
      <w:lvlJc w:val="left"/>
      <w:pPr>
        <w:ind w:left="7363" w:hanging="420"/>
      </w:pPr>
      <w:rPr>
        <w:rFonts w:hint="default"/>
      </w:rPr>
    </w:lvl>
  </w:abstractNum>
  <w:abstractNum w:abstractNumId="17">
    <w:multiLevelType w:val="hybridMultilevel"/>
    <w:lvl w:ilvl="0">
      <w:start w:val="1"/>
      <w:numFmt w:val="decimal"/>
      <w:lvlText w:val="%1)"/>
      <w:lvlJc w:val="left"/>
      <w:pPr>
        <w:ind w:left="620" w:hanging="420"/>
        <w:jc w:val="left"/>
      </w:pPr>
      <w:rPr>
        <w:rFonts w:hint="default" w:ascii="宋体" w:hAnsi="宋体" w:eastAsia="宋体" w:cs="宋体"/>
        <w:w w:val="100"/>
        <w:sz w:val="21"/>
        <w:szCs w:val="21"/>
      </w:rPr>
    </w:lvl>
    <w:lvl w:ilvl="1">
      <w:start w:val="0"/>
      <w:numFmt w:val="bullet"/>
      <w:lvlText w:val="•"/>
      <w:lvlJc w:val="left"/>
      <w:pPr>
        <w:ind w:left="1459" w:hanging="420"/>
      </w:pPr>
      <w:rPr>
        <w:rFonts w:hint="default"/>
      </w:rPr>
    </w:lvl>
    <w:lvl w:ilvl="2">
      <w:start w:val="0"/>
      <w:numFmt w:val="bullet"/>
      <w:lvlText w:val="•"/>
      <w:lvlJc w:val="left"/>
      <w:pPr>
        <w:ind w:left="2298" w:hanging="420"/>
      </w:pPr>
      <w:rPr>
        <w:rFonts w:hint="default"/>
      </w:rPr>
    </w:lvl>
    <w:lvl w:ilvl="3">
      <w:start w:val="0"/>
      <w:numFmt w:val="bullet"/>
      <w:lvlText w:val="•"/>
      <w:lvlJc w:val="left"/>
      <w:pPr>
        <w:ind w:left="3137" w:hanging="420"/>
      </w:pPr>
      <w:rPr>
        <w:rFonts w:hint="default"/>
      </w:rPr>
    </w:lvl>
    <w:lvl w:ilvl="4">
      <w:start w:val="0"/>
      <w:numFmt w:val="bullet"/>
      <w:lvlText w:val="•"/>
      <w:lvlJc w:val="left"/>
      <w:pPr>
        <w:ind w:left="3977" w:hanging="420"/>
      </w:pPr>
      <w:rPr>
        <w:rFonts w:hint="default"/>
      </w:rPr>
    </w:lvl>
    <w:lvl w:ilvl="5">
      <w:start w:val="0"/>
      <w:numFmt w:val="bullet"/>
      <w:lvlText w:val="•"/>
      <w:lvlJc w:val="left"/>
      <w:pPr>
        <w:ind w:left="4816" w:hanging="420"/>
      </w:pPr>
      <w:rPr>
        <w:rFonts w:hint="default"/>
      </w:rPr>
    </w:lvl>
    <w:lvl w:ilvl="6">
      <w:start w:val="0"/>
      <w:numFmt w:val="bullet"/>
      <w:lvlText w:val="•"/>
      <w:lvlJc w:val="left"/>
      <w:pPr>
        <w:ind w:left="5655" w:hanging="420"/>
      </w:pPr>
      <w:rPr>
        <w:rFonts w:hint="default"/>
      </w:rPr>
    </w:lvl>
    <w:lvl w:ilvl="7">
      <w:start w:val="0"/>
      <w:numFmt w:val="bullet"/>
      <w:lvlText w:val="•"/>
      <w:lvlJc w:val="left"/>
      <w:pPr>
        <w:ind w:left="6495" w:hanging="420"/>
      </w:pPr>
      <w:rPr>
        <w:rFonts w:hint="default"/>
      </w:rPr>
    </w:lvl>
    <w:lvl w:ilvl="8">
      <w:start w:val="0"/>
      <w:numFmt w:val="bullet"/>
      <w:lvlText w:val="•"/>
      <w:lvlJc w:val="left"/>
      <w:pPr>
        <w:ind w:left="7334" w:hanging="420"/>
      </w:pPr>
      <w:rPr>
        <w:rFonts w:hint="default"/>
      </w:rPr>
    </w:lvl>
  </w:abstractNum>
  <w:abstractNum w:abstractNumId="16">
    <w:multiLevelType w:val="hybridMultilevel"/>
    <w:lvl w:ilvl="0">
      <w:start w:val="1"/>
      <w:numFmt w:val="decimal"/>
      <w:lvlText w:val="%1)"/>
      <w:lvlJc w:val="left"/>
      <w:pPr>
        <w:ind w:left="620" w:hanging="420"/>
        <w:jc w:val="left"/>
      </w:pPr>
      <w:rPr>
        <w:rFonts w:hint="default" w:ascii="宋体" w:hAnsi="宋体" w:eastAsia="宋体" w:cs="宋体"/>
        <w:w w:val="100"/>
        <w:sz w:val="21"/>
        <w:szCs w:val="21"/>
      </w:rPr>
    </w:lvl>
    <w:lvl w:ilvl="1">
      <w:start w:val="0"/>
      <w:numFmt w:val="bullet"/>
      <w:lvlText w:val="•"/>
      <w:lvlJc w:val="left"/>
      <w:pPr>
        <w:ind w:left="1459" w:hanging="420"/>
      </w:pPr>
      <w:rPr>
        <w:rFonts w:hint="default"/>
      </w:rPr>
    </w:lvl>
    <w:lvl w:ilvl="2">
      <w:start w:val="0"/>
      <w:numFmt w:val="bullet"/>
      <w:lvlText w:val="•"/>
      <w:lvlJc w:val="left"/>
      <w:pPr>
        <w:ind w:left="2298" w:hanging="420"/>
      </w:pPr>
      <w:rPr>
        <w:rFonts w:hint="default"/>
      </w:rPr>
    </w:lvl>
    <w:lvl w:ilvl="3">
      <w:start w:val="0"/>
      <w:numFmt w:val="bullet"/>
      <w:lvlText w:val="•"/>
      <w:lvlJc w:val="left"/>
      <w:pPr>
        <w:ind w:left="3137" w:hanging="420"/>
      </w:pPr>
      <w:rPr>
        <w:rFonts w:hint="default"/>
      </w:rPr>
    </w:lvl>
    <w:lvl w:ilvl="4">
      <w:start w:val="0"/>
      <w:numFmt w:val="bullet"/>
      <w:lvlText w:val="•"/>
      <w:lvlJc w:val="left"/>
      <w:pPr>
        <w:ind w:left="3977" w:hanging="420"/>
      </w:pPr>
      <w:rPr>
        <w:rFonts w:hint="default"/>
      </w:rPr>
    </w:lvl>
    <w:lvl w:ilvl="5">
      <w:start w:val="0"/>
      <w:numFmt w:val="bullet"/>
      <w:lvlText w:val="•"/>
      <w:lvlJc w:val="left"/>
      <w:pPr>
        <w:ind w:left="4816" w:hanging="420"/>
      </w:pPr>
      <w:rPr>
        <w:rFonts w:hint="default"/>
      </w:rPr>
    </w:lvl>
    <w:lvl w:ilvl="6">
      <w:start w:val="0"/>
      <w:numFmt w:val="bullet"/>
      <w:lvlText w:val="•"/>
      <w:lvlJc w:val="left"/>
      <w:pPr>
        <w:ind w:left="5655" w:hanging="420"/>
      </w:pPr>
      <w:rPr>
        <w:rFonts w:hint="default"/>
      </w:rPr>
    </w:lvl>
    <w:lvl w:ilvl="7">
      <w:start w:val="0"/>
      <w:numFmt w:val="bullet"/>
      <w:lvlText w:val="•"/>
      <w:lvlJc w:val="left"/>
      <w:pPr>
        <w:ind w:left="6495" w:hanging="420"/>
      </w:pPr>
      <w:rPr>
        <w:rFonts w:hint="default"/>
      </w:rPr>
    </w:lvl>
    <w:lvl w:ilvl="8">
      <w:start w:val="0"/>
      <w:numFmt w:val="bullet"/>
      <w:lvlText w:val="•"/>
      <w:lvlJc w:val="left"/>
      <w:pPr>
        <w:ind w:left="7334" w:hanging="420"/>
      </w:pPr>
      <w:rPr>
        <w:rFonts w:hint="default"/>
      </w:rPr>
    </w:lvl>
  </w:abstractNum>
  <w:abstractNum w:abstractNumId="15">
    <w:multiLevelType w:val="hybridMultilevel"/>
    <w:lvl w:ilvl="0">
      <w:start w:val="1"/>
      <w:numFmt w:val="decimal"/>
      <w:lvlText w:val="%1)"/>
      <w:lvlJc w:val="left"/>
      <w:pPr>
        <w:ind w:left="620" w:hanging="420"/>
        <w:jc w:val="left"/>
      </w:pPr>
      <w:rPr>
        <w:rFonts w:hint="default" w:ascii="宋体" w:hAnsi="宋体" w:eastAsia="宋体" w:cs="宋体"/>
        <w:w w:val="100"/>
        <w:sz w:val="21"/>
        <w:szCs w:val="21"/>
      </w:rPr>
    </w:lvl>
    <w:lvl w:ilvl="1">
      <w:start w:val="0"/>
      <w:numFmt w:val="bullet"/>
      <w:lvlText w:val="•"/>
      <w:lvlJc w:val="left"/>
      <w:pPr>
        <w:ind w:left="1459" w:hanging="420"/>
      </w:pPr>
      <w:rPr>
        <w:rFonts w:hint="default"/>
      </w:rPr>
    </w:lvl>
    <w:lvl w:ilvl="2">
      <w:start w:val="0"/>
      <w:numFmt w:val="bullet"/>
      <w:lvlText w:val="•"/>
      <w:lvlJc w:val="left"/>
      <w:pPr>
        <w:ind w:left="2298" w:hanging="420"/>
      </w:pPr>
      <w:rPr>
        <w:rFonts w:hint="default"/>
      </w:rPr>
    </w:lvl>
    <w:lvl w:ilvl="3">
      <w:start w:val="0"/>
      <w:numFmt w:val="bullet"/>
      <w:lvlText w:val="•"/>
      <w:lvlJc w:val="left"/>
      <w:pPr>
        <w:ind w:left="3137" w:hanging="420"/>
      </w:pPr>
      <w:rPr>
        <w:rFonts w:hint="default"/>
      </w:rPr>
    </w:lvl>
    <w:lvl w:ilvl="4">
      <w:start w:val="0"/>
      <w:numFmt w:val="bullet"/>
      <w:lvlText w:val="•"/>
      <w:lvlJc w:val="left"/>
      <w:pPr>
        <w:ind w:left="3977" w:hanging="420"/>
      </w:pPr>
      <w:rPr>
        <w:rFonts w:hint="default"/>
      </w:rPr>
    </w:lvl>
    <w:lvl w:ilvl="5">
      <w:start w:val="0"/>
      <w:numFmt w:val="bullet"/>
      <w:lvlText w:val="•"/>
      <w:lvlJc w:val="left"/>
      <w:pPr>
        <w:ind w:left="4816" w:hanging="420"/>
      </w:pPr>
      <w:rPr>
        <w:rFonts w:hint="default"/>
      </w:rPr>
    </w:lvl>
    <w:lvl w:ilvl="6">
      <w:start w:val="0"/>
      <w:numFmt w:val="bullet"/>
      <w:lvlText w:val="•"/>
      <w:lvlJc w:val="left"/>
      <w:pPr>
        <w:ind w:left="5655" w:hanging="420"/>
      </w:pPr>
      <w:rPr>
        <w:rFonts w:hint="default"/>
      </w:rPr>
    </w:lvl>
    <w:lvl w:ilvl="7">
      <w:start w:val="0"/>
      <w:numFmt w:val="bullet"/>
      <w:lvlText w:val="•"/>
      <w:lvlJc w:val="left"/>
      <w:pPr>
        <w:ind w:left="6495" w:hanging="420"/>
      </w:pPr>
      <w:rPr>
        <w:rFonts w:hint="default"/>
      </w:rPr>
    </w:lvl>
    <w:lvl w:ilvl="8">
      <w:start w:val="0"/>
      <w:numFmt w:val="bullet"/>
      <w:lvlText w:val="•"/>
      <w:lvlJc w:val="left"/>
      <w:pPr>
        <w:ind w:left="7334" w:hanging="420"/>
      </w:pPr>
      <w:rPr>
        <w:rFonts w:hint="default"/>
      </w:rPr>
    </w:lvl>
  </w:abstractNum>
  <w:abstractNum w:abstractNumId="14">
    <w:multiLevelType w:val="hybridMultilevel"/>
    <w:lvl w:ilvl="0">
      <w:start w:val="1"/>
      <w:numFmt w:val="decimal"/>
      <w:lvlText w:val="%1)"/>
      <w:lvlJc w:val="left"/>
      <w:pPr>
        <w:ind w:left="620" w:hanging="420"/>
        <w:jc w:val="left"/>
      </w:pPr>
      <w:rPr>
        <w:rFonts w:hint="default" w:ascii="宋体" w:hAnsi="宋体" w:eastAsia="宋体" w:cs="宋体"/>
        <w:w w:val="100"/>
        <w:sz w:val="21"/>
        <w:szCs w:val="21"/>
      </w:rPr>
    </w:lvl>
    <w:lvl w:ilvl="1">
      <w:start w:val="0"/>
      <w:numFmt w:val="bullet"/>
      <w:lvlText w:val="•"/>
      <w:lvlJc w:val="left"/>
      <w:pPr>
        <w:ind w:left="1459" w:hanging="420"/>
      </w:pPr>
      <w:rPr>
        <w:rFonts w:hint="default"/>
      </w:rPr>
    </w:lvl>
    <w:lvl w:ilvl="2">
      <w:start w:val="0"/>
      <w:numFmt w:val="bullet"/>
      <w:lvlText w:val="•"/>
      <w:lvlJc w:val="left"/>
      <w:pPr>
        <w:ind w:left="2298" w:hanging="420"/>
      </w:pPr>
      <w:rPr>
        <w:rFonts w:hint="default"/>
      </w:rPr>
    </w:lvl>
    <w:lvl w:ilvl="3">
      <w:start w:val="0"/>
      <w:numFmt w:val="bullet"/>
      <w:lvlText w:val="•"/>
      <w:lvlJc w:val="left"/>
      <w:pPr>
        <w:ind w:left="3137" w:hanging="420"/>
      </w:pPr>
      <w:rPr>
        <w:rFonts w:hint="default"/>
      </w:rPr>
    </w:lvl>
    <w:lvl w:ilvl="4">
      <w:start w:val="0"/>
      <w:numFmt w:val="bullet"/>
      <w:lvlText w:val="•"/>
      <w:lvlJc w:val="left"/>
      <w:pPr>
        <w:ind w:left="3977" w:hanging="420"/>
      </w:pPr>
      <w:rPr>
        <w:rFonts w:hint="default"/>
      </w:rPr>
    </w:lvl>
    <w:lvl w:ilvl="5">
      <w:start w:val="0"/>
      <w:numFmt w:val="bullet"/>
      <w:lvlText w:val="•"/>
      <w:lvlJc w:val="left"/>
      <w:pPr>
        <w:ind w:left="4816" w:hanging="420"/>
      </w:pPr>
      <w:rPr>
        <w:rFonts w:hint="default"/>
      </w:rPr>
    </w:lvl>
    <w:lvl w:ilvl="6">
      <w:start w:val="0"/>
      <w:numFmt w:val="bullet"/>
      <w:lvlText w:val="•"/>
      <w:lvlJc w:val="left"/>
      <w:pPr>
        <w:ind w:left="5655" w:hanging="420"/>
      </w:pPr>
      <w:rPr>
        <w:rFonts w:hint="default"/>
      </w:rPr>
    </w:lvl>
    <w:lvl w:ilvl="7">
      <w:start w:val="0"/>
      <w:numFmt w:val="bullet"/>
      <w:lvlText w:val="•"/>
      <w:lvlJc w:val="left"/>
      <w:pPr>
        <w:ind w:left="6495" w:hanging="420"/>
      </w:pPr>
      <w:rPr>
        <w:rFonts w:hint="default"/>
      </w:rPr>
    </w:lvl>
    <w:lvl w:ilvl="8">
      <w:start w:val="0"/>
      <w:numFmt w:val="bullet"/>
      <w:lvlText w:val="•"/>
      <w:lvlJc w:val="left"/>
      <w:pPr>
        <w:ind w:left="7334" w:hanging="420"/>
      </w:pPr>
      <w:rPr>
        <w:rFonts w:hint="default"/>
      </w:rPr>
    </w:lvl>
  </w:abstractNum>
  <w:abstractNum w:abstractNumId="13">
    <w:multiLevelType w:val="hybridMultilevel"/>
    <w:lvl w:ilvl="0">
      <w:start w:val="1"/>
      <w:numFmt w:val="decimal"/>
      <w:lvlText w:val="%1)"/>
      <w:lvlJc w:val="left"/>
      <w:pPr>
        <w:ind w:left="581" w:hanging="420"/>
        <w:jc w:val="left"/>
      </w:pPr>
      <w:rPr>
        <w:rFonts w:hint="default" w:ascii="宋体" w:hAnsi="宋体" w:eastAsia="宋体" w:cs="宋体"/>
        <w:w w:val="100"/>
        <w:sz w:val="21"/>
        <w:szCs w:val="21"/>
      </w:rPr>
    </w:lvl>
    <w:lvl w:ilvl="1">
      <w:start w:val="0"/>
      <w:numFmt w:val="bullet"/>
      <w:lvlText w:val="•"/>
      <w:lvlJc w:val="left"/>
      <w:pPr>
        <w:ind w:left="1423" w:hanging="420"/>
      </w:pPr>
      <w:rPr>
        <w:rFonts w:hint="default"/>
      </w:rPr>
    </w:lvl>
    <w:lvl w:ilvl="2">
      <w:start w:val="0"/>
      <w:numFmt w:val="bullet"/>
      <w:lvlText w:val="•"/>
      <w:lvlJc w:val="left"/>
      <w:pPr>
        <w:ind w:left="2266" w:hanging="420"/>
      </w:pPr>
      <w:rPr>
        <w:rFonts w:hint="default"/>
      </w:rPr>
    </w:lvl>
    <w:lvl w:ilvl="3">
      <w:start w:val="0"/>
      <w:numFmt w:val="bullet"/>
      <w:lvlText w:val="•"/>
      <w:lvlJc w:val="left"/>
      <w:pPr>
        <w:ind w:left="3109" w:hanging="420"/>
      </w:pPr>
      <w:rPr>
        <w:rFonts w:hint="default"/>
      </w:rPr>
    </w:lvl>
    <w:lvl w:ilvl="4">
      <w:start w:val="0"/>
      <w:numFmt w:val="bullet"/>
      <w:lvlText w:val="•"/>
      <w:lvlJc w:val="left"/>
      <w:pPr>
        <w:ind w:left="3952" w:hanging="420"/>
      </w:pPr>
      <w:rPr>
        <w:rFonts w:hint="default"/>
      </w:rPr>
    </w:lvl>
    <w:lvl w:ilvl="5">
      <w:start w:val="0"/>
      <w:numFmt w:val="bullet"/>
      <w:lvlText w:val="•"/>
      <w:lvlJc w:val="left"/>
      <w:pPr>
        <w:ind w:left="4795" w:hanging="420"/>
      </w:pPr>
      <w:rPr>
        <w:rFonts w:hint="default"/>
      </w:rPr>
    </w:lvl>
    <w:lvl w:ilvl="6">
      <w:start w:val="0"/>
      <w:numFmt w:val="bullet"/>
      <w:lvlText w:val="•"/>
      <w:lvlJc w:val="left"/>
      <w:pPr>
        <w:ind w:left="5638" w:hanging="420"/>
      </w:pPr>
      <w:rPr>
        <w:rFonts w:hint="default"/>
      </w:rPr>
    </w:lvl>
    <w:lvl w:ilvl="7">
      <w:start w:val="0"/>
      <w:numFmt w:val="bullet"/>
      <w:lvlText w:val="•"/>
      <w:lvlJc w:val="left"/>
      <w:pPr>
        <w:ind w:left="6481" w:hanging="420"/>
      </w:pPr>
      <w:rPr>
        <w:rFonts w:hint="default"/>
      </w:rPr>
    </w:lvl>
    <w:lvl w:ilvl="8">
      <w:start w:val="0"/>
      <w:numFmt w:val="bullet"/>
      <w:lvlText w:val="•"/>
      <w:lvlJc w:val="left"/>
      <w:pPr>
        <w:ind w:left="7324" w:hanging="420"/>
      </w:pPr>
      <w:rPr>
        <w:rFonts w:hint="default"/>
      </w:rPr>
    </w:lvl>
  </w:abstractNum>
  <w:abstractNum w:abstractNumId="12">
    <w:multiLevelType w:val="hybridMultilevel"/>
    <w:lvl w:ilvl="0">
      <w:start w:val="1"/>
      <w:numFmt w:val="decimal"/>
      <w:lvlText w:val="%1)"/>
      <w:lvlJc w:val="left"/>
      <w:pPr>
        <w:ind w:left="581" w:hanging="420"/>
        <w:jc w:val="left"/>
      </w:pPr>
      <w:rPr>
        <w:rFonts w:hint="default" w:ascii="宋体" w:hAnsi="宋体" w:eastAsia="宋体" w:cs="宋体"/>
        <w:w w:val="100"/>
        <w:sz w:val="21"/>
        <w:szCs w:val="21"/>
      </w:rPr>
    </w:lvl>
    <w:lvl w:ilvl="1">
      <w:start w:val="0"/>
      <w:numFmt w:val="bullet"/>
      <w:lvlText w:val="•"/>
      <w:lvlJc w:val="left"/>
      <w:pPr>
        <w:ind w:left="1423" w:hanging="420"/>
      </w:pPr>
      <w:rPr>
        <w:rFonts w:hint="default"/>
      </w:rPr>
    </w:lvl>
    <w:lvl w:ilvl="2">
      <w:start w:val="0"/>
      <w:numFmt w:val="bullet"/>
      <w:lvlText w:val="•"/>
      <w:lvlJc w:val="left"/>
      <w:pPr>
        <w:ind w:left="2266" w:hanging="420"/>
      </w:pPr>
      <w:rPr>
        <w:rFonts w:hint="default"/>
      </w:rPr>
    </w:lvl>
    <w:lvl w:ilvl="3">
      <w:start w:val="0"/>
      <w:numFmt w:val="bullet"/>
      <w:lvlText w:val="•"/>
      <w:lvlJc w:val="left"/>
      <w:pPr>
        <w:ind w:left="3109" w:hanging="420"/>
      </w:pPr>
      <w:rPr>
        <w:rFonts w:hint="default"/>
      </w:rPr>
    </w:lvl>
    <w:lvl w:ilvl="4">
      <w:start w:val="0"/>
      <w:numFmt w:val="bullet"/>
      <w:lvlText w:val="•"/>
      <w:lvlJc w:val="left"/>
      <w:pPr>
        <w:ind w:left="3952" w:hanging="420"/>
      </w:pPr>
      <w:rPr>
        <w:rFonts w:hint="default"/>
      </w:rPr>
    </w:lvl>
    <w:lvl w:ilvl="5">
      <w:start w:val="0"/>
      <w:numFmt w:val="bullet"/>
      <w:lvlText w:val="•"/>
      <w:lvlJc w:val="left"/>
      <w:pPr>
        <w:ind w:left="4795" w:hanging="420"/>
      </w:pPr>
      <w:rPr>
        <w:rFonts w:hint="default"/>
      </w:rPr>
    </w:lvl>
    <w:lvl w:ilvl="6">
      <w:start w:val="0"/>
      <w:numFmt w:val="bullet"/>
      <w:lvlText w:val="•"/>
      <w:lvlJc w:val="left"/>
      <w:pPr>
        <w:ind w:left="5638" w:hanging="420"/>
      </w:pPr>
      <w:rPr>
        <w:rFonts w:hint="default"/>
      </w:rPr>
    </w:lvl>
    <w:lvl w:ilvl="7">
      <w:start w:val="0"/>
      <w:numFmt w:val="bullet"/>
      <w:lvlText w:val="•"/>
      <w:lvlJc w:val="left"/>
      <w:pPr>
        <w:ind w:left="6481" w:hanging="420"/>
      </w:pPr>
      <w:rPr>
        <w:rFonts w:hint="default"/>
      </w:rPr>
    </w:lvl>
    <w:lvl w:ilvl="8">
      <w:start w:val="0"/>
      <w:numFmt w:val="bullet"/>
      <w:lvlText w:val="•"/>
      <w:lvlJc w:val="left"/>
      <w:pPr>
        <w:ind w:left="7324" w:hanging="420"/>
      </w:pPr>
      <w:rPr>
        <w:rFonts w:hint="default"/>
      </w:rPr>
    </w:lvl>
  </w:abstractNum>
  <w:abstractNum w:abstractNumId="11">
    <w:multiLevelType w:val="hybridMultilevel"/>
    <w:lvl w:ilvl="0">
      <w:start w:val="1"/>
      <w:numFmt w:val="decimal"/>
      <w:lvlText w:val="%1)"/>
      <w:lvlJc w:val="left"/>
      <w:pPr>
        <w:ind w:left="581" w:hanging="420"/>
        <w:jc w:val="left"/>
      </w:pPr>
      <w:rPr>
        <w:rFonts w:hint="default" w:ascii="黑体" w:hAnsi="黑体" w:eastAsia="黑体" w:cs="黑体"/>
        <w:w w:val="100"/>
        <w:sz w:val="21"/>
        <w:szCs w:val="21"/>
      </w:rPr>
    </w:lvl>
    <w:lvl w:ilvl="1">
      <w:start w:val="0"/>
      <w:numFmt w:val="bullet"/>
      <w:lvlText w:val="•"/>
      <w:lvlJc w:val="left"/>
      <w:pPr>
        <w:ind w:left="1423" w:hanging="420"/>
      </w:pPr>
      <w:rPr>
        <w:rFonts w:hint="default"/>
      </w:rPr>
    </w:lvl>
    <w:lvl w:ilvl="2">
      <w:start w:val="0"/>
      <w:numFmt w:val="bullet"/>
      <w:lvlText w:val="•"/>
      <w:lvlJc w:val="left"/>
      <w:pPr>
        <w:ind w:left="2266" w:hanging="420"/>
      </w:pPr>
      <w:rPr>
        <w:rFonts w:hint="default"/>
      </w:rPr>
    </w:lvl>
    <w:lvl w:ilvl="3">
      <w:start w:val="0"/>
      <w:numFmt w:val="bullet"/>
      <w:lvlText w:val="•"/>
      <w:lvlJc w:val="left"/>
      <w:pPr>
        <w:ind w:left="3109" w:hanging="420"/>
      </w:pPr>
      <w:rPr>
        <w:rFonts w:hint="default"/>
      </w:rPr>
    </w:lvl>
    <w:lvl w:ilvl="4">
      <w:start w:val="0"/>
      <w:numFmt w:val="bullet"/>
      <w:lvlText w:val="•"/>
      <w:lvlJc w:val="left"/>
      <w:pPr>
        <w:ind w:left="3952" w:hanging="420"/>
      </w:pPr>
      <w:rPr>
        <w:rFonts w:hint="default"/>
      </w:rPr>
    </w:lvl>
    <w:lvl w:ilvl="5">
      <w:start w:val="0"/>
      <w:numFmt w:val="bullet"/>
      <w:lvlText w:val="•"/>
      <w:lvlJc w:val="left"/>
      <w:pPr>
        <w:ind w:left="4795" w:hanging="420"/>
      </w:pPr>
      <w:rPr>
        <w:rFonts w:hint="default"/>
      </w:rPr>
    </w:lvl>
    <w:lvl w:ilvl="6">
      <w:start w:val="0"/>
      <w:numFmt w:val="bullet"/>
      <w:lvlText w:val="•"/>
      <w:lvlJc w:val="left"/>
      <w:pPr>
        <w:ind w:left="5638" w:hanging="420"/>
      </w:pPr>
      <w:rPr>
        <w:rFonts w:hint="default"/>
      </w:rPr>
    </w:lvl>
    <w:lvl w:ilvl="7">
      <w:start w:val="0"/>
      <w:numFmt w:val="bullet"/>
      <w:lvlText w:val="•"/>
      <w:lvlJc w:val="left"/>
      <w:pPr>
        <w:ind w:left="6481" w:hanging="420"/>
      </w:pPr>
      <w:rPr>
        <w:rFonts w:hint="default"/>
      </w:rPr>
    </w:lvl>
    <w:lvl w:ilvl="8">
      <w:start w:val="0"/>
      <w:numFmt w:val="bullet"/>
      <w:lvlText w:val="•"/>
      <w:lvlJc w:val="left"/>
      <w:pPr>
        <w:ind w:left="7324" w:hanging="420"/>
      </w:pPr>
      <w:rPr>
        <w:rFonts w:hint="default"/>
      </w:rPr>
    </w:lvl>
  </w:abstractNum>
  <w:abstractNum w:abstractNumId="10">
    <w:multiLevelType w:val="hybridMultilevel"/>
    <w:lvl w:ilvl="0">
      <w:start w:val="1"/>
      <w:numFmt w:val="decimal"/>
      <w:lvlText w:val="%1)"/>
      <w:lvlJc w:val="left"/>
      <w:pPr>
        <w:ind w:left="581" w:hanging="420"/>
        <w:jc w:val="left"/>
      </w:pPr>
      <w:rPr>
        <w:rFonts w:hint="default" w:ascii="宋体" w:hAnsi="宋体" w:eastAsia="宋体" w:cs="宋体"/>
        <w:w w:val="100"/>
        <w:sz w:val="21"/>
        <w:szCs w:val="21"/>
      </w:rPr>
    </w:lvl>
    <w:lvl w:ilvl="1">
      <w:start w:val="0"/>
      <w:numFmt w:val="bullet"/>
      <w:lvlText w:val="•"/>
      <w:lvlJc w:val="left"/>
      <w:pPr>
        <w:ind w:left="1423" w:hanging="420"/>
      </w:pPr>
      <w:rPr>
        <w:rFonts w:hint="default"/>
      </w:rPr>
    </w:lvl>
    <w:lvl w:ilvl="2">
      <w:start w:val="0"/>
      <w:numFmt w:val="bullet"/>
      <w:lvlText w:val="•"/>
      <w:lvlJc w:val="left"/>
      <w:pPr>
        <w:ind w:left="2266" w:hanging="420"/>
      </w:pPr>
      <w:rPr>
        <w:rFonts w:hint="default"/>
      </w:rPr>
    </w:lvl>
    <w:lvl w:ilvl="3">
      <w:start w:val="0"/>
      <w:numFmt w:val="bullet"/>
      <w:lvlText w:val="•"/>
      <w:lvlJc w:val="left"/>
      <w:pPr>
        <w:ind w:left="3109" w:hanging="420"/>
      </w:pPr>
      <w:rPr>
        <w:rFonts w:hint="default"/>
      </w:rPr>
    </w:lvl>
    <w:lvl w:ilvl="4">
      <w:start w:val="0"/>
      <w:numFmt w:val="bullet"/>
      <w:lvlText w:val="•"/>
      <w:lvlJc w:val="left"/>
      <w:pPr>
        <w:ind w:left="3952" w:hanging="420"/>
      </w:pPr>
      <w:rPr>
        <w:rFonts w:hint="default"/>
      </w:rPr>
    </w:lvl>
    <w:lvl w:ilvl="5">
      <w:start w:val="0"/>
      <w:numFmt w:val="bullet"/>
      <w:lvlText w:val="•"/>
      <w:lvlJc w:val="left"/>
      <w:pPr>
        <w:ind w:left="4795" w:hanging="420"/>
      </w:pPr>
      <w:rPr>
        <w:rFonts w:hint="default"/>
      </w:rPr>
    </w:lvl>
    <w:lvl w:ilvl="6">
      <w:start w:val="0"/>
      <w:numFmt w:val="bullet"/>
      <w:lvlText w:val="•"/>
      <w:lvlJc w:val="left"/>
      <w:pPr>
        <w:ind w:left="5638" w:hanging="420"/>
      </w:pPr>
      <w:rPr>
        <w:rFonts w:hint="default"/>
      </w:rPr>
    </w:lvl>
    <w:lvl w:ilvl="7">
      <w:start w:val="0"/>
      <w:numFmt w:val="bullet"/>
      <w:lvlText w:val="•"/>
      <w:lvlJc w:val="left"/>
      <w:pPr>
        <w:ind w:left="6481" w:hanging="420"/>
      </w:pPr>
      <w:rPr>
        <w:rFonts w:hint="default"/>
      </w:rPr>
    </w:lvl>
    <w:lvl w:ilvl="8">
      <w:start w:val="0"/>
      <w:numFmt w:val="bullet"/>
      <w:lvlText w:val="•"/>
      <w:lvlJc w:val="left"/>
      <w:pPr>
        <w:ind w:left="7324" w:hanging="420"/>
      </w:pPr>
      <w:rPr>
        <w:rFonts w:hint="default"/>
      </w:rPr>
    </w:lvl>
  </w:abstractNum>
  <w:abstractNum w:abstractNumId="9">
    <w:multiLevelType w:val="hybridMultilevel"/>
    <w:lvl w:ilvl="0">
      <w:start w:val="1"/>
      <w:numFmt w:val="decimal"/>
      <w:lvlText w:val="%1)"/>
      <w:lvlJc w:val="left"/>
      <w:pPr>
        <w:ind w:left="582" w:hanging="420"/>
        <w:jc w:val="left"/>
      </w:pPr>
      <w:rPr>
        <w:rFonts w:hint="default" w:ascii="宋体" w:hAnsi="宋体" w:eastAsia="宋体" w:cs="宋体"/>
        <w:w w:val="100"/>
        <w:sz w:val="21"/>
        <w:szCs w:val="21"/>
      </w:rPr>
    </w:lvl>
    <w:lvl w:ilvl="1">
      <w:start w:val="0"/>
      <w:numFmt w:val="bullet"/>
      <w:lvlText w:val="•"/>
      <w:lvlJc w:val="left"/>
      <w:pPr>
        <w:ind w:left="1403" w:hanging="420"/>
      </w:pPr>
      <w:rPr>
        <w:rFonts w:hint="default"/>
      </w:rPr>
    </w:lvl>
    <w:lvl w:ilvl="2">
      <w:start w:val="0"/>
      <w:numFmt w:val="bullet"/>
      <w:lvlText w:val="•"/>
      <w:lvlJc w:val="left"/>
      <w:pPr>
        <w:ind w:left="2226" w:hanging="420"/>
      </w:pPr>
      <w:rPr>
        <w:rFonts w:hint="default"/>
      </w:rPr>
    </w:lvl>
    <w:lvl w:ilvl="3">
      <w:start w:val="0"/>
      <w:numFmt w:val="bullet"/>
      <w:lvlText w:val="•"/>
      <w:lvlJc w:val="left"/>
      <w:pPr>
        <w:ind w:left="3049" w:hanging="420"/>
      </w:pPr>
      <w:rPr>
        <w:rFonts w:hint="default"/>
      </w:rPr>
    </w:lvl>
    <w:lvl w:ilvl="4">
      <w:start w:val="0"/>
      <w:numFmt w:val="bullet"/>
      <w:lvlText w:val="•"/>
      <w:lvlJc w:val="left"/>
      <w:pPr>
        <w:ind w:left="3872" w:hanging="420"/>
      </w:pPr>
      <w:rPr>
        <w:rFonts w:hint="default"/>
      </w:rPr>
    </w:lvl>
    <w:lvl w:ilvl="5">
      <w:start w:val="0"/>
      <w:numFmt w:val="bullet"/>
      <w:lvlText w:val="•"/>
      <w:lvlJc w:val="left"/>
      <w:pPr>
        <w:ind w:left="4695" w:hanging="420"/>
      </w:pPr>
      <w:rPr>
        <w:rFonts w:hint="default"/>
      </w:rPr>
    </w:lvl>
    <w:lvl w:ilvl="6">
      <w:start w:val="0"/>
      <w:numFmt w:val="bullet"/>
      <w:lvlText w:val="•"/>
      <w:lvlJc w:val="left"/>
      <w:pPr>
        <w:ind w:left="5518" w:hanging="420"/>
      </w:pPr>
      <w:rPr>
        <w:rFonts w:hint="default"/>
      </w:rPr>
    </w:lvl>
    <w:lvl w:ilvl="7">
      <w:start w:val="0"/>
      <w:numFmt w:val="bullet"/>
      <w:lvlText w:val="•"/>
      <w:lvlJc w:val="left"/>
      <w:pPr>
        <w:ind w:left="6341" w:hanging="420"/>
      </w:pPr>
      <w:rPr>
        <w:rFonts w:hint="default"/>
      </w:rPr>
    </w:lvl>
    <w:lvl w:ilvl="8">
      <w:start w:val="0"/>
      <w:numFmt w:val="bullet"/>
      <w:lvlText w:val="•"/>
      <w:lvlJc w:val="left"/>
      <w:pPr>
        <w:ind w:left="7164" w:hanging="420"/>
      </w:pPr>
      <w:rPr>
        <w:rFonts w:hint="default"/>
      </w:rPr>
    </w:lvl>
  </w:abstractNum>
  <w:abstractNum w:abstractNumId="8">
    <w:multiLevelType w:val="hybridMultilevel"/>
    <w:lvl w:ilvl="0">
      <w:start w:val="1"/>
      <w:numFmt w:val="decimal"/>
      <w:lvlText w:val="%1)"/>
      <w:lvlJc w:val="left"/>
      <w:pPr>
        <w:ind w:left="582" w:hanging="420"/>
        <w:jc w:val="left"/>
      </w:pPr>
      <w:rPr>
        <w:rFonts w:hint="default" w:ascii="宋体" w:hAnsi="宋体" w:eastAsia="宋体" w:cs="宋体"/>
        <w:w w:val="100"/>
        <w:sz w:val="21"/>
        <w:szCs w:val="21"/>
      </w:rPr>
    </w:lvl>
    <w:lvl w:ilvl="1">
      <w:start w:val="0"/>
      <w:numFmt w:val="bullet"/>
      <w:lvlText w:val="•"/>
      <w:lvlJc w:val="left"/>
      <w:pPr>
        <w:ind w:left="1403" w:hanging="420"/>
      </w:pPr>
      <w:rPr>
        <w:rFonts w:hint="default"/>
      </w:rPr>
    </w:lvl>
    <w:lvl w:ilvl="2">
      <w:start w:val="0"/>
      <w:numFmt w:val="bullet"/>
      <w:lvlText w:val="•"/>
      <w:lvlJc w:val="left"/>
      <w:pPr>
        <w:ind w:left="2226" w:hanging="420"/>
      </w:pPr>
      <w:rPr>
        <w:rFonts w:hint="default"/>
      </w:rPr>
    </w:lvl>
    <w:lvl w:ilvl="3">
      <w:start w:val="0"/>
      <w:numFmt w:val="bullet"/>
      <w:lvlText w:val="•"/>
      <w:lvlJc w:val="left"/>
      <w:pPr>
        <w:ind w:left="3049" w:hanging="420"/>
      </w:pPr>
      <w:rPr>
        <w:rFonts w:hint="default"/>
      </w:rPr>
    </w:lvl>
    <w:lvl w:ilvl="4">
      <w:start w:val="0"/>
      <w:numFmt w:val="bullet"/>
      <w:lvlText w:val="•"/>
      <w:lvlJc w:val="left"/>
      <w:pPr>
        <w:ind w:left="3872" w:hanging="420"/>
      </w:pPr>
      <w:rPr>
        <w:rFonts w:hint="default"/>
      </w:rPr>
    </w:lvl>
    <w:lvl w:ilvl="5">
      <w:start w:val="0"/>
      <w:numFmt w:val="bullet"/>
      <w:lvlText w:val="•"/>
      <w:lvlJc w:val="left"/>
      <w:pPr>
        <w:ind w:left="4695" w:hanging="420"/>
      </w:pPr>
      <w:rPr>
        <w:rFonts w:hint="default"/>
      </w:rPr>
    </w:lvl>
    <w:lvl w:ilvl="6">
      <w:start w:val="0"/>
      <w:numFmt w:val="bullet"/>
      <w:lvlText w:val="•"/>
      <w:lvlJc w:val="left"/>
      <w:pPr>
        <w:ind w:left="5518" w:hanging="420"/>
      </w:pPr>
      <w:rPr>
        <w:rFonts w:hint="default"/>
      </w:rPr>
    </w:lvl>
    <w:lvl w:ilvl="7">
      <w:start w:val="0"/>
      <w:numFmt w:val="bullet"/>
      <w:lvlText w:val="•"/>
      <w:lvlJc w:val="left"/>
      <w:pPr>
        <w:ind w:left="6341" w:hanging="420"/>
      </w:pPr>
      <w:rPr>
        <w:rFonts w:hint="default"/>
      </w:rPr>
    </w:lvl>
    <w:lvl w:ilvl="8">
      <w:start w:val="0"/>
      <w:numFmt w:val="bullet"/>
      <w:lvlText w:val="•"/>
      <w:lvlJc w:val="left"/>
      <w:pPr>
        <w:ind w:left="7164" w:hanging="420"/>
      </w:pPr>
      <w:rPr>
        <w:rFonts w:hint="default"/>
      </w:rPr>
    </w:lvl>
  </w:abstractNum>
  <w:abstractNum w:abstractNumId="7">
    <w:multiLevelType w:val="hybridMultilevel"/>
    <w:lvl w:ilvl="0">
      <w:start w:val="1"/>
      <w:numFmt w:val="decimal"/>
      <w:lvlText w:val="%1)"/>
      <w:lvlJc w:val="left"/>
      <w:pPr>
        <w:ind w:left="582" w:hanging="420"/>
        <w:jc w:val="left"/>
      </w:pPr>
      <w:rPr>
        <w:rFonts w:hint="default" w:ascii="宋体" w:hAnsi="宋体" w:eastAsia="宋体" w:cs="宋体"/>
        <w:w w:val="100"/>
        <w:sz w:val="21"/>
        <w:szCs w:val="21"/>
      </w:rPr>
    </w:lvl>
    <w:lvl w:ilvl="1">
      <w:start w:val="0"/>
      <w:numFmt w:val="bullet"/>
      <w:lvlText w:val="•"/>
      <w:lvlJc w:val="left"/>
      <w:pPr>
        <w:ind w:left="1403" w:hanging="420"/>
      </w:pPr>
      <w:rPr>
        <w:rFonts w:hint="default"/>
      </w:rPr>
    </w:lvl>
    <w:lvl w:ilvl="2">
      <w:start w:val="0"/>
      <w:numFmt w:val="bullet"/>
      <w:lvlText w:val="•"/>
      <w:lvlJc w:val="left"/>
      <w:pPr>
        <w:ind w:left="2226" w:hanging="420"/>
      </w:pPr>
      <w:rPr>
        <w:rFonts w:hint="default"/>
      </w:rPr>
    </w:lvl>
    <w:lvl w:ilvl="3">
      <w:start w:val="0"/>
      <w:numFmt w:val="bullet"/>
      <w:lvlText w:val="•"/>
      <w:lvlJc w:val="left"/>
      <w:pPr>
        <w:ind w:left="3049" w:hanging="420"/>
      </w:pPr>
      <w:rPr>
        <w:rFonts w:hint="default"/>
      </w:rPr>
    </w:lvl>
    <w:lvl w:ilvl="4">
      <w:start w:val="0"/>
      <w:numFmt w:val="bullet"/>
      <w:lvlText w:val="•"/>
      <w:lvlJc w:val="left"/>
      <w:pPr>
        <w:ind w:left="3872" w:hanging="420"/>
      </w:pPr>
      <w:rPr>
        <w:rFonts w:hint="default"/>
      </w:rPr>
    </w:lvl>
    <w:lvl w:ilvl="5">
      <w:start w:val="0"/>
      <w:numFmt w:val="bullet"/>
      <w:lvlText w:val="•"/>
      <w:lvlJc w:val="left"/>
      <w:pPr>
        <w:ind w:left="4695" w:hanging="420"/>
      </w:pPr>
      <w:rPr>
        <w:rFonts w:hint="default"/>
      </w:rPr>
    </w:lvl>
    <w:lvl w:ilvl="6">
      <w:start w:val="0"/>
      <w:numFmt w:val="bullet"/>
      <w:lvlText w:val="•"/>
      <w:lvlJc w:val="left"/>
      <w:pPr>
        <w:ind w:left="5518" w:hanging="420"/>
      </w:pPr>
      <w:rPr>
        <w:rFonts w:hint="default"/>
      </w:rPr>
    </w:lvl>
    <w:lvl w:ilvl="7">
      <w:start w:val="0"/>
      <w:numFmt w:val="bullet"/>
      <w:lvlText w:val="•"/>
      <w:lvlJc w:val="left"/>
      <w:pPr>
        <w:ind w:left="6341" w:hanging="420"/>
      </w:pPr>
      <w:rPr>
        <w:rFonts w:hint="default"/>
      </w:rPr>
    </w:lvl>
    <w:lvl w:ilvl="8">
      <w:start w:val="0"/>
      <w:numFmt w:val="bullet"/>
      <w:lvlText w:val="•"/>
      <w:lvlJc w:val="left"/>
      <w:pPr>
        <w:ind w:left="7164" w:hanging="420"/>
      </w:pPr>
      <w:rPr>
        <w:rFonts w:hint="default"/>
      </w:rPr>
    </w:lvl>
  </w:abstractNum>
  <w:abstractNum w:abstractNumId="6">
    <w:multiLevelType w:val="hybridMultilevel"/>
    <w:lvl w:ilvl="0">
      <w:start w:val="1"/>
      <w:numFmt w:val="decimal"/>
      <w:lvlText w:val="%1)"/>
      <w:lvlJc w:val="left"/>
      <w:pPr>
        <w:ind w:left="582" w:hanging="420"/>
        <w:jc w:val="left"/>
      </w:pPr>
      <w:rPr>
        <w:rFonts w:hint="default" w:ascii="宋体" w:hAnsi="宋体" w:eastAsia="宋体" w:cs="宋体"/>
        <w:w w:val="100"/>
        <w:sz w:val="21"/>
        <w:szCs w:val="21"/>
      </w:rPr>
    </w:lvl>
    <w:lvl w:ilvl="1">
      <w:start w:val="0"/>
      <w:numFmt w:val="bullet"/>
      <w:lvlText w:val="•"/>
      <w:lvlJc w:val="left"/>
      <w:pPr>
        <w:ind w:left="1403" w:hanging="420"/>
      </w:pPr>
      <w:rPr>
        <w:rFonts w:hint="default"/>
      </w:rPr>
    </w:lvl>
    <w:lvl w:ilvl="2">
      <w:start w:val="0"/>
      <w:numFmt w:val="bullet"/>
      <w:lvlText w:val="•"/>
      <w:lvlJc w:val="left"/>
      <w:pPr>
        <w:ind w:left="2226" w:hanging="420"/>
      </w:pPr>
      <w:rPr>
        <w:rFonts w:hint="default"/>
      </w:rPr>
    </w:lvl>
    <w:lvl w:ilvl="3">
      <w:start w:val="0"/>
      <w:numFmt w:val="bullet"/>
      <w:lvlText w:val="•"/>
      <w:lvlJc w:val="left"/>
      <w:pPr>
        <w:ind w:left="3049" w:hanging="420"/>
      </w:pPr>
      <w:rPr>
        <w:rFonts w:hint="default"/>
      </w:rPr>
    </w:lvl>
    <w:lvl w:ilvl="4">
      <w:start w:val="0"/>
      <w:numFmt w:val="bullet"/>
      <w:lvlText w:val="•"/>
      <w:lvlJc w:val="left"/>
      <w:pPr>
        <w:ind w:left="3872" w:hanging="420"/>
      </w:pPr>
      <w:rPr>
        <w:rFonts w:hint="default"/>
      </w:rPr>
    </w:lvl>
    <w:lvl w:ilvl="5">
      <w:start w:val="0"/>
      <w:numFmt w:val="bullet"/>
      <w:lvlText w:val="•"/>
      <w:lvlJc w:val="left"/>
      <w:pPr>
        <w:ind w:left="4695" w:hanging="420"/>
      </w:pPr>
      <w:rPr>
        <w:rFonts w:hint="default"/>
      </w:rPr>
    </w:lvl>
    <w:lvl w:ilvl="6">
      <w:start w:val="0"/>
      <w:numFmt w:val="bullet"/>
      <w:lvlText w:val="•"/>
      <w:lvlJc w:val="left"/>
      <w:pPr>
        <w:ind w:left="5518" w:hanging="420"/>
      </w:pPr>
      <w:rPr>
        <w:rFonts w:hint="default"/>
      </w:rPr>
    </w:lvl>
    <w:lvl w:ilvl="7">
      <w:start w:val="0"/>
      <w:numFmt w:val="bullet"/>
      <w:lvlText w:val="•"/>
      <w:lvlJc w:val="left"/>
      <w:pPr>
        <w:ind w:left="6341" w:hanging="420"/>
      </w:pPr>
      <w:rPr>
        <w:rFonts w:hint="default"/>
      </w:rPr>
    </w:lvl>
    <w:lvl w:ilvl="8">
      <w:start w:val="0"/>
      <w:numFmt w:val="bullet"/>
      <w:lvlText w:val="•"/>
      <w:lvlJc w:val="left"/>
      <w:pPr>
        <w:ind w:left="7164" w:hanging="420"/>
      </w:pPr>
      <w:rPr>
        <w:rFonts w:hint="default"/>
      </w:rPr>
    </w:lvl>
  </w:abstractNum>
  <w:abstractNum w:abstractNumId="5">
    <w:multiLevelType w:val="hybridMultilevel"/>
    <w:lvl w:ilvl="0">
      <w:start w:val="7"/>
      <w:numFmt w:val="decimal"/>
      <w:lvlText w:val="%1"/>
      <w:lvlJc w:val="left"/>
      <w:pPr>
        <w:ind w:left="2348" w:hanging="423"/>
        <w:jc w:val="left"/>
      </w:pPr>
      <w:rPr>
        <w:rFonts w:hint="default"/>
      </w:rPr>
    </w:lvl>
    <w:lvl w:ilvl="1">
      <w:start w:val="1"/>
      <w:numFmt w:val="decimal"/>
      <w:lvlText w:val="%1.%2"/>
      <w:lvlJc w:val="left"/>
      <w:pPr>
        <w:ind w:left="1925" w:hanging="423"/>
        <w:jc w:val="left"/>
      </w:pPr>
      <w:rPr>
        <w:rFonts w:hint="default" w:ascii="宋体" w:hAnsi="宋体" w:eastAsia="宋体" w:cs="宋体"/>
        <w:w w:val="100"/>
        <w:sz w:val="21"/>
        <w:szCs w:val="21"/>
      </w:rPr>
    </w:lvl>
    <w:lvl w:ilvl="2">
      <w:start w:val="0"/>
      <w:numFmt w:val="bullet"/>
      <w:lvlText w:val="•"/>
      <w:lvlJc w:val="left"/>
      <w:pPr>
        <w:ind w:left="2848" w:hanging="423"/>
      </w:pPr>
      <w:rPr>
        <w:rFonts w:hint="default"/>
      </w:rPr>
    </w:lvl>
    <w:lvl w:ilvl="3">
      <w:start w:val="0"/>
      <w:numFmt w:val="bullet"/>
      <w:lvlText w:val="•"/>
      <w:lvlJc w:val="left"/>
      <w:pPr>
        <w:ind w:left="3357" w:hanging="423"/>
      </w:pPr>
      <w:rPr>
        <w:rFonts w:hint="default"/>
      </w:rPr>
    </w:lvl>
    <w:lvl w:ilvl="4">
      <w:start w:val="0"/>
      <w:numFmt w:val="bullet"/>
      <w:lvlText w:val="•"/>
      <w:lvlJc w:val="left"/>
      <w:pPr>
        <w:ind w:left="3865" w:hanging="423"/>
      </w:pPr>
      <w:rPr>
        <w:rFonts w:hint="default"/>
      </w:rPr>
    </w:lvl>
    <w:lvl w:ilvl="5">
      <w:start w:val="0"/>
      <w:numFmt w:val="bullet"/>
      <w:lvlText w:val="•"/>
      <w:lvlJc w:val="left"/>
      <w:pPr>
        <w:ind w:left="4374" w:hanging="423"/>
      </w:pPr>
      <w:rPr>
        <w:rFonts w:hint="default"/>
      </w:rPr>
    </w:lvl>
    <w:lvl w:ilvl="6">
      <w:start w:val="0"/>
      <w:numFmt w:val="bullet"/>
      <w:lvlText w:val="•"/>
      <w:lvlJc w:val="left"/>
      <w:pPr>
        <w:ind w:left="4882" w:hanging="423"/>
      </w:pPr>
      <w:rPr>
        <w:rFonts w:hint="default"/>
      </w:rPr>
    </w:lvl>
    <w:lvl w:ilvl="7">
      <w:start w:val="0"/>
      <w:numFmt w:val="bullet"/>
      <w:lvlText w:val="•"/>
      <w:lvlJc w:val="left"/>
      <w:pPr>
        <w:ind w:left="5391" w:hanging="423"/>
      </w:pPr>
      <w:rPr>
        <w:rFonts w:hint="default"/>
      </w:rPr>
    </w:lvl>
    <w:lvl w:ilvl="8">
      <w:start w:val="0"/>
      <w:numFmt w:val="bullet"/>
      <w:lvlText w:val="•"/>
      <w:lvlJc w:val="left"/>
      <w:pPr>
        <w:ind w:left="5899" w:hanging="423"/>
      </w:pPr>
      <w:rPr>
        <w:rFonts w:hint="default"/>
      </w:rPr>
    </w:lvl>
  </w:abstractNum>
  <w:abstractNum w:abstractNumId="4">
    <w:multiLevelType w:val="hybridMultilevel"/>
    <w:lvl w:ilvl="0">
      <w:start w:val="6"/>
      <w:numFmt w:val="decimal"/>
      <w:lvlText w:val="%1"/>
      <w:lvlJc w:val="left"/>
      <w:pPr>
        <w:ind w:left="2348" w:hanging="423"/>
        <w:jc w:val="left"/>
      </w:pPr>
      <w:rPr>
        <w:rFonts w:hint="default"/>
      </w:rPr>
    </w:lvl>
    <w:lvl w:ilvl="1">
      <w:start w:val="1"/>
      <w:numFmt w:val="decimal"/>
      <w:lvlText w:val="%1.%2"/>
      <w:lvlJc w:val="left"/>
      <w:pPr>
        <w:ind w:left="2348" w:hanging="423"/>
        <w:jc w:val="left"/>
      </w:pPr>
      <w:rPr>
        <w:rFonts w:hint="default" w:ascii="宋体" w:hAnsi="宋体" w:eastAsia="宋体" w:cs="宋体"/>
        <w:w w:val="100"/>
        <w:sz w:val="21"/>
        <w:szCs w:val="21"/>
      </w:rPr>
    </w:lvl>
    <w:lvl w:ilvl="2">
      <w:start w:val="0"/>
      <w:numFmt w:val="bullet"/>
      <w:lvlText w:val="•"/>
      <w:lvlJc w:val="left"/>
      <w:pPr>
        <w:ind w:left="3255" w:hanging="423"/>
      </w:pPr>
      <w:rPr>
        <w:rFonts w:hint="default"/>
      </w:rPr>
    </w:lvl>
    <w:lvl w:ilvl="3">
      <w:start w:val="0"/>
      <w:numFmt w:val="bullet"/>
      <w:lvlText w:val="•"/>
      <w:lvlJc w:val="left"/>
      <w:pPr>
        <w:ind w:left="3713" w:hanging="423"/>
      </w:pPr>
      <w:rPr>
        <w:rFonts w:hint="default"/>
      </w:rPr>
    </w:lvl>
    <w:lvl w:ilvl="4">
      <w:start w:val="0"/>
      <w:numFmt w:val="bullet"/>
      <w:lvlText w:val="•"/>
      <w:lvlJc w:val="left"/>
      <w:pPr>
        <w:ind w:left="4170" w:hanging="423"/>
      </w:pPr>
      <w:rPr>
        <w:rFonts w:hint="default"/>
      </w:rPr>
    </w:lvl>
    <w:lvl w:ilvl="5">
      <w:start w:val="0"/>
      <w:numFmt w:val="bullet"/>
      <w:lvlText w:val="•"/>
      <w:lvlJc w:val="left"/>
      <w:pPr>
        <w:ind w:left="4628" w:hanging="423"/>
      </w:pPr>
      <w:rPr>
        <w:rFonts w:hint="default"/>
      </w:rPr>
    </w:lvl>
    <w:lvl w:ilvl="6">
      <w:start w:val="0"/>
      <w:numFmt w:val="bullet"/>
      <w:lvlText w:val="•"/>
      <w:lvlJc w:val="left"/>
      <w:pPr>
        <w:ind w:left="5086" w:hanging="423"/>
      </w:pPr>
      <w:rPr>
        <w:rFonts w:hint="default"/>
      </w:rPr>
    </w:lvl>
    <w:lvl w:ilvl="7">
      <w:start w:val="0"/>
      <w:numFmt w:val="bullet"/>
      <w:lvlText w:val="•"/>
      <w:lvlJc w:val="left"/>
      <w:pPr>
        <w:ind w:left="5543" w:hanging="423"/>
      </w:pPr>
      <w:rPr>
        <w:rFonts w:hint="default"/>
      </w:rPr>
    </w:lvl>
    <w:lvl w:ilvl="8">
      <w:start w:val="0"/>
      <w:numFmt w:val="bullet"/>
      <w:lvlText w:val="•"/>
      <w:lvlJc w:val="left"/>
      <w:pPr>
        <w:ind w:left="6001" w:hanging="423"/>
      </w:pPr>
      <w:rPr>
        <w:rFonts w:hint="default"/>
      </w:rPr>
    </w:lvl>
  </w:abstractNum>
  <w:abstractNum w:abstractNumId="3">
    <w:multiLevelType w:val="hybridMultilevel"/>
    <w:lvl w:ilvl="0">
      <w:start w:val="5"/>
      <w:numFmt w:val="decimal"/>
      <w:lvlText w:val="%1"/>
      <w:lvlJc w:val="left"/>
      <w:pPr>
        <w:ind w:left="2350" w:hanging="423"/>
        <w:jc w:val="left"/>
      </w:pPr>
      <w:rPr>
        <w:rFonts w:hint="default"/>
      </w:rPr>
    </w:lvl>
    <w:lvl w:ilvl="1">
      <w:start w:val="1"/>
      <w:numFmt w:val="decimal"/>
      <w:lvlText w:val="%1.%2"/>
      <w:lvlJc w:val="left"/>
      <w:pPr>
        <w:ind w:left="1714" w:hanging="423"/>
        <w:jc w:val="left"/>
      </w:pPr>
      <w:rPr>
        <w:rFonts w:hint="default" w:ascii="宋体" w:hAnsi="宋体" w:eastAsia="宋体" w:cs="宋体"/>
        <w:w w:val="100"/>
        <w:sz w:val="21"/>
        <w:szCs w:val="21"/>
      </w:rPr>
    </w:lvl>
    <w:lvl w:ilvl="2">
      <w:start w:val="0"/>
      <w:numFmt w:val="bullet"/>
      <w:lvlText w:val="•"/>
      <w:lvlJc w:val="left"/>
      <w:pPr>
        <w:ind w:left="2569" w:hanging="423"/>
      </w:pPr>
      <w:rPr>
        <w:rFonts w:hint="default"/>
      </w:rPr>
    </w:lvl>
    <w:lvl w:ilvl="3">
      <w:start w:val="0"/>
      <w:numFmt w:val="bullet"/>
      <w:lvlText w:val="•"/>
      <w:lvlJc w:val="left"/>
      <w:pPr>
        <w:ind w:left="2778" w:hanging="423"/>
      </w:pPr>
      <w:rPr>
        <w:rFonts w:hint="default"/>
      </w:rPr>
    </w:lvl>
    <w:lvl w:ilvl="4">
      <w:start w:val="0"/>
      <w:numFmt w:val="bullet"/>
      <w:lvlText w:val="•"/>
      <w:lvlJc w:val="left"/>
      <w:pPr>
        <w:ind w:left="2987" w:hanging="423"/>
      </w:pPr>
      <w:rPr>
        <w:rFonts w:hint="default"/>
      </w:rPr>
    </w:lvl>
    <w:lvl w:ilvl="5">
      <w:start w:val="0"/>
      <w:numFmt w:val="bullet"/>
      <w:lvlText w:val="•"/>
      <w:lvlJc w:val="left"/>
      <w:pPr>
        <w:ind w:left="3196" w:hanging="423"/>
      </w:pPr>
      <w:rPr>
        <w:rFonts w:hint="default"/>
      </w:rPr>
    </w:lvl>
    <w:lvl w:ilvl="6">
      <w:start w:val="0"/>
      <w:numFmt w:val="bullet"/>
      <w:lvlText w:val="•"/>
      <w:lvlJc w:val="left"/>
      <w:pPr>
        <w:ind w:left="3405" w:hanging="423"/>
      </w:pPr>
      <w:rPr>
        <w:rFonts w:hint="default"/>
      </w:rPr>
    </w:lvl>
    <w:lvl w:ilvl="7">
      <w:start w:val="0"/>
      <w:numFmt w:val="bullet"/>
      <w:lvlText w:val="•"/>
      <w:lvlJc w:val="left"/>
      <w:pPr>
        <w:ind w:left="3614" w:hanging="423"/>
      </w:pPr>
      <w:rPr>
        <w:rFonts w:hint="default"/>
      </w:rPr>
    </w:lvl>
    <w:lvl w:ilvl="8">
      <w:start w:val="0"/>
      <w:numFmt w:val="bullet"/>
      <w:lvlText w:val="•"/>
      <w:lvlJc w:val="left"/>
      <w:pPr>
        <w:ind w:left="3823" w:hanging="423"/>
      </w:pPr>
      <w:rPr>
        <w:rFonts w:hint="default"/>
      </w:rPr>
    </w:lvl>
  </w:abstractNum>
  <w:abstractNum w:abstractNumId="2">
    <w:multiLevelType w:val="hybridMultilevel"/>
    <w:lvl w:ilvl="0">
      <w:start w:val="3"/>
      <w:numFmt w:val="decimal"/>
      <w:lvlText w:val="%1"/>
      <w:lvlJc w:val="left"/>
      <w:pPr>
        <w:ind w:left="2350" w:hanging="423"/>
        <w:jc w:val="left"/>
      </w:pPr>
      <w:rPr>
        <w:rFonts w:hint="default"/>
      </w:rPr>
    </w:lvl>
    <w:lvl w:ilvl="1">
      <w:start w:val="1"/>
      <w:numFmt w:val="decimal"/>
      <w:lvlText w:val="%1.%2"/>
      <w:lvlJc w:val="left"/>
      <w:pPr>
        <w:ind w:left="2350" w:hanging="423"/>
        <w:jc w:val="left"/>
      </w:pPr>
      <w:rPr>
        <w:rFonts w:hint="default" w:ascii="宋体" w:hAnsi="宋体" w:eastAsia="宋体" w:cs="宋体"/>
        <w:w w:val="100"/>
        <w:sz w:val="21"/>
        <w:szCs w:val="21"/>
      </w:rPr>
    </w:lvl>
    <w:lvl w:ilvl="2">
      <w:start w:val="0"/>
      <w:numFmt w:val="bullet"/>
      <w:lvlText w:val="•"/>
      <w:lvlJc w:val="left"/>
      <w:pPr>
        <w:ind w:left="2736" w:hanging="423"/>
      </w:pPr>
      <w:rPr>
        <w:rFonts w:hint="default"/>
      </w:rPr>
    </w:lvl>
    <w:lvl w:ilvl="3">
      <w:start w:val="0"/>
      <w:numFmt w:val="bullet"/>
      <w:lvlText w:val="•"/>
      <w:lvlJc w:val="left"/>
      <w:pPr>
        <w:ind w:left="2924" w:hanging="423"/>
      </w:pPr>
      <w:rPr>
        <w:rFonts w:hint="default"/>
      </w:rPr>
    </w:lvl>
    <w:lvl w:ilvl="4">
      <w:start w:val="0"/>
      <w:numFmt w:val="bullet"/>
      <w:lvlText w:val="•"/>
      <w:lvlJc w:val="left"/>
      <w:pPr>
        <w:ind w:left="3112" w:hanging="423"/>
      </w:pPr>
      <w:rPr>
        <w:rFonts w:hint="default"/>
      </w:rPr>
    </w:lvl>
    <w:lvl w:ilvl="5">
      <w:start w:val="0"/>
      <w:numFmt w:val="bullet"/>
      <w:lvlText w:val="•"/>
      <w:lvlJc w:val="left"/>
      <w:pPr>
        <w:ind w:left="3300" w:hanging="423"/>
      </w:pPr>
      <w:rPr>
        <w:rFonts w:hint="default"/>
      </w:rPr>
    </w:lvl>
    <w:lvl w:ilvl="6">
      <w:start w:val="0"/>
      <w:numFmt w:val="bullet"/>
      <w:lvlText w:val="•"/>
      <w:lvlJc w:val="left"/>
      <w:pPr>
        <w:ind w:left="3488" w:hanging="423"/>
      </w:pPr>
      <w:rPr>
        <w:rFonts w:hint="default"/>
      </w:rPr>
    </w:lvl>
    <w:lvl w:ilvl="7">
      <w:start w:val="0"/>
      <w:numFmt w:val="bullet"/>
      <w:lvlText w:val="•"/>
      <w:lvlJc w:val="left"/>
      <w:pPr>
        <w:ind w:left="3677" w:hanging="423"/>
      </w:pPr>
      <w:rPr>
        <w:rFonts w:hint="default"/>
      </w:rPr>
    </w:lvl>
    <w:lvl w:ilvl="8">
      <w:start w:val="0"/>
      <w:numFmt w:val="bullet"/>
      <w:lvlText w:val="•"/>
      <w:lvlJc w:val="left"/>
      <w:pPr>
        <w:ind w:left="3865" w:hanging="423"/>
      </w:pPr>
      <w:rPr>
        <w:rFonts w:hint="default"/>
      </w:rPr>
    </w:lvl>
  </w:abstractNum>
  <w:abstractNum w:abstractNumId="1">
    <w:multiLevelType w:val="hybridMultilevel"/>
    <w:lvl w:ilvl="0">
      <w:start w:val="2"/>
      <w:numFmt w:val="decimal"/>
      <w:lvlText w:val="%1"/>
      <w:lvlJc w:val="left"/>
      <w:pPr>
        <w:ind w:left="2350" w:hanging="423"/>
        <w:jc w:val="left"/>
      </w:pPr>
      <w:rPr>
        <w:rFonts w:hint="default"/>
      </w:rPr>
    </w:lvl>
    <w:lvl w:ilvl="1">
      <w:start w:val="1"/>
      <w:numFmt w:val="decimal"/>
      <w:lvlText w:val="%1.%2"/>
      <w:lvlJc w:val="left"/>
      <w:pPr>
        <w:ind w:left="2350" w:hanging="423"/>
        <w:jc w:val="left"/>
      </w:pPr>
      <w:rPr>
        <w:rFonts w:hint="default" w:ascii="宋体" w:hAnsi="宋体" w:eastAsia="宋体" w:cs="宋体"/>
        <w:w w:val="100"/>
        <w:sz w:val="21"/>
        <w:szCs w:val="21"/>
      </w:rPr>
    </w:lvl>
    <w:lvl w:ilvl="2">
      <w:start w:val="0"/>
      <w:numFmt w:val="bullet"/>
      <w:lvlText w:val="•"/>
      <w:lvlJc w:val="left"/>
      <w:pPr>
        <w:ind w:left="2736" w:hanging="423"/>
      </w:pPr>
      <w:rPr>
        <w:rFonts w:hint="default"/>
      </w:rPr>
    </w:lvl>
    <w:lvl w:ilvl="3">
      <w:start w:val="0"/>
      <w:numFmt w:val="bullet"/>
      <w:lvlText w:val="•"/>
      <w:lvlJc w:val="left"/>
      <w:pPr>
        <w:ind w:left="2924" w:hanging="423"/>
      </w:pPr>
      <w:rPr>
        <w:rFonts w:hint="default"/>
      </w:rPr>
    </w:lvl>
    <w:lvl w:ilvl="4">
      <w:start w:val="0"/>
      <w:numFmt w:val="bullet"/>
      <w:lvlText w:val="•"/>
      <w:lvlJc w:val="left"/>
      <w:pPr>
        <w:ind w:left="3112" w:hanging="423"/>
      </w:pPr>
      <w:rPr>
        <w:rFonts w:hint="default"/>
      </w:rPr>
    </w:lvl>
    <w:lvl w:ilvl="5">
      <w:start w:val="0"/>
      <w:numFmt w:val="bullet"/>
      <w:lvlText w:val="•"/>
      <w:lvlJc w:val="left"/>
      <w:pPr>
        <w:ind w:left="3300" w:hanging="423"/>
      </w:pPr>
      <w:rPr>
        <w:rFonts w:hint="default"/>
      </w:rPr>
    </w:lvl>
    <w:lvl w:ilvl="6">
      <w:start w:val="0"/>
      <w:numFmt w:val="bullet"/>
      <w:lvlText w:val="•"/>
      <w:lvlJc w:val="left"/>
      <w:pPr>
        <w:ind w:left="3488" w:hanging="423"/>
      </w:pPr>
      <w:rPr>
        <w:rFonts w:hint="default"/>
      </w:rPr>
    </w:lvl>
    <w:lvl w:ilvl="7">
      <w:start w:val="0"/>
      <w:numFmt w:val="bullet"/>
      <w:lvlText w:val="•"/>
      <w:lvlJc w:val="left"/>
      <w:pPr>
        <w:ind w:left="3677" w:hanging="423"/>
      </w:pPr>
      <w:rPr>
        <w:rFonts w:hint="default"/>
      </w:rPr>
    </w:lvl>
    <w:lvl w:ilvl="8">
      <w:start w:val="0"/>
      <w:numFmt w:val="bullet"/>
      <w:lvlText w:val="•"/>
      <w:lvlJc w:val="left"/>
      <w:pPr>
        <w:ind w:left="3865" w:hanging="423"/>
      </w:pPr>
      <w:rPr>
        <w:rFonts w:hint="default"/>
      </w:rPr>
    </w:lvl>
  </w:abstractNum>
  <w:abstractNum w:abstractNumId="0">
    <w:multiLevelType w:val="hybridMultilevel"/>
    <w:lvl w:ilvl="0">
      <w:start w:val="0"/>
      <w:numFmt w:val="bullet"/>
      <w:lvlText w:val=""/>
      <w:lvlJc w:val="left"/>
      <w:pPr>
        <w:ind w:left="1634" w:hanging="420"/>
      </w:pPr>
      <w:rPr>
        <w:rFonts w:hint="default" w:ascii="Wingdings" w:hAnsi="Wingdings" w:eastAsia="Wingdings" w:cs="Wingdings"/>
        <w:w w:val="100"/>
        <w:sz w:val="21"/>
        <w:szCs w:val="21"/>
      </w:rPr>
    </w:lvl>
    <w:lvl w:ilvl="1">
      <w:start w:val="0"/>
      <w:numFmt w:val="bullet"/>
      <w:lvlText w:val="•"/>
      <w:lvlJc w:val="left"/>
      <w:pPr>
        <w:ind w:left="2596" w:hanging="420"/>
      </w:pPr>
      <w:rPr>
        <w:rFonts w:hint="default"/>
      </w:rPr>
    </w:lvl>
    <w:lvl w:ilvl="2">
      <w:start w:val="0"/>
      <w:numFmt w:val="bullet"/>
      <w:lvlText w:val="•"/>
      <w:lvlJc w:val="left"/>
      <w:pPr>
        <w:ind w:left="3553" w:hanging="420"/>
      </w:pPr>
      <w:rPr>
        <w:rFonts w:hint="default"/>
      </w:rPr>
    </w:lvl>
    <w:lvl w:ilvl="3">
      <w:start w:val="0"/>
      <w:numFmt w:val="bullet"/>
      <w:lvlText w:val="•"/>
      <w:lvlJc w:val="left"/>
      <w:pPr>
        <w:ind w:left="4509" w:hanging="420"/>
      </w:pPr>
      <w:rPr>
        <w:rFonts w:hint="default"/>
      </w:rPr>
    </w:lvl>
    <w:lvl w:ilvl="4">
      <w:start w:val="0"/>
      <w:numFmt w:val="bullet"/>
      <w:lvlText w:val="•"/>
      <w:lvlJc w:val="left"/>
      <w:pPr>
        <w:ind w:left="5466" w:hanging="420"/>
      </w:pPr>
      <w:rPr>
        <w:rFonts w:hint="default"/>
      </w:rPr>
    </w:lvl>
    <w:lvl w:ilvl="5">
      <w:start w:val="0"/>
      <w:numFmt w:val="bullet"/>
      <w:lvlText w:val="•"/>
      <w:lvlJc w:val="left"/>
      <w:pPr>
        <w:ind w:left="6423" w:hanging="420"/>
      </w:pPr>
      <w:rPr>
        <w:rFonts w:hint="default"/>
      </w:rPr>
    </w:lvl>
    <w:lvl w:ilvl="6">
      <w:start w:val="0"/>
      <w:numFmt w:val="bullet"/>
      <w:lvlText w:val="•"/>
      <w:lvlJc w:val="left"/>
      <w:pPr>
        <w:ind w:left="7379" w:hanging="420"/>
      </w:pPr>
      <w:rPr>
        <w:rFonts w:hint="default"/>
      </w:rPr>
    </w:lvl>
    <w:lvl w:ilvl="7">
      <w:start w:val="0"/>
      <w:numFmt w:val="bullet"/>
      <w:lvlText w:val="•"/>
      <w:lvlJc w:val="left"/>
      <w:pPr>
        <w:ind w:left="8336" w:hanging="420"/>
      </w:pPr>
      <w:rPr>
        <w:rFonts w:hint="default"/>
      </w:rPr>
    </w:lvl>
    <w:lvl w:ilvl="8">
      <w:start w:val="0"/>
      <w:numFmt w:val="bullet"/>
      <w:lvlText w:val="•"/>
      <w:lvlJc w:val="left"/>
      <w:pPr>
        <w:ind w:left="9293" w:hanging="420"/>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5"/>
      <w:ind w:left="324"/>
    </w:pPr>
    <w:rPr>
      <w:rFonts w:ascii="宋体" w:hAnsi="宋体" w:eastAsia="宋体" w:cs="宋体"/>
      <w:sz w:val="21"/>
      <w:szCs w:val="21"/>
    </w:rPr>
  </w:style>
  <w:style w:styleId="Heading1" w:type="paragraph">
    <w:name w:val="Heading 1"/>
    <w:basedOn w:val="Normal"/>
    <w:uiPriority w:val="1"/>
    <w:qFormat/>
    <w:pPr>
      <w:ind w:left="1581" w:right="1581"/>
      <w:jc w:val="center"/>
      <w:outlineLvl w:val="1"/>
    </w:pPr>
    <w:rPr>
      <w:rFonts w:ascii="宋体" w:hAnsi="宋体" w:eastAsia="宋体" w:cs="宋体"/>
      <w:b/>
      <w:bCs/>
      <w:sz w:val="32"/>
      <w:szCs w:val="32"/>
    </w:rPr>
  </w:style>
  <w:style w:styleId="Heading2" w:type="paragraph">
    <w:name w:val="Heading 2"/>
    <w:basedOn w:val="Normal"/>
    <w:uiPriority w:val="1"/>
    <w:qFormat/>
    <w:pPr>
      <w:spacing w:before="3"/>
      <w:ind w:left="242"/>
      <w:outlineLvl w:val="2"/>
    </w:pPr>
    <w:rPr>
      <w:rFonts w:ascii="宋体" w:hAnsi="宋体" w:eastAsia="宋体" w:cs="宋体"/>
      <w:b/>
      <w:bCs/>
      <w:sz w:val="21"/>
      <w:szCs w:val="21"/>
    </w:rPr>
  </w:style>
  <w:style w:styleId="ListParagraph" w:type="paragraph">
    <w:name w:val="List Paragraph"/>
    <w:basedOn w:val="Normal"/>
    <w:uiPriority w:val="1"/>
    <w:qFormat/>
    <w:pPr>
      <w:spacing w:before="5"/>
      <w:ind w:left="2350" w:hanging="423"/>
    </w:pPr>
    <w:rPr>
      <w:rFonts w:ascii="宋体" w:hAnsi="宋体" w:eastAsia="宋体" w:cs="宋体"/>
    </w:rPr>
  </w:style>
  <w:style w:styleId="TableParagraph" w:type="paragraph">
    <w:name w:val="Table Paragraph"/>
    <w:basedOn w:val="Normal"/>
    <w:uiPriority w:val="1"/>
    <w:qFormat/>
    <w:pPr>
      <w:ind w:left="32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dc:creator>
  <dc:title>中国人民健康险保险股份有限公司</dc:title>
  <dcterms:created xsi:type="dcterms:W3CDTF">2018-10-19T22:30:45Z</dcterms:created>
  <dcterms:modified xsi:type="dcterms:W3CDTF">2018-10-19T22:30:45Z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2015-05-08T00:00:00Z</vt:filetime>
  </property>
  <property fmtid="{D5CDD505-2E9C-101B-9397-08002B2CF9AE}" pid="3" name="Creator">
    <vt:lpwstr>Microsoft® Office Word 2007</vt:lpwstr>
  </property>
  <property fmtid="{D5CDD505-2E9C-101B-9397-08002B2CF9AE}" pid="4" name="LastSaved">
    <vt:filetime>2018-10-19T00:00:00Z</vt:filetime>
  </property>
</Properties>
</file>