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60" w:lineRule="exact" w:before="0"/>
        <w:ind w:left="2930" w:right="0" w:firstLine="0"/>
        <w:jc w:val="center"/>
        <w:rPr>
          <w:rFonts w:ascii="Microsoft JhengHei" w:eastAsia="Microsoft JhengHei" w:hint="eastAsia"/>
          <w:b/>
          <w:sz w:val="44"/>
        </w:rPr>
      </w:pPr>
      <w:r>
        <w:rPr>
          <w:rFonts w:ascii="Microsoft JhengHei" w:eastAsia="Microsoft JhengHei" w:hint="eastAsia"/>
          <w:b/>
          <w:sz w:val="44"/>
        </w:rPr>
        <w:t>建信人寿保险有限公司</w:t>
      </w:r>
    </w:p>
    <w:p>
      <w:pPr>
        <w:spacing w:before="45"/>
        <w:ind w:left="2930" w:right="0" w:firstLine="0"/>
        <w:jc w:val="center"/>
        <w:rPr>
          <w:rFonts w:ascii="Microsoft JhengHei" w:eastAsia="Microsoft JhengHei" w:hint="eastAsia"/>
          <w:b/>
          <w:sz w:val="24"/>
        </w:rPr>
      </w:pPr>
      <w:r>
        <w:rPr>
          <w:rFonts w:ascii="Microsoft JhengHei" w:eastAsia="Microsoft JhengHei" w:hint="eastAsia"/>
          <w:b/>
          <w:sz w:val="24"/>
        </w:rPr>
        <w:t>（以下简称本公司）</w:t>
      </w:r>
    </w:p>
    <w:p>
      <w:pPr>
        <w:spacing w:before="222"/>
        <w:ind w:left="2931" w:right="0" w:firstLine="0"/>
        <w:jc w:val="center"/>
        <w:rPr>
          <w:rFonts w:ascii="Microsoft JhengHei" w:eastAsia="Microsoft JhengHei" w:hint="eastAsia"/>
          <w:b/>
          <w:sz w:val="32"/>
        </w:rPr>
      </w:pPr>
      <w:r>
        <w:rPr/>
        <w:pict>
          <v:shape style="position:absolute;margin-left:46.664001pt;margin-top:45.092037pt;width:477.6pt;height:229.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3"/>
                    <w:gridCol w:w="3673"/>
                    <w:gridCol w:w="1974"/>
                    <w:gridCol w:w="2572"/>
                  </w:tblGrid>
                  <w:tr>
                    <w:trPr>
                      <w:trHeight w:val="485" w:hRule="atLeast"/>
                    </w:trPr>
                    <w:tc>
                      <w:tcPr>
                        <w:tcW w:w="1333" w:type="dxa"/>
                      </w:tcPr>
                      <w:p>
                        <w:pPr>
                          <w:pStyle w:val="TableParagraph"/>
                          <w:spacing w:line="318" w:lineRule="exact"/>
                          <w:ind w:left="200"/>
                          <w:rPr>
                            <w:rFonts w:ascii="Microsoft JhengHei" w:eastAsia="Microsoft JhengHei" w:hint="eastAsia"/>
                            <w:b/>
                            <w:sz w:val="24"/>
                          </w:rPr>
                        </w:pPr>
                        <w:r>
                          <w:rPr>
                            <w:rFonts w:ascii="Microsoft JhengHei" w:eastAsia="Microsoft JhengHei" w:hint="eastAsia"/>
                            <w:b/>
                            <w:sz w:val="24"/>
                          </w:rPr>
                          <w:t>条款目录</w:t>
                        </w:r>
                      </w:p>
                    </w:tc>
                    <w:tc>
                      <w:tcPr>
                        <w:tcW w:w="3673" w:type="dxa"/>
                      </w:tcPr>
                      <w:p>
                        <w:pPr>
                          <w:pStyle w:val="TableParagraph"/>
                          <w:ind w:left="0"/>
                          <w:rPr>
                            <w:rFonts w:ascii="Times New Roman"/>
                            <w:sz w:val="20"/>
                          </w:rPr>
                        </w:pPr>
                      </w:p>
                    </w:tc>
                    <w:tc>
                      <w:tcPr>
                        <w:tcW w:w="1974" w:type="dxa"/>
                      </w:tcPr>
                      <w:p>
                        <w:pPr>
                          <w:pStyle w:val="TableParagraph"/>
                          <w:ind w:left="0"/>
                          <w:rPr>
                            <w:rFonts w:ascii="Times New Roman"/>
                            <w:sz w:val="20"/>
                          </w:rPr>
                        </w:pPr>
                      </w:p>
                    </w:tc>
                    <w:tc>
                      <w:tcPr>
                        <w:tcW w:w="2572" w:type="dxa"/>
                      </w:tcPr>
                      <w:p>
                        <w:pPr>
                          <w:pStyle w:val="TableParagraph"/>
                          <w:spacing w:line="114" w:lineRule="exact"/>
                          <w:ind w:left="1431" w:right="-130"/>
                          <w:rPr>
                            <w:sz w:val="18"/>
                          </w:rPr>
                        </w:pPr>
                        <w:r>
                          <w:rPr>
                            <w:spacing w:val="-4"/>
                            <w:sz w:val="18"/>
                          </w:rPr>
                          <w:t>请扫描以查询验</w:t>
                        </w:r>
                      </w:p>
                    </w:tc>
                  </w:tr>
                  <w:tr>
                    <w:trPr>
                      <w:trHeight w:val="488" w:hRule="atLeast"/>
                    </w:trPr>
                    <w:tc>
                      <w:tcPr>
                        <w:tcW w:w="1333" w:type="dxa"/>
                      </w:tcPr>
                      <w:p>
                        <w:pPr>
                          <w:pStyle w:val="TableParagraph"/>
                          <w:spacing w:before="144"/>
                          <w:ind w:left="200"/>
                          <w:rPr>
                            <w:sz w:val="21"/>
                          </w:rPr>
                        </w:pPr>
                        <w:r>
                          <w:rPr>
                            <w:sz w:val="21"/>
                          </w:rPr>
                          <w:t>第一条</w:t>
                        </w:r>
                      </w:p>
                    </w:tc>
                    <w:tc>
                      <w:tcPr>
                        <w:tcW w:w="3673" w:type="dxa"/>
                      </w:tcPr>
                      <w:p>
                        <w:pPr>
                          <w:pStyle w:val="TableParagraph"/>
                          <w:spacing w:before="144"/>
                          <w:ind w:left="288"/>
                          <w:rPr>
                            <w:sz w:val="21"/>
                          </w:rPr>
                        </w:pPr>
                        <w:r>
                          <w:rPr>
                            <w:sz w:val="21"/>
                          </w:rPr>
                          <w:t>保险合同的构成</w:t>
                        </w:r>
                      </w:p>
                    </w:tc>
                    <w:tc>
                      <w:tcPr>
                        <w:tcW w:w="1974" w:type="dxa"/>
                      </w:tcPr>
                      <w:p>
                        <w:pPr>
                          <w:pStyle w:val="TableParagraph"/>
                          <w:spacing w:before="144"/>
                          <w:ind w:left="648"/>
                          <w:rPr>
                            <w:sz w:val="21"/>
                          </w:rPr>
                        </w:pPr>
                        <w:r>
                          <w:rPr>
                            <w:sz w:val="21"/>
                          </w:rPr>
                          <w:t>第十二条</w:t>
                        </w:r>
                      </w:p>
                    </w:tc>
                    <w:tc>
                      <w:tcPr>
                        <w:tcW w:w="2572" w:type="dxa"/>
                      </w:tcPr>
                      <w:p>
                        <w:pPr>
                          <w:pStyle w:val="TableParagraph"/>
                          <w:spacing w:before="144"/>
                          <w:ind w:left="269"/>
                          <w:rPr>
                            <w:sz w:val="21"/>
                          </w:rPr>
                        </w:pPr>
                        <w:r>
                          <w:rPr>
                            <w:sz w:val="21"/>
                          </w:rPr>
                          <w:t>保险金申请</w:t>
                        </w:r>
                      </w:p>
                    </w:tc>
                  </w:tr>
                  <w:tr>
                    <w:trPr>
                      <w:trHeight w:val="365" w:hRule="atLeast"/>
                    </w:trPr>
                    <w:tc>
                      <w:tcPr>
                        <w:tcW w:w="1333" w:type="dxa"/>
                      </w:tcPr>
                      <w:p>
                        <w:pPr>
                          <w:pStyle w:val="TableParagraph"/>
                          <w:spacing w:before="21"/>
                          <w:ind w:left="200"/>
                          <w:rPr>
                            <w:sz w:val="21"/>
                          </w:rPr>
                        </w:pPr>
                        <w:r>
                          <w:rPr>
                            <w:sz w:val="21"/>
                          </w:rPr>
                          <w:t>第二条</w:t>
                        </w:r>
                      </w:p>
                    </w:tc>
                    <w:tc>
                      <w:tcPr>
                        <w:tcW w:w="3673" w:type="dxa"/>
                      </w:tcPr>
                      <w:p>
                        <w:pPr>
                          <w:pStyle w:val="TableParagraph"/>
                          <w:spacing w:before="21"/>
                          <w:ind w:left="288"/>
                          <w:rPr>
                            <w:sz w:val="21"/>
                          </w:rPr>
                        </w:pPr>
                        <w:r>
                          <w:rPr>
                            <w:sz w:val="21"/>
                          </w:rPr>
                          <w:t>保险责任</w:t>
                        </w:r>
                      </w:p>
                    </w:tc>
                    <w:tc>
                      <w:tcPr>
                        <w:tcW w:w="1974" w:type="dxa"/>
                      </w:tcPr>
                      <w:p>
                        <w:pPr>
                          <w:pStyle w:val="TableParagraph"/>
                          <w:spacing w:before="21"/>
                          <w:ind w:left="648"/>
                          <w:rPr>
                            <w:sz w:val="21"/>
                          </w:rPr>
                        </w:pPr>
                        <w:r>
                          <w:rPr>
                            <w:sz w:val="21"/>
                          </w:rPr>
                          <w:t>第十三条</w:t>
                        </w:r>
                      </w:p>
                    </w:tc>
                    <w:tc>
                      <w:tcPr>
                        <w:tcW w:w="2572" w:type="dxa"/>
                      </w:tcPr>
                      <w:p>
                        <w:pPr>
                          <w:pStyle w:val="TableParagraph"/>
                          <w:spacing w:before="21"/>
                          <w:ind w:left="269"/>
                          <w:rPr>
                            <w:sz w:val="21"/>
                          </w:rPr>
                        </w:pPr>
                        <w:r>
                          <w:rPr>
                            <w:sz w:val="21"/>
                          </w:rPr>
                          <w:t>保险金给付</w:t>
                        </w:r>
                      </w:p>
                    </w:tc>
                  </w:tr>
                  <w:tr>
                    <w:trPr>
                      <w:trHeight w:val="367" w:hRule="atLeast"/>
                    </w:trPr>
                    <w:tc>
                      <w:tcPr>
                        <w:tcW w:w="1333" w:type="dxa"/>
                      </w:tcPr>
                      <w:p>
                        <w:pPr>
                          <w:pStyle w:val="TableParagraph"/>
                          <w:spacing w:before="21"/>
                          <w:ind w:left="200"/>
                          <w:rPr>
                            <w:sz w:val="21"/>
                          </w:rPr>
                        </w:pPr>
                        <w:r>
                          <w:rPr>
                            <w:sz w:val="21"/>
                          </w:rPr>
                          <w:t>第三条</w:t>
                        </w:r>
                      </w:p>
                    </w:tc>
                    <w:tc>
                      <w:tcPr>
                        <w:tcW w:w="3673" w:type="dxa"/>
                      </w:tcPr>
                      <w:p>
                        <w:pPr>
                          <w:pStyle w:val="TableParagraph"/>
                          <w:spacing w:before="21"/>
                          <w:ind w:left="288"/>
                          <w:rPr>
                            <w:sz w:val="21"/>
                          </w:rPr>
                        </w:pPr>
                        <w:r>
                          <w:rPr>
                            <w:sz w:val="21"/>
                          </w:rPr>
                          <w:t>责任免除</w:t>
                        </w:r>
                      </w:p>
                    </w:tc>
                    <w:tc>
                      <w:tcPr>
                        <w:tcW w:w="1974" w:type="dxa"/>
                      </w:tcPr>
                      <w:p>
                        <w:pPr>
                          <w:pStyle w:val="TableParagraph"/>
                          <w:spacing w:before="21"/>
                          <w:ind w:left="648"/>
                          <w:rPr>
                            <w:sz w:val="21"/>
                          </w:rPr>
                        </w:pPr>
                        <w:r>
                          <w:rPr>
                            <w:sz w:val="21"/>
                          </w:rPr>
                          <w:t>第十四条</w:t>
                        </w:r>
                      </w:p>
                    </w:tc>
                    <w:tc>
                      <w:tcPr>
                        <w:tcW w:w="2572" w:type="dxa"/>
                      </w:tcPr>
                      <w:p>
                        <w:pPr>
                          <w:pStyle w:val="TableParagraph"/>
                          <w:spacing w:before="21"/>
                          <w:ind w:left="269"/>
                          <w:rPr>
                            <w:sz w:val="21"/>
                          </w:rPr>
                        </w:pPr>
                        <w:r>
                          <w:rPr>
                            <w:sz w:val="21"/>
                          </w:rPr>
                          <w:t>诉讼时效</w:t>
                        </w:r>
                      </w:p>
                    </w:tc>
                  </w:tr>
                  <w:tr>
                    <w:trPr>
                      <w:trHeight w:val="367" w:hRule="atLeast"/>
                    </w:trPr>
                    <w:tc>
                      <w:tcPr>
                        <w:tcW w:w="1333" w:type="dxa"/>
                      </w:tcPr>
                      <w:p>
                        <w:pPr>
                          <w:pStyle w:val="TableParagraph"/>
                          <w:spacing w:before="23"/>
                          <w:ind w:left="200"/>
                          <w:rPr>
                            <w:sz w:val="21"/>
                          </w:rPr>
                        </w:pPr>
                        <w:r>
                          <w:rPr>
                            <w:sz w:val="21"/>
                          </w:rPr>
                          <w:t>第四条</w:t>
                        </w:r>
                      </w:p>
                    </w:tc>
                    <w:tc>
                      <w:tcPr>
                        <w:tcW w:w="3673" w:type="dxa"/>
                      </w:tcPr>
                      <w:p>
                        <w:pPr>
                          <w:pStyle w:val="TableParagraph"/>
                          <w:spacing w:before="23"/>
                          <w:ind w:left="288"/>
                          <w:rPr>
                            <w:sz w:val="21"/>
                          </w:rPr>
                        </w:pPr>
                        <w:r>
                          <w:rPr>
                            <w:sz w:val="21"/>
                          </w:rPr>
                          <w:t>保险合同成立与生效</w:t>
                        </w:r>
                      </w:p>
                    </w:tc>
                    <w:tc>
                      <w:tcPr>
                        <w:tcW w:w="1974" w:type="dxa"/>
                      </w:tcPr>
                      <w:p>
                        <w:pPr>
                          <w:pStyle w:val="TableParagraph"/>
                          <w:spacing w:before="23"/>
                          <w:ind w:left="648"/>
                          <w:rPr>
                            <w:sz w:val="21"/>
                          </w:rPr>
                        </w:pPr>
                        <w:r>
                          <w:rPr>
                            <w:sz w:val="21"/>
                          </w:rPr>
                          <w:t>第十五条</w:t>
                        </w:r>
                      </w:p>
                    </w:tc>
                    <w:tc>
                      <w:tcPr>
                        <w:tcW w:w="2572" w:type="dxa"/>
                      </w:tcPr>
                      <w:p>
                        <w:pPr>
                          <w:pStyle w:val="TableParagraph"/>
                          <w:spacing w:before="23"/>
                          <w:ind w:left="269"/>
                          <w:rPr>
                            <w:sz w:val="21"/>
                          </w:rPr>
                        </w:pPr>
                        <w:r>
                          <w:rPr>
                            <w:sz w:val="21"/>
                          </w:rPr>
                          <w:t>身体检查及司法鉴定</w:t>
                        </w:r>
                      </w:p>
                    </w:tc>
                  </w:tr>
                  <w:tr>
                    <w:trPr>
                      <w:trHeight w:val="364" w:hRule="atLeast"/>
                    </w:trPr>
                    <w:tc>
                      <w:tcPr>
                        <w:tcW w:w="1333" w:type="dxa"/>
                      </w:tcPr>
                      <w:p>
                        <w:pPr>
                          <w:pStyle w:val="TableParagraph"/>
                          <w:spacing w:before="21"/>
                          <w:ind w:left="200"/>
                          <w:rPr>
                            <w:sz w:val="21"/>
                          </w:rPr>
                        </w:pPr>
                        <w:r>
                          <w:rPr>
                            <w:sz w:val="21"/>
                          </w:rPr>
                          <w:t>第五条</w:t>
                        </w:r>
                      </w:p>
                    </w:tc>
                    <w:tc>
                      <w:tcPr>
                        <w:tcW w:w="3673" w:type="dxa"/>
                      </w:tcPr>
                      <w:p>
                        <w:pPr>
                          <w:pStyle w:val="TableParagraph"/>
                          <w:spacing w:before="21"/>
                          <w:ind w:left="288"/>
                          <w:rPr>
                            <w:sz w:val="21"/>
                          </w:rPr>
                        </w:pPr>
                        <w:r>
                          <w:rPr>
                            <w:sz w:val="21"/>
                          </w:rPr>
                          <w:t>保险期间</w:t>
                        </w:r>
                      </w:p>
                    </w:tc>
                    <w:tc>
                      <w:tcPr>
                        <w:tcW w:w="1974" w:type="dxa"/>
                      </w:tcPr>
                      <w:p>
                        <w:pPr>
                          <w:pStyle w:val="TableParagraph"/>
                          <w:spacing w:before="21"/>
                          <w:ind w:left="648"/>
                          <w:rPr>
                            <w:sz w:val="21"/>
                          </w:rPr>
                        </w:pPr>
                        <w:r>
                          <w:rPr>
                            <w:sz w:val="21"/>
                          </w:rPr>
                          <w:t>第十六条</w:t>
                        </w:r>
                      </w:p>
                    </w:tc>
                    <w:tc>
                      <w:tcPr>
                        <w:tcW w:w="2572" w:type="dxa"/>
                      </w:tcPr>
                      <w:p>
                        <w:pPr>
                          <w:pStyle w:val="TableParagraph"/>
                          <w:spacing w:before="21"/>
                          <w:ind w:left="269"/>
                          <w:rPr>
                            <w:sz w:val="21"/>
                          </w:rPr>
                        </w:pPr>
                        <w:r>
                          <w:rPr>
                            <w:sz w:val="21"/>
                          </w:rPr>
                          <w:t>保险费的缴付</w:t>
                        </w:r>
                      </w:p>
                    </w:tc>
                  </w:tr>
                  <w:tr>
                    <w:trPr>
                      <w:trHeight w:val="365" w:hRule="atLeast"/>
                    </w:trPr>
                    <w:tc>
                      <w:tcPr>
                        <w:tcW w:w="1333" w:type="dxa"/>
                      </w:tcPr>
                      <w:p>
                        <w:pPr>
                          <w:pStyle w:val="TableParagraph"/>
                          <w:spacing w:before="21"/>
                          <w:ind w:left="200"/>
                          <w:rPr>
                            <w:sz w:val="21"/>
                          </w:rPr>
                        </w:pPr>
                        <w:r>
                          <w:rPr>
                            <w:sz w:val="21"/>
                          </w:rPr>
                          <w:t>第六条</w:t>
                        </w:r>
                      </w:p>
                    </w:tc>
                    <w:tc>
                      <w:tcPr>
                        <w:tcW w:w="3673" w:type="dxa"/>
                      </w:tcPr>
                      <w:p>
                        <w:pPr>
                          <w:pStyle w:val="TableParagraph"/>
                          <w:spacing w:before="21"/>
                          <w:ind w:left="288"/>
                          <w:rPr>
                            <w:sz w:val="21"/>
                          </w:rPr>
                        </w:pPr>
                        <w:r>
                          <w:rPr>
                            <w:sz w:val="21"/>
                          </w:rPr>
                          <w:t>保险金额</w:t>
                        </w:r>
                      </w:p>
                    </w:tc>
                    <w:tc>
                      <w:tcPr>
                        <w:tcW w:w="1974" w:type="dxa"/>
                      </w:tcPr>
                      <w:p>
                        <w:pPr>
                          <w:pStyle w:val="TableParagraph"/>
                          <w:spacing w:before="21"/>
                          <w:ind w:left="648"/>
                          <w:rPr>
                            <w:sz w:val="21"/>
                          </w:rPr>
                        </w:pPr>
                        <w:r>
                          <w:rPr>
                            <w:sz w:val="21"/>
                          </w:rPr>
                          <w:t>第十七条</w:t>
                        </w:r>
                      </w:p>
                    </w:tc>
                    <w:tc>
                      <w:tcPr>
                        <w:tcW w:w="2572" w:type="dxa"/>
                      </w:tcPr>
                      <w:p>
                        <w:pPr>
                          <w:pStyle w:val="TableParagraph"/>
                          <w:spacing w:before="21"/>
                          <w:ind w:left="269"/>
                          <w:rPr>
                            <w:sz w:val="21"/>
                          </w:rPr>
                        </w:pPr>
                        <w:r>
                          <w:rPr>
                            <w:sz w:val="21"/>
                          </w:rPr>
                          <w:t>年龄错误</w:t>
                        </w:r>
                      </w:p>
                    </w:tc>
                  </w:tr>
                  <w:tr>
                    <w:trPr>
                      <w:trHeight w:val="367" w:hRule="atLeast"/>
                    </w:trPr>
                    <w:tc>
                      <w:tcPr>
                        <w:tcW w:w="1333" w:type="dxa"/>
                      </w:tcPr>
                      <w:p>
                        <w:pPr>
                          <w:pStyle w:val="TableParagraph"/>
                          <w:spacing w:before="21"/>
                          <w:ind w:left="200"/>
                          <w:rPr>
                            <w:sz w:val="21"/>
                          </w:rPr>
                        </w:pPr>
                        <w:r>
                          <w:rPr>
                            <w:sz w:val="21"/>
                          </w:rPr>
                          <w:t>第七条</w:t>
                        </w:r>
                      </w:p>
                    </w:tc>
                    <w:tc>
                      <w:tcPr>
                        <w:tcW w:w="3673" w:type="dxa"/>
                      </w:tcPr>
                      <w:p>
                        <w:pPr>
                          <w:pStyle w:val="TableParagraph"/>
                          <w:spacing w:before="21"/>
                          <w:ind w:left="288"/>
                          <w:rPr>
                            <w:sz w:val="21"/>
                          </w:rPr>
                        </w:pPr>
                        <w:r>
                          <w:rPr>
                            <w:sz w:val="21"/>
                          </w:rPr>
                          <w:t>投保人解除合同的手续及风险</w:t>
                        </w:r>
                      </w:p>
                    </w:tc>
                    <w:tc>
                      <w:tcPr>
                        <w:tcW w:w="1974" w:type="dxa"/>
                      </w:tcPr>
                      <w:p>
                        <w:pPr>
                          <w:pStyle w:val="TableParagraph"/>
                          <w:spacing w:before="21"/>
                          <w:ind w:left="648"/>
                          <w:rPr>
                            <w:sz w:val="21"/>
                          </w:rPr>
                        </w:pPr>
                        <w:r>
                          <w:rPr>
                            <w:sz w:val="21"/>
                          </w:rPr>
                          <w:t>第十八条</w:t>
                        </w:r>
                      </w:p>
                    </w:tc>
                    <w:tc>
                      <w:tcPr>
                        <w:tcW w:w="2572" w:type="dxa"/>
                      </w:tcPr>
                      <w:p>
                        <w:pPr>
                          <w:pStyle w:val="TableParagraph"/>
                          <w:spacing w:before="21"/>
                          <w:ind w:left="269"/>
                          <w:rPr>
                            <w:sz w:val="21"/>
                          </w:rPr>
                        </w:pPr>
                        <w:r>
                          <w:rPr>
                            <w:sz w:val="21"/>
                          </w:rPr>
                          <w:t>住所或通讯地址的变更</w:t>
                        </w:r>
                      </w:p>
                    </w:tc>
                  </w:tr>
                  <w:tr>
                    <w:trPr>
                      <w:trHeight w:val="367" w:hRule="atLeast"/>
                    </w:trPr>
                    <w:tc>
                      <w:tcPr>
                        <w:tcW w:w="1333" w:type="dxa"/>
                      </w:tcPr>
                      <w:p>
                        <w:pPr>
                          <w:pStyle w:val="TableParagraph"/>
                          <w:spacing w:before="23"/>
                          <w:ind w:left="200"/>
                          <w:rPr>
                            <w:sz w:val="21"/>
                          </w:rPr>
                        </w:pPr>
                        <w:r>
                          <w:rPr>
                            <w:sz w:val="21"/>
                          </w:rPr>
                          <w:t>第八条</w:t>
                        </w:r>
                      </w:p>
                    </w:tc>
                    <w:tc>
                      <w:tcPr>
                        <w:tcW w:w="3673" w:type="dxa"/>
                      </w:tcPr>
                      <w:p>
                        <w:pPr>
                          <w:pStyle w:val="TableParagraph"/>
                          <w:spacing w:before="23"/>
                          <w:ind w:left="288"/>
                          <w:rPr>
                            <w:sz w:val="21"/>
                          </w:rPr>
                        </w:pPr>
                        <w:r>
                          <w:rPr>
                            <w:sz w:val="21"/>
                          </w:rPr>
                          <w:t>明确说明与如实告知</w:t>
                        </w:r>
                      </w:p>
                    </w:tc>
                    <w:tc>
                      <w:tcPr>
                        <w:tcW w:w="1974" w:type="dxa"/>
                      </w:tcPr>
                      <w:p>
                        <w:pPr>
                          <w:pStyle w:val="TableParagraph"/>
                          <w:spacing w:before="23"/>
                          <w:ind w:left="648"/>
                          <w:rPr>
                            <w:sz w:val="21"/>
                          </w:rPr>
                        </w:pPr>
                        <w:r>
                          <w:rPr>
                            <w:sz w:val="21"/>
                          </w:rPr>
                          <w:t>第十九条</w:t>
                        </w:r>
                      </w:p>
                    </w:tc>
                    <w:tc>
                      <w:tcPr>
                        <w:tcW w:w="2572" w:type="dxa"/>
                      </w:tcPr>
                      <w:p>
                        <w:pPr>
                          <w:pStyle w:val="TableParagraph"/>
                          <w:spacing w:before="23"/>
                          <w:ind w:left="269"/>
                          <w:rPr>
                            <w:sz w:val="21"/>
                          </w:rPr>
                        </w:pPr>
                        <w:r>
                          <w:rPr>
                            <w:sz w:val="21"/>
                          </w:rPr>
                          <w:t>争议的处理</w:t>
                        </w:r>
                      </w:p>
                    </w:tc>
                  </w:tr>
                  <w:tr>
                    <w:trPr>
                      <w:trHeight w:val="364" w:hRule="atLeast"/>
                    </w:trPr>
                    <w:tc>
                      <w:tcPr>
                        <w:tcW w:w="1333" w:type="dxa"/>
                      </w:tcPr>
                      <w:p>
                        <w:pPr>
                          <w:pStyle w:val="TableParagraph"/>
                          <w:spacing w:before="21"/>
                          <w:ind w:left="200"/>
                          <w:rPr>
                            <w:sz w:val="21"/>
                          </w:rPr>
                        </w:pPr>
                        <w:r>
                          <w:rPr>
                            <w:sz w:val="21"/>
                          </w:rPr>
                          <w:t>第九条</w:t>
                        </w:r>
                      </w:p>
                    </w:tc>
                    <w:tc>
                      <w:tcPr>
                        <w:tcW w:w="3673" w:type="dxa"/>
                      </w:tcPr>
                      <w:p>
                        <w:pPr>
                          <w:pStyle w:val="TableParagraph"/>
                          <w:spacing w:before="21"/>
                          <w:ind w:left="288"/>
                          <w:rPr>
                            <w:sz w:val="21"/>
                          </w:rPr>
                        </w:pPr>
                        <w:r>
                          <w:rPr>
                            <w:sz w:val="21"/>
                          </w:rPr>
                          <w:t>本公司合同解除权的限制</w:t>
                        </w:r>
                      </w:p>
                    </w:tc>
                    <w:tc>
                      <w:tcPr>
                        <w:tcW w:w="1974" w:type="dxa"/>
                      </w:tcPr>
                      <w:p>
                        <w:pPr>
                          <w:pStyle w:val="TableParagraph"/>
                          <w:spacing w:before="21"/>
                          <w:ind w:left="648"/>
                          <w:rPr>
                            <w:sz w:val="21"/>
                          </w:rPr>
                        </w:pPr>
                        <w:r>
                          <w:rPr>
                            <w:sz w:val="21"/>
                          </w:rPr>
                          <w:t>第二十条</w:t>
                        </w:r>
                      </w:p>
                    </w:tc>
                    <w:tc>
                      <w:tcPr>
                        <w:tcW w:w="2572" w:type="dxa"/>
                      </w:tcPr>
                      <w:p>
                        <w:pPr>
                          <w:pStyle w:val="TableParagraph"/>
                          <w:spacing w:before="21"/>
                          <w:ind w:left="269"/>
                          <w:rPr>
                            <w:sz w:val="21"/>
                          </w:rPr>
                        </w:pPr>
                        <w:r>
                          <w:rPr>
                            <w:sz w:val="21"/>
                          </w:rPr>
                          <w:t>重大疾病的释义</w:t>
                        </w:r>
                      </w:p>
                    </w:tc>
                  </w:tr>
                  <w:tr>
                    <w:trPr>
                      <w:trHeight w:val="365" w:hRule="atLeast"/>
                    </w:trPr>
                    <w:tc>
                      <w:tcPr>
                        <w:tcW w:w="1333" w:type="dxa"/>
                      </w:tcPr>
                      <w:p>
                        <w:pPr>
                          <w:pStyle w:val="TableParagraph"/>
                          <w:spacing w:before="21"/>
                          <w:ind w:left="200"/>
                          <w:rPr>
                            <w:sz w:val="21"/>
                          </w:rPr>
                        </w:pPr>
                        <w:r>
                          <w:rPr>
                            <w:sz w:val="21"/>
                          </w:rPr>
                          <w:t>第十条</w:t>
                        </w:r>
                      </w:p>
                    </w:tc>
                    <w:tc>
                      <w:tcPr>
                        <w:tcW w:w="3673" w:type="dxa"/>
                      </w:tcPr>
                      <w:p>
                        <w:pPr>
                          <w:pStyle w:val="TableParagraph"/>
                          <w:spacing w:before="21"/>
                          <w:ind w:left="288"/>
                          <w:rPr>
                            <w:sz w:val="21"/>
                          </w:rPr>
                        </w:pPr>
                        <w:r>
                          <w:rPr>
                            <w:sz w:val="21"/>
                          </w:rPr>
                          <w:t>受益人</w:t>
                        </w:r>
                      </w:p>
                    </w:tc>
                    <w:tc>
                      <w:tcPr>
                        <w:tcW w:w="1974" w:type="dxa"/>
                      </w:tcPr>
                      <w:p>
                        <w:pPr>
                          <w:pStyle w:val="TableParagraph"/>
                          <w:spacing w:before="21"/>
                          <w:ind w:left="648"/>
                          <w:rPr>
                            <w:sz w:val="21"/>
                          </w:rPr>
                        </w:pPr>
                        <w:r>
                          <w:rPr>
                            <w:sz w:val="21"/>
                          </w:rPr>
                          <w:t>第二十一条</w:t>
                        </w:r>
                      </w:p>
                    </w:tc>
                    <w:tc>
                      <w:tcPr>
                        <w:tcW w:w="2572" w:type="dxa"/>
                      </w:tcPr>
                      <w:p>
                        <w:pPr>
                          <w:pStyle w:val="TableParagraph"/>
                          <w:spacing w:before="21"/>
                          <w:ind w:left="269"/>
                          <w:rPr>
                            <w:sz w:val="21"/>
                          </w:rPr>
                        </w:pPr>
                        <w:r>
                          <w:rPr>
                            <w:sz w:val="21"/>
                          </w:rPr>
                          <w:t>其他名词的释义</w:t>
                        </w:r>
                      </w:p>
                    </w:tc>
                  </w:tr>
                  <w:tr>
                    <w:trPr>
                      <w:trHeight w:val="324" w:hRule="atLeast"/>
                    </w:trPr>
                    <w:tc>
                      <w:tcPr>
                        <w:tcW w:w="1333" w:type="dxa"/>
                      </w:tcPr>
                      <w:p>
                        <w:pPr>
                          <w:pStyle w:val="TableParagraph"/>
                          <w:spacing w:before="21"/>
                          <w:ind w:left="200"/>
                          <w:rPr>
                            <w:sz w:val="21"/>
                          </w:rPr>
                        </w:pPr>
                        <w:r>
                          <w:rPr>
                            <w:sz w:val="21"/>
                          </w:rPr>
                          <w:t>第十一条</w:t>
                        </w:r>
                      </w:p>
                    </w:tc>
                    <w:tc>
                      <w:tcPr>
                        <w:tcW w:w="3673" w:type="dxa"/>
                      </w:tcPr>
                      <w:p>
                        <w:pPr>
                          <w:pStyle w:val="TableParagraph"/>
                          <w:spacing w:before="21"/>
                          <w:ind w:left="288"/>
                          <w:rPr>
                            <w:sz w:val="21"/>
                          </w:rPr>
                        </w:pPr>
                        <w:r>
                          <w:rPr>
                            <w:sz w:val="21"/>
                          </w:rPr>
                          <w:t>保险事故通知</w:t>
                        </w:r>
                      </w:p>
                    </w:tc>
                    <w:tc>
                      <w:tcPr>
                        <w:tcW w:w="1974" w:type="dxa"/>
                      </w:tcPr>
                      <w:p>
                        <w:pPr>
                          <w:pStyle w:val="TableParagraph"/>
                          <w:ind w:left="0"/>
                          <w:rPr>
                            <w:rFonts w:ascii="Times New Roman"/>
                            <w:sz w:val="20"/>
                          </w:rPr>
                        </w:pPr>
                      </w:p>
                    </w:tc>
                    <w:tc>
                      <w:tcPr>
                        <w:tcW w:w="2572" w:type="dxa"/>
                      </w:tcPr>
                      <w:p>
                        <w:pPr>
                          <w:pStyle w:val="TableParagraph"/>
                          <w:ind w:left="0"/>
                          <w:rPr>
                            <w:rFonts w:ascii="Times New Roman"/>
                            <w:sz w:val="20"/>
                          </w:rPr>
                        </w:pPr>
                      </w:p>
                    </w:tc>
                  </w:tr>
                </w:tbl>
                <w:p>
                  <w:pPr>
                    <w:pStyle w:val="BodyText"/>
                    <w:ind w:left="0"/>
                  </w:pPr>
                </w:p>
              </w:txbxContent>
            </v:textbox>
            <w10:wrap type="none"/>
          </v:shape>
        </w:pict>
      </w:r>
      <w:r>
        <w:rPr>
          <w:rFonts w:ascii="Microsoft JhengHei" w:eastAsia="Microsoft JhengHei" w:hint="eastAsia"/>
          <w:b/>
          <w:sz w:val="32"/>
        </w:rPr>
        <w:t>保无忧重大疾病保险 </w:t>
      </w:r>
      <w:r>
        <w:rPr>
          <w:rFonts w:ascii="Times New Roman" w:eastAsia="Times New Roman"/>
          <w:b/>
          <w:sz w:val="32"/>
        </w:rPr>
        <w:t>B </w:t>
      </w:r>
      <w:r>
        <w:rPr>
          <w:rFonts w:ascii="Microsoft JhengHei" w:eastAsia="Microsoft JhengHei" w:hint="eastAsia"/>
          <w:b/>
          <w:sz w:val="32"/>
        </w:rPr>
        <w:t>款</w:t>
      </w:r>
    </w:p>
    <w:p>
      <w:pPr>
        <w:spacing w:before="175"/>
        <w:ind w:left="710" w:right="0" w:firstLine="0"/>
        <w:jc w:val="left"/>
        <w:rPr>
          <w:sz w:val="18"/>
        </w:rPr>
      </w:pPr>
      <w:r>
        <w:rPr/>
        <w:br w:type="column"/>
      </w:r>
      <w:r>
        <w:rPr>
          <w:spacing w:val="-3"/>
          <w:w w:val="101"/>
          <w:sz w:val="18"/>
        </w:rPr>
        <w:t>建信人寿</w:t>
      </w:r>
      <w:r>
        <w:rPr>
          <w:spacing w:val="0"/>
          <w:w w:val="56"/>
          <w:sz w:val="18"/>
        </w:rPr>
        <w:t>[</w:t>
      </w:r>
      <w:r>
        <w:rPr>
          <w:spacing w:val="-1"/>
          <w:w w:val="112"/>
          <w:sz w:val="18"/>
        </w:rPr>
        <w:t>201</w:t>
      </w:r>
      <w:r>
        <w:rPr>
          <w:spacing w:val="-6"/>
          <w:w w:val="112"/>
          <w:sz w:val="18"/>
        </w:rPr>
        <w:t>3</w:t>
      </w:r>
      <w:r>
        <w:rPr>
          <w:spacing w:val="1"/>
          <w:w w:val="56"/>
          <w:sz w:val="18"/>
        </w:rPr>
        <w:t>]</w:t>
      </w:r>
      <w:r>
        <w:rPr>
          <w:spacing w:val="-3"/>
          <w:w w:val="101"/>
          <w:sz w:val="18"/>
        </w:rPr>
        <w:t>疾病保险第</w:t>
      </w:r>
      <w:r>
        <w:rPr>
          <w:spacing w:val="-47"/>
          <w:sz w:val="18"/>
        </w:rPr>
        <w:t> </w:t>
      </w:r>
      <w:r>
        <w:rPr>
          <w:spacing w:val="-1"/>
          <w:w w:val="112"/>
          <w:sz w:val="18"/>
        </w:rPr>
        <w:t>01</w:t>
      </w:r>
      <w:r>
        <w:rPr>
          <w:w w:val="112"/>
          <w:sz w:val="18"/>
        </w:rPr>
        <w:t>7</w:t>
      </w:r>
      <w:r>
        <w:rPr>
          <w:spacing w:val="-53"/>
          <w:sz w:val="18"/>
        </w:rPr>
        <w:t> </w:t>
      </w:r>
      <w:r>
        <w:rPr>
          <w:w w:val="101"/>
          <w:sz w:val="18"/>
        </w:rPr>
        <w:t>号</w:t>
      </w:r>
    </w:p>
    <w:p>
      <w:pPr>
        <w:pStyle w:val="BodyText"/>
        <w:spacing w:before="6"/>
        <w:ind w:left="0"/>
        <w:rPr>
          <w:sz w:val="11"/>
        </w:rPr>
      </w:pPr>
      <w:r>
        <w:rPr/>
        <w:drawing>
          <wp:anchor distT="0" distB="0" distL="0" distR="0" allowOverlap="1" layoutInCell="1" locked="0" behindDoc="0" simplePos="0" relativeHeight="0">
            <wp:simplePos x="0" y="0"/>
            <wp:positionH relativeFrom="page">
              <wp:posOffset>6137909</wp:posOffset>
            </wp:positionH>
            <wp:positionV relativeFrom="paragraph">
              <wp:posOffset>120092</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p>
    <w:p>
      <w:pPr>
        <w:spacing w:before="135"/>
        <w:ind w:left="0" w:right="552" w:firstLine="0"/>
        <w:jc w:val="right"/>
        <w:rPr>
          <w:sz w:val="18"/>
        </w:rPr>
      </w:pPr>
      <w:r>
        <w:rPr>
          <w:sz w:val="18"/>
        </w:rPr>
        <w:t>证条款</w:t>
      </w:r>
    </w:p>
    <w:p>
      <w:pPr>
        <w:spacing w:after="0"/>
        <w:jc w:val="right"/>
        <w:rPr>
          <w:sz w:val="18"/>
        </w:rPr>
        <w:sectPr>
          <w:footerReference w:type="default" r:id="rId5"/>
          <w:type w:val="continuous"/>
          <w:pgSz w:w="11910" w:h="16840"/>
          <w:pgMar w:footer="502" w:top="840" w:bottom="700" w:left="820" w:right="200"/>
          <w:cols w:num="2" w:equalWidth="0">
            <w:col w:w="7338" w:space="40"/>
            <w:col w:w="3512"/>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6"/>
        </w:rPr>
      </w:pPr>
    </w:p>
    <w:p>
      <w:pPr>
        <w:pStyle w:val="Heading1"/>
        <w:spacing w:before="36"/>
        <w:ind w:left="313"/>
        <w:rPr>
          <w:rFonts w:ascii="黑体" w:eastAsia="黑体" w:hint="eastAsia"/>
        </w:rPr>
      </w:pPr>
      <w:r>
        <w:rPr>
          <w:rFonts w:ascii="黑体" w:eastAsia="黑体" w:hint="eastAsia"/>
        </w:rPr>
        <w:t>第一条 保险合同的构成</w:t>
      </w:r>
    </w:p>
    <w:p>
      <w:pPr>
        <w:pStyle w:val="BodyText"/>
        <w:spacing w:before="8"/>
        <w:ind w:left="0"/>
        <w:rPr>
          <w:rFonts w:ascii="黑体"/>
          <w:b/>
          <w:sz w:val="22"/>
        </w:rPr>
      </w:pPr>
    </w:p>
    <w:p>
      <w:pPr>
        <w:pStyle w:val="BodyText"/>
        <w:spacing w:line="319" w:lineRule="auto"/>
        <w:ind w:left="313" w:right="911"/>
      </w:pPr>
      <w:r>
        <w:rPr/>
        <w:t>本保险合同（以下简称本合同）由保险单及其所载的条款、投保单以及有关的声明、批注及其他约定书构成。</w:t>
      </w:r>
    </w:p>
    <w:p>
      <w:pPr>
        <w:pStyle w:val="BodyText"/>
        <w:spacing w:before="3"/>
        <w:ind w:left="0"/>
        <w:rPr>
          <w:sz w:val="20"/>
        </w:rPr>
      </w:pPr>
    </w:p>
    <w:p>
      <w:pPr>
        <w:pStyle w:val="BodyText"/>
        <w:spacing w:line="319" w:lineRule="auto"/>
        <w:ind w:left="313" w:right="830"/>
      </w:pPr>
      <w:r>
        <w:rPr/>
        <w:t>若上述构成本合同的文件正本需留本公司存档，则其复印件或电子影像印刷件亦视为本合同的构成部分， 其效力与正本同。</w:t>
      </w:r>
    </w:p>
    <w:p>
      <w:pPr>
        <w:pStyle w:val="BodyText"/>
        <w:spacing w:before="3"/>
        <w:ind w:left="0"/>
        <w:rPr>
          <w:sz w:val="20"/>
        </w:rPr>
      </w:pPr>
    </w:p>
    <w:p>
      <w:pPr>
        <w:pStyle w:val="BodyText"/>
        <w:ind w:left="313"/>
        <w:jc w:val="both"/>
      </w:pPr>
      <w:r>
        <w:rPr/>
        <w:t>本合同的代码为 </w:t>
      </w:r>
      <w:r>
        <w:rPr>
          <w:rFonts w:ascii="Times New Roman" w:eastAsia="Times New Roman"/>
        </w:rPr>
        <w:t>BLDDB</w:t>
      </w:r>
      <w:r>
        <w:rPr/>
        <w:t>。</w:t>
      </w:r>
    </w:p>
    <w:p>
      <w:pPr>
        <w:pStyle w:val="BodyText"/>
        <w:spacing w:before="7"/>
        <w:ind w:left="0"/>
        <w:rPr>
          <w:sz w:val="19"/>
        </w:rPr>
      </w:pPr>
    </w:p>
    <w:p>
      <w:pPr>
        <w:pStyle w:val="Heading1"/>
        <w:ind w:left="313"/>
        <w:jc w:val="both"/>
        <w:rPr>
          <w:rFonts w:ascii="黑体" w:eastAsia="黑体" w:hint="eastAsia"/>
        </w:rPr>
      </w:pPr>
      <w:r>
        <w:rPr>
          <w:rFonts w:ascii="黑体" w:eastAsia="黑体" w:hint="eastAsia"/>
        </w:rPr>
        <w:t>第二条 保险责任</w:t>
      </w:r>
    </w:p>
    <w:p>
      <w:pPr>
        <w:pStyle w:val="BodyText"/>
        <w:spacing w:before="8"/>
        <w:ind w:left="0"/>
        <w:rPr>
          <w:rFonts w:ascii="黑体"/>
          <w:b/>
          <w:sz w:val="22"/>
        </w:rPr>
      </w:pPr>
    </w:p>
    <w:p>
      <w:pPr>
        <w:pStyle w:val="BodyText"/>
        <w:ind w:left="313"/>
        <w:jc w:val="both"/>
      </w:pPr>
      <w:r>
        <w:rPr/>
        <w:t>在本合同有效期限内，本公司承担下列保险责任：</w:t>
      </w:r>
    </w:p>
    <w:p>
      <w:pPr>
        <w:pStyle w:val="BodyText"/>
        <w:spacing w:before="6"/>
        <w:ind w:left="0"/>
        <w:rPr>
          <w:sz w:val="20"/>
        </w:rPr>
      </w:pPr>
    </w:p>
    <w:p>
      <w:pPr>
        <w:pStyle w:val="Heading1"/>
        <w:spacing w:line="365" w:lineRule="exact"/>
        <w:ind w:left="313"/>
        <w:jc w:val="both"/>
      </w:pPr>
      <w:r>
        <w:rPr>
          <w:spacing w:val="-1"/>
          <w:w w:val="100"/>
        </w:rPr>
        <w:t>自本合同生效之日起</w:t>
      </w:r>
      <w:r>
        <w:rPr>
          <w:spacing w:val="18"/>
        </w:rPr>
        <w:t> </w:t>
      </w:r>
      <w:r>
        <w:rPr>
          <w:rFonts w:ascii="Times New Roman" w:eastAsia="Times New Roman"/>
          <w:w w:val="100"/>
        </w:rPr>
        <w:t>30</w:t>
      </w:r>
      <w:r>
        <w:rPr>
          <w:rFonts w:ascii="Times New Roman" w:eastAsia="Times New Roman"/>
          <w:spacing w:val="13"/>
        </w:rPr>
        <w:t> </w:t>
      </w:r>
      <w:r>
        <w:rPr>
          <w:w w:val="100"/>
        </w:rPr>
        <w:t>日内（含第</w:t>
      </w:r>
      <w:r>
        <w:rPr>
          <w:spacing w:val="20"/>
        </w:rPr>
        <w:t> </w:t>
      </w:r>
      <w:r>
        <w:rPr>
          <w:rFonts w:ascii="Times New Roman" w:eastAsia="Times New Roman"/>
          <w:spacing w:val="-5"/>
          <w:w w:val="100"/>
        </w:rPr>
        <w:t>3</w:t>
      </w:r>
      <w:r>
        <w:rPr>
          <w:rFonts w:ascii="Times New Roman" w:eastAsia="Times New Roman"/>
          <w:w w:val="100"/>
        </w:rPr>
        <w:t>0</w:t>
      </w:r>
      <w:r>
        <w:rPr>
          <w:rFonts w:ascii="Times New Roman" w:eastAsia="Times New Roman"/>
          <w:spacing w:val="13"/>
        </w:rPr>
        <w:t> </w:t>
      </w:r>
      <w:r>
        <w:rPr>
          <w:w w:val="100"/>
        </w:rPr>
        <w:t>日</w:t>
      </w:r>
      <w:r>
        <w:rPr>
          <w:spacing w:val="-106"/>
          <w:w w:val="100"/>
        </w:rPr>
        <w:t>）</w:t>
      </w:r>
      <w:r>
        <w:rPr>
          <w:spacing w:val="-5"/>
          <w:w w:val="100"/>
        </w:rPr>
        <w:t>，若被保险人发生本合同第二十条约定的重大疾病（</w:t>
      </w:r>
      <w:r>
        <w:rPr>
          <w:w w:val="100"/>
        </w:rPr>
        <w:t>无论一种</w:t>
      </w:r>
    </w:p>
    <w:p>
      <w:pPr>
        <w:spacing w:line="283" w:lineRule="auto" w:before="0"/>
        <w:ind w:left="313" w:right="926" w:firstLine="0"/>
        <w:jc w:val="left"/>
        <w:rPr>
          <w:sz w:val="21"/>
        </w:rPr>
      </w:pPr>
      <w:r>
        <w:rPr>
          <w:rFonts w:ascii="Microsoft JhengHei" w:eastAsia="Microsoft JhengHei" w:hint="eastAsia"/>
          <w:b/>
          <w:w w:val="100"/>
          <w:sz w:val="21"/>
        </w:rPr>
        <w:t>或多种</w:t>
      </w:r>
      <w:r>
        <w:rPr>
          <w:rFonts w:ascii="Microsoft JhengHei" w:eastAsia="Microsoft JhengHei" w:hint="eastAsia"/>
          <w:b/>
          <w:spacing w:val="-106"/>
          <w:w w:val="100"/>
          <w:sz w:val="21"/>
        </w:rPr>
        <w:t>）</w:t>
      </w:r>
      <w:r>
        <w:rPr>
          <w:rFonts w:ascii="Microsoft JhengHei" w:eastAsia="Microsoft JhengHei" w:hint="eastAsia"/>
          <w:b/>
          <w:spacing w:val="-5"/>
          <w:w w:val="100"/>
          <w:sz w:val="21"/>
        </w:rPr>
        <w:t>，本公司不承担保险责任。</w:t>
      </w:r>
      <w:r>
        <w:rPr>
          <w:w w:val="100"/>
          <w:sz w:val="21"/>
        </w:rPr>
        <w:t>这</w:t>
      </w:r>
      <w:r>
        <w:rPr>
          <w:spacing w:val="-53"/>
          <w:sz w:val="21"/>
        </w:rPr>
        <w:t> </w:t>
      </w:r>
      <w:r>
        <w:rPr>
          <w:rFonts w:ascii="Times New Roman" w:eastAsia="Times New Roman"/>
          <w:w w:val="100"/>
          <w:sz w:val="21"/>
        </w:rPr>
        <w:t>30</w:t>
      </w:r>
      <w:r>
        <w:rPr>
          <w:rFonts w:ascii="Times New Roman" w:eastAsia="Times New Roman"/>
          <w:sz w:val="21"/>
        </w:rPr>
        <w:t> </w:t>
      </w:r>
      <w:r>
        <w:rPr>
          <w:spacing w:val="-5"/>
          <w:w w:val="100"/>
          <w:sz w:val="21"/>
        </w:rPr>
        <w:t>日的时间称为等待期。若被保险人因发生</w:t>
      </w:r>
      <w:r>
        <w:rPr>
          <w:rFonts w:ascii="Microsoft JhengHei" w:eastAsia="Microsoft JhengHei" w:hint="eastAsia"/>
          <w:b/>
          <w:spacing w:val="-3"/>
          <w:w w:val="100"/>
          <w:sz w:val="21"/>
        </w:rPr>
        <w:t>意外伤害</w:t>
      </w:r>
      <w:r>
        <w:rPr>
          <w:rFonts w:ascii="Microsoft JhengHei" w:eastAsia="Microsoft JhengHei" w:hint="eastAsia"/>
          <w:b/>
          <w:w w:val="100"/>
          <w:sz w:val="21"/>
        </w:rPr>
        <w:t>（</w:t>
      </w:r>
      <w:r>
        <w:rPr>
          <w:rFonts w:ascii="Microsoft JhengHei" w:eastAsia="Microsoft JhengHei" w:hint="eastAsia"/>
          <w:b/>
          <w:spacing w:val="-2"/>
          <w:w w:val="100"/>
          <w:sz w:val="21"/>
        </w:rPr>
        <w:t>见释义</w:t>
      </w:r>
      <w:r>
        <w:rPr>
          <w:rFonts w:ascii="Microsoft JhengHei" w:eastAsia="Microsoft JhengHei" w:hint="eastAsia"/>
          <w:b/>
          <w:spacing w:val="-4"/>
          <w:w w:val="100"/>
          <w:sz w:val="21"/>
        </w:rPr>
        <w:t>）</w:t>
      </w:r>
      <w:r>
        <w:rPr>
          <w:w w:val="100"/>
          <w:sz w:val="21"/>
        </w:rPr>
        <w:t>事</w:t>
      </w:r>
      <w:r>
        <w:rPr>
          <w:spacing w:val="-5"/>
          <w:sz w:val="21"/>
        </w:rPr>
        <w:t>故而导致发生上述情形的，则不受等待期的限制。</w:t>
      </w:r>
    </w:p>
    <w:p>
      <w:pPr>
        <w:pStyle w:val="BodyText"/>
        <w:spacing w:line="290" w:lineRule="auto" w:before="231"/>
        <w:ind w:left="313" w:right="921"/>
        <w:jc w:val="both"/>
      </w:pPr>
      <w:r>
        <w:rPr>
          <w:spacing w:val="-5"/>
        </w:rPr>
        <w:t>若被保险人在本合同等待期后，因初次出现的症状或体征被</w:t>
      </w:r>
      <w:r>
        <w:rPr>
          <w:rFonts w:ascii="Microsoft JhengHei" w:eastAsia="Microsoft JhengHei" w:hint="eastAsia"/>
          <w:b/>
          <w:spacing w:val="-2"/>
        </w:rPr>
        <w:t>医疗机构</w:t>
      </w:r>
      <w:r>
        <w:rPr>
          <w:rFonts w:ascii="Microsoft JhengHei" w:eastAsia="Microsoft JhengHei" w:hint="eastAsia"/>
          <w:b/>
        </w:rPr>
        <w:t>（</w:t>
      </w:r>
      <w:r>
        <w:rPr>
          <w:rFonts w:ascii="Microsoft JhengHei" w:eastAsia="Microsoft JhengHei" w:hint="eastAsia"/>
          <w:b/>
          <w:spacing w:val="-2"/>
        </w:rPr>
        <w:t>见释义</w:t>
      </w:r>
      <w:r>
        <w:rPr>
          <w:rFonts w:ascii="Microsoft JhengHei" w:eastAsia="Microsoft JhengHei" w:hint="eastAsia"/>
          <w:b/>
          <w:spacing w:val="-4"/>
        </w:rPr>
        <w:t>）</w:t>
      </w:r>
      <w:r>
        <w:rPr>
          <w:spacing w:val="-5"/>
        </w:rPr>
        <w:t>的</w:t>
      </w:r>
      <w:r>
        <w:rPr>
          <w:rFonts w:ascii="Microsoft JhengHei" w:eastAsia="Microsoft JhengHei" w:hint="eastAsia"/>
          <w:b/>
          <w:spacing w:val="-2"/>
        </w:rPr>
        <w:t>专科医生</w:t>
      </w:r>
      <w:r>
        <w:rPr>
          <w:rFonts w:ascii="Microsoft JhengHei" w:eastAsia="Microsoft JhengHei" w:hint="eastAsia"/>
          <w:b/>
          <w:spacing w:val="-5"/>
        </w:rPr>
        <w:t>（</w:t>
      </w:r>
      <w:r>
        <w:rPr>
          <w:rFonts w:ascii="Microsoft JhengHei" w:eastAsia="Microsoft JhengHei" w:hint="eastAsia"/>
          <w:b/>
        </w:rPr>
        <w:t>见释义</w:t>
      </w:r>
      <w:r>
        <w:rPr>
          <w:rFonts w:ascii="Microsoft JhengHei" w:eastAsia="Microsoft JhengHei" w:hint="eastAsia"/>
          <w:b/>
          <w:spacing w:val="-4"/>
        </w:rPr>
        <w:t>）</w:t>
      </w:r>
      <w:r>
        <w:rPr/>
        <w:t>确</w:t>
      </w:r>
      <w:r>
        <w:rPr>
          <w:spacing w:val="-5"/>
          <w:w w:val="100"/>
        </w:rPr>
        <w:t>诊初次发生本合同第二十条约定的重大疾病</w:t>
      </w:r>
      <w:r>
        <w:rPr>
          <w:w w:val="100"/>
        </w:rPr>
        <w:t>（</w:t>
      </w:r>
      <w:r>
        <w:rPr>
          <w:spacing w:val="-2"/>
          <w:w w:val="100"/>
        </w:rPr>
        <w:t>无论一种或多种</w:t>
      </w:r>
      <w:r>
        <w:rPr>
          <w:spacing w:val="-105"/>
          <w:w w:val="100"/>
        </w:rPr>
        <w:t>）</w:t>
      </w:r>
      <w:r>
        <w:rPr>
          <w:spacing w:val="-5"/>
          <w:w w:val="100"/>
        </w:rPr>
        <w:t>，且自确诊之日起生存满</w:t>
      </w:r>
      <w:r>
        <w:rPr>
          <w:spacing w:val="-5"/>
        </w:rPr>
        <w:t> </w:t>
      </w:r>
      <w:r>
        <w:rPr>
          <w:rFonts w:ascii="Times New Roman" w:eastAsia="Times New Roman"/>
          <w:w w:val="100"/>
        </w:rPr>
        <w:t>28</w:t>
      </w:r>
      <w:r>
        <w:rPr>
          <w:rFonts w:ascii="Times New Roman" w:eastAsia="Times New Roman"/>
        </w:rPr>
        <w:t> </w:t>
      </w:r>
      <w:r>
        <w:rPr>
          <w:spacing w:val="-4"/>
          <w:w w:val="100"/>
        </w:rPr>
        <w:t>日的，则本公</w:t>
      </w:r>
      <w:r>
        <w:rPr>
          <w:spacing w:val="-5"/>
        </w:rPr>
        <w:t>司按本合同的保险金额给付重大疾病保险金，本合同效力终止。</w:t>
      </w:r>
    </w:p>
    <w:p>
      <w:pPr>
        <w:pStyle w:val="Heading1"/>
        <w:spacing w:before="232"/>
        <w:ind w:left="313"/>
        <w:jc w:val="both"/>
        <w:rPr>
          <w:rFonts w:ascii="黑体" w:eastAsia="黑体" w:hint="eastAsia"/>
        </w:rPr>
      </w:pPr>
      <w:r>
        <w:rPr>
          <w:rFonts w:ascii="黑体" w:eastAsia="黑体" w:hint="eastAsia"/>
        </w:rPr>
        <w:t>第三条 责任免除</w:t>
      </w:r>
    </w:p>
    <w:p>
      <w:pPr>
        <w:pStyle w:val="BodyText"/>
        <w:spacing w:before="3"/>
        <w:ind w:left="0"/>
        <w:rPr>
          <w:rFonts w:ascii="黑体"/>
          <w:b/>
          <w:sz w:val="18"/>
        </w:rPr>
      </w:pPr>
    </w:p>
    <w:p>
      <w:pPr>
        <w:pStyle w:val="BodyText"/>
        <w:spacing w:line="272" w:lineRule="exact"/>
        <w:ind w:left="313"/>
        <w:jc w:val="both"/>
        <w:rPr>
          <w:rFonts w:ascii="黑体" w:eastAsia="黑体" w:hint="eastAsia"/>
        </w:rPr>
      </w:pPr>
      <w:r>
        <w:rPr>
          <w:rFonts w:ascii="黑体" w:eastAsia="黑体" w:hint="eastAsia"/>
        </w:rPr>
        <w:t>因下列情形之一导致被保险人发Th疾病、达到疾病状态或进行手术的，本公司不承担本合同保险责任：</w:t>
      </w:r>
    </w:p>
    <w:p>
      <w:pPr>
        <w:pStyle w:val="BodyText"/>
        <w:spacing w:line="288" w:lineRule="exact"/>
        <w:ind w:left="313"/>
        <w:jc w:val="both"/>
        <w:rPr>
          <w:rFonts w:ascii="黑体" w:eastAsia="黑体" w:hint="eastAsia"/>
        </w:rPr>
      </w:pPr>
      <w:r>
        <w:rPr>
          <w:rFonts w:ascii="Times New Roman" w:eastAsia="Times New Roman"/>
        </w:rPr>
        <w:t>1</w:t>
      </w:r>
      <w:r>
        <w:rPr>
          <w:rFonts w:ascii="黑体" w:eastAsia="黑体" w:hint="eastAsia"/>
        </w:rPr>
        <w:t>、投保人对被保险人的故意杀害、故意伤害；</w:t>
      </w:r>
    </w:p>
    <w:p>
      <w:pPr>
        <w:spacing w:after="0" w:line="288" w:lineRule="exact"/>
        <w:jc w:val="both"/>
        <w:rPr>
          <w:rFonts w:ascii="黑体" w:eastAsia="黑体" w:hint="eastAsia"/>
        </w:rPr>
        <w:sectPr>
          <w:type w:val="continuous"/>
          <w:pgSz w:w="11910" w:h="16840"/>
          <w:pgMar w:top="840" w:bottom="700" w:left="820" w:right="200"/>
        </w:sectPr>
      </w:pPr>
    </w:p>
    <w:p>
      <w:pPr>
        <w:pStyle w:val="BodyText"/>
        <w:spacing w:line="282" w:lineRule="exact" w:before="32"/>
        <w:rPr>
          <w:rFonts w:ascii="黑体" w:eastAsia="黑体" w:hint="eastAsia"/>
        </w:rPr>
      </w:pPr>
      <w:r>
        <w:rPr>
          <w:rFonts w:ascii="Times New Roman" w:eastAsia="Times New Roman"/>
        </w:rPr>
        <w:t>2</w:t>
      </w:r>
      <w:r>
        <w:rPr>
          <w:rFonts w:ascii="黑体" w:eastAsia="黑体" w:hint="eastAsia"/>
        </w:rPr>
        <w:t>、被保险人故意自伤、故意犯罪或拒捕；</w:t>
      </w:r>
    </w:p>
    <w:p>
      <w:pPr>
        <w:spacing w:line="274" w:lineRule="exact" w:before="0"/>
        <w:ind w:left="113" w:right="0" w:firstLine="0"/>
        <w:jc w:val="left"/>
        <w:rPr>
          <w:rFonts w:ascii="黑体" w:eastAsia="黑体" w:hint="eastAsia"/>
          <w:sz w:val="21"/>
        </w:rPr>
      </w:pPr>
      <w:r>
        <w:rPr>
          <w:rFonts w:ascii="Times New Roman" w:eastAsia="Times New Roman"/>
          <w:w w:val="100"/>
          <w:sz w:val="21"/>
        </w:rPr>
        <w:t>3</w:t>
      </w:r>
      <w:r>
        <w:rPr>
          <w:rFonts w:ascii="黑体" w:eastAsia="黑体" w:hint="eastAsia"/>
          <w:spacing w:val="-3"/>
          <w:w w:val="100"/>
          <w:sz w:val="21"/>
        </w:rPr>
        <w:t>、被保险人服用、吸食或注射</w:t>
      </w:r>
      <w:r>
        <w:rPr>
          <w:rFonts w:ascii="黑体" w:eastAsia="黑体" w:hint="eastAsia"/>
          <w:b/>
          <w:w w:val="100"/>
          <w:sz w:val="21"/>
        </w:rPr>
        <w:t>毒品（见释义</w:t>
      </w:r>
      <w:r>
        <w:rPr>
          <w:rFonts w:ascii="黑体" w:eastAsia="黑体" w:hint="eastAsia"/>
          <w:b/>
          <w:spacing w:val="-106"/>
          <w:w w:val="100"/>
          <w:sz w:val="21"/>
        </w:rPr>
        <w:t>）</w:t>
      </w:r>
      <w:r>
        <w:rPr>
          <w:rFonts w:ascii="黑体" w:eastAsia="黑体" w:hint="eastAsia"/>
          <w:w w:val="100"/>
          <w:sz w:val="21"/>
        </w:rPr>
        <w:t>；</w:t>
      </w:r>
    </w:p>
    <w:p>
      <w:pPr>
        <w:spacing w:line="225" w:lineRule="auto" w:before="9"/>
        <w:ind w:left="396" w:right="101" w:hanging="284"/>
        <w:jc w:val="left"/>
        <w:rPr>
          <w:rFonts w:ascii="黑体" w:eastAsia="黑体" w:hint="eastAsia"/>
          <w:sz w:val="21"/>
        </w:rPr>
      </w:pPr>
      <w:r>
        <w:rPr>
          <w:rFonts w:ascii="Times New Roman" w:eastAsia="Times New Roman"/>
          <w:w w:val="100"/>
          <w:sz w:val="21"/>
        </w:rPr>
        <w:t>4</w:t>
      </w:r>
      <w:r>
        <w:rPr>
          <w:rFonts w:ascii="黑体" w:eastAsia="黑体" w:hint="eastAsia"/>
          <w:w w:val="100"/>
          <w:sz w:val="21"/>
        </w:rPr>
        <w:t>、被保险人</w:t>
      </w:r>
      <w:r>
        <w:rPr>
          <w:rFonts w:ascii="黑体" w:eastAsia="黑体" w:hint="eastAsia"/>
          <w:b/>
          <w:w w:val="100"/>
          <w:sz w:val="21"/>
        </w:rPr>
        <w:t>酒后驾驶（</w:t>
      </w:r>
      <w:r>
        <w:rPr>
          <w:rFonts w:ascii="黑体" w:eastAsia="黑体" w:hint="eastAsia"/>
          <w:b/>
          <w:spacing w:val="0"/>
          <w:w w:val="100"/>
          <w:sz w:val="21"/>
        </w:rPr>
        <w:t>见释义</w:t>
      </w:r>
      <w:r>
        <w:rPr>
          <w:rFonts w:ascii="黑体" w:eastAsia="黑体" w:hint="eastAsia"/>
          <w:b/>
          <w:spacing w:val="-101"/>
          <w:w w:val="100"/>
          <w:sz w:val="21"/>
        </w:rPr>
        <w:t>）</w:t>
      </w:r>
      <w:r>
        <w:rPr>
          <w:rFonts w:ascii="黑体" w:eastAsia="黑体" w:hint="eastAsia"/>
          <w:spacing w:val="-5"/>
          <w:w w:val="100"/>
          <w:sz w:val="21"/>
        </w:rPr>
        <w:t>、</w:t>
      </w:r>
      <w:r>
        <w:rPr>
          <w:rFonts w:ascii="黑体" w:eastAsia="黑体" w:hint="eastAsia"/>
          <w:b/>
          <w:w w:val="100"/>
          <w:sz w:val="21"/>
        </w:rPr>
        <w:t>无合法有效驾驶证驾驶</w:t>
      </w:r>
      <w:r>
        <w:rPr>
          <w:rFonts w:ascii="黑体" w:eastAsia="黑体" w:hint="eastAsia"/>
          <w:b/>
          <w:spacing w:val="3"/>
          <w:w w:val="100"/>
          <w:sz w:val="21"/>
        </w:rPr>
        <w:t>（</w:t>
      </w:r>
      <w:r>
        <w:rPr>
          <w:rFonts w:ascii="黑体" w:eastAsia="黑体" w:hint="eastAsia"/>
          <w:b/>
          <w:w w:val="100"/>
          <w:sz w:val="21"/>
        </w:rPr>
        <w:t>见释义</w:t>
      </w:r>
      <w:r>
        <w:rPr>
          <w:rFonts w:ascii="黑体" w:eastAsia="黑体" w:hint="eastAsia"/>
          <w:b/>
          <w:spacing w:val="-101"/>
          <w:w w:val="100"/>
          <w:sz w:val="21"/>
        </w:rPr>
        <w:t>）</w:t>
      </w:r>
      <w:r>
        <w:rPr>
          <w:rFonts w:ascii="黑体" w:eastAsia="黑体" w:hint="eastAsia"/>
          <w:spacing w:val="-2"/>
          <w:w w:val="100"/>
          <w:sz w:val="21"/>
        </w:rPr>
        <w:t>，或驾驶</w:t>
      </w:r>
      <w:r>
        <w:rPr>
          <w:rFonts w:ascii="黑体" w:eastAsia="黑体" w:hint="eastAsia"/>
          <w:b/>
          <w:w w:val="100"/>
          <w:sz w:val="21"/>
        </w:rPr>
        <w:t>无有效行驶证（见释义</w:t>
      </w:r>
      <w:r>
        <w:rPr>
          <w:rFonts w:ascii="黑体" w:eastAsia="黑体" w:hint="eastAsia"/>
          <w:b/>
          <w:spacing w:val="5"/>
          <w:w w:val="100"/>
          <w:sz w:val="21"/>
        </w:rPr>
        <w:t>）</w:t>
      </w:r>
      <w:r>
        <w:rPr>
          <w:rFonts w:ascii="黑体" w:eastAsia="黑体" w:hint="eastAsia"/>
          <w:w w:val="100"/>
          <w:sz w:val="21"/>
        </w:rPr>
        <w:t>的</w:t>
      </w:r>
      <w:r>
        <w:rPr>
          <w:rFonts w:ascii="黑体" w:eastAsia="黑体" w:hint="eastAsia"/>
          <w:sz w:val="21"/>
        </w:rPr>
        <w:t>机动车；</w:t>
      </w:r>
    </w:p>
    <w:p>
      <w:pPr>
        <w:spacing w:line="285" w:lineRule="exact" w:before="0"/>
        <w:ind w:left="113" w:right="0" w:firstLine="0"/>
        <w:jc w:val="left"/>
        <w:rPr>
          <w:rFonts w:ascii="黑体" w:eastAsia="黑体" w:hint="eastAsia"/>
          <w:sz w:val="21"/>
        </w:rPr>
      </w:pPr>
      <w:r>
        <w:rPr>
          <w:rFonts w:ascii="Times New Roman" w:eastAsia="Times New Roman"/>
          <w:w w:val="100"/>
          <w:sz w:val="21"/>
        </w:rPr>
        <w:t>5</w:t>
      </w:r>
      <w:r>
        <w:rPr>
          <w:rFonts w:ascii="黑体" w:eastAsia="黑体" w:hint="eastAsia"/>
          <w:spacing w:val="-1"/>
          <w:w w:val="100"/>
          <w:sz w:val="21"/>
        </w:rPr>
        <w:t>、被保险人</w:t>
      </w:r>
      <w:r>
        <w:rPr>
          <w:rFonts w:ascii="黑体" w:eastAsia="黑体" w:hint="eastAsia"/>
          <w:b/>
          <w:spacing w:val="-1"/>
          <w:w w:val="100"/>
          <w:sz w:val="21"/>
        </w:rPr>
        <w:t>感染艾滋病病毒或患艾滋病</w:t>
      </w:r>
      <w:r>
        <w:rPr>
          <w:rFonts w:ascii="黑体" w:eastAsia="黑体" w:hint="eastAsia"/>
          <w:b/>
          <w:w w:val="100"/>
          <w:sz w:val="21"/>
        </w:rPr>
        <w:t>（见释义</w:t>
      </w:r>
      <w:r>
        <w:rPr>
          <w:rFonts w:ascii="黑体" w:eastAsia="黑体" w:hint="eastAsia"/>
          <w:b/>
          <w:spacing w:val="-106"/>
          <w:w w:val="100"/>
          <w:sz w:val="21"/>
        </w:rPr>
        <w:t>）</w:t>
      </w:r>
      <w:r>
        <w:rPr>
          <w:rFonts w:ascii="黑体" w:eastAsia="黑体" w:hint="eastAsia"/>
          <w:spacing w:val="-5"/>
          <w:w w:val="100"/>
          <w:sz w:val="21"/>
        </w:rPr>
        <w:t>（</w:t>
      </w:r>
      <w:r>
        <w:rPr>
          <w:rFonts w:ascii="黑体" w:eastAsia="黑体" w:hint="eastAsia"/>
          <w:spacing w:val="-1"/>
          <w:w w:val="100"/>
          <w:sz w:val="21"/>
        </w:rPr>
        <w:t>本合同第二十条第</w:t>
      </w:r>
      <w:r>
        <w:rPr>
          <w:rFonts w:ascii="黑体" w:eastAsia="黑体" w:hint="eastAsia"/>
          <w:spacing w:val="-19"/>
          <w:sz w:val="21"/>
        </w:rPr>
        <w:t> </w:t>
      </w:r>
      <w:r>
        <w:rPr>
          <w:rFonts w:ascii="Times New Roman" w:eastAsia="Times New Roman"/>
          <w:w w:val="100"/>
          <w:sz w:val="21"/>
        </w:rPr>
        <w:t>36</w:t>
      </w:r>
      <w:r>
        <w:rPr>
          <w:rFonts w:ascii="Times New Roman" w:eastAsia="Times New Roman"/>
          <w:spacing w:val="-9"/>
          <w:sz w:val="21"/>
        </w:rPr>
        <w:t>  </w:t>
      </w:r>
      <w:r>
        <w:rPr>
          <w:rFonts w:ascii="黑体" w:eastAsia="黑体" w:hint="eastAsia"/>
          <w:spacing w:val="-4"/>
          <w:w w:val="100"/>
          <w:sz w:val="21"/>
        </w:rPr>
        <w:t>项所约定的经输血导致的艾滋</w:t>
      </w:r>
    </w:p>
    <w:p>
      <w:pPr>
        <w:pStyle w:val="BodyText"/>
        <w:spacing w:before="41"/>
        <w:ind w:left="435" w:right="1307"/>
        <w:jc w:val="center"/>
      </w:pPr>
      <w:r>
        <w:rPr>
          <w:rFonts w:ascii="黑体" w:eastAsia="黑体" w:hint="eastAsia"/>
          <w:spacing w:val="-1"/>
          <w:w w:val="100"/>
        </w:rPr>
        <w:t>病病毒感染及第</w:t>
      </w:r>
      <w:r>
        <w:rPr>
          <w:rFonts w:ascii="黑体" w:eastAsia="黑体" w:hint="eastAsia"/>
          <w:spacing w:val="-52"/>
        </w:rPr>
        <w:t> </w:t>
      </w:r>
      <w:r>
        <w:rPr>
          <w:rFonts w:ascii="Times New Roman" w:eastAsia="Times New Roman"/>
          <w:w w:val="100"/>
        </w:rPr>
        <w:t>37</w:t>
      </w:r>
      <w:r>
        <w:rPr>
          <w:rFonts w:ascii="Times New Roman" w:eastAsia="Times New Roman"/>
        </w:rPr>
        <w:t> </w:t>
      </w:r>
      <w:r>
        <w:rPr>
          <w:rFonts w:ascii="黑体" w:eastAsia="黑体" w:hint="eastAsia"/>
          <w:spacing w:val="-5"/>
          <w:w w:val="100"/>
        </w:rPr>
        <w:t>项所约定的因职业关系导致的艾滋病病毒感染不属于本项责任免除</w:t>
      </w:r>
      <w:r>
        <w:rPr>
          <w:rFonts w:ascii="黑体" w:eastAsia="黑体" w:hint="eastAsia"/>
          <w:spacing w:val="-103"/>
          <w:w w:val="100"/>
        </w:rPr>
        <w:t>）</w:t>
      </w:r>
      <w:r>
        <w:rPr>
          <w:w w:val="100"/>
        </w:rPr>
        <w:t>；</w:t>
      </w:r>
    </w:p>
    <w:p>
      <w:pPr>
        <w:pStyle w:val="BodyText"/>
        <w:spacing w:line="282" w:lineRule="exact" w:before="15"/>
        <w:rPr>
          <w:rFonts w:ascii="黑体" w:eastAsia="黑体" w:hint="eastAsia"/>
        </w:rPr>
      </w:pPr>
      <w:r>
        <w:rPr>
          <w:rFonts w:ascii="Times New Roman" w:eastAsia="Times New Roman"/>
        </w:rPr>
        <w:t>6</w:t>
      </w:r>
      <w:r>
        <w:rPr>
          <w:rFonts w:ascii="黑体" w:eastAsia="黑体" w:hint="eastAsia"/>
        </w:rPr>
        <w:t>、战争、军事冲突、暴乱或武装叛乱；</w:t>
      </w:r>
    </w:p>
    <w:p>
      <w:pPr>
        <w:pStyle w:val="BodyText"/>
        <w:spacing w:line="274" w:lineRule="exact"/>
        <w:rPr>
          <w:rFonts w:ascii="黑体" w:eastAsia="黑体" w:hint="eastAsia"/>
        </w:rPr>
      </w:pPr>
      <w:r>
        <w:rPr>
          <w:rFonts w:ascii="Times New Roman" w:eastAsia="Times New Roman"/>
        </w:rPr>
        <w:t>7</w:t>
      </w:r>
      <w:r>
        <w:rPr>
          <w:rFonts w:ascii="黑体" w:eastAsia="黑体" w:hint="eastAsia"/>
        </w:rPr>
        <w:t>、核爆炸、核辐射或核污染；</w:t>
      </w:r>
    </w:p>
    <w:p>
      <w:pPr>
        <w:pStyle w:val="Heading1"/>
        <w:spacing w:line="282" w:lineRule="exact"/>
        <w:rPr>
          <w:rFonts w:ascii="黑体" w:eastAsia="黑体" w:hint="eastAsia"/>
          <w:b w:val="0"/>
        </w:rPr>
      </w:pPr>
      <w:r>
        <w:rPr>
          <w:rFonts w:ascii="Times New Roman" w:eastAsia="Times New Roman"/>
          <w:b w:val="0"/>
          <w:w w:val="100"/>
        </w:rPr>
        <w:t>8</w:t>
      </w:r>
      <w:r>
        <w:rPr>
          <w:rFonts w:ascii="黑体" w:eastAsia="黑体" w:hint="eastAsia"/>
          <w:b w:val="0"/>
          <w:w w:val="100"/>
        </w:rPr>
        <w:t>、</w:t>
      </w:r>
      <w:r>
        <w:rPr>
          <w:rFonts w:ascii="黑体" w:eastAsia="黑体" w:hint="eastAsia"/>
          <w:w w:val="100"/>
        </w:rPr>
        <w:t>遗传性疾病（见释义</w:t>
      </w:r>
      <w:r>
        <w:rPr>
          <w:rFonts w:ascii="黑体" w:eastAsia="黑体" w:hint="eastAsia"/>
          <w:spacing w:val="-106"/>
          <w:w w:val="100"/>
        </w:rPr>
        <w:t>）</w:t>
      </w:r>
      <w:r>
        <w:rPr>
          <w:rFonts w:ascii="黑体" w:eastAsia="黑体" w:hint="eastAsia"/>
          <w:b w:val="0"/>
          <w:spacing w:val="-5"/>
          <w:w w:val="100"/>
        </w:rPr>
        <w:t>，</w:t>
      </w:r>
      <w:r>
        <w:rPr>
          <w:rFonts w:ascii="黑体" w:eastAsia="黑体" w:hint="eastAsia"/>
          <w:spacing w:val="-1"/>
          <w:w w:val="100"/>
        </w:rPr>
        <w:t>先天性畸形、变形或染色体异常</w:t>
      </w:r>
      <w:r>
        <w:rPr>
          <w:rFonts w:ascii="黑体" w:eastAsia="黑体" w:hint="eastAsia"/>
          <w:w w:val="100"/>
        </w:rPr>
        <w:t>（见释义</w:t>
      </w:r>
      <w:r>
        <w:rPr>
          <w:rFonts w:ascii="黑体" w:eastAsia="黑体" w:hint="eastAsia"/>
          <w:spacing w:val="-106"/>
          <w:w w:val="100"/>
        </w:rPr>
        <w:t>）</w:t>
      </w:r>
      <w:r>
        <w:rPr>
          <w:rFonts w:ascii="黑体" w:eastAsia="黑体" w:hint="eastAsia"/>
          <w:b w:val="0"/>
          <w:w w:val="100"/>
        </w:rPr>
        <w:t>。</w:t>
      </w:r>
    </w:p>
    <w:p>
      <w:pPr>
        <w:pStyle w:val="BodyText"/>
        <w:spacing w:before="3"/>
        <w:ind w:left="0"/>
        <w:rPr>
          <w:rFonts w:ascii="黑体"/>
          <w:sz w:val="16"/>
        </w:rPr>
      </w:pPr>
    </w:p>
    <w:p>
      <w:pPr>
        <w:spacing w:before="0"/>
        <w:ind w:left="113" w:right="102" w:firstLine="0"/>
        <w:jc w:val="left"/>
        <w:rPr>
          <w:rFonts w:ascii="Microsoft JhengHei" w:eastAsia="Microsoft JhengHei" w:hint="eastAsia"/>
          <w:b/>
          <w:sz w:val="21"/>
        </w:rPr>
      </w:pPr>
      <w:r>
        <w:rPr>
          <w:rFonts w:ascii="Microsoft JhengHei" w:eastAsia="Microsoft JhengHei" w:hint="eastAsia"/>
          <w:b/>
          <w:spacing w:val="-7"/>
          <w:sz w:val="21"/>
        </w:rPr>
        <w:t>因上述第１项情形导致本合同保险责任的，本合同终止，本公司向其他权利人退还本合同的现金价值</w:t>
      </w:r>
      <w:r>
        <w:rPr>
          <w:rFonts w:ascii="Microsoft JhengHei" w:eastAsia="Microsoft JhengHei" w:hint="eastAsia"/>
          <w:b/>
          <w:sz w:val="21"/>
        </w:rPr>
        <w:t>（见释义</w:t>
      </w:r>
      <w:r>
        <w:rPr>
          <w:rFonts w:ascii="Microsoft JhengHei" w:eastAsia="Microsoft JhengHei" w:hint="eastAsia"/>
          <w:b/>
          <w:spacing w:val="-106"/>
          <w:sz w:val="21"/>
        </w:rPr>
        <w:t>）</w:t>
      </w:r>
      <w:r>
        <w:rPr>
          <w:rFonts w:ascii="Microsoft JhengHei" w:eastAsia="Microsoft JhengHei" w:hint="eastAsia"/>
          <w:b/>
          <w:sz w:val="21"/>
        </w:rPr>
        <w:t>。</w:t>
      </w:r>
    </w:p>
    <w:p>
      <w:pPr>
        <w:spacing w:before="238"/>
        <w:ind w:left="113" w:right="0" w:firstLine="0"/>
        <w:jc w:val="left"/>
        <w:rPr>
          <w:rFonts w:ascii="Microsoft JhengHei" w:eastAsia="Microsoft JhengHei" w:hint="eastAsia"/>
          <w:b/>
          <w:sz w:val="21"/>
        </w:rPr>
      </w:pPr>
      <w:r>
        <w:rPr>
          <w:rFonts w:ascii="Microsoft JhengHei" w:eastAsia="Microsoft JhengHei" w:hint="eastAsia"/>
          <w:b/>
          <w:sz w:val="21"/>
        </w:rPr>
        <w:t>因上述其他情形导致本合同保险责任的，本合同终止，本公司向投保人退还本合同的现金价值。</w:t>
      </w:r>
    </w:p>
    <w:p>
      <w:pPr>
        <w:pStyle w:val="BodyText"/>
        <w:spacing w:before="8"/>
        <w:ind w:left="0"/>
        <w:rPr>
          <w:rFonts w:ascii="Microsoft JhengHei"/>
          <w:b/>
          <w:sz w:val="14"/>
        </w:rPr>
      </w:pPr>
    </w:p>
    <w:p>
      <w:pPr>
        <w:spacing w:before="1"/>
        <w:ind w:left="113" w:right="0" w:firstLine="0"/>
        <w:jc w:val="left"/>
        <w:rPr>
          <w:rFonts w:ascii="黑体" w:eastAsia="黑体" w:hint="eastAsia"/>
          <w:b/>
          <w:sz w:val="21"/>
        </w:rPr>
      </w:pPr>
      <w:r>
        <w:rPr>
          <w:rFonts w:ascii="黑体" w:eastAsia="黑体" w:hint="eastAsia"/>
          <w:b/>
          <w:sz w:val="21"/>
        </w:rPr>
        <w:t>第四条 保险合同成立与Th效</w:t>
      </w:r>
    </w:p>
    <w:p>
      <w:pPr>
        <w:pStyle w:val="BodyText"/>
        <w:spacing w:before="9"/>
        <w:ind w:left="0"/>
        <w:rPr>
          <w:rFonts w:ascii="黑体"/>
          <w:b/>
          <w:sz w:val="22"/>
        </w:rPr>
      </w:pPr>
    </w:p>
    <w:p>
      <w:pPr>
        <w:pStyle w:val="BodyText"/>
        <w:spacing w:line="532" w:lineRule="auto"/>
        <w:ind w:right="4709"/>
      </w:pPr>
      <w:r>
        <w:rPr/>
        <w:t>投保人提出保险申请、本公司同意承保，本合同成立。合同生效日期在保险单上载明。</w:t>
      </w:r>
    </w:p>
    <w:p>
      <w:pPr>
        <w:pStyle w:val="Heading1"/>
        <w:spacing w:before="16"/>
        <w:rPr>
          <w:rFonts w:ascii="黑体" w:eastAsia="黑体" w:hint="eastAsia"/>
        </w:rPr>
      </w:pPr>
      <w:r>
        <w:rPr>
          <w:rFonts w:ascii="黑体" w:eastAsia="黑体" w:hint="eastAsia"/>
        </w:rPr>
        <w:t>第五条 保险期间</w:t>
      </w:r>
    </w:p>
    <w:p>
      <w:pPr>
        <w:pStyle w:val="BodyText"/>
        <w:spacing w:before="8"/>
        <w:ind w:left="0"/>
        <w:rPr>
          <w:rFonts w:ascii="黑体"/>
          <w:b/>
          <w:sz w:val="22"/>
        </w:rPr>
      </w:pPr>
    </w:p>
    <w:p>
      <w:pPr>
        <w:pStyle w:val="BodyText"/>
        <w:spacing w:before="1"/>
      </w:pPr>
      <w:r>
        <w:rPr/>
        <w:t>本合同的保险期间为 </w:t>
      </w:r>
      <w:r>
        <w:rPr>
          <w:rFonts w:ascii="Times New Roman" w:eastAsia="Times New Roman"/>
        </w:rPr>
        <w:t>1 </w:t>
      </w:r>
      <w:r>
        <w:rPr/>
        <w:t>年。</w:t>
      </w:r>
    </w:p>
    <w:p>
      <w:pPr>
        <w:pStyle w:val="BodyText"/>
        <w:spacing w:before="12"/>
        <w:ind w:left="0"/>
        <w:rPr>
          <w:sz w:val="19"/>
        </w:rPr>
      </w:pPr>
    </w:p>
    <w:p>
      <w:pPr>
        <w:pStyle w:val="Heading1"/>
        <w:rPr>
          <w:rFonts w:ascii="黑体" w:eastAsia="黑体" w:hint="eastAsia"/>
        </w:rPr>
      </w:pPr>
      <w:r>
        <w:rPr>
          <w:rFonts w:ascii="黑体" w:eastAsia="黑体" w:hint="eastAsia"/>
        </w:rPr>
        <w:t>第六条 保险金额</w:t>
      </w:r>
    </w:p>
    <w:p>
      <w:pPr>
        <w:pStyle w:val="BodyText"/>
        <w:spacing w:before="7"/>
        <w:ind w:left="0"/>
        <w:rPr>
          <w:rFonts w:ascii="黑体"/>
          <w:b/>
          <w:sz w:val="22"/>
        </w:rPr>
      </w:pPr>
    </w:p>
    <w:p>
      <w:pPr>
        <w:pStyle w:val="BodyText"/>
      </w:pPr>
      <w:r>
        <w:rPr/>
        <w:t>本合同的保险金额由投保人与本公司在投保时约定，并载于本合同的保险单上。</w:t>
      </w:r>
    </w:p>
    <w:p>
      <w:pPr>
        <w:pStyle w:val="BodyText"/>
        <w:spacing w:before="10"/>
        <w:ind w:left="0"/>
        <w:rPr>
          <w:sz w:val="20"/>
        </w:rPr>
      </w:pPr>
    </w:p>
    <w:p>
      <w:pPr>
        <w:pStyle w:val="Heading1"/>
        <w:rPr>
          <w:rFonts w:ascii="黑体" w:eastAsia="黑体" w:hint="eastAsia"/>
        </w:rPr>
      </w:pPr>
      <w:r>
        <w:rPr>
          <w:rFonts w:ascii="黑体" w:eastAsia="黑体" w:hint="eastAsia"/>
        </w:rPr>
        <w:t>第七条 投保人解除合同的手续及风险</w:t>
      </w:r>
    </w:p>
    <w:p>
      <w:pPr>
        <w:pStyle w:val="BodyText"/>
        <w:ind w:left="0"/>
        <w:rPr>
          <w:rFonts w:ascii="黑体"/>
          <w:b/>
          <w:sz w:val="20"/>
        </w:rPr>
      </w:pPr>
    </w:p>
    <w:p>
      <w:pPr>
        <w:pStyle w:val="BodyText"/>
        <w:spacing w:before="1"/>
        <w:ind w:left="0"/>
        <w:rPr>
          <w:rFonts w:ascii="黑体"/>
          <w:b/>
          <w:sz w:val="15"/>
        </w:rPr>
      </w:pPr>
    </w:p>
    <w:p>
      <w:pPr>
        <w:pStyle w:val="BodyText"/>
      </w:pPr>
      <w:r>
        <w:rPr/>
        <w:t>如投保人申请解除本合同，请填写解除合同申请书并向本公司提供下列资料：</w:t>
      </w:r>
    </w:p>
    <w:p>
      <w:pPr>
        <w:pStyle w:val="BodyText"/>
        <w:spacing w:before="9"/>
        <w:ind w:left="0"/>
        <w:rPr>
          <w:sz w:val="26"/>
        </w:rPr>
      </w:pPr>
    </w:p>
    <w:p>
      <w:pPr>
        <w:pStyle w:val="BodyText"/>
      </w:pPr>
      <w:r>
        <w:rPr>
          <w:rFonts w:ascii="Times New Roman" w:eastAsia="Times New Roman"/>
        </w:rPr>
        <w:t>1</w:t>
      </w:r>
      <w:r>
        <w:rPr/>
        <w:t>、 保险合同；</w:t>
      </w:r>
    </w:p>
    <w:p>
      <w:pPr>
        <w:pStyle w:val="BodyText"/>
        <w:spacing w:before="5"/>
        <w:ind w:left="0"/>
        <w:rPr>
          <w:sz w:val="25"/>
        </w:rPr>
      </w:pPr>
    </w:p>
    <w:p>
      <w:pPr>
        <w:pStyle w:val="BodyText"/>
        <w:spacing w:before="1"/>
      </w:pPr>
      <w:r>
        <w:rPr>
          <w:rFonts w:ascii="Times New Roman" w:eastAsia="Times New Roman"/>
        </w:rPr>
        <w:t>2</w:t>
      </w:r>
      <w:r>
        <w:rPr/>
        <w:t>、 投保人的有效身份证件。</w:t>
      </w:r>
    </w:p>
    <w:p>
      <w:pPr>
        <w:pStyle w:val="BodyText"/>
        <w:spacing w:before="12"/>
        <w:ind w:left="0"/>
        <w:rPr>
          <w:sz w:val="33"/>
        </w:rPr>
      </w:pPr>
    </w:p>
    <w:p>
      <w:pPr>
        <w:pStyle w:val="BodyText"/>
        <w:spacing w:line="300" w:lineRule="auto"/>
        <w:ind w:right="102"/>
      </w:pPr>
      <w:r>
        <w:rPr>
          <w:spacing w:val="-5"/>
        </w:rPr>
        <w:t>自本公司收到解除合同申请书时起，本合同终止。本公司自收到解除合同申请书之日起 </w:t>
      </w:r>
      <w:r>
        <w:rPr>
          <w:rFonts w:ascii="Times New Roman" w:eastAsia="Times New Roman"/>
          <w:spacing w:val="-3"/>
        </w:rPr>
        <w:t>30 </w:t>
      </w:r>
      <w:r>
        <w:rPr>
          <w:spacing w:val="-2"/>
        </w:rPr>
        <w:t>日内向投保人</w:t>
      </w:r>
      <w:r>
        <w:rPr>
          <w:spacing w:val="-4"/>
        </w:rPr>
        <w:t>退还本合同的现金价值。</w:t>
      </w:r>
    </w:p>
    <w:p>
      <w:pPr>
        <w:pStyle w:val="BodyText"/>
        <w:spacing w:before="7"/>
        <w:ind w:left="0"/>
      </w:pPr>
    </w:p>
    <w:p>
      <w:pPr>
        <w:pStyle w:val="BodyText"/>
      </w:pPr>
      <w:r>
        <w:rPr/>
        <w:t>投保人解除合同会遭受一定损失。</w:t>
      </w:r>
    </w:p>
    <w:p>
      <w:pPr>
        <w:pStyle w:val="BodyText"/>
        <w:spacing w:before="4"/>
        <w:ind w:left="0"/>
        <w:rPr>
          <w:sz w:val="23"/>
        </w:rPr>
      </w:pPr>
    </w:p>
    <w:p>
      <w:pPr>
        <w:pStyle w:val="Heading1"/>
        <w:spacing w:before="1"/>
        <w:rPr>
          <w:rFonts w:ascii="黑体" w:eastAsia="黑体" w:hint="eastAsia"/>
        </w:rPr>
      </w:pPr>
      <w:r>
        <w:rPr>
          <w:rFonts w:ascii="黑体" w:eastAsia="黑体" w:hint="eastAsia"/>
        </w:rPr>
        <w:t>第八条 明确说明与如实告知</w:t>
      </w:r>
    </w:p>
    <w:p>
      <w:pPr>
        <w:pStyle w:val="BodyText"/>
        <w:spacing w:before="10"/>
        <w:ind w:left="0"/>
        <w:rPr>
          <w:rFonts w:ascii="黑体"/>
          <w:b/>
          <w:sz w:val="27"/>
        </w:rPr>
      </w:pPr>
    </w:p>
    <w:p>
      <w:pPr>
        <w:pStyle w:val="BodyText"/>
        <w:spacing w:before="1"/>
      </w:pPr>
      <w:r>
        <w:rPr/>
        <w:t>订立本合同时，本公司应向投保人说明本合同的内容。</w:t>
      </w:r>
    </w:p>
    <w:p>
      <w:pPr>
        <w:pStyle w:val="BodyText"/>
        <w:spacing w:before="7"/>
        <w:ind w:left="0"/>
        <w:rPr>
          <w:sz w:val="25"/>
        </w:rPr>
      </w:pPr>
    </w:p>
    <w:p>
      <w:pPr>
        <w:pStyle w:val="BodyText"/>
        <w:spacing w:line="319" w:lineRule="auto"/>
        <w:ind w:right="102"/>
        <w:jc w:val="both"/>
      </w:pPr>
      <w:r>
        <w:rPr>
          <w:spacing w:val="-6"/>
        </w:rPr>
        <w:t>对保险条款中免除本公司责任的条款，本公司在订立合同时应当在投保单、保险单或者其他保险凭证上作</w:t>
      </w:r>
      <w:r>
        <w:rPr>
          <w:spacing w:val="-7"/>
        </w:rPr>
        <w:t>出足以引起投保人注意的提示，并对该条款的内容以书面或者口头形式向投保人作出明确说明，未作提示</w:t>
      </w:r>
      <w:r>
        <w:rPr>
          <w:spacing w:val="-6"/>
        </w:rPr>
        <w:t>或者明确说明的，该条款不产生效力。</w:t>
      </w:r>
    </w:p>
    <w:p>
      <w:pPr>
        <w:spacing w:after="0" w:line="319" w:lineRule="auto"/>
        <w:jc w:val="both"/>
        <w:sectPr>
          <w:pgSz w:w="11910" w:h="16840"/>
          <w:pgMar w:header="0" w:footer="502" w:top="760" w:bottom="780" w:left="1020" w:right="1020"/>
        </w:sectPr>
      </w:pPr>
    </w:p>
    <w:p>
      <w:pPr>
        <w:pStyle w:val="BodyText"/>
        <w:spacing w:before="55"/>
      </w:pPr>
      <w:r>
        <w:rPr/>
        <w:t>本公司就投保人和被保险人的有关情况提出询问，投保人应当如实告知。</w:t>
      </w:r>
    </w:p>
    <w:p>
      <w:pPr>
        <w:pStyle w:val="BodyText"/>
        <w:spacing w:before="1"/>
        <w:ind w:left="0"/>
        <w:rPr>
          <w:sz w:val="20"/>
        </w:rPr>
      </w:pPr>
    </w:p>
    <w:p>
      <w:pPr>
        <w:pStyle w:val="Heading1"/>
        <w:ind w:right="205"/>
      </w:pPr>
      <w:r>
        <w:rPr>
          <w:spacing w:val="-6"/>
        </w:rPr>
        <w:t>如果投保人故意或者因重大过失未履行前款规定的如实告知义务，足以影响本公司决定是否同意承保或者提高保险费率的，本公司有权解除本合同。</w:t>
      </w:r>
    </w:p>
    <w:p>
      <w:pPr>
        <w:spacing w:before="244"/>
        <w:ind w:left="113" w:right="205" w:firstLine="0"/>
        <w:jc w:val="left"/>
        <w:rPr>
          <w:rFonts w:ascii="Microsoft JhengHei" w:eastAsia="Microsoft JhengHei" w:hint="eastAsia"/>
          <w:b/>
          <w:sz w:val="21"/>
        </w:rPr>
      </w:pPr>
      <w:r>
        <w:rPr>
          <w:rFonts w:ascii="Microsoft JhengHei" w:eastAsia="Microsoft JhengHei" w:hint="eastAsia"/>
          <w:b/>
          <w:spacing w:val="-6"/>
          <w:sz w:val="21"/>
        </w:rPr>
        <w:t>如果投保人故意不履行如实告知义务，对于本合同解除前发生的保险事故，本公司不承担给付保险金的责任，并不退还保险费。</w:t>
      </w:r>
    </w:p>
    <w:p>
      <w:pPr>
        <w:spacing w:before="243"/>
        <w:ind w:left="113" w:right="205" w:firstLine="0"/>
        <w:jc w:val="left"/>
        <w:rPr>
          <w:rFonts w:ascii="Microsoft JhengHei" w:eastAsia="Microsoft JhengHei" w:hint="eastAsia"/>
          <w:b/>
          <w:sz w:val="21"/>
        </w:rPr>
      </w:pPr>
      <w:r>
        <w:rPr>
          <w:rFonts w:ascii="Microsoft JhengHei" w:eastAsia="Microsoft JhengHei" w:hint="eastAsia"/>
          <w:b/>
          <w:spacing w:val="-6"/>
          <w:sz w:val="21"/>
        </w:rPr>
        <w:t>如果投保人因重大过失未履行如实告知义务，对保险事故的发生有严重影响的，对于本合同解除前发生的保险事故，本公司不承担给付保险金的责任，但应当退还保险费。</w:t>
      </w:r>
    </w:p>
    <w:p>
      <w:pPr>
        <w:pStyle w:val="BodyText"/>
        <w:spacing w:before="9"/>
        <w:ind w:left="0"/>
        <w:rPr>
          <w:rFonts w:ascii="Microsoft JhengHei"/>
          <w:b/>
          <w:sz w:val="17"/>
        </w:rPr>
      </w:pPr>
    </w:p>
    <w:p>
      <w:pPr>
        <w:pStyle w:val="BodyText"/>
        <w:spacing w:line="321" w:lineRule="auto"/>
        <w:ind w:right="205"/>
      </w:pPr>
      <w:r>
        <w:rPr>
          <w:spacing w:val="-8"/>
        </w:rPr>
        <w:t>本公司在合同订立时已经知道投保人未如实告知的情况的，本公司不得解除合同；发生保险事故的，本公</w:t>
      </w:r>
      <w:r>
        <w:rPr>
          <w:spacing w:val="-6"/>
        </w:rPr>
        <w:t>司承担给付保险金的责任。</w:t>
      </w:r>
    </w:p>
    <w:p>
      <w:pPr>
        <w:pStyle w:val="Heading1"/>
        <w:spacing w:before="201"/>
        <w:rPr>
          <w:rFonts w:ascii="黑体" w:eastAsia="黑体" w:hint="eastAsia"/>
        </w:rPr>
      </w:pPr>
      <w:r>
        <w:rPr>
          <w:rFonts w:ascii="黑体" w:eastAsia="黑体" w:hint="eastAsia"/>
        </w:rPr>
        <w:t>第九条 本公司合同解除权的限制</w:t>
      </w:r>
    </w:p>
    <w:p>
      <w:pPr>
        <w:pStyle w:val="BodyText"/>
        <w:spacing w:before="8"/>
        <w:ind w:left="0"/>
        <w:rPr>
          <w:rFonts w:ascii="黑体"/>
          <w:b/>
          <w:sz w:val="22"/>
        </w:rPr>
      </w:pPr>
    </w:p>
    <w:p>
      <w:pPr>
        <w:pStyle w:val="BodyText"/>
        <w:spacing w:line="300" w:lineRule="auto"/>
        <w:ind w:right="203"/>
      </w:pPr>
      <w:r>
        <w:rPr>
          <w:spacing w:val="-5"/>
        </w:rPr>
        <w:t>前条规定的合同解除权，自本公司知道有解除事由之日起，超过 </w:t>
      </w:r>
      <w:r>
        <w:rPr>
          <w:rFonts w:ascii="Times New Roman" w:eastAsia="Times New Roman"/>
        </w:rPr>
        <w:t>30</w:t>
      </w:r>
      <w:r>
        <w:rPr>
          <w:rFonts w:ascii="Times New Roman" w:eastAsia="Times New Roman"/>
          <w:spacing w:val="10"/>
        </w:rPr>
        <w:t> </w:t>
      </w:r>
      <w:r>
        <w:rPr>
          <w:spacing w:val="-4"/>
        </w:rPr>
        <w:t>日不行使而消灭，发生保险事故的， </w:t>
      </w:r>
      <w:r>
        <w:rPr>
          <w:spacing w:val="-5"/>
        </w:rPr>
        <w:t>本公司承担给付保险金的责任。</w:t>
      </w:r>
    </w:p>
    <w:p>
      <w:pPr>
        <w:pStyle w:val="Heading1"/>
        <w:spacing w:before="224"/>
        <w:rPr>
          <w:rFonts w:ascii="黑体" w:eastAsia="黑体" w:hint="eastAsia"/>
        </w:rPr>
      </w:pPr>
      <w:r>
        <w:rPr>
          <w:rFonts w:ascii="黑体" w:eastAsia="黑体" w:hint="eastAsia"/>
        </w:rPr>
        <w:t>第十条 受益人</w:t>
      </w:r>
    </w:p>
    <w:p>
      <w:pPr>
        <w:pStyle w:val="BodyText"/>
        <w:spacing w:before="7"/>
        <w:ind w:left="0"/>
        <w:rPr>
          <w:rFonts w:ascii="黑体"/>
          <w:b/>
          <w:sz w:val="22"/>
        </w:rPr>
      </w:pPr>
    </w:p>
    <w:p>
      <w:pPr>
        <w:pStyle w:val="BodyText"/>
      </w:pPr>
      <w:r>
        <w:rPr/>
        <w:t>除另有指定外，本合同保险金的受益人为被保险人本人。</w:t>
      </w:r>
    </w:p>
    <w:p>
      <w:pPr>
        <w:pStyle w:val="BodyText"/>
        <w:spacing w:before="9"/>
        <w:ind w:left="0"/>
        <w:rPr>
          <w:sz w:val="20"/>
        </w:rPr>
      </w:pPr>
    </w:p>
    <w:p>
      <w:pPr>
        <w:pStyle w:val="Heading1"/>
        <w:tabs>
          <w:tab w:pos="1169" w:val="left" w:leader="none"/>
        </w:tabs>
        <w:spacing w:before="1"/>
        <w:rPr>
          <w:rFonts w:ascii="黑体" w:eastAsia="黑体" w:hint="eastAsia"/>
        </w:rPr>
      </w:pPr>
      <w:r>
        <w:rPr>
          <w:rFonts w:ascii="黑体" w:eastAsia="黑体" w:hint="eastAsia"/>
        </w:rPr>
        <w:t>第十一条</w:t>
        <w:tab/>
        <w:t>保险事故通知</w:t>
      </w:r>
    </w:p>
    <w:p>
      <w:pPr>
        <w:pStyle w:val="BodyText"/>
        <w:ind w:left="0"/>
        <w:rPr>
          <w:rFonts w:ascii="黑体"/>
          <w:b/>
          <w:sz w:val="23"/>
        </w:rPr>
      </w:pPr>
    </w:p>
    <w:p>
      <w:pPr>
        <w:pStyle w:val="BodyText"/>
      </w:pPr>
      <w:r>
        <w:rPr/>
        <w:t>投保人或受益人知道保险事故后应当在 </w:t>
      </w:r>
      <w:r>
        <w:rPr>
          <w:rFonts w:ascii="Times New Roman" w:eastAsia="Times New Roman"/>
        </w:rPr>
        <w:t>10 </w:t>
      </w:r>
      <w:r>
        <w:rPr/>
        <w:t>日内通知本公司。</w:t>
      </w:r>
    </w:p>
    <w:p>
      <w:pPr>
        <w:pStyle w:val="BodyText"/>
        <w:spacing w:before="4"/>
        <w:ind w:left="0"/>
        <w:rPr>
          <w:sz w:val="28"/>
        </w:rPr>
      </w:pPr>
    </w:p>
    <w:p>
      <w:pPr>
        <w:spacing w:line="261" w:lineRule="auto" w:before="1"/>
        <w:ind w:left="113" w:right="107" w:firstLine="0"/>
        <w:jc w:val="both"/>
        <w:rPr>
          <w:sz w:val="21"/>
        </w:rPr>
      </w:pPr>
      <w:r>
        <w:rPr>
          <w:rFonts w:ascii="Microsoft JhengHei" w:eastAsia="Microsoft JhengHei" w:hint="eastAsia"/>
          <w:b/>
          <w:spacing w:val="-8"/>
          <w:sz w:val="21"/>
        </w:rPr>
        <w:t>如果投保人或受益人故意或者因重大过失未及时通知，致使保险事故的性质、原因、损失程度等难以确定</w:t>
      </w:r>
      <w:r>
        <w:rPr>
          <w:rFonts w:ascii="Microsoft JhengHei" w:eastAsia="Microsoft JhengHei" w:hint="eastAsia"/>
          <w:b/>
          <w:spacing w:val="-6"/>
          <w:sz w:val="21"/>
        </w:rPr>
        <w:t>的，本公司对无法确定的部分，不承担给付保险金的责任</w:t>
      </w:r>
      <w:r>
        <w:rPr>
          <w:spacing w:val="-5"/>
          <w:sz w:val="21"/>
        </w:rPr>
        <w:t>，但本公司通过其他途径已经及时知道或者应当及时知道保险事故发生或者虽未及时通知但不影响本公司确定保险事故的性质、原因、损失程度的除外。</w:t>
      </w:r>
    </w:p>
    <w:p>
      <w:pPr>
        <w:pStyle w:val="BodyText"/>
        <w:spacing w:before="10"/>
        <w:ind w:left="0"/>
        <w:rPr>
          <w:sz w:val="19"/>
        </w:rPr>
      </w:pPr>
    </w:p>
    <w:p>
      <w:pPr>
        <w:pStyle w:val="Heading1"/>
        <w:tabs>
          <w:tab w:pos="1169" w:val="left" w:leader="none"/>
        </w:tabs>
        <w:rPr>
          <w:rFonts w:ascii="黑体" w:eastAsia="黑体" w:hint="eastAsia"/>
        </w:rPr>
      </w:pPr>
      <w:r>
        <w:rPr>
          <w:rFonts w:ascii="黑体" w:eastAsia="黑体" w:hint="eastAsia"/>
        </w:rPr>
        <w:t>第十二条</w:t>
        <w:tab/>
        <w:t>保险金申请</w:t>
      </w:r>
    </w:p>
    <w:p>
      <w:pPr>
        <w:pStyle w:val="BodyText"/>
        <w:spacing w:before="8"/>
        <w:ind w:left="0"/>
        <w:rPr>
          <w:rFonts w:ascii="黑体"/>
          <w:b/>
          <w:sz w:val="22"/>
        </w:rPr>
      </w:pPr>
    </w:p>
    <w:p>
      <w:pPr>
        <w:pStyle w:val="BodyText"/>
      </w:pPr>
      <w:r>
        <w:rPr/>
        <w:t>在申请本合同保险金时，申请人须填写保险金给付申请书，并提供下列证明和资料：</w:t>
      </w:r>
    </w:p>
    <w:p>
      <w:pPr>
        <w:pStyle w:val="BodyText"/>
        <w:spacing w:before="90"/>
      </w:pPr>
      <w:r>
        <w:rPr>
          <w:rFonts w:ascii="Times New Roman" w:eastAsia="Times New Roman"/>
        </w:rPr>
        <w:t>1</w:t>
      </w:r>
      <w:r>
        <w:rPr/>
        <w:t>、 保险合同；</w:t>
      </w:r>
    </w:p>
    <w:p>
      <w:pPr>
        <w:pStyle w:val="BodyText"/>
        <w:spacing w:before="74"/>
      </w:pPr>
      <w:r>
        <w:rPr>
          <w:rFonts w:ascii="Times New Roman" w:eastAsia="Times New Roman"/>
        </w:rPr>
        <w:t>2</w:t>
      </w:r>
      <w:r>
        <w:rPr/>
        <w:t>、 申请人的有效身份证件；</w:t>
      </w:r>
    </w:p>
    <w:p>
      <w:pPr>
        <w:pStyle w:val="BodyText"/>
        <w:spacing w:before="78"/>
      </w:pPr>
      <w:r>
        <w:rPr>
          <w:rFonts w:ascii="Times New Roman" w:eastAsia="Times New Roman"/>
        </w:rPr>
        <w:t>3</w:t>
      </w:r>
      <w:r>
        <w:rPr/>
        <w:t>、 被保险人的有效身份证件；</w:t>
      </w:r>
    </w:p>
    <w:p>
      <w:pPr>
        <w:pStyle w:val="BodyText"/>
        <w:spacing w:before="74"/>
      </w:pPr>
      <w:r>
        <w:rPr>
          <w:rFonts w:ascii="Times New Roman" w:eastAsia="Times New Roman"/>
        </w:rPr>
        <w:t>4</w:t>
      </w:r>
      <w:r>
        <w:rPr/>
        <w:t>、 本合同保险金受益人的有效身份证件；</w:t>
      </w:r>
    </w:p>
    <w:p>
      <w:pPr>
        <w:pStyle w:val="BodyText"/>
        <w:spacing w:line="302" w:lineRule="auto" w:before="74"/>
        <w:ind w:left="473" w:right="205" w:hanging="360"/>
      </w:pPr>
      <w:r>
        <w:rPr>
          <w:rFonts w:ascii="Times New Roman" w:eastAsia="Times New Roman"/>
        </w:rPr>
        <w:t>5</w:t>
      </w:r>
      <w:r>
        <w:rPr>
          <w:spacing w:val="-5"/>
        </w:rPr>
        <w:t>、 由医疗机构的专科医生出具的疾病诊断书及相关所必需的检查结果证明</w:t>
      </w:r>
      <w:r>
        <w:rPr/>
        <w:t>（</w:t>
      </w:r>
      <w:r>
        <w:rPr>
          <w:spacing w:val="-1"/>
        </w:rPr>
        <w:t>如病理检查报告、血液检查</w:t>
      </w:r>
      <w:r>
        <w:rPr>
          <w:spacing w:val="-14"/>
        </w:rPr>
        <w:t>报告、超声波、影像学及其他医学诊断检查报告等</w:t>
      </w:r>
      <w:r>
        <w:rPr>
          <w:spacing w:val="-90"/>
        </w:rPr>
        <w:t>）</w:t>
      </w:r>
      <w:r>
        <w:rPr>
          <w:spacing w:val="-14"/>
        </w:rPr>
        <w:t>，若接受外科手术者，还需提供外科手术证明文件；</w:t>
      </w:r>
    </w:p>
    <w:p>
      <w:pPr>
        <w:pStyle w:val="BodyText"/>
        <w:spacing w:before="40"/>
      </w:pPr>
      <w:r>
        <w:rPr>
          <w:rFonts w:ascii="Times New Roman" w:eastAsia="Times New Roman"/>
        </w:rPr>
        <w:t>6</w:t>
      </w:r>
      <w:r>
        <w:rPr/>
        <w:t>、 所能提供的与确认保险事故的性质、原因等有关的其他证明和资料。</w:t>
      </w:r>
    </w:p>
    <w:p>
      <w:pPr>
        <w:pStyle w:val="BodyText"/>
        <w:ind w:left="0"/>
        <w:rPr>
          <w:sz w:val="24"/>
        </w:rPr>
      </w:pPr>
    </w:p>
    <w:p>
      <w:pPr>
        <w:pStyle w:val="BodyText"/>
      </w:pPr>
      <w:r>
        <w:rPr/>
        <w:t>以上证明和资料不完整的，本公司将及时一次性通知申请人补充提供有关证明和资料。</w:t>
      </w:r>
    </w:p>
    <w:p>
      <w:pPr>
        <w:pStyle w:val="BodyText"/>
        <w:spacing w:before="2"/>
        <w:ind w:left="0"/>
      </w:pPr>
    </w:p>
    <w:p>
      <w:pPr>
        <w:pStyle w:val="Heading1"/>
        <w:tabs>
          <w:tab w:pos="1169" w:val="left" w:leader="none"/>
        </w:tabs>
        <w:rPr>
          <w:rFonts w:ascii="黑体" w:eastAsia="黑体" w:hint="eastAsia"/>
        </w:rPr>
      </w:pPr>
      <w:r>
        <w:rPr>
          <w:rFonts w:ascii="黑体" w:eastAsia="黑体" w:hint="eastAsia"/>
        </w:rPr>
        <w:t>第十三条</w:t>
        <w:tab/>
        <w:t>保险金给付</w:t>
      </w:r>
    </w:p>
    <w:p>
      <w:pPr>
        <w:pStyle w:val="BodyText"/>
        <w:spacing w:before="8"/>
        <w:ind w:left="0"/>
        <w:rPr>
          <w:rFonts w:ascii="黑体"/>
          <w:b/>
          <w:sz w:val="22"/>
        </w:rPr>
      </w:pPr>
    </w:p>
    <w:p>
      <w:pPr>
        <w:pStyle w:val="BodyText"/>
        <w:rPr>
          <w:rFonts w:ascii="Times New Roman" w:eastAsia="Times New Roman"/>
        </w:rPr>
      </w:pPr>
      <w:r>
        <w:rPr/>
        <w:t>本公司在收到保险金给付申请书及合同约定的证明和资料后，将在 </w:t>
      </w:r>
      <w:r>
        <w:rPr>
          <w:rFonts w:ascii="Times New Roman" w:eastAsia="Times New Roman"/>
        </w:rPr>
        <w:t>5  </w:t>
      </w:r>
      <w:r>
        <w:rPr/>
        <w:t>日内作出核定；情形复杂的，在 </w:t>
      </w:r>
      <w:r>
        <w:rPr>
          <w:rFonts w:ascii="Times New Roman" w:eastAsia="Times New Roman"/>
        </w:rPr>
        <w:t>30</w:t>
      </w:r>
    </w:p>
    <w:p>
      <w:pPr>
        <w:spacing w:after="0"/>
        <w:rPr>
          <w:rFonts w:ascii="Times New Roman" w:eastAsia="Times New Roman"/>
        </w:rPr>
        <w:sectPr>
          <w:pgSz w:w="11910" w:h="16840"/>
          <w:pgMar w:header="0" w:footer="502" w:top="1040" w:bottom="780" w:left="1020" w:right="920"/>
        </w:sectPr>
      </w:pPr>
    </w:p>
    <w:p>
      <w:pPr>
        <w:pStyle w:val="BodyText"/>
        <w:spacing w:line="304" w:lineRule="auto" w:before="70"/>
        <w:ind w:right="202"/>
      </w:pPr>
      <w:r>
        <w:rPr>
          <w:spacing w:val="-5"/>
        </w:rPr>
        <w:t>日内作出核定。对属于保险责任的，本公司在与受益人达成给付保险金的协议后 </w:t>
      </w:r>
      <w:r>
        <w:rPr>
          <w:rFonts w:ascii="Times New Roman" w:eastAsia="Times New Roman"/>
        </w:rPr>
        <w:t>10 </w:t>
      </w:r>
      <w:r>
        <w:rPr>
          <w:spacing w:val="-3"/>
        </w:rPr>
        <w:t>日内，履行给付保险金义务。</w:t>
      </w:r>
    </w:p>
    <w:p>
      <w:pPr>
        <w:pStyle w:val="BodyText"/>
        <w:spacing w:before="11"/>
        <w:ind w:left="0"/>
        <w:rPr>
          <w:sz w:val="20"/>
        </w:rPr>
      </w:pPr>
    </w:p>
    <w:p>
      <w:pPr>
        <w:pStyle w:val="BodyText"/>
      </w:pPr>
      <w:r>
        <w:rPr/>
        <w:t>本公司未及时履行前款规定义务的，除支付保险金外，应当赔偿受益人因此受到的损失。</w:t>
      </w:r>
    </w:p>
    <w:p>
      <w:pPr>
        <w:pStyle w:val="BodyText"/>
        <w:spacing w:before="7"/>
        <w:ind w:left="0"/>
        <w:rPr>
          <w:sz w:val="25"/>
        </w:rPr>
      </w:pPr>
    </w:p>
    <w:p>
      <w:pPr>
        <w:pStyle w:val="BodyText"/>
        <w:spacing w:before="1"/>
      </w:pPr>
      <w:r>
        <w:rPr/>
        <w:t>对不属于保险责任的，本公司自作出核定之日起 </w:t>
      </w:r>
      <w:r>
        <w:rPr>
          <w:rFonts w:ascii="Times New Roman" w:eastAsia="Times New Roman"/>
        </w:rPr>
        <w:t>3 </w:t>
      </w:r>
      <w:r>
        <w:rPr/>
        <w:t>日内向受益人发出拒绝给付保险金通知书并说明理由。</w:t>
      </w:r>
    </w:p>
    <w:p>
      <w:pPr>
        <w:pStyle w:val="BodyText"/>
        <w:ind w:left="0"/>
        <w:rPr>
          <w:sz w:val="24"/>
        </w:rPr>
      </w:pPr>
    </w:p>
    <w:p>
      <w:pPr>
        <w:pStyle w:val="BodyText"/>
        <w:spacing w:line="300" w:lineRule="auto"/>
        <w:ind w:right="105"/>
      </w:pPr>
      <w:r>
        <w:rPr>
          <w:spacing w:val="-5"/>
        </w:rPr>
        <w:t>本公司在收到保险金给付申请书及有关证明和资料之日起 </w:t>
      </w:r>
      <w:r>
        <w:rPr>
          <w:rFonts w:ascii="Times New Roman" w:eastAsia="Times New Roman"/>
          <w:spacing w:val="-3"/>
        </w:rPr>
        <w:t>60 </w:t>
      </w:r>
      <w:r>
        <w:rPr>
          <w:spacing w:val="-5"/>
        </w:rPr>
        <w:t>日内，对给付保险金的数额不能确定的，根据已有证明和资料可以确定的数额先予支付；本公司最终确定给付保险金的数额后，将支付相应的差额。</w:t>
      </w:r>
    </w:p>
    <w:p>
      <w:pPr>
        <w:pStyle w:val="Heading1"/>
        <w:tabs>
          <w:tab w:pos="1169" w:val="left" w:leader="none"/>
        </w:tabs>
        <w:spacing w:before="225"/>
        <w:rPr>
          <w:rFonts w:ascii="黑体" w:eastAsia="黑体" w:hint="eastAsia"/>
        </w:rPr>
      </w:pPr>
      <w:r>
        <w:rPr>
          <w:rFonts w:ascii="黑体" w:eastAsia="黑体" w:hint="eastAsia"/>
        </w:rPr>
        <w:t>第十四条</w:t>
        <w:tab/>
        <w:t>诉讼时效</w:t>
      </w:r>
    </w:p>
    <w:p>
      <w:pPr>
        <w:pStyle w:val="BodyText"/>
        <w:spacing w:before="8"/>
        <w:ind w:left="0"/>
        <w:rPr>
          <w:rFonts w:ascii="黑体"/>
          <w:b/>
          <w:sz w:val="22"/>
        </w:rPr>
      </w:pPr>
    </w:p>
    <w:p>
      <w:pPr>
        <w:pStyle w:val="BodyText"/>
      </w:pPr>
      <w:r>
        <w:rPr>
          <w:spacing w:val="-7"/>
        </w:rPr>
        <w:t>受益人向本公司请求给付保险金的诉讼时效期间为 </w:t>
      </w:r>
      <w:r>
        <w:rPr>
          <w:rFonts w:ascii="Times New Roman" w:eastAsia="Times New Roman"/>
        </w:rPr>
        <w:t>2 </w:t>
      </w:r>
      <w:r>
        <w:rPr>
          <w:spacing w:val="-12"/>
        </w:rPr>
        <w:t>年，自其知道或者应当知道保险事故发生之日起计算。</w:t>
      </w:r>
    </w:p>
    <w:p>
      <w:pPr>
        <w:pStyle w:val="BodyText"/>
        <w:spacing w:before="7"/>
        <w:ind w:left="0"/>
        <w:rPr>
          <w:sz w:val="19"/>
        </w:rPr>
      </w:pPr>
    </w:p>
    <w:p>
      <w:pPr>
        <w:pStyle w:val="Heading1"/>
        <w:tabs>
          <w:tab w:pos="1169" w:val="left" w:leader="none"/>
        </w:tabs>
        <w:rPr>
          <w:rFonts w:ascii="黑体" w:eastAsia="黑体" w:hint="eastAsia"/>
        </w:rPr>
      </w:pPr>
      <w:r>
        <w:rPr>
          <w:rFonts w:ascii="黑体" w:eastAsia="黑体" w:hint="eastAsia"/>
        </w:rPr>
        <w:t>第十五条</w:t>
        <w:tab/>
        <w:t>身体检查及司法鉴定</w:t>
      </w:r>
    </w:p>
    <w:p>
      <w:pPr>
        <w:pStyle w:val="BodyText"/>
        <w:ind w:left="0"/>
        <w:rPr>
          <w:rFonts w:ascii="黑体"/>
          <w:b/>
          <w:sz w:val="20"/>
        </w:rPr>
      </w:pPr>
    </w:p>
    <w:p>
      <w:pPr>
        <w:spacing w:line="261" w:lineRule="auto" w:before="159"/>
        <w:ind w:left="113" w:right="203" w:firstLine="0"/>
        <w:jc w:val="both"/>
        <w:rPr>
          <w:sz w:val="21"/>
        </w:rPr>
      </w:pPr>
      <w:r>
        <w:rPr>
          <w:spacing w:val="-5"/>
          <w:sz w:val="21"/>
        </w:rPr>
        <w:t>申请本合同保险金时，本公司有权根据实际情况要求被保险人到本公司指定的医院进行身体检查或其他必</w:t>
      </w:r>
      <w:r>
        <w:rPr>
          <w:spacing w:val="-6"/>
          <w:sz w:val="21"/>
        </w:rPr>
        <w:t>要的检验以确认保险事故的发生，费用由本公司承担。</w:t>
      </w:r>
      <w:r>
        <w:rPr>
          <w:rFonts w:ascii="Microsoft JhengHei" w:eastAsia="Microsoft JhengHei" w:hint="eastAsia"/>
          <w:b/>
          <w:spacing w:val="-5"/>
          <w:sz w:val="21"/>
        </w:rPr>
        <w:t>如果被保险人拒绝检查、检验或检查、检验结果不</w:t>
      </w:r>
      <w:r>
        <w:rPr>
          <w:rFonts w:ascii="Microsoft JhengHei" w:eastAsia="Microsoft JhengHei" w:hint="eastAsia"/>
          <w:b/>
          <w:spacing w:val="-7"/>
          <w:sz w:val="21"/>
        </w:rPr>
        <w:t>符合本合同关于保险事故的约定，本公司不承担给付保险金的责任。</w:t>
      </w:r>
      <w:r>
        <w:rPr>
          <w:spacing w:val="-5"/>
          <w:sz w:val="21"/>
        </w:rPr>
        <w:t>若被保险人身故，本公司有权要求司法鉴定机构对保险事故进行鉴定。</w:t>
      </w:r>
    </w:p>
    <w:p>
      <w:pPr>
        <w:pStyle w:val="BodyText"/>
        <w:spacing w:before="9"/>
        <w:ind w:left="0"/>
        <w:rPr>
          <w:sz w:val="19"/>
        </w:rPr>
      </w:pPr>
    </w:p>
    <w:p>
      <w:pPr>
        <w:pStyle w:val="Heading1"/>
        <w:tabs>
          <w:tab w:pos="1169" w:val="left" w:leader="none"/>
        </w:tabs>
        <w:rPr>
          <w:rFonts w:ascii="黑体" w:eastAsia="黑体" w:hint="eastAsia"/>
        </w:rPr>
      </w:pPr>
      <w:r>
        <w:rPr>
          <w:rFonts w:ascii="黑体" w:eastAsia="黑体" w:hint="eastAsia"/>
        </w:rPr>
        <w:t>第十六条</w:t>
        <w:tab/>
        <w:t>保险费的缴付</w:t>
      </w:r>
    </w:p>
    <w:p>
      <w:pPr>
        <w:pStyle w:val="BodyText"/>
        <w:ind w:left="0"/>
        <w:rPr>
          <w:rFonts w:ascii="黑体"/>
          <w:b/>
          <w:sz w:val="20"/>
        </w:rPr>
      </w:pPr>
    </w:p>
    <w:p>
      <w:pPr>
        <w:pStyle w:val="BodyText"/>
        <w:spacing w:before="159"/>
      </w:pPr>
      <w:r>
        <w:rPr/>
        <w:t>投保人应于本合同成立时向本公司一次性缴清本合同的保险费。</w:t>
      </w:r>
    </w:p>
    <w:p>
      <w:pPr>
        <w:pStyle w:val="BodyText"/>
        <w:spacing w:before="11"/>
        <w:ind w:left="0"/>
        <w:rPr>
          <w:sz w:val="20"/>
        </w:rPr>
      </w:pPr>
    </w:p>
    <w:p>
      <w:pPr>
        <w:pStyle w:val="Heading1"/>
        <w:tabs>
          <w:tab w:pos="1169" w:val="left" w:leader="none"/>
        </w:tabs>
        <w:rPr>
          <w:rFonts w:ascii="黑体" w:eastAsia="黑体" w:hint="eastAsia"/>
        </w:rPr>
      </w:pPr>
      <w:r>
        <w:rPr>
          <w:rFonts w:ascii="黑体" w:eastAsia="黑体" w:hint="eastAsia"/>
        </w:rPr>
        <w:t>第十七条</w:t>
        <w:tab/>
        <w:t>年龄错误</w:t>
      </w:r>
    </w:p>
    <w:p>
      <w:pPr>
        <w:pStyle w:val="BodyText"/>
        <w:ind w:left="0"/>
        <w:rPr>
          <w:rFonts w:ascii="黑体"/>
          <w:b/>
          <w:sz w:val="20"/>
        </w:rPr>
      </w:pPr>
    </w:p>
    <w:p>
      <w:pPr>
        <w:pStyle w:val="BodyText"/>
        <w:spacing w:line="319" w:lineRule="auto" w:before="159"/>
        <w:ind w:right="205"/>
      </w:pPr>
      <w:r>
        <w:rPr>
          <w:spacing w:val="-6"/>
        </w:rPr>
        <w:t>投保人在申请投保时，应将与有效身份证件相符的被保险人的出生日期在投保单上填明，如果发生错误按</w:t>
      </w:r>
      <w:r>
        <w:rPr>
          <w:spacing w:val="-5"/>
        </w:rPr>
        <w:t>照下列方式办理：</w:t>
      </w:r>
    </w:p>
    <w:p>
      <w:pPr>
        <w:pStyle w:val="BodyText"/>
        <w:spacing w:before="9"/>
        <w:ind w:left="0"/>
        <w:rPr>
          <w:sz w:val="24"/>
        </w:rPr>
      </w:pPr>
    </w:p>
    <w:p>
      <w:pPr>
        <w:spacing w:line="261" w:lineRule="auto" w:before="0"/>
        <w:ind w:left="473" w:right="203" w:hanging="360"/>
        <w:jc w:val="both"/>
        <w:rPr>
          <w:sz w:val="21"/>
        </w:rPr>
      </w:pPr>
      <w:r>
        <w:rPr>
          <w:spacing w:val="-3"/>
          <w:sz w:val="21"/>
        </w:rPr>
        <w:t>1</w:t>
      </w:r>
      <w:r>
        <w:rPr>
          <w:spacing w:val="31"/>
          <w:sz w:val="21"/>
        </w:rPr>
        <w:t>、</w:t>
      </w:r>
      <w:r>
        <w:rPr>
          <w:rFonts w:ascii="Microsoft JhengHei" w:hAnsi="Microsoft JhengHei" w:eastAsia="Microsoft JhengHei" w:hint="eastAsia"/>
          <w:b/>
          <w:spacing w:val="-3"/>
          <w:sz w:val="21"/>
        </w:rPr>
        <w:t>投保人申报的被保险人年龄不真实，并且其真实年龄不符合本合同约定投保年龄限制的，在保险事故</w:t>
      </w:r>
      <w:r>
        <w:rPr>
          <w:rFonts w:ascii="Microsoft JhengHei" w:hAnsi="Microsoft JhengHei" w:eastAsia="Microsoft JhengHei" w:hint="eastAsia"/>
          <w:b/>
          <w:spacing w:val="-8"/>
          <w:w w:val="95"/>
          <w:sz w:val="21"/>
        </w:rPr>
        <w:t>发生之前本公司有权解除合同，并向投保人退还本合同的现金价值。</w:t>
      </w:r>
      <w:r>
        <w:rPr>
          <w:spacing w:val="-5"/>
          <w:w w:val="95"/>
          <w:sz w:val="21"/>
        </w:rPr>
        <w:t>本公司行使合同解除权适用</w:t>
      </w:r>
      <w:r>
        <w:rPr>
          <w:w w:val="65"/>
          <w:sz w:val="21"/>
        </w:rPr>
        <w:t>“</w:t>
      </w:r>
      <w:r>
        <w:rPr>
          <w:w w:val="95"/>
          <w:sz w:val="21"/>
        </w:rPr>
        <w:t>本公   </w:t>
      </w:r>
      <w:r>
        <w:rPr>
          <w:spacing w:val="-2"/>
          <w:w w:val="95"/>
          <w:sz w:val="21"/>
        </w:rPr>
        <w:t>司合同解除权的限制</w:t>
      </w:r>
      <w:r>
        <w:rPr>
          <w:w w:val="65"/>
          <w:sz w:val="21"/>
        </w:rPr>
        <w:t>”</w:t>
      </w:r>
      <w:r>
        <w:rPr>
          <w:spacing w:val="-2"/>
          <w:w w:val="95"/>
          <w:sz w:val="21"/>
        </w:rPr>
        <w:t>的规定。</w:t>
      </w:r>
    </w:p>
    <w:p>
      <w:pPr>
        <w:pStyle w:val="BodyText"/>
        <w:spacing w:before="7"/>
        <w:ind w:left="0"/>
        <w:rPr>
          <w:sz w:val="28"/>
        </w:rPr>
      </w:pPr>
    </w:p>
    <w:p>
      <w:pPr>
        <w:pStyle w:val="Heading1"/>
        <w:ind w:left="473" w:right="206" w:hanging="360"/>
      </w:pPr>
      <w:r>
        <w:rPr>
          <w:spacing w:val="-3"/>
        </w:rPr>
        <w:t>2、投保人申报的被保险人年龄不真实，致使投保人实付保险费少于应付保险费的，本公司有权更正并要</w:t>
      </w:r>
      <w:r>
        <w:rPr>
          <w:spacing w:val="-16"/>
        </w:rPr>
        <w:t>求投保人补交保险费。若已经发生保险事故，在给付保险金时按实付保险费和应付保险费的比例给付。</w:t>
      </w:r>
    </w:p>
    <w:p>
      <w:pPr>
        <w:pStyle w:val="BodyText"/>
        <w:spacing w:before="12"/>
        <w:ind w:left="0"/>
        <w:rPr>
          <w:rFonts w:ascii="Microsoft JhengHei"/>
          <w:b/>
          <w:sz w:val="24"/>
        </w:rPr>
      </w:pPr>
    </w:p>
    <w:p>
      <w:pPr>
        <w:pStyle w:val="BodyText"/>
        <w:spacing w:line="319" w:lineRule="auto" w:before="1"/>
        <w:ind w:left="473" w:right="210" w:hanging="360"/>
      </w:pPr>
      <w:r>
        <w:rPr>
          <w:spacing w:val="-3"/>
        </w:rPr>
        <w:t>3、投保人申报的被保险人年龄不真实，致使投保人实付保险费多于应付保险费的，本公司会将多收的保</w:t>
      </w:r>
      <w:r>
        <w:rPr>
          <w:spacing w:val="-4"/>
        </w:rPr>
        <w:t>险费退还给投保人。</w:t>
      </w:r>
    </w:p>
    <w:p>
      <w:pPr>
        <w:pStyle w:val="BodyText"/>
        <w:spacing w:before="6"/>
        <w:ind w:left="0"/>
        <w:rPr>
          <w:sz w:val="25"/>
        </w:rPr>
      </w:pPr>
    </w:p>
    <w:p>
      <w:pPr>
        <w:pStyle w:val="Heading1"/>
        <w:tabs>
          <w:tab w:pos="1169" w:val="left" w:leader="none"/>
        </w:tabs>
        <w:rPr>
          <w:rFonts w:ascii="黑体" w:eastAsia="黑体" w:hint="eastAsia"/>
        </w:rPr>
      </w:pPr>
      <w:r>
        <w:rPr>
          <w:rFonts w:ascii="黑体" w:eastAsia="黑体" w:hint="eastAsia"/>
        </w:rPr>
        <w:t>第十八条</w:t>
        <w:tab/>
        <w:t>住所或通讯地址的变更</w:t>
      </w:r>
    </w:p>
    <w:p>
      <w:pPr>
        <w:pStyle w:val="BodyText"/>
        <w:spacing w:before="8"/>
        <w:ind w:left="0"/>
        <w:rPr>
          <w:rFonts w:ascii="黑体"/>
          <w:b/>
          <w:sz w:val="22"/>
        </w:rPr>
      </w:pPr>
    </w:p>
    <w:p>
      <w:pPr>
        <w:pStyle w:val="BodyText"/>
        <w:spacing w:line="319" w:lineRule="auto"/>
        <w:ind w:right="205"/>
      </w:pPr>
      <w:r>
        <w:rPr>
          <w:spacing w:val="-7"/>
        </w:rPr>
        <w:t>投保人的住所或通讯地址变更时，应及时以书面形式通知本公司。投保人不作前述通知时，本公司按本合</w:t>
      </w:r>
      <w:r>
        <w:rPr>
          <w:spacing w:val="-6"/>
        </w:rPr>
        <w:t>同上所载的最后住所或通讯地址发送的通知，视为已送达投保人。</w:t>
      </w:r>
    </w:p>
    <w:p>
      <w:pPr>
        <w:pStyle w:val="Heading1"/>
        <w:tabs>
          <w:tab w:pos="1169" w:val="left" w:leader="none"/>
        </w:tabs>
        <w:spacing w:before="208"/>
        <w:rPr>
          <w:rFonts w:ascii="黑体" w:eastAsia="黑体" w:hint="eastAsia"/>
        </w:rPr>
      </w:pPr>
      <w:r>
        <w:rPr>
          <w:rFonts w:ascii="黑体" w:eastAsia="黑体" w:hint="eastAsia"/>
        </w:rPr>
        <w:t>第十九条</w:t>
        <w:tab/>
        <w:t>争议的处理</w:t>
      </w:r>
    </w:p>
    <w:p>
      <w:pPr>
        <w:spacing w:after="0"/>
        <w:rPr>
          <w:rFonts w:ascii="黑体" w:eastAsia="黑体" w:hint="eastAsia"/>
        </w:rPr>
        <w:sectPr>
          <w:pgSz w:w="11910" w:h="16840"/>
          <w:pgMar w:header="0" w:footer="502" w:top="780" w:bottom="780" w:left="1020" w:right="920"/>
        </w:sectPr>
      </w:pPr>
    </w:p>
    <w:p>
      <w:pPr>
        <w:pStyle w:val="BodyText"/>
        <w:spacing w:before="55"/>
      </w:pPr>
      <w:r>
        <w:rPr/>
        <w:t>本合同争议解决方式由当事人投保时在投保单上约定从下列两种方式中选择一种：</w:t>
      </w:r>
    </w:p>
    <w:p>
      <w:pPr>
        <w:pStyle w:val="BodyText"/>
        <w:spacing w:before="90"/>
      </w:pPr>
      <w:r>
        <w:rPr>
          <w:rFonts w:ascii="Times New Roman" w:hAnsi="Times New Roman" w:eastAsia="Times New Roman"/>
        </w:rPr>
        <w:t>(</w:t>
      </w:r>
      <w:r>
        <w:rPr/>
        <w:t>一</w:t>
      </w:r>
      <w:r>
        <w:rPr>
          <w:rFonts w:ascii="Times New Roman" w:hAnsi="Times New Roman" w:eastAsia="Times New Roman"/>
        </w:rPr>
        <w:t>)   </w:t>
      </w:r>
      <w:r>
        <w:rPr/>
        <w:t>因履行本合同发生的争议，由当事人协商解决，协商不成的，提交</w:t>
      </w:r>
      <w:r>
        <w:rPr>
          <w:rFonts w:ascii="Times New Roman" w:hAnsi="Times New Roman" w:eastAsia="Times New Roman"/>
        </w:rPr>
        <w:t>×× </w:t>
      </w:r>
      <w:r>
        <w:rPr/>
        <w:t>仲裁委员会仲裁；</w:t>
      </w:r>
    </w:p>
    <w:p>
      <w:pPr>
        <w:pStyle w:val="BodyText"/>
        <w:spacing w:line="302" w:lineRule="auto" w:before="74"/>
        <w:ind w:left="622" w:right="121" w:hanging="509"/>
      </w:pPr>
      <w:r>
        <w:rPr>
          <w:rFonts w:ascii="Times New Roman" w:eastAsia="Times New Roman"/>
        </w:rPr>
        <w:t>(</w:t>
      </w:r>
      <w:r>
        <w:rPr/>
        <w:t>二</w:t>
      </w:r>
      <w:r>
        <w:rPr>
          <w:rFonts w:ascii="Times New Roman" w:eastAsia="Times New Roman"/>
        </w:rPr>
        <w:t>) </w:t>
      </w:r>
      <w:r>
        <w:rPr/>
        <w:t>因履行本合同发生的争议，由当事人协商解决，协商不成的，依法向被告住所地人民法院起诉，适用中华人民共和国法律。</w:t>
      </w:r>
    </w:p>
    <w:p>
      <w:pPr>
        <w:pStyle w:val="Heading1"/>
        <w:tabs>
          <w:tab w:pos="1169" w:val="left" w:leader="none"/>
        </w:tabs>
        <w:spacing w:before="222"/>
        <w:rPr>
          <w:rFonts w:ascii="黑体" w:eastAsia="黑体" w:hint="eastAsia"/>
        </w:rPr>
      </w:pPr>
      <w:r>
        <w:rPr>
          <w:rFonts w:ascii="黑体" w:eastAsia="黑体" w:hint="eastAsia"/>
        </w:rPr>
        <w:t>第二十条</w:t>
        <w:tab/>
        <w:t>重大疾病的释义</w:t>
      </w:r>
    </w:p>
    <w:p>
      <w:pPr>
        <w:pStyle w:val="BodyText"/>
        <w:spacing w:before="11"/>
        <w:ind w:left="0"/>
        <w:rPr>
          <w:rFonts w:ascii="黑体"/>
          <w:b/>
        </w:rPr>
      </w:pPr>
    </w:p>
    <w:p>
      <w:pPr>
        <w:pStyle w:val="BodyText"/>
      </w:pPr>
      <w:r>
        <w:rPr>
          <w:spacing w:val="-6"/>
        </w:rPr>
        <w:t>本合同所指的重大疾病共有 </w:t>
      </w:r>
      <w:r>
        <w:rPr>
          <w:rFonts w:ascii="Times New Roman" w:eastAsia="Times New Roman"/>
        </w:rPr>
        <w:t>38 </w:t>
      </w:r>
      <w:r>
        <w:rPr>
          <w:spacing w:val="-9"/>
        </w:rPr>
        <w:t>种，下述第 </w:t>
      </w:r>
      <w:r>
        <w:rPr>
          <w:rFonts w:ascii="Times New Roman" w:eastAsia="Times New Roman"/>
        </w:rPr>
        <w:t>1 </w:t>
      </w:r>
      <w:r>
        <w:rPr>
          <w:spacing w:val="-13"/>
        </w:rPr>
        <w:t>种至第 </w:t>
      </w:r>
      <w:r>
        <w:rPr>
          <w:rFonts w:ascii="Times New Roman" w:eastAsia="Times New Roman"/>
        </w:rPr>
        <w:t>25 </w:t>
      </w:r>
      <w:r>
        <w:rPr>
          <w:spacing w:val="-7"/>
        </w:rPr>
        <w:t>种采用中国保险行业协会 </w:t>
      </w:r>
      <w:r>
        <w:rPr>
          <w:rFonts w:ascii="Times New Roman" w:eastAsia="Times New Roman"/>
        </w:rPr>
        <w:t>2007 </w:t>
      </w:r>
      <w:r>
        <w:rPr>
          <w:spacing w:val="-22"/>
        </w:rPr>
        <w:t>年 </w:t>
      </w:r>
      <w:r>
        <w:rPr>
          <w:rFonts w:ascii="Times New Roman" w:eastAsia="Times New Roman"/>
        </w:rPr>
        <w:t>3 </w:t>
      </w:r>
      <w:r>
        <w:rPr>
          <w:spacing w:val="-2"/>
        </w:rPr>
        <w:t>月发布的《重</w:t>
      </w:r>
    </w:p>
    <w:p>
      <w:pPr>
        <w:pStyle w:val="BodyText"/>
        <w:spacing w:before="30"/>
      </w:pPr>
      <w:r>
        <w:rPr>
          <w:spacing w:val="-7"/>
        </w:rPr>
        <w:t>大疾病保险的疾病定义使用规范》中规定的重大疾病种类及定义，第 </w:t>
      </w:r>
      <w:r>
        <w:rPr>
          <w:rFonts w:ascii="Times New Roman" w:eastAsia="Times New Roman"/>
        </w:rPr>
        <w:t>26 </w:t>
      </w:r>
      <w:r>
        <w:rPr>
          <w:spacing w:val="-10"/>
        </w:rPr>
        <w:t>种至第 </w:t>
      </w:r>
      <w:r>
        <w:rPr>
          <w:rFonts w:ascii="Times New Roman" w:eastAsia="Times New Roman"/>
          <w:spacing w:val="-3"/>
        </w:rPr>
        <w:t>38 </w:t>
      </w:r>
      <w:r>
        <w:rPr>
          <w:spacing w:val="-3"/>
        </w:rPr>
        <w:t>种为本公司自行增加的</w:t>
      </w:r>
    </w:p>
    <w:p>
      <w:pPr>
        <w:pStyle w:val="BodyText"/>
        <w:spacing w:before="26"/>
      </w:pPr>
      <w:r>
        <w:rPr>
          <w:rFonts w:ascii="Times New Roman" w:eastAsia="Times New Roman"/>
        </w:rPr>
        <w:t>13 </w:t>
      </w:r>
      <w:r>
        <w:rPr/>
        <w:t>种重大疾病。</w:t>
      </w:r>
    </w:p>
    <w:p>
      <w:pPr>
        <w:pStyle w:val="BodyText"/>
        <w:spacing w:before="8"/>
        <w:ind w:left="0"/>
        <w:rPr>
          <w:sz w:val="20"/>
        </w:rPr>
      </w:pPr>
    </w:p>
    <w:p>
      <w:pPr>
        <w:pStyle w:val="BodyText"/>
        <w:spacing w:line="280" w:lineRule="auto" w:before="1"/>
        <w:ind w:right="105"/>
      </w:pPr>
      <w:r>
        <w:rPr>
          <w:spacing w:val="-6"/>
        </w:rPr>
        <w:t>本合同的重大疾病定义可能与临床医学在概念和范围上有所不同，投保人投保本合同即表明其认可并遵从</w:t>
      </w:r>
      <w:r>
        <w:rPr>
          <w:spacing w:val="-5"/>
        </w:rPr>
        <w:t>本合同条款中对重大疾病的定义。</w:t>
      </w:r>
    </w:p>
    <w:p>
      <w:pPr>
        <w:pStyle w:val="BodyText"/>
        <w:spacing w:line="276" w:lineRule="auto" w:before="251"/>
        <w:ind w:right="102"/>
      </w:pPr>
      <w:r>
        <w:rPr>
          <w:spacing w:val="-7"/>
        </w:rPr>
        <w:t>本合同所指的重大疾病为符合下列定义的疾病、疾病状态或手术。被保险人发生符合以下疾病定义所述条</w:t>
      </w:r>
      <w:r>
        <w:rPr>
          <w:spacing w:val="-6"/>
        </w:rPr>
        <w:t>件的重大疾病，应当由医疗机构的专科医生明确诊断。</w:t>
      </w:r>
    </w:p>
    <w:p>
      <w:pPr>
        <w:pStyle w:val="BodyText"/>
        <w:spacing w:before="2"/>
        <w:ind w:left="0"/>
        <w:rPr>
          <w:sz w:val="20"/>
        </w:rPr>
      </w:pPr>
    </w:p>
    <w:p>
      <w:pPr>
        <w:pStyle w:val="BodyText"/>
      </w:pPr>
      <w:r>
        <w:rPr>
          <w:rFonts w:ascii="Times New Roman" w:eastAsia="Times New Roman"/>
        </w:rPr>
        <w:t>1</w:t>
      </w:r>
      <w:r>
        <w:rPr/>
        <w:t>、 恶性肿瘤</w:t>
      </w:r>
    </w:p>
    <w:p>
      <w:pPr>
        <w:pStyle w:val="BodyText"/>
        <w:spacing w:line="319" w:lineRule="auto" w:before="78"/>
        <w:ind w:right="105"/>
        <w:jc w:val="both"/>
      </w:pPr>
      <w:r>
        <w:rPr>
          <w:spacing w:val="-7"/>
        </w:rPr>
        <w:t>指恶性细胞不受控制的进行性增长和扩散，浸润和破坏周围正常组织，可以经血管、淋巴管和体腔扩散转</w:t>
      </w:r>
      <w:r>
        <w:rPr>
          <w:spacing w:val="-9"/>
        </w:rPr>
        <w:t>移到身体其它部位的疾病。经病理学检查结果明确诊断，临床诊断属于世界卫生组织《疾病和有关健康问</w:t>
      </w:r>
      <w:r>
        <w:rPr>
          <w:spacing w:val="-14"/>
        </w:rPr>
        <w:t>题的国际统计分类》</w:t>
      </w:r>
      <w:r>
        <w:rPr>
          <w:spacing w:val="-1"/>
        </w:rPr>
        <w:t>（</w:t>
      </w:r>
      <w:r>
        <w:rPr>
          <w:rFonts w:ascii="Times New Roman" w:eastAsia="Times New Roman"/>
          <w:spacing w:val="-1"/>
        </w:rPr>
        <w:t>ICD-10</w:t>
      </w:r>
      <w:r>
        <w:rPr>
          <w:spacing w:val="-1"/>
        </w:rPr>
        <w:t>）</w:t>
      </w:r>
      <w:r>
        <w:rPr>
          <w:spacing w:val="-3"/>
        </w:rPr>
        <w:t>的恶性肿瘤范畴。</w:t>
      </w:r>
    </w:p>
    <w:p>
      <w:pPr>
        <w:pStyle w:val="Heading1"/>
        <w:spacing w:line="296" w:lineRule="exact"/>
      </w:pPr>
      <w:r>
        <w:rPr/>
        <w:t>下列疾病不在保障范围内：</w:t>
      </w:r>
    </w:p>
    <w:p>
      <w:pPr>
        <w:spacing w:line="365" w:lineRule="exact" w:before="4"/>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1</w:t>
      </w:r>
      <w:r>
        <w:rPr>
          <w:rFonts w:ascii="Microsoft JhengHei" w:eastAsia="Microsoft JhengHei" w:hint="eastAsia"/>
          <w:b/>
          <w:sz w:val="21"/>
        </w:rPr>
        <w:t>）原位癌；</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2</w:t>
      </w:r>
      <w:r>
        <w:rPr>
          <w:rFonts w:ascii="Microsoft JhengHei" w:eastAsia="Microsoft JhengHei" w:hint="eastAsia"/>
          <w:b/>
          <w:sz w:val="21"/>
        </w:rPr>
        <w:t>）相当于 </w:t>
      </w:r>
      <w:r>
        <w:rPr>
          <w:rFonts w:ascii="Times New Roman" w:eastAsia="Times New Roman"/>
          <w:b/>
          <w:sz w:val="21"/>
        </w:rPr>
        <w:t>Binet </w:t>
      </w:r>
      <w:r>
        <w:rPr>
          <w:rFonts w:ascii="Microsoft JhengHei" w:eastAsia="Microsoft JhengHei" w:hint="eastAsia"/>
          <w:b/>
          <w:sz w:val="21"/>
        </w:rPr>
        <w:t>分期方案 </w:t>
      </w:r>
      <w:r>
        <w:rPr>
          <w:rFonts w:ascii="Times New Roman" w:eastAsia="Times New Roman"/>
          <w:b/>
          <w:sz w:val="21"/>
        </w:rPr>
        <w:t>A </w:t>
      </w:r>
      <w:r>
        <w:rPr>
          <w:rFonts w:ascii="Microsoft JhengHei" w:eastAsia="Microsoft JhengHei" w:hint="eastAsia"/>
          <w:b/>
          <w:sz w:val="21"/>
        </w:rPr>
        <w:t>期程度的慢性淋巴细胞白血病；</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3</w:t>
      </w:r>
      <w:r>
        <w:rPr>
          <w:rFonts w:ascii="Microsoft JhengHei" w:eastAsia="Microsoft JhengHei" w:hint="eastAsia"/>
          <w:b/>
          <w:sz w:val="21"/>
        </w:rPr>
        <w:t>）相当于 </w:t>
      </w:r>
      <w:r>
        <w:rPr>
          <w:rFonts w:ascii="Times New Roman" w:eastAsia="Times New Roman"/>
          <w:b/>
          <w:sz w:val="21"/>
        </w:rPr>
        <w:t>AnnArbor </w:t>
      </w:r>
      <w:r>
        <w:rPr>
          <w:rFonts w:ascii="Microsoft JhengHei" w:eastAsia="Microsoft JhengHei" w:hint="eastAsia"/>
          <w:b/>
          <w:sz w:val="21"/>
        </w:rPr>
        <w:t>分期方案 </w:t>
      </w:r>
      <w:r>
        <w:rPr>
          <w:rFonts w:ascii="Times New Roman" w:eastAsia="Times New Roman"/>
          <w:b/>
          <w:sz w:val="21"/>
        </w:rPr>
        <w:t>I </w:t>
      </w:r>
      <w:r>
        <w:rPr>
          <w:rFonts w:ascii="Microsoft JhengHei" w:eastAsia="Microsoft JhengHei" w:hint="eastAsia"/>
          <w:b/>
          <w:sz w:val="21"/>
        </w:rPr>
        <w:t>期程度的何杰金氏病；</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4</w:t>
      </w:r>
      <w:r>
        <w:rPr>
          <w:rFonts w:ascii="Microsoft JhengHei" w:eastAsia="Microsoft JhengHei" w:hint="eastAsia"/>
          <w:b/>
          <w:sz w:val="21"/>
        </w:rPr>
        <w:t>）皮肤癌（不包括恶性黑色素瘤及已发生转移的皮肤癌）；</w:t>
      </w:r>
    </w:p>
    <w:p>
      <w:pPr>
        <w:spacing w:line="365" w:lineRule="exact" w:before="0"/>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5</w:t>
      </w:r>
      <w:r>
        <w:rPr>
          <w:rFonts w:ascii="Microsoft JhengHei" w:eastAsia="Microsoft JhengHei" w:hint="eastAsia"/>
          <w:b/>
          <w:sz w:val="21"/>
        </w:rPr>
        <w:t>）</w:t>
      </w:r>
      <w:r>
        <w:rPr>
          <w:rFonts w:ascii="Times New Roman" w:eastAsia="Times New Roman"/>
          <w:b/>
          <w:sz w:val="21"/>
        </w:rPr>
        <w:t>TNM </w:t>
      </w:r>
      <w:r>
        <w:rPr>
          <w:rFonts w:ascii="Microsoft JhengHei" w:eastAsia="Microsoft JhengHei" w:hint="eastAsia"/>
          <w:b/>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rFonts w:ascii="Microsoft JhengHei" w:eastAsia="Microsoft JhengHei" w:hint="eastAsia"/>
          <w:b/>
          <w:sz w:val="21"/>
          <w:vertAlign w:val="baseline"/>
        </w:rPr>
        <w:t>期或更轻分期的前列腺癌；</w:t>
      </w:r>
    </w:p>
    <w:p>
      <w:pPr>
        <w:spacing w:before="3"/>
        <w:ind w:left="1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6</w:t>
      </w:r>
      <w:r>
        <w:rPr>
          <w:rFonts w:ascii="Microsoft JhengHei" w:eastAsia="Microsoft JhengHei" w:hint="eastAsia"/>
          <w:b/>
          <w:sz w:val="21"/>
        </w:rPr>
        <w:t>）感染艾滋病病毒或患艾滋病期间所患恶性肿瘤。</w:t>
      </w:r>
    </w:p>
    <w:p>
      <w:pPr>
        <w:pStyle w:val="BodyText"/>
        <w:spacing w:before="10"/>
        <w:ind w:left="0"/>
        <w:rPr>
          <w:rFonts w:ascii="Microsoft JhengHei"/>
          <w:b/>
          <w:sz w:val="17"/>
        </w:rPr>
      </w:pPr>
    </w:p>
    <w:p>
      <w:pPr>
        <w:pStyle w:val="BodyText"/>
      </w:pPr>
      <w:r>
        <w:rPr>
          <w:rFonts w:ascii="Times New Roman" w:eastAsia="Times New Roman"/>
        </w:rPr>
        <w:t>2</w:t>
      </w:r>
      <w:r>
        <w:rPr/>
        <w:t>、 急性心肌梗塞</w:t>
      </w:r>
    </w:p>
    <w:p>
      <w:pPr>
        <w:pStyle w:val="BodyText"/>
        <w:spacing w:line="321" w:lineRule="auto" w:before="74"/>
        <w:ind w:right="3864"/>
      </w:pPr>
      <w:r>
        <w:rPr/>
        <w:t>指因冠状动脉阻塞导致的相应区域供血不足造成部分心肌坏死。须满足下列至少三项条件：</w:t>
      </w:r>
    </w:p>
    <w:p>
      <w:pPr>
        <w:pStyle w:val="BodyText"/>
        <w:spacing w:before="18"/>
      </w:pPr>
      <w:r>
        <w:rPr/>
        <w:t>（</w:t>
      </w:r>
      <w:r>
        <w:rPr>
          <w:rFonts w:ascii="Times New Roman" w:eastAsia="Times New Roman"/>
        </w:rPr>
        <w:t>1</w:t>
      </w:r>
      <w:r>
        <w:rPr/>
        <w:t>）典型临床表现，例如急性胸痛等；</w:t>
      </w:r>
    </w:p>
    <w:p>
      <w:pPr>
        <w:pStyle w:val="BodyText"/>
        <w:spacing w:before="73"/>
      </w:pPr>
      <w:r>
        <w:rPr/>
        <w:t>（</w:t>
      </w:r>
      <w:r>
        <w:rPr>
          <w:rFonts w:ascii="Times New Roman" w:eastAsia="Times New Roman"/>
        </w:rPr>
        <w:t>2</w:t>
      </w:r>
      <w:r>
        <w:rPr/>
        <w:t>）新近的心电图改变提示急性心肌梗塞；</w:t>
      </w:r>
    </w:p>
    <w:p>
      <w:pPr>
        <w:pStyle w:val="BodyText"/>
        <w:spacing w:before="73"/>
      </w:pPr>
      <w:r>
        <w:rPr/>
        <w:t>（</w:t>
      </w:r>
      <w:r>
        <w:rPr>
          <w:rFonts w:ascii="Times New Roman" w:eastAsia="Times New Roman"/>
        </w:rPr>
        <w:t>3</w:t>
      </w:r>
      <w:r>
        <w:rPr/>
        <w:t>）心肌酶或肌钙蛋白有诊断意义的升高，或呈符合急性心肌梗塞的动态性变化；</w:t>
      </w:r>
    </w:p>
    <w:p>
      <w:pPr>
        <w:pStyle w:val="BodyText"/>
        <w:spacing w:before="73"/>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4"/>
        <w:ind w:left="0"/>
        <w:rPr>
          <w:sz w:val="24"/>
        </w:rPr>
      </w:pPr>
    </w:p>
    <w:p>
      <w:pPr>
        <w:pStyle w:val="BodyText"/>
      </w:pPr>
      <w:r>
        <w:rPr>
          <w:rFonts w:ascii="Times New Roman" w:eastAsia="Times New Roman"/>
        </w:rPr>
        <w:t>3</w:t>
      </w:r>
      <w:r>
        <w:rPr/>
        <w:t>、 脑中风后遗症</w:t>
      </w:r>
    </w:p>
    <w:p>
      <w:pPr>
        <w:pStyle w:val="BodyText"/>
        <w:spacing w:line="319" w:lineRule="auto" w:before="74"/>
        <w:ind w:right="105"/>
      </w:pPr>
      <w:r>
        <w:rPr>
          <w:spacing w:val="-7"/>
        </w:rPr>
        <w:t>指因脑血管的突发病变引起脑血管出血、栓塞或梗塞，并导致神经系统永久性的功能障碍。神经系统永久</w:t>
      </w:r>
      <w:r>
        <w:rPr>
          <w:spacing w:val="-9"/>
        </w:rPr>
        <w:t>性的功能障碍，指疾病确诊 </w:t>
      </w:r>
      <w:r>
        <w:rPr>
          <w:rFonts w:ascii="Times New Roman" w:eastAsia="Times New Roman"/>
        </w:rPr>
        <w:t>180 </w:t>
      </w:r>
      <w:r>
        <w:rPr>
          <w:spacing w:val="-5"/>
        </w:rPr>
        <w:t>天后，仍遗留下列一种或一种以上障碍：</w:t>
      </w:r>
    </w:p>
    <w:p>
      <w:pPr>
        <w:spacing w:line="300" w:lineRule="exact" w:before="0"/>
        <w:ind w:left="113" w:right="0" w:firstLine="0"/>
        <w:jc w:val="left"/>
        <w:rPr>
          <w:sz w:val="21"/>
        </w:rPr>
      </w:pPr>
      <w:r>
        <w:rPr>
          <w:w w:val="100"/>
          <w:sz w:val="21"/>
        </w:rPr>
        <w:t>（</w:t>
      </w:r>
      <w:r>
        <w:rPr>
          <w:rFonts w:ascii="Times New Roman" w:eastAsia="Times New Roman"/>
          <w:w w:val="100"/>
          <w:sz w:val="21"/>
        </w:rPr>
        <w:t>1</w:t>
      </w:r>
      <w:r>
        <w:rPr>
          <w:w w:val="100"/>
          <w:sz w:val="21"/>
        </w:rPr>
        <w:t>）</w:t>
      </w:r>
      <w:r>
        <w:rPr>
          <w:spacing w:val="-3"/>
          <w:w w:val="100"/>
          <w:sz w:val="21"/>
        </w:rPr>
        <w:t>一肢或一肢以上</w:t>
      </w:r>
      <w:r>
        <w:rPr>
          <w:rFonts w:ascii="Microsoft JhengHei" w:eastAsia="Microsoft JhengHei" w:hint="eastAsia"/>
          <w:b/>
          <w:spacing w:val="-3"/>
          <w:w w:val="100"/>
          <w:sz w:val="21"/>
        </w:rPr>
        <w:t>肢体机能完全丧失</w:t>
      </w:r>
      <w:r>
        <w:rPr>
          <w:rFonts w:ascii="Microsoft JhengHei" w:eastAsia="Microsoft JhengHei" w:hint="eastAsia"/>
          <w:b/>
          <w:w w:val="100"/>
          <w:sz w:val="21"/>
        </w:rPr>
        <w:t>（见释义</w:t>
      </w:r>
      <w:r>
        <w:rPr>
          <w:rFonts w:ascii="Microsoft JhengHei" w:eastAsia="Microsoft JhengHei" w:hint="eastAsia"/>
          <w:b/>
          <w:spacing w:val="-106"/>
          <w:w w:val="100"/>
          <w:sz w:val="21"/>
        </w:rPr>
        <w:t>）</w:t>
      </w:r>
      <w:r>
        <w:rPr>
          <w:w w:val="100"/>
          <w:sz w:val="21"/>
        </w:rPr>
        <w:t>；</w:t>
      </w:r>
    </w:p>
    <w:p>
      <w:pPr>
        <w:pStyle w:val="Heading1"/>
        <w:spacing w:line="365" w:lineRule="exact"/>
        <w:rPr>
          <w:rFonts w:ascii="宋体" w:eastAsia="宋体" w:hint="eastAsia"/>
          <w:b w:val="0"/>
        </w:rPr>
      </w:pPr>
      <w:r>
        <w:rPr>
          <w:rFonts w:ascii="宋体" w:eastAsia="宋体" w:hint="eastAsia"/>
          <w:b w:val="0"/>
          <w:w w:val="100"/>
        </w:rPr>
        <w:t>（</w:t>
      </w:r>
      <w:r>
        <w:rPr>
          <w:rFonts w:ascii="Times New Roman" w:eastAsia="Times New Roman"/>
          <w:b w:val="0"/>
          <w:w w:val="100"/>
        </w:rPr>
        <w:t>2</w:t>
      </w:r>
      <w:r>
        <w:rPr>
          <w:rFonts w:ascii="宋体" w:eastAsia="宋体" w:hint="eastAsia"/>
          <w:b w:val="0"/>
          <w:spacing w:val="-5"/>
          <w:w w:val="100"/>
        </w:rPr>
        <w:t>）</w:t>
      </w:r>
      <w:r>
        <w:rPr>
          <w:spacing w:val="-2"/>
          <w:w w:val="100"/>
        </w:rPr>
        <w:t>语言能力或咀嚼吞咽能力完全丧失</w:t>
      </w:r>
      <w:r>
        <w:rPr>
          <w:spacing w:val="-5"/>
          <w:w w:val="100"/>
        </w:rPr>
        <w:t>（</w:t>
      </w:r>
      <w:r>
        <w:rPr>
          <w:w w:val="100"/>
        </w:rPr>
        <w:t>见释义</w:t>
      </w:r>
      <w:r>
        <w:rPr>
          <w:spacing w:val="-106"/>
          <w:w w:val="100"/>
        </w:rPr>
        <w:t>）</w:t>
      </w:r>
      <w:r>
        <w:rPr>
          <w:rFonts w:ascii="宋体" w:eastAsia="宋体" w:hint="eastAsia"/>
          <w:b w:val="0"/>
          <w:w w:val="100"/>
        </w:rPr>
        <w:t>；</w:t>
      </w:r>
    </w:p>
    <w:p>
      <w:pPr>
        <w:spacing w:before="0"/>
        <w:ind w:left="113" w:right="0" w:firstLine="0"/>
        <w:jc w:val="left"/>
        <w:rPr>
          <w:sz w:val="21"/>
        </w:rPr>
      </w:pPr>
      <w:r>
        <w:rPr>
          <w:sz w:val="21"/>
        </w:rPr>
        <w:t>（</w:t>
      </w:r>
      <w:r>
        <w:rPr>
          <w:rFonts w:ascii="Times New Roman" w:eastAsia="Times New Roman"/>
          <w:sz w:val="21"/>
        </w:rPr>
        <w:t>3</w:t>
      </w:r>
      <w:r>
        <w:rPr>
          <w:sz w:val="21"/>
        </w:rPr>
        <w:t>）自主生活能力完全丧失，无法独立完成</w:t>
      </w:r>
      <w:r>
        <w:rPr>
          <w:rFonts w:ascii="Microsoft JhengHei" w:eastAsia="Microsoft JhengHei" w:hint="eastAsia"/>
          <w:b/>
          <w:sz w:val="21"/>
        </w:rPr>
        <w:t>六项基本日常生活活动（见释义）</w:t>
      </w:r>
      <w:r>
        <w:rPr>
          <w:sz w:val="21"/>
        </w:rPr>
        <w:t>中的三项或三项以上。</w:t>
      </w:r>
    </w:p>
    <w:p>
      <w:pPr>
        <w:spacing w:after="0"/>
        <w:jc w:val="left"/>
        <w:rPr>
          <w:sz w:val="21"/>
        </w:rPr>
        <w:sectPr>
          <w:pgSz w:w="11910" w:h="16840"/>
          <w:pgMar w:header="0" w:footer="502" w:top="1040" w:bottom="780" w:left="1020" w:right="1020"/>
        </w:sectPr>
      </w:pPr>
    </w:p>
    <w:p>
      <w:pPr>
        <w:pStyle w:val="BodyText"/>
        <w:spacing w:before="70"/>
      </w:pPr>
      <w:r>
        <w:rPr>
          <w:rFonts w:ascii="Times New Roman" w:eastAsia="Times New Roman"/>
        </w:rPr>
        <w:t>4</w:t>
      </w:r>
      <w:r>
        <w:rPr/>
        <w:t>、 重大器官移植术或造血干细胞移植术</w:t>
      </w:r>
    </w:p>
    <w:p>
      <w:pPr>
        <w:pStyle w:val="BodyText"/>
        <w:spacing w:before="78"/>
      </w:pPr>
      <w:r>
        <w:rPr/>
        <w:t>重大器官移植术，指因相应器官功能衰竭，已经实施了肾脏、肝脏、心脏或肺脏的异体移植手术。</w:t>
      </w:r>
    </w:p>
    <w:p>
      <w:pPr>
        <w:pStyle w:val="BodyText"/>
        <w:spacing w:line="319" w:lineRule="auto" w:before="89"/>
        <w:ind w:right="105"/>
      </w:pPr>
      <w:r>
        <w:rPr>
          <w:spacing w:val="-7"/>
        </w:rPr>
        <w:t>造血干细胞移植术，指因造血功能损害或造血系统恶性肿瘤，已经实施了造血干细胞</w:t>
      </w:r>
      <w:r>
        <w:rPr/>
        <w:t>（</w:t>
      </w:r>
      <w:r>
        <w:rPr>
          <w:spacing w:val="-3"/>
        </w:rPr>
        <w:t>包括骨髓造血干细</w:t>
      </w:r>
      <w:r>
        <w:rPr>
          <w:spacing w:val="-5"/>
        </w:rPr>
        <w:t>胞、外周血造血干细胞和脐血造血干细胞</w:t>
      </w:r>
      <w:r>
        <w:rPr/>
        <w:t>）</w:t>
      </w:r>
      <w:r>
        <w:rPr>
          <w:spacing w:val="-3"/>
        </w:rPr>
        <w:t>的异体移植手术。</w:t>
      </w:r>
    </w:p>
    <w:p>
      <w:pPr>
        <w:pStyle w:val="BodyText"/>
        <w:spacing w:before="12"/>
        <w:ind w:left="0"/>
        <w:rPr>
          <w:sz w:val="19"/>
        </w:rPr>
      </w:pPr>
    </w:p>
    <w:p>
      <w:pPr>
        <w:pStyle w:val="BodyText"/>
      </w:pPr>
      <w:r>
        <w:rPr>
          <w:rFonts w:ascii="Times New Roman" w:eastAsia="Times New Roman"/>
        </w:rPr>
        <w:t>5</w:t>
      </w:r>
      <w:r>
        <w:rPr/>
        <w:t>、 冠状动脉搭桥术（或称冠状动脉旁路移植术）</w:t>
      </w:r>
    </w:p>
    <w:p>
      <w:pPr>
        <w:pStyle w:val="BodyText"/>
        <w:spacing w:before="78"/>
      </w:pPr>
      <w:r>
        <w:rPr/>
        <w:t>指为治疗严重的冠心病，实际实施了开胸进行的冠状动脉血管旁路移植的手术。</w:t>
      </w:r>
    </w:p>
    <w:p>
      <w:pPr>
        <w:pStyle w:val="Heading1"/>
        <w:spacing w:before="22"/>
        <w:ind w:right="105"/>
      </w:pPr>
      <w:r>
        <w:rPr>
          <w:spacing w:val="-6"/>
        </w:rPr>
        <w:t>冠状动脉支架植入术、心导管球囊扩张术、激光射频技术及其它非开胸的介入手术、腔镜手术不在保障范围内。</w:t>
      </w:r>
    </w:p>
    <w:p>
      <w:pPr>
        <w:pStyle w:val="BodyText"/>
        <w:spacing w:before="14"/>
        <w:ind w:left="0"/>
        <w:rPr>
          <w:rFonts w:ascii="Microsoft JhengHei"/>
          <w:b/>
          <w:sz w:val="17"/>
        </w:rPr>
      </w:pPr>
    </w:p>
    <w:p>
      <w:pPr>
        <w:pStyle w:val="BodyText"/>
        <w:spacing w:before="1"/>
      </w:pPr>
      <w:r>
        <w:rPr>
          <w:rFonts w:ascii="Times New Roman" w:eastAsia="Times New Roman"/>
        </w:rPr>
        <w:t>6</w:t>
      </w:r>
      <w:r>
        <w:rPr/>
        <w:t>、 终末期肾病（或称慢性肾功能衰竭尿毒症期）</w:t>
      </w:r>
    </w:p>
    <w:p>
      <w:pPr>
        <w:pStyle w:val="BodyText"/>
        <w:spacing w:line="300" w:lineRule="auto" w:before="74"/>
        <w:ind w:right="189"/>
      </w:pPr>
      <w:r>
        <w:rPr>
          <w:spacing w:val="-6"/>
        </w:rPr>
        <w:t>指双肾功能慢性不可逆性衰竭，达到尿毒症期，经诊断后已经进行了至少 </w:t>
      </w:r>
      <w:r>
        <w:rPr>
          <w:rFonts w:ascii="Times New Roman" w:eastAsia="Times New Roman"/>
        </w:rPr>
        <w:t>90 </w:t>
      </w:r>
      <w:r>
        <w:rPr>
          <w:spacing w:val="-4"/>
        </w:rPr>
        <w:t>天的规律性透析治疗或实施</w:t>
      </w:r>
      <w:r>
        <w:rPr>
          <w:spacing w:val="-5"/>
        </w:rPr>
        <w:t>了肾脏移植手术。</w:t>
      </w:r>
    </w:p>
    <w:p>
      <w:pPr>
        <w:pStyle w:val="BodyText"/>
        <w:spacing w:before="7"/>
        <w:ind w:left="0"/>
      </w:pPr>
    </w:p>
    <w:p>
      <w:pPr>
        <w:pStyle w:val="BodyText"/>
        <w:spacing w:before="1"/>
      </w:pPr>
      <w:r>
        <w:rPr>
          <w:rFonts w:ascii="Times New Roman" w:eastAsia="Times New Roman"/>
        </w:rPr>
        <w:t>7</w:t>
      </w:r>
      <w:r>
        <w:rPr/>
        <w:t>、 多个肢体缺失</w:t>
      </w:r>
    </w:p>
    <w:p>
      <w:pPr>
        <w:pStyle w:val="BodyText"/>
        <w:spacing w:before="74"/>
      </w:pPr>
      <w:r>
        <w:rPr/>
        <w:t>指因疾病或意外伤害导致两个或两个以上肢体自腕关节或踝关节近端（靠近躯干端）以上完全性断离。</w:t>
      </w:r>
    </w:p>
    <w:p>
      <w:pPr>
        <w:pStyle w:val="BodyText"/>
        <w:spacing w:before="2"/>
        <w:ind w:left="0"/>
        <w:rPr>
          <w:sz w:val="25"/>
        </w:rPr>
      </w:pPr>
    </w:p>
    <w:p>
      <w:pPr>
        <w:pStyle w:val="BodyText"/>
      </w:pPr>
      <w:r>
        <w:rPr>
          <w:rFonts w:ascii="Times New Roman" w:eastAsia="Times New Roman"/>
        </w:rPr>
        <w:t>8</w:t>
      </w:r>
      <w:r>
        <w:rPr/>
        <w:t>、 急性或亚急性重症肝炎</w:t>
      </w:r>
    </w:p>
    <w:p>
      <w:pPr>
        <w:pStyle w:val="BodyText"/>
        <w:spacing w:line="319" w:lineRule="auto" w:before="78"/>
        <w:ind w:right="105"/>
      </w:pPr>
      <w:r>
        <w:rPr>
          <w:spacing w:val="-7"/>
        </w:rPr>
        <w:t>指因肝炎病毒感染引起肝脏组织弥漫性坏死，导致急性肝功能衰竭，且经血清学或病毒学检查证实，并须</w:t>
      </w:r>
      <w:r>
        <w:rPr>
          <w:spacing w:val="-6"/>
        </w:rPr>
        <w:t>满足下列全部条件：</w:t>
      </w:r>
    </w:p>
    <w:p>
      <w:pPr>
        <w:pStyle w:val="BodyText"/>
        <w:spacing w:before="20"/>
      </w:pPr>
      <w:r>
        <w:rPr/>
        <w:t>（</w:t>
      </w:r>
      <w:r>
        <w:rPr>
          <w:rFonts w:ascii="Times New Roman" w:eastAsia="Times New Roman"/>
        </w:rPr>
        <w:t>1</w:t>
      </w:r>
      <w:r>
        <w:rPr/>
        <w:t>）重度黄疸或黄疸迅速加重；</w:t>
      </w:r>
    </w:p>
    <w:p>
      <w:pPr>
        <w:pStyle w:val="BodyText"/>
        <w:spacing w:before="73"/>
      </w:pPr>
      <w:r>
        <w:rPr/>
        <w:t>（</w:t>
      </w:r>
      <w:r>
        <w:rPr>
          <w:rFonts w:ascii="Times New Roman" w:eastAsia="Times New Roman"/>
        </w:rPr>
        <w:t>2</w:t>
      </w:r>
      <w:r>
        <w:rPr/>
        <w:t>）肝性脑病；</w:t>
      </w:r>
    </w:p>
    <w:p>
      <w:pPr>
        <w:pStyle w:val="BodyText"/>
        <w:spacing w:before="73"/>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79"/>
      </w:pPr>
      <w:r>
        <w:rPr/>
        <w:t>（</w:t>
      </w:r>
      <w:r>
        <w:rPr>
          <w:rFonts w:ascii="Times New Roman" w:eastAsia="Times New Roman"/>
        </w:rPr>
        <w:t>4</w:t>
      </w:r>
      <w:r>
        <w:rPr/>
        <w:t>）肝功能指标进行性恶化。</w:t>
      </w:r>
    </w:p>
    <w:p>
      <w:pPr>
        <w:pStyle w:val="BodyText"/>
        <w:ind w:left="0"/>
        <w:rPr>
          <w:sz w:val="24"/>
        </w:rPr>
      </w:pPr>
    </w:p>
    <w:p>
      <w:pPr>
        <w:pStyle w:val="BodyText"/>
      </w:pPr>
      <w:r>
        <w:rPr>
          <w:rFonts w:ascii="Times New Roman" w:eastAsia="Times New Roman"/>
        </w:rPr>
        <w:t>9</w:t>
      </w:r>
      <w:r>
        <w:rPr/>
        <w:t>、 良性脑肿瘤</w:t>
      </w:r>
    </w:p>
    <w:p>
      <w:pPr>
        <w:pStyle w:val="BodyText"/>
        <w:spacing w:line="312" w:lineRule="auto" w:before="74"/>
        <w:ind w:right="111"/>
        <w:jc w:val="both"/>
      </w:pPr>
      <w:r>
        <w:rPr>
          <w:spacing w:val="-16"/>
        </w:rPr>
        <w:t>指脑的良性肿瘤，已经引起颅内压增高，临床表现为视神经乳头水肿、精神症状、癫痫及运动感觉障碍等， </w:t>
      </w:r>
      <w:r>
        <w:rPr>
          <w:spacing w:val="-9"/>
          <w:w w:val="100"/>
        </w:rPr>
        <w:t>并危及生命。须由头颅断层扫描</w:t>
      </w:r>
      <w:r>
        <w:rPr>
          <w:spacing w:val="0"/>
          <w:w w:val="100"/>
        </w:rPr>
        <w:t>（</w:t>
      </w:r>
      <w:r>
        <w:rPr>
          <w:rFonts w:ascii="Times New Roman" w:eastAsia="Times New Roman"/>
          <w:spacing w:val="2"/>
          <w:w w:val="100"/>
        </w:rPr>
        <w:t>C</w:t>
      </w:r>
      <w:r>
        <w:rPr>
          <w:rFonts w:ascii="Times New Roman" w:eastAsia="Times New Roman"/>
          <w:spacing w:val="-5"/>
          <w:w w:val="100"/>
        </w:rPr>
        <w:t>T</w:t>
      </w:r>
      <w:r>
        <w:rPr>
          <w:spacing w:val="-101"/>
          <w:w w:val="100"/>
        </w:rPr>
        <w:t>）</w:t>
      </w:r>
      <w:r>
        <w:rPr>
          <w:w w:val="100"/>
        </w:rPr>
        <w:t>、核磁共振检查（</w:t>
      </w:r>
      <w:r>
        <w:rPr>
          <w:rFonts w:ascii="Times New Roman" w:eastAsia="Times New Roman"/>
          <w:w w:val="100"/>
        </w:rPr>
        <w:t>M</w:t>
      </w:r>
      <w:r>
        <w:rPr>
          <w:rFonts w:ascii="Times New Roman" w:eastAsia="Times New Roman"/>
          <w:spacing w:val="-3"/>
          <w:w w:val="100"/>
        </w:rPr>
        <w:t>R</w:t>
      </w:r>
      <w:r>
        <w:rPr>
          <w:rFonts w:ascii="Times New Roman" w:eastAsia="Times New Roman"/>
          <w:spacing w:val="1"/>
          <w:w w:val="100"/>
        </w:rPr>
        <w:t>I</w:t>
      </w:r>
      <w:r>
        <w:rPr>
          <w:w w:val="100"/>
        </w:rPr>
        <w:t>）或正电子发射断层扫描</w:t>
      </w:r>
      <w:r>
        <w:rPr>
          <w:spacing w:val="0"/>
          <w:w w:val="100"/>
        </w:rPr>
        <w:t>（</w:t>
      </w:r>
      <w:r>
        <w:rPr>
          <w:rFonts w:ascii="Times New Roman" w:eastAsia="Times New Roman"/>
          <w:spacing w:val="-3"/>
          <w:w w:val="100"/>
        </w:rPr>
        <w:t>P</w:t>
      </w:r>
      <w:r>
        <w:rPr>
          <w:rFonts w:ascii="Times New Roman" w:eastAsia="Times New Roman"/>
          <w:spacing w:val="5"/>
          <w:w w:val="100"/>
        </w:rPr>
        <w:t>E</w:t>
      </w:r>
      <w:r>
        <w:rPr>
          <w:rFonts w:ascii="Times New Roman" w:eastAsia="Times New Roman"/>
          <w:spacing w:val="-4"/>
          <w:w w:val="100"/>
        </w:rPr>
        <w:t>T</w:t>
      </w:r>
      <w:r>
        <w:rPr>
          <w:spacing w:val="3"/>
          <w:w w:val="100"/>
        </w:rPr>
        <w:t>）</w:t>
      </w:r>
      <w:r>
        <w:rPr>
          <w:w w:val="100"/>
        </w:rPr>
        <w:t>等影像学</w:t>
      </w:r>
      <w:r>
        <w:rPr>
          <w:spacing w:val="-4"/>
        </w:rPr>
        <w:t>检查证实，并须满足下列至少一项条件：</w:t>
      </w:r>
    </w:p>
    <w:p>
      <w:pPr>
        <w:pStyle w:val="BodyText"/>
        <w:spacing w:before="27"/>
      </w:pPr>
      <w:r>
        <w:rPr/>
        <w:t>（</w:t>
      </w:r>
      <w:r>
        <w:rPr>
          <w:rFonts w:ascii="Times New Roman" w:eastAsia="Times New Roman"/>
        </w:rPr>
        <w:t>1</w:t>
      </w:r>
      <w:r>
        <w:rPr/>
        <w:t>）实际实施了开颅进行的脑肿瘤完全切除或部分切除的手术；</w:t>
      </w:r>
    </w:p>
    <w:p>
      <w:pPr>
        <w:pStyle w:val="BodyText"/>
        <w:spacing w:before="74"/>
      </w:pPr>
      <w:r>
        <w:rPr/>
        <w:t>（</w:t>
      </w:r>
      <w:r>
        <w:rPr>
          <w:rFonts w:ascii="Times New Roman" w:eastAsia="Times New Roman"/>
        </w:rPr>
        <w:t>2</w:t>
      </w:r>
      <w:r>
        <w:rPr/>
        <w:t>）实际实施了对脑肿瘤进行的放射治疗。</w:t>
      </w:r>
    </w:p>
    <w:p>
      <w:pPr>
        <w:pStyle w:val="Heading1"/>
        <w:spacing w:before="12"/>
      </w:pPr>
      <w:r>
        <w:rPr/>
        <w:t>脑垂体瘤、脑囊肿、脑血管性疾病不在保障范围内。</w:t>
      </w:r>
    </w:p>
    <w:p>
      <w:pPr>
        <w:pStyle w:val="BodyText"/>
        <w:spacing w:before="10"/>
        <w:ind w:left="0"/>
        <w:rPr>
          <w:rFonts w:ascii="Microsoft JhengHei"/>
          <w:b/>
          <w:sz w:val="17"/>
        </w:rPr>
      </w:pPr>
    </w:p>
    <w:p>
      <w:pPr>
        <w:pStyle w:val="BodyText"/>
      </w:pPr>
      <w:r>
        <w:rPr>
          <w:rFonts w:ascii="Times New Roman" w:eastAsia="Times New Roman"/>
        </w:rPr>
        <w:t>10</w:t>
      </w:r>
      <w:r>
        <w:rPr/>
        <w:t>、慢性肝功能衰竭失代偿期</w:t>
      </w:r>
    </w:p>
    <w:p>
      <w:pPr>
        <w:pStyle w:val="BodyText"/>
        <w:spacing w:before="73"/>
      </w:pPr>
      <w:r>
        <w:rPr/>
        <w:t>指因慢性肝脏疾病导致肝功能衰竭。须满足下列全部条件：</w:t>
      </w:r>
    </w:p>
    <w:p>
      <w:pPr>
        <w:pStyle w:val="BodyText"/>
        <w:spacing w:before="94"/>
      </w:pPr>
      <w:r>
        <w:rPr/>
        <w:t>（</w:t>
      </w:r>
      <w:r>
        <w:rPr>
          <w:rFonts w:ascii="Times New Roman" w:eastAsia="Times New Roman"/>
        </w:rPr>
        <w:t>1</w:t>
      </w:r>
      <w:r>
        <w:rPr/>
        <w:t>）持续性黄疸；</w:t>
      </w:r>
    </w:p>
    <w:p>
      <w:pPr>
        <w:pStyle w:val="BodyText"/>
        <w:spacing w:before="74"/>
      </w:pPr>
      <w:r>
        <w:rPr/>
        <w:t>（</w:t>
      </w:r>
      <w:r>
        <w:rPr>
          <w:rFonts w:ascii="Times New Roman" w:eastAsia="Times New Roman"/>
        </w:rPr>
        <w:t>2</w:t>
      </w:r>
      <w:r>
        <w:rPr/>
        <w:t>）腹水；</w:t>
      </w:r>
    </w:p>
    <w:p>
      <w:pPr>
        <w:pStyle w:val="BodyText"/>
        <w:spacing w:before="75"/>
      </w:pPr>
      <w:r>
        <w:rPr/>
        <w:t>（</w:t>
      </w:r>
      <w:r>
        <w:rPr>
          <w:rFonts w:ascii="Times New Roman" w:eastAsia="Times New Roman"/>
        </w:rPr>
        <w:t>3</w:t>
      </w:r>
      <w:r>
        <w:rPr/>
        <w:t>）肝性脑病；</w:t>
      </w:r>
    </w:p>
    <w:p>
      <w:pPr>
        <w:spacing w:line="247" w:lineRule="auto" w:before="74"/>
        <w:ind w:left="113" w:right="4603" w:firstLine="0"/>
        <w:jc w:val="left"/>
        <w:rPr>
          <w:rFonts w:ascii="Microsoft JhengHei" w:eastAsia="Microsoft JhengHei" w:hint="eastAsia"/>
          <w:b/>
          <w:sz w:val="21"/>
        </w:rPr>
      </w:pPr>
      <w:r>
        <w:rPr>
          <w:sz w:val="21"/>
        </w:rPr>
        <w:t>（</w:t>
      </w:r>
      <w:r>
        <w:rPr>
          <w:rFonts w:ascii="Times New Roman" w:eastAsia="Times New Roman"/>
          <w:sz w:val="21"/>
        </w:rPr>
        <w:t>4</w:t>
      </w:r>
      <w:r>
        <w:rPr>
          <w:sz w:val="21"/>
        </w:rPr>
        <w:t>）充血性脾肿大伴脾功能亢进或食管胃底静脉曲张。</w:t>
      </w:r>
      <w:r>
        <w:rPr>
          <w:rFonts w:ascii="Microsoft JhengHei" w:eastAsia="Microsoft JhengHei" w:hint="eastAsia"/>
          <w:b/>
          <w:sz w:val="21"/>
        </w:rPr>
        <w:t>因酗酒或药物滥用导致的肝功能衰竭不在保障范围内。</w:t>
      </w:r>
    </w:p>
    <w:p>
      <w:pPr>
        <w:pStyle w:val="BodyText"/>
        <w:spacing w:before="6"/>
        <w:ind w:left="0"/>
        <w:rPr>
          <w:rFonts w:ascii="Microsoft JhengHei"/>
          <w:b/>
          <w:sz w:val="17"/>
        </w:rPr>
      </w:pPr>
    </w:p>
    <w:p>
      <w:pPr>
        <w:pStyle w:val="BodyText"/>
      </w:pPr>
      <w:r>
        <w:rPr>
          <w:rFonts w:ascii="Times New Roman" w:eastAsia="Times New Roman"/>
        </w:rPr>
        <w:t>11</w:t>
      </w:r>
      <w:r>
        <w:rPr/>
        <w:t>、脑炎后遗症或脑膜炎后遗症</w:t>
      </w:r>
    </w:p>
    <w:p>
      <w:pPr>
        <w:pStyle w:val="BodyText"/>
        <w:spacing w:before="74"/>
      </w:pPr>
      <w:r>
        <w:rPr/>
        <w:t>指因患脑炎或脑膜炎导致的神经系统永久性的功能障碍。神经系统永久性的功能障碍，指疾病确诊 </w:t>
      </w:r>
      <w:r>
        <w:rPr>
          <w:rFonts w:ascii="Times New Roman" w:eastAsia="Times New Roman"/>
        </w:rPr>
        <w:t>180 </w:t>
      </w:r>
      <w:r>
        <w:rPr/>
        <w:t>天</w:t>
      </w:r>
    </w:p>
    <w:p>
      <w:pPr>
        <w:spacing w:after="0"/>
        <w:sectPr>
          <w:pgSz w:w="11910" w:h="16840"/>
          <w:pgMar w:header="0" w:footer="502" w:top="780" w:bottom="780" w:left="1020" w:right="1020"/>
        </w:sectPr>
      </w:pPr>
    </w:p>
    <w:p>
      <w:pPr>
        <w:pStyle w:val="BodyText"/>
        <w:spacing w:before="70"/>
      </w:pPr>
      <w:r>
        <w:rPr/>
        <w:t>后，仍遗留下列一种或一种以上障碍：</w:t>
      </w:r>
    </w:p>
    <w:p>
      <w:pPr>
        <w:pStyle w:val="BodyText"/>
        <w:spacing w:before="94"/>
      </w:pPr>
      <w:r>
        <w:rPr/>
        <w:t>（</w:t>
      </w:r>
      <w:r>
        <w:rPr>
          <w:rFonts w:ascii="Times New Roman" w:eastAsia="Times New Roman"/>
        </w:rPr>
        <w:t>1</w:t>
      </w:r>
      <w:r>
        <w:rPr/>
        <w:t>）一肢或一肢以上肢体机能完全丧失；</w:t>
      </w:r>
    </w:p>
    <w:p>
      <w:pPr>
        <w:pStyle w:val="BodyText"/>
        <w:spacing w:before="73"/>
      </w:pPr>
      <w:r>
        <w:rPr/>
        <w:t>（</w:t>
      </w:r>
      <w:r>
        <w:rPr>
          <w:rFonts w:ascii="Times New Roman" w:eastAsia="Times New Roman"/>
        </w:rPr>
        <w:t>2</w:t>
      </w:r>
      <w:r>
        <w:rPr/>
        <w:t>）语言能力或咀嚼吞咽能力完全丧失；</w:t>
      </w:r>
    </w:p>
    <w:p>
      <w:pPr>
        <w:pStyle w:val="BodyText"/>
        <w:spacing w:before="73"/>
      </w:pPr>
      <w:r>
        <w:rPr/>
        <w:t>（</w:t>
      </w:r>
      <w:r>
        <w:rPr>
          <w:rFonts w:ascii="Times New Roman" w:eastAsia="Times New Roman"/>
        </w:rPr>
        <w:t>3</w:t>
      </w:r>
      <w:r>
        <w:rPr/>
        <w:t>）自主生活能力完全丧失，无法独立完成六项基本日常生活活动中的三项或三项以上。</w:t>
      </w:r>
    </w:p>
    <w:p>
      <w:pPr>
        <w:pStyle w:val="BodyText"/>
        <w:ind w:left="0"/>
        <w:rPr>
          <w:sz w:val="24"/>
        </w:rPr>
      </w:pPr>
    </w:p>
    <w:p>
      <w:pPr>
        <w:pStyle w:val="BodyText"/>
      </w:pPr>
      <w:r>
        <w:rPr>
          <w:rFonts w:ascii="Times New Roman" w:eastAsia="Times New Roman"/>
        </w:rPr>
        <w:t>12</w:t>
      </w:r>
      <w:r>
        <w:rPr/>
        <w:t>、深度昏迷</w:t>
      </w:r>
    </w:p>
    <w:p>
      <w:pPr>
        <w:pStyle w:val="BodyText"/>
        <w:spacing w:before="78"/>
      </w:pP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p>
    <w:p>
      <w:pPr>
        <w:spacing w:line="247" w:lineRule="auto" w:before="73"/>
        <w:ind w:left="113" w:right="207" w:firstLine="0"/>
        <w:jc w:val="left"/>
        <w:rPr>
          <w:rFonts w:ascii="Microsoft JhengHei" w:eastAsia="Microsoft JhengHei" w:hint="eastAsia"/>
          <w:b/>
          <w:sz w:val="21"/>
        </w:rPr>
      </w:pPr>
      <w:r>
        <w:rPr>
          <w:w w:val="100"/>
          <w:sz w:val="21"/>
        </w:rPr>
        <w:t>（</w:t>
      </w:r>
      <w:r>
        <w:rPr>
          <w:rFonts w:ascii="Times New Roman" w:eastAsia="Times New Roman"/>
          <w:w w:val="100"/>
          <w:sz w:val="21"/>
        </w:rPr>
        <w:t>G</w:t>
      </w:r>
      <w:r>
        <w:rPr>
          <w:rFonts w:ascii="Times New Roman" w:eastAsia="Times New Roman"/>
          <w:spacing w:val="-2"/>
          <w:w w:val="100"/>
          <w:sz w:val="21"/>
        </w:rPr>
        <w:t>l</w:t>
      </w:r>
      <w:r>
        <w:rPr>
          <w:rFonts w:ascii="Times New Roman" w:eastAsia="Times New Roman"/>
          <w:spacing w:val="1"/>
          <w:w w:val="100"/>
          <w:sz w:val="21"/>
        </w:rPr>
        <w:t>a</w:t>
      </w:r>
      <w:r>
        <w:rPr>
          <w:rFonts w:ascii="Times New Roman" w:eastAsia="Times New Roman"/>
          <w:w w:val="100"/>
          <w:sz w:val="21"/>
        </w:rPr>
        <w:t>s</w:t>
      </w:r>
      <w:r>
        <w:rPr>
          <w:rFonts w:ascii="Times New Roman" w:eastAsia="Times New Roman"/>
          <w:spacing w:val="-6"/>
          <w:w w:val="100"/>
          <w:sz w:val="21"/>
        </w:rPr>
        <w:t>g</w:t>
      </w:r>
      <w:r>
        <w:rPr>
          <w:rFonts w:ascii="Times New Roman" w:eastAsia="Times New Roman"/>
          <w:spacing w:val="-5"/>
          <w:w w:val="100"/>
          <w:sz w:val="21"/>
        </w:rPr>
        <w:t>o</w:t>
      </w:r>
      <w:r>
        <w:rPr>
          <w:rFonts w:ascii="Times New Roman" w:eastAsia="Times New Roman"/>
          <w:w w:val="100"/>
          <w:sz w:val="21"/>
        </w:rPr>
        <w:t>w</w:t>
      </w:r>
      <w:r>
        <w:rPr>
          <w:rFonts w:ascii="Times New Roman" w:eastAsia="Times New Roman"/>
          <w:sz w:val="21"/>
        </w:rPr>
        <w:t> </w:t>
      </w:r>
      <w:r>
        <w:rPr>
          <w:rFonts w:ascii="Times New Roman" w:eastAsia="Times New Roman"/>
          <w:spacing w:val="-3"/>
          <w:w w:val="100"/>
          <w:sz w:val="21"/>
        </w:rPr>
        <w:t>c</w:t>
      </w:r>
      <w:r>
        <w:rPr>
          <w:rFonts w:ascii="Times New Roman" w:eastAsia="Times New Roman"/>
          <w:spacing w:val="3"/>
          <w:w w:val="100"/>
          <w:sz w:val="21"/>
        </w:rPr>
        <w:t>o</w:t>
      </w:r>
      <w:r>
        <w:rPr>
          <w:rFonts w:ascii="Times New Roman" w:eastAsia="Times New Roman"/>
          <w:spacing w:val="-11"/>
          <w:w w:val="100"/>
          <w:sz w:val="21"/>
        </w:rPr>
        <w:t>m</w:t>
      </w:r>
      <w:r>
        <w:rPr>
          <w:rFonts w:ascii="Times New Roman" w:eastAsia="Times New Roman"/>
          <w:w w:val="100"/>
          <w:sz w:val="21"/>
        </w:rPr>
        <w:t>a</w:t>
      </w:r>
      <w:r>
        <w:rPr>
          <w:rFonts w:ascii="Times New Roman" w:eastAsia="Times New Roman"/>
          <w:sz w:val="21"/>
        </w:rPr>
        <w:t> </w:t>
      </w:r>
      <w:r>
        <w:rPr>
          <w:rFonts w:ascii="Times New Roman" w:eastAsia="Times New Roman"/>
          <w:w w:val="100"/>
          <w:sz w:val="21"/>
        </w:rPr>
        <w:t>s</w:t>
      </w:r>
      <w:r>
        <w:rPr>
          <w:rFonts w:ascii="Times New Roman" w:eastAsia="Times New Roman"/>
          <w:spacing w:val="-4"/>
          <w:w w:val="100"/>
          <w:sz w:val="21"/>
        </w:rPr>
        <w:t>c</w:t>
      </w:r>
      <w:r>
        <w:rPr>
          <w:rFonts w:ascii="Times New Roman" w:eastAsia="Times New Roman"/>
          <w:spacing w:val="1"/>
          <w:w w:val="100"/>
          <w:sz w:val="21"/>
        </w:rPr>
        <w:t>a</w:t>
      </w:r>
      <w:r>
        <w:rPr>
          <w:rFonts w:ascii="Times New Roman" w:eastAsia="Times New Roman"/>
          <w:spacing w:val="-2"/>
          <w:w w:val="100"/>
          <w:sz w:val="21"/>
        </w:rPr>
        <w:t>l</w:t>
      </w:r>
      <w:r>
        <w:rPr>
          <w:rFonts w:ascii="Times New Roman" w:eastAsia="Times New Roman"/>
          <w:spacing w:val="-1"/>
          <w:w w:val="100"/>
          <w:sz w:val="21"/>
        </w:rPr>
        <w:t>e</w:t>
      </w:r>
      <w:r>
        <w:rPr>
          <w:spacing w:val="-87"/>
          <w:w w:val="100"/>
          <w:sz w:val="21"/>
        </w:rPr>
        <w:t>）</w:t>
      </w:r>
      <w:r>
        <w:rPr>
          <w:w w:val="100"/>
          <w:sz w:val="21"/>
        </w:rPr>
        <w:t>结果为</w:t>
      </w:r>
      <w:r>
        <w:rPr>
          <w:spacing w:val="-53"/>
          <w:sz w:val="21"/>
        </w:rPr>
        <w:t> </w:t>
      </w:r>
      <w:r>
        <w:rPr>
          <w:rFonts w:ascii="Times New Roman" w:eastAsia="Times New Roman"/>
          <w:w w:val="100"/>
          <w:sz w:val="21"/>
        </w:rPr>
        <w:t>5</w:t>
      </w:r>
      <w:r>
        <w:rPr>
          <w:rFonts w:ascii="Times New Roman" w:eastAsia="Times New Roman"/>
          <w:sz w:val="21"/>
        </w:rPr>
        <w:t> </w:t>
      </w:r>
      <w:r>
        <w:rPr>
          <w:w w:val="100"/>
          <w:sz w:val="21"/>
        </w:rPr>
        <w:t>分或</w:t>
      </w:r>
      <w:r>
        <w:rPr>
          <w:spacing w:val="-52"/>
          <w:sz w:val="21"/>
        </w:rPr>
        <w:t> </w:t>
      </w:r>
      <w:r>
        <w:rPr>
          <w:rFonts w:ascii="Times New Roman" w:eastAsia="Times New Roman"/>
          <w:w w:val="100"/>
          <w:sz w:val="21"/>
        </w:rPr>
        <w:t>5</w:t>
      </w:r>
      <w:r>
        <w:rPr>
          <w:rFonts w:ascii="Times New Roman" w:eastAsia="Times New Roman"/>
          <w:sz w:val="21"/>
        </w:rPr>
        <w:t> </w:t>
      </w:r>
      <w:r>
        <w:rPr>
          <w:spacing w:val="-12"/>
          <w:w w:val="100"/>
          <w:sz w:val="21"/>
        </w:rPr>
        <w:t>分以下，且已经持续使用呼吸机及其它生命维持系统</w:t>
      </w:r>
      <w:r>
        <w:rPr>
          <w:spacing w:val="-12"/>
          <w:sz w:val="21"/>
        </w:rPr>
        <w:t> </w:t>
      </w:r>
      <w:r>
        <w:rPr>
          <w:rFonts w:ascii="Times New Roman" w:eastAsia="Times New Roman"/>
          <w:w w:val="100"/>
          <w:sz w:val="21"/>
        </w:rPr>
        <w:t>96</w:t>
      </w:r>
      <w:r>
        <w:rPr>
          <w:rFonts w:ascii="Times New Roman" w:eastAsia="Times New Roman"/>
          <w:sz w:val="21"/>
        </w:rPr>
        <w:t> </w:t>
      </w:r>
      <w:r>
        <w:rPr>
          <w:spacing w:val="-2"/>
          <w:w w:val="100"/>
          <w:sz w:val="21"/>
        </w:rPr>
        <w:t>小时以上。</w:t>
      </w:r>
      <w:r>
        <w:rPr>
          <w:rFonts w:ascii="Microsoft JhengHei" w:eastAsia="Microsoft JhengHei" w:hint="eastAsia"/>
          <w:b/>
          <w:spacing w:val="-5"/>
          <w:sz w:val="21"/>
        </w:rPr>
        <w:t>因酗酒或药物滥用导致的深度昏迷不在保障范围内。</w:t>
      </w:r>
    </w:p>
    <w:p>
      <w:pPr>
        <w:pStyle w:val="BodyText"/>
        <w:spacing w:before="6"/>
        <w:ind w:left="0"/>
        <w:rPr>
          <w:rFonts w:ascii="Microsoft JhengHei"/>
          <w:b/>
          <w:sz w:val="17"/>
        </w:rPr>
      </w:pPr>
    </w:p>
    <w:p>
      <w:pPr>
        <w:pStyle w:val="BodyText"/>
      </w:pPr>
      <w:r>
        <w:rPr>
          <w:rFonts w:ascii="Times New Roman" w:eastAsia="Times New Roman"/>
        </w:rPr>
        <w:t>13</w:t>
      </w:r>
      <w:r>
        <w:rPr/>
        <w:t>、双耳失聪</w:t>
      </w:r>
    </w:p>
    <w:p>
      <w:pPr>
        <w:pStyle w:val="BodyText"/>
        <w:spacing w:before="6"/>
      </w:pPr>
      <w:r>
        <w:rPr/>
        <w:t>指因疾病或意外伤害导致双耳听力</w:t>
      </w:r>
      <w:r>
        <w:rPr>
          <w:rFonts w:ascii="Microsoft JhengHei" w:eastAsia="Microsoft JhengHei" w:hint="eastAsia"/>
          <w:b/>
        </w:rPr>
        <w:t>永久不可逆（见释义）</w:t>
      </w:r>
      <w:r>
        <w:rPr/>
        <w:t>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w:t>
      </w:r>
    </w:p>
    <w:p>
      <w:pPr>
        <w:pStyle w:val="BodyText"/>
        <w:spacing w:before="65"/>
      </w:pPr>
      <w:r>
        <w:rPr/>
        <w:t>音频率下，平均听阈大于 </w:t>
      </w:r>
      <w:r>
        <w:rPr>
          <w:rFonts w:ascii="Times New Roman" w:eastAsia="Times New Roman"/>
        </w:rPr>
        <w:t>90 </w:t>
      </w:r>
      <w:r>
        <w:rPr/>
        <w:t>分贝，且经纯音听力测试、声导抗检测或听觉诱发电位检测等证实。</w:t>
      </w:r>
    </w:p>
    <w:p>
      <w:pPr>
        <w:pStyle w:val="BodyText"/>
        <w:spacing w:before="4"/>
        <w:ind w:left="0"/>
        <w:rPr>
          <w:sz w:val="24"/>
        </w:rPr>
      </w:pPr>
    </w:p>
    <w:p>
      <w:pPr>
        <w:pStyle w:val="BodyText"/>
        <w:spacing w:before="1"/>
      </w:pPr>
      <w:r>
        <w:rPr>
          <w:rFonts w:ascii="Times New Roman" w:eastAsia="Times New Roman"/>
        </w:rPr>
        <w:t>14</w:t>
      </w:r>
      <w:r>
        <w:rPr/>
        <w:t>、双目失明</w:t>
      </w:r>
    </w:p>
    <w:p>
      <w:pPr>
        <w:pStyle w:val="BodyText"/>
        <w:spacing w:before="74"/>
      </w:pPr>
      <w:r>
        <w:rPr/>
        <w:t>指因疾病或意外伤害导致双眼视力永久不可逆性丧失，双眼中较好眼须满足下列至少一项条件：</w:t>
      </w:r>
    </w:p>
    <w:p>
      <w:pPr>
        <w:pStyle w:val="BodyText"/>
        <w:spacing w:before="90"/>
      </w:pPr>
      <w:r>
        <w:rPr/>
        <w:t>（</w:t>
      </w:r>
      <w:r>
        <w:rPr>
          <w:rFonts w:ascii="Times New Roman" w:eastAsia="Times New Roman"/>
        </w:rPr>
        <w:t>1</w:t>
      </w:r>
      <w:r>
        <w:rPr/>
        <w:t>）眼球缺失或摘除；</w:t>
      </w:r>
    </w:p>
    <w:p>
      <w:pPr>
        <w:pStyle w:val="BodyText"/>
        <w:spacing w:before="74"/>
      </w:pPr>
      <w:r>
        <w:rPr>
          <w:w w:val="100"/>
        </w:rPr>
        <w:t>（</w:t>
      </w:r>
      <w:r>
        <w:rPr>
          <w:rFonts w:ascii="Times New Roman" w:eastAsia="Times New Roman"/>
          <w:w w:val="100"/>
        </w:rPr>
        <w:t>2</w:t>
      </w:r>
      <w:r>
        <w:rPr>
          <w:w w:val="100"/>
        </w:rPr>
        <w:t>）</w:t>
      </w:r>
      <w:r>
        <w:rPr>
          <w:spacing w:val="-2"/>
          <w:w w:val="100"/>
        </w:rPr>
        <w:t>矫正视力低于</w:t>
      </w:r>
      <w:r>
        <w:rPr>
          <w:spacing w:val="-52"/>
        </w:rPr>
        <w:t> </w:t>
      </w:r>
      <w:r>
        <w:rPr>
          <w:rFonts w:ascii="Times New Roman" w:eastAsia="Times New Roman"/>
          <w:w w:val="100"/>
        </w:rPr>
        <w:t>0</w:t>
      </w:r>
      <w:r>
        <w:rPr>
          <w:rFonts w:ascii="Times New Roman" w:eastAsia="Times New Roman"/>
          <w:spacing w:val="-5"/>
          <w:w w:val="100"/>
        </w:rPr>
        <w:t>.</w:t>
      </w:r>
      <w:r>
        <w:rPr>
          <w:rFonts w:ascii="Times New Roman" w:eastAsia="Times New Roman"/>
          <w:w w:val="100"/>
        </w:rPr>
        <w:t>02</w:t>
      </w:r>
      <w:r>
        <w:rPr>
          <w:w w:val="100"/>
        </w:rPr>
        <w:t>（</w:t>
      </w:r>
      <w:r>
        <w:rPr>
          <w:spacing w:val="-5"/>
          <w:w w:val="100"/>
        </w:rPr>
        <w:t>采用国际标准视力表，如果使用其他视力表应进行换算</w:t>
      </w:r>
      <w:r>
        <w:rPr>
          <w:spacing w:val="-111"/>
          <w:w w:val="100"/>
        </w:rPr>
        <w:t>）</w:t>
      </w:r>
      <w:r>
        <w:rPr>
          <w:w w:val="100"/>
        </w:rPr>
        <w:t>；</w:t>
      </w:r>
    </w:p>
    <w:p>
      <w:pPr>
        <w:pStyle w:val="BodyText"/>
        <w:spacing w:before="79"/>
      </w:pPr>
      <w:r>
        <w:rPr/>
        <w:t>（</w:t>
      </w:r>
      <w:r>
        <w:rPr>
          <w:rFonts w:ascii="Times New Roman" w:eastAsia="Times New Roman"/>
        </w:rPr>
        <w:t>3</w:t>
      </w:r>
      <w:r>
        <w:rPr/>
        <w:t>）视野半径小于 </w:t>
      </w:r>
      <w:r>
        <w:rPr>
          <w:rFonts w:ascii="Times New Roman" w:eastAsia="Times New Roman"/>
        </w:rPr>
        <w:t>5 </w:t>
      </w:r>
      <w:r>
        <w:rPr/>
        <w:t>度。</w:t>
      </w:r>
    </w:p>
    <w:p>
      <w:pPr>
        <w:pStyle w:val="BodyText"/>
        <w:spacing w:before="13"/>
        <w:ind w:left="0"/>
        <w:rPr>
          <w:sz w:val="23"/>
        </w:rPr>
      </w:pPr>
    </w:p>
    <w:p>
      <w:pPr>
        <w:pStyle w:val="BodyText"/>
      </w:pPr>
      <w:r>
        <w:rPr>
          <w:rFonts w:ascii="Times New Roman" w:eastAsia="Times New Roman"/>
        </w:rPr>
        <w:t>15</w:t>
      </w:r>
      <w:r>
        <w:rPr/>
        <w:t>、瘫痪</w:t>
      </w:r>
    </w:p>
    <w:p>
      <w:pPr>
        <w:pStyle w:val="BodyText"/>
        <w:spacing w:before="74"/>
        <w:rPr>
          <w:rFonts w:ascii="Times New Roman" w:eastAsia="Times New Roman"/>
        </w:rPr>
      </w:pPr>
      <w:r>
        <w:rPr>
          <w:spacing w:val="-11"/>
        </w:rPr>
        <w:t>指因疾病或意外伤害导致两肢或两肢以上肢体机能永久完全丧失。肢体机能永久完全丧失，指疾病确诊 </w:t>
      </w:r>
      <w:r>
        <w:rPr>
          <w:rFonts w:ascii="Times New Roman" w:eastAsia="Times New Roman"/>
        </w:rPr>
        <w:t>180</w:t>
      </w:r>
    </w:p>
    <w:p>
      <w:pPr>
        <w:pStyle w:val="BodyText"/>
        <w:spacing w:before="74"/>
      </w:pPr>
      <w:r>
        <w:rPr/>
        <w:t>天后或意外伤害发生 </w:t>
      </w:r>
      <w:r>
        <w:rPr>
          <w:rFonts w:ascii="Times New Roman" w:eastAsia="Times New Roman"/>
        </w:rPr>
        <w:t>180 </w:t>
      </w:r>
      <w:r>
        <w:rPr/>
        <w:t>天后，每肢三大关节中的两大关节仍然完全僵硬，或不能随意识活动。</w:t>
      </w:r>
    </w:p>
    <w:p>
      <w:pPr>
        <w:pStyle w:val="BodyText"/>
        <w:spacing w:before="5"/>
        <w:ind w:left="0"/>
        <w:rPr>
          <w:sz w:val="24"/>
        </w:rPr>
      </w:pPr>
    </w:p>
    <w:p>
      <w:pPr>
        <w:pStyle w:val="BodyText"/>
      </w:pPr>
      <w:r>
        <w:rPr>
          <w:rFonts w:ascii="Times New Roman" w:eastAsia="Times New Roman"/>
        </w:rPr>
        <w:t>16</w:t>
      </w:r>
      <w:r>
        <w:rPr/>
        <w:t>、心脏瓣膜手术</w:t>
      </w:r>
    </w:p>
    <w:p>
      <w:pPr>
        <w:pStyle w:val="BodyText"/>
        <w:spacing w:before="74"/>
      </w:pPr>
      <w:r>
        <w:rPr/>
        <w:t>指为治疗心脏瓣膜疾病，实际实施了开胸进行的心脏瓣膜置换或修复的手术。</w:t>
      </w:r>
    </w:p>
    <w:p>
      <w:pPr>
        <w:pStyle w:val="BodyText"/>
        <w:spacing w:before="7"/>
        <w:ind w:left="0"/>
        <w:rPr>
          <w:sz w:val="25"/>
        </w:rPr>
      </w:pPr>
    </w:p>
    <w:p>
      <w:pPr>
        <w:pStyle w:val="BodyText"/>
      </w:pPr>
      <w:r>
        <w:rPr>
          <w:rFonts w:ascii="Times New Roman" w:eastAsia="Times New Roman"/>
        </w:rPr>
        <w:t>17</w:t>
      </w:r>
      <w:r>
        <w:rPr/>
        <w:t>、严重阿尔茨海默病</w:t>
      </w:r>
    </w:p>
    <w:p>
      <w:pPr>
        <w:pStyle w:val="BodyText"/>
        <w:spacing w:line="307" w:lineRule="auto" w:before="74"/>
        <w:ind w:right="204"/>
        <w:jc w:val="both"/>
      </w:pPr>
      <w:r>
        <w:rPr>
          <w:spacing w:val="-7"/>
        </w:rPr>
        <w:t>指因大脑进行性、不可逆性改变导致智能严重衰退或丧失，临床表现为明显的认知能力障碍、行为异常和</w:t>
      </w:r>
      <w:r>
        <w:rPr>
          <w:spacing w:val="-7"/>
          <w:w w:val="100"/>
        </w:rPr>
        <w:t>社交能力减退，其日常生活必须持续受到他人监护。须由头颅断层扫描</w:t>
      </w:r>
      <w:r>
        <w:rPr>
          <w:spacing w:val="1"/>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w w:val="100"/>
        </w:rPr>
        <w:t>、核磁共振检查（</w:t>
      </w:r>
      <w:r>
        <w:rPr>
          <w:rFonts w:ascii="Times New Roman" w:eastAsia="Times New Roman"/>
          <w:w w:val="100"/>
        </w:rPr>
        <w:t>M</w:t>
      </w:r>
      <w:r>
        <w:rPr>
          <w:rFonts w:ascii="Times New Roman" w:eastAsia="Times New Roman"/>
          <w:spacing w:val="1"/>
          <w:w w:val="100"/>
        </w:rPr>
        <w:t>R</w:t>
      </w:r>
      <w:r>
        <w:rPr>
          <w:rFonts w:ascii="Times New Roman" w:eastAsia="Times New Roman"/>
          <w:spacing w:val="-3"/>
          <w:w w:val="100"/>
        </w:rPr>
        <w:t>I</w:t>
      </w:r>
      <w:r>
        <w:rPr>
          <w:w w:val="100"/>
        </w:rPr>
        <w:t>）或</w:t>
      </w:r>
      <w:r>
        <w:rPr/>
        <w:t>正电子发射断层扫描（</w:t>
      </w:r>
      <w:r>
        <w:rPr>
          <w:rFonts w:ascii="Times New Roman" w:eastAsia="Times New Roman"/>
        </w:rPr>
        <w:t>PET</w:t>
      </w:r>
      <w:r>
        <w:rPr/>
        <w:t>）</w:t>
      </w:r>
      <w:r>
        <w:rPr>
          <w:spacing w:val="-4"/>
        </w:rPr>
        <w:t>等影像学检查证实，且自主生活能力完全丧失，无法独立完成六项基本日常</w:t>
      </w:r>
      <w:r>
        <w:rPr>
          <w:spacing w:val="-5"/>
        </w:rPr>
        <w:t>生活活动中的三项或三项以上。</w:t>
      </w:r>
    </w:p>
    <w:p>
      <w:pPr>
        <w:pStyle w:val="Heading1"/>
        <w:spacing w:line="330" w:lineRule="exact"/>
      </w:pPr>
      <w:r>
        <w:rPr/>
        <w:t>神经官能症和精神疾病不在保障范围内。</w:t>
      </w:r>
    </w:p>
    <w:p>
      <w:pPr>
        <w:pStyle w:val="BodyText"/>
        <w:spacing w:before="10"/>
        <w:ind w:left="0"/>
        <w:rPr>
          <w:rFonts w:ascii="Microsoft JhengHei"/>
          <w:b/>
          <w:sz w:val="17"/>
        </w:rPr>
      </w:pPr>
    </w:p>
    <w:p>
      <w:pPr>
        <w:pStyle w:val="BodyText"/>
      </w:pPr>
      <w:r>
        <w:rPr>
          <w:rFonts w:ascii="Times New Roman" w:eastAsia="Times New Roman"/>
        </w:rPr>
        <w:t>18</w:t>
      </w:r>
      <w:r>
        <w:rPr/>
        <w:t>、严重脑损伤</w:t>
      </w:r>
    </w:p>
    <w:p>
      <w:pPr>
        <w:pStyle w:val="BodyText"/>
        <w:spacing w:line="302" w:lineRule="auto" w:before="78"/>
        <w:ind w:right="100"/>
      </w:pPr>
      <w:r>
        <w:rPr>
          <w:spacing w:val="-21"/>
          <w:w w:val="100"/>
        </w:rPr>
        <w:t>指因头部遭受机械性外力，引起脑重要部位损伤，导致神经系统永久性的功能障碍。须由头颅断层扫描</w:t>
      </w:r>
      <w:r>
        <w:rPr>
          <w:spacing w:val="0"/>
          <w:w w:val="100"/>
        </w:rPr>
        <w:t>（</w:t>
      </w:r>
      <w:r>
        <w:rPr>
          <w:rFonts w:ascii="Times New Roman" w:eastAsia="Times New Roman"/>
          <w:spacing w:val="-2"/>
          <w:w w:val="100"/>
        </w:rPr>
        <w:t>C</w:t>
      </w:r>
      <w:r>
        <w:rPr>
          <w:rFonts w:ascii="Times New Roman" w:eastAsia="Times New Roman"/>
          <w:spacing w:val="-4"/>
          <w:w w:val="100"/>
        </w:rPr>
        <w:t>T</w:t>
      </w:r>
      <w:r>
        <w:rPr>
          <w:spacing w:val="-106"/>
          <w:w w:val="100"/>
        </w:rPr>
        <w:t>）、</w:t>
      </w:r>
      <w:r>
        <w:rPr>
          <w:spacing w:val="-1"/>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w:t>
      </w:r>
      <w:r>
        <w:rPr>
          <w:spacing w:val="-5"/>
        </w:rPr>
        <w:t>等影像学检查证实。神经系统永久性的功能障碍， </w:t>
      </w:r>
      <w:r>
        <w:rPr>
          <w:spacing w:val="-13"/>
        </w:rPr>
        <w:t>指脑损伤 </w:t>
      </w:r>
      <w:r>
        <w:rPr>
          <w:rFonts w:ascii="Times New Roman" w:eastAsia="Times New Roman"/>
        </w:rPr>
        <w:t>180 </w:t>
      </w:r>
      <w:r>
        <w:rPr>
          <w:spacing w:val="-5"/>
        </w:rPr>
        <w:t>天后，仍遗留下列一种或一种以上障碍：</w:t>
      </w:r>
    </w:p>
    <w:p>
      <w:pPr>
        <w:pStyle w:val="BodyText"/>
        <w:spacing w:before="13"/>
      </w:pPr>
      <w:r>
        <w:rPr/>
        <w:t>（</w:t>
      </w:r>
      <w:r>
        <w:rPr>
          <w:rFonts w:ascii="Times New Roman" w:eastAsia="Times New Roman"/>
        </w:rPr>
        <w:t>1</w:t>
      </w:r>
      <w:r>
        <w:rPr/>
        <w:t>）一肢或一肢以上肢体机能完全丧失；</w:t>
      </w:r>
    </w:p>
    <w:p>
      <w:pPr>
        <w:pStyle w:val="BodyText"/>
        <w:spacing w:before="78"/>
      </w:pPr>
      <w:r>
        <w:rPr/>
        <w:t>（</w:t>
      </w:r>
      <w:r>
        <w:rPr>
          <w:rFonts w:ascii="Times New Roman" w:eastAsia="Times New Roman"/>
        </w:rPr>
        <w:t>2</w:t>
      </w:r>
      <w:r>
        <w:rPr/>
        <w:t>）语言能力或咀嚼吞咽能力完全丧失；</w:t>
      </w:r>
    </w:p>
    <w:p>
      <w:pPr>
        <w:pStyle w:val="BodyText"/>
        <w:spacing w:before="73"/>
      </w:pPr>
      <w:r>
        <w:rPr/>
        <w:t>（</w:t>
      </w:r>
      <w:r>
        <w:rPr>
          <w:rFonts w:ascii="Times New Roman" w:eastAsia="Times New Roman"/>
        </w:rPr>
        <w:t>3</w:t>
      </w:r>
      <w:r>
        <w:rPr/>
        <w:t>）自主生活能力完全丧失，无法独立完成六项基本日常生活活动中的三项或三项以上。</w:t>
      </w:r>
    </w:p>
    <w:p>
      <w:pPr>
        <w:pStyle w:val="BodyText"/>
        <w:ind w:left="0"/>
        <w:rPr>
          <w:sz w:val="24"/>
        </w:rPr>
      </w:pPr>
    </w:p>
    <w:p>
      <w:pPr>
        <w:pStyle w:val="BodyText"/>
      </w:pPr>
      <w:r>
        <w:rPr>
          <w:rFonts w:ascii="Times New Roman" w:eastAsia="Times New Roman"/>
        </w:rPr>
        <w:t>19</w:t>
      </w:r>
      <w:r>
        <w:rPr/>
        <w:t>、严重帕金森病</w:t>
      </w:r>
    </w:p>
    <w:p>
      <w:pPr>
        <w:pStyle w:val="BodyText"/>
        <w:spacing w:before="74"/>
      </w:pPr>
      <w:r>
        <w:rPr/>
        <w:t>是一种中枢神经系统的退行性疾病，临床表现为震颤麻痹、共济失调等。须满足下列全部条件：</w:t>
      </w:r>
    </w:p>
    <w:p>
      <w:pPr>
        <w:spacing w:after="0"/>
        <w:sectPr>
          <w:pgSz w:w="11910" w:h="16840"/>
          <w:pgMar w:header="0" w:footer="502" w:top="780" w:bottom="780" w:left="1020" w:right="920"/>
        </w:sectPr>
      </w:pPr>
    </w:p>
    <w:p>
      <w:pPr>
        <w:pStyle w:val="BodyText"/>
        <w:spacing w:before="70"/>
      </w:pPr>
      <w:r>
        <w:rPr/>
        <w:t>（</w:t>
      </w:r>
      <w:r>
        <w:rPr>
          <w:rFonts w:ascii="Times New Roman" w:eastAsia="Times New Roman"/>
        </w:rPr>
        <w:t>1</w:t>
      </w:r>
      <w:r>
        <w:rPr/>
        <w:t>）药物治疗无法控制病情；</w:t>
      </w:r>
    </w:p>
    <w:p>
      <w:pPr>
        <w:spacing w:line="247" w:lineRule="auto" w:before="78"/>
        <w:ind w:left="113" w:right="1450" w:firstLine="0"/>
        <w:jc w:val="left"/>
        <w:rPr>
          <w:rFonts w:ascii="Microsoft JhengHei" w:eastAsia="Microsoft JhengHei" w:hint="eastAsia"/>
          <w:b/>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r>
        <w:rPr>
          <w:rFonts w:ascii="Microsoft JhengHei" w:eastAsia="Microsoft JhengHei" w:hint="eastAsia"/>
          <w:b/>
          <w:sz w:val="21"/>
        </w:rPr>
        <w:t>继发性帕金森综合征不在保障范围内。</w:t>
      </w:r>
    </w:p>
    <w:p>
      <w:pPr>
        <w:pStyle w:val="BodyText"/>
        <w:spacing w:before="1"/>
        <w:ind w:left="0"/>
        <w:rPr>
          <w:rFonts w:ascii="Microsoft JhengHei"/>
          <w:b/>
          <w:sz w:val="17"/>
        </w:rPr>
      </w:pPr>
    </w:p>
    <w:p>
      <w:pPr>
        <w:pStyle w:val="BodyText"/>
        <w:spacing w:before="1"/>
      </w:pPr>
      <w:r>
        <w:rPr>
          <w:rFonts w:ascii="Times New Roman" w:hAnsi="Times New Roman" w:eastAsia="Times New Roman"/>
        </w:rPr>
        <w:t>20</w:t>
      </w:r>
      <w:r>
        <w:rPr/>
        <w:t>、严重Ⅲ度烧伤</w:t>
      </w:r>
    </w:p>
    <w:p>
      <w:pPr>
        <w:pStyle w:val="BodyText"/>
        <w:spacing w:line="304" w:lineRule="auto" w:before="74"/>
        <w:ind w:right="189"/>
      </w:pPr>
      <w:r>
        <w:rPr>
          <w:spacing w:val="-6"/>
        </w:rPr>
        <w:t>指烧伤程度为Ⅲ度，且Ⅲ度烧伤的面积达到全身体表面积的 </w:t>
      </w:r>
      <w:r>
        <w:rPr>
          <w:rFonts w:ascii="Times New Roman" w:hAnsi="Times New Roman" w:eastAsia="Times New Roman"/>
        </w:rPr>
        <w:t>20</w:t>
      </w:r>
      <w:r>
        <w:rPr>
          <w:spacing w:val="-11"/>
        </w:rPr>
        <w:t>％或 </w:t>
      </w:r>
      <w:r>
        <w:rPr>
          <w:rFonts w:ascii="Times New Roman" w:hAnsi="Times New Roman" w:eastAsia="Times New Roman"/>
        </w:rPr>
        <w:t>20</w:t>
      </w:r>
      <w:r>
        <w:rPr>
          <w:spacing w:val="-5"/>
        </w:rPr>
        <w:t>％以上。体表面积根据《中国新九分法》计算。</w:t>
      </w:r>
    </w:p>
    <w:p>
      <w:pPr>
        <w:pStyle w:val="BodyText"/>
        <w:spacing w:before="11"/>
        <w:ind w:left="0"/>
        <w:rPr>
          <w:sz w:val="20"/>
        </w:rPr>
      </w:pPr>
    </w:p>
    <w:p>
      <w:pPr>
        <w:pStyle w:val="BodyText"/>
      </w:pPr>
      <w:r>
        <w:rPr>
          <w:rFonts w:ascii="Times New Roman" w:eastAsia="Times New Roman"/>
        </w:rPr>
        <w:t>21</w:t>
      </w:r>
      <w:r>
        <w:rPr/>
        <w:t>、严重原发性肺动脉高压</w:t>
      </w:r>
    </w:p>
    <w:p>
      <w:pPr>
        <w:pStyle w:val="BodyText"/>
        <w:spacing w:line="321" w:lineRule="auto" w:before="74"/>
        <w:ind w:right="105"/>
      </w:pPr>
      <w:r>
        <w:rPr>
          <w:spacing w:val="-6"/>
        </w:rPr>
        <w:t>指不明原因的肺动脉压力持续性增高，进行性发展而导致的慢性疾病，已经造成永久不可逆性的体力活动</w:t>
      </w:r>
      <w:r>
        <w:rPr>
          <w:spacing w:val="-7"/>
        </w:rPr>
        <w:t>能力受限，达到美国纽约心脏病学会心功能状态分级 </w:t>
      </w:r>
      <w:r>
        <w:rPr>
          <w:rFonts w:ascii="Times New Roman" w:eastAsia="Times New Roman"/>
        </w:rPr>
        <w:t>IV </w:t>
      </w:r>
      <w:r>
        <w:rPr>
          <w:spacing w:val="-4"/>
        </w:rPr>
        <w:t>级，且静息状态下肺动脉平均压超过 </w:t>
      </w:r>
      <w:r>
        <w:rPr>
          <w:rFonts w:ascii="Times New Roman" w:eastAsia="Times New Roman"/>
          <w:spacing w:val="-3"/>
        </w:rPr>
        <w:t>30mmHg</w:t>
      </w:r>
      <w:r>
        <w:rPr/>
        <w:t>。</w:t>
      </w:r>
    </w:p>
    <w:p>
      <w:pPr>
        <w:pStyle w:val="BodyText"/>
        <w:spacing w:before="235"/>
      </w:pPr>
      <w:r>
        <w:rPr>
          <w:rFonts w:ascii="Times New Roman" w:eastAsia="Times New Roman"/>
        </w:rPr>
        <w:t>22</w:t>
      </w:r>
      <w:r>
        <w:rPr/>
        <w:t>、严重运动神经元病</w:t>
      </w:r>
    </w:p>
    <w:p>
      <w:pPr>
        <w:pStyle w:val="BodyText"/>
        <w:spacing w:line="321" w:lineRule="auto" w:before="74"/>
        <w:ind w:right="105"/>
        <w:jc w:val="both"/>
      </w:pPr>
      <w:r>
        <w:rPr>
          <w:spacing w:val="-8"/>
        </w:rPr>
        <w:t>是一组中枢神经系统运动神经元的进行性变性疾病，包括进行性脊肌萎缩症、进行性延髓麻痹症、原发性</w:t>
      </w:r>
      <w:r>
        <w:rPr>
          <w:spacing w:val="-10"/>
        </w:rPr>
        <w:t>侧索硬化症、肌萎缩性侧索硬化症。须满足自主生活能力完全丧失，无法独立完成六项基本日常生活活动</w:t>
      </w:r>
      <w:r>
        <w:rPr>
          <w:spacing w:val="-7"/>
        </w:rPr>
        <w:t>中的三项或三项以上的条件。</w:t>
      </w:r>
    </w:p>
    <w:p>
      <w:pPr>
        <w:pStyle w:val="BodyText"/>
        <w:spacing w:before="9"/>
        <w:ind w:left="0"/>
        <w:rPr>
          <w:sz w:val="19"/>
        </w:rPr>
      </w:pPr>
    </w:p>
    <w:p>
      <w:pPr>
        <w:pStyle w:val="BodyText"/>
      </w:pPr>
      <w:r>
        <w:rPr>
          <w:rFonts w:ascii="Times New Roman" w:eastAsia="Times New Roman"/>
        </w:rPr>
        <w:t>23</w:t>
      </w:r>
      <w:r>
        <w:rPr/>
        <w:t>、语言能力丧失</w:t>
      </w:r>
    </w:p>
    <w:p>
      <w:pPr>
        <w:pStyle w:val="BodyText"/>
        <w:spacing w:line="302" w:lineRule="auto" w:before="78"/>
        <w:ind w:right="108"/>
      </w:pPr>
      <w:r>
        <w:rPr>
          <w:spacing w:val="-10"/>
          <w:w w:val="100"/>
        </w:rPr>
        <w:t>指因疾病或意外伤害导致完全丧失语言能力，经过积极治疗至少</w:t>
      </w:r>
      <w:r>
        <w:rPr>
          <w:spacing w:val="-10"/>
        </w:rPr>
        <w:t> </w:t>
      </w:r>
      <w:r>
        <w:rPr>
          <w:rFonts w:ascii="Times New Roman" w:eastAsia="Times New Roman"/>
          <w:w w:val="100"/>
        </w:rPr>
        <w:t>12</w:t>
      </w:r>
      <w:r>
        <w:rPr>
          <w:rFonts w:ascii="Times New Roman" w:eastAsia="Times New Roman"/>
        </w:rPr>
        <w:t> </w:t>
      </w:r>
      <w:r>
        <w:rPr>
          <w:spacing w:val="-53"/>
          <w:w w:val="100"/>
        </w:rPr>
        <w:t>个月</w:t>
      </w:r>
      <w:r>
        <w:rPr>
          <w:w w:val="100"/>
        </w:rPr>
        <w:t>（</w:t>
      </w:r>
      <w:r>
        <w:rPr>
          <w:spacing w:val="-4"/>
          <w:w w:val="100"/>
        </w:rPr>
        <w:t>声带完全切除不受此时间限制</w:t>
      </w:r>
      <w:r>
        <w:rPr>
          <w:spacing w:val="-111"/>
          <w:w w:val="100"/>
        </w:rPr>
        <w:t>）</w:t>
      </w:r>
      <w:r>
        <w:rPr>
          <w:w w:val="100"/>
        </w:rPr>
        <w:t>，</w:t>
      </w:r>
      <w:r>
        <w:rPr>
          <w:spacing w:val="-3"/>
        </w:rPr>
        <w:t>仍无法通过现有医疗手段恢复。</w:t>
      </w:r>
    </w:p>
    <w:p>
      <w:pPr>
        <w:pStyle w:val="BodyText"/>
        <w:ind w:left="0"/>
      </w:pPr>
    </w:p>
    <w:p>
      <w:pPr>
        <w:pStyle w:val="BodyText"/>
        <w:jc w:val="both"/>
      </w:pPr>
      <w:r>
        <w:rPr>
          <w:rFonts w:ascii="Times New Roman" w:eastAsia="Times New Roman"/>
        </w:rPr>
        <w:t>24</w:t>
      </w:r>
      <w:r>
        <w:rPr/>
        <w:t>、重型再生障碍性贫血</w:t>
      </w:r>
    </w:p>
    <w:p>
      <w:pPr>
        <w:pStyle w:val="BodyText"/>
        <w:spacing w:before="78"/>
        <w:jc w:val="both"/>
      </w:pPr>
      <w:r>
        <w:rPr/>
        <w:t>指因骨髓造血功能慢性持续性衰竭导致的贫血、中性粒细胞减少及血小板减少。须满足下列全部条件：</w:t>
      </w:r>
    </w:p>
    <w:p>
      <w:pPr>
        <w:pStyle w:val="BodyText"/>
        <w:spacing w:before="90"/>
        <w:jc w:val="both"/>
      </w:pPr>
      <w:r>
        <w:rPr/>
        <w:t>（</w:t>
      </w:r>
      <w:r>
        <w:rPr>
          <w:rFonts w:ascii="Times New Roman" w:eastAsia="Times New Roman"/>
        </w:rPr>
        <w:t>1</w:t>
      </w:r>
      <w:r>
        <w:rPr/>
        <w:t>）骨髓穿刺检查或骨髓活检结果支持诊断；</w:t>
      </w:r>
    </w:p>
    <w:p>
      <w:pPr>
        <w:pStyle w:val="BodyText"/>
        <w:spacing w:before="74"/>
        <w:jc w:val="both"/>
      </w:pPr>
      <w:r>
        <w:rPr/>
        <w:t>（</w:t>
      </w:r>
      <w:r>
        <w:rPr>
          <w:rFonts w:ascii="Times New Roman" w:eastAsia="Times New Roman"/>
        </w:rPr>
        <w:t>2</w:t>
      </w:r>
      <w:r>
        <w:rPr/>
        <w:t>）外周血象必须具备以下三项条件：</w:t>
      </w:r>
    </w:p>
    <w:p>
      <w:pPr>
        <w:pStyle w:val="BodyText"/>
        <w:spacing w:before="74"/>
        <w:ind w:left="535"/>
      </w:pPr>
      <w:r>
        <w:rPr/>
        <w:t>①中性粒细胞绝对值</w:t>
      </w:r>
      <w:r>
        <w:rPr>
          <w:rFonts w:ascii="Times New Roman" w:hAnsi="Times New Roman" w:eastAsia="Times New Roman"/>
        </w:rPr>
        <w:t>≤0.5×10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74"/>
        <w:ind w:left="535"/>
      </w:pPr>
      <w:r>
        <w:rPr/>
        <w:t>②网织红细胞＜</w:t>
      </w:r>
      <w:r>
        <w:rPr>
          <w:rFonts w:ascii="Times New Roman" w:hAnsi="Times New Roman" w:eastAsia="Times New Roman"/>
        </w:rPr>
        <w:t>1%</w:t>
      </w:r>
      <w:r>
        <w:rPr/>
        <w:t>；</w:t>
      </w:r>
    </w:p>
    <w:p>
      <w:pPr>
        <w:pStyle w:val="BodyText"/>
        <w:spacing w:before="78"/>
        <w:ind w:left="535"/>
      </w:pPr>
      <w:r>
        <w:rPr/>
        <w:t>③血小板绝对值</w:t>
      </w:r>
      <w:r>
        <w:rPr>
          <w:rFonts w:ascii="Times New Roman" w:hAnsi="Times New Roman" w:eastAsia="Times New Roman"/>
        </w:rPr>
        <w:t>≤20×10</w:t>
      </w:r>
      <w:r>
        <w:rPr>
          <w:rFonts w:ascii="Times New Roman" w:hAnsi="Times New Roman" w:eastAsia="Times New Roman"/>
          <w:b/>
          <w:vertAlign w:val="superscript"/>
        </w:rPr>
        <w:t>9</w:t>
      </w:r>
      <w:r>
        <w:rPr>
          <w:rFonts w:ascii="Times New Roman" w:hAnsi="Times New Roman" w:eastAsia="Times New Roman"/>
          <w:b/>
          <w:vertAlign w:val="baseline"/>
        </w:rPr>
      </w:r>
      <w:r>
        <w:rPr>
          <w:rFonts w:ascii="Times New Roman" w:hAnsi="Times New Roman" w:eastAsia="Times New Roman"/>
          <w:vertAlign w:val="baseline"/>
        </w:rPr>
        <w:t>/L</w:t>
      </w:r>
      <w:r>
        <w:rPr>
          <w:vertAlign w:val="baseline"/>
        </w:rPr>
        <w:t>。</w:t>
      </w:r>
    </w:p>
    <w:p>
      <w:pPr>
        <w:pStyle w:val="BodyText"/>
        <w:spacing w:before="13"/>
        <w:ind w:left="0"/>
        <w:rPr>
          <w:sz w:val="23"/>
        </w:rPr>
      </w:pPr>
    </w:p>
    <w:p>
      <w:pPr>
        <w:pStyle w:val="BodyText"/>
        <w:jc w:val="both"/>
      </w:pPr>
      <w:r>
        <w:rPr>
          <w:rFonts w:ascii="Times New Roman" w:eastAsia="Times New Roman"/>
        </w:rPr>
        <w:t>25</w:t>
      </w:r>
      <w:r>
        <w:rPr/>
        <w:t>、主动脉手术</w:t>
      </w:r>
    </w:p>
    <w:p>
      <w:pPr>
        <w:spacing w:line="264" w:lineRule="auto" w:before="74"/>
        <w:ind w:left="113" w:right="106" w:firstLine="0"/>
        <w:jc w:val="left"/>
        <w:rPr>
          <w:sz w:val="21"/>
        </w:rPr>
      </w:pPr>
      <w:r>
        <w:rPr>
          <w:spacing w:val="-6"/>
          <w:sz w:val="21"/>
        </w:rPr>
        <w:t>指为治疗主动脉疾病，实际实施了开胸或开腹进行的切除、置换、修补病损主动脉血管的手术。主动脉指</w:t>
      </w:r>
      <w:r>
        <w:rPr>
          <w:spacing w:val="-5"/>
          <w:sz w:val="21"/>
        </w:rPr>
        <w:t>胸主动脉和腹主动脉，</w:t>
      </w:r>
      <w:r>
        <w:rPr>
          <w:rFonts w:ascii="Microsoft JhengHei" w:eastAsia="Microsoft JhengHei" w:hint="eastAsia"/>
          <w:b/>
          <w:spacing w:val="-3"/>
          <w:sz w:val="21"/>
        </w:rPr>
        <w:t>不包括胸主动脉和腹主动脉的分支血管</w:t>
      </w:r>
      <w:r>
        <w:rPr>
          <w:sz w:val="21"/>
        </w:rPr>
        <w:t>。</w:t>
      </w:r>
    </w:p>
    <w:p>
      <w:pPr>
        <w:pStyle w:val="Heading1"/>
        <w:spacing w:line="337" w:lineRule="exact"/>
      </w:pPr>
      <w:r>
        <w:rPr/>
        <w:t>动脉内血管成形术不在保障范围内。</w:t>
      </w:r>
    </w:p>
    <w:p>
      <w:pPr>
        <w:pStyle w:val="BodyText"/>
        <w:spacing w:before="10"/>
        <w:ind w:left="0"/>
        <w:rPr>
          <w:rFonts w:ascii="Microsoft JhengHei"/>
          <w:b/>
          <w:sz w:val="17"/>
        </w:rPr>
      </w:pPr>
    </w:p>
    <w:p>
      <w:pPr>
        <w:pStyle w:val="BodyText"/>
      </w:pPr>
      <w:r>
        <w:rPr>
          <w:rFonts w:ascii="Times New Roman" w:eastAsia="Times New Roman"/>
        </w:rPr>
        <w:t>26</w:t>
      </w:r>
      <w:r>
        <w:rPr/>
        <w:t>、严重脊髓灰质炎</w:t>
      </w:r>
    </w:p>
    <w:p>
      <w:pPr>
        <w:spacing w:line="216" w:lineRule="auto" w:before="96"/>
        <w:ind w:left="113" w:right="104" w:firstLine="0"/>
        <w:jc w:val="both"/>
        <w:rPr>
          <w:rFonts w:ascii="Microsoft JhengHei" w:eastAsia="Microsoft JhengHei" w:hint="eastAsia"/>
          <w:b/>
          <w:sz w:val="21"/>
        </w:rPr>
      </w:pPr>
      <w:r>
        <w:rPr>
          <w:spacing w:val="-7"/>
          <w:sz w:val="21"/>
        </w:rPr>
        <w:t>脊髓灰质炎是由于脊髓灰质炎病毒感染所致的瘫痪性疾病，临床表现为运动功能损害或呼吸无力。脊髓灰</w:t>
      </w:r>
      <w:r>
        <w:rPr>
          <w:spacing w:val="-9"/>
          <w:sz w:val="21"/>
        </w:rPr>
        <w:t>质炎必须明确诊断。</w:t>
      </w:r>
      <w:r>
        <w:rPr>
          <w:rFonts w:ascii="Microsoft JhengHei" w:eastAsia="Microsoft JhengHei" w:hint="eastAsia"/>
          <w:b/>
          <w:spacing w:val="0"/>
          <w:sz w:val="21"/>
        </w:rPr>
        <w:t>本合同仅对疾病确诊 </w:t>
      </w:r>
      <w:r>
        <w:rPr>
          <w:rFonts w:ascii="Times New Roman" w:eastAsia="Times New Roman"/>
          <w:b/>
          <w:sz w:val="21"/>
        </w:rPr>
        <w:t>180 </w:t>
      </w:r>
      <w:r>
        <w:rPr>
          <w:rFonts w:ascii="Microsoft JhengHei" w:eastAsia="Microsoft JhengHei" w:hint="eastAsia"/>
          <w:b/>
          <w:spacing w:val="-5"/>
          <w:sz w:val="21"/>
        </w:rPr>
        <w:t>天后脊髓灰质炎造成的神经系统功能损害导致被保险人一肢或一肢以上肢体机能永久完全丧失的情况予以理赔。</w:t>
      </w:r>
    </w:p>
    <w:p>
      <w:pPr>
        <w:pStyle w:val="BodyText"/>
        <w:spacing w:before="2"/>
        <w:ind w:left="0"/>
        <w:rPr>
          <w:rFonts w:ascii="Microsoft JhengHei"/>
          <w:b/>
          <w:sz w:val="15"/>
        </w:rPr>
      </w:pPr>
    </w:p>
    <w:p>
      <w:pPr>
        <w:pStyle w:val="BodyText"/>
      </w:pPr>
      <w:r>
        <w:rPr>
          <w:rFonts w:ascii="Times New Roman" w:eastAsia="Times New Roman"/>
        </w:rPr>
        <w:t>27</w:t>
      </w:r>
      <w:r>
        <w:rPr/>
        <w:t>、严重多发性硬化症</w:t>
      </w:r>
    </w:p>
    <w:p>
      <w:pPr>
        <w:pStyle w:val="BodyText"/>
        <w:spacing w:line="273" w:lineRule="auto" w:before="30"/>
        <w:ind w:right="105"/>
        <w:jc w:val="both"/>
      </w:pPr>
      <w:r>
        <w:rPr>
          <w:spacing w:val="-6"/>
        </w:rPr>
        <w:t>多发性硬化为中枢神经系统脱髓鞘病变，必须由医疗机构的神经专科医生确诊。必须伴有典型的脱髓鞘症</w:t>
      </w:r>
      <w:r>
        <w:rPr>
          <w:spacing w:val="-5"/>
        </w:rPr>
        <w:t>状和运动及感觉功能障碍的证据并有磁共振</w:t>
      </w:r>
      <w:r>
        <w:rPr>
          <w:spacing w:val="-3"/>
        </w:rPr>
        <w:t>（</w:t>
      </w:r>
      <w:r>
        <w:rPr>
          <w:rFonts w:ascii="Times New Roman" w:eastAsia="Times New Roman"/>
          <w:spacing w:val="-3"/>
        </w:rPr>
        <w:t>MRI</w:t>
      </w:r>
      <w:r>
        <w:rPr>
          <w:spacing w:val="-3"/>
        </w:rPr>
        <w:t>）</w:t>
      </w:r>
      <w:r>
        <w:rPr>
          <w:spacing w:val="-5"/>
        </w:rPr>
        <w:t>的典型改变。严重多发性硬化症必须造成神经系统永</w:t>
      </w:r>
      <w:r>
        <w:rPr>
          <w:spacing w:val="-6"/>
        </w:rPr>
        <w:t>久性功能损害并且已导致被保险人独立生活能力完全丧失，无法独立完成六项基本日常生活活动中的三项</w:t>
      </w:r>
      <w:r>
        <w:rPr>
          <w:spacing w:val="-10"/>
        </w:rPr>
        <w:t>或三项以上持续达 </w:t>
      </w:r>
      <w:r>
        <w:rPr>
          <w:rFonts w:ascii="Times New Roman" w:eastAsia="Times New Roman"/>
        </w:rPr>
        <w:t>180 </w:t>
      </w:r>
      <w:r>
        <w:rPr>
          <w:spacing w:val="-2"/>
        </w:rPr>
        <w:t>天以上。</w:t>
      </w:r>
    </w:p>
    <w:p>
      <w:pPr>
        <w:spacing w:after="0" w:line="273" w:lineRule="auto"/>
        <w:jc w:val="both"/>
        <w:sectPr>
          <w:pgSz w:w="11910" w:h="16840"/>
          <w:pgMar w:header="0" w:footer="502" w:top="780" w:bottom="780" w:left="1020" w:right="1020"/>
        </w:sectPr>
      </w:pPr>
    </w:p>
    <w:p>
      <w:pPr>
        <w:pStyle w:val="BodyText"/>
        <w:spacing w:before="60"/>
      </w:pPr>
      <w:r>
        <w:rPr>
          <w:rFonts w:ascii="Times New Roman" w:eastAsia="Times New Roman"/>
        </w:rPr>
        <w:t>28</w:t>
      </w:r>
      <w:r>
        <w:rPr/>
        <w:t>、严重冠心病</w:t>
      </w:r>
    </w:p>
    <w:p>
      <w:pPr>
        <w:pStyle w:val="BodyText"/>
        <w:spacing w:line="280" w:lineRule="auto" w:before="30"/>
        <w:ind w:right="203"/>
      </w:pPr>
      <w:r>
        <w:rPr>
          <w:spacing w:val="-6"/>
        </w:rPr>
        <w:t>指经根据冠状动脉造影检查结果明确诊断为至少有三支主要血管</w:t>
      </w:r>
      <w:r>
        <w:rPr/>
        <w:t>（</w:t>
      </w:r>
      <w:r>
        <w:rPr>
          <w:spacing w:val="-5"/>
        </w:rPr>
        <w:t>左冠状动脉主干、前降支、左旋支和右冠状动脉中的三支</w:t>
      </w:r>
      <w:r>
        <w:rPr>
          <w:spacing w:val="-39"/>
        </w:rPr>
        <w:t>）</w:t>
      </w:r>
      <w:r>
        <w:rPr>
          <w:spacing w:val="-9"/>
        </w:rPr>
        <w:t>严重狭窄性病变</w:t>
      </w:r>
      <w:r>
        <w:rPr/>
        <w:t>（</w:t>
      </w:r>
      <w:r>
        <w:rPr>
          <w:spacing w:val="-4"/>
        </w:rPr>
        <w:t>至少一支血管管腔直径减少 </w:t>
      </w:r>
      <w:r>
        <w:rPr>
          <w:rFonts w:ascii="Times New Roman" w:eastAsia="Times New Roman"/>
        </w:rPr>
        <w:t>75</w:t>
      </w:r>
      <w:r>
        <w:rPr>
          <w:spacing w:val="-5"/>
        </w:rPr>
        <w:t>％以上和其他两支血管管腔直径减少</w:t>
      </w:r>
    </w:p>
    <w:p>
      <w:pPr>
        <w:pStyle w:val="BodyText"/>
        <w:spacing w:line="277" w:lineRule="exact"/>
      </w:pPr>
      <w:r>
        <w:rPr>
          <w:rFonts w:ascii="Times New Roman" w:eastAsia="Times New Roman"/>
        </w:rPr>
        <w:t>60</w:t>
      </w:r>
      <w:r>
        <w:rPr/>
        <w:t>％以上，若左冠状动脉主干狭窄可认定为两支主要血管狭窄</w:t>
      </w:r>
      <w:r>
        <w:rPr>
          <w:spacing w:val="-101"/>
        </w:rPr>
        <w:t>）</w:t>
      </w:r>
      <w:r>
        <w:rPr/>
        <w:t>。前降支、左旋支及右冠状动脉的分支血</w:t>
      </w:r>
    </w:p>
    <w:p>
      <w:pPr>
        <w:pStyle w:val="BodyText"/>
        <w:spacing w:before="31"/>
      </w:pPr>
      <w:r>
        <w:rPr/>
        <w:t>管的狭窄不作为本保障理赔的衡量指标。</w:t>
      </w:r>
    </w:p>
    <w:p>
      <w:pPr>
        <w:pStyle w:val="BodyText"/>
        <w:spacing w:before="10"/>
        <w:ind w:left="0"/>
        <w:rPr>
          <w:sz w:val="27"/>
        </w:rPr>
      </w:pPr>
    </w:p>
    <w:p>
      <w:pPr>
        <w:pStyle w:val="BodyText"/>
      </w:pPr>
      <w:r>
        <w:rPr>
          <w:rFonts w:ascii="Times New Roman" w:eastAsia="Times New Roman"/>
        </w:rPr>
        <w:t>29</w:t>
      </w:r>
      <w:r>
        <w:rPr/>
        <w:t>、严重心肌病</w:t>
      </w:r>
    </w:p>
    <w:p>
      <w:pPr>
        <w:pStyle w:val="BodyText"/>
        <w:spacing w:line="271" w:lineRule="auto" w:before="30"/>
        <w:ind w:right="203"/>
        <w:jc w:val="both"/>
      </w:pPr>
      <w:r>
        <w:rPr>
          <w:spacing w:val="-6"/>
        </w:rPr>
        <w:t>指因原发性心肌病导致慢性心功能损害造成永久不可逆性的心功能衰竭。心功能衰竭程度达到纽约心脏病学会（</w:t>
      </w:r>
      <w:r>
        <w:rPr>
          <w:rFonts w:ascii="Times New Roman" w:eastAsia="Times New Roman"/>
          <w:spacing w:val="-6"/>
        </w:rPr>
        <w:t>NYHA</w:t>
      </w:r>
      <w:r>
        <w:rPr>
          <w:spacing w:val="-6"/>
        </w:rPr>
        <w:t>）</w:t>
      </w:r>
      <w:r>
        <w:rPr>
          <w:spacing w:val="-4"/>
        </w:rPr>
        <w:t>的心功能分级标准之心功能 </w:t>
      </w:r>
      <w:r>
        <w:rPr>
          <w:rFonts w:ascii="Times New Roman" w:eastAsia="Times New Roman"/>
        </w:rPr>
        <w:t>IV </w:t>
      </w:r>
      <w:r>
        <w:rPr>
          <w:spacing w:val="-5"/>
        </w:rPr>
        <w:t>级：被保险人永久不可逆性的体力活动能力受限，不能从事任何体力活动。</w:t>
      </w:r>
    </w:p>
    <w:p>
      <w:pPr>
        <w:pStyle w:val="BodyText"/>
        <w:spacing w:before="11"/>
        <w:ind w:left="0"/>
        <w:rPr>
          <w:sz w:val="19"/>
        </w:rPr>
      </w:pPr>
    </w:p>
    <w:p>
      <w:pPr>
        <w:pStyle w:val="BodyText"/>
      </w:pPr>
      <w:r>
        <w:rPr>
          <w:rFonts w:ascii="Times New Roman" w:eastAsia="Times New Roman"/>
        </w:rPr>
        <w:t>30</w:t>
      </w:r>
      <w:r>
        <w:rPr/>
        <w:t>、严重克罗恩病（克隆病）</w:t>
      </w:r>
    </w:p>
    <w:p>
      <w:pPr>
        <w:pStyle w:val="BodyText"/>
        <w:spacing w:line="280" w:lineRule="auto" w:before="30"/>
        <w:ind w:right="100"/>
      </w:pPr>
      <w:r>
        <w:rPr>
          <w:spacing w:val="-9"/>
        </w:rPr>
        <w:t>克罗恩病是一种慢性特发性肠炎，具有特征性的克罗恩病病理组织学变化。诊断必须由病理检查结果证实。</w:t>
      </w:r>
      <w:r>
        <w:rPr>
          <w:spacing w:val="-7"/>
        </w:rPr>
        <w:t>被保险人所患的克罗恩病必须已经造成瘘管形成并伴有肠梗阻或肠穿孔。</w:t>
      </w:r>
    </w:p>
    <w:p>
      <w:pPr>
        <w:pStyle w:val="BodyText"/>
        <w:spacing w:before="251"/>
      </w:pPr>
      <w:r>
        <w:rPr>
          <w:rFonts w:ascii="Times New Roman" w:eastAsia="Times New Roman"/>
        </w:rPr>
        <w:t>31</w:t>
      </w:r>
      <w:r>
        <w:rPr/>
        <w:t>、严重溃疡性结肠炎</w:t>
      </w:r>
    </w:p>
    <w:p>
      <w:pPr>
        <w:pStyle w:val="BodyText"/>
        <w:spacing w:line="280" w:lineRule="auto" w:before="26"/>
        <w:ind w:right="110"/>
      </w:pPr>
      <w:r>
        <w:rPr/>
        <w:t>指伴有致命性电解质紊乱的急性暴发性溃疡性结肠炎，病变累及全结肠，表现为严重的血便和全身症状， </w:t>
      </w:r>
      <w:r>
        <w:rPr>
          <w:spacing w:val="-6"/>
        </w:rPr>
        <w:t>治疗通常采取全结肠切除和回肠造瘘术。溃疡性结肠炎必须根据组织病理学特点诊断，并且被保险人已经</w:t>
      </w:r>
      <w:r>
        <w:rPr>
          <w:spacing w:val="-2"/>
        </w:rPr>
        <w:t>接受了结肠切除和</w:t>
      </w:r>
      <w:r>
        <w:rPr>
          <w:rFonts w:ascii="Times New Roman" w:eastAsia="Times New Roman"/>
        </w:rPr>
        <w:t>/</w:t>
      </w:r>
      <w:r>
        <w:rPr>
          <w:spacing w:val="-3"/>
        </w:rPr>
        <w:t>或回肠造瘘术。</w:t>
      </w:r>
    </w:p>
    <w:p>
      <w:pPr>
        <w:pStyle w:val="BodyText"/>
        <w:spacing w:before="231"/>
      </w:pPr>
      <w:r>
        <w:rPr>
          <w:rFonts w:ascii="Times New Roman" w:eastAsia="Times New Roman"/>
        </w:rPr>
        <w:t>32</w:t>
      </w:r>
      <w:r>
        <w:rPr/>
        <w:t>、严重类风湿性关节炎</w:t>
      </w:r>
    </w:p>
    <w:p>
      <w:pPr>
        <w:pStyle w:val="BodyText"/>
        <w:spacing w:line="273" w:lineRule="auto" w:before="25"/>
        <w:ind w:right="203"/>
        <w:jc w:val="both"/>
      </w:pPr>
      <w:r>
        <w:rPr>
          <w:spacing w:val="-7"/>
        </w:rPr>
        <w:t>类风湿性关节炎为广泛分布的慢性进行性多关节病变，表现为关节严重变形，侵犯至少三个主要关节或关节组（如：双手（</w:t>
      </w:r>
      <w:r>
        <w:rPr>
          <w:spacing w:val="-4"/>
        </w:rPr>
        <w:t>多手指</w:t>
      </w:r>
      <w:r>
        <w:rPr/>
        <w:t>）关节、双足（多足趾）关节、双腕关节、双膝关节和双髋关节</w:t>
      </w:r>
      <w:r>
        <w:rPr>
          <w:spacing w:val="-101"/>
        </w:rPr>
        <w:t>）</w:t>
      </w:r>
      <w:r>
        <w:rPr/>
        <w:t>。被保险人所</w:t>
      </w:r>
      <w:r>
        <w:rPr>
          <w:spacing w:val="-5"/>
        </w:rPr>
        <w:t>患的类风湿性关节炎必须已经达到类风湿性关节炎功能分类 </w:t>
      </w:r>
      <w:r>
        <w:rPr>
          <w:rFonts w:ascii="Times New Roman" w:eastAsia="Times New Roman"/>
        </w:rPr>
        <w:t>IV </w:t>
      </w:r>
      <w:r>
        <w:rPr/>
        <w:t>级的功能障碍（</w:t>
      </w:r>
      <w:r>
        <w:rPr>
          <w:spacing w:val="-3"/>
        </w:rPr>
        <w:t>生活不能自理，且丧失工作能力）</w:t>
      </w:r>
      <w:r>
        <w:rPr>
          <w:spacing w:val="-4"/>
        </w:rPr>
        <w:t>并且满足下列全部条件：</w:t>
      </w:r>
    </w:p>
    <w:p>
      <w:pPr>
        <w:pStyle w:val="BodyText"/>
        <w:spacing w:before="17"/>
      </w:pPr>
      <w:r>
        <w:rPr/>
        <w:t>（</w:t>
      </w:r>
      <w:r>
        <w:rPr>
          <w:rFonts w:ascii="Times New Roman" w:eastAsia="Times New Roman"/>
        </w:rPr>
        <w:t>1</w:t>
      </w:r>
      <w:r>
        <w:rPr/>
        <w:t>）晨僵；</w:t>
      </w:r>
    </w:p>
    <w:p>
      <w:pPr>
        <w:pStyle w:val="BodyText"/>
        <w:spacing w:before="30"/>
      </w:pPr>
      <w:r>
        <w:rPr/>
        <w:t>（</w:t>
      </w:r>
      <w:r>
        <w:rPr>
          <w:rFonts w:ascii="Times New Roman" w:eastAsia="Times New Roman"/>
        </w:rPr>
        <w:t>2</w:t>
      </w:r>
      <w:r>
        <w:rPr/>
        <w:t>）对称性关节炎；</w:t>
      </w:r>
    </w:p>
    <w:p>
      <w:pPr>
        <w:pStyle w:val="BodyText"/>
        <w:spacing w:before="25"/>
      </w:pPr>
      <w:r>
        <w:rPr/>
        <w:t>（</w:t>
      </w:r>
      <w:r>
        <w:rPr>
          <w:rFonts w:ascii="Times New Roman" w:eastAsia="Times New Roman"/>
        </w:rPr>
        <w:t>3</w:t>
      </w:r>
      <w:r>
        <w:rPr/>
        <w:t>）类风湿性皮下结节；</w:t>
      </w:r>
    </w:p>
    <w:p>
      <w:pPr>
        <w:pStyle w:val="BodyText"/>
        <w:spacing w:before="30"/>
      </w:pPr>
      <w:r>
        <w:rPr/>
        <w:t>（</w:t>
      </w:r>
      <w:r>
        <w:rPr>
          <w:rFonts w:ascii="Times New Roman" w:eastAsia="Times New Roman"/>
        </w:rPr>
        <w:t>4</w:t>
      </w:r>
      <w:r>
        <w:rPr/>
        <w:t>）类风湿因子滴度升高；</w:t>
      </w:r>
    </w:p>
    <w:p>
      <w:pPr>
        <w:pStyle w:val="BodyText"/>
        <w:spacing w:before="30"/>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before="9"/>
        <w:ind w:left="0"/>
        <w:rPr>
          <w:sz w:val="20"/>
        </w:rPr>
      </w:pPr>
    </w:p>
    <w:p>
      <w:pPr>
        <w:pStyle w:val="BodyText"/>
      </w:pPr>
      <w:r>
        <w:rPr>
          <w:rFonts w:ascii="Times New Roman" w:eastAsia="Times New Roman"/>
        </w:rPr>
        <w:t>33</w:t>
      </w:r>
      <w:r>
        <w:rPr/>
        <w:t>、慢性呼吸功能衰竭</w:t>
      </w:r>
    </w:p>
    <w:p>
      <w:pPr>
        <w:pStyle w:val="BodyText"/>
        <w:spacing w:line="280" w:lineRule="auto" w:before="26"/>
        <w:ind w:right="206"/>
      </w:pPr>
      <w:r>
        <w:rPr>
          <w:spacing w:val="-6"/>
        </w:rPr>
        <w:t>是指被保险人必须经医疗机构的呼吸科专科医师确诊患有慢性肺部疾病而出现慢性呼吸功能衰竭，其诊断</w:t>
      </w:r>
      <w:r>
        <w:rPr>
          <w:spacing w:val="-5"/>
        </w:rPr>
        <w:t>标准需同时满足以下各项：</w:t>
      </w:r>
    </w:p>
    <w:p>
      <w:pPr>
        <w:pStyle w:val="BodyText"/>
        <w:spacing w:before="11"/>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before="26"/>
      </w:pPr>
      <w:r>
        <w:rPr/>
        <w:t>（</w:t>
      </w:r>
      <w:r>
        <w:rPr>
          <w:rFonts w:ascii="Times New Roman" w:eastAsia="Times New Roman"/>
        </w:rPr>
        <w:t>2</w:t>
      </w:r>
      <w:r>
        <w:rPr/>
        <w:t>）病人血氧不足必须持续地进行输氧治疗；</w:t>
      </w:r>
    </w:p>
    <w:p>
      <w:pPr>
        <w:pStyle w:val="BodyText"/>
        <w:spacing w:before="31"/>
        <w:rPr>
          <w:rFonts w:ascii="Times New Roman" w:eastAsia="Times New Roman"/>
        </w:rPr>
      </w:pPr>
      <w:r>
        <w:rPr/>
        <w:t>（</w:t>
      </w:r>
      <w:r>
        <w:rPr>
          <w:rFonts w:ascii="Times New Roman" w:eastAsia="Times New Roman"/>
        </w:rPr>
        <w:t>3</w:t>
      </w:r>
      <w:r>
        <w:rPr/>
        <w:t>）动脉血气分析氧分压等于或低于 </w:t>
      </w:r>
      <w:r>
        <w:rPr>
          <w:rFonts w:ascii="Times New Roman" w:eastAsia="Times New Roman"/>
        </w:rPr>
        <w:t>55mmHg;</w:t>
      </w:r>
    </w:p>
    <w:p>
      <w:pPr>
        <w:pStyle w:val="BodyText"/>
        <w:spacing w:before="30"/>
      </w:pPr>
      <w:r>
        <w:rPr/>
        <w:t>（</w:t>
      </w:r>
      <w:r>
        <w:rPr>
          <w:rFonts w:ascii="Times New Roman" w:eastAsia="Times New Roman"/>
        </w:rPr>
        <w:t>4</w:t>
      </w:r>
      <w:r>
        <w:rPr/>
        <w:t>）休息时出现呼吸困难。</w:t>
      </w:r>
    </w:p>
    <w:p>
      <w:pPr>
        <w:pStyle w:val="BodyText"/>
        <w:spacing w:before="7"/>
        <w:ind w:left="0"/>
        <w:rPr>
          <w:sz w:val="26"/>
        </w:rPr>
      </w:pPr>
    </w:p>
    <w:p>
      <w:pPr>
        <w:pStyle w:val="BodyText"/>
      </w:pPr>
      <w:r>
        <w:rPr>
          <w:rFonts w:ascii="Times New Roman" w:eastAsia="Times New Roman"/>
        </w:rPr>
        <w:t>34</w:t>
      </w:r>
      <w:r>
        <w:rPr/>
        <w:t>、全身性重症肌无力</w:t>
      </w:r>
    </w:p>
    <w:p>
      <w:pPr>
        <w:pStyle w:val="BodyText"/>
        <w:spacing w:line="278" w:lineRule="auto" w:before="31"/>
        <w:ind w:right="110"/>
      </w:pPr>
      <w:r>
        <w:rPr/>
        <w:t>重症肌无力是一种神经肌肉接头传递障碍的自身免疫性疾病，表现为局部或全身骨骼肌（特别是眼外肌） 极易疲劳。疾病可以累及呼吸肌、上肢或下肢的近端肌群或全身肌肉，必须满足下列全部条件：</w:t>
      </w:r>
    </w:p>
    <w:p>
      <w:pPr>
        <w:pStyle w:val="BodyText"/>
        <w:spacing w:before="13"/>
      </w:pPr>
      <w:r>
        <w:rPr/>
        <w:t>（</w:t>
      </w:r>
      <w:r>
        <w:rPr>
          <w:rFonts w:ascii="Times New Roman" w:eastAsia="Times New Roman"/>
        </w:rPr>
        <w:t>1</w:t>
      </w:r>
      <w:r>
        <w:rPr/>
        <w:t>）经药物治疗和胸腺切除治疗一年以上仍无法控制病情；</w:t>
      </w:r>
    </w:p>
    <w:p>
      <w:pPr>
        <w:pStyle w:val="BodyText"/>
        <w:spacing w:before="30"/>
      </w:pPr>
      <w:r>
        <w:rPr/>
        <w:t>（</w:t>
      </w:r>
      <w:r>
        <w:rPr>
          <w:rFonts w:ascii="Times New Roman" w:eastAsia="Times New Roman"/>
        </w:rPr>
        <w:t>2</w:t>
      </w:r>
      <w:r>
        <w:rPr/>
        <w:t>）自主生活能力完全丧失，无法独立完成六项基本日常生活活动中的三项或三项以上。</w:t>
      </w:r>
    </w:p>
    <w:p>
      <w:pPr>
        <w:pStyle w:val="BodyText"/>
        <w:spacing w:before="6"/>
        <w:ind w:left="0"/>
        <w:rPr>
          <w:sz w:val="26"/>
        </w:rPr>
      </w:pPr>
    </w:p>
    <w:p>
      <w:pPr>
        <w:pStyle w:val="BodyText"/>
        <w:spacing w:before="1"/>
      </w:pPr>
      <w:r>
        <w:rPr>
          <w:rFonts w:ascii="Times New Roman" w:eastAsia="Times New Roman"/>
        </w:rPr>
        <w:t>35</w:t>
      </w:r>
      <w:r>
        <w:rPr/>
        <w:t>、非阿尔茨海默病所致严重痴呆</w:t>
      </w:r>
    </w:p>
    <w:p>
      <w:pPr>
        <w:pStyle w:val="BodyText"/>
        <w:spacing w:line="276" w:lineRule="auto" w:before="31"/>
        <w:ind w:right="205"/>
      </w:pPr>
      <w:r>
        <w:rPr>
          <w:spacing w:val="-6"/>
        </w:rPr>
        <w:t>指因阿尔茨海默病以外的脑的器质性疾病造成脑功能衰竭导致永久不可逆性的严重痴呆，临床表现为明显</w:t>
      </w:r>
      <w:r>
        <w:rPr>
          <w:spacing w:val="-8"/>
        </w:rPr>
        <w:t>的认知能力障碍、行为异常和社交能力减退。被保险人自主生活能力完全丧失，无法独立完成六项基本日</w:t>
      </w:r>
    </w:p>
    <w:p>
      <w:pPr>
        <w:spacing w:after="0" w:line="276" w:lineRule="auto"/>
        <w:sectPr>
          <w:pgSz w:w="11910" w:h="16840"/>
          <w:pgMar w:header="0" w:footer="502" w:top="780" w:bottom="780" w:left="1020" w:right="920"/>
        </w:sectPr>
      </w:pPr>
    </w:p>
    <w:p>
      <w:pPr>
        <w:pStyle w:val="BodyText"/>
        <w:spacing w:line="280" w:lineRule="auto" w:before="60"/>
        <w:ind w:left="313" w:right="225"/>
      </w:pPr>
      <w:r>
        <w:rPr>
          <w:spacing w:val="-7"/>
        </w:rPr>
        <w:t>常生活活动中的三项或三项以上，日常生活必须持续受到他人监护。导致痴呆的疾病必须明确诊断，并且</w:t>
      </w:r>
      <w:r>
        <w:rPr>
          <w:spacing w:val="-6"/>
        </w:rPr>
        <w:t>由完整的临床、实验室和影像学检查结果证实。</w:t>
      </w:r>
    </w:p>
    <w:p>
      <w:pPr>
        <w:pStyle w:val="Heading1"/>
        <w:spacing w:line="310" w:lineRule="exact"/>
        <w:ind w:left="313"/>
      </w:pPr>
      <w:r>
        <w:rPr/>
        <w:t>神经官能症、精神疾病及酒精中毒所致脑损害不在保障范围内。</w:t>
      </w:r>
    </w:p>
    <w:p>
      <w:pPr>
        <w:pStyle w:val="BodyText"/>
        <w:spacing w:before="1"/>
        <w:ind w:left="0"/>
        <w:rPr>
          <w:rFonts w:ascii="Microsoft JhengHei"/>
          <w:b/>
          <w:sz w:val="20"/>
        </w:rPr>
      </w:pPr>
    </w:p>
    <w:p>
      <w:pPr>
        <w:pStyle w:val="BodyText"/>
        <w:spacing w:before="1"/>
        <w:ind w:left="313"/>
      </w:pPr>
      <w:r>
        <w:rPr>
          <w:rFonts w:ascii="Times New Roman" w:eastAsia="Times New Roman"/>
        </w:rPr>
        <w:t>36</w:t>
      </w:r>
      <w:r>
        <w:rPr/>
        <w:t>、经输血导致的艾滋病病毒感染</w:t>
      </w:r>
    </w:p>
    <w:p>
      <w:pPr>
        <w:pStyle w:val="BodyText"/>
        <w:spacing w:before="74"/>
        <w:ind w:left="313"/>
      </w:pPr>
      <w:r>
        <w:rPr/>
        <w:t>被保险人感染上艾滋病病毒（</w:t>
      </w:r>
      <w:r>
        <w:rPr>
          <w:rFonts w:ascii="Times New Roman" w:eastAsia="Times New Roman"/>
        </w:rPr>
        <w:t>HIV</w:t>
      </w:r>
      <w:r>
        <w:rPr/>
        <w:t>）并且符合下列所有条件：</w:t>
      </w:r>
    </w:p>
    <w:p>
      <w:pPr>
        <w:pStyle w:val="BodyText"/>
        <w:spacing w:before="63"/>
        <w:ind w:left="313"/>
      </w:pPr>
      <w:r>
        <w:rPr/>
        <w:t>（</w:t>
      </w:r>
      <w:r>
        <w:rPr>
          <w:rFonts w:ascii="Times New Roman" w:eastAsia="Times New Roman"/>
        </w:rPr>
        <w:t>1</w:t>
      </w:r>
      <w:r>
        <w:rPr/>
        <w:t>）在本合同生效日之后，被保险人因输血而感染 </w:t>
      </w:r>
      <w:r>
        <w:rPr>
          <w:rFonts w:ascii="Times New Roman" w:eastAsia="Times New Roman"/>
        </w:rPr>
        <w:t>HIV</w:t>
      </w:r>
      <w:r>
        <w:rPr/>
        <w:t>；</w:t>
      </w:r>
    </w:p>
    <w:p>
      <w:pPr>
        <w:pStyle w:val="BodyText"/>
        <w:spacing w:line="266" w:lineRule="auto" w:before="30"/>
        <w:ind w:left="855" w:right="235" w:hanging="543"/>
      </w:pPr>
      <w:r>
        <w:rPr/>
        <w:t>（</w:t>
      </w:r>
      <w:r>
        <w:rPr>
          <w:rFonts w:ascii="Times New Roman" w:eastAsia="Times New Roman"/>
        </w:rPr>
        <w:t>2</w:t>
      </w:r>
      <w:r>
        <w:rPr/>
        <w:t>）提供输血治疗的输血中心或医院出具该项输血感染属医疗责任事故的报告，或者法院终审裁定为医疗责任；</w:t>
      </w:r>
    </w:p>
    <w:p>
      <w:pPr>
        <w:pStyle w:val="BodyText"/>
        <w:spacing w:line="273" w:lineRule="exact" w:before="19"/>
        <w:ind w:left="313"/>
      </w:pPr>
      <w:r>
        <w:rPr/>
        <w:t>（</w:t>
      </w:r>
      <w:r>
        <w:rPr>
          <w:rFonts w:ascii="Times New Roman" w:eastAsia="Times New Roman"/>
        </w:rPr>
        <w:t>3</w:t>
      </w:r>
      <w:r>
        <w:rPr/>
        <w:t>）受感染的被保险人不是血友病患者。</w:t>
      </w:r>
    </w:p>
    <w:p>
      <w:pPr>
        <w:pStyle w:val="Heading1"/>
        <w:spacing w:line="326" w:lineRule="exact"/>
        <w:ind w:left="313"/>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spacing w:line="319"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AIDS</w:t>
      </w:r>
      <w:r>
        <w:rPr>
          <w:rFonts w:ascii="Microsoft JhengHei" w:eastAsia="Microsoft JhengHei" w:hint="eastAsia"/>
          <w:b/>
          <w:sz w:val="21"/>
        </w:rPr>
        <w:t>）发生的医疗方法被研究出来以后，本合同将不再予以赔付本项重大疾病保险金。</w:t>
      </w:r>
    </w:p>
    <w:p>
      <w:pPr>
        <w:spacing w:line="341"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任何因其他传播方式（包括且不限于：性传播或静脉注射毒品）导致的 </w:t>
      </w:r>
      <w:r>
        <w:rPr>
          <w:rFonts w:ascii="Times New Roman" w:eastAsia="Times New Roman"/>
          <w:b/>
          <w:sz w:val="21"/>
        </w:rPr>
        <w:t>HIV </w:t>
      </w:r>
      <w:r>
        <w:rPr>
          <w:rFonts w:ascii="Microsoft JhengHei" w:eastAsia="Microsoft JhengHei" w:hint="eastAsia"/>
          <w:b/>
          <w:sz w:val="21"/>
        </w:rPr>
        <w:t>感染不在保障范围内。</w:t>
      </w:r>
    </w:p>
    <w:p>
      <w:pPr>
        <w:pStyle w:val="BodyText"/>
        <w:spacing w:before="1"/>
        <w:ind w:left="0"/>
        <w:rPr>
          <w:rFonts w:ascii="Microsoft JhengHei"/>
          <w:b/>
          <w:sz w:val="15"/>
        </w:rPr>
      </w:pPr>
    </w:p>
    <w:p>
      <w:pPr>
        <w:pStyle w:val="BodyText"/>
        <w:spacing w:before="1"/>
        <w:ind w:left="313"/>
      </w:pPr>
      <w:r>
        <w:rPr>
          <w:rFonts w:ascii="Times New Roman" w:eastAsia="Times New Roman"/>
        </w:rPr>
        <w:t>37</w:t>
      </w:r>
      <w:r>
        <w:rPr/>
        <w:t>、因职业关系导致的艾滋病病毒感染</w:t>
      </w:r>
    </w:p>
    <w:p>
      <w:pPr>
        <w:pStyle w:val="BodyText"/>
        <w:spacing w:before="41"/>
        <w:ind w:left="313"/>
      </w:pPr>
      <w:r>
        <w:rPr>
          <w:spacing w:val="-5"/>
          <w:w w:val="100"/>
        </w:rPr>
        <w:t>被保险人在从事正常职业活动中感染艾滋病病毒</w:t>
      </w:r>
      <w:r>
        <w:rPr>
          <w:spacing w:val="1"/>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4"/>
          <w:w w:val="100"/>
        </w:rPr>
        <w:t>V</w:t>
      </w:r>
      <w:r>
        <w:rPr>
          <w:spacing w:val="-106"/>
          <w:w w:val="100"/>
        </w:rPr>
        <w:t>）</w:t>
      </w:r>
      <w:r>
        <w:rPr>
          <w:w w:val="100"/>
        </w:rPr>
        <w:t>，</w:t>
      </w:r>
      <w:r>
        <w:rPr/>
        <w:t> </w:t>
      </w:r>
      <w:r>
        <w:rPr>
          <w:spacing w:val="-2"/>
          <w:w w:val="100"/>
        </w:rPr>
        <w:t>并且证实满足下列全部条件：</w:t>
      </w:r>
    </w:p>
    <w:p>
      <w:pPr>
        <w:pStyle w:val="BodyText"/>
        <w:spacing w:line="300" w:lineRule="auto" w:before="74"/>
        <w:ind w:left="879" w:right="71" w:hanging="567"/>
      </w:pPr>
      <w:r>
        <w:rPr>
          <w:w w:val="100"/>
        </w:rPr>
        <w:t>（</w:t>
      </w:r>
      <w:r>
        <w:rPr>
          <w:rFonts w:ascii="Times New Roman" w:hAnsi="Times New Roman" w:eastAsia="Times New Roman"/>
          <w:w w:val="100"/>
        </w:rPr>
        <w:t>1</w:t>
      </w:r>
      <w:r>
        <w:rPr>
          <w:w w:val="100"/>
        </w:rPr>
        <w:t>）</w:t>
      </w:r>
      <w:r>
        <w:rPr>
          <w:spacing w:val="-4"/>
          <w:w w:val="100"/>
        </w:rPr>
        <w:t>导致感染艾滋病病毒的意外事件</w:t>
      </w:r>
      <w:r>
        <w:rPr>
          <w:spacing w:val="-5"/>
          <w:w w:val="100"/>
        </w:rPr>
        <w:t>（</w:t>
      </w:r>
      <w:r>
        <w:rPr>
          <w:spacing w:val="-2"/>
          <w:w w:val="100"/>
        </w:rPr>
        <w:t>以下简</w:t>
      </w:r>
      <w:r>
        <w:rPr>
          <w:w w:val="67"/>
        </w:rPr>
        <w:t>称“</w:t>
      </w:r>
      <w:r>
        <w:rPr>
          <w:spacing w:val="-3"/>
          <w:w w:val="100"/>
        </w:rPr>
        <w:t>意外事件</w:t>
      </w:r>
      <w:r>
        <w:rPr>
          <w:spacing w:val="-71"/>
          <w:w w:val="33"/>
        </w:rPr>
        <w:t>”</w:t>
      </w:r>
      <w:r>
        <w:rPr>
          <w:spacing w:val="-106"/>
          <w:w w:val="100"/>
        </w:rPr>
        <w:t>）</w:t>
      </w:r>
      <w:r>
        <w:rPr>
          <w:spacing w:val="-2"/>
          <w:w w:val="100"/>
        </w:rPr>
        <w:t>，必须在意外事件发生后</w:t>
      </w:r>
      <w:r>
        <w:rPr>
          <w:spacing w:val="-2"/>
        </w:rPr>
        <w:t> </w:t>
      </w:r>
      <w:r>
        <w:rPr>
          <w:rFonts w:ascii="Times New Roman" w:hAnsi="Times New Roman" w:eastAsia="Times New Roman"/>
          <w:spacing w:val="-5"/>
          <w:w w:val="100"/>
        </w:rPr>
        <w:t>3</w:t>
      </w:r>
      <w:r>
        <w:rPr>
          <w:rFonts w:ascii="Times New Roman" w:hAnsi="Times New Roman" w:eastAsia="Times New Roman"/>
          <w:w w:val="100"/>
        </w:rPr>
        <w:t>0</w:t>
      </w:r>
      <w:r>
        <w:rPr>
          <w:rFonts w:ascii="Times New Roman" w:hAnsi="Times New Roman" w:eastAsia="Times New Roman"/>
        </w:rPr>
        <w:t> </w:t>
      </w:r>
      <w:r>
        <w:rPr>
          <w:spacing w:val="-3"/>
          <w:w w:val="100"/>
        </w:rPr>
        <w:t>天内</w:t>
      </w:r>
      <w:r>
        <w:rPr>
          <w:w w:val="100"/>
        </w:rPr>
        <w:t>（含</w:t>
      </w:r>
      <w:r>
        <w:rPr/>
        <w:t> </w:t>
      </w:r>
      <w:r>
        <w:rPr>
          <w:rFonts w:ascii="Times New Roman" w:hAnsi="Times New Roman" w:eastAsia="Times New Roman"/>
          <w:spacing w:val="-5"/>
          <w:w w:val="100"/>
        </w:rPr>
        <w:t>3</w:t>
      </w:r>
      <w:r>
        <w:rPr>
          <w:rFonts w:ascii="Times New Roman" w:hAnsi="Times New Roman" w:eastAsia="Times New Roman"/>
          <w:w w:val="100"/>
        </w:rPr>
        <w:t>0</w:t>
      </w:r>
      <w:r>
        <w:rPr>
          <w:rFonts w:ascii="Times New Roman" w:hAnsi="Times New Roman" w:eastAsia="Times New Roman"/>
        </w:rPr>
        <w:t> </w:t>
      </w:r>
      <w:r>
        <w:rPr>
          <w:w w:val="100"/>
        </w:rPr>
        <w:t>天）</w:t>
      </w:r>
      <w:r>
        <w:rPr>
          <w:spacing w:val="-1"/>
        </w:rPr>
        <w:t>向本公司书面报告；</w:t>
      </w:r>
    </w:p>
    <w:p>
      <w:pPr>
        <w:pStyle w:val="BodyText"/>
        <w:spacing w:before="42"/>
        <w:ind w:left="313"/>
      </w:pPr>
      <w:r>
        <w:rPr/>
        <w:t>（</w:t>
      </w:r>
      <w:r>
        <w:rPr>
          <w:rFonts w:ascii="Times New Roman" w:eastAsia="Times New Roman"/>
        </w:rPr>
        <w:t>2</w:t>
      </w:r>
      <w:r>
        <w:rPr/>
        <w:t>）明确的导致意外事件的感染有艾滋病病毒液体的证据；</w:t>
      </w:r>
    </w:p>
    <w:p>
      <w:pPr>
        <w:pStyle w:val="BodyText"/>
        <w:spacing w:line="300" w:lineRule="auto" w:before="74"/>
        <w:ind w:left="879" w:right="227" w:hanging="567"/>
      </w:pPr>
      <w:r>
        <w:rPr>
          <w:spacing w:val="-7"/>
        </w:rPr>
        <w:t>（</w:t>
      </w:r>
      <w:r>
        <w:rPr>
          <w:rFonts w:ascii="Times New Roman" w:eastAsia="Times New Roman"/>
          <w:spacing w:val="-7"/>
        </w:rPr>
        <w:t>3</w:t>
      </w:r>
      <w:r>
        <w:rPr>
          <w:spacing w:val="-7"/>
        </w:rPr>
        <w:t>）</w:t>
      </w:r>
      <w:r>
        <w:rPr>
          <w:spacing w:val="-8"/>
        </w:rPr>
        <w:t>在书面报告意外事件后的 </w:t>
      </w:r>
      <w:r>
        <w:rPr>
          <w:rFonts w:ascii="Times New Roman" w:eastAsia="Times New Roman"/>
        </w:rPr>
        <w:t>180 </w:t>
      </w:r>
      <w:r>
        <w:rPr>
          <w:spacing w:val="-10"/>
        </w:rPr>
        <w:t>天内</w:t>
      </w:r>
      <w:r>
        <w:rPr>
          <w:spacing w:val="-5"/>
        </w:rPr>
        <w:t>（</w:t>
      </w:r>
      <w:r>
        <w:rPr>
          <w:spacing w:val="-24"/>
        </w:rPr>
        <w:t>含 </w:t>
      </w:r>
      <w:r>
        <w:rPr>
          <w:rFonts w:ascii="Times New Roman" w:eastAsia="Times New Roman"/>
        </w:rPr>
        <w:t>180 </w:t>
      </w:r>
      <w:r>
        <w:rPr>
          <w:spacing w:val="-5"/>
        </w:rPr>
        <w:t>天</w:t>
      </w:r>
      <w:r>
        <w:rPr>
          <w:spacing w:val="-25"/>
        </w:rPr>
        <w:t>）</w:t>
      </w:r>
      <w:r>
        <w:rPr>
          <w:spacing w:val="-11"/>
        </w:rPr>
        <w:t>出现血清 </w:t>
      </w:r>
      <w:r>
        <w:rPr>
          <w:rFonts w:ascii="Times New Roman" w:eastAsia="Times New Roman"/>
        </w:rPr>
        <w:t>HIV </w:t>
      </w:r>
      <w:r>
        <w:rPr>
          <w:spacing w:val="-8"/>
        </w:rPr>
        <w:t>阴性转变为 </w:t>
      </w:r>
      <w:r>
        <w:rPr>
          <w:rFonts w:ascii="Times New Roman" w:eastAsia="Times New Roman"/>
        </w:rPr>
        <w:t>HIV </w:t>
      </w:r>
      <w:r>
        <w:rPr>
          <w:spacing w:val="-5"/>
        </w:rPr>
        <w:t>阳性的证据，这个证</w:t>
      </w:r>
      <w:r>
        <w:rPr>
          <w:spacing w:val="-8"/>
        </w:rPr>
        <w:t>据必须包括一个意外事件发生后 </w:t>
      </w:r>
      <w:r>
        <w:rPr>
          <w:rFonts w:ascii="Times New Roman" w:eastAsia="Times New Roman"/>
        </w:rPr>
        <w:t>5 </w:t>
      </w:r>
      <w:r>
        <w:rPr>
          <w:spacing w:val="-3"/>
        </w:rPr>
        <w:t>天内</w:t>
      </w:r>
      <w:r>
        <w:rPr/>
        <w:t>（</w:t>
      </w:r>
      <w:r>
        <w:rPr>
          <w:spacing w:val="-15"/>
        </w:rPr>
        <w:t>含第 </w:t>
      </w:r>
      <w:r>
        <w:rPr>
          <w:rFonts w:ascii="Times New Roman" w:eastAsia="Times New Roman"/>
        </w:rPr>
        <w:t>5 </w:t>
      </w:r>
      <w:r>
        <w:rPr/>
        <w:t>天</w:t>
      </w:r>
      <w:r>
        <w:rPr>
          <w:spacing w:val="-3"/>
        </w:rPr>
        <w:t>）</w:t>
      </w:r>
      <w:r>
        <w:rPr>
          <w:rFonts w:ascii="Times New Roman" w:eastAsia="Times New Roman"/>
          <w:spacing w:val="-3"/>
        </w:rPr>
        <w:t>HIV</w:t>
      </w:r>
      <w:r>
        <w:rPr>
          <w:rFonts w:ascii="Times New Roman" w:eastAsia="Times New Roman"/>
          <w:spacing w:val="1"/>
        </w:rPr>
        <w:t>  </w:t>
      </w:r>
      <w:r>
        <w:rPr>
          <w:spacing w:val="-1"/>
        </w:rPr>
        <w:t>抗体阴性的检查报告。</w:t>
      </w:r>
    </w:p>
    <w:p>
      <w:pPr>
        <w:pStyle w:val="BodyText"/>
        <w:spacing w:before="16"/>
        <w:ind w:left="313"/>
      </w:pPr>
      <w:r>
        <w:rPr/>
        <w:t>意外事件发生后 </w:t>
      </w:r>
      <w:r>
        <w:rPr>
          <w:rFonts w:ascii="Times New Roman" w:eastAsia="Times New Roman"/>
        </w:rPr>
        <w:t>12 </w:t>
      </w:r>
      <w:r>
        <w:rPr/>
        <w:t>个月内需要进行进一步的血液检查以确认存在艾滋病病毒抗体。</w:t>
      </w:r>
    </w:p>
    <w:p>
      <w:pPr>
        <w:pStyle w:val="BodyText"/>
        <w:spacing w:line="319" w:lineRule="auto" w:before="79"/>
        <w:ind w:left="313" w:right="231"/>
      </w:pPr>
      <w:r>
        <w:rPr>
          <w:spacing w:val="-5"/>
        </w:rPr>
        <w:t>本公司仅在被保险人的职业为医生、护士、医学检验技师、救护车工作人员、医院护工、警察时承担此项保险责任。</w:t>
      </w:r>
    </w:p>
    <w:p>
      <w:pPr>
        <w:pStyle w:val="Heading1"/>
        <w:spacing w:line="288" w:lineRule="exact"/>
        <w:ind w:left="313"/>
      </w:pPr>
      <w:r>
        <w:rPr/>
        <w:t>在任何治愈艾滋病（</w:t>
      </w:r>
      <w:r>
        <w:rPr>
          <w:rFonts w:ascii="Times New Roman" w:eastAsia="Times New Roman"/>
        </w:rPr>
        <w:t>AIDS</w:t>
      </w:r>
      <w:r>
        <w:rPr/>
        <w:t>）或有效阻止艾滋病病毒（</w:t>
      </w:r>
      <w:r>
        <w:rPr>
          <w:rFonts w:ascii="Times New Roman" w:eastAsia="Times New Roman"/>
        </w:rPr>
        <w:t>HIV</w:t>
      </w:r>
      <w:r>
        <w:rPr/>
        <w:t>）作用的疗法被发现以后，或能有效防止艾滋病</w:t>
      </w:r>
    </w:p>
    <w:p>
      <w:pPr>
        <w:spacing w:line="319"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w:t>
      </w:r>
      <w:r>
        <w:rPr>
          <w:rFonts w:ascii="Times New Roman" w:eastAsia="Times New Roman"/>
          <w:b/>
          <w:sz w:val="21"/>
        </w:rPr>
        <w:t>AIDS</w:t>
      </w:r>
      <w:r>
        <w:rPr>
          <w:rFonts w:ascii="Microsoft JhengHei" w:eastAsia="Microsoft JhengHei" w:hint="eastAsia"/>
          <w:b/>
          <w:sz w:val="21"/>
        </w:rPr>
        <w:t>）发生的医疗方法被研究出来以后，本合同将不再予以赔付本项重大疾病保险金。</w:t>
      </w:r>
    </w:p>
    <w:p>
      <w:pPr>
        <w:spacing w:line="341" w:lineRule="exact" w:before="0"/>
        <w:ind w:left="313" w:right="0" w:firstLine="0"/>
        <w:jc w:val="left"/>
        <w:rPr>
          <w:rFonts w:ascii="Microsoft JhengHei" w:eastAsia="Microsoft JhengHei" w:hint="eastAsia"/>
          <w:b/>
          <w:sz w:val="21"/>
        </w:rPr>
      </w:pPr>
      <w:r>
        <w:rPr>
          <w:rFonts w:ascii="Microsoft JhengHei" w:eastAsia="Microsoft JhengHei" w:hint="eastAsia"/>
          <w:b/>
          <w:sz w:val="21"/>
        </w:rPr>
        <w:t>任何因其他传播方式（包括且不限于：性传播或静脉注射毒品）导致的 </w:t>
      </w:r>
      <w:r>
        <w:rPr>
          <w:rFonts w:ascii="Times New Roman" w:eastAsia="Times New Roman"/>
          <w:b/>
          <w:sz w:val="21"/>
        </w:rPr>
        <w:t>HIV </w:t>
      </w:r>
      <w:r>
        <w:rPr>
          <w:rFonts w:ascii="Microsoft JhengHei" w:eastAsia="Microsoft JhengHei" w:hint="eastAsia"/>
          <w:b/>
          <w:sz w:val="21"/>
        </w:rPr>
        <w:t>感染不在保障范围内。</w:t>
      </w:r>
    </w:p>
    <w:p>
      <w:pPr>
        <w:pStyle w:val="BodyText"/>
        <w:spacing w:before="1"/>
        <w:ind w:left="0"/>
        <w:rPr>
          <w:rFonts w:ascii="Microsoft JhengHei"/>
          <w:b/>
          <w:sz w:val="15"/>
        </w:rPr>
      </w:pPr>
    </w:p>
    <w:p>
      <w:pPr>
        <w:pStyle w:val="BodyText"/>
        <w:spacing w:before="1"/>
        <w:ind w:left="313"/>
      </w:pPr>
      <w:r>
        <w:rPr>
          <w:rFonts w:ascii="Times New Roman" w:eastAsia="Times New Roman"/>
        </w:rPr>
        <w:t>38</w:t>
      </w:r>
      <w:r>
        <w:rPr/>
        <w:t>、系统性红斑狼疮合并狼疮性肾炎</w:t>
      </w:r>
    </w:p>
    <w:p>
      <w:pPr>
        <w:pStyle w:val="BodyText"/>
        <w:spacing w:line="271" w:lineRule="auto" w:before="31"/>
        <w:ind w:left="313" w:right="222"/>
        <w:jc w:val="both"/>
      </w:pPr>
      <w:r>
        <w:rPr>
          <w:spacing w:val="-6"/>
        </w:rPr>
        <w:t>系统性红斑狼疮是一种累及多系统的自身免疫性疾病。本保障仅限于被保险人因系统性红斑狼疮并发狼疮</w:t>
      </w:r>
      <w:r>
        <w:rPr>
          <w:spacing w:val="-9"/>
        </w:rPr>
        <w:t>性肾炎并引起肾功能损害，且肾脏病理诊断符合以下列明的世界卫生组织</w:t>
      </w:r>
      <w:r>
        <w:rPr>
          <w:spacing w:val="-8"/>
        </w:rPr>
        <w:t>（</w:t>
      </w:r>
      <w:r>
        <w:rPr>
          <w:rFonts w:ascii="Times New Roman" w:eastAsia="Times New Roman"/>
          <w:spacing w:val="-8"/>
        </w:rPr>
        <w:t>WHO</w:t>
      </w:r>
      <w:r>
        <w:rPr>
          <w:spacing w:val="-8"/>
        </w:rPr>
        <w:t>）</w:t>
      </w:r>
      <w:r>
        <w:rPr>
          <w:spacing w:val="-3"/>
        </w:rPr>
        <w:t>对狼疮性肾炎所分类中</w:t>
      </w:r>
      <w:r>
        <w:rPr>
          <w:spacing w:val="-15"/>
        </w:rPr>
        <w:t>的第 </w:t>
      </w:r>
      <w:r>
        <w:rPr>
          <w:rFonts w:ascii="Times New Roman" w:eastAsia="Times New Roman"/>
          <w:spacing w:val="-4"/>
        </w:rPr>
        <w:t>III</w:t>
      </w:r>
      <w:r>
        <w:rPr/>
        <w:t>、</w:t>
      </w:r>
      <w:r>
        <w:rPr>
          <w:rFonts w:ascii="Times New Roman" w:eastAsia="Times New Roman"/>
        </w:rPr>
        <w:t>IV</w:t>
      </w:r>
      <w:r>
        <w:rPr/>
        <w:t>、</w:t>
      </w:r>
      <w:r>
        <w:rPr>
          <w:rFonts w:ascii="Times New Roman" w:eastAsia="Times New Roman"/>
          <w:spacing w:val="-4"/>
        </w:rPr>
        <w:t>V</w:t>
      </w:r>
      <w:r>
        <w:rPr>
          <w:spacing w:val="2"/>
        </w:rPr>
        <w:t>、</w:t>
      </w:r>
      <w:r>
        <w:rPr>
          <w:rFonts w:ascii="Times New Roman" w:eastAsia="Times New Roman"/>
        </w:rPr>
        <w:t>VI </w:t>
      </w:r>
      <w:r>
        <w:rPr>
          <w:spacing w:val="-3"/>
        </w:rPr>
        <w:t>型。诊断须由医疗机构的风湿病专科医生确认。</w:t>
      </w:r>
    </w:p>
    <w:p>
      <w:pPr>
        <w:pStyle w:val="BodyText"/>
        <w:spacing w:before="139"/>
        <w:ind w:left="313"/>
      </w:pPr>
      <w:r>
        <w:rPr/>
        <w:t>世界卫生组织（</w:t>
      </w:r>
      <w:r>
        <w:rPr>
          <w:rFonts w:ascii="Times New Roman" w:eastAsia="Times New Roman"/>
        </w:rPr>
        <w:t>WHO</w:t>
      </w:r>
      <w:r>
        <w:rPr/>
        <w:t>）对狼疮性肾炎的分类标准：</w:t>
      </w:r>
    </w:p>
    <w:p>
      <w:pPr>
        <w:pStyle w:val="BodyText"/>
        <w:spacing w:before="12"/>
        <w:ind w:left="0"/>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9"/>
        <w:gridCol w:w="2819"/>
      </w:tblGrid>
      <w:tr>
        <w:trPr>
          <w:trHeight w:val="453" w:hRule="atLeast"/>
        </w:trPr>
        <w:tc>
          <w:tcPr>
            <w:tcW w:w="1619" w:type="dxa"/>
          </w:tcPr>
          <w:p>
            <w:pPr>
              <w:pStyle w:val="TableParagraph"/>
              <w:spacing w:line="271" w:lineRule="exact"/>
              <w:ind w:left="200"/>
              <w:rPr>
                <w:sz w:val="21"/>
              </w:rPr>
            </w:pPr>
            <w:r>
              <w:rPr>
                <w:rFonts w:ascii="Times New Roman" w:eastAsia="Times New Roman"/>
                <w:sz w:val="21"/>
              </w:rPr>
              <w:t>I </w:t>
            </w:r>
            <w:r>
              <w:rPr>
                <w:sz w:val="21"/>
              </w:rPr>
              <w:t>型</w:t>
            </w:r>
          </w:p>
        </w:tc>
        <w:tc>
          <w:tcPr>
            <w:tcW w:w="2819" w:type="dxa"/>
          </w:tcPr>
          <w:p>
            <w:pPr>
              <w:pStyle w:val="TableParagraph"/>
              <w:spacing w:line="255" w:lineRule="exact"/>
              <w:ind w:left="938"/>
              <w:rPr>
                <w:sz w:val="21"/>
              </w:rPr>
            </w:pPr>
            <w:r>
              <w:rPr>
                <w:sz w:val="21"/>
              </w:rPr>
              <w:t>微小病变型</w:t>
            </w:r>
          </w:p>
        </w:tc>
      </w:tr>
      <w:tr>
        <w:trPr>
          <w:trHeight w:val="623" w:hRule="atLeast"/>
        </w:trPr>
        <w:tc>
          <w:tcPr>
            <w:tcW w:w="1619" w:type="dxa"/>
          </w:tcPr>
          <w:p>
            <w:pPr>
              <w:pStyle w:val="TableParagraph"/>
              <w:spacing w:before="151"/>
              <w:ind w:left="200"/>
              <w:rPr>
                <w:sz w:val="21"/>
              </w:rPr>
            </w:pPr>
            <w:r>
              <w:rPr>
                <w:rFonts w:ascii="Times New Roman" w:eastAsia="Times New Roman"/>
                <w:sz w:val="21"/>
              </w:rPr>
              <w:t>II </w:t>
            </w:r>
            <w:r>
              <w:rPr>
                <w:sz w:val="21"/>
              </w:rPr>
              <w:t>型</w:t>
            </w:r>
          </w:p>
        </w:tc>
        <w:tc>
          <w:tcPr>
            <w:tcW w:w="2819" w:type="dxa"/>
          </w:tcPr>
          <w:p>
            <w:pPr>
              <w:pStyle w:val="TableParagraph"/>
              <w:spacing w:before="151"/>
              <w:ind w:left="938"/>
              <w:rPr>
                <w:sz w:val="21"/>
              </w:rPr>
            </w:pPr>
            <w:r>
              <w:rPr>
                <w:sz w:val="21"/>
              </w:rPr>
              <w:t>系膜病变型</w:t>
            </w:r>
          </w:p>
        </w:tc>
      </w:tr>
      <w:tr>
        <w:trPr>
          <w:trHeight w:val="624" w:hRule="atLeast"/>
        </w:trPr>
        <w:tc>
          <w:tcPr>
            <w:tcW w:w="1619" w:type="dxa"/>
          </w:tcPr>
          <w:p>
            <w:pPr>
              <w:pStyle w:val="TableParagraph"/>
              <w:spacing w:before="151"/>
              <w:ind w:left="200"/>
              <w:rPr>
                <w:sz w:val="21"/>
              </w:rPr>
            </w:pPr>
            <w:r>
              <w:rPr>
                <w:rFonts w:ascii="Times New Roman" w:eastAsia="Times New Roman"/>
                <w:sz w:val="21"/>
              </w:rPr>
              <w:t>III </w:t>
            </w:r>
            <w:r>
              <w:rPr>
                <w:sz w:val="21"/>
              </w:rPr>
              <w:t>型</w:t>
            </w:r>
          </w:p>
        </w:tc>
        <w:tc>
          <w:tcPr>
            <w:tcW w:w="2819" w:type="dxa"/>
          </w:tcPr>
          <w:p>
            <w:pPr>
              <w:pStyle w:val="TableParagraph"/>
              <w:spacing w:before="151"/>
              <w:ind w:left="938"/>
              <w:rPr>
                <w:sz w:val="21"/>
              </w:rPr>
            </w:pPr>
            <w:r>
              <w:rPr>
                <w:sz w:val="21"/>
              </w:rPr>
              <w:t>局灶及节段增生型</w:t>
            </w:r>
          </w:p>
        </w:tc>
      </w:tr>
      <w:tr>
        <w:trPr>
          <w:trHeight w:val="624" w:hRule="atLeast"/>
        </w:trPr>
        <w:tc>
          <w:tcPr>
            <w:tcW w:w="1619" w:type="dxa"/>
          </w:tcPr>
          <w:p>
            <w:pPr>
              <w:pStyle w:val="TableParagraph"/>
              <w:spacing w:before="151"/>
              <w:ind w:left="200"/>
              <w:rPr>
                <w:sz w:val="21"/>
              </w:rPr>
            </w:pPr>
            <w:r>
              <w:rPr>
                <w:rFonts w:ascii="Times New Roman" w:eastAsia="Times New Roman"/>
                <w:sz w:val="21"/>
              </w:rPr>
              <w:t>IV </w:t>
            </w:r>
            <w:r>
              <w:rPr>
                <w:sz w:val="21"/>
              </w:rPr>
              <w:t>型</w:t>
            </w:r>
          </w:p>
        </w:tc>
        <w:tc>
          <w:tcPr>
            <w:tcW w:w="2819" w:type="dxa"/>
          </w:tcPr>
          <w:p>
            <w:pPr>
              <w:pStyle w:val="TableParagraph"/>
              <w:spacing w:before="151"/>
              <w:ind w:left="938"/>
              <w:rPr>
                <w:sz w:val="21"/>
              </w:rPr>
            </w:pPr>
            <w:r>
              <w:rPr>
                <w:sz w:val="21"/>
              </w:rPr>
              <w:t>弥漫增生型</w:t>
            </w:r>
          </w:p>
        </w:tc>
      </w:tr>
      <w:tr>
        <w:trPr>
          <w:trHeight w:val="624" w:hRule="atLeast"/>
        </w:trPr>
        <w:tc>
          <w:tcPr>
            <w:tcW w:w="1619" w:type="dxa"/>
          </w:tcPr>
          <w:p>
            <w:pPr>
              <w:pStyle w:val="TableParagraph"/>
              <w:spacing w:before="151"/>
              <w:ind w:left="200"/>
              <w:rPr>
                <w:sz w:val="21"/>
              </w:rPr>
            </w:pPr>
            <w:r>
              <w:rPr>
                <w:rFonts w:ascii="Times New Roman" w:eastAsia="Times New Roman"/>
                <w:sz w:val="21"/>
              </w:rPr>
              <w:t>V </w:t>
            </w:r>
            <w:r>
              <w:rPr>
                <w:sz w:val="21"/>
              </w:rPr>
              <w:t>型</w:t>
            </w:r>
          </w:p>
        </w:tc>
        <w:tc>
          <w:tcPr>
            <w:tcW w:w="2819" w:type="dxa"/>
          </w:tcPr>
          <w:p>
            <w:pPr>
              <w:pStyle w:val="TableParagraph"/>
              <w:spacing w:before="151"/>
              <w:ind w:left="938"/>
              <w:rPr>
                <w:sz w:val="21"/>
              </w:rPr>
            </w:pPr>
            <w:r>
              <w:rPr>
                <w:sz w:val="21"/>
              </w:rPr>
              <w:t>膜型</w:t>
            </w:r>
          </w:p>
        </w:tc>
      </w:tr>
      <w:tr>
        <w:trPr>
          <w:trHeight w:val="453" w:hRule="atLeast"/>
        </w:trPr>
        <w:tc>
          <w:tcPr>
            <w:tcW w:w="1619" w:type="dxa"/>
          </w:tcPr>
          <w:p>
            <w:pPr>
              <w:pStyle w:val="TableParagraph"/>
              <w:spacing w:line="283" w:lineRule="exact" w:before="151"/>
              <w:ind w:left="200"/>
              <w:rPr>
                <w:sz w:val="21"/>
              </w:rPr>
            </w:pPr>
            <w:r>
              <w:rPr>
                <w:rFonts w:ascii="Times New Roman" w:eastAsia="Times New Roman"/>
                <w:sz w:val="21"/>
              </w:rPr>
              <w:t>VI </w:t>
            </w:r>
            <w:r>
              <w:rPr>
                <w:sz w:val="21"/>
              </w:rPr>
              <w:t>型</w:t>
            </w:r>
          </w:p>
        </w:tc>
        <w:tc>
          <w:tcPr>
            <w:tcW w:w="2819" w:type="dxa"/>
          </w:tcPr>
          <w:p>
            <w:pPr>
              <w:pStyle w:val="TableParagraph"/>
              <w:spacing w:before="151"/>
              <w:ind w:left="938"/>
              <w:rPr>
                <w:sz w:val="21"/>
              </w:rPr>
            </w:pPr>
            <w:r>
              <w:rPr>
                <w:sz w:val="21"/>
              </w:rPr>
              <w:t>肾小球硬化型</w:t>
            </w:r>
          </w:p>
        </w:tc>
      </w:tr>
    </w:tbl>
    <w:p>
      <w:pPr>
        <w:spacing w:after="0"/>
        <w:rPr>
          <w:sz w:val="21"/>
        </w:rPr>
        <w:sectPr>
          <w:pgSz w:w="11910" w:h="16840"/>
          <w:pgMar w:header="0" w:footer="502" w:top="780" w:bottom="780" w:left="820" w:right="900"/>
        </w:sectPr>
      </w:pPr>
    </w:p>
    <w:p>
      <w:pPr>
        <w:pStyle w:val="Heading1"/>
        <w:tabs>
          <w:tab w:pos="1576" w:val="left" w:leader="none"/>
        </w:tabs>
        <w:spacing w:before="17"/>
        <w:ind w:left="313"/>
        <w:rPr>
          <w:rFonts w:ascii="黑体" w:eastAsia="黑体" w:hint="eastAsia"/>
        </w:rPr>
      </w:pPr>
      <w:r>
        <w:rPr>
          <w:rFonts w:ascii="黑体" w:eastAsia="黑体" w:hint="eastAsia"/>
        </w:rPr>
        <w:t>第二十一条</w:t>
        <w:tab/>
        <w:t>其他名词的释义</w:t>
      </w:r>
    </w:p>
    <w:p>
      <w:pPr>
        <w:pStyle w:val="BodyText"/>
        <w:spacing w:before="7"/>
        <w:ind w:left="0"/>
        <w:rPr>
          <w:rFonts w:ascii="黑体"/>
          <w:b/>
          <w:sz w:val="22"/>
        </w:rPr>
      </w:pPr>
    </w:p>
    <w:p>
      <w:pPr>
        <w:pStyle w:val="BodyText"/>
        <w:spacing w:before="1"/>
        <w:ind w:left="313"/>
      </w:pPr>
      <w:r>
        <w:rPr/>
        <w:t>本合同中具有特定含义的名词，其定义如下：</w:t>
      </w:r>
    </w:p>
    <w:p>
      <w:pPr>
        <w:pStyle w:val="BodyText"/>
        <w:spacing w:before="8"/>
        <w:ind w:left="0"/>
        <w:rPr>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318"/>
        <w:gridCol w:w="8545"/>
      </w:tblGrid>
      <w:tr>
        <w:trPr>
          <w:trHeight w:val="622" w:hRule="atLeast"/>
        </w:trPr>
        <w:tc>
          <w:tcPr>
            <w:tcW w:w="1537" w:type="dxa"/>
          </w:tcPr>
          <w:p>
            <w:pPr>
              <w:pStyle w:val="TableParagraph"/>
              <w:spacing w:line="255" w:lineRule="exact"/>
              <w:ind w:left="200"/>
              <w:rPr>
                <w:sz w:val="21"/>
              </w:rPr>
            </w:pPr>
            <w:r>
              <w:rPr>
                <w:sz w:val="21"/>
              </w:rPr>
              <w:t>意外伤害</w:t>
            </w:r>
          </w:p>
        </w:tc>
        <w:tc>
          <w:tcPr>
            <w:tcW w:w="318" w:type="dxa"/>
          </w:tcPr>
          <w:p>
            <w:pPr>
              <w:pStyle w:val="TableParagraph"/>
              <w:spacing w:line="255" w:lineRule="exact"/>
              <w:ind w:left="0" w:right="3"/>
              <w:jc w:val="center"/>
              <w:rPr>
                <w:sz w:val="21"/>
              </w:rPr>
            </w:pPr>
            <w:r>
              <w:rPr>
                <w:w w:val="100"/>
                <w:sz w:val="21"/>
              </w:rPr>
              <w:t>：</w:t>
            </w:r>
          </w:p>
        </w:tc>
        <w:tc>
          <w:tcPr>
            <w:tcW w:w="8545" w:type="dxa"/>
          </w:tcPr>
          <w:p>
            <w:pPr>
              <w:pStyle w:val="TableParagraph"/>
              <w:spacing w:line="255" w:lineRule="exact"/>
              <w:rPr>
                <w:sz w:val="21"/>
              </w:rPr>
            </w:pPr>
            <w:r>
              <w:rPr>
                <w:sz w:val="21"/>
              </w:rPr>
              <w:t>指因外来的、突发的、非本意的、非疾病的客观事件为直接且单独的原因导致身体受到的</w:t>
            </w:r>
          </w:p>
          <w:p>
            <w:pPr>
              <w:pStyle w:val="TableParagraph"/>
              <w:spacing w:before="47"/>
              <w:rPr>
                <w:sz w:val="21"/>
              </w:rPr>
            </w:pPr>
            <w:r>
              <w:rPr>
                <w:sz w:val="21"/>
              </w:rPr>
              <w:t>伤害。</w:t>
            </w:r>
          </w:p>
        </w:tc>
      </w:tr>
      <w:tr>
        <w:trPr>
          <w:trHeight w:val="2628" w:hRule="atLeast"/>
        </w:trPr>
        <w:tc>
          <w:tcPr>
            <w:tcW w:w="1537" w:type="dxa"/>
          </w:tcPr>
          <w:p>
            <w:pPr>
              <w:pStyle w:val="TableParagraph"/>
              <w:spacing w:line="272" w:lineRule="exact"/>
              <w:ind w:left="200"/>
              <w:rPr>
                <w:sz w:val="21"/>
              </w:rPr>
            </w:pPr>
            <w:r>
              <w:rPr>
                <w:sz w:val="21"/>
              </w:rPr>
              <w:t>医疗机构</w:t>
            </w:r>
          </w:p>
        </w:tc>
        <w:tc>
          <w:tcPr>
            <w:tcW w:w="318" w:type="dxa"/>
          </w:tcPr>
          <w:p>
            <w:pPr>
              <w:pStyle w:val="TableParagraph"/>
              <w:spacing w:line="272" w:lineRule="exact"/>
              <w:ind w:left="0" w:right="3"/>
              <w:jc w:val="center"/>
              <w:rPr>
                <w:sz w:val="21"/>
              </w:rPr>
            </w:pPr>
            <w:r>
              <w:rPr>
                <w:w w:val="100"/>
                <w:sz w:val="21"/>
              </w:rPr>
              <w:t>：</w:t>
            </w:r>
          </w:p>
        </w:tc>
        <w:tc>
          <w:tcPr>
            <w:tcW w:w="8545" w:type="dxa"/>
          </w:tcPr>
          <w:p>
            <w:pPr>
              <w:pStyle w:val="TableParagraph"/>
              <w:spacing w:before="7"/>
              <w:rPr>
                <w:sz w:val="21"/>
              </w:rPr>
            </w:pPr>
            <w:r>
              <w:rPr>
                <w:sz w:val="21"/>
              </w:rPr>
              <w:t>符合下列所有条件的机构：</w:t>
            </w:r>
          </w:p>
          <w:p>
            <w:pPr>
              <w:pStyle w:val="TableParagraph"/>
              <w:spacing w:line="249" w:lineRule="auto" w:before="90"/>
              <w:ind w:right="199"/>
              <w:rPr>
                <w:rFonts w:ascii="Microsoft JhengHei" w:eastAsia="Microsoft JhengHei" w:hint="eastAsia"/>
                <w:b/>
                <w:sz w:val="21"/>
              </w:rPr>
            </w:pPr>
            <w:r>
              <w:rPr>
                <w:spacing w:val="-9"/>
                <w:sz w:val="21"/>
              </w:rPr>
              <w:t>（1）</w:t>
            </w:r>
            <w:r>
              <w:rPr>
                <w:spacing w:val="-5"/>
                <w:sz w:val="21"/>
              </w:rPr>
              <w:t>经国家级医疗卫生行政管理部门批准的有合法经营执照的二级或二级以上综合性的医</w:t>
            </w:r>
            <w:r>
              <w:rPr>
                <w:spacing w:val="-9"/>
                <w:sz w:val="21"/>
              </w:rPr>
              <w:t>院和专科医院</w:t>
            </w:r>
            <w:r>
              <w:rPr>
                <w:rFonts w:ascii="Microsoft JhengHei" w:eastAsia="Microsoft JhengHei" w:hint="eastAsia"/>
                <w:b/>
                <w:sz w:val="21"/>
              </w:rPr>
              <w:t>（</w:t>
            </w:r>
            <w:r>
              <w:rPr>
                <w:rFonts w:ascii="Microsoft JhengHei" w:eastAsia="Microsoft JhengHei" w:hint="eastAsia"/>
                <w:b/>
                <w:spacing w:val="-2"/>
                <w:sz w:val="21"/>
              </w:rPr>
              <w:t>前述医院和专科医院中的门</w:t>
            </w:r>
            <w:r>
              <w:rPr>
                <w:rFonts w:ascii="Microsoft JhengHei" w:eastAsia="Microsoft JhengHei" w:hint="eastAsia"/>
                <w:b/>
                <w:sz w:val="21"/>
              </w:rPr>
              <w:t>/</w:t>
            </w:r>
            <w:r>
              <w:rPr>
                <w:rFonts w:ascii="Microsoft JhengHei" w:eastAsia="Microsoft JhengHei" w:hint="eastAsia"/>
                <w:b/>
                <w:spacing w:val="-8"/>
                <w:sz w:val="21"/>
              </w:rPr>
              <w:t>急诊观察室、家庭病床、联合病房、临时病房</w:t>
            </w:r>
            <w:r>
              <w:rPr>
                <w:rFonts w:ascii="Microsoft JhengHei" w:eastAsia="Microsoft JhengHei" w:hint="eastAsia"/>
                <w:b/>
                <w:spacing w:val="-8"/>
                <w:w w:val="100"/>
                <w:sz w:val="21"/>
              </w:rPr>
              <w:t>康复病房除外</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TableParagraph"/>
              <w:spacing w:before="118"/>
              <w:rPr>
                <w:rFonts w:ascii="Microsoft JhengHei" w:eastAsia="Microsoft JhengHei" w:hint="eastAsia"/>
                <w:b/>
                <w:sz w:val="21"/>
              </w:rPr>
            </w:pPr>
            <w:r>
              <w:rPr>
                <w:sz w:val="21"/>
              </w:rPr>
              <w:t>（2）</w:t>
            </w:r>
            <w:r>
              <w:rPr>
                <w:rFonts w:ascii="Microsoft JhengHei" w:eastAsia="Microsoft JhengHei" w:hint="eastAsia"/>
                <w:b/>
                <w:sz w:val="21"/>
              </w:rPr>
              <w:t>不包括精神病院、私人诊所，以及作为康复、疗养、护理、戒酒、戒毒或类似的医疗</w:t>
            </w:r>
          </w:p>
          <w:p>
            <w:pPr>
              <w:pStyle w:val="TableParagraph"/>
              <w:spacing w:before="9"/>
              <w:ind w:left="0"/>
              <w:rPr>
                <w:sz w:val="19"/>
              </w:rPr>
            </w:pPr>
          </w:p>
          <w:p>
            <w:pPr>
              <w:pStyle w:val="TableParagraph"/>
              <w:rPr>
                <w:rFonts w:ascii="Microsoft JhengHei" w:eastAsia="Microsoft JhengHei" w:hint="eastAsia"/>
                <w:b/>
                <w:sz w:val="21"/>
              </w:rPr>
            </w:pPr>
            <w:r>
              <w:rPr>
                <w:rFonts w:ascii="Microsoft JhengHei" w:eastAsia="Microsoft JhengHei" w:hint="eastAsia"/>
                <w:b/>
                <w:sz w:val="21"/>
              </w:rPr>
              <w:t>机构。</w:t>
            </w:r>
          </w:p>
        </w:tc>
      </w:tr>
      <w:tr>
        <w:trPr>
          <w:trHeight w:val="1683" w:hRule="atLeast"/>
        </w:trPr>
        <w:tc>
          <w:tcPr>
            <w:tcW w:w="1537" w:type="dxa"/>
          </w:tcPr>
          <w:p>
            <w:pPr>
              <w:pStyle w:val="TableParagraph"/>
              <w:spacing w:before="81"/>
              <w:ind w:left="200"/>
              <w:rPr>
                <w:sz w:val="21"/>
              </w:rPr>
            </w:pPr>
            <w:r>
              <w:rPr>
                <w:sz w:val="21"/>
              </w:rPr>
              <w:t>专科医生</w:t>
            </w:r>
          </w:p>
        </w:tc>
        <w:tc>
          <w:tcPr>
            <w:tcW w:w="318" w:type="dxa"/>
          </w:tcPr>
          <w:p>
            <w:pPr>
              <w:pStyle w:val="TableParagraph"/>
              <w:spacing w:before="81"/>
              <w:ind w:left="0" w:right="3"/>
              <w:jc w:val="center"/>
              <w:rPr>
                <w:sz w:val="21"/>
              </w:rPr>
            </w:pPr>
            <w:r>
              <w:rPr>
                <w:w w:val="100"/>
                <w:sz w:val="21"/>
              </w:rPr>
              <w:t>：</w:t>
            </w:r>
          </w:p>
        </w:tc>
        <w:tc>
          <w:tcPr>
            <w:tcW w:w="8545" w:type="dxa"/>
          </w:tcPr>
          <w:p>
            <w:pPr>
              <w:pStyle w:val="TableParagraph"/>
              <w:spacing w:before="81"/>
              <w:rPr>
                <w:sz w:val="21"/>
              </w:rPr>
            </w:pPr>
            <w:r>
              <w:rPr>
                <w:sz w:val="21"/>
              </w:rPr>
              <w:t>专科医生应当同时满足以下四项资格条件：</w:t>
            </w:r>
          </w:p>
          <w:p>
            <w:pPr>
              <w:pStyle w:val="TableParagraph"/>
              <w:spacing w:before="47"/>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26"/>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31"/>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31"/>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960" w:hRule="atLeast"/>
        </w:trPr>
        <w:tc>
          <w:tcPr>
            <w:tcW w:w="1537" w:type="dxa"/>
          </w:tcPr>
          <w:p>
            <w:pPr>
              <w:pStyle w:val="TableParagraph"/>
              <w:spacing w:line="272" w:lineRule="exact"/>
              <w:ind w:left="200"/>
              <w:rPr>
                <w:sz w:val="21"/>
              </w:rPr>
            </w:pPr>
            <w:r>
              <w:rPr>
                <w:sz w:val="21"/>
              </w:rPr>
              <w:t>毒品</w:t>
            </w:r>
          </w:p>
        </w:tc>
        <w:tc>
          <w:tcPr>
            <w:tcW w:w="318" w:type="dxa"/>
          </w:tcPr>
          <w:p>
            <w:pPr>
              <w:pStyle w:val="TableParagraph"/>
              <w:spacing w:line="272" w:lineRule="exact"/>
              <w:ind w:left="0" w:right="3"/>
              <w:jc w:val="center"/>
              <w:rPr>
                <w:sz w:val="21"/>
              </w:rPr>
            </w:pPr>
            <w:r>
              <w:rPr>
                <w:w w:val="100"/>
                <w:sz w:val="21"/>
              </w:rPr>
              <w:t>：</w:t>
            </w:r>
          </w:p>
        </w:tc>
        <w:tc>
          <w:tcPr>
            <w:tcW w:w="8545" w:type="dxa"/>
          </w:tcPr>
          <w:p>
            <w:pPr>
              <w:pStyle w:val="TableParagraph"/>
              <w:spacing w:line="272" w:lineRule="exact"/>
              <w:rPr>
                <w:sz w:val="21"/>
              </w:rPr>
            </w:pPr>
            <w:r>
              <w:rPr>
                <w:spacing w:val="-5"/>
                <w:sz w:val="21"/>
              </w:rPr>
              <w:t>指中华人民共和国刑法规定的鸦片、海洛因、甲基苯丙胺</w:t>
            </w:r>
            <w:r>
              <w:rPr>
                <w:sz w:val="21"/>
              </w:rPr>
              <w:t>（</w:t>
            </w:r>
            <w:r>
              <w:rPr>
                <w:spacing w:val="-3"/>
                <w:sz w:val="21"/>
              </w:rPr>
              <w:t>冰毒</w:t>
            </w:r>
            <w:r>
              <w:rPr>
                <w:spacing w:val="-111"/>
                <w:sz w:val="21"/>
              </w:rPr>
              <w:t>）</w:t>
            </w:r>
            <w:r>
              <w:rPr>
                <w:spacing w:val="-4"/>
                <w:sz w:val="21"/>
              </w:rPr>
              <w:t>、吗啡、大麻、可卡因以</w:t>
            </w:r>
          </w:p>
          <w:p>
            <w:pPr>
              <w:pStyle w:val="TableParagraph"/>
              <w:spacing w:line="320" w:lineRule="atLeast" w:before="2"/>
              <w:ind w:right="205"/>
              <w:rPr>
                <w:sz w:val="21"/>
              </w:rPr>
            </w:pPr>
            <w:r>
              <w:rPr>
                <w:sz w:val="21"/>
              </w:rPr>
              <w:t>及国家规定管制的其他能够使人形成瘾癖的麻醉药品和精神药品，但不包括由医生开具并遵医嘱使用的用于治疗疾病但含有毒品成分的处方药品。</w:t>
            </w:r>
          </w:p>
        </w:tc>
      </w:tr>
      <w:tr>
        <w:trPr>
          <w:trHeight w:val="960" w:hRule="atLeast"/>
        </w:trPr>
        <w:tc>
          <w:tcPr>
            <w:tcW w:w="1537" w:type="dxa"/>
          </w:tcPr>
          <w:p>
            <w:pPr>
              <w:pStyle w:val="TableParagraph"/>
              <w:spacing w:line="272" w:lineRule="exact"/>
              <w:ind w:left="200"/>
              <w:rPr>
                <w:sz w:val="21"/>
              </w:rPr>
            </w:pPr>
            <w:r>
              <w:rPr>
                <w:sz w:val="21"/>
              </w:rPr>
              <w:t>酒后驾驶</w:t>
            </w:r>
          </w:p>
        </w:tc>
        <w:tc>
          <w:tcPr>
            <w:tcW w:w="318" w:type="dxa"/>
          </w:tcPr>
          <w:p>
            <w:pPr>
              <w:pStyle w:val="TableParagraph"/>
              <w:spacing w:line="272" w:lineRule="exact"/>
              <w:ind w:left="0" w:right="3"/>
              <w:jc w:val="center"/>
              <w:rPr>
                <w:sz w:val="21"/>
              </w:rPr>
            </w:pPr>
            <w:r>
              <w:rPr>
                <w:w w:val="100"/>
                <w:sz w:val="21"/>
              </w:rPr>
              <w:t>：</w:t>
            </w:r>
          </w:p>
        </w:tc>
        <w:tc>
          <w:tcPr>
            <w:tcW w:w="8545" w:type="dxa"/>
          </w:tcPr>
          <w:p>
            <w:pPr>
              <w:pStyle w:val="TableParagraph"/>
              <w:spacing w:line="280" w:lineRule="auto"/>
              <w:ind w:right="205"/>
              <w:rPr>
                <w:sz w:val="21"/>
              </w:rPr>
            </w:pPr>
            <w:r>
              <w:rPr>
                <w:sz w:val="21"/>
              </w:rPr>
              <w:t>指经检测或鉴定，发生事故时车辆驾驶人员每百毫升血液中的酒精含量达到或超过一定的标准，公安机关交通管理部门依据《道路交通安全法》的规定认定为饮酒后驾驶或醉酒后</w:t>
            </w:r>
          </w:p>
          <w:p>
            <w:pPr>
              <w:pStyle w:val="TableParagraph"/>
              <w:spacing w:before="13"/>
              <w:rPr>
                <w:sz w:val="21"/>
              </w:rPr>
            </w:pPr>
            <w:r>
              <w:rPr>
                <w:sz w:val="21"/>
              </w:rPr>
              <w:t>驾驶。</w:t>
            </w:r>
          </w:p>
        </w:tc>
      </w:tr>
      <w:tr>
        <w:trPr>
          <w:trHeight w:val="1601" w:hRule="atLeast"/>
        </w:trPr>
        <w:tc>
          <w:tcPr>
            <w:tcW w:w="1537" w:type="dxa"/>
          </w:tcPr>
          <w:p>
            <w:pPr>
              <w:pStyle w:val="TableParagraph"/>
              <w:spacing w:line="280" w:lineRule="auto"/>
              <w:ind w:left="200" w:right="49"/>
              <w:rPr>
                <w:sz w:val="21"/>
              </w:rPr>
            </w:pPr>
            <w:r>
              <w:rPr>
                <w:sz w:val="21"/>
              </w:rPr>
              <w:t>无合法有效驾驶证驾驶</w:t>
            </w:r>
          </w:p>
        </w:tc>
        <w:tc>
          <w:tcPr>
            <w:tcW w:w="318" w:type="dxa"/>
          </w:tcPr>
          <w:p>
            <w:pPr>
              <w:pStyle w:val="TableParagraph"/>
              <w:spacing w:line="272" w:lineRule="exact"/>
              <w:ind w:left="0" w:right="3"/>
              <w:jc w:val="center"/>
              <w:rPr>
                <w:sz w:val="21"/>
              </w:rPr>
            </w:pPr>
            <w:r>
              <w:rPr>
                <w:w w:val="100"/>
                <w:sz w:val="21"/>
              </w:rPr>
              <w:t>：</w:t>
            </w:r>
          </w:p>
        </w:tc>
        <w:tc>
          <w:tcPr>
            <w:tcW w:w="8545" w:type="dxa"/>
          </w:tcPr>
          <w:p>
            <w:pPr>
              <w:pStyle w:val="TableParagraph"/>
              <w:spacing w:line="272" w:lineRule="exact"/>
              <w:rPr>
                <w:sz w:val="21"/>
              </w:rPr>
            </w:pPr>
            <w:r>
              <w:rPr>
                <w:sz w:val="21"/>
              </w:rPr>
              <w:t>指下列情形之一：</w:t>
            </w:r>
          </w:p>
          <w:p>
            <w:pPr>
              <w:pStyle w:val="TableParagraph"/>
              <w:spacing w:before="46"/>
              <w:rPr>
                <w:sz w:val="21"/>
              </w:rPr>
            </w:pPr>
            <w:r>
              <w:rPr>
                <w:sz w:val="21"/>
              </w:rPr>
              <w:t>（</w:t>
            </w:r>
            <w:r>
              <w:rPr>
                <w:rFonts w:ascii="Times New Roman" w:eastAsia="Times New Roman"/>
                <w:sz w:val="21"/>
              </w:rPr>
              <w:t>1</w:t>
            </w:r>
            <w:r>
              <w:rPr>
                <w:sz w:val="21"/>
              </w:rPr>
              <w:t>）没有取得驾驶资格；</w:t>
            </w:r>
          </w:p>
          <w:p>
            <w:pPr>
              <w:pStyle w:val="TableParagraph"/>
              <w:spacing w:before="30"/>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6"/>
              <w:rPr>
                <w:sz w:val="21"/>
              </w:rPr>
            </w:pPr>
            <w:r>
              <w:rPr>
                <w:sz w:val="21"/>
              </w:rPr>
              <w:t>（</w:t>
            </w:r>
            <w:r>
              <w:rPr>
                <w:rFonts w:ascii="Times New Roman" w:eastAsia="Times New Roman"/>
                <w:sz w:val="21"/>
              </w:rPr>
              <w:t>3</w:t>
            </w:r>
            <w:r>
              <w:rPr>
                <w:sz w:val="21"/>
              </w:rPr>
              <w:t>）持审验不合格的驾驶证驾驶；</w:t>
            </w:r>
          </w:p>
          <w:p>
            <w:pPr>
              <w:pStyle w:val="TableParagraph"/>
              <w:spacing w:before="31"/>
              <w:rPr>
                <w:sz w:val="21"/>
              </w:rPr>
            </w:pPr>
            <w:r>
              <w:rPr>
                <w:sz w:val="21"/>
              </w:rPr>
              <w:t>（</w:t>
            </w:r>
            <w:r>
              <w:rPr>
                <w:rFonts w:ascii="Times New Roman" w:eastAsia="Times New Roman"/>
                <w:sz w:val="21"/>
              </w:rPr>
              <w:t>4</w:t>
            </w:r>
            <w:r>
              <w:rPr>
                <w:sz w:val="21"/>
              </w:rPr>
              <w:t>）持学习驾驶证学习驾车时，无教练员随车指导，或不按指定时间、路线学习驾车。</w:t>
            </w:r>
          </w:p>
        </w:tc>
      </w:tr>
      <w:tr>
        <w:trPr>
          <w:trHeight w:val="960" w:hRule="atLeast"/>
        </w:trPr>
        <w:tc>
          <w:tcPr>
            <w:tcW w:w="1537" w:type="dxa"/>
          </w:tcPr>
          <w:p>
            <w:pPr>
              <w:pStyle w:val="TableParagraph"/>
              <w:ind w:left="200"/>
              <w:rPr>
                <w:sz w:val="21"/>
              </w:rPr>
            </w:pPr>
            <w:r>
              <w:rPr>
                <w:sz w:val="21"/>
              </w:rPr>
              <w:t>无有效行驶证</w:t>
            </w:r>
          </w:p>
        </w:tc>
        <w:tc>
          <w:tcPr>
            <w:tcW w:w="318" w:type="dxa"/>
          </w:tcPr>
          <w:p>
            <w:pPr>
              <w:pStyle w:val="TableParagraph"/>
              <w:ind w:left="0" w:right="3"/>
              <w:jc w:val="center"/>
              <w:rPr>
                <w:sz w:val="21"/>
              </w:rPr>
            </w:pPr>
            <w:r>
              <w:rPr>
                <w:w w:val="100"/>
                <w:sz w:val="21"/>
              </w:rPr>
              <w:t>：</w:t>
            </w:r>
          </w:p>
        </w:tc>
        <w:tc>
          <w:tcPr>
            <w:tcW w:w="8545" w:type="dxa"/>
          </w:tcPr>
          <w:p>
            <w:pPr>
              <w:pStyle w:val="TableParagraph"/>
              <w:rPr>
                <w:sz w:val="21"/>
              </w:rPr>
            </w:pPr>
            <w:r>
              <w:rPr>
                <w:sz w:val="21"/>
              </w:rPr>
              <w:t>指下列情形之一：</w:t>
            </w:r>
          </w:p>
          <w:p>
            <w:pPr>
              <w:pStyle w:val="TableParagraph"/>
              <w:spacing w:before="42"/>
              <w:rPr>
                <w:sz w:val="21"/>
              </w:rPr>
            </w:pPr>
            <w:r>
              <w:rPr>
                <w:sz w:val="21"/>
              </w:rPr>
              <w:t>（</w:t>
            </w:r>
            <w:r>
              <w:rPr>
                <w:rFonts w:ascii="Times New Roman" w:eastAsia="Times New Roman"/>
                <w:sz w:val="21"/>
              </w:rPr>
              <w:t>1</w:t>
            </w:r>
            <w:r>
              <w:rPr>
                <w:sz w:val="21"/>
              </w:rPr>
              <w:t>）机动车被依法注销登记的；</w:t>
            </w:r>
          </w:p>
          <w:p>
            <w:pPr>
              <w:pStyle w:val="TableParagraph"/>
              <w:spacing w:before="31"/>
              <w:rPr>
                <w:sz w:val="21"/>
              </w:rPr>
            </w:pPr>
            <w:r>
              <w:rPr>
                <w:sz w:val="21"/>
              </w:rPr>
              <w:t>（</w:t>
            </w:r>
            <w:r>
              <w:rPr>
                <w:rFonts w:ascii="Times New Roman" w:eastAsia="Times New Roman"/>
                <w:sz w:val="21"/>
              </w:rPr>
              <w:t>2</w:t>
            </w:r>
            <w:r>
              <w:rPr>
                <w:sz w:val="21"/>
              </w:rPr>
              <w:t>）未依法按时进行或通过机动车安全技术检验。</w:t>
            </w:r>
          </w:p>
        </w:tc>
      </w:tr>
      <w:tr>
        <w:trPr>
          <w:trHeight w:val="1279" w:hRule="atLeast"/>
        </w:trPr>
        <w:tc>
          <w:tcPr>
            <w:tcW w:w="1537" w:type="dxa"/>
          </w:tcPr>
          <w:p>
            <w:pPr>
              <w:pStyle w:val="TableParagraph"/>
              <w:spacing w:line="276" w:lineRule="auto"/>
              <w:ind w:left="200" w:right="49"/>
              <w:rPr>
                <w:sz w:val="21"/>
              </w:rPr>
            </w:pPr>
            <w:r>
              <w:rPr>
                <w:sz w:val="21"/>
              </w:rPr>
              <w:t>感染艾滋病病毒或患艾滋病</w:t>
            </w:r>
          </w:p>
        </w:tc>
        <w:tc>
          <w:tcPr>
            <w:tcW w:w="318" w:type="dxa"/>
          </w:tcPr>
          <w:p>
            <w:pPr>
              <w:pStyle w:val="TableParagraph"/>
              <w:spacing w:line="275" w:lineRule="exact"/>
              <w:ind w:left="0" w:right="3"/>
              <w:jc w:val="center"/>
              <w:rPr>
                <w:sz w:val="21"/>
              </w:rPr>
            </w:pPr>
            <w:r>
              <w:rPr>
                <w:w w:val="100"/>
                <w:sz w:val="21"/>
              </w:rPr>
              <w:t>：</w:t>
            </w:r>
          </w:p>
        </w:tc>
        <w:tc>
          <w:tcPr>
            <w:tcW w:w="8545" w:type="dxa"/>
          </w:tcPr>
          <w:p>
            <w:pPr>
              <w:pStyle w:val="TableParagraph"/>
              <w:spacing w:line="261" w:lineRule="auto"/>
              <w:ind w:right="202"/>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before="10"/>
              <w:rPr>
                <w:sz w:val="21"/>
              </w:rPr>
            </w:pPr>
            <w:r>
              <w:rPr>
                <w:sz w:val="21"/>
              </w:rPr>
              <w:t>在人体血液或其他样本中检测到艾滋病病毒或其抗体呈阳性，没有出现临床症状或体征的</w:t>
            </w:r>
          </w:p>
          <w:p>
            <w:pPr>
              <w:pStyle w:val="TableParagraph"/>
              <w:spacing w:before="46"/>
              <w:rPr>
                <w:sz w:val="21"/>
              </w:rPr>
            </w:pPr>
            <w:r>
              <w:rPr>
                <w:sz w:val="21"/>
              </w:rPr>
              <w:t>为感染艾滋病病毒；如果同时出现了明显临床症状或体征的，为患艾滋病。</w:t>
            </w:r>
          </w:p>
        </w:tc>
      </w:tr>
      <w:tr>
        <w:trPr>
          <w:trHeight w:val="640" w:hRule="atLeast"/>
        </w:trPr>
        <w:tc>
          <w:tcPr>
            <w:tcW w:w="1537" w:type="dxa"/>
          </w:tcPr>
          <w:p>
            <w:pPr>
              <w:pStyle w:val="TableParagraph"/>
              <w:spacing w:line="272" w:lineRule="exact"/>
              <w:ind w:left="200"/>
              <w:rPr>
                <w:sz w:val="21"/>
              </w:rPr>
            </w:pPr>
            <w:r>
              <w:rPr>
                <w:sz w:val="21"/>
              </w:rPr>
              <w:t>遗传性疾病</w:t>
            </w:r>
          </w:p>
        </w:tc>
        <w:tc>
          <w:tcPr>
            <w:tcW w:w="318" w:type="dxa"/>
          </w:tcPr>
          <w:p>
            <w:pPr>
              <w:pStyle w:val="TableParagraph"/>
              <w:spacing w:line="272" w:lineRule="exact"/>
              <w:ind w:left="0" w:right="3"/>
              <w:jc w:val="center"/>
              <w:rPr>
                <w:sz w:val="21"/>
              </w:rPr>
            </w:pPr>
            <w:r>
              <w:rPr>
                <w:w w:val="100"/>
                <w:sz w:val="21"/>
              </w:rPr>
              <w:t>：</w:t>
            </w:r>
          </w:p>
        </w:tc>
        <w:tc>
          <w:tcPr>
            <w:tcW w:w="8545" w:type="dxa"/>
          </w:tcPr>
          <w:p>
            <w:pPr>
              <w:pStyle w:val="TableParagraph"/>
              <w:spacing w:line="272" w:lineRule="exact"/>
              <w:rPr>
                <w:sz w:val="21"/>
              </w:rPr>
            </w:pPr>
            <w:r>
              <w:rPr>
                <w:sz w:val="21"/>
              </w:rPr>
              <w:t>指生殖细胞或受精卵的遗传物质（染色体和基因）发生突变或畸变所引起的疾病，通常具</w:t>
            </w:r>
          </w:p>
          <w:p>
            <w:pPr>
              <w:pStyle w:val="TableParagraph"/>
              <w:spacing w:before="46"/>
              <w:rPr>
                <w:sz w:val="21"/>
              </w:rPr>
            </w:pPr>
            <w:r>
              <w:rPr>
                <w:sz w:val="21"/>
              </w:rPr>
              <w:t>有由亲代传至后代的垂直传递的特征。</w:t>
            </w:r>
          </w:p>
        </w:tc>
      </w:tr>
      <w:tr>
        <w:trPr>
          <w:trHeight w:val="960" w:hRule="atLeast"/>
        </w:trPr>
        <w:tc>
          <w:tcPr>
            <w:tcW w:w="1537" w:type="dxa"/>
          </w:tcPr>
          <w:p>
            <w:pPr>
              <w:pStyle w:val="TableParagraph"/>
              <w:spacing w:line="278" w:lineRule="auto"/>
              <w:ind w:left="200" w:right="49"/>
              <w:rPr>
                <w:sz w:val="21"/>
              </w:rPr>
            </w:pPr>
            <w:r>
              <w:rPr>
                <w:sz w:val="21"/>
              </w:rPr>
              <w:t>先天性畸形、变形或染色体</w:t>
            </w:r>
          </w:p>
          <w:p>
            <w:pPr>
              <w:pStyle w:val="TableParagraph"/>
              <w:spacing w:before="13"/>
              <w:ind w:left="200"/>
              <w:rPr>
                <w:sz w:val="21"/>
              </w:rPr>
            </w:pPr>
            <w:r>
              <w:rPr>
                <w:sz w:val="21"/>
              </w:rPr>
              <w:t>异常</w:t>
            </w:r>
          </w:p>
        </w:tc>
        <w:tc>
          <w:tcPr>
            <w:tcW w:w="318" w:type="dxa"/>
          </w:tcPr>
          <w:p>
            <w:pPr>
              <w:pStyle w:val="TableParagraph"/>
              <w:spacing w:line="275" w:lineRule="exact"/>
              <w:ind w:left="0" w:right="3"/>
              <w:jc w:val="center"/>
              <w:rPr>
                <w:sz w:val="21"/>
              </w:rPr>
            </w:pPr>
            <w:r>
              <w:rPr>
                <w:w w:val="100"/>
                <w:sz w:val="21"/>
              </w:rPr>
              <w:t>：</w:t>
            </w:r>
          </w:p>
        </w:tc>
        <w:tc>
          <w:tcPr>
            <w:tcW w:w="8545" w:type="dxa"/>
          </w:tcPr>
          <w:p>
            <w:pPr>
              <w:pStyle w:val="TableParagraph"/>
              <w:spacing w:line="278" w:lineRule="auto"/>
              <w:ind w:right="205"/>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550" w:hRule="atLeast"/>
        </w:trPr>
        <w:tc>
          <w:tcPr>
            <w:tcW w:w="1537" w:type="dxa"/>
          </w:tcPr>
          <w:p>
            <w:pPr>
              <w:pStyle w:val="TableParagraph"/>
              <w:spacing w:line="275" w:lineRule="exact"/>
              <w:ind w:left="200"/>
              <w:rPr>
                <w:sz w:val="21"/>
              </w:rPr>
            </w:pPr>
            <w:r>
              <w:rPr>
                <w:sz w:val="21"/>
              </w:rPr>
              <w:t>现金价值</w:t>
            </w:r>
          </w:p>
        </w:tc>
        <w:tc>
          <w:tcPr>
            <w:tcW w:w="318" w:type="dxa"/>
          </w:tcPr>
          <w:p>
            <w:pPr>
              <w:pStyle w:val="TableParagraph"/>
              <w:spacing w:line="275" w:lineRule="exact"/>
              <w:ind w:left="0" w:right="3"/>
              <w:jc w:val="center"/>
              <w:rPr>
                <w:sz w:val="21"/>
              </w:rPr>
            </w:pPr>
            <w:r>
              <w:rPr>
                <w:w w:val="100"/>
                <w:sz w:val="21"/>
              </w:rPr>
              <w:t>：</w:t>
            </w:r>
          </w:p>
        </w:tc>
        <w:tc>
          <w:tcPr>
            <w:tcW w:w="8545" w:type="dxa"/>
          </w:tcPr>
          <w:p>
            <w:pPr>
              <w:pStyle w:val="TableParagraph"/>
              <w:spacing w:line="544" w:lineRule="auto" w:before="139"/>
              <w:ind w:right="295"/>
              <w:rPr>
                <w:sz w:val="21"/>
              </w:rPr>
            </w:pPr>
            <w:r>
              <w:rPr>
                <w:sz w:val="21"/>
              </w:rPr>
              <w:t>指保险单所具有的价值，通常体现为解除合同时，根据精算原理计算的，由本公司退还的那部分金额。</w:t>
            </w:r>
          </w:p>
          <w:p>
            <w:pPr>
              <w:pStyle w:val="TableParagraph"/>
              <w:spacing w:line="219" w:lineRule="exact"/>
              <w:rPr>
                <w:sz w:val="21"/>
              </w:rPr>
            </w:pPr>
            <w:r>
              <w:rPr>
                <w:w w:val="95"/>
                <w:sz w:val="21"/>
              </w:rPr>
              <w:t>现金价值＝已交保险费×（1-手续费比例）×（1-已交保险费对应保障期间已经过的日数/已</w:t>
            </w:r>
          </w:p>
        </w:tc>
      </w:tr>
    </w:tbl>
    <w:p>
      <w:pPr>
        <w:spacing w:after="0" w:line="219" w:lineRule="exact"/>
        <w:rPr>
          <w:sz w:val="21"/>
        </w:rPr>
        <w:sectPr>
          <w:pgSz w:w="11910" w:h="16840"/>
          <w:pgMar w:header="0" w:footer="502" w:top="1020" w:bottom="780" w:left="820" w:right="46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7"/>
        <w:gridCol w:w="318"/>
        <w:gridCol w:w="8543"/>
      </w:tblGrid>
      <w:tr>
        <w:trPr>
          <w:trHeight w:val="302" w:hRule="atLeast"/>
        </w:trPr>
        <w:tc>
          <w:tcPr>
            <w:tcW w:w="1537" w:type="dxa"/>
          </w:tcPr>
          <w:p>
            <w:pPr>
              <w:pStyle w:val="TableParagraph"/>
              <w:ind w:left="0"/>
              <w:rPr>
                <w:rFonts w:ascii="Times New Roman"/>
                <w:sz w:val="20"/>
              </w:rPr>
            </w:pPr>
          </w:p>
        </w:tc>
        <w:tc>
          <w:tcPr>
            <w:tcW w:w="318" w:type="dxa"/>
          </w:tcPr>
          <w:p>
            <w:pPr>
              <w:pStyle w:val="TableParagraph"/>
              <w:ind w:left="0"/>
              <w:rPr>
                <w:rFonts w:ascii="Times New Roman"/>
                <w:sz w:val="20"/>
              </w:rPr>
            </w:pPr>
          </w:p>
        </w:tc>
        <w:tc>
          <w:tcPr>
            <w:tcW w:w="8543" w:type="dxa"/>
          </w:tcPr>
          <w:p>
            <w:pPr>
              <w:pStyle w:val="TableParagraph"/>
              <w:spacing w:line="255" w:lineRule="exact"/>
              <w:rPr>
                <w:sz w:val="21"/>
              </w:rPr>
            </w:pPr>
            <w:r>
              <w:rPr>
                <w:sz w:val="21"/>
              </w:rPr>
              <w:t>交保险费对应保障期间的总日数）</w:t>
            </w:r>
          </w:p>
        </w:tc>
      </w:tr>
      <w:tr>
        <w:trPr>
          <w:trHeight w:val="542" w:hRule="atLeast"/>
        </w:trPr>
        <w:tc>
          <w:tcPr>
            <w:tcW w:w="1537" w:type="dxa"/>
          </w:tcPr>
          <w:p>
            <w:pPr>
              <w:pStyle w:val="TableParagraph"/>
              <w:spacing w:line="275" w:lineRule="exact"/>
              <w:ind w:left="200"/>
              <w:rPr>
                <w:sz w:val="21"/>
              </w:rPr>
            </w:pPr>
            <w:r>
              <w:rPr>
                <w:sz w:val="21"/>
              </w:rPr>
              <w:t>手续费</w:t>
            </w:r>
          </w:p>
        </w:tc>
        <w:tc>
          <w:tcPr>
            <w:tcW w:w="318" w:type="dxa"/>
          </w:tcPr>
          <w:p>
            <w:pPr>
              <w:pStyle w:val="TableParagraph"/>
              <w:spacing w:line="275" w:lineRule="exact"/>
              <w:ind w:left="0" w:right="3"/>
              <w:jc w:val="center"/>
              <w:rPr>
                <w:sz w:val="21"/>
              </w:rPr>
            </w:pPr>
            <w:r>
              <w:rPr>
                <w:w w:val="100"/>
                <w:sz w:val="21"/>
              </w:rPr>
              <w:t>：</w:t>
            </w:r>
          </w:p>
        </w:tc>
        <w:tc>
          <w:tcPr>
            <w:tcW w:w="8543" w:type="dxa"/>
          </w:tcPr>
          <w:p>
            <w:pPr>
              <w:pStyle w:val="TableParagraph"/>
              <w:spacing w:before="139"/>
              <w:rPr>
                <w:sz w:val="21"/>
              </w:rPr>
            </w:pPr>
            <w:r>
              <w:rPr>
                <w:sz w:val="21"/>
              </w:rPr>
              <w:t>指每张保险单平均承担的销售费用和管理费用总和，手续费比例占已交保费的 </w:t>
            </w:r>
            <w:r>
              <w:rPr>
                <w:rFonts w:ascii="Times New Roman" w:eastAsia="Times New Roman"/>
                <w:sz w:val="21"/>
              </w:rPr>
              <w:t>35</w:t>
            </w:r>
            <w:r>
              <w:rPr>
                <w:sz w:val="21"/>
              </w:rPr>
              <w:t>％。</w:t>
            </w:r>
          </w:p>
        </w:tc>
      </w:tr>
      <w:tr>
        <w:trPr>
          <w:trHeight w:val="722" w:hRule="atLeast"/>
        </w:trPr>
        <w:tc>
          <w:tcPr>
            <w:tcW w:w="1537" w:type="dxa"/>
          </w:tcPr>
          <w:p>
            <w:pPr>
              <w:pStyle w:val="TableParagraph"/>
              <w:spacing w:line="320" w:lineRule="atLeast" w:before="36"/>
              <w:ind w:left="200" w:right="49"/>
              <w:rPr>
                <w:sz w:val="21"/>
              </w:rPr>
            </w:pPr>
            <w:r>
              <w:rPr>
                <w:sz w:val="21"/>
              </w:rPr>
              <w:t>肢体机能完全丧失</w:t>
            </w:r>
          </w:p>
        </w:tc>
        <w:tc>
          <w:tcPr>
            <w:tcW w:w="318" w:type="dxa"/>
          </w:tcPr>
          <w:p>
            <w:pPr>
              <w:pStyle w:val="TableParagraph"/>
              <w:spacing w:before="81"/>
              <w:ind w:left="0" w:right="3"/>
              <w:jc w:val="center"/>
              <w:rPr>
                <w:sz w:val="21"/>
              </w:rPr>
            </w:pPr>
            <w:r>
              <w:rPr>
                <w:w w:val="100"/>
                <w:sz w:val="21"/>
              </w:rPr>
              <w:t>：</w:t>
            </w:r>
          </w:p>
        </w:tc>
        <w:tc>
          <w:tcPr>
            <w:tcW w:w="8543" w:type="dxa"/>
          </w:tcPr>
          <w:p>
            <w:pPr>
              <w:pStyle w:val="TableParagraph"/>
              <w:spacing w:line="320" w:lineRule="atLeast" w:before="36"/>
              <w:ind w:right="203"/>
              <w:rPr>
                <w:sz w:val="21"/>
              </w:rPr>
            </w:pPr>
            <w:r>
              <w:rPr>
                <w:sz w:val="21"/>
              </w:rPr>
              <w:t>指肢体的三大关节中的两大关节僵硬，或不能随意识活动。肢体是指包括肩关节的整个上肢或包括髋关节的整个下肢。</w:t>
            </w:r>
          </w:p>
        </w:tc>
      </w:tr>
      <w:tr>
        <w:trPr>
          <w:trHeight w:val="641" w:hRule="atLeast"/>
        </w:trPr>
        <w:tc>
          <w:tcPr>
            <w:tcW w:w="1537" w:type="dxa"/>
          </w:tcPr>
          <w:p>
            <w:pPr>
              <w:pStyle w:val="TableParagraph"/>
              <w:spacing w:line="272" w:lineRule="exact"/>
              <w:ind w:left="200"/>
              <w:rPr>
                <w:sz w:val="21"/>
              </w:rPr>
            </w:pPr>
            <w:r>
              <w:rPr>
                <w:sz w:val="21"/>
              </w:rPr>
              <w:t>语言能力完全</w:t>
            </w:r>
          </w:p>
          <w:p>
            <w:pPr>
              <w:pStyle w:val="TableParagraph"/>
              <w:spacing w:before="46"/>
              <w:ind w:left="200"/>
              <w:rPr>
                <w:sz w:val="21"/>
              </w:rPr>
            </w:pPr>
            <w:r>
              <w:rPr>
                <w:sz w:val="21"/>
              </w:rPr>
              <w:t>丧失</w:t>
            </w:r>
          </w:p>
        </w:tc>
        <w:tc>
          <w:tcPr>
            <w:tcW w:w="318" w:type="dxa"/>
          </w:tcPr>
          <w:p>
            <w:pPr>
              <w:pStyle w:val="TableParagraph"/>
              <w:spacing w:line="272" w:lineRule="exact"/>
              <w:ind w:left="0" w:right="3"/>
              <w:jc w:val="center"/>
              <w:rPr>
                <w:sz w:val="21"/>
              </w:rPr>
            </w:pPr>
            <w:r>
              <w:rPr>
                <w:w w:val="100"/>
                <w:sz w:val="21"/>
              </w:rPr>
              <w:t>：</w:t>
            </w:r>
          </w:p>
        </w:tc>
        <w:tc>
          <w:tcPr>
            <w:tcW w:w="8543" w:type="dxa"/>
          </w:tcPr>
          <w:p>
            <w:pPr>
              <w:pStyle w:val="TableParagraph"/>
              <w:spacing w:line="272" w:lineRule="exact"/>
              <w:rPr>
                <w:sz w:val="21"/>
              </w:rPr>
            </w:pPr>
            <w:r>
              <w:rPr>
                <w:sz w:val="21"/>
              </w:rPr>
              <w:t>指无法发出四种语音（包括口唇音、齿舌音、口盖音和喉头音）中的任何三种、或声带全</w:t>
            </w:r>
          </w:p>
          <w:p>
            <w:pPr>
              <w:pStyle w:val="TableParagraph"/>
              <w:spacing w:before="46"/>
              <w:rPr>
                <w:sz w:val="21"/>
              </w:rPr>
            </w:pPr>
            <w:r>
              <w:rPr>
                <w:sz w:val="21"/>
              </w:rPr>
              <w:t>部切除，或因大脑语言中枢受伤害而患失语症。</w:t>
            </w:r>
          </w:p>
        </w:tc>
      </w:tr>
      <w:tr>
        <w:trPr>
          <w:trHeight w:val="638" w:hRule="atLeast"/>
        </w:trPr>
        <w:tc>
          <w:tcPr>
            <w:tcW w:w="1537" w:type="dxa"/>
          </w:tcPr>
          <w:p>
            <w:pPr>
              <w:pStyle w:val="TableParagraph"/>
              <w:spacing w:line="275" w:lineRule="exact"/>
              <w:ind w:left="200"/>
              <w:rPr>
                <w:sz w:val="21"/>
              </w:rPr>
            </w:pPr>
            <w:r>
              <w:rPr>
                <w:sz w:val="21"/>
              </w:rPr>
              <w:t>咀嚼吞咽能力</w:t>
            </w:r>
          </w:p>
          <w:p>
            <w:pPr>
              <w:pStyle w:val="TableParagraph"/>
              <w:spacing w:before="42"/>
              <w:ind w:left="200"/>
              <w:rPr>
                <w:sz w:val="21"/>
              </w:rPr>
            </w:pPr>
            <w:r>
              <w:rPr>
                <w:sz w:val="21"/>
              </w:rPr>
              <w:t>完全丧失</w:t>
            </w:r>
          </w:p>
        </w:tc>
        <w:tc>
          <w:tcPr>
            <w:tcW w:w="318" w:type="dxa"/>
          </w:tcPr>
          <w:p>
            <w:pPr>
              <w:pStyle w:val="TableParagraph"/>
              <w:spacing w:line="275" w:lineRule="exact"/>
              <w:ind w:left="0" w:right="3"/>
              <w:jc w:val="center"/>
              <w:rPr>
                <w:sz w:val="21"/>
              </w:rPr>
            </w:pPr>
            <w:r>
              <w:rPr>
                <w:w w:val="100"/>
                <w:sz w:val="21"/>
              </w:rPr>
              <w:t>：</w:t>
            </w:r>
          </w:p>
        </w:tc>
        <w:tc>
          <w:tcPr>
            <w:tcW w:w="8543" w:type="dxa"/>
          </w:tcPr>
          <w:p>
            <w:pPr>
              <w:pStyle w:val="TableParagraph"/>
              <w:spacing w:line="275" w:lineRule="exact"/>
              <w:rPr>
                <w:sz w:val="21"/>
              </w:rPr>
            </w:pPr>
            <w:r>
              <w:rPr>
                <w:sz w:val="21"/>
              </w:rPr>
              <w:t>指因牙齿以外的原因导致器质障碍或机能障碍，以致不能作咀嚼吞咽运动，除流质食物外</w:t>
            </w:r>
          </w:p>
          <w:p>
            <w:pPr>
              <w:pStyle w:val="TableParagraph"/>
              <w:spacing w:before="42"/>
              <w:rPr>
                <w:sz w:val="21"/>
              </w:rPr>
            </w:pPr>
            <w:r>
              <w:rPr>
                <w:sz w:val="21"/>
              </w:rPr>
              <w:t>不能摄取或吞咽的状态。</w:t>
            </w:r>
          </w:p>
        </w:tc>
      </w:tr>
      <w:tr>
        <w:trPr>
          <w:trHeight w:val="2242" w:hRule="atLeast"/>
        </w:trPr>
        <w:tc>
          <w:tcPr>
            <w:tcW w:w="1537" w:type="dxa"/>
          </w:tcPr>
          <w:p>
            <w:pPr>
              <w:pStyle w:val="TableParagraph"/>
              <w:spacing w:line="280" w:lineRule="auto"/>
              <w:ind w:left="200" w:right="49"/>
              <w:rPr>
                <w:sz w:val="21"/>
              </w:rPr>
            </w:pPr>
            <w:r>
              <w:rPr>
                <w:sz w:val="21"/>
              </w:rPr>
              <w:t>六项基本日常生活活动</w:t>
            </w:r>
          </w:p>
        </w:tc>
        <w:tc>
          <w:tcPr>
            <w:tcW w:w="318" w:type="dxa"/>
          </w:tcPr>
          <w:p>
            <w:pPr>
              <w:pStyle w:val="TableParagraph"/>
              <w:spacing w:line="275" w:lineRule="exact"/>
              <w:ind w:left="0" w:right="3"/>
              <w:jc w:val="center"/>
              <w:rPr>
                <w:sz w:val="21"/>
              </w:rPr>
            </w:pPr>
            <w:r>
              <w:rPr>
                <w:w w:val="100"/>
                <w:sz w:val="21"/>
              </w:rPr>
              <w:t>：</w:t>
            </w:r>
          </w:p>
        </w:tc>
        <w:tc>
          <w:tcPr>
            <w:tcW w:w="8543" w:type="dxa"/>
          </w:tcPr>
          <w:p>
            <w:pPr>
              <w:pStyle w:val="TableParagraph"/>
              <w:spacing w:line="275" w:lineRule="exact"/>
              <w:rPr>
                <w:sz w:val="21"/>
              </w:rPr>
            </w:pPr>
            <w:r>
              <w:rPr>
                <w:sz w:val="21"/>
              </w:rPr>
              <w:t>六项基本日常生活活动是指：</w:t>
            </w:r>
          </w:p>
          <w:p>
            <w:pPr>
              <w:pStyle w:val="TableParagraph"/>
              <w:spacing w:before="47"/>
              <w:rPr>
                <w:sz w:val="21"/>
              </w:rPr>
            </w:pPr>
            <w:r>
              <w:rPr>
                <w:sz w:val="21"/>
              </w:rPr>
              <w:t>（</w:t>
            </w:r>
            <w:r>
              <w:rPr>
                <w:rFonts w:ascii="Times New Roman" w:eastAsia="Times New Roman"/>
                <w:sz w:val="21"/>
              </w:rPr>
              <w:t>1</w:t>
            </w:r>
            <w:r>
              <w:rPr>
                <w:sz w:val="21"/>
              </w:rPr>
              <w:t>）穿衣：自己能够穿衣及脱衣；</w:t>
            </w:r>
          </w:p>
          <w:p>
            <w:pPr>
              <w:pStyle w:val="TableParagraph"/>
              <w:spacing w:before="26"/>
              <w:rPr>
                <w:sz w:val="21"/>
              </w:rPr>
            </w:pPr>
            <w:r>
              <w:rPr>
                <w:sz w:val="21"/>
              </w:rPr>
              <w:t>（</w:t>
            </w:r>
            <w:r>
              <w:rPr>
                <w:rFonts w:ascii="Times New Roman" w:eastAsia="Times New Roman"/>
                <w:sz w:val="21"/>
              </w:rPr>
              <w:t>2</w:t>
            </w:r>
            <w:r>
              <w:rPr>
                <w:sz w:val="21"/>
              </w:rPr>
              <w:t>）移动：自己从一个房间到另一个房间；</w:t>
            </w:r>
          </w:p>
          <w:p>
            <w:pPr>
              <w:pStyle w:val="TableParagraph"/>
              <w:spacing w:before="31"/>
              <w:rPr>
                <w:sz w:val="21"/>
              </w:rPr>
            </w:pPr>
            <w:r>
              <w:rPr>
                <w:sz w:val="21"/>
              </w:rPr>
              <w:t>（</w:t>
            </w:r>
            <w:r>
              <w:rPr>
                <w:rFonts w:ascii="Times New Roman" w:eastAsia="Times New Roman"/>
                <w:sz w:val="21"/>
              </w:rPr>
              <w:t>3</w:t>
            </w:r>
            <w:r>
              <w:rPr>
                <w:sz w:val="21"/>
              </w:rPr>
              <w:t>）行动：自己上下床或上下轮椅；</w:t>
            </w:r>
          </w:p>
          <w:p>
            <w:pPr>
              <w:pStyle w:val="TableParagraph"/>
              <w:spacing w:before="31"/>
              <w:rPr>
                <w:sz w:val="21"/>
              </w:rPr>
            </w:pPr>
            <w:r>
              <w:rPr>
                <w:sz w:val="21"/>
              </w:rPr>
              <w:t>（</w:t>
            </w:r>
            <w:r>
              <w:rPr>
                <w:rFonts w:ascii="Times New Roman" w:eastAsia="Times New Roman"/>
                <w:sz w:val="21"/>
              </w:rPr>
              <w:t>4</w:t>
            </w:r>
            <w:r>
              <w:rPr>
                <w:sz w:val="21"/>
              </w:rPr>
              <w:t>）如厕：自己控制进行大小便；</w:t>
            </w:r>
          </w:p>
          <w:p>
            <w:pPr>
              <w:pStyle w:val="TableParagraph"/>
              <w:spacing w:before="26"/>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31"/>
              <w:rPr>
                <w:sz w:val="21"/>
              </w:rPr>
            </w:pPr>
            <w:r>
              <w:rPr>
                <w:sz w:val="21"/>
              </w:rPr>
              <w:t>（</w:t>
            </w:r>
            <w:r>
              <w:rPr>
                <w:rFonts w:ascii="Times New Roman" w:eastAsia="Times New Roman"/>
                <w:sz w:val="21"/>
              </w:rPr>
              <w:t>6</w:t>
            </w:r>
            <w:r>
              <w:rPr>
                <w:sz w:val="21"/>
              </w:rPr>
              <w:t>）洗澡：自己进行淋浴或盆浴。</w:t>
            </w:r>
          </w:p>
        </w:tc>
      </w:tr>
      <w:tr>
        <w:trPr>
          <w:trHeight w:val="619" w:hRule="atLeast"/>
        </w:trPr>
        <w:tc>
          <w:tcPr>
            <w:tcW w:w="1537" w:type="dxa"/>
          </w:tcPr>
          <w:p>
            <w:pPr>
              <w:pStyle w:val="TableParagraph"/>
              <w:spacing w:line="275" w:lineRule="exact"/>
              <w:ind w:left="200"/>
              <w:rPr>
                <w:sz w:val="21"/>
              </w:rPr>
            </w:pPr>
            <w:r>
              <w:rPr>
                <w:sz w:val="21"/>
              </w:rPr>
              <w:t>永久不可逆</w:t>
            </w:r>
          </w:p>
        </w:tc>
        <w:tc>
          <w:tcPr>
            <w:tcW w:w="318" w:type="dxa"/>
          </w:tcPr>
          <w:p>
            <w:pPr>
              <w:pStyle w:val="TableParagraph"/>
              <w:spacing w:line="275" w:lineRule="exact"/>
              <w:ind w:left="0" w:right="3"/>
              <w:jc w:val="center"/>
              <w:rPr>
                <w:sz w:val="21"/>
              </w:rPr>
            </w:pPr>
            <w:r>
              <w:rPr>
                <w:w w:val="100"/>
                <w:sz w:val="21"/>
              </w:rPr>
              <w:t>：</w:t>
            </w:r>
          </w:p>
        </w:tc>
        <w:tc>
          <w:tcPr>
            <w:tcW w:w="8543" w:type="dxa"/>
          </w:tcPr>
          <w:p>
            <w:pPr>
              <w:pStyle w:val="TableParagraph"/>
              <w:spacing w:line="290" w:lineRule="exact"/>
              <w:rPr>
                <w:sz w:val="21"/>
              </w:rPr>
            </w:pPr>
            <w:r>
              <w:rPr>
                <w:sz w:val="21"/>
              </w:rPr>
              <w:t>指自疾病确诊或意外伤害发生之日起，经过积极治疗 </w:t>
            </w:r>
            <w:r>
              <w:rPr>
                <w:rFonts w:ascii="Times New Roman" w:eastAsia="Times New Roman"/>
                <w:sz w:val="21"/>
              </w:rPr>
              <w:t>180  </w:t>
            </w:r>
            <w:r>
              <w:rPr>
                <w:sz w:val="21"/>
              </w:rPr>
              <w:t>天，仍无法通过现有医疗手段恢</w:t>
            </w:r>
          </w:p>
          <w:p>
            <w:pPr>
              <w:pStyle w:val="TableParagraph"/>
              <w:spacing w:before="26"/>
              <w:rPr>
                <w:sz w:val="21"/>
              </w:rPr>
            </w:pPr>
            <w:r>
              <w:rPr>
                <w:sz w:val="21"/>
              </w:rPr>
              <w:t>复。</w:t>
            </w:r>
          </w:p>
        </w:tc>
      </w:tr>
    </w:tbl>
    <w:sectPr>
      <w:pgSz w:w="11910" w:h="16840"/>
      <w:pgMar w:header="0" w:footer="502" w:top="860" w:bottom="700" w:left="8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55.664001pt;margin-top:801.833008pt;width:186.2pt;height:12.1pt;mso-position-horizontal-relative:page;mso-position-vertical-relative:page;z-index:-20272" type="#_x0000_t202" filled="false" stroked="false">
          <v:textbox inset="0,0,0,0">
            <w:txbxContent>
              <w:p>
                <w:pPr>
                  <w:spacing w:line="221" w:lineRule="exact" w:before="0"/>
                  <w:ind w:left="20" w:right="0" w:firstLine="0"/>
                  <w:jc w:val="left"/>
                  <w:rPr>
                    <w:sz w:val="18"/>
                  </w:rPr>
                </w:pPr>
                <w:r>
                  <w:rPr>
                    <w:spacing w:val="-8"/>
                    <w:sz w:val="18"/>
                  </w:rPr>
                  <w:t>《保无忧重大疾病保险 </w:t>
                </w:r>
                <w:r>
                  <w:rPr>
                    <w:rFonts w:ascii="Times New Roman" w:eastAsia="Times New Roman"/>
                    <w:sz w:val="18"/>
                  </w:rPr>
                  <w:t>B </w:t>
                </w:r>
                <w:r>
                  <w:rPr>
                    <w:spacing w:val="-3"/>
                    <w:sz w:val="18"/>
                  </w:rPr>
                  <w:t>款》</w:t>
                </w:r>
                <w:r>
                  <w:rPr>
                    <w:rFonts w:ascii="Times New Roman" w:eastAsia="Times New Roman"/>
                    <w:sz w:val="18"/>
                  </w:rPr>
                  <w:t>2013 </w:t>
                </w:r>
                <w:r>
                  <w:rPr>
                    <w:spacing w:val="-19"/>
                    <w:sz w:val="18"/>
                  </w:rPr>
                  <w:t>年 </w:t>
                </w:r>
                <w:r>
                  <w:rPr>
                    <w:rFonts w:ascii="Times New Roman" w:eastAsia="Times New Roman"/>
                    <w:sz w:val="18"/>
                  </w:rPr>
                  <w:t>9 </w:t>
                </w:r>
                <w:r>
                  <w:rPr>
                    <w:spacing w:val="-2"/>
                    <w:sz w:val="18"/>
                  </w:rPr>
                  <w:t>月备案</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3"/>
    </w:pPr>
    <w:rPr>
      <w:rFonts w:ascii="宋体" w:hAnsi="宋体" w:eastAsia="宋体" w:cs="宋体"/>
      <w:sz w:val="21"/>
      <w:szCs w:val="21"/>
    </w:rPr>
  </w:style>
  <w:style w:styleId="Heading1" w:type="paragraph">
    <w:name w:val="Heading 1"/>
    <w:basedOn w:val="Normal"/>
    <w:uiPriority w:val="1"/>
    <w:qFormat/>
    <w:pPr>
      <w:ind w:left="113"/>
      <w:outlineLvl w:val="1"/>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5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Xu</dc:creator>
  <dc:title>太平洋安泰人寿保险有限公司</dc:title>
  <dcterms:created xsi:type="dcterms:W3CDTF">2018-10-20T01:45:24Z</dcterms:created>
  <dcterms:modified xsi:type="dcterms:W3CDTF">2018-10-20T01:45:24Z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