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1"/>
        </w:rPr>
      </w:pPr>
    </w:p>
    <w:p>
      <w:pPr>
        <w:pStyle w:val="BodyText"/>
        <w:ind w:left="8507"/>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p>
      <w:pPr>
        <w:spacing w:before="30"/>
        <w:ind w:left="8176" w:right="138" w:hanging="563"/>
        <w:jc w:val="right"/>
        <w:rPr>
          <w:sz w:val="14"/>
        </w:rPr>
      </w:pPr>
      <w:r>
        <w:rPr>
          <w:sz w:val="14"/>
        </w:rPr>
        <w:t>和谐健康[2014]疾病保险 029 号</w:t>
      </w:r>
      <w:r>
        <w:rPr>
          <w:w w:val="95"/>
          <w:sz w:val="14"/>
        </w:rPr>
        <w:t>请扫描以查询验证条款</w:t>
      </w:r>
    </w:p>
    <w:p>
      <w:pPr>
        <w:spacing w:line="578" w:lineRule="exact" w:before="0"/>
        <w:ind w:left="0" w:right="0" w:firstLine="0"/>
        <w:jc w:val="center"/>
        <w:rPr>
          <w:rFonts w:ascii="微软雅黑" w:eastAsia="微软雅黑" w:hint="eastAsia"/>
          <w:b/>
          <w:sz w:val="44"/>
        </w:rPr>
      </w:pPr>
      <w:r>
        <w:rPr>
          <w:rFonts w:ascii="微软雅黑" w:eastAsia="微软雅黑" w:hint="eastAsia"/>
          <w:b/>
          <w:sz w:val="44"/>
        </w:rPr>
        <w:t>和谐健康之享定期重大疾病保险</w:t>
      </w:r>
    </w:p>
    <w:p>
      <w:pPr>
        <w:spacing w:before="143"/>
        <w:ind w:left="0"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79"/>
        <w:ind w:left="62"/>
        <w:jc w:val="center"/>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有</w:t>
      </w:r>
      <w:r>
        <w:rPr>
          <w:spacing w:val="-63"/>
          <w:position w:val="-7"/>
        </w:rPr>
        <w:t>．</w:t>
      </w:r>
      <w:r>
        <w:rPr>
          <w:spacing w:val="-152"/>
        </w:rPr>
        <w:t>助</w:t>
      </w:r>
      <w:r>
        <w:rPr>
          <w:spacing w:val="-63"/>
          <w:position w:val="-7"/>
        </w:rPr>
        <w:t>．</w:t>
      </w:r>
      <w:r>
        <w:rPr>
          <w:spacing w:val="-150"/>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52"/>
        </w:rPr>
        <w:t>款</w:t>
      </w:r>
      <w:r>
        <w:rPr>
          <w:position w:val="-7"/>
        </w:rPr>
        <w:t>．</w:t>
      </w:r>
    </w:p>
    <w:p>
      <w:pPr>
        <w:pStyle w:val="Heading1"/>
        <w:spacing w:before="166"/>
      </w:pPr>
      <w:r>
        <w:rPr/>
        <w:t>您拥有的重要权益</w:t>
      </w:r>
    </w:p>
    <w:p>
      <w:pPr>
        <w:pStyle w:val="BodyText"/>
        <w:tabs>
          <w:tab w:pos="9515" w:val="right" w:leader="dot"/>
        </w:tabs>
        <w:spacing w:line="268" w:lineRule="exact"/>
        <w:ind w:left="4"/>
        <w:jc w:val="center"/>
        <w:rPr>
          <w:rFonts w:ascii="Times New Roman" w:eastAsia="Times New Roman"/>
        </w:rPr>
      </w:pPr>
      <w:r>
        <w:rPr/>
        <w:t>签收</w:t>
      </w:r>
      <w:r>
        <w:rPr>
          <w:spacing w:val="-3"/>
        </w:rPr>
        <w:t>本</w:t>
      </w:r>
      <w:r>
        <w:rPr/>
        <w:t>合</w:t>
      </w:r>
      <w:r>
        <w:rPr>
          <w:spacing w:val="-3"/>
        </w:rPr>
        <w:t>同</w:t>
      </w:r>
      <w:r>
        <w:rPr/>
        <w:t>次</w:t>
      </w:r>
      <w:r>
        <w:rPr>
          <w:spacing w:val="-3"/>
        </w:rPr>
        <w:t>日</w:t>
      </w:r>
      <w:r>
        <w:rPr/>
        <w:t>起</w:t>
      </w:r>
      <w:r>
        <w:rPr>
          <w:spacing w:val="-52"/>
        </w:rPr>
        <w:t> </w:t>
      </w:r>
      <w:r>
        <w:rPr>
          <w:rFonts w:ascii="Times New Roman" w:eastAsia="Times New Roman"/>
        </w:rPr>
        <w:t>15</w:t>
      </w:r>
      <w:r>
        <w:rPr>
          <w:rFonts w:ascii="Times New Roman" w:eastAsia="Times New Roman"/>
          <w:spacing w:val="0"/>
        </w:rPr>
        <w:t> </w:t>
      </w:r>
      <w:r>
        <w:rPr>
          <w:spacing w:val="-3"/>
        </w:rPr>
        <w:t>日</w:t>
      </w:r>
      <w:r>
        <w:rPr>
          <w:spacing w:val="-73"/>
        </w:rPr>
        <w:t>内</w:t>
      </w:r>
      <w:r>
        <w:rPr/>
        <w:t>（即</w:t>
      </w:r>
      <w:r>
        <w:rPr>
          <w:spacing w:val="-3"/>
        </w:rPr>
        <w:t>犹</w:t>
      </w:r>
      <w:r>
        <w:rPr/>
        <w:t>豫期</w:t>
      </w:r>
      <w:r>
        <w:rPr>
          <w:spacing w:val="-73"/>
        </w:rPr>
        <w:t>）</w:t>
      </w:r>
      <w:r>
        <w:rPr/>
        <w:t>您</w:t>
      </w:r>
      <w:r>
        <w:rPr>
          <w:spacing w:val="-3"/>
        </w:rPr>
        <w:t>若</w:t>
      </w:r>
      <w:r>
        <w:rPr/>
        <w:t>要求解</w:t>
      </w:r>
      <w:r>
        <w:rPr>
          <w:spacing w:val="-3"/>
        </w:rPr>
        <w:t>除</w:t>
      </w:r>
      <w:r>
        <w:rPr/>
        <w:t>合同</w:t>
      </w:r>
      <w:r>
        <w:rPr>
          <w:spacing w:val="-73"/>
        </w:rPr>
        <w:t>，</w:t>
      </w:r>
      <w:r>
        <w:rPr/>
        <w:t>我</w:t>
      </w:r>
      <w:r>
        <w:rPr>
          <w:spacing w:val="-3"/>
        </w:rPr>
        <w:t>们</w:t>
      </w:r>
      <w:r>
        <w:rPr/>
        <w:t>无息</w:t>
      </w:r>
      <w:r>
        <w:rPr>
          <w:spacing w:val="-3"/>
        </w:rPr>
        <w:t>退</w:t>
      </w:r>
      <w:r>
        <w:rPr/>
        <w:t>还</w:t>
      </w:r>
      <w:r>
        <w:rPr>
          <w:spacing w:val="-3"/>
        </w:rPr>
        <w:t>您</w:t>
      </w:r>
      <w:r>
        <w:rPr/>
        <w:t>所</w:t>
      </w:r>
      <w:r>
        <w:rPr>
          <w:spacing w:val="-3"/>
        </w:rPr>
        <w:t>交</w:t>
      </w:r>
      <w:r>
        <w:rPr/>
        <w:t>保险费</w:t>
        <w:tab/>
      </w:r>
      <w:r>
        <w:rPr>
          <w:rFonts w:ascii="Times New Roman" w:eastAsia="Times New Roman"/>
        </w:rPr>
        <w:t>1.4</w:t>
      </w:r>
    </w:p>
    <w:p>
      <w:pPr>
        <w:pStyle w:val="BodyText"/>
        <w:tabs>
          <w:tab w:pos="9510" w:val="right" w:leader="dot"/>
        </w:tabs>
        <w:spacing w:line="272" w:lineRule="exact"/>
        <w:ind w:left="1"/>
        <w:jc w:val="center"/>
        <w:rPr>
          <w:rFonts w:ascii="Times New Roman" w:eastAsia="Times New Roman"/>
        </w:rPr>
      </w:pPr>
      <w:r>
        <w:rPr/>
        <w:t>您有解</w:t>
      </w:r>
      <w:r>
        <w:rPr>
          <w:spacing w:val="-3"/>
        </w:rPr>
        <w:t>除</w:t>
      </w:r>
      <w:r>
        <w:rPr/>
        <w:t>合同</w:t>
      </w:r>
      <w:r>
        <w:rPr>
          <w:spacing w:val="-3"/>
        </w:rPr>
        <w:t>的</w:t>
      </w:r>
      <w:r>
        <w:rPr/>
        <w:t>权利</w:t>
        <w:tab/>
      </w:r>
      <w:r>
        <w:rPr>
          <w:rFonts w:ascii="Times New Roman" w:eastAsia="Times New Roman"/>
        </w:rPr>
        <w:t>1.6</w:t>
      </w:r>
    </w:p>
    <w:p>
      <w:pPr>
        <w:pStyle w:val="BodyText"/>
        <w:tabs>
          <w:tab w:pos="9510" w:val="right" w:leader="dot"/>
        </w:tabs>
        <w:spacing w:line="281" w:lineRule="exact"/>
        <w:ind w:left="1"/>
        <w:jc w:val="center"/>
        <w:rPr>
          <w:rFonts w:ascii="Times New Roman" w:eastAsia="Times New Roman"/>
        </w:rPr>
      </w:pPr>
      <w:r>
        <w:rPr/>
        <w:t>本合同提</w:t>
      </w:r>
      <w:r>
        <w:rPr>
          <w:spacing w:val="-3"/>
        </w:rPr>
        <w:t>供</w:t>
      </w:r>
      <w:r>
        <w:rPr/>
        <w:t>的保</w:t>
      </w:r>
      <w:r>
        <w:rPr>
          <w:spacing w:val="-3"/>
        </w:rPr>
        <w:t>障</w:t>
      </w:r>
      <w:r>
        <w:rPr/>
        <w:t>在保</w:t>
      </w:r>
      <w:r>
        <w:rPr>
          <w:spacing w:val="-3"/>
        </w:rPr>
        <w:t>险</w:t>
      </w:r>
      <w:r>
        <w:rPr/>
        <w:t>责任条款</w:t>
      </w:r>
      <w:r>
        <w:rPr>
          <w:spacing w:val="-3"/>
        </w:rPr>
        <w:t>中</w:t>
      </w:r>
      <w:r>
        <w:rPr/>
        <w:t>列明</w:t>
        <w:tab/>
      </w:r>
      <w:r>
        <w:rPr>
          <w:rFonts w:ascii="Times New Roman" w:eastAsia="Times New Roman"/>
        </w:rPr>
        <w:t>2.5</w:t>
      </w:r>
    </w:p>
    <w:p>
      <w:pPr>
        <w:pStyle w:val="Heading1"/>
        <w:spacing w:before="403"/>
        <w:ind w:left="2"/>
      </w:pPr>
      <w:r>
        <w:rPr/>
        <w:t>您应当特别注意的事项</w:t>
      </w:r>
    </w:p>
    <w:p>
      <w:pPr>
        <w:pStyle w:val="BodyText"/>
        <w:tabs>
          <w:tab w:pos="9514" w:val="right" w:leader="dot"/>
        </w:tabs>
        <w:spacing w:line="268" w:lineRule="exact"/>
        <w:ind w:left="4"/>
        <w:jc w:val="center"/>
        <w:rPr>
          <w:rFonts w:ascii="Times New Roman" w:eastAsia="Times New Roman"/>
        </w:rP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r>
      <w:r>
        <w:rPr>
          <w:rFonts w:ascii="Times New Roman" w:eastAsia="Times New Roman"/>
        </w:rPr>
        <w:t>1.6</w:t>
      </w:r>
    </w:p>
    <w:p>
      <w:pPr>
        <w:pStyle w:val="BodyText"/>
        <w:tabs>
          <w:tab w:pos="9515" w:val="right" w:leader="dot"/>
        </w:tabs>
        <w:spacing w:line="272" w:lineRule="exact"/>
        <w:ind w:left="4"/>
        <w:jc w:val="center"/>
        <w:rPr>
          <w:rFonts w:ascii="Times New Roman" w:eastAsia="Times New Roman"/>
        </w:rPr>
      </w:pPr>
      <w:r>
        <w:rPr/>
        <w:t>在某</w:t>
      </w:r>
      <w:r>
        <w:rPr>
          <w:spacing w:val="-3"/>
        </w:rPr>
        <w:t>些</w:t>
      </w:r>
      <w:r>
        <w:rPr/>
        <w:t>情</w:t>
      </w:r>
      <w:r>
        <w:rPr>
          <w:spacing w:val="-3"/>
        </w:rPr>
        <w:t>况</w:t>
      </w:r>
      <w:r>
        <w:rPr/>
        <w:t>下</w:t>
      </w:r>
      <w:r>
        <w:rPr>
          <w:spacing w:val="-3"/>
        </w:rPr>
        <w:t>，</w:t>
      </w:r>
      <w:r>
        <w:rPr/>
        <w:t>本</w:t>
      </w:r>
      <w:r>
        <w:rPr>
          <w:spacing w:val="-3"/>
        </w:rPr>
        <w:t>公</w:t>
      </w:r>
      <w:r>
        <w:rPr/>
        <w:t>司</w:t>
      </w:r>
      <w:r>
        <w:rPr>
          <w:spacing w:val="-3"/>
        </w:rPr>
        <w:t>不</w:t>
      </w:r>
      <w:r>
        <w:rPr/>
        <w:t>承担</w:t>
      </w:r>
      <w:r>
        <w:rPr>
          <w:spacing w:val="-3"/>
        </w:rPr>
        <w:t>保</w:t>
      </w:r>
      <w:r>
        <w:rPr/>
        <w:t>险</w:t>
      </w:r>
      <w:r>
        <w:rPr>
          <w:spacing w:val="-3"/>
        </w:rPr>
        <w:t>责</w:t>
      </w:r>
      <w:r>
        <w:rPr/>
        <w:t>任</w:t>
        <w:tab/>
      </w:r>
      <w:r>
        <w:rPr>
          <w:rFonts w:ascii="Times New Roman" w:eastAsia="Times New Roman"/>
        </w:rPr>
        <w:t>2.6</w:t>
      </w:r>
    </w:p>
    <w:p>
      <w:pPr>
        <w:pStyle w:val="BodyText"/>
        <w:tabs>
          <w:tab w:pos="9515" w:val="right" w:leader="dot"/>
        </w:tabs>
        <w:spacing w:line="273" w:lineRule="exact"/>
        <w:ind w:left="4"/>
        <w:jc w:val="center"/>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本</w:t>
      </w:r>
      <w:r>
        <w:rPr/>
        <w:t>公司</w:t>
        <w:tab/>
      </w:r>
      <w:r>
        <w:rPr>
          <w:rFonts w:ascii="Times New Roman" w:eastAsia="Times New Roman"/>
        </w:rPr>
        <w:t>3.2</w:t>
      </w:r>
    </w:p>
    <w:p>
      <w:pPr>
        <w:pStyle w:val="BodyText"/>
        <w:tabs>
          <w:tab w:pos="9515" w:val="right" w:leader="dot"/>
        </w:tabs>
        <w:spacing w:line="273" w:lineRule="exact"/>
        <w:ind w:left="4"/>
        <w:jc w:val="center"/>
        <w:rPr>
          <w:rFonts w:ascii="Times New Roman" w:eastAsia="Times New Roman"/>
        </w:rPr>
      </w:pPr>
      <w:r>
        <w:rPr/>
        <w:t>您应</w:t>
      </w:r>
      <w:r>
        <w:rPr>
          <w:spacing w:val="-3"/>
        </w:rPr>
        <w:t>当</w:t>
      </w:r>
      <w:r>
        <w:rPr/>
        <w:t>按</w:t>
      </w:r>
      <w:r>
        <w:rPr>
          <w:spacing w:val="-3"/>
        </w:rPr>
        <w:t>时</w:t>
      </w:r>
      <w:r>
        <w:rPr/>
        <w:t>交</w:t>
      </w:r>
      <w:r>
        <w:rPr>
          <w:spacing w:val="-3"/>
        </w:rPr>
        <w:t>纳</w:t>
      </w:r>
      <w:r>
        <w:rPr/>
        <w:t>保</w:t>
      </w:r>
      <w:r>
        <w:rPr>
          <w:spacing w:val="-3"/>
        </w:rPr>
        <w:t>险</w:t>
      </w:r>
      <w:r>
        <w:rPr/>
        <w:t>费</w:t>
        <w:tab/>
      </w:r>
      <w:r>
        <w:rPr>
          <w:rFonts w:ascii="Times New Roman" w:eastAsia="Times New Roman"/>
        </w:rPr>
        <w:t>4.1</w:t>
      </w:r>
    </w:p>
    <w:p>
      <w:pPr>
        <w:pStyle w:val="BodyText"/>
        <w:tabs>
          <w:tab w:pos="9510" w:val="right" w:leader="dot"/>
        </w:tabs>
        <w:spacing w:line="272" w:lineRule="exact"/>
        <w:ind w:left="1"/>
        <w:jc w:val="center"/>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spacing w:val="-3"/>
        </w:rPr>
        <w:t>6.1</w:t>
      </w:r>
    </w:p>
    <w:p>
      <w:pPr>
        <w:pStyle w:val="BodyText"/>
        <w:tabs>
          <w:tab w:pos="9515" w:val="right" w:leader="dot"/>
        </w:tabs>
        <w:spacing w:line="282" w:lineRule="exact"/>
        <w:ind w:left="4"/>
        <w:jc w:val="center"/>
        <w:rPr>
          <w:rFonts w:ascii="Times New Roman" w:eastAsia="Times New Roman"/>
        </w:rPr>
      </w:pPr>
      <w:r>
        <w:rPr/>
        <w:t>本公</w:t>
      </w:r>
      <w:r>
        <w:rPr>
          <w:spacing w:val="-3"/>
        </w:rPr>
        <w:t>司</w:t>
      </w:r>
      <w:r>
        <w:rPr/>
        <w:t>对</w:t>
      </w:r>
      <w:r>
        <w:rPr>
          <w:spacing w:val="-3"/>
        </w:rPr>
        <w:t>一</w:t>
      </w:r>
      <w:r>
        <w:rPr/>
        <w:t>些</w:t>
      </w:r>
      <w:r>
        <w:rPr>
          <w:spacing w:val="-3"/>
        </w:rPr>
        <w:t>重</w:t>
      </w:r>
      <w:r>
        <w:rPr/>
        <w:t>要</w:t>
      </w:r>
      <w:r>
        <w:rPr>
          <w:spacing w:val="-3"/>
        </w:rPr>
        <w:t>术</w:t>
      </w:r>
      <w:r>
        <w:rPr/>
        <w:t>语</w:t>
      </w:r>
      <w:r>
        <w:rPr>
          <w:spacing w:val="-3"/>
        </w:rPr>
        <w:t>进</w:t>
      </w:r>
      <w:r>
        <w:rPr/>
        <w:t>行了</w:t>
      </w:r>
      <w:r>
        <w:rPr>
          <w:spacing w:val="-3"/>
        </w:rPr>
        <w:t>解</w:t>
      </w:r>
      <w:r>
        <w:rPr/>
        <w:t>释</w:t>
      </w:r>
      <w:r>
        <w:rPr>
          <w:spacing w:val="-3"/>
        </w:rPr>
        <w:t>，</w:t>
      </w:r>
      <w:r>
        <w:rPr/>
        <w:t>并</w:t>
      </w:r>
      <w:r>
        <w:rPr>
          <w:spacing w:val="-3"/>
        </w:rPr>
        <w:t>作</w:t>
      </w:r>
      <w:r>
        <w:rPr/>
        <w:t>了</w:t>
      </w:r>
      <w:r>
        <w:rPr>
          <w:spacing w:val="-3"/>
        </w:rPr>
        <w:t>显</w:t>
      </w:r>
      <w:r>
        <w:rPr/>
        <w:t>著</w:t>
      </w:r>
      <w:r>
        <w:rPr>
          <w:spacing w:val="-3"/>
        </w:rPr>
        <w:t>标</w:t>
      </w:r>
      <w:r>
        <w:rPr/>
        <w:t>识，</w:t>
      </w:r>
      <w:r>
        <w:rPr>
          <w:spacing w:val="-3"/>
        </w:rPr>
        <w:t>请</w:t>
      </w:r>
      <w:r>
        <w:rPr/>
        <w:t>您</w:t>
      </w:r>
      <w:r>
        <w:rPr>
          <w:spacing w:val="-3"/>
        </w:rPr>
        <w:t>注</w:t>
      </w:r>
      <w:r>
        <w:rPr/>
        <w:t>意</w:t>
        <w:tab/>
      </w:r>
      <w:r>
        <w:rPr>
          <w:rFonts w:ascii="Times New Roman" w:eastAsia="Times New Roman"/>
        </w:rPr>
        <w:t>7</w:t>
      </w:r>
    </w:p>
    <w:p>
      <w:pPr>
        <w:spacing w:after="0" w:line="282" w:lineRule="exact"/>
        <w:jc w:val="center"/>
        <w:rPr>
          <w:rFonts w:ascii="Times New Roman" w:eastAsia="Times New Roman"/>
        </w:rPr>
        <w:sectPr>
          <w:headerReference w:type="default" r:id="rId5"/>
          <w:footerReference w:type="default" r:id="rId6"/>
          <w:type w:val="continuous"/>
          <w:pgSz w:w="11910" w:h="16450"/>
          <w:pgMar w:header="877" w:footer="968" w:top="1100" w:bottom="1160" w:left="1060" w:right="1060"/>
          <w:pgNumType w:start="1"/>
        </w:sectPr>
      </w:pPr>
    </w:p>
    <w:p>
      <w:pPr>
        <w:spacing w:line="348" w:lineRule="exact" w:before="0"/>
        <w:ind w:left="4" w:right="0" w:firstLine="0"/>
        <w:jc w:val="center"/>
        <w:rPr>
          <w:rFonts w:ascii="微软雅黑" w:eastAsia="微软雅黑" w:hint="eastAsia"/>
          <w:b/>
          <w:sz w:val="21"/>
        </w:rPr>
      </w:pPr>
      <w:r>
        <w:rPr>
          <w:rFonts w:ascii="微软雅黑" w:eastAsia="微软雅黑" w:hint="eastAsia"/>
          <w:b/>
          <w:sz w:val="21"/>
        </w:rPr>
        <w:t>条款目录</w:t>
      </w:r>
    </w:p>
    <w:p>
      <w:pPr>
        <w:pStyle w:val="BodyText"/>
        <w:spacing w:before="6"/>
        <w:rPr>
          <w:rFonts w:ascii="微软雅黑"/>
          <w:b/>
          <w:sz w:val="12"/>
        </w:rPr>
      </w:pPr>
    </w:p>
    <w:p>
      <w:pPr>
        <w:pStyle w:val="BodyText"/>
        <w:spacing w:after="32"/>
        <w:ind w:left="4"/>
        <w:jc w:val="center"/>
      </w:pPr>
      <w:r>
        <w:rPr/>
        <w:pict>
          <v:group style="position:absolute;margin-left:217.610001pt;margin-top:16.823658pt;width:.5pt;height:324.2pt;mso-position-horizontal-relative:page;mso-position-vertical-relative:paragraph;z-index:-34864" coordorigin="4352,336" coordsize="10,6484">
            <v:shape style="position:absolute;left:4352;top:336;width:10;height:3" type="#_x0000_t75" stroked="false">
              <v:imagedata r:id="rId8" o:title=""/>
            </v:shape>
            <v:shape style="position:absolute;left:4352;top:338;width:10;height:6482" type="#_x0000_t75" stroked="false">
              <v:imagedata r:id="rId9" o:title=""/>
            </v:shape>
            <w10:wrap type="none"/>
          </v:group>
        </w:pict>
      </w:r>
      <w:r>
        <w:rPr/>
        <w:pict>
          <v:group style="position:absolute;margin-left:384.910004pt;margin-top:16.823658pt;width:.5pt;height:324.2pt;mso-position-horizontal-relative:page;mso-position-vertical-relative:paragraph;z-index:-34840" coordorigin="7698,336" coordsize="10,6484">
            <v:shape style="position:absolute;left:7698;top:336;width:10;height:3" type="#_x0000_t75" stroked="false">
              <v:imagedata r:id="rId8" o:title=""/>
            </v:shape>
            <v:shape style="position:absolute;left:7698;top:338;width:10;height:6482" type="#_x0000_t75" stroked="false">
              <v:imagedata r:id="rId10" o:title=""/>
            </v:shape>
            <w10:wrap type="none"/>
          </v:group>
        </w:pict>
      </w:r>
      <w:r>
        <w:rPr/>
        <w:t>条款是保险合同的重要内容，为充分保障您的权益，请您仔细阅读本条款。</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4"/>
        <w:gridCol w:w="3144"/>
        <w:gridCol w:w="3249"/>
      </w:tblGrid>
      <w:tr>
        <w:trPr>
          <w:trHeight w:val="6482" w:hRule="atLeast"/>
        </w:trPr>
        <w:tc>
          <w:tcPr>
            <w:tcW w:w="3114" w:type="dxa"/>
            <w:tcBorders>
              <w:top w:val="single" w:sz="12" w:space="0" w:color="000000"/>
              <w:bottom w:val="single" w:sz="12" w:space="0" w:color="000000"/>
            </w:tcBorders>
          </w:tcPr>
          <w:p>
            <w:pPr>
              <w:pStyle w:val="TableParagraph"/>
              <w:numPr>
                <w:ilvl w:val="0"/>
                <w:numId w:val="1"/>
              </w:numPr>
              <w:tabs>
                <w:tab w:pos="535" w:val="left" w:leader="none"/>
                <w:tab w:pos="536" w:val="left" w:leader="none"/>
              </w:tabs>
              <w:spacing w:line="252" w:lineRule="exact" w:before="0" w:after="0"/>
              <w:ind w:left="535" w:right="0" w:hanging="420"/>
              <w:jc w:val="left"/>
              <w:rPr>
                <w:rFonts w:ascii="微软雅黑" w:eastAsia="微软雅黑" w:hint="eastAsia"/>
                <w:b/>
                <w:sz w:val="21"/>
              </w:rPr>
            </w:pPr>
            <w:r>
              <w:rPr>
                <w:rFonts w:ascii="微软雅黑" w:eastAsia="微软雅黑" w:hint="eastAsia"/>
                <w:b/>
                <w:sz w:val="21"/>
              </w:rPr>
              <w:t>您与我们的合同</w:t>
            </w:r>
          </w:p>
          <w:p>
            <w:pPr>
              <w:pStyle w:val="TableParagraph"/>
              <w:numPr>
                <w:ilvl w:val="1"/>
                <w:numId w:val="1"/>
              </w:numPr>
              <w:tabs>
                <w:tab w:pos="647" w:val="left" w:leader="none"/>
              </w:tabs>
              <w:spacing w:line="268" w:lineRule="exact" w:before="0" w:after="0"/>
              <w:ind w:left="646" w:right="0" w:hanging="425"/>
              <w:jc w:val="left"/>
              <w:rPr>
                <w:sz w:val="21"/>
              </w:rPr>
            </w:pPr>
            <w:r>
              <w:rPr>
                <w:spacing w:val="-1"/>
                <w:sz w:val="21"/>
              </w:rPr>
              <w:t>合同构成</w:t>
            </w:r>
          </w:p>
          <w:p>
            <w:pPr>
              <w:pStyle w:val="TableParagraph"/>
              <w:numPr>
                <w:ilvl w:val="1"/>
                <w:numId w:val="1"/>
              </w:numPr>
              <w:tabs>
                <w:tab w:pos="647" w:val="left" w:leader="none"/>
              </w:tabs>
              <w:spacing w:line="271" w:lineRule="exact" w:before="0" w:after="0"/>
              <w:ind w:left="646" w:right="0" w:hanging="425"/>
              <w:jc w:val="left"/>
              <w:rPr>
                <w:sz w:val="21"/>
              </w:rPr>
            </w:pPr>
            <w:r>
              <w:rPr>
                <w:spacing w:val="-1"/>
                <w:sz w:val="21"/>
              </w:rPr>
              <w:t>投保年龄</w:t>
            </w:r>
          </w:p>
          <w:p>
            <w:pPr>
              <w:pStyle w:val="TableParagraph"/>
              <w:numPr>
                <w:ilvl w:val="1"/>
                <w:numId w:val="1"/>
              </w:numPr>
              <w:tabs>
                <w:tab w:pos="647" w:val="left" w:leader="none"/>
              </w:tabs>
              <w:spacing w:line="225" w:lineRule="auto" w:before="7" w:after="0"/>
              <w:ind w:left="646" w:right="152" w:hanging="425"/>
              <w:jc w:val="left"/>
              <w:rPr>
                <w:sz w:val="21"/>
              </w:rPr>
            </w:pPr>
            <w:r>
              <w:rPr>
                <w:spacing w:val="-3"/>
                <w:sz w:val="21"/>
              </w:rPr>
              <w:t>合同成立与生效和保险责任开始</w:t>
            </w:r>
          </w:p>
          <w:p>
            <w:pPr>
              <w:pStyle w:val="TableParagraph"/>
              <w:numPr>
                <w:ilvl w:val="1"/>
                <w:numId w:val="1"/>
              </w:numPr>
              <w:tabs>
                <w:tab w:pos="647" w:val="left" w:leader="none"/>
              </w:tabs>
              <w:spacing w:line="279" w:lineRule="exact" w:before="0" w:after="0"/>
              <w:ind w:left="646" w:right="0" w:hanging="425"/>
              <w:jc w:val="left"/>
              <w:rPr>
                <w:sz w:val="21"/>
              </w:rPr>
            </w:pPr>
            <w:r>
              <w:rPr>
                <w:sz w:val="21"/>
              </w:rPr>
              <w:t>犹豫期</w:t>
            </w:r>
          </w:p>
          <w:p>
            <w:pPr>
              <w:pStyle w:val="TableParagraph"/>
              <w:numPr>
                <w:ilvl w:val="1"/>
                <w:numId w:val="1"/>
              </w:numPr>
              <w:tabs>
                <w:tab w:pos="647" w:val="left" w:leader="none"/>
              </w:tabs>
              <w:spacing w:line="272" w:lineRule="exact" w:before="0" w:after="0"/>
              <w:ind w:left="646" w:right="0" w:hanging="425"/>
              <w:jc w:val="left"/>
              <w:rPr>
                <w:sz w:val="21"/>
              </w:rPr>
            </w:pPr>
            <w:r>
              <w:rPr>
                <w:spacing w:val="-2"/>
                <w:sz w:val="21"/>
              </w:rPr>
              <w:t>合同内容变更</w:t>
            </w:r>
          </w:p>
          <w:p>
            <w:pPr>
              <w:pStyle w:val="TableParagraph"/>
              <w:numPr>
                <w:ilvl w:val="1"/>
                <w:numId w:val="1"/>
              </w:numPr>
              <w:tabs>
                <w:tab w:pos="647" w:val="left" w:leader="none"/>
              </w:tabs>
              <w:spacing w:line="281" w:lineRule="exact" w:before="0" w:after="0"/>
              <w:ind w:left="646" w:right="0" w:hanging="425"/>
              <w:jc w:val="left"/>
              <w:rPr>
                <w:sz w:val="21"/>
              </w:rPr>
            </w:pPr>
            <w:r>
              <w:rPr>
                <w:spacing w:val="-3"/>
                <w:sz w:val="21"/>
              </w:rPr>
              <w:t>您解除合同的手续及风险</w:t>
            </w:r>
          </w:p>
          <w:p>
            <w:pPr>
              <w:pStyle w:val="TableParagraph"/>
              <w:numPr>
                <w:ilvl w:val="0"/>
                <w:numId w:val="1"/>
              </w:numPr>
              <w:tabs>
                <w:tab w:pos="535" w:val="left" w:leader="none"/>
                <w:tab w:pos="536" w:val="left" w:leader="none"/>
              </w:tabs>
              <w:spacing w:line="349" w:lineRule="exact" w:before="161" w:after="0"/>
              <w:ind w:left="535" w:right="0" w:hanging="420"/>
              <w:jc w:val="left"/>
              <w:rPr>
                <w:rFonts w:ascii="微软雅黑" w:eastAsia="微软雅黑" w:hint="eastAsia"/>
                <w:b/>
                <w:sz w:val="21"/>
              </w:rPr>
            </w:pPr>
            <w:r>
              <w:rPr>
                <w:rFonts w:ascii="微软雅黑" w:eastAsia="微软雅黑" w:hint="eastAsia"/>
                <w:b/>
                <w:sz w:val="21"/>
              </w:rPr>
              <w:t>我们提供的保障</w:t>
            </w:r>
          </w:p>
          <w:p>
            <w:pPr>
              <w:pStyle w:val="TableParagraph"/>
              <w:numPr>
                <w:ilvl w:val="1"/>
                <w:numId w:val="1"/>
              </w:numPr>
              <w:tabs>
                <w:tab w:pos="647" w:val="left" w:leader="none"/>
              </w:tabs>
              <w:spacing w:line="268" w:lineRule="exact" w:before="0" w:after="0"/>
              <w:ind w:left="646" w:right="0" w:hanging="425"/>
              <w:jc w:val="left"/>
              <w:rPr>
                <w:sz w:val="21"/>
              </w:rPr>
            </w:pPr>
            <w:r>
              <w:rPr>
                <w:spacing w:val="-3"/>
                <w:sz w:val="21"/>
              </w:rPr>
              <w:t>基本保险金额</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保险金额</w:t>
            </w:r>
          </w:p>
          <w:p>
            <w:pPr>
              <w:pStyle w:val="TableParagraph"/>
              <w:numPr>
                <w:ilvl w:val="1"/>
                <w:numId w:val="1"/>
              </w:numPr>
              <w:tabs>
                <w:tab w:pos="647" w:val="left" w:leader="none"/>
              </w:tabs>
              <w:spacing w:line="272" w:lineRule="exact" w:before="0" w:after="0"/>
              <w:ind w:left="646" w:right="0" w:hanging="425"/>
              <w:jc w:val="left"/>
              <w:rPr>
                <w:sz w:val="21"/>
              </w:rPr>
            </w:pPr>
            <w:r>
              <w:rPr>
                <w:spacing w:val="-3"/>
                <w:sz w:val="21"/>
              </w:rPr>
              <w:t>未成年人身故保险金限制</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保险期间</w:t>
            </w:r>
          </w:p>
          <w:p>
            <w:pPr>
              <w:pStyle w:val="TableParagraph"/>
              <w:numPr>
                <w:ilvl w:val="1"/>
                <w:numId w:val="1"/>
              </w:numPr>
              <w:tabs>
                <w:tab w:pos="647" w:val="left" w:leader="none"/>
              </w:tabs>
              <w:spacing w:line="272" w:lineRule="exact" w:before="0" w:after="0"/>
              <w:ind w:left="646" w:right="0" w:hanging="425"/>
              <w:jc w:val="left"/>
              <w:rPr>
                <w:sz w:val="21"/>
              </w:rPr>
            </w:pPr>
            <w:r>
              <w:rPr>
                <w:spacing w:val="-1"/>
                <w:sz w:val="21"/>
              </w:rPr>
              <w:t>保险责任</w:t>
            </w:r>
          </w:p>
          <w:p>
            <w:pPr>
              <w:pStyle w:val="TableParagraph"/>
              <w:numPr>
                <w:ilvl w:val="1"/>
                <w:numId w:val="1"/>
              </w:numPr>
              <w:tabs>
                <w:tab w:pos="647" w:val="left" w:leader="none"/>
              </w:tabs>
              <w:spacing w:line="281" w:lineRule="exact" w:before="0" w:after="0"/>
              <w:ind w:left="646" w:right="0" w:hanging="425"/>
              <w:jc w:val="left"/>
              <w:rPr>
                <w:sz w:val="21"/>
              </w:rPr>
            </w:pPr>
            <w:r>
              <w:rPr>
                <w:spacing w:val="-1"/>
                <w:sz w:val="21"/>
              </w:rPr>
              <w:t>责任免除</w:t>
            </w:r>
          </w:p>
          <w:p>
            <w:pPr>
              <w:pStyle w:val="TableParagraph"/>
              <w:numPr>
                <w:ilvl w:val="0"/>
                <w:numId w:val="1"/>
              </w:numPr>
              <w:tabs>
                <w:tab w:pos="535" w:val="left" w:leader="none"/>
                <w:tab w:pos="536" w:val="left" w:leader="none"/>
              </w:tabs>
              <w:spacing w:line="349" w:lineRule="exact" w:before="159" w:after="0"/>
              <w:ind w:left="535" w:right="0" w:hanging="420"/>
              <w:jc w:val="left"/>
              <w:rPr>
                <w:rFonts w:ascii="微软雅黑" w:eastAsia="微软雅黑" w:hint="eastAsia"/>
                <w:b/>
                <w:sz w:val="21"/>
              </w:rPr>
            </w:pPr>
            <w:r>
              <w:rPr>
                <w:rFonts w:ascii="微软雅黑" w:eastAsia="微软雅黑" w:hint="eastAsia"/>
                <w:b/>
                <w:sz w:val="21"/>
              </w:rPr>
              <w:t>如何申请领取保险金</w:t>
            </w:r>
          </w:p>
          <w:p>
            <w:pPr>
              <w:pStyle w:val="TableParagraph"/>
              <w:numPr>
                <w:ilvl w:val="1"/>
                <w:numId w:val="1"/>
              </w:numPr>
              <w:tabs>
                <w:tab w:pos="625" w:val="left" w:leader="none"/>
              </w:tabs>
              <w:spacing w:line="268" w:lineRule="exact" w:before="0" w:after="0"/>
              <w:ind w:left="624" w:right="0" w:hanging="420"/>
              <w:jc w:val="left"/>
              <w:rPr>
                <w:sz w:val="21"/>
              </w:rPr>
            </w:pPr>
            <w:r>
              <w:rPr>
                <w:spacing w:val="-2"/>
                <w:sz w:val="21"/>
              </w:rPr>
              <w:t>保险金受益人</w:t>
            </w:r>
          </w:p>
          <w:p>
            <w:pPr>
              <w:pStyle w:val="TableParagraph"/>
              <w:numPr>
                <w:ilvl w:val="1"/>
                <w:numId w:val="1"/>
              </w:numPr>
              <w:tabs>
                <w:tab w:pos="625" w:val="left" w:leader="none"/>
              </w:tabs>
              <w:spacing w:line="273" w:lineRule="exact" w:before="0" w:after="0"/>
              <w:ind w:left="624" w:right="0" w:hanging="420"/>
              <w:jc w:val="left"/>
              <w:rPr>
                <w:sz w:val="21"/>
              </w:rPr>
            </w:pPr>
            <w:r>
              <w:rPr>
                <w:spacing w:val="-2"/>
                <w:sz w:val="21"/>
              </w:rPr>
              <w:t>保险事故通知</w:t>
            </w:r>
          </w:p>
          <w:p>
            <w:pPr>
              <w:pStyle w:val="TableParagraph"/>
              <w:numPr>
                <w:ilvl w:val="1"/>
                <w:numId w:val="1"/>
              </w:numPr>
              <w:tabs>
                <w:tab w:pos="625" w:val="left" w:leader="none"/>
              </w:tabs>
              <w:spacing w:line="273" w:lineRule="exact" w:before="0" w:after="0"/>
              <w:ind w:left="624" w:right="0" w:hanging="420"/>
              <w:jc w:val="left"/>
              <w:rPr>
                <w:sz w:val="21"/>
              </w:rPr>
            </w:pPr>
            <w:r>
              <w:rPr>
                <w:spacing w:val="-1"/>
                <w:sz w:val="21"/>
              </w:rPr>
              <w:t>保险金申请</w:t>
            </w:r>
          </w:p>
          <w:p>
            <w:pPr>
              <w:pStyle w:val="TableParagraph"/>
              <w:numPr>
                <w:ilvl w:val="1"/>
                <w:numId w:val="1"/>
              </w:numPr>
              <w:tabs>
                <w:tab w:pos="625" w:val="left" w:leader="none"/>
              </w:tabs>
              <w:spacing w:line="272" w:lineRule="exact" w:before="0" w:after="0"/>
              <w:ind w:left="624" w:right="0" w:hanging="420"/>
              <w:jc w:val="left"/>
              <w:rPr>
                <w:sz w:val="21"/>
              </w:rPr>
            </w:pPr>
            <w:r>
              <w:rPr>
                <w:spacing w:val="-1"/>
                <w:sz w:val="21"/>
              </w:rPr>
              <w:t>保险金给付</w:t>
            </w:r>
          </w:p>
          <w:p>
            <w:pPr>
              <w:pStyle w:val="TableParagraph"/>
              <w:numPr>
                <w:ilvl w:val="1"/>
                <w:numId w:val="1"/>
              </w:numPr>
              <w:tabs>
                <w:tab w:pos="625" w:val="left" w:leader="none"/>
              </w:tabs>
              <w:spacing w:line="272" w:lineRule="exact" w:before="0" w:after="0"/>
              <w:ind w:left="624" w:right="0" w:hanging="420"/>
              <w:jc w:val="left"/>
              <w:rPr>
                <w:sz w:val="21"/>
              </w:rPr>
            </w:pPr>
            <w:r>
              <w:rPr>
                <w:spacing w:val="-2"/>
                <w:sz w:val="21"/>
              </w:rPr>
              <w:t>宣告死亡处理</w:t>
            </w:r>
          </w:p>
          <w:p>
            <w:pPr>
              <w:pStyle w:val="TableParagraph"/>
              <w:numPr>
                <w:ilvl w:val="1"/>
                <w:numId w:val="1"/>
              </w:numPr>
              <w:tabs>
                <w:tab w:pos="625" w:val="left" w:leader="none"/>
              </w:tabs>
              <w:spacing w:line="281" w:lineRule="exact" w:before="0" w:after="0"/>
              <w:ind w:left="624" w:right="0" w:hanging="420"/>
              <w:jc w:val="left"/>
              <w:rPr>
                <w:sz w:val="21"/>
              </w:rPr>
            </w:pPr>
            <w:r>
              <w:rPr>
                <w:spacing w:val="-1"/>
                <w:sz w:val="21"/>
              </w:rPr>
              <w:t>诉讼时效</w:t>
            </w:r>
          </w:p>
        </w:tc>
        <w:tc>
          <w:tcPr>
            <w:tcW w:w="3144" w:type="dxa"/>
            <w:tcBorders>
              <w:top w:val="single" w:sz="12" w:space="0" w:color="000000"/>
              <w:bottom w:val="single" w:sz="12" w:space="0" w:color="000000"/>
            </w:tcBorders>
          </w:tcPr>
          <w:p>
            <w:pPr>
              <w:pStyle w:val="TableParagraph"/>
              <w:numPr>
                <w:ilvl w:val="0"/>
                <w:numId w:val="2"/>
              </w:numPr>
              <w:tabs>
                <w:tab w:pos="573" w:val="left" w:leader="none"/>
                <w:tab w:pos="574" w:val="left" w:leader="none"/>
              </w:tabs>
              <w:spacing w:line="252" w:lineRule="exact" w:before="0" w:after="0"/>
              <w:ind w:left="573" w:right="0" w:hanging="420"/>
              <w:jc w:val="left"/>
              <w:rPr>
                <w:rFonts w:ascii="微软雅黑" w:eastAsia="微软雅黑" w:hint="eastAsia"/>
                <w:b/>
                <w:sz w:val="21"/>
              </w:rPr>
            </w:pPr>
            <w:r>
              <w:rPr>
                <w:rFonts w:ascii="微软雅黑" w:eastAsia="微软雅黑" w:hint="eastAsia"/>
                <w:b/>
                <w:sz w:val="21"/>
              </w:rPr>
              <w:t>如何交纳保险费</w:t>
            </w:r>
          </w:p>
          <w:p>
            <w:pPr>
              <w:pStyle w:val="TableParagraph"/>
              <w:numPr>
                <w:ilvl w:val="1"/>
                <w:numId w:val="2"/>
              </w:numPr>
              <w:tabs>
                <w:tab w:pos="687" w:val="left" w:leader="none"/>
              </w:tabs>
              <w:spacing w:line="268" w:lineRule="exact" w:before="0" w:after="0"/>
              <w:ind w:left="686" w:right="0" w:hanging="425"/>
              <w:jc w:val="left"/>
              <w:rPr>
                <w:sz w:val="21"/>
              </w:rPr>
            </w:pPr>
            <w:r>
              <w:rPr>
                <w:spacing w:val="-2"/>
                <w:sz w:val="21"/>
              </w:rPr>
              <w:t>保险费的交纳</w:t>
            </w:r>
          </w:p>
          <w:p>
            <w:pPr>
              <w:pStyle w:val="TableParagraph"/>
              <w:numPr>
                <w:ilvl w:val="1"/>
                <w:numId w:val="2"/>
              </w:numPr>
              <w:tabs>
                <w:tab w:pos="687" w:val="left" w:leader="none"/>
              </w:tabs>
              <w:spacing w:line="281" w:lineRule="exact" w:before="0" w:after="0"/>
              <w:ind w:left="686" w:right="0" w:hanging="425"/>
              <w:jc w:val="left"/>
              <w:rPr>
                <w:sz w:val="21"/>
              </w:rPr>
            </w:pPr>
            <w:r>
              <w:rPr>
                <w:sz w:val="21"/>
              </w:rPr>
              <w:t>宽限期</w:t>
            </w:r>
          </w:p>
          <w:p>
            <w:pPr>
              <w:pStyle w:val="TableParagraph"/>
              <w:numPr>
                <w:ilvl w:val="0"/>
                <w:numId w:val="2"/>
              </w:numPr>
              <w:tabs>
                <w:tab w:pos="573" w:val="left" w:leader="none"/>
                <w:tab w:pos="574" w:val="left" w:leader="none"/>
              </w:tabs>
              <w:spacing w:line="349" w:lineRule="exact" w:before="160" w:after="0"/>
              <w:ind w:left="573" w:right="0" w:hanging="420"/>
              <w:jc w:val="left"/>
              <w:rPr>
                <w:rFonts w:ascii="微软雅黑" w:eastAsia="微软雅黑" w:hint="eastAsia"/>
                <w:b/>
                <w:sz w:val="21"/>
              </w:rPr>
            </w:pPr>
            <w:r>
              <w:rPr>
                <w:rFonts w:ascii="微软雅黑" w:eastAsia="微软雅黑" w:hint="eastAsia"/>
                <w:b/>
                <w:spacing w:val="-2"/>
                <w:sz w:val="21"/>
              </w:rPr>
              <w:t>合同效力的中止及恢复</w:t>
            </w:r>
          </w:p>
          <w:p>
            <w:pPr>
              <w:pStyle w:val="TableParagraph"/>
              <w:numPr>
                <w:ilvl w:val="1"/>
                <w:numId w:val="2"/>
              </w:numPr>
              <w:tabs>
                <w:tab w:pos="715" w:val="left" w:leader="none"/>
              </w:tabs>
              <w:spacing w:line="268" w:lineRule="exact" w:before="0" w:after="0"/>
              <w:ind w:left="715" w:right="0" w:hanging="420"/>
              <w:jc w:val="left"/>
              <w:rPr>
                <w:sz w:val="21"/>
              </w:rPr>
            </w:pPr>
            <w:r>
              <w:rPr>
                <w:spacing w:val="-2"/>
                <w:sz w:val="21"/>
              </w:rPr>
              <w:t>合同效力中止</w:t>
            </w:r>
          </w:p>
          <w:p>
            <w:pPr>
              <w:pStyle w:val="TableParagraph"/>
              <w:numPr>
                <w:ilvl w:val="1"/>
                <w:numId w:val="2"/>
              </w:numPr>
              <w:tabs>
                <w:tab w:pos="715" w:val="left" w:leader="none"/>
              </w:tabs>
              <w:spacing w:line="281" w:lineRule="exact" w:before="0" w:after="0"/>
              <w:ind w:left="715" w:right="0" w:hanging="420"/>
              <w:jc w:val="left"/>
              <w:rPr>
                <w:sz w:val="21"/>
              </w:rPr>
            </w:pPr>
            <w:r>
              <w:rPr>
                <w:spacing w:val="-2"/>
                <w:sz w:val="21"/>
              </w:rPr>
              <w:t>合同效力恢复</w:t>
            </w:r>
          </w:p>
          <w:p>
            <w:pPr>
              <w:pStyle w:val="TableParagraph"/>
              <w:numPr>
                <w:ilvl w:val="0"/>
                <w:numId w:val="2"/>
              </w:numPr>
              <w:tabs>
                <w:tab w:pos="573" w:val="left" w:leader="none"/>
                <w:tab w:pos="574" w:val="left" w:leader="none"/>
              </w:tabs>
              <w:spacing w:line="350" w:lineRule="exact" w:before="160" w:after="0"/>
              <w:ind w:left="573" w:right="0" w:hanging="420"/>
              <w:jc w:val="left"/>
              <w:rPr>
                <w:rFonts w:ascii="微软雅黑" w:eastAsia="微软雅黑" w:hint="eastAsia"/>
                <w:b/>
                <w:sz w:val="21"/>
              </w:rPr>
            </w:pPr>
            <w:r>
              <w:rPr>
                <w:rFonts w:ascii="微软雅黑" w:eastAsia="微软雅黑" w:hint="eastAsia"/>
                <w:b/>
                <w:sz w:val="21"/>
              </w:rPr>
              <w:t>其它需要关注的事项</w:t>
            </w:r>
          </w:p>
          <w:p>
            <w:pPr>
              <w:pStyle w:val="TableParagraph"/>
              <w:numPr>
                <w:ilvl w:val="1"/>
                <w:numId w:val="2"/>
              </w:numPr>
              <w:tabs>
                <w:tab w:pos="679" w:val="left" w:leader="none"/>
              </w:tabs>
              <w:spacing w:line="268" w:lineRule="exact" w:before="0" w:after="0"/>
              <w:ind w:left="679" w:right="0" w:hanging="420"/>
              <w:jc w:val="left"/>
              <w:rPr>
                <w:sz w:val="21"/>
              </w:rPr>
            </w:pPr>
            <w:r>
              <w:rPr>
                <w:spacing w:val="-3"/>
                <w:sz w:val="21"/>
              </w:rPr>
              <w:t>明确说明与如实告知</w:t>
            </w:r>
          </w:p>
          <w:p>
            <w:pPr>
              <w:pStyle w:val="TableParagraph"/>
              <w:numPr>
                <w:ilvl w:val="1"/>
                <w:numId w:val="2"/>
              </w:numPr>
              <w:tabs>
                <w:tab w:pos="679" w:val="left" w:leader="none"/>
              </w:tabs>
              <w:spacing w:line="272" w:lineRule="exact" w:before="0" w:after="0"/>
              <w:ind w:left="679" w:right="0" w:hanging="420"/>
              <w:jc w:val="left"/>
              <w:rPr>
                <w:sz w:val="21"/>
              </w:rPr>
            </w:pPr>
            <w:r>
              <w:rPr>
                <w:spacing w:val="-2"/>
                <w:sz w:val="21"/>
              </w:rPr>
              <w:t>年龄性别错误</w:t>
            </w:r>
          </w:p>
          <w:p>
            <w:pPr>
              <w:pStyle w:val="TableParagraph"/>
              <w:numPr>
                <w:ilvl w:val="1"/>
                <w:numId w:val="2"/>
              </w:numPr>
              <w:tabs>
                <w:tab w:pos="679" w:val="left" w:leader="none"/>
              </w:tabs>
              <w:spacing w:line="272" w:lineRule="exact" w:before="0" w:after="0"/>
              <w:ind w:left="679" w:right="0" w:hanging="420"/>
              <w:jc w:val="left"/>
              <w:rPr>
                <w:sz w:val="21"/>
              </w:rPr>
            </w:pPr>
            <w:r>
              <w:rPr>
                <w:spacing w:val="-3"/>
                <w:sz w:val="21"/>
              </w:rPr>
              <w:t>合同解除权的限制</w:t>
            </w:r>
          </w:p>
          <w:p>
            <w:pPr>
              <w:pStyle w:val="TableParagraph"/>
              <w:numPr>
                <w:ilvl w:val="1"/>
                <w:numId w:val="2"/>
              </w:numPr>
              <w:tabs>
                <w:tab w:pos="679" w:val="left" w:leader="none"/>
              </w:tabs>
              <w:spacing w:line="272" w:lineRule="exact" w:before="0" w:after="0"/>
              <w:ind w:left="679" w:right="0" w:hanging="420"/>
              <w:jc w:val="left"/>
              <w:rPr>
                <w:sz w:val="21"/>
              </w:rPr>
            </w:pPr>
            <w:r>
              <w:rPr>
                <w:spacing w:val="-1"/>
                <w:sz w:val="21"/>
              </w:rPr>
              <w:t>事故鉴定</w:t>
            </w:r>
          </w:p>
          <w:p>
            <w:pPr>
              <w:pStyle w:val="TableParagraph"/>
              <w:numPr>
                <w:ilvl w:val="1"/>
                <w:numId w:val="2"/>
              </w:numPr>
              <w:tabs>
                <w:tab w:pos="679" w:val="left" w:leader="none"/>
              </w:tabs>
              <w:spacing w:line="282" w:lineRule="exact" w:before="0" w:after="0"/>
              <w:ind w:left="679" w:right="0" w:hanging="420"/>
              <w:jc w:val="left"/>
              <w:rPr>
                <w:sz w:val="21"/>
              </w:rPr>
            </w:pPr>
            <w:r>
              <w:rPr>
                <w:spacing w:val="-1"/>
                <w:sz w:val="21"/>
              </w:rPr>
              <w:t>争议处理</w:t>
            </w:r>
          </w:p>
          <w:p>
            <w:pPr>
              <w:pStyle w:val="TableParagraph"/>
              <w:spacing w:before="2"/>
              <w:ind w:left="0"/>
              <w:rPr>
                <w:sz w:val="15"/>
              </w:rPr>
            </w:pPr>
          </w:p>
          <w:p>
            <w:pPr>
              <w:pStyle w:val="TableParagraph"/>
              <w:numPr>
                <w:ilvl w:val="0"/>
                <w:numId w:val="2"/>
              </w:numPr>
              <w:tabs>
                <w:tab w:pos="573" w:val="left" w:leader="none"/>
                <w:tab w:pos="574" w:val="left" w:leader="none"/>
              </w:tabs>
              <w:spacing w:line="348" w:lineRule="exact" w:before="0" w:after="0"/>
              <w:ind w:left="573" w:right="0" w:hanging="420"/>
              <w:jc w:val="left"/>
              <w:rPr>
                <w:rFonts w:ascii="微软雅黑" w:eastAsia="微软雅黑" w:hint="eastAsia"/>
                <w:b/>
                <w:sz w:val="21"/>
              </w:rPr>
            </w:pPr>
            <w:r>
              <w:rPr>
                <w:rFonts w:ascii="微软雅黑" w:eastAsia="微软雅黑" w:hint="eastAsia"/>
                <w:b/>
                <w:sz w:val="21"/>
              </w:rPr>
              <w:t>释义</w:t>
            </w:r>
          </w:p>
          <w:p>
            <w:pPr>
              <w:pStyle w:val="TableParagraph"/>
              <w:numPr>
                <w:ilvl w:val="1"/>
                <w:numId w:val="2"/>
              </w:numPr>
              <w:tabs>
                <w:tab w:pos="679" w:val="left" w:leader="none"/>
              </w:tabs>
              <w:spacing w:line="268" w:lineRule="exact" w:before="0" w:after="0"/>
              <w:ind w:left="679" w:right="0" w:hanging="420"/>
              <w:jc w:val="left"/>
              <w:rPr>
                <w:sz w:val="21"/>
              </w:rPr>
            </w:pPr>
            <w:r>
              <w:rPr>
                <w:sz w:val="21"/>
              </w:rPr>
              <w:t>周岁</w:t>
            </w:r>
          </w:p>
          <w:p>
            <w:pPr>
              <w:pStyle w:val="TableParagraph"/>
              <w:numPr>
                <w:ilvl w:val="1"/>
                <w:numId w:val="2"/>
              </w:numPr>
              <w:tabs>
                <w:tab w:pos="679" w:val="left" w:leader="none"/>
              </w:tabs>
              <w:spacing w:line="272" w:lineRule="exact" w:before="0" w:after="0"/>
              <w:ind w:left="679" w:right="0" w:hanging="420"/>
              <w:jc w:val="left"/>
              <w:rPr>
                <w:sz w:val="21"/>
              </w:rPr>
            </w:pPr>
            <w:r>
              <w:rPr>
                <w:spacing w:val="-3"/>
                <w:sz w:val="21"/>
              </w:rPr>
              <w:t>保险费约定交纳日</w:t>
            </w:r>
          </w:p>
          <w:p>
            <w:pPr>
              <w:pStyle w:val="TableParagraph"/>
              <w:numPr>
                <w:ilvl w:val="1"/>
                <w:numId w:val="2"/>
              </w:numPr>
              <w:tabs>
                <w:tab w:pos="679" w:val="left" w:leader="none"/>
              </w:tabs>
              <w:spacing w:line="272" w:lineRule="exact" w:before="0" w:after="0"/>
              <w:ind w:left="679" w:right="0" w:hanging="420"/>
              <w:jc w:val="left"/>
              <w:rPr>
                <w:sz w:val="21"/>
              </w:rPr>
            </w:pPr>
            <w:r>
              <w:rPr>
                <w:spacing w:val="-2"/>
                <w:sz w:val="21"/>
              </w:rPr>
              <w:t>有效身份证件</w:t>
            </w:r>
          </w:p>
          <w:p>
            <w:pPr>
              <w:pStyle w:val="TableParagraph"/>
              <w:numPr>
                <w:ilvl w:val="1"/>
                <w:numId w:val="2"/>
              </w:numPr>
              <w:tabs>
                <w:tab w:pos="679" w:val="left" w:leader="none"/>
              </w:tabs>
              <w:spacing w:line="273" w:lineRule="exact" w:before="0" w:after="0"/>
              <w:ind w:left="679" w:right="0" w:hanging="420"/>
              <w:jc w:val="left"/>
              <w:rPr>
                <w:sz w:val="21"/>
              </w:rPr>
            </w:pPr>
            <w:r>
              <w:rPr>
                <w:spacing w:val="-1"/>
                <w:sz w:val="21"/>
              </w:rPr>
              <w:t>现金价值</w:t>
            </w:r>
          </w:p>
          <w:p>
            <w:pPr>
              <w:pStyle w:val="TableParagraph"/>
              <w:numPr>
                <w:ilvl w:val="1"/>
                <w:numId w:val="2"/>
              </w:numPr>
              <w:tabs>
                <w:tab w:pos="679" w:val="left" w:leader="none"/>
              </w:tabs>
              <w:spacing w:line="273" w:lineRule="exact" w:before="0" w:after="0"/>
              <w:ind w:left="679" w:right="0" w:hanging="420"/>
              <w:jc w:val="left"/>
              <w:rPr>
                <w:sz w:val="21"/>
              </w:rPr>
            </w:pPr>
            <w:r>
              <w:rPr>
                <w:sz w:val="21"/>
              </w:rPr>
              <w:t>医院</w:t>
            </w:r>
          </w:p>
          <w:p>
            <w:pPr>
              <w:pStyle w:val="TableParagraph"/>
              <w:numPr>
                <w:ilvl w:val="1"/>
                <w:numId w:val="2"/>
              </w:numPr>
              <w:tabs>
                <w:tab w:pos="679" w:val="left" w:leader="none"/>
              </w:tabs>
              <w:spacing w:line="272" w:lineRule="exact" w:before="0" w:after="0"/>
              <w:ind w:left="679" w:right="0" w:hanging="420"/>
              <w:jc w:val="left"/>
              <w:rPr>
                <w:sz w:val="21"/>
              </w:rPr>
            </w:pPr>
            <w:r>
              <w:rPr>
                <w:spacing w:val="-1"/>
                <w:sz w:val="21"/>
              </w:rPr>
              <w:t>专科医生</w:t>
            </w:r>
          </w:p>
          <w:p>
            <w:pPr>
              <w:pStyle w:val="TableParagraph"/>
              <w:numPr>
                <w:ilvl w:val="1"/>
                <w:numId w:val="2"/>
              </w:numPr>
              <w:tabs>
                <w:tab w:pos="679" w:val="left" w:leader="none"/>
              </w:tabs>
              <w:spacing w:line="272" w:lineRule="exact" w:before="0" w:after="0"/>
              <w:ind w:left="679" w:right="0" w:hanging="420"/>
              <w:jc w:val="left"/>
              <w:rPr>
                <w:sz w:val="21"/>
              </w:rPr>
            </w:pPr>
            <w:r>
              <w:rPr>
                <w:spacing w:val="-1"/>
                <w:sz w:val="21"/>
              </w:rPr>
              <w:t>重大疾病</w:t>
            </w:r>
          </w:p>
          <w:p>
            <w:pPr>
              <w:pStyle w:val="TableParagraph"/>
              <w:numPr>
                <w:ilvl w:val="1"/>
                <w:numId w:val="2"/>
              </w:numPr>
              <w:tabs>
                <w:tab w:pos="679" w:val="left" w:leader="none"/>
              </w:tabs>
              <w:spacing w:line="276" w:lineRule="exact" w:before="0" w:after="0"/>
              <w:ind w:left="679" w:right="0" w:hanging="420"/>
              <w:jc w:val="left"/>
              <w:rPr>
                <w:sz w:val="21"/>
              </w:rPr>
            </w:pPr>
            <w:r>
              <w:rPr>
                <w:spacing w:val="-1"/>
                <w:sz w:val="21"/>
              </w:rPr>
              <w:t>意外伤害</w:t>
            </w:r>
          </w:p>
        </w:tc>
        <w:tc>
          <w:tcPr>
            <w:tcW w:w="3249" w:type="dxa"/>
            <w:tcBorders>
              <w:top w:val="single" w:sz="12" w:space="0" w:color="000000"/>
              <w:bottom w:val="single" w:sz="12" w:space="0" w:color="000000"/>
            </w:tcBorders>
          </w:tcPr>
          <w:p>
            <w:pPr>
              <w:pStyle w:val="TableParagraph"/>
              <w:numPr>
                <w:ilvl w:val="1"/>
                <w:numId w:val="3"/>
              </w:numPr>
              <w:tabs>
                <w:tab w:pos="881" w:val="left" w:leader="none"/>
              </w:tabs>
              <w:spacing w:line="247" w:lineRule="exact" w:before="0" w:after="0"/>
              <w:ind w:left="977" w:right="0" w:hanging="516"/>
              <w:jc w:val="left"/>
              <w:rPr>
                <w:sz w:val="21"/>
              </w:rPr>
            </w:pPr>
            <w:r>
              <w:rPr>
                <w:sz w:val="21"/>
              </w:rPr>
              <w:t>全残</w:t>
            </w:r>
          </w:p>
          <w:p>
            <w:pPr>
              <w:pStyle w:val="TableParagraph"/>
              <w:numPr>
                <w:ilvl w:val="1"/>
                <w:numId w:val="3"/>
              </w:numPr>
              <w:tabs>
                <w:tab w:pos="987" w:val="left" w:leader="none"/>
              </w:tabs>
              <w:spacing w:line="272" w:lineRule="exact" w:before="0" w:after="0"/>
              <w:ind w:left="986" w:right="0" w:hanging="525"/>
              <w:jc w:val="left"/>
              <w:rPr>
                <w:sz w:val="21"/>
              </w:rPr>
            </w:pPr>
            <w:r>
              <w:rPr>
                <w:sz w:val="21"/>
              </w:rPr>
              <w:t>犯罪</w:t>
            </w:r>
          </w:p>
          <w:p>
            <w:pPr>
              <w:pStyle w:val="TableParagraph"/>
              <w:numPr>
                <w:ilvl w:val="1"/>
                <w:numId w:val="3"/>
              </w:numPr>
              <w:tabs>
                <w:tab w:pos="987" w:val="left" w:leader="none"/>
              </w:tabs>
              <w:spacing w:line="271" w:lineRule="exact" w:before="0" w:after="0"/>
              <w:ind w:left="986" w:right="0" w:hanging="525"/>
              <w:jc w:val="left"/>
              <w:rPr>
                <w:sz w:val="21"/>
              </w:rPr>
            </w:pPr>
            <w:r>
              <w:rPr>
                <w:sz w:val="21"/>
              </w:rPr>
              <w:t>毒品</w:t>
            </w:r>
          </w:p>
          <w:p>
            <w:pPr>
              <w:pStyle w:val="TableParagraph"/>
              <w:numPr>
                <w:ilvl w:val="1"/>
                <w:numId w:val="3"/>
              </w:numPr>
              <w:tabs>
                <w:tab w:pos="987" w:val="left" w:leader="none"/>
              </w:tabs>
              <w:spacing w:line="272" w:lineRule="exact" w:before="0" w:after="0"/>
              <w:ind w:left="986" w:right="0" w:hanging="525"/>
              <w:jc w:val="left"/>
              <w:rPr>
                <w:sz w:val="21"/>
              </w:rPr>
            </w:pPr>
            <w:r>
              <w:rPr>
                <w:sz w:val="21"/>
              </w:rPr>
              <w:t>醉酒</w:t>
            </w:r>
          </w:p>
          <w:p>
            <w:pPr>
              <w:pStyle w:val="TableParagraph"/>
              <w:numPr>
                <w:ilvl w:val="1"/>
                <w:numId w:val="3"/>
              </w:numPr>
              <w:tabs>
                <w:tab w:pos="989" w:val="left" w:leader="none"/>
              </w:tabs>
              <w:spacing w:line="272" w:lineRule="exact" w:before="0" w:after="0"/>
              <w:ind w:left="989" w:right="0" w:hanging="526"/>
              <w:jc w:val="left"/>
              <w:rPr>
                <w:sz w:val="21"/>
              </w:rPr>
            </w:pPr>
            <w:r>
              <w:rPr>
                <w:spacing w:val="-2"/>
                <w:sz w:val="21"/>
              </w:rPr>
              <w:t>酒后驾驶</w:t>
            </w:r>
          </w:p>
          <w:p>
            <w:pPr>
              <w:pStyle w:val="TableParagraph"/>
              <w:numPr>
                <w:ilvl w:val="1"/>
                <w:numId w:val="3"/>
              </w:numPr>
              <w:tabs>
                <w:tab w:pos="989" w:val="left" w:leader="none"/>
              </w:tabs>
              <w:spacing w:line="272" w:lineRule="exact" w:before="0" w:after="0"/>
              <w:ind w:left="989" w:right="0" w:hanging="526"/>
              <w:jc w:val="left"/>
              <w:rPr>
                <w:sz w:val="21"/>
              </w:rPr>
            </w:pPr>
            <w:r>
              <w:rPr>
                <w:spacing w:val="-3"/>
                <w:sz w:val="21"/>
              </w:rPr>
              <w:t>无合法有效驾驶证驾驶</w:t>
            </w:r>
          </w:p>
          <w:p>
            <w:pPr>
              <w:pStyle w:val="TableParagraph"/>
              <w:numPr>
                <w:ilvl w:val="1"/>
                <w:numId w:val="3"/>
              </w:numPr>
              <w:tabs>
                <w:tab w:pos="989" w:val="left" w:leader="none"/>
              </w:tabs>
              <w:spacing w:line="272" w:lineRule="exact" w:before="0" w:after="0"/>
              <w:ind w:left="989" w:right="0" w:hanging="526"/>
              <w:jc w:val="left"/>
              <w:rPr>
                <w:sz w:val="21"/>
              </w:rPr>
            </w:pPr>
            <w:r>
              <w:rPr>
                <w:spacing w:val="-3"/>
                <w:sz w:val="21"/>
              </w:rPr>
              <w:t>无有效行驶证</w:t>
            </w:r>
          </w:p>
          <w:p>
            <w:pPr>
              <w:pStyle w:val="TableParagraph"/>
              <w:numPr>
                <w:ilvl w:val="1"/>
                <w:numId w:val="3"/>
              </w:numPr>
              <w:tabs>
                <w:tab w:pos="977" w:val="left" w:leader="none"/>
              </w:tabs>
              <w:spacing w:line="272" w:lineRule="exact" w:before="0" w:after="0"/>
              <w:ind w:left="977" w:right="0" w:hanging="516"/>
              <w:jc w:val="left"/>
              <w:rPr>
                <w:sz w:val="21"/>
              </w:rPr>
            </w:pPr>
            <w:r>
              <w:rPr>
                <w:spacing w:val="-1"/>
                <w:sz w:val="21"/>
              </w:rPr>
              <w:t>遗传性疾病</w:t>
            </w:r>
          </w:p>
          <w:p>
            <w:pPr>
              <w:pStyle w:val="TableParagraph"/>
              <w:numPr>
                <w:ilvl w:val="1"/>
                <w:numId w:val="3"/>
              </w:numPr>
              <w:tabs>
                <w:tab w:pos="977" w:val="left" w:leader="none"/>
              </w:tabs>
              <w:spacing w:line="223" w:lineRule="auto" w:before="11" w:after="0"/>
              <w:ind w:left="977" w:right="167" w:hanging="516"/>
              <w:jc w:val="left"/>
              <w:rPr>
                <w:sz w:val="21"/>
              </w:rPr>
            </w:pPr>
            <w:r>
              <w:rPr>
                <w:spacing w:val="-3"/>
                <w:sz w:val="21"/>
              </w:rPr>
              <w:t>先天性畸形、变形或染色体异常</w:t>
            </w:r>
          </w:p>
          <w:p>
            <w:pPr>
              <w:pStyle w:val="TableParagraph"/>
              <w:numPr>
                <w:ilvl w:val="1"/>
                <w:numId w:val="3"/>
              </w:numPr>
              <w:tabs>
                <w:tab w:pos="977" w:val="left" w:leader="none"/>
              </w:tabs>
              <w:spacing w:line="223" w:lineRule="auto" w:before="18" w:after="0"/>
              <w:ind w:left="977" w:right="167" w:hanging="516"/>
              <w:jc w:val="left"/>
              <w:rPr>
                <w:sz w:val="21"/>
              </w:rPr>
            </w:pPr>
            <w:r>
              <w:rPr>
                <w:spacing w:val="-3"/>
                <w:sz w:val="21"/>
              </w:rPr>
              <w:t>感染艾滋病病毒或患艾滋病</w:t>
            </w:r>
          </w:p>
          <w:p>
            <w:pPr>
              <w:pStyle w:val="TableParagraph"/>
              <w:numPr>
                <w:ilvl w:val="1"/>
                <w:numId w:val="3"/>
              </w:numPr>
              <w:tabs>
                <w:tab w:pos="977" w:val="left" w:leader="none"/>
              </w:tabs>
              <w:spacing w:line="280" w:lineRule="exact" w:before="0" w:after="0"/>
              <w:ind w:left="977" w:right="0" w:hanging="516"/>
              <w:jc w:val="left"/>
              <w:rPr>
                <w:sz w:val="21"/>
              </w:rPr>
            </w:pPr>
            <w:r>
              <w:rPr>
                <w:spacing w:val="-3"/>
                <w:sz w:val="21"/>
              </w:rPr>
              <w:t>肢体机能完全丧失</w:t>
            </w:r>
          </w:p>
          <w:p>
            <w:pPr>
              <w:pStyle w:val="TableParagraph"/>
              <w:numPr>
                <w:ilvl w:val="1"/>
                <w:numId w:val="3"/>
              </w:numPr>
              <w:tabs>
                <w:tab w:pos="977" w:val="left" w:leader="none"/>
              </w:tabs>
              <w:spacing w:line="225" w:lineRule="auto" w:before="8" w:after="0"/>
              <w:ind w:left="977" w:right="167" w:hanging="516"/>
              <w:jc w:val="left"/>
              <w:rPr>
                <w:sz w:val="21"/>
              </w:rPr>
            </w:pPr>
            <w:r>
              <w:rPr>
                <w:spacing w:val="-3"/>
                <w:sz w:val="21"/>
              </w:rPr>
              <w:t>语言能力或咀嚼吞咽能力完全丧失</w:t>
            </w:r>
          </w:p>
          <w:p>
            <w:pPr>
              <w:pStyle w:val="TableParagraph"/>
              <w:numPr>
                <w:ilvl w:val="1"/>
                <w:numId w:val="3"/>
              </w:numPr>
              <w:tabs>
                <w:tab w:pos="977" w:val="left" w:leader="none"/>
              </w:tabs>
              <w:spacing w:line="279" w:lineRule="exact" w:before="0" w:after="0"/>
              <w:ind w:left="977" w:right="0" w:hanging="516"/>
              <w:jc w:val="left"/>
              <w:rPr>
                <w:sz w:val="21"/>
              </w:rPr>
            </w:pPr>
            <w:r>
              <w:rPr>
                <w:spacing w:val="-3"/>
                <w:sz w:val="21"/>
              </w:rPr>
              <w:t>六项基本日常生活活动</w:t>
            </w:r>
          </w:p>
          <w:p>
            <w:pPr>
              <w:pStyle w:val="TableParagraph"/>
              <w:numPr>
                <w:ilvl w:val="1"/>
                <w:numId w:val="3"/>
              </w:numPr>
              <w:tabs>
                <w:tab w:pos="977" w:val="left" w:leader="none"/>
              </w:tabs>
              <w:spacing w:line="282" w:lineRule="exact" w:before="0" w:after="0"/>
              <w:ind w:left="977" w:right="0" w:hanging="516"/>
              <w:jc w:val="left"/>
              <w:rPr>
                <w:sz w:val="21"/>
              </w:rPr>
            </w:pPr>
            <w:r>
              <w:rPr>
                <w:spacing w:val="-1"/>
                <w:sz w:val="21"/>
              </w:rPr>
              <w:t>永久不可逆</w:t>
            </w:r>
          </w:p>
        </w:tc>
      </w:tr>
    </w:tbl>
    <w:p>
      <w:pPr>
        <w:pStyle w:val="BodyText"/>
        <w:rPr>
          <w:sz w:val="20"/>
        </w:rPr>
      </w:pPr>
    </w:p>
    <w:p>
      <w:pPr>
        <w:pStyle w:val="BodyText"/>
        <w:spacing w:before="9"/>
        <w:rPr>
          <w:sz w:val="26"/>
        </w:rPr>
      </w:pPr>
    </w:p>
    <w:p>
      <w:pPr>
        <w:pStyle w:val="BodyText"/>
        <w:ind w:left="202"/>
      </w:pPr>
      <w:r>
        <w:rPr>
          <w:w w:val="100"/>
        </w:rPr>
        <w:t>．</w:t>
      </w:r>
    </w:p>
    <w:p>
      <w:pPr>
        <w:spacing w:after="0"/>
        <w:sectPr>
          <w:pgSz w:w="11910" w:h="16450"/>
          <w:pgMar w:header="877" w:footer="968" w:top="1100" w:bottom="1180" w:left="1060" w:right="106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927"/>
        <w:gridCol w:w="6882"/>
      </w:tblGrid>
      <w:tr>
        <w:trPr>
          <w:trHeight w:val="909" w:hRule="atLeast"/>
        </w:trPr>
        <w:tc>
          <w:tcPr>
            <w:tcW w:w="836" w:type="dxa"/>
            <w:tcBorders>
              <w:top w:val="single" w:sz="6" w:space="0" w:color="000000"/>
              <w:bottom w:val="single" w:sz="8" w:space="0" w:color="000000"/>
            </w:tcBorders>
          </w:tcPr>
          <w:p>
            <w:pPr>
              <w:pStyle w:val="TableParagraph"/>
              <w:spacing w:before="47"/>
              <w:ind w:left="67"/>
              <w:rPr>
                <w:sz w:val="21"/>
              </w:rPr>
            </w:pPr>
            <w:r>
              <w:rPr>
                <w:spacing w:val="-149"/>
                <w:sz w:val="21"/>
              </w:rPr>
              <w:t>在</w:t>
            </w:r>
            <w:r>
              <w:rPr>
                <w:spacing w:val="-63"/>
                <w:position w:val="-7"/>
                <w:sz w:val="21"/>
              </w:rPr>
              <w:t>．</w:t>
            </w:r>
            <w:r>
              <w:rPr>
                <w:spacing w:val="-149"/>
                <w:sz w:val="21"/>
              </w:rPr>
              <w:t>本</w:t>
            </w:r>
            <w:r>
              <w:rPr>
                <w:spacing w:val="-63"/>
                <w:position w:val="-7"/>
                <w:sz w:val="21"/>
              </w:rPr>
              <w:t>．</w:t>
            </w:r>
            <w:r>
              <w:rPr>
                <w:spacing w:val="-151"/>
                <w:sz w:val="21"/>
              </w:rPr>
              <w:t>条</w:t>
            </w:r>
            <w:r>
              <w:rPr>
                <w:spacing w:val="-63"/>
                <w:position w:val="-7"/>
                <w:sz w:val="21"/>
              </w:rPr>
              <w:t>．</w:t>
            </w:r>
            <w:r>
              <w:rPr>
                <w:spacing w:val="-149"/>
                <w:sz w:val="21"/>
              </w:rPr>
              <w:t>款</w:t>
            </w:r>
          </w:p>
          <w:p>
            <w:pPr>
              <w:pStyle w:val="TableParagraph"/>
              <w:spacing w:line="469" w:lineRule="exact" w:before="18"/>
              <w:ind w:left="107"/>
              <w:rPr>
                <w:rFonts w:ascii="Wingdings" w:hAnsi="Wingdings"/>
                <w:b/>
                <w:sz w:val="44"/>
              </w:rPr>
            </w:pPr>
            <w:r>
              <w:rPr>
                <w:rFonts w:ascii="Wingdings" w:hAnsi="Wingdings"/>
                <w:b/>
                <w:w w:val="99"/>
                <w:sz w:val="44"/>
              </w:rPr>
              <w:t></w:t>
            </w:r>
          </w:p>
        </w:tc>
        <w:tc>
          <w:tcPr>
            <w:tcW w:w="8809" w:type="dxa"/>
            <w:gridSpan w:val="2"/>
            <w:tcBorders>
              <w:top w:val="single" w:sz="6" w:space="0" w:color="000000"/>
              <w:bottom w:val="single" w:sz="8" w:space="0" w:color="000000"/>
            </w:tcBorders>
          </w:tcPr>
          <w:p>
            <w:pPr>
              <w:pStyle w:val="TableParagraph"/>
              <w:spacing w:line="354" w:lineRule="exact" w:before="47"/>
              <w:ind w:left="-12"/>
              <w:rPr>
                <w:sz w:val="21"/>
              </w:rPr>
            </w:pPr>
            <w:r>
              <w:rPr>
                <w:spacing w:val="-126"/>
                <w:w w:val="100"/>
                <w:position w:val="-7"/>
                <w:sz w:val="21"/>
              </w:rPr>
              <w:t>．</w:t>
            </w:r>
            <w:r>
              <w:rPr>
                <w:spacing w:val="-151"/>
                <w:w w:val="100"/>
                <w:sz w:val="21"/>
              </w:rPr>
              <w:t>中</w:t>
            </w:r>
            <w:r>
              <w:rPr>
                <w:spacing w:val="-63"/>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您</w:t>
            </w:r>
            <w:r>
              <w:rPr>
                <w:spacing w:val="-63"/>
                <w:w w:val="100"/>
                <w:position w:val="-7"/>
                <w:sz w:val="21"/>
              </w:rPr>
              <w:t>．</w:t>
            </w:r>
            <w:r>
              <w:rPr>
                <w:spacing w:val="-152"/>
                <w:w w:val="100"/>
                <w:sz w:val="21"/>
              </w:rPr>
              <w:t>”</w:t>
            </w:r>
            <w:r>
              <w:rPr>
                <w:spacing w:val="-63"/>
                <w:w w:val="100"/>
                <w:position w:val="-7"/>
                <w:sz w:val="21"/>
              </w:rPr>
              <w:t>．</w:t>
            </w:r>
            <w:r>
              <w:rPr>
                <w:spacing w:val="-149"/>
                <w:w w:val="100"/>
                <w:sz w:val="21"/>
              </w:rPr>
              <w:t>指</w:t>
            </w:r>
            <w:r>
              <w:rPr>
                <w:spacing w:val="-63"/>
                <w:w w:val="100"/>
                <w:position w:val="-7"/>
                <w:sz w:val="21"/>
              </w:rPr>
              <w:t>．</w:t>
            </w:r>
            <w:r>
              <w:rPr>
                <w:spacing w:val="-152"/>
                <w:w w:val="100"/>
                <w:sz w:val="21"/>
              </w:rPr>
              <w:t>投</w:t>
            </w:r>
            <w:r>
              <w:rPr>
                <w:spacing w:val="-63"/>
                <w:w w:val="100"/>
                <w:position w:val="-7"/>
                <w:sz w:val="21"/>
              </w:rPr>
              <w:t>．</w:t>
            </w:r>
            <w:r>
              <w:rPr>
                <w:spacing w:val="-152"/>
                <w:w w:val="100"/>
                <w:sz w:val="21"/>
              </w:rPr>
              <w:t>保</w:t>
            </w:r>
            <w:r>
              <w:rPr>
                <w:spacing w:val="-63"/>
                <w:w w:val="100"/>
                <w:position w:val="-7"/>
                <w:sz w:val="21"/>
              </w:rPr>
              <w:t>．</w:t>
            </w:r>
            <w:r>
              <w:rPr>
                <w:spacing w:val="-149"/>
                <w:w w:val="100"/>
                <w:sz w:val="21"/>
              </w:rPr>
              <w:t>人</w:t>
            </w:r>
            <w:r>
              <w:rPr>
                <w:spacing w:val="-63"/>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我</w:t>
            </w:r>
            <w:r>
              <w:rPr>
                <w:spacing w:val="-63"/>
                <w:w w:val="100"/>
                <w:position w:val="-7"/>
                <w:sz w:val="21"/>
              </w:rPr>
              <w:t>．</w:t>
            </w:r>
            <w:r>
              <w:rPr>
                <w:spacing w:val="-149"/>
                <w:w w:val="100"/>
                <w:sz w:val="21"/>
              </w:rPr>
              <w:t>们</w:t>
            </w:r>
            <w:r>
              <w:rPr>
                <w:spacing w:val="-63"/>
                <w:w w:val="100"/>
                <w:position w:val="-7"/>
                <w:sz w:val="21"/>
              </w:rPr>
              <w:t>．</w:t>
            </w:r>
            <w:r>
              <w:rPr>
                <w:spacing w:val="-204"/>
                <w:w w:val="100"/>
                <w:sz w:val="21"/>
              </w:rPr>
              <w:t>”</w:t>
            </w:r>
            <w:r>
              <w:rPr>
                <w:spacing w:val="-116"/>
                <w:w w:val="100"/>
                <w:position w:val="-7"/>
                <w:sz w:val="21"/>
              </w:rPr>
              <w:t>．</w:t>
            </w:r>
            <w:r>
              <w:rPr>
                <w:spacing w:val="-202"/>
                <w:w w:val="100"/>
                <w:sz w:val="21"/>
              </w:rPr>
              <w:t>、</w:t>
            </w:r>
            <w:r>
              <w:rPr>
                <w:spacing w:val="-116"/>
                <w:w w:val="100"/>
                <w:position w:val="-7"/>
                <w:sz w:val="21"/>
              </w:rPr>
              <w:t>．</w:t>
            </w:r>
            <w:r>
              <w:rPr>
                <w:spacing w:val="-151"/>
                <w:w w:val="100"/>
                <w:sz w:val="21"/>
              </w:rPr>
              <w:t>“</w:t>
            </w:r>
            <w:r>
              <w:rPr>
                <w:spacing w:val="-63"/>
                <w:w w:val="100"/>
                <w:position w:val="-7"/>
                <w:sz w:val="21"/>
              </w:rPr>
              <w:t>．</w:t>
            </w:r>
            <w:r>
              <w:rPr>
                <w:spacing w:val="-149"/>
                <w:w w:val="100"/>
                <w:sz w:val="21"/>
              </w:rPr>
              <w:t>本</w:t>
            </w:r>
            <w:r>
              <w:rPr>
                <w:spacing w:val="-63"/>
                <w:w w:val="100"/>
                <w:position w:val="-7"/>
                <w:sz w:val="21"/>
              </w:rPr>
              <w:t>．</w:t>
            </w:r>
            <w:r>
              <w:rPr>
                <w:spacing w:val="-151"/>
                <w:w w:val="100"/>
                <w:sz w:val="21"/>
              </w:rPr>
              <w:t>公</w:t>
            </w:r>
            <w:r>
              <w:rPr>
                <w:spacing w:val="-63"/>
                <w:w w:val="100"/>
                <w:position w:val="-7"/>
                <w:sz w:val="21"/>
              </w:rPr>
              <w:t>．</w:t>
            </w:r>
            <w:r>
              <w:rPr>
                <w:spacing w:val="-149"/>
                <w:w w:val="100"/>
                <w:sz w:val="21"/>
              </w:rPr>
              <w:t>司</w:t>
            </w:r>
            <w:r>
              <w:rPr>
                <w:spacing w:val="-63"/>
                <w:w w:val="100"/>
                <w:position w:val="-7"/>
                <w:sz w:val="21"/>
              </w:rPr>
              <w:t>．</w:t>
            </w:r>
            <w:r>
              <w:rPr>
                <w:spacing w:val="-151"/>
                <w:w w:val="100"/>
                <w:sz w:val="21"/>
              </w:rPr>
              <w:t>”</w:t>
            </w:r>
            <w:r>
              <w:rPr>
                <w:spacing w:val="-63"/>
                <w:w w:val="100"/>
                <w:position w:val="-7"/>
                <w:sz w:val="21"/>
              </w:rPr>
              <w:t>．</w:t>
            </w:r>
            <w:r>
              <w:rPr>
                <w:spacing w:val="-152"/>
                <w:w w:val="100"/>
                <w:sz w:val="21"/>
              </w:rPr>
              <w:t>均</w:t>
            </w:r>
            <w:r>
              <w:rPr>
                <w:spacing w:val="-63"/>
                <w:w w:val="100"/>
                <w:position w:val="-7"/>
                <w:sz w:val="21"/>
              </w:rPr>
              <w:t>．</w:t>
            </w:r>
            <w:r>
              <w:rPr>
                <w:spacing w:val="-149"/>
                <w:w w:val="100"/>
                <w:sz w:val="21"/>
              </w:rPr>
              <w:t>指</w:t>
            </w:r>
            <w:r>
              <w:rPr>
                <w:spacing w:val="-63"/>
                <w:w w:val="100"/>
                <w:position w:val="-7"/>
                <w:sz w:val="21"/>
              </w:rPr>
              <w:t>．</w:t>
            </w:r>
            <w:r>
              <w:rPr>
                <w:spacing w:val="-149"/>
                <w:w w:val="100"/>
                <w:sz w:val="21"/>
              </w:rPr>
              <w:t>和</w:t>
            </w:r>
            <w:r>
              <w:rPr>
                <w:spacing w:val="-63"/>
                <w:w w:val="100"/>
                <w:position w:val="-7"/>
                <w:sz w:val="21"/>
              </w:rPr>
              <w:t>．</w:t>
            </w:r>
            <w:r>
              <w:rPr>
                <w:spacing w:val="-151"/>
                <w:w w:val="100"/>
                <w:sz w:val="21"/>
              </w:rPr>
              <w:t>谐</w:t>
            </w:r>
            <w:r>
              <w:rPr>
                <w:spacing w:val="-63"/>
                <w:w w:val="100"/>
                <w:position w:val="-7"/>
                <w:sz w:val="21"/>
              </w:rPr>
              <w:t>．</w:t>
            </w:r>
            <w:r>
              <w:rPr>
                <w:spacing w:val="-149"/>
                <w:w w:val="100"/>
                <w:sz w:val="21"/>
              </w:rPr>
              <w:t>健</w:t>
            </w:r>
            <w:r>
              <w:rPr>
                <w:spacing w:val="-63"/>
                <w:w w:val="100"/>
                <w:position w:val="-7"/>
                <w:sz w:val="21"/>
              </w:rPr>
              <w:t>．</w:t>
            </w:r>
            <w:r>
              <w:rPr>
                <w:spacing w:val="-151"/>
                <w:w w:val="100"/>
                <w:sz w:val="21"/>
              </w:rPr>
              <w:t>康</w:t>
            </w:r>
            <w:r>
              <w:rPr>
                <w:spacing w:val="-63"/>
                <w:w w:val="100"/>
                <w:position w:val="-7"/>
                <w:sz w:val="21"/>
              </w:rPr>
              <w:t>．</w:t>
            </w:r>
            <w:r>
              <w:rPr>
                <w:spacing w:val="-149"/>
                <w:w w:val="100"/>
                <w:sz w:val="21"/>
              </w:rPr>
              <w:t>保</w:t>
            </w:r>
            <w:r>
              <w:rPr>
                <w:spacing w:val="-63"/>
                <w:w w:val="100"/>
                <w:position w:val="-7"/>
                <w:sz w:val="21"/>
              </w:rPr>
              <w:t>．</w:t>
            </w:r>
            <w:r>
              <w:rPr>
                <w:spacing w:val="-151"/>
                <w:w w:val="100"/>
                <w:sz w:val="21"/>
              </w:rPr>
              <w:t>险</w:t>
            </w:r>
            <w:r>
              <w:rPr>
                <w:spacing w:val="-63"/>
                <w:w w:val="100"/>
                <w:position w:val="-7"/>
                <w:sz w:val="21"/>
              </w:rPr>
              <w:t>．</w:t>
            </w:r>
            <w:r>
              <w:rPr>
                <w:spacing w:val="-149"/>
                <w:w w:val="100"/>
                <w:sz w:val="21"/>
              </w:rPr>
              <w:t>股</w:t>
            </w:r>
            <w:r>
              <w:rPr>
                <w:spacing w:val="-63"/>
                <w:w w:val="100"/>
                <w:position w:val="-7"/>
                <w:sz w:val="21"/>
              </w:rPr>
              <w:t>．</w:t>
            </w:r>
            <w:r>
              <w:rPr>
                <w:spacing w:val="-151"/>
                <w:w w:val="100"/>
                <w:sz w:val="21"/>
              </w:rPr>
              <w:t>份</w:t>
            </w:r>
            <w:r>
              <w:rPr>
                <w:spacing w:val="-63"/>
                <w:w w:val="100"/>
                <w:position w:val="-7"/>
                <w:sz w:val="21"/>
              </w:rPr>
              <w:t>．</w:t>
            </w:r>
            <w:r>
              <w:rPr>
                <w:spacing w:val="-149"/>
                <w:w w:val="100"/>
                <w:sz w:val="21"/>
              </w:rPr>
              <w:t>有</w:t>
            </w:r>
            <w:r>
              <w:rPr>
                <w:spacing w:val="-63"/>
                <w:w w:val="100"/>
                <w:position w:val="-7"/>
                <w:sz w:val="21"/>
              </w:rPr>
              <w:t>．</w:t>
            </w:r>
            <w:r>
              <w:rPr>
                <w:spacing w:val="-152"/>
                <w:w w:val="100"/>
                <w:sz w:val="21"/>
              </w:rPr>
              <w:t>限</w:t>
            </w:r>
            <w:r>
              <w:rPr>
                <w:spacing w:val="-63"/>
                <w:w w:val="100"/>
                <w:position w:val="-7"/>
                <w:sz w:val="21"/>
              </w:rPr>
              <w:t>．</w:t>
            </w:r>
            <w:r>
              <w:rPr>
                <w:spacing w:val="-149"/>
                <w:w w:val="100"/>
                <w:sz w:val="21"/>
              </w:rPr>
              <w:t>公</w:t>
            </w:r>
            <w:r>
              <w:rPr>
                <w:spacing w:val="-63"/>
                <w:w w:val="100"/>
                <w:position w:val="-7"/>
                <w:sz w:val="21"/>
              </w:rPr>
              <w:t>．</w:t>
            </w:r>
            <w:r>
              <w:rPr>
                <w:spacing w:val="-149"/>
                <w:w w:val="100"/>
                <w:sz w:val="21"/>
              </w:rPr>
              <w:t>司</w:t>
            </w:r>
            <w:r>
              <w:rPr>
                <w:spacing w:val="-63"/>
                <w:w w:val="100"/>
                <w:position w:val="-7"/>
                <w:sz w:val="21"/>
              </w:rPr>
              <w:t>．</w:t>
            </w:r>
            <w:r>
              <w:rPr>
                <w:w w:val="100"/>
                <w:sz w:val="21"/>
              </w:rPr>
              <w:t>。</w:t>
            </w:r>
          </w:p>
          <w:p>
            <w:pPr>
              <w:pStyle w:val="TableParagraph"/>
              <w:spacing w:line="413" w:lineRule="exact"/>
              <w:ind w:left="335"/>
              <w:rPr>
                <w:rFonts w:ascii="微软雅黑" w:eastAsia="微软雅黑" w:hint="eastAsia"/>
                <w:b/>
                <w:sz w:val="24"/>
              </w:rPr>
            </w:pPr>
            <w:r>
              <w:rPr>
                <w:rFonts w:ascii="微软雅黑" w:eastAsia="微软雅黑" w:hint="eastAsia"/>
                <w:b/>
                <w:sz w:val="24"/>
              </w:rPr>
              <w:t>您与我们的合同</w:t>
            </w:r>
          </w:p>
        </w:tc>
      </w:tr>
      <w:tr>
        <w:trPr>
          <w:trHeight w:val="1711" w:hRule="atLeast"/>
        </w:trPr>
        <w:tc>
          <w:tcPr>
            <w:tcW w:w="836" w:type="dxa"/>
            <w:tcBorders>
              <w:top w:val="single" w:sz="8" w:space="0" w:color="000000"/>
            </w:tcBorders>
          </w:tcPr>
          <w:p>
            <w:pPr>
              <w:pStyle w:val="TableParagraph"/>
              <w:spacing w:before="10"/>
              <w:ind w:left="0"/>
              <w:rPr>
                <w:rFonts w:ascii="Times New Roman"/>
                <w:sz w:val="20"/>
              </w:rPr>
            </w:pPr>
          </w:p>
          <w:p>
            <w:pPr>
              <w:pStyle w:val="TableParagraph"/>
              <w:ind w:left="107"/>
              <w:rPr>
                <w:rFonts w:ascii="Times New Roman"/>
                <w:b/>
                <w:sz w:val="21"/>
              </w:rPr>
            </w:pPr>
            <w:r>
              <w:rPr>
                <w:rFonts w:ascii="Times New Roman"/>
                <w:b/>
                <w:sz w:val="21"/>
              </w:rPr>
              <w:t>1.1</w:t>
            </w:r>
          </w:p>
        </w:tc>
        <w:tc>
          <w:tcPr>
            <w:tcW w:w="1927" w:type="dxa"/>
            <w:tcBorders>
              <w:top w:val="single" w:sz="8" w:space="0" w:color="000000"/>
            </w:tcBorders>
          </w:tcPr>
          <w:p>
            <w:pPr>
              <w:pStyle w:val="TableParagraph"/>
              <w:spacing w:before="145"/>
              <w:ind w:left="335"/>
              <w:rPr>
                <w:rFonts w:ascii="微软雅黑" w:eastAsia="微软雅黑" w:hint="eastAsia"/>
                <w:b/>
                <w:sz w:val="21"/>
              </w:rPr>
            </w:pPr>
            <w:r>
              <w:rPr>
                <w:rFonts w:ascii="微软雅黑" w:eastAsia="微软雅黑" w:hint="eastAsia"/>
                <w:b/>
                <w:sz w:val="21"/>
              </w:rPr>
              <w:t>合同构成</w:t>
            </w:r>
          </w:p>
        </w:tc>
        <w:tc>
          <w:tcPr>
            <w:tcW w:w="6882" w:type="dxa"/>
            <w:tcBorders>
              <w:top w:val="single" w:sz="8" w:space="0" w:color="000000"/>
            </w:tcBorders>
          </w:tcPr>
          <w:p>
            <w:pPr>
              <w:pStyle w:val="TableParagraph"/>
              <w:spacing w:before="3"/>
              <w:ind w:left="0"/>
              <w:rPr>
                <w:rFonts w:ascii="Times New Roman"/>
                <w:sz w:val="18"/>
              </w:rPr>
            </w:pPr>
          </w:p>
          <w:p>
            <w:pPr>
              <w:pStyle w:val="TableParagraph"/>
              <w:spacing w:line="237" w:lineRule="auto"/>
              <w:ind w:left="110" w:right="106"/>
              <w:jc w:val="both"/>
              <w:rPr>
                <w:sz w:val="21"/>
              </w:rPr>
            </w:pPr>
            <w:r>
              <w:rPr>
                <w:spacing w:val="-3"/>
                <w:w w:val="100"/>
                <w:sz w:val="21"/>
              </w:rPr>
              <w:t>和谐健康之享定期重大疾病保险合同</w:t>
            </w:r>
            <w:r>
              <w:rPr>
                <w:w w:val="100"/>
                <w:sz w:val="21"/>
              </w:rPr>
              <w:t>（</w:t>
            </w:r>
            <w:r>
              <w:rPr>
                <w:spacing w:val="-15"/>
                <w:w w:val="100"/>
                <w:sz w:val="21"/>
              </w:rPr>
              <w:t>以下简称“本合同”</w:t>
            </w:r>
            <w:r>
              <w:rPr>
                <w:spacing w:val="-3"/>
                <w:w w:val="100"/>
                <w:sz w:val="21"/>
              </w:rPr>
              <w:t>）由以下几个</w:t>
            </w:r>
            <w:r>
              <w:rPr>
                <w:spacing w:val="-9"/>
                <w:sz w:val="21"/>
              </w:rPr>
              <w:t>部分构成：本保险条款、保险单或其他保险凭证、投保单</w:t>
            </w:r>
            <w:r>
              <w:rPr>
                <w:spacing w:val="-3"/>
                <w:sz w:val="21"/>
              </w:rPr>
              <w:t>（经本公司核实的复印件或电子影像印刷件与正本具有同等效力</w:t>
            </w:r>
            <w:r>
              <w:rPr>
                <w:spacing w:val="-108"/>
                <w:sz w:val="21"/>
              </w:rPr>
              <w:t>）</w:t>
            </w:r>
            <w:r>
              <w:rPr>
                <w:spacing w:val="-3"/>
                <w:sz w:val="21"/>
              </w:rPr>
              <w:t>、合法有效的声明、批</w:t>
            </w:r>
            <w:r>
              <w:rPr>
                <w:spacing w:val="-9"/>
                <w:sz w:val="21"/>
              </w:rPr>
              <w:t>注、批单，及您与本公司共同认可的、与本合同有关的其它书面文件或电</w:t>
            </w:r>
            <w:r>
              <w:rPr>
                <w:spacing w:val="-1"/>
                <w:sz w:val="21"/>
              </w:rPr>
              <w:t>子协议。</w:t>
            </w:r>
          </w:p>
        </w:tc>
      </w:tr>
      <w:tr>
        <w:trPr>
          <w:trHeight w:val="521" w:hRule="atLeast"/>
        </w:trPr>
        <w:tc>
          <w:tcPr>
            <w:tcW w:w="836" w:type="dxa"/>
          </w:tcPr>
          <w:p>
            <w:pPr>
              <w:pStyle w:val="TableParagraph"/>
              <w:spacing w:before="131"/>
              <w:ind w:left="107"/>
              <w:rPr>
                <w:rFonts w:ascii="Times New Roman"/>
                <w:b/>
                <w:sz w:val="21"/>
              </w:rPr>
            </w:pPr>
            <w:r>
              <w:rPr>
                <w:rFonts w:ascii="Times New Roman"/>
                <w:b/>
                <w:sz w:val="21"/>
              </w:rPr>
              <w:t>1.2</w:t>
            </w:r>
          </w:p>
        </w:tc>
        <w:tc>
          <w:tcPr>
            <w:tcW w:w="1927" w:type="dxa"/>
          </w:tcPr>
          <w:p>
            <w:pPr>
              <w:pStyle w:val="TableParagraph"/>
              <w:spacing w:before="36"/>
              <w:ind w:left="335"/>
              <w:rPr>
                <w:rFonts w:ascii="微软雅黑" w:eastAsia="微软雅黑" w:hint="eastAsia"/>
                <w:b/>
                <w:sz w:val="21"/>
              </w:rPr>
            </w:pPr>
            <w:r>
              <w:rPr>
                <w:rFonts w:ascii="微软雅黑" w:eastAsia="微软雅黑" w:hint="eastAsia"/>
                <w:b/>
                <w:sz w:val="21"/>
              </w:rPr>
              <w:t>投保年龄</w:t>
            </w:r>
          </w:p>
        </w:tc>
        <w:tc>
          <w:tcPr>
            <w:tcW w:w="6882" w:type="dxa"/>
          </w:tcPr>
          <w:p>
            <w:pPr>
              <w:pStyle w:val="TableParagraph"/>
              <w:spacing w:before="36"/>
              <w:ind w:left="110"/>
              <w:rPr>
                <w:sz w:val="21"/>
              </w:rPr>
            </w:pPr>
            <w:r>
              <w:rPr>
                <w:sz w:val="21"/>
              </w:rPr>
              <w:t>指投保时被保险人的年龄，投保年龄以</w:t>
            </w:r>
            <w:r>
              <w:rPr>
                <w:rFonts w:ascii="微软雅黑" w:eastAsia="微软雅黑" w:hint="eastAsia"/>
                <w:b/>
                <w:sz w:val="21"/>
              </w:rPr>
              <w:t>周岁</w:t>
            </w:r>
            <w:r>
              <w:rPr>
                <w:sz w:val="21"/>
              </w:rPr>
              <w:t>（见释义 </w:t>
            </w:r>
            <w:r>
              <w:rPr>
                <w:rFonts w:ascii="Times New Roman" w:eastAsia="Times New Roman"/>
                <w:sz w:val="21"/>
              </w:rPr>
              <w:t>7.1</w:t>
            </w:r>
            <w:r>
              <w:rPr>
                <w:sz w:val="21"/>
              </w:rPr>
              <w:t>）计算。</w:t>
            </w:r>
          </w:p>
        </w:tc>
      </w:tr>
      <w:tr>
        <w:trPr>
          <w:trHeight w:val="2140" w:hRule="atLeast"/>
        </w:trPr>
        <w:tc>
          <w:tcPr>
            <w:tcW w:w="836" w:type="dxa"/>
          </w:tcPr>
          <w:p>
            <w:pPr>
              <w:pStyle w:val="TableParagraph"/>
              <w:spacing w:before="124"/>
              <w:ind w:left="107"/>
              <w:rPr>
                <w:rFonts w:ascii="Times New Roman"/>
                <w:b/>
                <w:sz w:val="21"/>
              </w:rPr>
            </w:pPr>
            <w:r>
              <w:rPr>
                <w:rFonts w:ascii="Times New Roman"/>
                <w:b/>
                <w:sz w:val="21"/>
              </w:rPr>
              <w:t>1.3</w:t>
            </w:r>
          </w:p>
        </w:tc>
        <w:tc>
          <w:tcPr>
            <w:tcW w:w="1927" w:type="dxa"/>
          </w:tcPr>
          <w:p>
            <w:pPr>
              <w:pStyle w:val="TableParagraph"/>
              <w:spacing w:line="180" w:lineRule="auto" w:before="119"/>
              <w:ind w:left="335" w:right="112"/>
              <w:rPr>
                <w:rFonts w:ascii="微软雅黑" w:eastAsia="微软雅黑" w:hint="eastAsia"/>
                <w:b/>
                <w:sz w:val="21"/>
              </w:rPr>
            </w:pPr>
            <w:r>
              <w:rPr>
                <w:rFonts w:ascii="微软雅黑" w:eastAsia="微软雅黑" w:hint="eastAsia"/>
                <w:b/>
                <w:sz w:val="21"/>
              </w:rPr>
              <w:t>合同成立与生效和保险责任开始</w:t>
            </w:r>
          </w:p>
        </w:tc>
        <w:tc>
          <w:tcPr>
            <w:tcW w:w="6882" w:type="dxa"/>
          </w:tcPr>
          <w:p>
            <w:pPr>
              <w:pStyle w:val="TableParagraph"/>
              <w:spacing w:before="91"/>
              <w:ind w:left="110" w:right="105"/>
              <w:rPr>
                <w:sz w:val="21"/>
              </w:rPr>
            </w:pPr>
            <w:r>
              <w:rPr>
                <w:spacing w:val="-8"/>
                <w:sz w:val="21"/>
              </w:rPr>
              <w:t>您提出保险申请、本公司同意承保，本合同成立，合同成立日期在保险单</w:t>
            </w:r>
            <w:r>
              <w:rPr>
                <w:spacing w:val="-6"/>
                <w:sz w:val="21"/>
              </w:rPr>
              <w:t>上载明。</w:t>
            </w:r>
          </w:p>
          <w:p>
            <w:pPr>
              <w:pStyle w:val="TableParagraph"/>
              <w:spacing w:line="213" w:lineRule="auto" w:before="26"/>
              <w:ind w:left="110" w:right="105"/>
              <w:rPr>
                <w:sz w:val="21"/>
              </w:rPr>
            </w:pPr>
            <w:r>
              <w:rPr>
                <w:spacing w:val="-3"/>
                <w:sz w:val="21"/>
              </w:rPr>
              <w:t>自本合同成立、本公司收取保险费并签发保险单的次日零时起本合同生</w:t>
            </w:r>
            <w:r>
              <w:rPr>
                <w:spacing w:val="-9"/>
                <w:sz w:val="21"/>
              </w:rPr>
              <w:t>效，合同生效日期在保险单上载明。保险合同生效日以后每年的对应日是</w:t>
            </w:r>
            <w:r>
              <w:rPr>
                <w:spacing w:val="-5"/>
                <w:sz w:val="21"/>
              </w:rPr>
              <w:t>保单周年日，保单年度、</w:t>
            </w:r>
            <w:r>
              <w:rPr>
                <w:rFonts w:ascii="微软雅黑" w:eastAsia="微软雅黑" w:hint="eastAsia"/>
                <w:b/>
                <w:sz w:val="21"/>
              </w:rPr>
              <w:t>保险费约定交纳日</w:t>
            </w:r>
            <w:r>
              <w:rPr>
                <w:spacing w:val="-3"/>
                <w:sz w:val="21"/>
              </w:rPr>
              <w:t>（</w:t>
            </w:r>
            <w:r>
              <w:rPr>
                <w:spacing w:val="-6"/>
                <w:sz w:val="21"/>
              </w:rPr>
              <w:t>见释义 </w:t>
            </w:r>
            <w:r>
              <w:rPr>
                <w:rFonts w:ascii="Times New Roman" w:eastAsia="Times New Roman"/>
                <w:sz w:val="21"/>
              </w:rPr>
              <w:t>7.2</w:t>
            </w:r>
            <w:r>
              <w:rPr>
                <w:sz w:val="21"/>
              </w:rPr>
              <w:t>）</w:t>
            </w:r>
            <w:r>
              <w:rPr>
                <w:spacing w:val="-3"/>
                <w:sz w:val="21"/>
              </w:rPr>
              <w:t>均以该日期为</w:t>
            </w:r>
          </w:p>
          <w:p>
            <w:pPr>
              <w:pStyle w:val="TableParagraph"/>
              <w:spacing w:line="246" w:lineRule="exact"/>
              <w:ind w:left="110"/>
              <w:rPr>
                <w:sz w:val="21"/>
              </w:rPr>
            </w:pPr>
            <w:r>
              <w:rPr>
                <w:sz w:val="21"/>
              </w:rPr>
              <w:t>准。如果当月无对应的同一日，则以该月最后一日作为对应日。</w:t>
            </w:r>
          </w:p>
          <w:p>
            <w:pPr>
              <w:pStyle w:val="TableParagraph"/>
              <w:spacing w:line="273" w:lineRule="exact"/>
              <w:ind w:left="110"/>
              <w:rPr>
                <w:sz w:val="21"/>
              </w:rPr>
            </w:pPr>
            <w:r>
              <w:rPr>
                <w:sz w:val="21"/>
              </w:rPr>
              <w:t>除另有约定外，本合同生效的日期为本公司开始承担保险责任的日期。</w:t>
            </w:r>
          </w:p>
        </w:tc>
      </w:tr>
      <w:tr>
        <w:trPr>
          <w:trHeight w:val="1877" w:hRule="atLeast"/>
        </w:trPr>
        <w:tc>
          <w:tcPr>
            <w:tcW w:w="836" w:type="dxa"/>
          </w:tcPr>
          <w:p>
            <w:pPr>
              <w:pStyle w:val="TableParagraph"/>
              <w:spacing w:before="131"/>
              <w:ind w:left="107"/>
              <w:rPr>
                <w:rFonts w:ascii="Times New Roman"/>
                <w:b/>
                <w:sz w:val="21"/>
              </w:rPr>
            </w:pPr>
            <w:r>
              <w:rPr>
                <w:rFonts w:ascii="Times New Roman"/>
                <w:b/>
                <w:sz w:val="21"/>
              </w:rPr>
              <w:t>1.4</w:t>
            </w:r>
          </w:p>
        </w:tc>
        <w:tc>
          <w:tcPr>
            <w:tcW w:w="1927" w:type="dxa"/>
          </w:tcPr>
          <w:p>
            <w:pPr>
              <w:pStyle w:val="TableParagraph"/>
              <w:spacing w:before="36"/>
              <w:ind w:left="335"/>
              <w:rPr>
                <w:rFonts w:ascii="微软雅黑" w:eastAsia="微软雅黑" w:hint="eastAsia"/>
                <w:b/>
                <w:sz w:val="21"/>
              </w:rPr>
            </w:pPr>
            <w:r>
              <w:rPr>
                <w:rFonts w:ascii="微软雅黑" w:eastAsia="微软雅黑" w:hint="eastAsia"/>
                <w:b/>
                <w:sz w:val="21"/>
              </w:rPr>
              <w:t>犹豫期</w:t>
            </w:r>
          </w:p>
        </w:tc>
        <w:tc>
          <w:tcPr>
            <w:tcW w:w="6882" w:type="dxa"/>
          </w:tcPr>
          <w:p>
            <w:pPr>
              <w:pStyle w:val="TableParagraph"/>
              <w:spacing w:line="230" w:lineRule="auto" w:before="111"/>
              <w:ind w:left="110" w:right="105"/>
              <w:jc w:val="both"/>
              <w:rPr>
                <w:sz w:val="21"/>
              </w:rPr>
            </w:pPr>
            <w:r>
              <w:rPr>
                <w:spacing w:val="-6"/>
                <w:sz w:val="21"/>
              </w:rPr>
              <w:t>自您签收本合同次日起，有 </w:t>
            </w:r>
            <w:r>
              <w:rPr>
                <w:rFonts w:ascii="Times New Roman" w:eastAsia="Times New Roman"/>
                <w:sz w:val="21"/>
              </w:rPr>
              <w:t>15 </w:t>
            </w:r>
            <w:r>
              <w:rPr>
                <w:spacing w:val="-3"/>
                <w:sz w:val="21"/>
              </w:rPr>
              <w:t>日的犹豫期。在此期间请您认真审视本合</w:t>
            </w:r>
            <w:r>
              <w:rPr>
                <w:spacing w:val="-9"/>
                <w:sz w:val="21"/>
              </w:rPr>
              <w:t>同，如果您认为本合同与您的需求不相符，您可以在此期间提出解除本合</w:t>
            </w:r>
            <w:r>
              <w:rPr>
                <w:spacing w:val="-5"/>
                <w:sz w:val="21"/>
              </w:rPr>
              <w:t>同，我们将无息退还您所交的保险费。</w:t>
            </w:r>
          </w:p>
          <w:p>
            <w:pPr>
              <w:pStyle w:val="TableParagraph"/>
              <w:spacing w:line="254" w:lineRule="exact"/>
              <w:ind w:left="110"/>
              <w:rPr>
                <w:sz w:val="21"/>
              </w:rPr>
            </w:pPr>
            <w:r>
              <w:rPr>
                <w:sz w:val="21"/>
              </w:rPr>
              <w:t>解除本合同时，您需要填写申请书，并提供您的</w:t>
            </w:r>
            <w:r>
              <w:rPr>
                <w:rFonts w:ascii="微软雅黑" w:eastAsia="微软雅黑" w:hint="eastAsia"/>
                <w:b/>
                <w:sz w:val="21"/>
              </w:rPr>
              <w:t>有效身份证件</w:t>
            </w:r>
            <w:r>
              <w:rPr>
                <w:sz w:val="21"/>
              </w:rPr>
              <w:t>（见释义</w:t>
            </w:r>
          </w:p>
          <w:p>
            <w:pPr>
              <w:pStyle w:val="TableParagraph"/>
              <w:spacing w:line="180" w:lineRule="auto" w:before="44"/>
              <w:ind w:left="110" w:right="106"/>
              <w:jc w:val="both"/>
              <w:rPr>
                <w:rFonts w:ascii="微软雅黑" w:eastAsia="微软雅黑" w:hint="eastAsia"/>
                <w:b/>
                <w:sz w:val="21"/>
              </w:rPr>
            </w:pPr>
            <w:r>
              <w:rPr>
                <w:rFonts w:ascii="Times New Roman" w:eastAsia="Times New Roman"/>
                <w:w w:val="100"/>
                <w:sz w:val="21"/>
              </w:rPr>
              <w:t>7.3</w:t>
            </w:r>
            <w:r>
              <w:rPr>
                <w:spacing w:val="-108"/>
                <w:w w:val="100"/>
                <w:sz w:val="21"/>
              </w:rPr>
              <w:t>）</w:t>
            </w:r>
            <w:r>
              <w:rPr>
                <w:spacing w:val="-4"/>
                <w:w w:val="100"/>
                <w:sz w:val="21"/>
              </w:rPr>
              <w:t>。自我们收到您解除合同的书面申请时起，</w:t>
            </w:r>
            <w:r>
              <w:rPr>
                <w:rFonts w:ascii="微软雅黑" w:eastAsia="微软雅黑" w:hint="eastAsia"/>
                <w:b/>
                <w:spacing w:val="-1"/>
                <w:w w:val="100"/>
                <w:sz w:val="21"/>
              </w:rPr>
              <w:t>本合同即被解除，对合同</w:t>
            </w:r>
            <w:r>
              <w:rPr>
                <w:rFonts w:ascii="微软雅黑" w:eastAsia="微软雅黑" w:hint="eastAsia"/>
                <w:b/>
                <w:spacing w:val="-3"/>
                <w:sz w:val="21"/>
              </w:rPr>
              <w:t>解除前的保险事故本公司不承担保险责任。</w:t>
            </w:r>
          </w:p>
        </w:tc>
      </w:tr>
      <w:tr>
        <w:trPr>
          <w:trHeight w:val="2148" w:hRule="atLeast"/>
        </w:trPr>
        <w:tc>
          <w:tcPr>
            <w:tcW w:w="836" w:type="dxa"/>
          </w:tcPr>
          <w:p>
            <w:pPr>
              <w:pStyle w:val="TableParagraph"/>
              <w:spacing w:before="131"/>
              <w:ind w:left="107"/>
              <w:rPr>
                <w:rFonts w:ascii="Times New Roman"/>
                <w:b/>
                <w:sz w:val="21"/>
              </w:rPr>
            </w:pPr>
            <w:r>
              <w:rPr>
                <w:rFonts w:ascii="Times New Roman"/>
                <w:b/>
                <w:sz w:val="21"/>
              </w:rPr>
              <w:t>1.5</w:t>
            </w:r>
          </w:p>
        </w:tc>
        <w:tc>
          <w:tcPr>
            <w:tcW w:w="1927" w:type="dxa"/>
          </w:tcPr>
          <w:p>
            <w:pPr>
              <w:pStyle w:val="TableParagraph"/>
              <w:spacing w:before="36"/>
              <w:ind w:left="335"/>
              <w:rPr>
                <w:rFonts w:ascii="微软雅黑" w:eastAsia="微软雅黑" w:hint="eastAsia"/>
                <w:b/>
                <w:sz w:val="21"/>
              </w:rPr>
            </w:pPr>
            <w:r>
              <w:rPr>
                <w:rFonts w:ascii="微软雅黑" w:eastAsia="微软雅黑" w:hint="eastAsia"/>
                <w:b/>
                <w:sz w:val="21"/>
              </w:rPr>
              <w:t>合同内容变更</w:t>
            </w:r>
          </w:p>
        </w:tc>
        <w:tc>
          <w:tcPr>
            <w:tcW w:w="6882" w:type="dxa"/>
          </w:tcPr>
          <w:p>
            <w:pPr>
              <w:pStyle w:val="TableParagraph"/>
              <w:spacing w:line="237" w:lineRule="auto" w:before="102"/>
              <w:ind w:left="110" w:right="105"/>
              <w:jc w:val="both"/>
              <w:rPr>
                <w:sz w:val="21"/>
              </w:rPr>
            </w:pPr>
            <w:r>
              <w:rPr>
                <w:spacing w:val="-8"/>
                <w:sz w:val="21"/>
              </w:rPr>
              <w:t>在本合同有效期内，您与本公司可以协商变更本合同内容。变更本合同内</w:t>
            </w:r>
            <w:r>
              <w:rPr>
                <w:spacing w:val="-5"/>
                <w:sz w:val="21"/>
              </w:rPr>
              <w:t>容的，应当由本公司在保险单或其他保险凭证上批注或者附贴批单。</w:t>
            </w:r>
          </w:p>
          <w:p>
            <w:pPr>
              <w:pStyle w:val="TableParagraph"/>
              <w:spacing w:line="237" w:lineRule="auto" w:before="1"/>
              <w:ind w:left="110" w:right="105"/>
              <w:jc w:val="both"/>
              <w:rPr>
                <w:sz w:val="21"/>
              </w:rPr>
            </w:pPr>
            <w:r>
              <w:rPr>
                <w:spacing w:val="-8"/>
                <w:sz w:val="21"/>
              </w:rPr>
              <w:t>为了保障您的合法权益，在本合同有效期内，若您提供给本公司的住所或</w:t>
            </w:r>
            <w:r>
              <w:rPr>
                <w:spacing w:val="-9"/>
                <w:sz w:val="21"/>
              </w:rPr>
              <w:t>其他投保信息发生了变更，请及时以书面形式通知本公司，以便于本公司</w:t>
            </w:r>
            <w:r>
              <w:rPr>
                <w:spacing w:val="-5"/>
                <w:sz w:val="21"/>
              </w:rPr>
              <w:t>及时为您变更保险合同上的相关信息。</w:t>
            </w:r>
          </w:p>
          <w:p>
            <w:pPr>
              <w:pStyle w:val="TableParagraph"/>
              <w:ind w:left="110" w:right="103"/>
              <w:jc w:val="both"/>
              <w:rPr>
                <w:sz w:val="21"/>
              </w:rPr>
            </w:pPr>
            <w:r>
              <w:rPr>
                <w:spacing w:val="-6"/>
                <w:sz w:val="21"/>
              </w:rPr>
              <w:t>如因您的住所或通讯地址变更后未及时通知本公司，则本公司按本合同载</w:t>
            </w:r>
            <w:r>
              <w:rPr>
                <w:spacing w:val="-4"/>
                <w:sz w:val="21"/>
              </w:rPr>
              <w:t>明的最后住所或通讯地址发送的有关通知，均视为已送达给您。</w:t>
            </w:r>
          </w:p>
        </w:tc>
      </w:tr>
      <w:tr>
        <w:trPr>
          <w:trHeight w:val="2415" w:hRule="atLeast"/>
        </w:trPr>
        <w:tc>
          <w:tcPr>
            <w:tcW w:w="836" w:type="dxa"/>
          </w:tcPr>
          <w:p>
            <w:pPr>
              <w:pStyle w:val="TableParagraph"/>
              <w:spacing w:before="132"/>
              <w:ind w:left="107"/>
              <w:rPr>
                <w:rFonts w:ascii="Times New Roman"/>
                <w:b/>
                <w:sz w:val="21"/>
              </w:rPr>
            </w:pPr>
            <w:r>
              <w:rPr>
                <w:rFonts w:ascii="Times New Roman"/>
                <w:b/>
                <w:sz w:val="21"/>
              </w:rPr>
              <w:t>1.6</w:t>
            </w:r>
          </w:p>
        </w:tc>
        <w:tc>
          <w:tcPr>
            <w:tcW w:w="1927" w:type="dxa"/>
          </w:tcPr>
          <w:p>
            <w:pPr>
              <w:pStyle w:val="TableParagraph"/>
              <w:spacing w:line="180" w:lineRule="auto" w:before="127"/>
              <w:ind w:left="335" w:right="112"/>
              <w:rPr>
                <w:rFonts w:ascii="微软雅黑" w:eastAsia="微软雅黑" w:hint="eastAsia"/>
                <w:b/>
                <w:sz w:val="21"/>
              </w:rPr>
            </w:pPr>
            <w:r>
              <w:rPr>
                <w:rFonts w:ascii="微软雅黑" w:eastAsia="微软雅黑" w:hint="eastAsia"/>
                <w:b/>
                <w:sz w:val="21"/>
              </w:rPr>
              <w:t>您解除合同的手续及风险</w:t>
            </w:r>
          </w:p>
        </w:tc>
        <w:tc>
          <w:tcPr>
            <w:tcW w:w="6882" w:type="dxa"/>
          </w:tcPr>
          <w:p>
            <w:pPr>
              <w:pStyle w:val="TableParagraph"/>
              <w:spacing w:line="237" w:lineRule="auto" w:before="102"/>
              <w:ind w:left="110" w:right="105"/>
              <w:rPr>
                <w:sz w:val="21"/>
              </w:rPr>
            </w:pPr>
            <w:r>
              <w:rPr>
                <w:spacing w:val="-7"/>
                <w:sz w:val="21"/>
              </w:rPr>
              <w:t>如您在犹豫期后申请解除本合同，请填写解除合同申请书并向本公司提供</w:t>
            </w:r>
            <w:r>
              <w:rPr>
                <w:spacing w:val="-4"/>
                <w:sz w:val="21"/>
              </w:rPr>
              <w:t>下列资料：</w:t>
            </w:r>
          </w:p>
          <w:p>
            <w:pPr>
              <w:pStyle w:val="TableParagraph"/>
              <w:numPr>
                <w:ilvl w:val="0"/>
                <w:numId w:val="4"/>
              </w:numPr>
              <w:tabs>
                <w:tab w:pos="678" w:val="left" w:leader="none"/>
              </w:tabs>
              <w:spacing w:line="280" w:lineRule="exact" w:before="0" w:after="0"/>
              <w:ind w:left="677" w:right="0" w:hanging="567"/>
              <w:jc w:val="left"/>
              <w:rPr>
                <w:sz w:val="21"/>
              </w:rPr>
            </w:pPr>
            <w:r>
              <w:rPr>
                <w:spacing w:val="-2"/>
                <w:sz w:val="21"/>
              </w:rPr>
              <w:t>保险合同原件；</w:t>
            </w:r>
          </w:p>
          <w:p>
            <w:pPr>
              <w:pStyle w:val="TableParagraph"/>
              <w:numPr>
                <w:ilvl w:val="0"/>
                <w:numId w:val="4"/>
              </w:numPr>
              <w:tabs>
                <w:tab w:pos="678" w:val="left" w:leader="none"/>
              </w:tabs>
              <w:spacing w:line="272" w:lineRule="exact" w:before="0" w:after="0"/>
              <w:ind w:left="677" w:right="0" w:hanging="567"/>
              <w:jc w:val="left"/>
              <w:rPr>
                <w:sz w:val="21"/>
              </w:rPr>
            </w:pPr>
            <w:r>
              <w:rPr>
                <w:spacing w:val="-3"/>
                <w:sz w:val="21"/>
              </w:rPr>
              <w:t>您的有效身份证件。</w:t>
            </w:r>
          </w:p>
          <w:p>
            <w:pPr>
              <w:pStyle w:val="TableParagraph"/>
              <w:spacing w:line="237" w:lineRule="auto"/>
              <w:ind w:left="110" w:right="105"/>
              <w:rPr>
                <w:sz w:val="21"/>
              </w:rPr>
            </w:pPr>
            <w:r>
              <w:rPr>
                <w:spacing w:val="-7"/>
                <w:sz w:val="21"/>
              </w:rPr>
              <w:t>自本公司收到解除合同申请书时起，本合同终止，本合同的附加险合同同时终止。本公司自收到解除合同申请书之日起 </w:t>
            </w:r>
            <w:r>
              <w:rPr>
                <w:rFonts w:ascii="Times New Roman" w:eastAsia="Times New Roman"/>
                <w:sz w:val="21"/>
              </w:rPr>
              <w:t>30 </w:t>
            </w:r>
            <w:r>
              <w:rPr>
                <w:spacing w:val="-3"/>
                <w:sz w:val="21"/>
              </w:rPr>
              <w:t>日内向您退还本合同终</w:t>
            </w:r>
          </w:p>
          <w:p>
            <w:pPr>
              <w:pStyle w:val="TableParagraph"/>
              <w:spacing w:line="237" w:lineRule="exact" w:before="6"/>
              <w:ind w:left="110"/>
              <w:rPr>
                <w:sz w:val="21"/>
              </w:rPr>
            </w:pPr>
            <w:r>
              <w:rPr>
                <w:spacing w:val="-1"/>
                <w:w w:val="100"/>
                <w:sz w:val="21"/>
              </w:rPr>
              <w:t>止时的</w:t>
            </w:r>
            <w:r>
              <w:rPr>
                <w:rFonts w:ascii="微软雅黑" w:eastAsia="微软雅黑" w:hint="eastAsia"/>
                <w:b/>
                <w:w w:val="100"/>
                <w:sz w:val="21"/>
              </w:rPr>
              <w:t>现金价值</w:t>
            </w:r>
            <w:r>
              <w:rPr>
                <w:spacing w:val="-3"/>
                <w:w w:val="100"/>
                <w:sz w:val="21"/>
              </w:rPr>
              <w:t>（</w:t>
            </w:r>
            <w:r>
              <w:rPr>
                <w:spacing w:val="-2"/>
                <w:w w:val="100"/>
                <w:sz w:val="21"/>
              </w:rPr>
              <w:t>见释义</w:t>
            </w:r>
            <w:r>
              <w:rPr>
                <w:spacing w:val="-55"/>
                <w:sz w:val="21"/>
              </w:rPr>
              <w:t> </w:t>
            </w:r>
            <w:r>
              <w:rPr>
                <w:rFonts w:ascii="Times New Roman" w:eastAsia="Times New Roman"/>
                <w:w w:val="100"/>
                <w:sz w:val="21"/>
              </w:rPr>
              <w:t>7.4</w:t>
            </w:r>
            <w:r>
              <w:rPr>
                <w:spacing w:val="-106"/>
                <w:w w:val="100"/>
                <w:sz w:val="21"/>
              </w:rPr>
              <w:t>）</w:t>
            </w:r>
            <w:r>
              <w:rPr>
                <w:w w:val="100"/>
                <w:sz w:val="21"/>
              </w:rPr>
              <w:t>。</w:t>
            </w:r>
          </w:p>
          <w:p>
            <w:pPr>
              <w:pStyle w:val="TableParagraph"/>
              <w:spacing w:line="317" w:lineRule="exact"/>
              <w:ind w:left="110"/>
              <w:rPr>
                <w:rFonts w:ascii="微软雅黑" w:eastAsia="微软雅黑" w:hint="eastAsia"/>
                <w:b/>
                <w:sz w:val="21"/>
              </w:rPr>
            </w:pPr>
            <w:r>
              <w:rPr>
                <w:rFonts w:ascii="微软雅黑" w:eastAsia="微软雅黑" w:hint="eastAsia"/>
                <w:b/>
                <w:sz w:val="21"/>
              </w:rPr>
              <w:t>您在犹豫期后解除合同会有一定损失。</w:t>
            </w:r>
          </w:p>
        </w:tc>
      </w:tr>
      <w:tr>
        <w:trPr>
          <w:trHeight w:val="626" w:hRule="atLeast"/>
        </w:trPr>
        <w:tc>
          <w:tcPr>
            <w:tcW w:w="836" w:type="dxa"/>
            <w:tcBorders>
              <w:bottom w:val="single" w:sz="8" w:space="0" w:color="000000"/>
            </w:tcBorders>
          </w:tcPr>
          <w:p>
            <w:pPr>
              <w:pStyle w:val="TableParagraph"/>
              <w:spacing w:line="471" w:lineRule="exact" w:before="135"/>
              <w:ind w:left="107"/>
              <w:rPr>
                <w:rFonts w:ascii="Wingdings" w:hAnsi="Wingdings"/>
                <w:b/>
                <w:sz w:val="44"/>
              </w:rPr>
            </w:pPr>
            <w:r>
              <w:rPr>
                <w:rFonts w:ascii="Wingdings" w:hAnsi="Wingdings"/>
                <w:b/>
                <w:w w:val="99"/>
                <w:sz w:val="44"/>
              </w:rPr>
              <w:t></w:t>
            </w:r>
          </w:p>
        </w:tc>
        <w:tc>
          <w:tcPr>
            <w:tcW w:w="8809" w:type="dxa"/>
            <w:gridSpan w:val="2"/>
            <w:tcBorders>
              <w:bottom w:val="single" w:sz="8" w:space="0" w:color="000000"/>
            </w:tcBorders>
          </w:tcPr>
          <w:p>
            <w:pPr>
              <w:pStyle w:val="TableParagraph"/>
              <w:spacing w:before="114"/>
              <w:ind w:left="335"/>
              <w:rPr>
                <w:rFonts w:ascii="微软雅黑" w:eastAsia="微软雅黑" w:hint="eastAsia"/>
                <w:b/>
                <w:sz w:val="24"/>
              </w:rPr>
            </w:pPr>
            <w:r>
              <w:rPr>
                <w:rFonts w:ascii="微软雅黑" w:eastAsia="微软雅黑" w:hint="eastAsia"/>
                <w:b/>
                <w:sz w:val="24"/>
              </w:rPr>
              <w:t>我们提供的保障</w:t>
            </w:r>
          </w:p>
        </w:tc>
      </w:tr>
      <w:tr>
        <w:trPr>
          <w:trHeight w:val="622" w:hRule="atLeast"/>
        </w:trPr>
        <w:tc>
          <w:tcPr>
            <w:tcW w:w="836" w:type="dxa"/>
            <w:tcBorders>
              <w:top w:val="single" w:sz="8" w:space="0" w:color="000000"/>
            </w:tcBorders>
          </w:tcPr>
          <w:p>
            <w:pPr>
              <w:pStyle w:val="TableParagraph"/>
              <w:spacing w:before="10"/>
              <w:ind w:left="0"/>
              <w:rPr>
                <w:rFonts w:ascii="Times New Roman"/>
                <w:sz w:val="20"/>
              </w:rPr>
            </w:pPr>
          </w:p>
          <w:p>
            <w:pPr>
              <w:pStyle w:val="TableParagraph"/>
              <w:ind w:left="107"/>
              <w:rPr>
                <w:rFonts w:ascii="Times New Roman"/>
                <w:b/>
                <w:sz w:val="21"/>
              </w:rPr>
            </w:pPr>
            <w:r>
              <w:rPr>
                <w:rFonts w:ascii="Times New Roman"/>
                <w:b/>
                <w:sz w:val="21"/>
              </w:rPr>
              <w:t>2.1</w:t>
            </w:r>
          </w:p>
        </w:tc>
        <w:tc>
          <w:tcPr>
            <w:tcW w:w="1927" w:type="dxa"/>
            <w:tcBorders>
              <w:top w:val="single" w:sz="8" w:space="0" w:color="000000"/>
            </w:tcBorders>
          </w:tcPr>
          <w:p>
            <w:pPr>
              <w:pStyle w:val="TableParagraph"/>
              <w:spacing w:before="145"/>
              <w:ind w:left="335"/>
              <w:rPr>
                <w:rFonts w:ascii="微软雅黑" w:eastAsia="微软雅黑" w:hint="eastAsia"/>
                <w:b/>
                <w:sz w:val="21"/>
              </w:rPr>
            </w:pPr>
            <w:r>
              <w:rPr>
                <w:rFonts w:ascii="微软雅黑" w:eastAsia="微软雅黑" w:hint="eastAsia"/>
                <w:b/>
                <w:sz w:val="21"/>
              </w:rPr>
              <w:t>基本保险金额</w:t>
            </w:r>
          </w:p>
        </w:tc>
        <w:tc>
          <w:tcPr>
            <w:tcW w:w="6882" w:type="dxa"/>
            <w:tcBorders>
              <w:top w:val="single" w:sz="8" w:space="0" w:color="000000"/>
            </w:tcBorders>
          </w:tcPr>
          <w:p>
            <w:pPr>
              <w:pStyle w:val="TableParagraph"/>
              <w:spacing w:before="1"/>
              <w:ind w:left="0"/>
              <w:rPr>
                <w:rFonts w:ascii="Times New Roman"/>
                <w:sz w:val="18"/>
              </w:rPr>
            </w:pPr>
          </w:p>
          <w:p>
            <w:pPr>
              <w:pStyle w:val="TableParagraph"/>
              <w:ind w:left="110"/>
              <w:rPr>
                <w:sz w:val="21"/>
              </w:rPr>
            </w:pPr>
            <w:r>
              <w:rPr>
                <w:sz w:val="21"/>
              </w:rPr>
              <w:t>本合同的基本保险金额由您在投保时与我们约定，并在保险单中载明。</w:t>
            </w:r>
          </w:p>
        </w:tc>
      </w:tr>
      <w:tr>
        <w:trPr>
          <w:trHeight w:val="934" w:hRule="atLeast"/>
        </w:trPr>
        <w:tc>
          <w:tcPr>
            <w:tcW w:w="836" w:type="dxa"/>
          </w:tcPr>
          <w:p>
            <w:pPr>
              <w:pStyle w:val="TableParagraph"/>
              <w:spacing w:before="131"/>
              <w:ind w:left="107"/>
              <w:rPr>
                <w:rFonts w:ascii="Times New Roman"/>
                <w:b/>
                <w:sz w:val="21"/>
              </w:rPr>
            </w:pPr>
            <w:r>
              <w:rPr>
                <w:rFonts w:ascii="Times New Roman"/>
                <w:b/>
                <w:sz w:val="21"/>
              </w:rPr>
              <w:t>2.2</w:t>
            </w:r>
          </w:p>
        </w:tc>
        <w:tc>
          <w:tcPr>
            <w:tcW w:w="1927" w:type="dxa"/>
          </w:tcPr>
          <w:p>
            <w:pPr>
              <w:pStyle w:val="TableParagraph"/>
              <w:spacing w:before="36"/>
              <w:ind w:left="335"/>
              <w:rPr>
                <w:rFonts w:ascii="微软雅黑" w:eastAsia="微软雅黑" w:hint="eastAsia"/>
                <w:b/>
                <w:sz w:val="21"/>
              </w:rPr>
            </w:pPr>
            <w:r>
              <w:rPr>
                <w:rFonts w:ascii="微软雅黑" w:eastAsia="微软雅黑" w:hint="eastAsia"/>
                <w:b/>
                <w:sz w:val="21"/>
              </w:rPr>
              <w:t>保险金额</w:t>
            </w:r>
          </w:p>
        </w:tc>
        <w:tc>
          <w:tcPr>
            <w:tcW w:w="6882" w:type="dxa"/>
          </w:tcPr>
          <w:p>
            <w:pPr>
              <w:pStyle w:val="TableParagraph"/>
              <w:spacing w:line="237" w:lineRule="auto" w:before="102"/>
              <w:ind w:left="110" w:right="105"/>
              <w:rPr>
                <w:sz w:val="21"/>
              </w:rPr>
            </w:pPr>
            <w:r>
              <w:rPr>
                <w:spacing w:val="-7"/>
                <w:sz w:val="21"/>
              </w:rPr>
              <w:t>本合同在不同年度对应的保险金额不同：第一个保单年度对应的保险金额</w:t>
            </w:r>
            <w:r>
              <w:rPr>
                <w:spacing w:val="-11"/>
                <w:sz w:val="21"/>
              </w:rPr>
              <w:t>等于基本保险金额；第二个保单年度及以后每个保单年度对应的保险金额</w:t>
            </w:r>
          </w:p>
          <w:p>
            <w:pPr>
              <w:pStyle w:val="TableParagraph"/>
              <w:spacing w:line="270" w:lineRule="exact"/>
              <w:ind w:left="110"/>
              <w:rPr>
                <w:sz w:val="21"/>
              </w:rPr>
            </w:pPr>
            <w:r>
              <w:rPr>
                <w:sz w:val="21"/>
              </w:rPr>
              <w:t>等于 </w:t>
            </w:r>
            <w:r>
              <w:rPr>
                <w:rFonts w:ascii="Times New Roman" w:eastAsia="Times New Roman"/>
                <w:sz w:val="21"/>
              </w:rPr>
              <w:t>2 </w:t>
            </w:r>
            <w:r>
              <w:rPr>
                <w:sz w:val="21"/>
              </w:rPr>
              <w:t>倍基本保险金额。</w:t>
            </w:r>
          </w:p>
        </w:tc>
      </w:tr>
    </w:tbl>
    <w:p>
      <w:pPr>
        <w:spacing w:after="0" w:line="270" w:lineRule="exact"/>
        <w:rPr>
          <w:sz w:val="21"/>
        </w:rPr>
        <w:sectPr>
          <w:headerReference w:type="default" r:id="rId11"/>
          <w:pgSz w:w="11910" w:h="16450"/>
          <w:pgMar w:header="857" w:footer="968" w:top="1040" w:bottom="1180" w:left="102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985"/>
        <w:gridCol w:w="6885"/>
      </w:tblGrid>
      <w:tr>
        <w:trPr>
          <w:trHeight w:val="1249" w:hRule="atLeast"/>
        </w:trPr>
        <w:tc>
          <w:tcPr>
            <w:tcW w:w="734" w:type="dxa"/>
            <w:tcBorders>
              <w:top w:val="single" w:sz="6" w:space="0" w:color="000000"/>
            </w:tcBorders>
          </w:tcPr>
          <w:p>
            <w:pPr>
              <w:pStyle w:val="TableParagraph"/>
              <w:ind w:left="0"/>
              <w:rPr>
                <w:rFonts w:ascii="Times New Roman"/>
                <w:sz w:val="28"/>
              </w:rPr>
            </w:pPr>
          </w:p>
          <w:p>
            <w:pPr>
              <w:pStyle w:val="TableParagraph"/>
              <w:ind w:left="69"/>
              <w:rPr>
                <w:rFonts w:ascii="Times New Roman"/>
                <w:b/>
                <w:sz w:val="21"/>
              </w:rPr>
            </w:pPr>
            <w:r>
              <w:rPr>
                <w:rFonts w:ascii="Times New Roman"/>
                <w:b/>
                <w:sz w:val="21"/>
              </w:rPr>
              <w:t>2.3</w:t>
            </w:r>
          </w:p>
        </w:tc>
        <w:tc>
          <w:tcPr>
            <w:tcW w:w="1985" w:type="dxa"/>
            <w:tcBorders>
              <w:top w:val="single" w:sz="6" w:space="0" w:color="000000"/>
            </w:tcBorders>
          </w:tcPr>
          <w:p>
            <w:pPr>
              <w:pStyle w:val="TableParagraph"/>
              <w:spacing w:before="7"/>
              <w:ind w:left="0"/>
              <w:rPr>
                <w:rFonts w:ascii="Times New Roman"/>
                <w:sz w:val="27"/>
              </w:rPr>
            </w:pPr>
          </w:p>
          <w:p>
            <w:pPr>
              <w:pStyle w:val="TableParagraph"/>
              <w:spacing w:line="180" w:lineRule="auto"/>
              <w:ind w:left="399" w:right="316"/>
              <w:rPr>
                <w:rFonts w:ascii="微软雅黑" w:eastAsia="微软雅黑" w:hint="eastAsia"/>
                <w:b/>
                <w:sz w:val="21"/>
              </w:rPr>
            </w:pPr>
            <w:r>
              <w:rPr>
                <w:rFonts w:ascii="微软雅黑" w:eastAsia="微软雅黑" w:hint="eastAsia"/>
                <w:b/>
                <w:sz w:val="21"/>
              </w:rPr>
              <w:t>未成年人身故保险金限制</w:t>
            </w:r>
          </w:p>
        </w:tc>
        <w:tc>
          <w:tcPr>
            <w:tcW w:w="6885" w:type="dxa"/>
            <w:tcBorders>
              <w:top w:val="single" w:sz="6" w:space="0" w:color="000000"/>
            </w:tcBorders>
          </w:tcPr>
          <w:p>
            <w:pPr>
              <w:pStyle w:val="TableParagraph"/>
              <w:spacing w:before="5"/>
              <w:ind w:left="0"/>
              <w:rPr>
                <w:rFonts w:ascii="Times New Roman"/>
                <w:sz w:val="25"/>
              </w:rPr>
            </w:pPr>
          </w:p>
          <w:p>
            <w:pPr>
              <w:pStyle w:val="TableParagraph"/>
              <w:spacing w:line="237" w:lineRule="auto"/>
              <w:ind w:right="103"/>
              <w:rPr>
                <w:sz w:val="21"/>
              </w:rPr>
            </w:pPr>
            <w:r>
              <w:rPr>
                <w:spacing w:val="-3"/>
                <w:sz w:val="21"/>
              </w:rPr>
              <w:t>未成年人的人身保险死亡给付保险金限额以中国保险监督管理委员会颁</w:t>
            </w:r>
            <w:r>
              <w:rPr>
                <w:spacing w:val="-10"/>
                <w:sz w:val="21"/>
              </w:rPr>
              <w:t>布的《关于父母为其未成年子女投保以死亡为给付保险金条件人身保险有</w:t>
            </w:r>
            <w:r>
              <w:rPr>
                <w:spacing w:val="-5"/>
                <w:sz w:val="21"/>
              </w:rPr>
              <w:t>关问题的通知》规定为依据。</w:t>
            </w:r>
          </w:p>
        </w:tc>
      </w:tr>
      <w:tr>
        <w:trPr>
          <w:trHeight w:val="784" w:hRule="atLeast"/>
        </w:trPr>
        <w:tc>
          <w:tcPr>
            <w:tcW w:w="734" w:type="dxa"/>
          </w:tcPr>
          <w:p>
            <w:pPr>
              <w:pStyle w:val="TableParagraph"/>
              <w:spacing w:before="131"/>
              <w:ind w:left="69"/>
              <w:rPr>
                <w:rFonts w:ascii="Times New Roman"/>
                <w:b/>
                <w:sz w:val="21"/>
              </w:rPr>
            </w:pPr>
            <w:r>
              <w:rPr>
                <w:rFonts w:ascii="Times New Roman"/>
                <w:b/>
                <w:sz w:val="21"/>
              </w:rPr>
              <w:t>2.4</w:t>
            </w:r>
          </w:p>
        </w:tc>
        <w:tc>
          <w:tcPr>
            <w:tcW w:w="1985" w:type="dxa"/>
          </w:tcPr>
          <w:p>
            <w:pPr>
              <w:pStyle w:val="TableParagraph"/>
              <w:spacing w:before="36"/>
              <w:ind w:left="399"/>
              <w:rPr>
                <w:rFonts w:ascii="微软雅黑" w:eastAsia="微软雅黑" w:hint="eastAsia"/>
                <w:b/>
                <w:sz w:val="21"/>
              </w:rPr>
            </w:pPr>
            <w:r>
              <w:rPr>
                <w:rFonts w:ascii="微软雅黑" w:eastAsia="微软雅黑" w:hint="eastAsia"/>
                <w:b/>
                <w:sz w:val="21"/>
              </w:rPr>
              <w:t>保险期间</w:t>
            </w:r>
          </w:p>
        </w:tc>
        <w:tc>
          <w:tcPr>
            <w:tcW w:w="6885" w:type="dxa"/>
          </w:tcPr>
          <w:p>
            <w:pPr>
              <w:pStyle w:val="TableParagraph"/>
              <w:spacing w:line="237" w:lineRule="auto" w:before="102"/>
              <w:ind w:right="674"/>
              <w:rPr>
                <w:sz w:val="21"/>
              </w:rPr>
            </w:pPr>
            <w:r>
              <w:rPr>
                <w:sz w:val="21"/>
              </w:rPr>
              <w:t>本合同的保险期间由您在投保时与我们约定，并在保险单中载明。本公司所承担的保险责任至本合同约定终止时终止。</w:t>
            </w:r>
          </w:p>
        </w:tc>
      </w:tr>
      <w:tr>
        <w:trPr>
          <w:trHeight w:val="522" w:hRule="atLeast"/>
        </w:trPr>
        <w:tc>
          <w:tcPr>
            <w:tcW w:w="734" w:type="dxa"/>
          </w:tcPr>
          <w:p>
            <w:pPr>
              <w:pStyle w:val="TableParagraph"/>
              <w:spacing w:before="131"/>
              <w:ind w:left="69"/>
              <w:rPr>
                <w:rFonts w:ascii="Times New Roman"/>
                <w:b/>
                <w:sz w:val="21"/>
              </w:rPr>
            </w:pPr>
            <w:r>
              <w:rPr>
                <w:rFonts w:ascii="Times New Roman"/>
                <w:b/>
                <w:sz w:val="21"/>
              </w:rPr>
              <w:t>2.5</w:t>
            </w:r>
          </w:p>
        </w:tc>
        <w:tc>
          <w:tcPr>
            <w:tcW w:w="1985" w:type="dxa"/>
          </w:tcPr>
          <w:p>
            <w:pPr>
              <w:pStyle w:val="TableParagraph"/>
              <w:spacing w:before="36"/>
              <w:ind w:left="399"/>
              <w:rPr>
                <w:rFonts w:ascii="微软雅黑" w:eastAsia="微软雅黑" w:hint="eastAsia"/>
                <w:b/>
                <w:sz w:val="21"/>
              </w:rPr>
            </w:pPr>
            <w:r>
              <w:rPr>
                <w:rFonts w:ascii="微软雅黑" w:eastAsia="微软雅黑" w:hint="eastAsia"/>
                <w:b/>
                <w:sz w:val="21"/>
              </w:rPr>
              <w:t>保险责任</w:t>
            </w:r>
          </w:p>
        </w:tc>
        <w:tc>
          <w:tcPr>
            <w:tcW w:w="6885" w:type="dxa"/>
          </w:tcPr>
          <w:p>
            <w:pPr>
              <w:pStyle w:val="TableParagraph"/>
              <w:spacing w:before="99"/>
              <w:ind w:left="116"/>
              <w:rPr>
                <w:sz w:val="21"/>
              </w:rPr>
            </w:pPr>
            <w:r>
              <w:rPr>
                <w:sz w:val="21"/>
              </w:rPr>
              <w:t>在本合同有效期内，我们承担如下保险责任：</w:t>
            </w:r>
          </w:p>
        </w:tc>
      </w:tr>
      <w:tr>
        <w:trPr>
          <w:trHeight w:val="2662" w:hRule="atLeast"/>
        </w:trPr>
        <w:tc>
          <w:tcPr>
            <w:tcW w:w="734" w:type="dxa"/>
          </w:tcPr>
          <w:p>
            <w:pPr>
              <w:pStyle w:val="TableParagraph"/>
              <w:ind w:left="0"/>
              <w:rPr>
                <w:rFonts w:ascii="Times New Roman"/>
                <w:sz w:val="20"/>
              </w:rPr>
            </w:pPr>
          </w:p>
        </w:tc>
        <w:tc>
          <w:tcPr>
            <w:tcW w:w="1985" w:type="dxa"/>
          </w:tcPr>
          <w:p>
            <w:pPr>
              <w:pStyle w:val="TableParagraph"/>
              <w:spacing w:before="90"/>
              <w:ind w:left="399"/>
              <w:rPr>
                <w:sz w:val="21"/>
              </w:rPr>
            </w:pPr>
            <w:r>
              <w:rPr>
                <w:sz w:val="21"/>
              </w:rPr>
              <w:t>重大疾病保险金</w:t>
            </w:r>
          </w:p>
        </w:tc>
        <w:tc>
          <w:tcPr>
            <w:tcW w:w="6885" w:type="dxa"/>
          </w:tcPr>
          <w:p>
            <w:pPr>
              <w:pStyle w:val="TableParagraph"/>
              <w:spacing w:line="192" w:lineRule="auto" w:before="101"/>
              <w:ind w:left="116" w:right="103"/>
              <w:jc w:val="both"/>
              <w:rPr>
                <w:sz w:val="21"/>
              </w:rPr>
            </w:pPr>
            <w:r>
              <w:rPr>
                <w:spacing w:val="-5"/>
                <w:sz w:val="21"/>
              </w:rPr>
              <w:t>被保险人于本合同生效</w:t>
            </w:r>
            <w:r>
              <w:rPr>
                <w:spacing w:val="-3"/>
                <w:sz w:val="21"/>
              </w:rPr>
              <w:t>（或合同效力恢复</w:t>
            </w:r>
            <w:r>
              <w:rPr>
                <w:spacing w:val="-22"/>
                <w:sz w:val="21"/>
              </w:rPr>
              <w:t>）</w:t>
            </w:r>
            <w:r>
              <w:rPr>
                <w:spacing w:val="-12"/>
                <w:sz w:val="21"/>
              </w:rPr>
              <w:t>之日起 </w:t>
            </w:r>
            <w:r>
              <w:rPr>
                <w:rFonts w:ascii="Times New Roman" w:eastAsia="Times New Roman"/>
                <w:sz w:val="21"/>
              </w:rPr>
              <w:t>180 </w:t>
            </w:r>
            <w:r>
              <w:rPr>
                <w:spacing w:val="-7"/>
                <w:sz w:val="21"/>
              </w:rPr>
              <w:t>日内因疾病，由</w:t>
            </w:r>
            <w:r>
              <w:rPr>
                <w:rFonts w:ascii="微软雅黑" w:eastAsia="微软雅黑" w:hint="eastAsia"/>
                <w:b/>
                <w:sz w:val="21"/>
              </w:rPr>
              <w:t>医</w:t>
            </w:r>
            <w:r>
              <w:rPr>
                <w:rFonts w:ascii="微软雅黑" w:eastAsia="微软雅黑" w:hint="eastAsia"/>
                <w:b/>
                <w:spacing w:val="-17"/>
                <w:sz w:val="21"/>
              </w:rPr>
              <w:t>院</w:t>
            </w:r>
            <w:r>
              <w:rPr>
                <w:sz w:val="21"/>
              </w:rPr>
              <w:t>（</w:t>
            </w:r>
            <w:r>
              <w:rPr>
                <w:spacing w:val="-11"/>
                <w:sz w:val="21"/>
              </w:rPr>
              <w:t>见释义 </w:t>
            </w:r>
            <w:r>
              <w:rPr>
                <w:rFonts w:ascii="Times New Roman" w:eastAsia="Times New Roman"/>
                <w:spacing w:val="-6"/>
                <w:sz w:val="21"/>
              </w:rPr>
              <w:t>7.5</w:t>
            </w:r>
            <w:r>
              <w:rPr>
                <w:spacing w:val="-6"/>
                <w:sz w:val="21"/>
              </w:rPr>
              <w:t>）</w:t>
            </w:r>
            <w:r>
              <w:rPr>
                <w:spacing w:val="-3"/>
                <w:sz w:val="21"/>
              </w:rPr>
              <w:t>的</w:t>
            </w:r>
            <w:r>
              <w:rPr>
                <w:rFonts w:ascii="微软雅黑" w:eastAsia="微软雅黑" w:hint="eastAsia"/>
                <w:b/>
                <w:spacing w:val="-5"/>
                <w:sz w:val="21"/>
              </w:rPr>
              <w:t>专科医生</w:t>
            </w:r>
            <w:r>
              <w:rPr>
                <w:sz w:val="21"/>
              </w:rPr>
              <w:t>（</w:t>
            </w:r>
            <w:r>
              <w:rPr>
                <w:spacing w:val="-11"/>
                <w:sz w:val="21"/>
              </w:rPr>
              <w:t>见释义 </w:t>
            </w:r>
            <w:r>
              <w:rPr>
                <w:rFonts w:ascii="Times New Roman" w:eastAsia="Times New Roman"/>
                <w:spacing w:val="-6"/>
                <w:sz w:val="21"/>
              </w:rPr>
              <w:t>7.6</w:t>
            </w:r>
            <w:r>
              <w:rPr>
                <w:spacing w:val="-6"/>
                <w:sz w:val="21"/>
              </w:rPr>
              <w:t>）</w:t>
            </w:r>
            <w:r>
              <w:rPr>
                <w:spacing w:val="-3"/>
                <w:sz w:val="21"/>
              </w:rPr>
              <w:t>确诊初次发生本合同所指的</w:t>
            </w:r>
            <w:r>
              <w:rPr>
                <w:rFonts w:ascii="微软雅黑" w:eastAsia="微软雅黑" w:hint="eastAsia"/>
                <w:b/>
                <w:sz w:val="21"/>
              </w:rPr>
              <w:t>重</w:t>
            </w:r>
            <w:r>
              <w:rPr>
                <w:rFonts w:ascii="微软雅黑" w:eastAsia="微软雅黑" w:hint="eastAsia"/>
                <w:b/>
                <w:w w:val="100"/>
                <w:sz w:val="21"/>
              </w:rPr>
              <w:t>大疾病</w:t>
            </w:r>
            <w:r>
              <w:rPr>
                <w:w w:val="100"/>
                <w:sz w:val="21"/>
              </w:rPr>
              <w:t>（</w:t>
            </w:r>
            <w:r>
              <w:rPr>
                <w:spacing w:val="-2"/>
                <w:w w:val="100"/>
                <w:sz w:val="21"/>
              </w:rPr>
              <w:t>见释义</w:t>
            </w:r>
            <w:r>
              <w:rPr>
                <w:spacing w:val="-2"/>
                <w:sz w:val="21"/>
              </w:rPr>
              <w:t> </w:t>
            </w:r>
            <w:r>
              <w:rPr>
                <w:rFonts w:ascii="Times New Roman" w:eastAsia="Times New Roman"/>
                <w:spacing w:val="-3"/>
                <w:w w:val="100"/>
                <w:sz w:val="21"/>
              </w:rPr>
              <w:t>7</w:t>
            </w:r>
            <w:r>
              <w:rPr>
                <w:rFonts w:ascii="Times New Roman" w:eastAsia="Times New Roman"/>
                <w:w w:val="100"/>
                <w:sz w:val="21"/>
              </w:rPr>
              <w:t>.</w:t>
            </w:r>
            <w:r>
              <w:rPr>
                <w:rFonts w:ascii="Times New Roman" w:eastAsia="Times New Roman"/>
                <w:spacing w:val="-1"/>
                <w:w w:val="100"/>
                <w:sz w:val="21"/>
              </w:rPr>
              <w:t>7</w:t>
            </w:r>
            <w:r>
              <w:rPr>
                <w:spacing w:val="-108"/>
                <w:w w:val="100"/>
                <w:sz w:val="21"/>
              </w:rPr>
              <w:t>）</w:t>
            </w:r>
            <w:r>
              <w:rPr>
                <w:w w:val="100"/>
                <w:sz w:val="21"/>
              </w:rPr>
              <w:t>（</w:t>
            </w:r>
            <w:r>
              <w:rPr>
                <w:spacing w:val="-3"/>
                <w:w w:val="100"/>
                <w:sz w:val="21"/>
              </w:rPr>
              <w:t>无论一种或多种</w:t>
            </w:r>
            <w:r>
              <w:rPr>
                <w:spacing w:val="-108"/>
                <w:w w:val="100"/>
                <w:sz w:val="21"/>
              </w:rPr>
              <w:t>）</w:t>
            </w:r>
            <w:r>
              <w:rPr>
                <w:spacing w:val="-3"/>
                <w:w w:val="100"/>
                <w:sz w:val="21"/>
              </w:rPr>
              <w:t>，本公司给付重大疾病保险金，</w:t>
            </w:r>
            <w:r>
              <w:rPr>
                <w:spacing w:val="-3"/>
                <w:sz w:val="21"/>
              </w:rPr>
              <w:t>其金额为本合同已交纳的保险费，本合同终止。</w:t>
            </w:r>
          </w:p>
          <w:p>
            <w:pPr>
              <w:pStyle w:val="TableParagraph"/>
              <w:spacing w:before="2"/>
              <w:ind w:left="0"/>
              <w:rPr>
                <w:rFonts w:ascii="Times New Roman"/>
                <w:sz w:val="17"/>
              </w:rPr>
            </w:pPr>
          </w:p>
          <w:p>
            <w:pPr>
              <w:pStyle w:val="TableParagraph"/>
              <w:spacing w:line="225" w:lineRule="auto"/>
              <w:ind w:left="116" w:right="103"/>
              <w:jc w:val="both"/>
              <w:rPr>
                <w:sz w:val="21"/>
              </w:rPr>
            </w:pPr>
            <w:r>
              <w:rPr>
                <w:spacing w:val="-2"/>
                <w:sz w:val="21"/>
              </w:rPr>
              <w:t>被保险人因</w:t>
            </w:r>
            <w:r>
              <w:rPr>
                <w:rFonts w:ascii="微软雅黑" w:eastAsia="微软雅黑" w:hint="eastAsia"/>
                <w:b/>
                <w:sz w:val="21"/>
              </w:rPr>
              <w:t>意外伤害</w:t>
            </w:r>
            <w:r>
              <w:rPr>
                <w:spacing w:val="-3"/>
                <w:sz w:val="21"/>
              </w:rPr>
              <w:t>（</w:t>
            </w:r>
            <w:r>
              <w:rPr>
                <w:spacing w:val="1"/>
                <w:sz w:val="21"/>
              </w:rPr>
              <w:t>见释义 </w:t>
            </w:r>
            <w:r>
              <w:rPr>
                <w:rFonts w:ascii="Times New Roman" w:eastAsia="Times New Roman"/>
                <w:sz w:val="21"/>
              </w:rPr>
              <w:t>7.8</w:t>
            </w:r>
            <w:r>
              <w:rPr>
                <w:sz w:val="21"/>
              </w:rPr>
              <w:t>）</w:t>
            </w:r>
            <w:r>
              <w:rPr>
                <w:spacing w:val="-3"/>
                <w:sz w:val="21"/>
              </w:rPr>
              <w:t>或于本合同生效</w:t>
            </w:r>
            <w:r>
              <w:rPr>
                <w:sz w:val="21"/>
              </w:rPr>
              <w:t>（</w:t>
            </w:r>
            <w:r>
              <w:rPr>
                <w:spacing w:val="-3"/>
                <w:sz w:val="21"/>
              </w:rPr>
              <w:t>或合同效力恢复</w:t>
            </w:r>
            <w:r>
              <w:rPr>
                <w:sz w:val="21"/>
              </w:rPr>
              <w:t>） </w:t>
            </w:r>
            <w:r>
              <w:rPr>
                <w:spacing w:val="-11"/>
                <w:sz w:val="21"/>
              </w:rPr>
              <w:t>之日起 </w:t>
            </w:r>
            <w:r>
              <w:rPr>
                <w:rFonts w:ascii="Times New Roman" w:eastAsia="Times New Roman"/>
                <w:sz w:val="21"/>
              </w:rPr>
              <w:t>180 </w:t>
            </w:r>
            <w:r>
              <w:rPr>
                <w:spacing w:val="-10"/>
                <w:sz w:val="21"/>
              </w:rPr>
              <w:t>日后因疾病，由医院的专科医生确诊初次发生本合同所指的重</w:t>
            </w:r>
            <w:r>
              <w:rPr>
                <w:spacing w:val="-10"/>
                <w:w w:val="100"/>
                <w:sz w:val="21"/>
              </w:rPr>
              <w:t>大疾病（</w:t>
            </w:r>
            <w:r>
              <w:rPr>
                <w:w w:val="100"/>
                <w:sz w:val="21"/>
              </w:rPr>
              <w:t>无论一种或多种</w:t>
            </w:r>
            <w:r>
              <w:rPr>
                <w:spacing w:val="-106"/>
                <w:w w:val="100"/>
                <w:sz w:val="21"/>
              </w:rPr>
              <w:t>）</w:t>
            </w:r>
            <w:r>
              <w:rPr>
                <w:w w:val="100"/>
                <w:sz w:val="21"/>
              </w:rPr>
              <w:t>，本公司按保险金额给付重大疾病保险金，本</w:t>
            </w:r>
            <w:r>
              <w:rPr>
                <w:spacing w:val="-1"/>
                <w:sz w:val="21"/>
              </w:rPr>
              <w:t>合同终止。</w:t>
            </w:r>
          </w:p>
        </w:tc>
      </w:tr>
      <w:tr>
        <w:trPr>
          <w:trHeight w:val="1849" w:hRule="atLeast"/>
        </w:trPr>
        <w:tc>
          <w:tcPr>
            <w:tcW w:w="734" w:type="dxa"/>
          </w:tcPr>
          <w:p>
            <w:pPr>
              <w:pStyle w:val="TableParagraph"/>
              <w:ind w:left="0"/>
              <w:rPr>
                <w:rFonts w:ascii="Times New Roman"/>
                <w:sz w:val="20"/>
              </w:rPr>
            </w:pPr>
          </w:p>
        </w:tc>
        <w:tc>
          <w:tcPr>
            <w:tcW w:w="1985" w:type="dxa"/>
          </w:tcPr>
          <w:p>
            <w:pPr>
              <w:pStyle w:val="TableParagraph"/>
              <w:spacing w:before="90"/>
              <w:ind w:left="399"/>
              <w:rPr>
                <w:sz w:val="21"/>
              </w:rPr>
            </w:pPr>
            <w:r>
              <w:rPr>
                <w:sz w:val="21"/>
              </w:rPr>
              <w:t>全残保险金</w:t>
            </w:r>
          </w:p>
        </w:tc>
        <w:tc>
          <w:tcPr>
            <w:tcW w:w="6885" w:type="dxa"/>
          </w:tcPr>
          <w:p>
            <w:pPr>
              <w:pStyle w:val="TableParagraph"/>
              <w:spacing w:line="220" w:lineRule="auto" w:before="57"/>
              <w:ind w:left="116" w:right="103"/>
              <w:jc w:val="both"/>
              <w:rPr>
                <w:sz w:val="21"/>
              </w:rPr>
            </w:pPr>
            <w:r>
              <w:rPr>
                <w:spacing w:val="-12"/>
                <w:sz w:val="21"/>
              </w:rPr>
              <w:t>被保险人于本合同生效</w:t>
            </w:r>
            <w:r>
              <w:rPr>
                <w:spacing w:val="-3"/>
                <w:sz w:val="21"/>
              </w:rPr>
              <w:t>（或合同效力恢复</w:t>
            </w:r>
            <w:r>
              <w:rPr>
                <w:spacing w:val="-94"/>
                <w:sz w:val="21"/>
              </w:rPr>
              <w:t>）</w:t>
            </w:r>
            <w:r>
              <w:rPr>
                <w:spacing w:val="-12"/>
                <w:sz w:val="21"/>
              </w:rPr>
              <w:t>之日起 </w:t>
            </w:r>
            <w:r>
              <w:rPr>
                <w:rFonts w:ascii="Times New Roman" w:eastAsia="Times New Roman"/>
                <w:sz w:val="21"/>
              </w:rPr>
              <w:t>180 </w:t>
            </w:r>
            <w:r>
              <w:rPr>
                <w:spacing w:val="-1"/>
                <w:sz w:val="21"/>
              </w:rPr>
              <w:t>日内因疾病</w:t>
            </w:r>
            <w:r>
              <w:rPr>
                <w:rFonts w:ascii="微软雅黑" w:eastAsia="微软雅黑" w:hint="eastAsia"/>
                <w:b/>
                <w:spacing w:val="-46"/>
                <w:sz w:val="21"/>
              </w:rPr>
              <w:t>全残</w:t>
            </w:r>
            <w:r>
              <w:rPr>
                <w:spacing w:val="-3"/>
                <w:sz w:val="21"/>
              </w:rPr>
              <w:t>（见</w:t>
            </w:r>
            <w:r>
              <w:rPr>
                <w:w w:val="100"/>
                <w:sz w:val="21"/>
              </w:rPr>
              <w:t>释义</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spacing w:val="-1"/>
                <w:w w:val="100"/>
                <w:sz w:val="21"/>
              </w:rPr>
              <w:t>9</w:t>
            </w:r>
            <w:r>
              <w:rPr>
                <w:spacing w:val="-108"/>
                <w:w w:val="100"/>
                <w:sz w:val="21"/>
              </w:rPr>
              <w:t>）</w:t>
            </w:r>
            <w:r>
              <w:rPr>
                <w:spacing w:val="-9"/>
                <w:w w:val="100"/>
                <w:sz w:val="21"/>
              </w:rPr>
              <w:t>，本公司给付全残保险金，其金额为本合同已交纳的保险费，本</w:t>
            </w:r>
            <w:r>
              <w:rPr>
                <w:spacing w:val="-5"/>
                <w:sz w:val="21"/>
              </w:rPr>
              <w:t>合同终止。</w:t>
            </w:r>
          </w:p>
          <w:p>
            <w:pPr>
              <w:pStyle w:val="TableParagraph"/>
              <w:spacing w:before="3"/>
              <w:ind w:left="0"/>
              <w:rPr>
                <w:rFonts w:ascii="Times New Roman"/>
                <w:sz w:val="22"/>
              </w:rPr>
            </w:pPr>
          </w:p>
          <w:p>
            <w:pPr>
              <w:pStyle w:val="TableParagraph"/>
              <w:spacing w:line="225" w:lineRule="auto"/>
              <w:ind w:left="116" w:right="105"/>
              <w:jc w:val="both"/>
              <w:rPr>
                <w:sz w:val="21"/>
              </w:rPr>
            </w:pPr>
            <w:r>
              <w:rPr>
                <w:spacing w:val="-5"/>
                <w:sz w:val="21"/>
              </w:rPr>
              <w:t>被保险人因意外伤害或于本合同生效</w:t>
            </w:r>
            <w:r>
              <w:rPr>
                <w:sz w:val="21"/>
              </w:rPr>
              <w:t>（</w:t>
            </w:r>
            <w:r>
              <w:rPr>
                <w:spacing w:val="-3"/>
                <w:sz w:val="21"/>
              </w:rPr>
              <w:t>或合同效力恢复</w:t>
            </w:r>
            <w:r>
              <w:rPr>
                <w:spacing w:val="-34"/>
                <w:sz w:val="21"/>
              </w:rPr>
              <w:t>）</w:t>
            </w:r>
            <w:r>
              <w:rPr>
                <w:spacing w:val="-11"/>
                <w:sz w:val="21"/>
              </w:rPr>
              <w:t>之日起 </w:t>
            </w:r>
            <w:r>
              <w:rPr>
                <w:rFonts w:ascii="Times New Roman" w:eastAsia="Times New Roman"/>
                <w:sz w:val="21"/>
              </w:rPr>
              <w:t>180 </w:t>
            </w:r>
            <w:r>
              <w:rPr>
                <w:spacing w:val="-3"/>
                <w:sz w:val="21"/>
              </w:rPr>
              <w:t>日后因疾病全残，本公司按保险金额给付全残保险金，本合同终止。</w:t>
            </w:r>
          </w:p>
        </w:tc>
      </w:tr>
      <w:tr>
        <w:trPr>
          <w:trHeight w:val="786" w:hRule="atLeast"/>
        </w:trPr>
        <w:tc>
          <w:tcPr>
            <w:tcW w:w="734" w:type="dxa"/>
          </w:tcPr>
          <w:p>
            <w:pPr>
              <w:pStyle w:val="TableParagraph"/>
              <w:ind w:left="0"/>
              <w:rPr>
                <w:rFonts w:ascii="Times New Roman"/>
                <w:sz w:val="20"/>
              </w:rPr>
            </w:pPr>
          </w:p>
        </w:tc>
        <w:tc>
          <w:tcPr>
            <w:tcW w:w="1985" w:type="dxa"/>
          </w:tcPr>
          <w:p>
            <w:pPr>
              <w:pStyle w:val="TableParagraph"/>
              <w:spacing w:before="87"/>
              <w:ind w:left="399"/>
              <w:rPr>
                <w:sz w:val="21"/>
              </w:rPr>
            </w:pPr>
            <w:r>
              <w:rPr>
                <w:sz w:val="21"/>
              </w:rPr>
              <w:t>身故保险金</w:t>
            </w:r>
          </w:p>
        </w:tc>
        <w:tc>
          <w:tcPr>
            <w:tcW w:w="6885" w:type="dxa"/>
          </w:tcPr>
          <w:p>
            <w:pPr>
              <w:pStyle w:val="TableParagraph"/>
              <w:spacing w:line="237" w:lineRule="auto" w:before="90"/>
              <w:ind w:left="116" w:right="103"/>
              <w:rPr>
                <w:sz w:val="21"/>
              </w:rPr>
            </w:pPr>
            <w:r>
              <w:rPr>
                <w:spacing w:val="-9"/>
                <w:sz w:val="21"/>
              </w:rPr>
              <w:t>若被保险人身故，本公司给付身故保险金，其金额为本合同已交纳的保险</w:t>
            </w:r>
            <w:r>
              <w:rPr>
                <w:spacing w:val="-5"/>
                <w:sz w:val="21"/>
              </w:rPr>
              <w:t>费，本合同效力终止。</w:t>
            </w:r>
          </w:p>
        </w:tc>
      </w:tr>
      <w:tr>
        <w:trPr>
          <w:trHeight w:val="774" w:hRule="atLeast"/>
        </w:trPr>
        <w:tc>
          <w:tcPr>
            <w:tcW w:w="734" w:type="dxa"/>
          </w:tcPr>
          <w:p>
            <w:pPr>
              <w:pStyle w:val="TableParagraph"/>
              <w:ind w:left="0"/>
              <w:rPr>
                <w:rFonts w:ascii="Times New Roman"/>
                <w:sz w:val="20"/>
              </w:rPr>
            </w:pPr>
          </w:p>
        </w:tc>
        <w:tc>
          <w:tcPr>
            <w:tcW w:w="1985" w:type="dxa"/>
          </w:tcPr>
          <w:p>
            <w:pPr>
              <w:pStyle w:val="TableParagraph"/>
              <w:ind w:left="0"/>
              <w:rPr>
                <w:rFonts w:ascii="Times New Roman"/>
                <w:sz w:val="20"/>
              </w:rPr>
            </w:pPr>
          </w:p>
        </w:tc>
        <w:tc>
          <w:tcPr>
            <w:tcW w:w="6885" w:type="dxa"/>
          </w:tcPr>
          <w:p>
            <w:pPr>
              <w:pStyle w:val="TableParagraph"/>
              <w:spacing w:line="237" w:lineRule="auto" w:before="91"/>
              <w:ind w:left="116" w:right="103"/>
              <w:rPr>
                <w:sz w:val="21"/>
              </w:rPr>
            </w:pPr>
            <w:r>
              <w:rPr>
                <w:spacing w:val="-7"/>
                <w:sz w:val="21"/>
              </w:rPr>
              <w:t>对于本合同的重大疾病保险金、全残保险金和身故保险金，本公司仅给付</w:t>
            </w:r>
            <w:r>
              <w:rPr>
                <w:spacing w:val="-5"/>
                <w:sz w:val="21"/>
              </w:rPr>
              <w:t>一项，且以一次为限。</w:t>
            </w:r>
          </w:p>
        </w:tc>
      </w:tr>
      <w:tr>
        <w:trPr>
          <w:trHeight w:val="5278" w:hRule="atLeast"/>
        </w:trPr>
        <w:tc>
          <w:tcPr>
            <w:tcW w:w="734" w:type="dxa"/>
          </w:tcPr>
          <w:p>
            <w:pPr>
              <w:pStyle w:val="TableParagraph"/>
              <w:spacing w:before="131"/>
              <w:ind w:left="69"/>
              <w:rPr>
                <w:rFonts w:ascii="Times New Roman"/>
                <w:b/>
                <w:sz w:val="21"/>
              </w:rPr>
            </w:pPr>
            <w:r>
              <w:rPr>
                <w:rFonts w:ascii="Times New Roman"/>
                <w:b/>
                <w:sz w:val="21"/>
              </w:rPr>
              <w:t>2.6</w:t>
            </w:r>
          </w:p>
        </w:tc>
        <w:tc>
          <w:tcPr>
            <w:tcW w:w="1985" w:type="dxa"/>
          </w:tcPr>
          <w:p>
            <w:pPr>
              <w:pStyle w:val="TableParagraph"/>
              <w:spacing w:before="36"/>
              <w:ind w:left="399"/>
              <w:rPr>
                <w:rFonts w:ascii="微软雅黑" w:eastAsia="微软雅黑" w:hint="eastAsia"/>
                <w:b/>
                <w:sz w:val="21"/>
              </w:rPr>
            </w:pPr>
            <w:r>
              <w:rPr>
                <w:rFonts w:ascii="微软雅黑" w:eastAsia="微软雅黑" w:hint="eastAsia"/>
                <w:b/>
                <w:sz w:val="21"/>
              </w:rPr>
              <w:t>责任免除</w:t>
            </w:r>
          </w:p>
        </w:tc>
        <w:tc>
          <w:tcPr>
            <w:tcW w:w="6885" w:type="dxa"/>
          </w:tcPr>
          <w:p>
            <w:pPr>
              <w:pStyle w:val="TableParagraph"/>
              <w:spacing w:before="99"/>
              <w:ind w:left="116" w:right="34"/>
              <w:rPr>
                <w:rFonts w:ascii="黑体" w:eastAsia="黑体" w:hint="eastAsia"/>
                <w:sz w:val="21"/>
              </w:rPr>
            </w:pPr>
            <w:r>
              <w:rPr>
                <w:rFonts w:ascii="黑体" w:eastAsia="黑体" w:hint="eastAsia"/>
                <w:sz w:val="21"/>
              </w:rPr>
              <w:t>因下列任一情形导致被保险人发Th本合同约定的保险事故的，我们不承担给付保险金的责任：</w:t>
            </w:r>
          </w:p>
          <w:p>
            <w:pPr>
              <w:pStyle w:val="TableParagraph"/>
              <w:numPr>
                <w:ilvl w:val="0"/>
                <w:numId w:val="5"/>
              </w:numPr>
              <w:tabs>
                <w:tab w:pos="746" w:val="left" w:leader="none"/>
              </w:tabs>
              <w:spacing w:line="279" w:lineRule="exact" w:before="0" w:after="0"/>
              <w:ind w:left="747" w:right="0" w:hanging="63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746" w:val="left" w:leader="none"/>
              </w:tabs>
              <w:spacing w:line="230" w:lineRule="auto" w:before="3" w:after="0"/>
              <w:ind w:left="747" w:right="43" w:hanging="631"/>
              <w:jc w:val="both"/>
              <w:rPr>
                <w:rFonts w:ascii="黑体" w:eastAsia="黑体" w:hint="eastAsia"/>
                <w:sz w:val="21"/>
              </w:rPr>
            </w:pPr>
            <w:r>
              <w:rPr>
                <w:rFonts w:ascii="黑体" w:eastAsia="黑体" w:hint="eastAsia"/>
                <w:spacing w:val="-3"/>
                <w:w w:val="100"/>
                <w:sz w:val="21"/>
              </w:rPr>
              <w:t>被保险人故意自伤、故意</w:t>
            </w:r>
            <w:r>
              <w:rPr>
                <w:rFonts w:ascii="黑体" w:eastAsia="黑体" w:hint="eastAsia"/>
                <w:b/>
                <w:spacing w:val="-2"/>
                <w:w w:val="100"/>
                <w:sz w:val="21"/>
              </w:rPr>
              <w:t>犯罪</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3"/>
                <w:w w:val="100"/>
                <w:sz w:val="21"/>
              </w:rPr>
              <w:t>、抗拒依法采取的刑</w:t>
            </w:r>
            <w:r>
              <w:rPr>
                <w:rFonts w:ascii="黑体" w:eastAsia="黑体" w:hint="eastAsia"/>
                <w:spacing w:val="-5"/>
                <w:sz w:val="21"/>
              </w:rPr>
              <w:t>事强制措施或在本合同成立</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2"/>
                <w:sz w:val="21"/>
              </w:rPr>
              <w:t>）</w:t>
            </w:r>
            <w:r>
              <w:rPr>
                <w:rFonts w:ascii="黑体" w:eastAsia="黑体" w:hint="eastAsia"/>
                <w:sz w:val="21"/>
              </w:rPr>
              <w:t>之</w:t>
            </w:r>
            <w:r>
              <w:rPr>
                <w:rFonts w:ascii="黑体" w:eastAsia="黑体" w:hint="eastAsia"/>
                <w:spacing w:val="-12"/>
                <w:sz w:val="21"/>
              </w:rPr>
              <w:t>日起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TableParagraph"/>
              <w:numPr>
                <w:ilvl w:val="0"/>
                <w:numId w:val="5"/>
              </w:numPr>
              <w:tabs>
                <w:tab w:pos="746" w:val="left" w:leader="none"/>
              </w:tabs>
              <w:spacing w:line="223" w:lineRule="auto" w:before="16" w:after="0"/>
              <w:ind w:left="747" w:right="-15" w:hanging="63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46"/>
                <w:w w:val="100"/>
                <w:sz w:val="21"/>
              </w:rPr>
              <w:t>毒品</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7.1</w:t>
            </w:r>
            <w:r>
              <w:rPr>
                <w:rFonts w:ascii="黑体" w:eastAsia="黑体" w:hint="eastAsia"/>
                <w:spacing w:val="-3"/>
                <w:w w:val="100"/>
                <w:sz w:val="21"/>
              </w:rPr>
              <w:t>1</w:t>
            </w:r>
            <w:r>
              <w:rPr>
                <w:rFonts w:ascii="黑体" w:eastAsia="黑体" w:hint="eastAsia"/>
                <w:spacing w:val="-106"/>
                <w:w w:val="100"/>
                <w:sz w:val="21"/>
              </w:rPr>
              <w:t>）</w:t>
            </w:r>
            <w:r>
              <w:rPr>
                <w:rFonts w:ascii="黑体" w:eastAsia="黑体" w:hint="eastAsia"/>
                <w:spacing w:val="-94"/>
                <w:w w:val="100"/>
                <w:sz w:val="21"/>
              </w:rPr>
              <w:t>，</w:t>
            </w:r>
            <w:r>
              <w:rPr>
                <w:rFonts w:ascii="黑体" w:eastAsia="黑体" w:hint="eastAsia"/>
                <w:b/>
                <w:spacing w:val="-46"/>
                <w:w w:val="100"/>
                <w:sz w:val="21"/>
              </w:rPr>
              <w:t>醉酒</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sz w:val="21"/>
              </w:rPr>
              <w:t>斗殴或其他违法行为造成伤害的；</w:t>
            </w:r>
          </w:p>
          <w:p>
            <w:pPr>
              <w:pStyle w:val="TableParagraph"/>
              <w:numPr>
                <w:ilvl w:val="0"/>
                <w:numId w:val="5"/>
              </w:numPr>
              <w:tabs>
                <w:tab w:pos="746" w:val="left" w:leader="none"/>
              </w:tabs>
              <w:spacing w:line="223" w:lineRule="auto" w:before="18" w:after="0"/>
              <w:ind w:left="747" w:right="105" w:hanging="631"/>
              <w:jc w:val="both"/>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酒后驾驶</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见释</w:t>
            </w:r>
            <w:r>
              <w:rPr>
                <w:rFonts w:ascii="黑体" w:eastAsia="黑体" w:hint="eastAsia"/>
                <w:spacing w:val="-24"/>
                <w:sz w:val="21"/>
              </w:rPr>
              <w:t>义 </w:t>
            </w:r>
            <w:r>
              <w:rPr>
                <w:rFonts w:ascii="黑体" w:eastAsia="黑体" w:hint="eastAsia"/>
                <w:sz w:val="21"/>
              </w:rPr>
              <w:t>7.14）</w:t>
            </w:r>
            <w:r>
              <w:rPr>
                <w:rFonts w:ascii="黑体" w:eastAsia="黑体" w:hint="eastAsia"/>
                <w:spacing w:val="-3"/>
                <w:sz w:val="21"/>
              </w:rPr>
              <w:t>或驾驶</w:t>
            </w:r>
            <w:r>
              <w:rPr>
                <w:rFonts w:ascii="黑体" w:eastAsia="黑体" w:hint="eastAsia"/>
                <w:b/>
                <w:sz w:val="21"/>
              </w:rPr>
              <w:t>无有效行驶证</w:t>
            </w:r>
            <w:r>
              <w:rPr>
                <w:rFonts w:ascii="黑体" w:eastAsia="黑体" w:hint="eastAsia"/>
                <w:sz w:val="21"/>
              </w:rPr>
              <w:t>（</w:t>
            </w:r>
            <w:r>
              <w:rPr>
                <w:rFonts w:ascii="黑体" w:eastAsia="黑体" w:hint="eastAsia"/>
                <w:spacing w:val="-14"/>
                <w:sz w:val="21"/>
              </w:rPr>
              <w:t>见释义 </w:t>
            </w:r>
            <w:r>
              <w:rPr>
                <w:rFonts w:ascii="黑体" w:eastAsia="黑体" w:hint="eastAsia"/>
                <w:sz w:val="21"/>
              </w:rPr>
              <w:t>7.15）</w:t>
            </w:r>
            <w:r>
              <w:rPr>
                <w:rFonts w:ascii="黑体" w:eastAsia="黑体" w:hint="eastAsia"/>
                <w:spacing w:val="-2"/>
                <w:sz w:val="21"/>
              </w:rPr>
              <w:t>的机动车；</w:t>
            </w:r>
          </w:p>
          <w:p>
            <w:pPr>
              <w:pStyle w:val="TableParagraph"/>
              <w:numPr>
                <w:ilvl w:val="0"/>
                <w:numId w:val="5"/>
              </w:numPr>
              <w:tabs>
                <w:tab w:pos="746" w:val="left" w:leader="none"/>
              </w:tabs>
              <w:spacing w:line="230" w:lineRule="auto" w:before="9" w:after="0"/>
              <w:ind w:left="747" w:right="100" w:hanging="631"/>
              <w:jc w:val="both"/>
              <w:rPr>
                <w:rFonts w:ascii="黑体" w:eastAsia="黑体" w:hint="eastAsia"/>
                <w:sz w:val="21"/>
              </w:rPr>
            </w:pPr>
            <w:r>
              <w:rPr>
                <w:rFonts w:ascii="黑体" w:eastAsia="黑体" w:hint="eastAsia"/>
                <w:spacing w:val="-2"/>
                <w:w w:val="100"/>
                <w:sz w:val="21"/>
              </w:rPr>
              <w:t>被保险人患</w:t>
            </w:r>
            <w:r>
              <w:rPr>
                <w:rFonts w:ascii="黑体" w:eastAsia="黑体" w:hint="eastAsia"/>
                <w:b/>
                <w:spacing w:val="-2"/>
                <w:w w:val="100"/>
                <w:sz w:val="21"/>
              </w:rPr>
              <w:t>遗传性疾病</w:t>
            </w:r>
            <w:r>
              <w:rPr>
                <w:rFonts w:ascii="黑体" w:eastAsia="黑体" w:hint="eastAsia"/>
                <w:spacing w:val="-5"/>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10"/>
                <w:w w:val="100"/>
                <w:sz w:val="21"/>
              </w:rPr>
              <w:t>，</w:t>
            </w:r>
            <w:r>
              <w:rPr>
                <w:rFonts w:ascii="黑体" w:eastAsia="黑体" w:hint="eastAsia"/>
                <w:b/>
                <w:spacing w:val="-3"/>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.17</w:t>
            </w:r>
            <w:r>
              <w:rPr>
                <w:rFonts w:ascii="黑体" w:eastAsia="黑体" w:hint="eastAsia"/>
                <w:spacing w:val="-111"/>
                <w:w w:val="100"/>
                <w:sz w:val="21"/>
              </w:rPr>
              <w:t>）</w:t>
            </w:r>
            <w:r>
              <w:rPr>
                <w:rFonts w:ascii="黑体" w:eastAsia="黑体" w:hint="eastAsia"/>
                <w:spacing w:val="-3"/>
                <w:w w:val="100"/>
                <w:sz w:val="21"/>
              </w:rPr>
              <w:t>（</w:t>
            </w:r>
            <w:r>
              <w:rPr>
                <w:rFonts w:ascii="黑体" w:eastAsia="黑体" w:hint="eastAsia"/>
                <w:spacing w:val="-1"/>
                <w:w w:val="100"/>
                <w:sz w:val="21"/>
              </w:rPr>
              <w:t>以世界卫</w:t>
            </w:r>
            <w:r>
              <w:rPr>
                <w:rFonts w:ascii="黑体" w:eastAsia="黑体" w:hint="eastAsia"/>
                <w:w w:val="100"/>
                <w:sz w:val="21"/>
              </w:rPr>
              <w:t>T</w:t>
            </w:r>
            <w:r>
              <w:rPr>
                <w:rFonts w:ascii="黑体" w:eastAsia="黑体" w:hint="eastAsia"/>
                <w:spacing w:val="-3"/>
                <w:w w:val="100"/>
                <w:sz w:val="21"/>
              </w:rPr>
              <w:t>h</w:t>
            </w:r>
            <w:r>
              <w:rPr>
                <w:rFonts w:ascii="黑体" w:eastAsia="黑体" w:hint="eastAsia"/>
                <w:spacing w:val="-4"/>
                <w:w w:val="100"/>
                <w:sz w:val="21"/>
              </w:rPr>
              <w:t>组织颁布的《疾病和有关健康</w:t>
            </w:r>
            <w:r>
              <w:rPr>
                <w:rFonts w:ascii="黑体" w:eastAsia="黑体" w:hint="eastAsia"/>
                <w:spacing w:val="-3"/>
                <w:w w:val="100"/>
                <w:sz w:val="21"/>
              </w:rPr>
              <w:t>问题的国际统计分类</w:t>
            </w:r>
            <w:r>
              <w:rPr>
                <w:rFonts w:ascii="黑体" w:eastAsia="黑体" w:hint="eastAsia"/>
                <w:w w:val="100"/>
                <w:sz w:val="21"/>
              </w:rPr>
              <w:t>（I</w:t>
            </w:r>
            <w:r>
              <w:rPr>
                <w:rFonts w:ascii="黑体" w:eastAsia="黑体" w:hint="eastAsia"/>
                <w:spacing w:val="-3"/>
                <w:w w:val="100"/>
                <w:sz w:val="21"/>
              </w:rPr>
              <w:t>CD</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》为准</w:t>
            </w:r>
            <w:r>
              <w:rPr>
                <w:rFonts w:ascii="黑体" w:eastAsia="黑体" w:hint="eastAsia"/>
                <w:spacing w:val="-106"/>
                <w:w w:val="100"/>
                <w:sz w:val="21"/>
              </w:rPr>
              <w:t>）</w:t>
            </w:r>
            <w:r>
              <w:rPr>
                <w:rFonts w:ascii="黑体" w:eastAsia="黑体" w:hint="eastAsia"/>
                <w:w w:val="100"/>
                <w:sz w:val="21"/>
              </w:rPr>
              <w:t>；</w:t>
            </w:r>
          </w:p>
          <w:p>
            <w:pPr>
              <w:pStyle w:val="TableParagraph"/>
              <w:numPr>
                <w:ilvl w:val="0"/>
                <w:numId w:val="5"/>
              </w:numPr>
              <w:tabs>
                <w:tab w:pos="746" w:val="left" w:leader="none"/>
              </w:tabs>
              <w:spacing w:line="279" w:lineRule="exact" w:before="0" w:after="0"/>
              <w:ind w:left="747" w:right="0" w:hanging="631"/>
              <w:jc w:val="left"/>
              <w:rPr>
                <w:rFonts w:ascii="黑体" w:eastAsia="黑体" w:hint="eastAsia"/>
                <w:sz w:val="21"/>
              </w:rPr>
            </w:pPr>
            <w:r>
              <w:rPr>
                <w:rFonts w:ascii="黑体" w:eastAsia="黑体" w:hint="eastAsia"/>
                <w:b/>
                <w:spacing w:val="-2"/>
                <w:sz w:val="21"/>
              </w:rPr>
              <w:t>感染艾滋病病毒或患艾滋病</w:t>
            </w:r>
            <w:r>
              <w:rPr>
                <w:rFonts w:ascii="黑体" w:eastAsia="黑体" w:hint="eastAsia"/>
                <w:spacing w:val="-12"/>
                <w:sz w:val="21"/>
              </w:rPr>
              <w:t>(见释义 </w:t>
            </w:r>
            <w:r>
              <w:rPr>
                <w:rFonts w:ascii="黑体" w:eastAsia="黑体" w:hint="eastAsia"/>
                <w:sz w:val="21"/>
              </w:rPr>
              <w:t>7.18)；</w:t>
            </w:r>
          </w:p>
          <w:p>
            <w:pPr>
              <w:pStyle w:val="TableParagraph"/>
              <w:spacing w:line="237" w:lineRule="auto"/>
              <w:ind w:left="219" w:right="101"/>
              <w:jc w:val="both"/>
              <w:rPr>
                <w:rFonts w:ascii="黑体" w:eastAsia="黑体" w:hint="eastAsia"/>
                <w:sz w:val="21"/>
              </w:rPr>
            </w:pPr>
            <w:r>
              <w:rPr>
                <w:rFonts w:ascii="黑体" w:eastAsia="黑体" w:hint="eastAsia"/>
                <w:sz w:val="21"/>
              </w:rPr>
              <w:t>发Th</w:t>
            </w:r>
            <w:r>
              <w:rPr>
                <w:rFonts w:ascii="黑体" w:eastAsia="黑体" w:hint="eastAsia"/>
                <w:spacing w:val="-9"/>
                <w:sz w:val="21"/>
              </w:rPr>
              <w:t>上述第（1）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5"/>
                <w:sz w:val="21"/>
              </w:rPr>
              <w:t>本合同约定的保险事故的，本合同效力终止，本公司不退还本合同的保险费或现金价值。但若您已交</w:t>
            </w:r>
            <w:r>
              <w:rPr>
                <w:rFonts w:ascii="黑体" w:eastAsia="黑体" w:hint="eastAsia"/>
                <w:spacing w:val="-21"/>
                <w:sz w:val="21"/>
              </w:rPr>
              <w:t>足 </w:t>
            </w:r>
            <w:r>
              <w:rPr>
                <w:rFonts w:ascii="黑体" w:eastAsia="黑体" w:hint="eastAsia"/>
                <w:sz w:val="21"/>
              </w:rPr>
              <w:t>2</w:t>
            </w:r>
            <w:r>
              <w:rPr>
                <w:rFonts w:ascii="黑体" w:eastAsia="黑体" w:hint="eastAsia"/>
                <w:spacing w:val="-8"/>
                <w:sz w:val="21"/>
              </w:rPr>
              <w:t> 年以上保险费，本公司向其他权利人退还本合同的现金价值。</w:t>
            </w:r>
          </w:p>
          <w:p>
            <w:pPr>
              <w:pStyle w:val="TableParagraph"/>
              <w:spacing w:line="274" w:lineRule="exact" w:before="27"/>
              <w:ind w:left="219" w:right="101"/>
              <w:jc w:val="both"/>
              <w:rPr>
                <w:rFonts w:ascii="黑体" w:eastAsia="黑体" w:hint="eastAsia"/>
                <w:sz w:val="21"/>
              </w:rPr>
            </w:pPr>
            <w:r>
              <w:rPr>
                <w:rFonts w:ascii="黑体" w:eastAsia="黑体" w:hint="eastAsia"/>
                <w:sz w:val="21"/>
              </w:rPr>
              <w:t>发Th上述其它情况导致被保险人发Th本合同约定的保险事故的，本合同效力终止，我们退还本合同的现金价值。</w:t>
            </w:r>
          </w:p>
        </w:tc>
      </w:tr>
    </w:tbl>
    <w:p>
      <w:pPr>
        <w:spacing w:after="0" w:line="274" w:lineRule="exact"/>
        <w:jc w:val="both"/>
        <w:rPr>
          <w:rFonts w:ascii="黑体" w:eastAsia="黑体" w:hint="eastAsia"/>
          <w:sz w:val="21"/>
        </w:rPr>
        <w:sectPr>
          <w:pgSz w:w="11910" w:h="16450"/>
          <w:pgMar w:header="857" w:footer="968" w:top="1040" w:bottom="1180" w:left="1060" w:right="102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924"/>
        <w:gridCol w:w="6883"/>
      </w:tblGrid>
      <w:tr>
        <w:trPr>
          <w:trHeight w:val="810" w:hRule="atLeast"/>
        </w:trPr>
        <w:tc>
          <w:tcPr>
            <w:tcW w:w="836" w:type="dxa"/>
            <w:tcBorders>
              <w:top w:val="single" w:sz="6" w:space="0" w:color="000000"/>
              <w:bottom w:val="single" w:sz="8" w:space="0" w:color="000000"/>
            </w:tcBorders>
          </w:tcPr>
          <w:p>
            <w:pPr>
              <w:pStyle w:val="TableParagraph"/>
              <w:spacing w:line="469" w:lineRule="exact" w:before="322"/>
              <w:ind w:left="107"/>
              <w:rPr>
                <w:rFonts w:ascii="Wingdings" w:hAnsi="Wingdings"/>
                <w:b/>
                <w:sz w:val="44"/>
              </w:rPr>
            </w:pPr>
            <w:r>
              <w:rPr>
                <w:rFonts w:ascii="Wingdings" w:hAnsi="Wingdings"/>
                <w:b/>
                <w:w w:val="99"/>
                <w:sz w:val="44"/>
              </w:rPr>
              <w:t></w:t>
            </w:r>
          </w:p>
        </w:tc>
        <w:tc>
          <w:tcPr>
            <w:tcW w:w="8807" w:type="dxa"/>
            <w:gridSpan w:val="2"/>
            <w:tcBorders>
              <w:top w:val="single" w:sz="6" w:space="0" w:color="000000"/>
              <w:bottom w:val="single" w:sz="8" w:space="0" w:color="000000"/>
            </w:tcBorders>
          </w:tcPr>
          <w:p>
            <w:pPr>
              <w:pStyle w:val="TableParagraph"/>
              <w:spacing w:before="2"/>
              <w:ind w:left="0"/>
              <w:rPr>
                <w:rFonts w:ascii="Times New Roman"/>
                <w:sz w:val="26"/>
              </w:rPr>
            </w:pPr>
          </w:p>
          <w:p>
            <w:pPr>
              <w:pStyle w:val="TableParagraph"/>
              <w:ind w:left="335"/>
              <w:rPr>
                <w:rFonts w:ascii="微软雅黑" w:eastAsia="微软雅黑" w:hint="eastAsia"/>
                <w:b/>
                <w:sz w:val="24"/>
              </w:rPr>
            </w:pPr>
            <w:r>
              <w:rPr>
                <w:rFonts w:ascii="微软雅黑" w:eastAsia="微软雅黑" w:hint="eastAsia"/>
                <w:b/>
                <w:sz w:val="24"/>
              </w:rPr>
              <w:t>如何申请领取保险金</w:t>
            </w:r>
          </w:p>
        </w:tc>
      </w:tr>
      <w:tr>
        <w:trPr>
          <w:trHeight w:val="5797" w:hRule="atLeast"/>
        </w:trPr>
        <w:tc>
          <w:tcPr>
            <w:tcW w:w="836" w:type="dxa"/>
            <w:tcBorders>
              <w:top w:val="single" w:sz="8" w:space="0" w:color="000000"/>
            </w:tcBorders>
          </w:tcPr>
          <w:p>
            <w:pPr>
              <w:pStyle w:val="TableParagraph"/>
              <w:spacing w:before="10"/>
              <w:ind w:left="0"/>
              <w:rPr>
                <w:rFonts w:ascii="Times New Roman"/>
                <w:sz w:val="20"/>
              </w:rPr>
            </w:pPr>
          </w:p>
          <w:p>
            <w:pPr>
              <w:pStyle w:val="TableParagraph"/>
              <w:ind w:left="107"/>
              <w:rPr>
                <w:rFonts w:ascii="Times New Roman"/>
                <w:b/>
                <w:sz w:val="21"/>
              </w:rPr>
            </w:pPr>
            <w:r>
              <w:rPr>
                <w:rFonts w:ascii="Times New Roman"/>
                <w:b/>
                <w:sz w:val="21"/>
              </w:rPr>
              <w:t>3.1</w:t>
            </w:r>
          </w:p>
        </w:tc>
        <w:tc>
          <w:tcPr>
            <w:tcW w:w="1924" w:type="dxa"/>
            <w:tcBorders>
              <w:top w:val="single" w:sz="8" w:space="0" w:color="000000"/>
            </w:tcBorders>
          </w:tcPr>
          <w:p>
            <w:pPr>
              <w:pStyle w:val="TableParagraph"/>
              <w:spacing w:before="145"/>
              <w:ind w:left="335"/>
              <w:rPr>
                <w:rFonts w:ascii="微软雅黑" w:eastAsia="微软雅黑" w:hint="eastAsia"/>
                <w:b/>
                <w:sz w:val="21"/>
              </w:rPr>
            </w:pPr>
            <w:r>
              <w:rPr>
                <w:rFonts w:ascii="微软雅黑" w:eastAsia="微软雅黑" w:hint="eastAsia"/>
                <w:b/>
                <w:sz w:val="21"/>
              </w:rPr>
              <w:t>保险金受益人</w:t>
            </w:r>
          </w:p>
        </w:tc>
        <w:tc>
          <w:tcPr>
            <w:tcW w:w="6883" w:type="dxa"/>
            <w:tcBorders>
              <w:top w:val="single" w:sz="8" w:space="0" w:color="000000"/>
            </w:tcBorders>
          </w:tcPr>
          <w:p>
            <w:pPr>
              <w:pStyle w:val="TableParagraph"/>
              <w:ind w:left="0"/>
              <w:rPr>
                <w:rFonts w:ascii="Times New Roman"/>
                <w:sz w:val="18"/>
              </w:rPr>
            </w:pPr>
          </w:p>
          <w:p>
            <w:pPr>
              <w:pStyle w:val="TableParagraph"/>
              <w:spacing w:before="1"/>
              <w:ind w:left="113" w:right="106"/>
              <w:rPr>
                <w:sz w:val="21"/>
              </w:rPr>
            </w:pPr>
            <w:r>
              <w:rPr>
                <w:spacing w:val="-9"/>
                <w:sz w:val="21"/>
              </w:rPr>
              <w:t>除另有约定外，本合同“重大疾病保险金”和“全残保险金”的受益人为</w:t>
            </w:r>
            <w:r>
              <w:rPr>
                <w:spacing w:val="-5"/>
                <w:sz w:val="21"/>
              </w:rPr>
              <w:t>被保险人本人。</w:t>
            </w:r>
          </w:p>
          <w:p>
            <w:pPr>
              <w:pStyle w:val="TableParagraph"/>
              <w:spacing w:line="269" w:lineRule="exact"/>
              <w:ind w:left="113"/>
              <w:rPr>
                <w:sz w:val="21"/>
              </w:rPr>
            </w:pPr>
            <w:r>
              <w:rPr>
                <w:sz w:val="21"/>
              </w:rPr>
              <w:t>您或被保险人可以指定一人或多人为“身故保险金”受益人。</w:t>
            </w:r>
          </w:p>
          <w:p>
            <w:pPr>
              <w:pStyle w:val="TableParagraph"/>
              <w:ind w:left="113" w:right="103"/>
              <w:rPr>
                <w:sz w:val="21"/>
              </w:rPr>
            </w:pPr>
            <w:r>
              <w:rPr>
                <w:spacing w:val="-8"/>
                <w:sz w:val="21"/>
              </w:rPr>
              <w:t>身故保险金受益人为多人时，可以确定受益顺序和受益份额；如果没有确</w:t>
            </w:r>
            <w:r>
              <w:rPr>
                <w:spacing w:val="-5"/>
                <w:sz w:val="21"/>
              </w:rPr>
              <w:t>定份额，各身故保险金受益人按照相等份额享有受益权。</w:t>
            </w:r>
          </w:p>
          <w:p>
            <w:pPr>
              <w:pStyle w:val="TableParagraph"/>
              <w:ind w:left="113" w:right="42"/>
              <w:rPr>
                <w:sz w:val="21"/>
              </w:rPr>
            </w:pPr>
            <w:r>
              <w:rPr>
                <w:sz w:val="21"/>
              </w:rPr>
              <w:t>被保险人为无民事行为能力人或限制民事行为能力人的，可以由其监护人指定受益人。</w:t>
            </w:r>
          </w:p>
          <w:p>
            <w:pPr>
              <w:pStyle w:val="TableParagraph"/>
              <w:spacing w:line="237" w:lineRule="auto" w:before="1"/>
              <w:ind w:left="113" w:right="101"/>
              <w:jc w:val="both"/>
              <w:rPr>
                <w:sz w:val="21"/>
              </w:rPr>
            </w:pPr>
            <w:r>
              <w:rPr>
                <w:spacing w:val="-6"/>
                <w:sz w:val="21"/>
              </w:rPr>
              <w:t>您或被保险人可以变更身故保险金受益人并书面通知本公司。本公司收到</w:t>
            </w:r>
            <w:r>
              <w:rPr>
                <w:spacing w:val="-8"/>
                <w:sz w:val="21"/>
              </w:rPr>
              <w:t>变更身故保险金受益人的书面通知后，将及时在保险单或者其他保险凭证</w:t>
            </w:r>
            <w:r>
              <w:rPr>
                <w:spacing w:val="-5"/>
                <w:sz w:val="21"/>
              </w:rPr>
              <w:t>上批注或者附贴批单。</w:t>
            </w:r>
          </w:p>
          <w:p>
            <w:pPr>
              <w:pStyle w:val="TableParagraph"/>
              <w:spacing w:line="272" w:lineRule="exact"/>
              <w:ind w:left="113"/>
              <w:rPr>
                <w:sz w:val="21"/>
              </w:rPr>
            </w:pPr>
            <w:r>
              <w:rPr>
                <w:sz w:val="21"/>
              </w:rPr>
              <w:t>您在指定和变更身故保险金受益人时，必须经被保险人同意。</w:t>
            </w:r>
          </w:p>
          <w:p>
            <w:pPr>
              <w:pStyle w:val="TableParagraph"/>
              <w:ind w:left="113" w:right="103"/>
              <w:rPr>
                <w:sz w:val="21"/>
              </w:rPr>
            </w:pPr>
            <w:r>
              <w:rPr>
                <w:spacing w:val="-8"/>
                <w:sz w:val="21"/>
              </w:rPr>
              <w:t>被保险人身故后，遇有下列情形之一的，保险金作为被保险人的遗产，由</w:t>
            </w:r>
            <w:r>
              <w:rPr>
                <w:spacing w:val="-5"/>
                <w:sz w:val="21"/>
              </w:rPr>
              <w:t>本公司依照《中华人民共和国继承法》的规定履行给付保险金的义务：</w:t>
            </w:r>
          </w:p>
          <w:p>
            <w:pPr>
              <w:pStyle w:val="TableParagraph"/>
              <w:numPr>
                <w:ilvl w:val="0"/>
                <w:numId w:val="6"/>
              </w:numPr>
              <w:tabs>
                <w:tab w:pos="681" w:val="left" w:leader="none"/>
              </w:tabs>
              <w:spacing w:line="279" w:lineRule="exact" w:before="2" w:after="0"/>
              <w:ind w:left="680" w:right="0" w:hanging="567"/>
              <w:jc w:val="left"/>
              <w:rPr>
                <w:sz w:val="21"/>
              </w:rPr>
            </w:pPr>
            <w:r>
              <w:rPr>
                <w:spacing w:val="-3"/>
                <w:sz w:val="21"/>
              </w:rPr>
              <w:t>没有指定受益人，或者受益人指定不明无法确定的；</w:t>
            </w:r>
          </w:p>
          <w:p>
            <w:pPr>
              <w:pStyle w:val="TableParagraph"/>
              <w:numPr>
                <w:ilvl w:val="0"/>
                <w:numId w:val="6"/>
              </w:numPr>
              <w:tabs>
                <w:tab w:pos="681" w:val="left" w:leader="none"/>
              </w:tabs>
              <w:spacing w:line="272" w:lineRule="exact" w:before="0" w:after="0"/>
              <w:ind w:left="680" w:right="0" w:hanging="567"/>
              <w:jc w:val="left"/>
              <w:rPr>
                <w:sz w:val="21"/>
              </w:rPr>
            </w:pPr>
            <w:r>
              <w:rPr>
                <w:spacing w:val="-3"/>
                <w:sz w:val="21"/>
              </w:rPr>
              <w:t>受益人先于被保险人身故，没有其他受益人的；</w:t>
            </w:r>
          </w:p>
          <w:p>
            <w:pPr>
              <w:pStyle w:val="TableParagraph"/>
              <w:numPr>
                <w:ilvl w:val="0"/>
                <w:numId w:val="6"/>
              </w:numPr>
              <w:tabs>
                <w:tab w:pos="681" w:val="left" w:leader="none"/>
              </w:tabs>
              <w:spacing w:line="272" w:lineRule="exact" w:before="0" w:after="0"/>
              <w:ind w:left="680" w:right="0" w:hanging="567"/>
              <w:jc w:val="left"/>
              <w:rPr>
                <w:sz w:val="21"/>
              </w:rPr>
            </w:pPr>
            <w:r>
              <w:rPr>
                <w:spacing w:val="-3"/>
                <w:sz w:val="21"/>
              </w:rPr>
              <w:t>受益人依法丧失受益权或者放弃受益权，没有其他受益人的。</w:t>
            </w:r>
          </w:p>
          <w:p>
            <w:pPr>
              <w:pStyle w:val="TableParagraph"/>
              <w:spacing w:line="237" w:lineRule="auto"/>
              <w:ind w:left="113" w:right="42"/>
              <w:rPr>
                <w:sz w:val="21"/>
              </w:rPr>
            </w:pPr>
            <w:r>
              <w:rPr>
                <w:sz w:val="21"/>
              </w:rPr>
              <w:t>受益人与被保险人在同一事件中身故，且不能确定身故先后顺序的，推定受益人身故在先。</w:t>
            </w:r>
          </w:p>
          <w:p>
            <w:pPr>
              <w:pStyle w:val="TableParagraph"/>
              <w:spacing w:line="237" w:lineRule="auto" w:before="7"/>
              <w:ind w:left="113" w:right="103"/>
              <w:rPr>
                <w:sz w:val="21"/>
              </w:rPr>
            </w:pPr>
            <w:r>
              <w:rPr>
                <w:spacing w:val="-7"/>
                <w:sz w:val="21"/>
              </w:rPr>
              <w:t>受益人故意造成被保险人身故、伤残、疾病的，或者故意杀害被保险人未</w:t>
            </w:r>
            <w:r>
              <w:rPr>
                <w:spacing w:val="-5"/>
                <w:sz w:val="21"/>
              </w:rPr>
              <w:t>遂的，该受益人丧失受益权。</w:t>
            </w:r>
          </w:p>
        </w:tc>
      </w:tr>
      <w:tr>
        <w:trPr>
          <w:trHeight w:val="1876" w:hRule="atLeast"/>
        </w:trPr>
        <w:tc>
          <w:tcPr>
            <w:tcW w:w="836" w:type="dxa"/>
          </w:tcPr>
          <w:p>
            <w:pPr>
              <w:pStyle w:val="TableParagraph"/>
              <w:spacing w:before="131"/>
              <w:ind w:left="107"/>
              <w:rPr>
                <w:rFonts w:ascii="Times New Roman"/>
                <w:b/>
                <w:sz w:val="21"/>
              </w:rPr>
            </w:pPr>
            <w:r>
              <w:rPr>
                <w:rFonts w:ascii="Times New Roman"/>
                <w:b/>
                <w:sz w:val="21"/>
              </w:rPr>
              <w:t>3.2</w:t>
            </w:r>
          </w:p>
        </w:tc>
        <w:tc>
          <w:tcPr>
            <w:tcW w:w="1924" w:type="dxa"/>
          </w:tcPr>
          <w:p>
            <w:pPr>
              <w:pStyle w:val="TableParagraph"/>
              <w:spacing w:before="36"/>
              <w:ind w:left="335"/>
              <w:rPr>
                <w:rFonts w:ascii="微软雅黑" w:eastAsia="微软雅黑" w:hint="eastAsia"/>
                <w:b/>
                <w:sz w:val="21"/>
              </w:rPr>
            </w:pPr>
            <w:r>
              <w:rPr>
                <w:rFonts w:ascii="微软雅黑" w:eastAsia="微软雅黑" w:hint="eastAsia"/>
                <w:b/>
                <w:sz w:val="21"/>
              </w:rPr>
              <w:t>保险事故通知</w:t>
            </w:r>
          </w:p>
        </w:tc>
        <w:tc>
          <w:tcPr>
            <w:tcW w:w="6883" w:type="dxa"/>
          </w:tcPr>
          <w:p>
            <w:pPr>
              <w:pStyle w:val="TableParagraph"/>
              <w:spacing w:line="180" w:lineRule="auto" w:before="127"/>
              <w:ind w:left="113" w:right="20"/>
              <w:rPr>
                <w:sz w:val="21"/>
              </w:rPr>
            </w:pPr>
            <w:r>
              <w:rPr>
                <w:spacing w:val="-6"/>
                <w:sz w:val="21"/>
              </w:rPr>
              <w:t>您或被保险人应在知道保险事故发生之日起 </w:t>
            </w:r>
            <w:r>
              <w:rPr>
                <w:rFonts w:ascii="Times New Roman" w:eastAsia="Times New Roman"/>
                <w:sz w:val="21"/>
              </w:rPr>
              <w:t>10 </w:t>
            </w:r>
            <w:r>
              <w:rPr>
                <w:spacing w:val="-3"/>
                <w:sz w:val="21"/>
              </w:rPr>
              <w:t>日内通知本公司。</w:t>
            </w:r>
            <w:r>
              <w:rPr>
                <w:rFonts w:ascii="微软雅黑" w:eastAsia="微软雅黑" w:hint="eastAsia"/>
                <w:b/>
                <w:sz w:val="21"/>
              </w:rPr>
              <w:t>如果您</w:t>
            </w:r>
            <w:r>
              <w:rPr>
                <w:rFonts w:ascii="微软雅黑" w:eastAsia="微软雅黑" w:hint="eastAsia"/>
                <w:b/>
                <w:spacing w:val="-3"/>
                <w:sz w:val="21"/>
              </w:rPr>
              <w:t>或受益人故意或者因重大过失未及时通知，致使保险事故的性质、原因、</w:t>
            </w:r>
            <w:r>
              <w:rPr>
                <w:rFonts w:ascii="微软雅黑" w:eastAsia="微软雅黑" w:hint="eastAsia"/>
                <w:b/>
                <w:spacing w:val="-9"/>
                <w:sz w:val="21"/>
              </w:rPr>
              <w:t>损失程度等难以确定的，我们对无法确定的部分，不承担给付保险金的责</w:t>
            </w:r>
            <w:r>
              <w:rPr>
                <w:rFonts w:ascii="微软雅黑" w:eastAsia="微软雅黑" w:hint="eastAsia"/>
                <w:b/>
                <w:spacing w:val="-36"/>
                <w:sz w:val="21"/>
              </w:rPr>
              <w:t>任，</w:t>
            </w:r>
            <w:r>
              <w:rPr>
                <w:spacing w:val="-3"/>
                <w:sz w:val="21"/>
              </w:rPr>
              <w:t>但我们通过其他途径已经及时知道或者应当及时知道保险事故发生或</w:t>
            </w:r>
          </w:p>
          <w:p>
            <w:pPr>
              <w:pStyle w:val="TableParagraph"/>
              <w:spacing w:line="245" w:lineRule="exact"/>
              <w:ind w:left="113"/>
              <w:rPr>
                <w:sz w:val="21"/>
              </w:rPr>
            </w:pPr>
            <w:r>
              <w:rPr>
                <w:sz w:val="21"/>
              </w:rPr>
              <w:t>者虽未及时通知但不影响我们确定保险事故的性质、原因、损失程度的除</w:t>
            </w:r>
          </w:p>
          <w:p>
            <w:pPr>
              <w:pStyle w:val="TableParagraph"/>
              <w:spacing w:line="274" w:lineRule="exact"/>
              <w:ind w:left="113"/>
              <w:rPr>
                <w:sz w:val="21"/>
              </w:rPr>
            </w:pPr>
            <w:r>
              <w:rPr>
                <w:sz w:val="21"/>
              </w:rPr>
              <w:t>外。</w:t>
            </w:r>
          </w:p>
        </w:tc>
      </w:tr>
      <w:tr>
        <w:trPr>
          <w:trHeight w:val="525" w:hRule="atLeast"/>
        </w:trPr>
        <w:tc>
          <w:tcPr>
            <w:tcW w:w="836" w:type="dxa"/>
          </w:tcPr>
          <w:p>
            <w:pPr>
              <w:pStyle w:val="TableParagraph"/>
              <w:spacing w:before="131"/>
              <w:ind w:left="107"/>
              <w:rPr>
                <w:rFonts w:ascii="Times New Roman"/>
                <w:b/>
                <w:sz w:val="21"/>
              </w:rPr>
            </w:pPr>
            <w:r>
              <w:rPr>
                <w:rFonts w:ascii="Times New Roman"/>
                <w:b/>
                <w:sz w:val="21"/>
              </w:rPr>
              <w:t>3.3</w:t>
            </w:r>
          </w:p>
        </w:tc>
        <w:tc>
          <w:tcPr>
            <w:tcW w:w="1924" w:type="dxa"/>
          </w:tcPr>
          <w:p>
            <w:pPr>
              <w:pStyle w:val="TableParagraph"/>
              <w:spacing w:before="36"/>
              <w:ind w:left="335"/>
              <w:rPr>
                <w:rFonts w:ascii="微软雅黑" w:eastAsia="微软雅黑" w:hint="eastAsia"/>
                <w:b/>
                <w:sz w:val="21"/>
              </w:rPr>
            </w:pPr>
            <w:r>
              <w:rPr>
                <w:rFonts w:ascii="微软雅黑" w:eastAsia="微软雅黑" w:hint="eastAsia"/>
                <w:b/>
                <w:sz w:val="21"/>
              </w:rPr>
              <w:t>保险金申请</w:t>
            </w:r>
          </w:p>
        </w:tc>
        <w:tc>
          <w:tcPr>
            <w:tcW w:w="6883" w:type="dxa"/>
          </w:tcPr>
          <w:p>
            <w:pPr>
              <w:pStyle w:val="TableParagraph"/>
              <w:spacing w:before="99"/>
              <w:ind w:left="113"/>
              <w:rPr>
                <w:sz w:val="21"/>
              </w:rPr>
            </w:pPr>
            <w:r>
              <w:rPr>
                <w:sz w:val="21"/>
              </w:rPr>
              <w:t>在申请保险金时，请按照下列方式办理：</w:t>
            </w:r>
          </w:p>
        </w:tc>
      </w:tr>
      <w:tr>
        <w:trPr>
          <w:trHeight w:val="2427" w:hRule="atLeast"/>
        </w:trPr>
        <w:tc>
          <w:tcPr>
            <w:tcW w:w="836" w:type="dxa"/>
          </w:tcPr>
          <w:p>
            <w:pPr>
              <w:pStyle w:val="TableParagraph"/>
              <w:ind w:left="0"/>
              <w:rPr>
                <w:rFonts w:ascii="Times New Roman"/>
                <w:sz w:val="20"/>
              </w:rPr>
            </w:pPr>
          </w:p>
        </w:tc>
        <w:tc>
          <w:tcPr>
            <w:tcW w:w="1924" w:type="dxa"/>
          </w:tcPr>
          <w:p>
            <w:pPr>
              <w:pStyle w:val="TableParagraph"/>
              <w:spacing w:line="237" w:lineRule="auto" w:before="90"/>
              <w:ind w:left="335" w:right="112"/>
              <w:rPr>
                <w:sz w:val="21"/>
              </w:rPr>
            </w:pPr>
            <w:r>
              <w:rPr>
                <w:sz w:val="21"/>
              </w:rPr>
              <w:t>重大疾病保险金申请</w:t>
            </w:r>
          </w:p>
        </w:tc>
        <w:tc>
          <w:tcPr>
            <w:tcW w:w="6883" w:type="dxa"/>
          </w:tcPr>
          <w:p>
            <w:pPr>
              <w:pStyle w:val="TableParagraph"/>
              <w:spacing w:line="237" w:lineRule="auto" w:before="90"/>
              <w:ind w:left="113" w:right="42"/>
              <w:rPr>
                <w:sz w:val="21"/>
              </w:rPr>
            </w:pPr>
            <w:r>
              <w:rPr>
                <w:sz w:val="21"/>
              </w:rPr>
              <w:t>由该项保险金受益人或其代理人填写保险金给付申请书，并须提供下列证明和资料：</w:t>
            </w:r>
          </w:p>
          <w:p>
            <w:pPr>
              <w:pStyle w:val="TableParagraph"/>
              <w:numPr>
                <w:ilvl w:val="0"/>
                <w:numId w:val="7"/>
              </w:numPr>
              <w:tabs>
                <w:tab w:pos="681" w:val="left" w:leader="none"/>
              </w:tabs>
              <w:spacing w:line="280" w:lineRule="exact" w:before="0" w:after="0"/>
              <w:ind w:left="680" w:right="0" w:hanging="567"/>
              <w:jc w:val="left"/>
              <w:rPr>
                <w:sz w:val="21"/>
              </w:rPr>
            </w:pPr>
            <w:r>
              <w:rPr>
                <w:spacing w:val="-3"/>
                <w:sz w:val="21"/>
              </w:rPr>
              <w:t>有效的保险合同原件；</w:t>
            </w:r>
          </w:p>
          <w:p>
            <w:pPr>
              <w:pStyle w:val="TableParagraph"/>
              <w:numPr>
                <w:ilvl w:val="0"/>
                <w:numId w:val="7"/>
              </w:numPr>
              <w:tabs>
                <w:tab w:pos="681" w:val="left" w:leader="none"/>
              </w:tabs>
              <w:spacing w:line="272" w:lineRule="exact" w:before="0" w:after="0"/>
              <w:ind w:left="680" w:right="0" w:hanging="567"/>
              <w:jc w:val="left"/>
              <w:rPr>
                <w:sz w:val="21"/>
              </w:rPr>
            </w:pPr>
            <w:r>
              <w:rPr>
                <w:spacing w:val="-3"/>
                <w:sz w:val="21"/>
              </w:rPr>
              <w:t>受益人的有效身份证件；</w:t>
            </w:r>
          </w:p>
          <w:p>
            <w:pPr>
              <w:pStyle w:val="TableParagraph"/>
              <w:numPr>
                <w:ilvl w:val="0"/>
                <w:numId w:val="7"/>
              </w:numPr>
              <w:tabs>
                <w:tab w:pos="681" w:val="left" w:leader="none"/>
              </w:tabs>
              <w:spacing w:line="230" w:lineRule="auto" w:before="3" w:after="0"/>
              <w:ind w:left="680" w:right="36" w:hanging="567"/>
              <w:jc w:val="both"/>
              <w:rPr>
                <w:sz w:val="21"/>
              </w:rPr>
            </w:pPr>
            <w:r>
              <w:rPr>
                <w:spacing w:val="-3"/>
                <w:sz w:val="21"/>
              </w:rPr>
              <w:t>由医院的专科医生出具的诊断证明书</w:t>
            </w:r>
            <w:r>
              <w:rPr>
                <w:rFonts w:ascii="Times New Roman" w:eastAsia="Times New Roman"/>
                <w:spacing w:val="-4"/>
                <w:sz w:val="21"/>
              </w:rPr>
              <w:t>(</w:t>
            </w:r>
            <w:r>
              <w:rPr>
                <w:spacing w:val="-3"/>
                <w:sz w:val="21"/>
              </w:rPr>
              <w:t>包括：完整病历、出院小结、病理组织检查报告、血液检查、其他科学方法检验报告的病史资料及疾病诊断报告书</w:t>
            </w:r>
            <w:r>
              <w:rPr>
                <w:rFonts w:ascii="Times New Roman" w:eastAsia="Times New Roman"/>
                <w:sz w:val="21"/>
              </w:rPr>
              <w:t>)</w:t>
            </w:r>
            <w:r>
              <w:rPr>
                <w:sz w:val="21"/>
              </w:rPr>
              <w:t>；</w:t>
            </w:r>
          </w:p>
          <w:p>
            <w:pPr>
              <w:pStyle w:val="TableParagraph"/>
              <w:numPr>
                <w:ilvl w:val="0"/>
                <w:numId w:val="7"/>
              </w:numPr>
              <w:tabs>
                <w:tab w:pos="681" w:val="left" w:leader="none"/>
              </w:tabs>
              <w:spacing w:line="271" w:lineRule="exact" w:before="0" w:after="0"/>
              <w:ind w:left="680" w:right="0" w:hanging="567"/>
              <w:jc w:val="left"/>
              <w:rPr>
                <w:sz w:val="21"/>
              </w:rPr>
            </w:pPr>
            <w:r>
              <w:rPr>
                <w:spacing w:val="-10"/>
                <w:sz w:val="21"/>
              </w:rPr>
              <w:t>所能提供的与确认保险事故的性质、原因等有关的其他证明和资料。</w:t>
            </w:r>
          </w:p>
        </w:tc>
      </w:tr>
      <w:tr>
        <w:trPr>
          <w:trHeight w:val="1911" w:hRule="atLeast"/>
        </w:trPr>
        <w:tc>
          <w:tcPr>
            <w:tcW w:w="836" w:type="dxa"/>
          </w:tcPr>
          <w:p>
            <w:pPr>
              <w:pStyle w:val="TableParagraph"/>
              <w:ind w:left="0"/>
              <w:rPr>
                <w:rFonts w:ascii="Times New Roman"/>
                <w:sz w:val="20"/>
              </w:rPr>
            </w:pPr>
          </w:p>
        </w:tc>
        <w:tc>
          <w:tcPr>
            <w:tcW w:w="1924" w:type="dxa"/>
          </w:tcPr>
          <w:p>
            <w:pPr>
              <w:pStyle w:val="TableParagraph"/>
              <w:spacing w:before="79"/>
              <w:ind w:left="335"/>
              <w:rPr>
                <w:sz w:val="21"/>
              </w:rPr>
            </w:pPr>
            <w:r>
              <w:rPr>
                <w:sz w:val="21"/>
              </w:rPr>
              <w:t>全残保险金申请</w:t>
            </w:r>
          </w:p>
        </w:tc>
        <w:tc>
          <w:tcPr>
            <w:tcW w:w="6883" w:type="dxa"/>
          </w:tcPr>
          <w:p>
            <w:pPr>
              <w:pStyle w:val="TableParagraph"/>
              <w:spacing w:before="79"/>
              <w:ind w:left="113" w:right="42"/>
              <w:rPr>
                <w:sz w:val="21"/>
              </w:rPr>
            </w:pPr>
            <w:r>
              <w:rPr>
                <w:sz w:val="21"/>
              </w:rPr>
              <w:t>由该项保险金受益人或其代理人填写保险金给付申请书，并须提供下列证明和资料：</w:t>
            </w:r>
          </w:p>
          <w:p>
            <w:pPr>
              <w:pStyle w:val="TableParagraph"/>
              <w:numPr>
                <w:ilvl w:val="0"/>
                <w:numId w:val="8"/>
              </w:numPr>
              <w:tabs>
                <w:tab w:pos="681" w:val="left" w:leader="none"/>
              </w:tabs>
              <w:spacing w:line="279" w:lineRule="exact" w:before="0" w:after="0"/>
              <w:ind w:left="680" w:right="0" w:hanging="567"/>
              <w:jc w:val="left"/>
              <w:rPr>
                <w:sz w:val="21"/>
              </w:rPr>
            </w:pPr>
            <w:r>
              <w:rPr>
                <w:spacing w:val="-3"/>
                <w:sz w:val="21"/>
              </w:rPr>
              <w:t>有效的保险合同原件；</w:t>
            </w:r>
          </w:p>
          <w:p>
            <w:pPr>
              <w:pStyle w:val="TableParagraph"/>
              <w:numPr>
                <w:ilvl w:val="0"/>
                <w:numId w:val="8"/>
              </w:numPr>
              <w:tabs>
                <w:tab w:pos="681" w:val="left" w:leader="none"/>
              </w:tabs>
              <w:spacing w:line="273" w:lineRule="exact" w:before="0" w:after="0"/>
              <w:ind w:left="680" w:right="0" w:hanging="567"/>
              <w:jc w:val="left"/>
              <w:rPr>
                <w:sz w:val="21"/>
              </w:rPr>
            </w:pPr>
            <w:r>
              <w:rPr>
                <w:spacing w:val="-3"/>
                <w:sz w:val="21"/>
              </w:rPr>
              <w:t>受益人的有效身份证件；</w:t>
            </w:r>
          </w:p>
          <w:p>
            <w:pPr>
              <w:pStyle w:val="TableParagraph"/>
              <w:numPr>
                <w:ilvl w:val="0"/>
                <w:numId w:val="8"/>
              </w:numPr>
              <w:tabs>
                <w:tab w:pos="681" w:val="left" w:leader="none"/>
              </w:tabs>
              <w:spacing w:line="272" w:lineRule="exact" w:before="0" w:after="0"/>
              <w:ind w:left="680" w:right="0" w:hanging="567"/>
              <w:jc w:val="left"/>
              <w:rPr>
                <w:sz w:val="21"/>
              </w:rPr>
            </w:pPr>
            <w:r>
              <w:rPr>
                <w:spacing w:val="-3"/>
                <w:sz w:val="21"/>
              </w:rPr>
              <w:t>具有相应鉴定资格的专业鉴定机构出具的残疾程度鉴定书；</w:t>
            </w:r>
          </w:p>
          <w:p>
            <w:pPr>
              <w:pStyle w:val="TableParagraph"/>
              <w:numPr>
                <w:ilvl w:val="0"/>
                <w:numId w:val="8"/>
              </w:numPr>
              <w:tabs>
                <w:tab w:pos="681" w:val="left" w:leader="none"/>
              </w:tabs>
              <w:spacing w:line="282" w:lineRule="exact" w:before="0" w:after="0"/>
              <w:ind w:left="680" w:right="0" w:hanging="567"/>
              <w:jc w:val="left"/>
              <w:rPr>
                <w:sz w:val="21"/>
              </w:rPr>
            </w:pPr>
            <w:r>
              <w:rPr>
                <w:spacing w:val="-10"/>
                <w:sz w:val="21"/>
              </w:rPr>
              <w:t>所能提供的与确认保险事故的性质、原因等有关的其它证明和资料。</w:t>
            </w:r>
          </w:p>
        </w:tc>
      </w:tr>
      <w:tr>
        <w:trPr>
          <w:trHeight w:val="410" w:hRule="atLeast"/>
        </w:trPr>
        <w:tc>
          <w:tcPr>
            <w:tcW w:w="836" w:type="dxa"/>
          </w:tcPr>
          <w:p>
            <w:pPr>
              <w:pStyle w:val="TableParagraph"/>
              <w:ind w:left="0"/>
              <w:rPr>
                <w:rFonts w:ascii="Times New Roman"/>
                <w:sz w:val="20"/>
              </w:rPr>
            </w:pPr>
          </w:p>
        </w:tc>
        <w:tc>
          <w:tcPr>
            <w:tcW w:w="1924" w:type="dxa"/>
          </w:tcPr>
          <w:p>
            <w:pPr>
              <w:pStyle w:val="TableParagraph"/>
              <w:spacing w:before="114"/>
              <w:ind w:left="335"/>
              <w:rPr>
                <w:sz w:val="21"/>
              </w:rPr>
            </w:pPr>
            <w:r>
              <w:rPr>
                <w:sz w:val="21"/>
              </w:rPr>
              <w:t>身故保险金申请</w:t>
            </w:r>
          </w:p>
        </w:tc>
        <w:tc>
          <w:tcPr>
            <w:tcW w:w="6883" w:type="dxa"/>
          </w:tcPr>
          <w:p>
            <w:pPr>
              <w:pStyle w:val="TableParagraph"/>
              <w:spacing w:line="255" w:lineRule="exact" w:before="136"/>
              <w:ind w:left="113"/>
              <w:rPr>
                <w:sz w:val="21"/>
              </w:rPr>
            </w:pPr>
            <w:r>
              <w:rPr>
                <w:sz w:val="21"/>
              </w:rPr>
              <w:t>由该项保险金受益人或其代理人填写保险金给付申请书，并须提供下列证</w:t>
            </w:r>
          </w:p>
        </w:tc>
      </w:tr>
    </w:tbl>
    <w:p>
      <w:pPr>
        <w:spacing w:after="0" w:line="255" w:lineRule="exact"/>
        <w:rPr>
          <w:sz w:val="21"/>
        </w:rPr>
        <w:sectPr>
          <w:pgSz w:w="11910" w:h="16450"/>
          <w:pgMar w:header="857" w:footer="968" w:top="1040" w:bottom="1180" w:left="1020" w:right="1020"/>
        </w:sectPr>
      </w:pPr>
    </w:p>
    <w:p>
      <w:pPr>
        <w:pStyle w:val="BodyText"/>
        <w:rPr>
          <w:rFonts w:ascii="Times New Roman"/>
          <w:sz w:val="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1887"/>
        <w:gridCol w:w="6987"/>
      </w:tblGrid>
      <w:tr>
        <w:trPr>
          <w:trHeight w:val="3695" w:hRule="atLeast"/>
        </w:trPr>
        <w:tc>
          <w:tcPr>
            <w:tcW w:w="784" w:type="dxa"/>
            <w:tcBorders>
              <w:top w:val="single" w:sz="6" w:space="0" w:color="000000"/>
            </w:tcBorders>
          </w:tcPr>
          <w:p>
            <w:pPr>
              <w:pStyle w:val="TableParagraph"/>
              <w:ind w:left="0"/>
              <w:rPr>
                <w:rFonts w:ascii="Times New Roman"/>
                <w:sz w:val="20"/>
              </w:rPr>
            </w:pPr>
          </w:p>
        </w:tc>
        <w:tc>
          <w:tcPr>
            <w:tcW w:w="1887" w:type="dxa"/>
            <w:tcBorders>
              <w:top w:val="single" w:sz="6" w:space="0" w:color="000000"/>
            </w:tcBorders>
          </w:tcPr>
          <w:p>
            <w:pPr>
              <w:pStyle w:val="TableParagraph"/>
              <w:ind w:left="0"/>
              <w:rPr>
                <w:rFonts w:ascii="Times New Roman"/>
                <w:sz w:val="20"/>
              </w:rPr>
            </w:pPr>
          </w:p>
        </w:tc>
        <w:tc>
          <w:tcPr>
            <w:tcW w:w="6987" w:type="dxa"/>
            <w:tcBorders>
              <w:top w:val="single" w:sz="6" w:space="0" w:color="000000"/>
            </w:tcBorders>
          </w:tcPr>
          <w:p>
            <w:pPr>
              <w:pStyle w:val="TableParagraph"/>
              <w:spacing w:before="69"/>
              <w:ind w:left="217"/>
              <w:rPr>
                <w:sz w:val="21"/>
              </w:rPr>
            </w:pPr>
            <w:r>
              <w:rPr>
                <w:sz w:val="21"/>
              </w:rPr>
              <w:t>明和资料：</w:t>
            </w:r>
          </w:p>
          <w:p>
            <w:pPr>
              <w:pStyle w:val="TableParagraph"/>
              <w:numPr>
                <w:ilvl w:val="0"/>
                <w:numId w:val="9"/>
              </w:numPr>
              <w:tabs>
                <w:tab w:pos="822" w:val="left" w:leader="none"/>
              </w:tabs>
              <w:spacing w:line="240" w:lineRule="auto" w:before="37" w:after="0"/>
              <w:ind w:left="742" w:right="0" w:hanging="525"/>
              <w:jc w:val="left"/>
              <w:rPr>
                <w:sz w:val="21"/>
              </w:rPr>
            </w:pPr>
            <w:r>
              <w:rPr>
                <w:spacing w:val="-3"/>
                <w:sz w:val="21"/>
              </w:rPr>
              <w:t>有效的保险合同原件；</w:t>
            </w:r>
          </w:p>
          <w:p>
            <w:pPr>
              <w:pStyle w:val="TableParagraph"/>
              <w:numPr>
                <w:ilvl w:val="0"/>
                <w:numId w:val="9"/>
              </w:numPr>
              <w:tabs>
                <w:tab w:pos="822" w:val="left" w:leader="none"/>
              </w:tabs>
              <w:spacing w:line="240" w:lineRule="auto" w:before="20" w:after="0"/>
              <w:ind w:left="742" w:right="0" w:hanging="525"/>
              <w:jc w:val="left"/>
              <w:rPr>
                <w:sz w:val="21"/>
              </w:rPr>
            </w:pPr>
            <w:r>
              <w:rPr>
                <w:spacing w:val="-3"/>
                <w:sz w:val="21"/>
              </w:rPr>
              <w:t>受益人的有效身份证件；</w:t>
            </w:r>
          </w:p>
          <w:p>
            <w:pPr>
              <w:pStyle w:val="TableParagraph"/>
              <w:numPr>
                <w:ilvl w:val="0"/>
                <w:numId w:val="9"/>
              </w:numPr>
              <w:tabs>
                <w:tab w:pos="822" w:val="left" w:leader="none"/>
              </w:tabs>
              <w:spacing w:line="256" w:lineRule="auto" w:before="20" w:after="0"/>
              <w:ind w:left="742" w:right="104" w:hanging="525"/>
              <w:jc w:val="left"/>
              <w:rPr>
                <w:sz w:val="21"/>
              </w:rPr>
            </w:pPr>
            <w:r>
              <w:rPr>
                <w:spacing w:val="-7"/>
                <w:sz w:val="21"/>
              </w:rPr>
              <w:t>公安部门、医院或依法有权出具死亡证明书的机构出具的被保险人</w:t>
            </w:r>
            <w:r>
              <w:rPr>
                <w:spacing w:val="-5"/>
                <w:sz w:val="21"/>
              </w:rPr>
              <w:t>死亡证明书、户口注销证明和民政部门出具的丧葬证明；</w:t>
            </w:r>
          </w:p>
          <w:p>
            <w:pPr>
              <w:pStyle w:val="TableParagraph"/>
              <w:numPr>
                <w:ilvl w:val="0"/>
                <w:numId w:val="9"/>
              </w:numPr>
              <w:tabs>
                <w:tab w:pos="822" w:val="left" w:leader="none"/>
              </w:tabs>
              <w:spacing w:line="237" w:lineRule="auto" w:before="24" w:after="0"/>
              <w:ind w:left="217" w:right="68" w:firstLine="0"/>
              <w:jc w:val="left"/>
              <w:rPr>
                <w:sz w:val="21"/>
              </w:rPr>
            </w:pPr>
            <w:r>
              <w:rPr>
                <w:spacing w:val="-3"/>
                <w:sz w:val="21"/>
              </w:rPr>
              <w:t>所能提供的与确认保险事故性质、原因等有关的其他证明和资料。保险金作为被保险人遗产时，必须提供可证明合法继承权的相关权利文 件。</w:t>
            </w:r>
          </w:p>
          <w:p>
            <w:pPr>
              <w:pStyle w:val="TableParagraph"/>
              <w:spacing w:line="237" w:lineRule="auto" w:before="1"/>
              <w:ind w:left="217" w:right="104"/>
              <w:rPr>
                <w:sz w:val="21"/>
              </w:rPr>
            </w:pPr>
            <w:r>
              <w:rPr>
                <w:spacing w:val="-7"/>
                <w:sz w:val="21"/>
              </w:rPr>
              <w:t>以上所有保险金申请，若办理人为委托代理人，需提供授权委托书、代理</w:t>
            </w:r>
            <w:r>
              <w:rPr>
                <w:spacing w:val="-3"/>
                <w:sz w:val="21"/>
              </w:rPr>
              <w:t>人有效身份证件。</w:t>
            </w:r>
          </w:p>
          <w:p>
            <w:pPr>
              <w:pStyle w:val="TableParagraph"/>
              <w:spacing w:line="237" w:lineRule="auto" w:before="1"/>
              <w:ind w:left="217" w:right="42"/>
              <w:rPr>
                <w:sz w:val="21"/>
              </w:rPr>
            </w:pPr>
            <w:r>
              <w:rPr>
                <w:sz w:val="21"/>
              </w:rPr>
              <w:t>以上各项保险金申请的证明和资料不完整的，我们将及时一次性通知申请人补充提供有关证明和资料。</w:t>
            </w:r>
          </w:p>
        </w:tc>
      </w:tr>
      <w:tr>
        <w:trPr>
          <w:trHeight w:val="4056" w:hRule="atLeast"/>
        </w:trPr>
        <w:tc>
          <w:tcPr>
            <w:tcW w:w="784" w:type="dxa"/>
          </w:tcPr>
          <w:p>
            <w:pPr>
              <w:pStyle w:val="TableParagraph"/>
              <w:spacing w:before="131"/>
              <w:ind w:left="122"/>
              <w:rPr>
                <w:rFonts w:ascii="Times New Roman"/>
                <w:b/>
                <w:sz w:val="21"/>
              </w:rPr>
            </w:pPr>
            <w:r>
              <w:rPr>
                <w:rFonts w:ascii="Times New Roman"/>
                <w:b/>
                <w:sz w:val="21"/>
              </w:rPr>
              <w:t>3.4</w:t>
            </w:r>
          </w:p>
        </w:tc>
        <w:tc>
          <w:tcPr>
            <w:tcW w:w="1887" w:type="dxa"/>
          </w:tcPr>
          <w:p>
            <w:pPr>
              <w:pStyle w:val="TableParagraph"/>
              <w:spacing w:before="36"/>
              <w:ind w:left="401"/>
              <w:rPr>
                <w:rFonts w:ascii="微软雅黑" w:eastAsia="微软雅黑" w:hint="eastAsia"/>
                <w:b/>
                <w:sz w:val="21"/>
              </w:rPr>
            </w:pPr>
            <w:r>
              <w:rPr>
                <w:rFonts w:ascii="微软雅黑" w:eastAsia="微软雅黑" w:hint="eastAsia"/>
                <w:b/>
                <w:sz w:val="21"/>
              </w:rPr>
              <w:t>保险金给付</w:t>
            </w:r>
          </w:p>
        </w:tc>
        <w:tc>
          <w:tcPr>
            <w:tcW w:w="6987" w:type="dxa"/>
          </w:tcPr>
          <w:p>
            <w:pPr>
              <w:pStyle w:val="TableParagraph"/>
              <w:numPr>
                <w:ilvl w:val="0"/>
                <w:numId w:val="10"/>
              </w:numPr>
              <w:tabs>
                <w:tab w:pos="897" w:val="left" w:leader="none"/>
              </w:tabs>
              <w:spacing w:line="225" w:lineRule="auto" w:before="116" w:after="0"/>
              <w:ind w:left="896" w:right="104" w:hanging="679"/>
              <w:jc w:val="left"/>
              <w:rPr>
                <w:sz w:val="21"/>
              </w:rPr>
            </w:pPr>
            <w:r>
              <w:rPr>
                <w:spacing w:val="-5"/>
                <w:sz w:val="21"/>
              </w:rPr>
              <w:t>我们在收到保险金申请书及合同约定的证明和资料后，将在 </w:t>
            </w:r>
            <w:r>
              <w:rPr>
                <w:rFonts w:ascii="Times New Roman" w:eastAsia="Times New Roman"/>
                <w:sz w:val="21"/>
              </w:rPr>
              <w:t>5</w:t>
            </w:r>
            <w:r>
              <w:rPr>
                <w:rFonts w:ascii="Times New Roman" w:eastAsia="Times New Roman"/>
                <w:spacing w:val="3"/>
                <w:sz w:val="21"/>
              </w:rPr>
              <w:t> </w:t>
            </w:r>
            <w:r>
              <w:rPr>
                <w:sz w:val="21"/>
              </w:rPr>
              <w:t>日</w:t>
            </w:r>
            <w:r>
              <w:rPr>
                <w:spacing w:val="-6"/>
                <w:sz w:val="21"/>
              </w:rPr>
              <w:t>内作出核定；情形复杂的，在 </w:t>
            </w:r>
            <w:r>
              <w:rPr>
                <w:rFonts w:ascii="Times New Roman" w:eastAsia="Times New Roman"/>
                <w:sz w:val="21"/>
              </w:rPr>
              <w:t>30</w:t>
            </w:r>
            <w:r>
              <w:rPr>
                <w:rFonts w:ascii="Times New Roman" w:eastAsia="Times New Roman"/>
                <w:spacing w:val="13"/>
                <w:sz w:val="21"/>
              </w:rPr>
              <w:t> </w:t>
            </w:r>
            <w:r>
              <w:rPr>
                <w:spacing w:val="-3"/>
                <w:sz w:val="21"/>
              </w:rPr>
              <w:t>日内作出核定。对属于保险责任</w:t>
            </w:r>
          </w:p>
          <w:p>
            <w:pPr>
              <w:pStyle w:val="TableParagraph"/>
              <w:spacing w:line="225" w:lineRule="auto"/>
              <w:ind w:left="896" w:right="39"/>
              <w:rPr>
                <w:sz w:val="21"/>
              </w:rPr>
            </w:pPr>
            <w:r>
              <w:rPr>
                <w:sz w:val="21"/>
              </w:rPr>
              <w:t>的，我们在与受益人达成给付保险金的协议后 </w:t>
            </w:r>
            <w:r>
              <w:rPr>
                <w:rFonts w:ascii="Times New Roman" w:eastAsia="Times New Roman"/>
                <w:sz w:val="21"/>
              </w:rPr>
              <w:t>10 </w:t>
            </w:r>
            <w:r>
              <w:rPr>
                <w:sz w:val="21"/>
              </w:rPr>
              <w:t>日内，履行给付保险金义务。</w:t>
            </w:r>
          </w:p>
          <w:p>
            <w:pPr>
              <w:pStyle w:val="TableParagraph"/>
              <w:numPr>
                <w:ilvl w:val="0"/>
                <w:numId w:val="10"/>
              </w:numPr>
              <w:tabs>
                <w:tab w:pos="897" w:val="left" w:leader="none"/>
              </w:tabs>
              <w:spacing w:line="232" w:lineRule="auto" w:before="7" w:after="0"/>
              <w:ind w:left="896" w:right="202" w:hanging="679"/>
              <w:jc w:val="both"/>
              <w:rPr>
                <w:sz w:val="21"/>
              </w:rPr>
            </w:pPr>
            <w:r>
              <w:rPr>
                <w:spacing w:val="-3"/>
                <w:sz w:val="21"/>
              </w:rPr>
              <w:t>我们未及时履行前款规定义务的，除支付保险金外，应当赔偿受益人因此受到的损失。前述“损失”是指逾期支付保险金的利息损失，该利息根据中国人民银行公布的同时期人民币活期存款基准利率计算。</w:t>
            </w:r>
          </w:p>
          <w:p>
            <w:pPr>
              <w:pStyle w:val="TableParagraph"/>
              <w:numPr>
                <w:ilvl w:val="0"/>
                <w:numId w:val="10"/>
              </w:numPr>
              <w:tabs>
                <w:tab w:pos="897" w:val="left" w:leader="none"/>
              </w:tabs>
              <w:spacing w:line="225" w:lineRule="auto" w:before="13" w:after="0"/>
              <w:ind w:left="896" w:right="202" w:hanging="679"/>
              <w:jc w:val="left"/>
              <w:rPr>
                <w:sz w:val="21"/>
              </w:rPr>
            </w:pPr>
            <w:r>
              <w:rPr>
                <w:spacing w:val="-5"/>
                <w:sz w:val="21"/>
              </w:rPr>
              <w:t>对不属于保险责任的，我们自作出核定之日起 </w:t>
            </w:r>
            <w:r>
              <w:rPr>
                <w:rFonts w:ascii="Times New Roman" w:eastAsia="Times New Roman"/>
                <w:sz w:val="21"/>
              </w:rPr>
              <w:t>3</w:t>
            </w:r>
            <w:r>
              <w:rPr>
                <w:rFonts w:ascii="Times New Roman" w:eastAsia="Times New Roman"/>
                <w:spacing w:val="13"/>
                <w:sz w:val="21"/>
              </w:rPr>
              <w:t> </w:t>
            </w:r>
            <w:r>
              <w:rPr>
                <w:spacing w:val="-3"/>
                <w:sz w:val="21"/>
              </w:rPr>
              <w:t>日内向受益人发</w:t>
            </w:r>
            <w:r>
              <w:rPr>
                <w:spacing w:val="-11"/>
                <w:sz w:val="21"/>
              </w:rPr>
              <w:t>出《拒绝给付保险金通知书》，并说明理由。</w:t>
            </w:r>
          </w:p>
          <w:p>
            <w:pPr>
              <w:pStyle w:val="TableParagraph"/>
              <w:numPr>
                <w:ilvl w:val="0"/>
                <w:numId w:val="10"/>
              </w:numPr>
              <w:tabs>
                <w:tab w:pos="897" w:val="left" w:leader="none"/>
              </w:tabs>
              <w:spacing w:line="232" w:lineRule="auto" w:before="5" w:after="0"/>
              <w:ind w:left="896" w:right="97" w:hanging="679"/>
              <w:jc w:val="left"/>
              <w:rPr>
                <w:sz w:val="21"/>
              </w:rPr>
            </w:pPr>
            <w:r>
              <w:rPr>
                <w:spacing w:val="-5"/>
                <w:sz w:val="21"/>
              </w:rPr>
              <w:t>我们在收到保险金给付申请书及有关证明和资料之日起 </w:t>
            </w:r>
            <w:r>
              <w:rPr>
                <w:rFonts w:ascii="Times New Roman" w:eastAsia="Times New Roman"/>
                <w:sz w:val="21"/>
              </w:rPr>
              <w:t>60</w:t>
            </w:r>
            <w:r>
              <w:rPr>
                <w:rFonts w:ascii="Times New Roman" w:eastAsia="Times New Roman"/>
                <w:spacing w:val="12"/>
                <w:sz w:val="21"/>
              </w:rPr>
              <w:t> </w:t>
            </w:r>
            <w:r>
              <w:rPr>
                <w:spacing w:val="-2"/>
                <w:sz w:val="21"/>
              </w:rPr>
              <w:t>日内， </w:t>
            </w:r>
            <w:r>
              <w:rPr>
                <w:spacing w:val="-3"/>
                <w:sz w:val="21"/>
              </w:rPr>
              <w:t>对给付保险金的数额不能确定的，根据已有证明和资料可以确定的数额先予支付；本公司最终确定给付保险金的数额后，将支付相应的差额。</w:t>
            </w:r>
          </w:p>
        </w:tc>
      </w:tr>
      <w:tr>
        <w:trPr>
          <w:trHeight w:val="1603" w:hRule="atLeast"/>
        </w:trPr>
        <w:tc>
          <w:tcPr>
            <w:tcW w:w="784" w:type="dxa"/>
          </w:tcPr>
          <w:p>
            <w:pPr>
              <w:pStyle w:val="TableParagraph"/>
              <w:spacing w:before="131"/>
              <w:ind w:left="122"/>
              <w:rPr>
                <w:rFonts w:ascii="Times New Roman"/>
                <w:b/>
                <w:sz w:val="21"/>
              </w:rPr>
            </w:pPr>
            <w:r>
              <w:rPr>
                <w:rFonts w:ascii="Times New Roman"/>
                <w:b/>
                <w:sz w:val="21"/>
              </w:rPr>
              <w:t>3.5</w:t>
            </w:r>
          </w:p>
        </w:tc>
        <w:tc>
          <w:tcPr>
            <w:tcW w:w="1887" w:type="dxa"/>
          </w:tcPr>
          <w:p>
            <w:pPr>
              <w:pStyle w:val="TableParagraph"/>
              <w:spacing w:before="36"/>
              <w:ind w:left="401"/>
              <w:rPr>
                <w:rFonts w:ascii="微软雅黑" w:eastAsia="微软雅黑" w:hint="eastAsia"/>
                <w:b/>
                <w:sz w:val="21"/>
              </w:rPr>
            </w:pPr>
            <w:r>
              <w:rPr>
                <w:rFonts w:ascii="微软雅黑" w:eastAsia="微软雅黑" w:hint="eastAsia"/>
                <w:b/>
                <w:sz w:val="21"/>
              </w:rPr>
              <w:t>宣告死亡处理</w:t>
            </w:r>
          </w:p>
        </w:tc>
        <w:tc>
          <w:tcPr>
            <w:tcW w:w="6987" w:type="dxa"/>
          </w:tcPr>
          <w:p>
            <w:pPr>
              <w:pStyle w:val="TableParagraph"/>
              <w:spacing w:line="235" w:lineRule="auto" w:before="104"/>
              <w:ind w:left="217" w:right="101"/>
              <w:jc w:val="both"/>
              <w:rPr>
                <w:sz w:val="21"/>
              </w:rPr>
            </w:pPr>
            <w:r>
              <w:rPr>
                <w:spacing w:val="-8"/>
                <w:sz w:val="21"/>
              </w:rPr>
              <w:t>在本合同有效期内，如果被保险人失踪且被法院宣告死亡，我们以法院判</w:t>
            </w:r>
            <w:r>
              <w:rPr>
                <w:spacing w:val="-9"/>
                <w:sz w:val="21"/>
              </w:rPr>
              <w:t>决宣告死亡之日作为被保险人的死亡时间，按本合同的约定给付身故保险</w:t>
            </w:r>
            <w:r>
              <w:rPr>
                <w:spacing w:val="-11"/>
                <w:sz w:val="21"/>
              </w:rPr>
              <w:t>金，本合同效力终止。如果被保险人在宣告死亡后重新出现或者身故保险</w:t>
            </w:r>
            <w:r>
              <w:rPr>
                <w:spacing w:val="-7"/>
                <w:sz w:val="21"/>
              </w:rPr>
              <w:t>金受益人确知其没有死亡的，身故保险金受益人应于知道后 </w:t>
            </w:r>
            <w:r>
              <w:rPr>
                <w:rFonts w:ascii="Times New Roman" w:eastAsia="Times New Roman"/>
                <w:sz w:val="21"/>
              </w:rPr>
              <w:t>30 </w:t>
            </w:r>
            <w:r>
              <w:rPr>
                <w:spacing w:val="-2"/>
                <w:sz w:val="21"/>
              </w:rPr>
              <w:t>日内向我</w:t>
            </w:r>
            <w:r>
              <w:rPr>
                <w:spacing w:val="-3"/>
                <w:sz w:val="21"/>
              </w:rPr>
              <w:t>们退还已给付的保险金，本合同对被保险人的效力依法确定。</w:t>
            </w:r>
          </w:p>
        </w:tc>
      </w:tr>
      <w:tr>
        <w:trPr>
          <w:trHeight w:val="781" w:hRule="atLeast"/>
        </w:trPr>
        <w:tc>
          <w:tcPr>
            <w:tcW w:w="784" w:type="dxa"/>
          </w:tcPr>
          <w:p>
            <w:pPr>
              <w:pStyle w:val="TableParagraph"/>
              <w:spacing w:before="132"/>
              <w:ind w:left="122"/>
              <w:rPr>
                <w:rFonts w:ascii="Times New Roman"/>
                <w:b/>
                <w:sz w:val="21"/>
              </w:rPr>
            </w:pPr>
            <w:r>
              <w:rPr>
                <w:rFonts w:ascii="Times New Roman"/>
                <w:b/>
                <w:sz w:val="21"/>
              </w:rPr>
              <w:t>3.6</w:t>
            </w:r>
          </w:p>
        </w:tc>
        <w:tc>
          <w:tcPr>
            <w:tcW w:w="1887" w:type="dxa"/>
          </w:tcPr>
          <w:p>
            <w:pPr>
              <w:pStyle w:val="TableParagraph"/>
              <w:spacing w:before="37"/>
              <w:ind w:left="401"/>
              <w:rPr>
                <w:rFonts w:ascii="微软雅黑" w:eastAsia="微软雅黑" w:hint="eastAsia"/>
                <w:b/>
                <w:sz w:val="21"/>
              </w:rPr>
            </w:pPr>
            <w:r>
              <w:rPr>
                <w:rFonts w:ascii="微软雅黑" w:eastAsia="微软雅黑" w:hint="eastAsia"/>
                <w:b/>
                <w:sz w:val="21"/>
              </w:rPr>
              <w:t>诉讼时效</w:t>
            </w:r>
          </w:p>
        </w:tc>
        <w:tc>
          <w:tcPr>
            <w:tcW w:w="6987" w:type="dxa"/>
          </w:tcPr>
          <w:p>
            <w:pPr>
              <w:pStyle w:val="TableParagraph"/>
              <w:spacing w:line="223" w:lineRule="auto" w:before="120"/>
              <w:ind w:left="217" w:right="102"/>
              <w:rPr>
                <w:sz w:val="21"/>
              </w:rPr>
            </w:pPr>
            <w:r>
              <w:rPr>
                <w:spacing w:val="-5"/>
                <w:sz w:val="21"/>
              </w:rPr>
              <w:t>受益人向我们请求给付保险金的诉讼时效期间为 </w:t>
            </w:r>
            <w:r>
              <w:rPr>
                <w:rFonts w:ascii="Times New Roman" w:eastAsia="Times New Roman"/>
                <w:sz w:val="21"/>
              </w:rPr>
              <w:t>2 </w:t>
            </w:r>
            <w:r>
              <w:rPr>
                <w:spacing w:val="-9"/>
                <w:sz w:val="21"/>
              </w:rPr>
              <w:t>年，自其知道或者应当</w:t>
            </w:r>
            <w:r>
              <w:rPr>
                <w:spacing w:val="-5"/>
                <w:sz w:val="21"/>
              </w:rPr>
              <w:t>知道保险事故发生之日起计算。</w:t>
            </w:r>
          </w:p>
        </w:tc>
      </w:tr>
      <w:tr>
        <w:trPr>
          <w:trHeight w:val="626" w:hRule="atLeast"/>
        </w:trPr>
        <w:tc>
          <w:tcPr>
            <w:tcW w:w="784" w:type="dxa"/>
            <w:tcBorders>
              <w:bottom w:val="single" w:sz="8" w:space="0" w:color="000000"/>
            </w:tcBorders>
          </w:tcPr>
          <w:p>
            <w:pPr>
              <w:pStyle w:val="TableParagraph"/>
              <w:spacing w:line="471" w:lineRule="exact" w:before="135"/>
              <w:ind w:left="122"/>
              <w:rPr>
                <w:rFonts w:ascii="Wingdings" w:hAnsi="Wingdings"/>
                <w:b/>
                <w:sz w:val="44"/>
              </w:rPr>
            </w:pPr>
            <w:r>
              <w:rPr>
                <w:rFonts w:ascii="Wingdings" w:hAnsi="Wingdings"/>
                <w:b/>
                <w:w w:val="99"/>
                <w:sz w:val="44"/>
              </w:rPr>
              <w:t></w:t>
            </w:r>
          </w:p>
        </w:tc>
        <w:tc>
          <w:tcPr>
            <w:tcW w:w="8874" w:type="dxa"/>
            <w:gridSpan w:val="2"/>
            <w:tcBorders>
              <w:bottom w:val="single" w:sz="8" w:space="0" w:color="000000"/>
            </w:tcBorders>
          </w:tcPr>
          <w:p>
            <w:pPr>
              <w:pStyle w:val="TableParagraph"/>
              <w:spacing w:before="114"/>
              <w:ind w:left="270"/>
              <w:rPr>
                <w:rFonts w:ascii="微软雅黑" w:eastAsia="微软雅黑" w:hint="eastAsia"/>
                <w:b/>
                <w:sz w:val="24"/>
              </w:rPr>
            </w:pPr>
            <w:r>
              <w:rPr>
                <w:rFonts w:ascii="微软雅黑" w:eastAsia="微软雅黑" w:hint="eastAsia"/>
                <w:b/>
                <w:sz w:val="24"/>
              </w:rPr>
              <w:t>如何交纳保险费</w:t>
            </w:r>
          </w:p>
        </w:tc>
      </w:tr>
      <w:tr>
        <w:trPr>
          <w:trHeight w:val="1167" w:hRule="atLeast"/>
        </w:trPr>
        <w:tc>
          <w:tcPr>
            <w:tcW w:w="784" w:type="dxa"/>
            <w:tcBorders>
              <w:top w:val="single" w:sz="8" w:space="0" w:color="000000"/>
            </w:tcBorders>
          </w:tcPr>
          <w:p>
            <w:pPr>
              <w:pStyle w:val="TableParagraph"/>
              <w:spacing w:before="10"/>
              <w:ind w:left="0"/>
              <w:rPr>
                <w:rFonts w:ascii="Times New Roman"/>
                <w:sz w:val="20"/>
              </w:rPr>
            </w:pPr>
          </w:p>
          <w:p>
            <w:pPr>
              <w:pStyle w:val="TableParagraph"/>
              <w:ind w:left="122"/>
              <w:rPr>
                <w:rFonts w:ascii="Times New Roman"/>
                <w:b/>
                <w:sz w:val="21"/>
              </w:rPr>
            </w:pPr>
            <w:r>
              <w:rPr>
                <w:rFonts w:ascii="Times New Roman"/>
                <w:b/>
                <w:sz w:val="21"/>
              </w:rPr>
              <w:t>4.1</w:t>
            </w:r>
          </w:p>
        </w:tc>
        <w:tc>
          <w:tcPr>
            <w:tcW w:w="1887" w:type="dxa"/>
            <w:tcBorders>
              <w:top w:val="single" w:sz="8" w:space="0" w:color="000000"/>
            </w:tcBorders>
          </w:tcPr>
          <w:p>
            <w:pPr>
              <w:pStyle w:val="TableParagraph"/>
              <w:spacing w:before="145"/>
              <w:ind w:left="401"/>
              <w:rPr>
                <w:rFonts w:ascii="微软雅黑" w:eastAsia="微软雅黑" w:hint="eastAsia"/>
                <w:b/>
                <w:sz w:val="21"/>
              </w:rPr>
            </w:pPr>
            <w:r>
              <w:rPr>
                <w:rFonts w:ascii="微软雅黑" w:eastAsia="微软雅黑" w:hint="eastAsia"/>
                <w:b/>
                <w:sz w:val="21"/>
              </w:rPr>
              <w:t>保险费的交纳</w:t>
            </w:r>
          </w:p>
        </w:tc>
        <w:tc>
          <w:tcPr>
            <w:tcW w:w="6987" w:type="dxa"/>
            <w:tcBorders>
              <w:top w:val="single" w:sz="8" w:space="0" w:color="000000"/>
            </w:tcBorders>
          </w:tcPr>
          <w:p>
            <w:pPr>
              <w:pStyle w:val="TableParagraph"/>
              <w:spacing w:before="3"/>
              <w:ind w:left="0"/>
              <w:rPr>
                <w:rFonts w:ascii="Times New Roman"/>
                <w:sz w:val="18"/>
              </w:rPr>
            </w:pPr>
          </w:p>
          <w:p>
            <w:pPr>
              <w:pStyle w:val="TableParagraph"/>
              <w:spacing w:line="237" w:lineRule="auto"/>
              <w:ind w:left="217" w:right="101"/>
              <w:jc w:val="both"/>
              <w:rPr>
                <w:sz w:val="21"/>
              </w:rPr>
            </w:pPr>
            <w:r>
              <w:rPr>
                <w:spacing w:val="-6"/>
                <w:sz w:val="21"/>
              </w:rPr>
              <w:t>本合同保险费的交费方式和交费期间由您在投保时与我们约定，并在保险</w:t>
            </w:r>
            <w:r>
              <w:rPr>
                <w:spacing w:val="-10"/>
                <w:sz w:val="21"/>
              </w:rPr>
              <w:t>单中载明。在本合同有效期内，您应在相应的保险费约定交纳日向我们交</w:t>
            </w:r>
            <w:r>
              <w:rPr>
                <w:spacing w:val="-2"/>
                <w:sz w:val="21"/>
              </w:rPr>
              <w:t>纳保险费。</w:t>
            </w:r>
          </w:p>
        </w:tc>
      </w:tr>
      <w:tr>
        <w:trPr>
          <w:trHeight w:val="1325" w:hRule="atLeast"/>
        </w:trPr>
        <w:tc>
          <w:tcPr>
            <w:tcW w:w="784" w:type="dxa"/>
          </w:tcPr>
          <w:p>
            <w:pPr>
              <w:pStyle w:val="TableParagraph"/>
              <w:spacing w:before="131"/>
              <w:ind w:left="122"/>
              <w:rPr>
                <w:rFonts w:ascii="Times New Roman"/>
                <w:b/>
                <w:sz w:val="21"/>
              </w:rPr>
            </w:pPr>
            <w:r>
              <w:rPr>
                <w:rFonts w:ascii="Times New Roman"/>
                <w:b/>
                <w:sz w:val="21"/>
              </w:rPr>
              <w:t>4.2</w:t>
            </w:r>
          </w:p>
        </w:tc>
        <w:tc>
          <w:tcPr>
            <w:tcW w:w="1887" w:type="dxa"/>
          </w:tcPr>
          <w:p>
            <w:pPr>
              <w:pStyle w:val="TableParagraph"/>
              <w:spacing w:before="36"/>
              <w:ind w:left="401"/>
              <w:rPr>
                <w:rFonts w:ascii="微软雅黑" w:eastAsia="微软雅黑" w:hint="eastAsia"/>
                <w:b/>
                <w:sz w:val="21"/>
              </w:rPr>
            </w:pPr>
            <w:r>
              <w:rPr>
                <w:rFonts w:ascii="微软雅黑" w:eastAsia="微软雅黑" w:hint="eastAsia"/>
                <w:b/>
                <w:sz w:val="21"/>
              </w:rPr>
              <w:t>宽限期</w:t>
            </w:r>
          </w:p>
        </w:tc>
        <w:tc>
          <w:tcPr>
            <w:tcW w:w="6987" w:type="dxa"/>
          </w:tcPr>
          <w:p>
            <w:pPr>
              <w:pStyle w:val="TableParagraph"/>
              <w:spacing w:line="232" w:lineRule="auto" w:before="107"/>
              <w:ind w:left="217" w:right="104"/>
              <w:jc w:val="both"/>
              <w:rPr>
                <w:sz w:val="21"/>
              </w:rPr>
            </w:pPr>
            <w:r>
              <w:rPr>
                <w:spacing w:val="-7"/>
                <w:sz w:val="21"/>
              </w:rPr>
              <w:t>分期交纳保险费时，您交纳首期保险费后，除本合同另有约定外，如果您到期未交纳保险费，自保险费约定交纳日的次日零时起 </w:t>
            </w:r>
            <w:r>
              <w:rPr>
                <w:rFonts w:ascii="Times New Roman" w:eastAsia="Times New Roman"/>
                <w:sz w:val="21"/>
              </w:rPr>
              <w:t>60 </w:t>
            </w:r>
            <w:r>
              <w:rPr>
                <w:spacing w:val="-3"/>
                <w:sz w:val="21"/>
              </w:rPr>
              <w:t>日为宽限期。</w:t>
            </w:r>
            <w:r>
              <w:rPr>
                <w:spacing w:val="-8"/>
                <w:sz w:val="21"/>
              </w:rPr>
              <w:t>宽限期内发生的保险事故，本公司仍会承担保险责任，但在给付保险金时</w:t>
            </w:r>
            <w:r>
              <w:rPr>
                <w:spacing w:val="-5"/>
                <w:sz w:val="21"/>
              </w:rPr>
              <w:t>会扣减您欠交的保险费。</w:t>
            </w:r>
          </w:p>
        </w:tc>
      </w:tr>
      <w:tr>
        <w:trPr>
          <w:trHeight w:val="583" w:hRule="atLeast"/>
        </w:trPr>
        <w:tc>
          <w:tcPr>
            <w:tcW w:w="784" w:type="dxa"/>
            <w:tcBorders>
              <w:bottom w:val="single" w:sz="8" w:space="0" w:color="000000"/>
            </w:tcBorders>
          </w:tcPr>
          <w:p>
            <w:pPr>
              <w:pStyle w:val="TableParagraph"/>
              <w:spacing w:line="428" w:lineRule="exact" w:before="135"/>
              <w:ind w:left="122"/>
              <w:rPr>
                <w:rFonts w:ascii="Wingdings" w:hAnsi="Wingdings"/>
                <w:b/>
                <w:sz w:val="40"/>
              </w:rPr>
            </w:pPr>
            <w:r>
              <w:rPr>
                <w:rFonts w:ascii="Wingdings" w:hAnsi="Wingdings"/>
                <w:b/>
                <w:w w:val="100"/>
                <w:sz w:val="40"/>
              </w:rPr>
              <w:t></w:t>
            </w:r>
          </w:p>
        </w:tc>
        <w:tc>
          <w:tcPr>
            <w:tcW w:w="8874" w:type="dxa"/>
            <w:gridSpan w:val="2"/>
            <w:tcBorders>
              <w:bottom w:val="single" w:sz="8" w:space="0" w:color="000000"/>
            </w:tcBorders>
          </w:tcPr>
          <w:p>
            <w:pPr>
              <w:pStyle w:val="TableParagraph"/>
              <w:spacing w:before="93"/>
              <w:ind w:left="401"/>
              <w:rPr>
                <w:rFonts w:ascii="微软雅黑" w:eastAsia="微软雅黑" w:hint="eastAsia"/>
                <w:b/>
                <w:sz w:val="24"/>
              </w:rPr>
            </w:pPr>
            <w:r>
              <w:rPr>
                <w:rFonts w:ascii="微软雅黑" w:eastAsia="微软雅黑" w:hint="eastAsia"/>
                <w:b/>
                <w:sz w:val="24"/>
              </w:rPr>
              <w:t>合同效力的中止及恢复</w:t>
            </w:r>
          </w:p>
        </w:tc>
      </w:tr>
    </w:tbl>
    <w:p>
      <w:pPr>
        <w:spacing w:after="0"/>
        <w:rPr>
          <w:rFonts w:ascii="微软雅黑" w:eastAsia="微软雅黑" w:hint="eastAsia"/>
          <w:sz w:val="24"/>
        </w:rPr>
        <w:sectPr>
          <w:pgSz w:w="11910" w:h="16450"/>
          <w:pgMar w:header="857" w:footer="968" w:top="1040" w:bottom="1180" w:left="1000" w:right="1020"/>
        </w:sectPr>
      </w:pPr>
    </w:p>
    <w:p>
      <w:pPr>
        <w:pStyle w:val="BodyText"/>
        <w:spacing w:before="9"/>
        <w:rPr>
          <w:rFonts w:ascii="Times New Roman"/>
          <w:sz w:val="3"/>
        </w:rPr>
      </w:pPr>
      <w:r>
        <w:rPr/>
        <w:pict>
          <v:line style="position:absolute;mso-position-horizontal-relative:page;mso-position-vertical-relative:page;z-index:-34816" from="58.560001pt,55.559994pt" to="536.860001pt,55.559994pt" stroked="true" strokeweight=".72pt" strokecolor="#000000">
            <v:stroke dashstyle="solid"/>
            <w10:wrap type="none"/>
          </v:line>
        </w:pic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947"/>
        <w:gridCol w:w="6876"/>
      </w:tblGrid>
      <w:tr>
        <w:trPr>
          <w:trHeight w:val="1299" w:hRule="atLeast"/>
        </w:trPr>
        <w:tc>
          <w:tcPr>
            <w:tcW w:w="818" w:type="dxa"/>
            <w:tcBorders>
              <w:top w:val="single" w:sz="8" w:space="0" w:color="000000"/>
            </w:tcBorders>
          </w:tcPr>
          <w:p>
            <w:pPr>
              <w:pStyle w:val="TableParagraph"/>
              <w:spacing w:before="9"/>
              <w:ind w:left="0"/>
              <w:rPr>
                <w:rFonts w:ascii="Times New Roman"/>
                <w:sz w:val="23"/>
              </w:rPr>
            </w:pPr>
          </w:p>
          <w:p>
            <w:pPr>
              <w:pStyle w:val="TableParagraph"/>
              <w:spacing w:before="1"/>
              <w:ind w:left="107"/>
              <w:rPr>
                <w:rFonts w:ascii="Times New Roman"/>
                <w:b/>
                <w:sz w:val="21"/>
              </w:rPr>
            </w:pPr>
            <w:r>
              <w:rPr>
                <w:rFonts w:ascii="Times New Roman"/>
                <w:b/>
                <w:sz w:val="21"/>
              </w:rPr>
              <w:t>5.1</w:t>
            </w:r>
          </w:p>
        </w:tc>
        <w:tc>
          <w:tcPr>
            <w:tcW w:w="1947" w:type="dxa"/>
            <w:tcBorders>
              <w:top w:val="single" w:sz="8" w:space="0" w:color="000000"/>
            </w:tcBorders>
          </w:tcPr>
          <w:p>
            <w:pPr>
              <w:pStyle w:val="TableParagraph"/>
              <w:spacing w:before="179"/>
              <w:ind w:left="0" w:right="324"/>
              <w:jc w:val="right"/>
              <w:rPr>
                <w:rFonts w:ascii="微软雅黑" w:eastAsia="微软雅黑" w:hint="eastAsia"/>
                <w:b/>
                <w:sz w:val="21"/>
              </w:rPr>
            </w:pPr>
            <w:r>
              <w:rPr>
                <w:rFonts w:ascii="微软雅黑" w:eastAsia="微软雅黑" w:hint="eastAsia"/>
                <w:b/>
                <w:sz w:val="21"/>
              </w:rPr>
              <w:t>合同效力中止</w:t>
            </w:r>
          </w:p>
        </w:tc>
        <w:tc>
          <w:tcPr>
            <w:tcW w:w="6876" w:type="dxa"/>
            <w:tcBorders>
              <w:top w:val="single" w:sz="8" w:space="0" w:color="000000"/>
            </w:tcBorders>
          </w:tcPr>
          <w:p>
            <w:pPr>
              <w:pStyle w:val="TableParagraph"/>
              <w:spacing w:before="3"/>
              <w:ind w:left="0"/>
              <w:rPr>
                <w:rFonts w:ascii="Times New Roman"/>
                <w:sz w:val="21"/>
              </w:rPr>
            </w:pPr>
          </w:p>
          <w:p>
            <w:pPr>
              <w:pStyle w:val="TableParagraph"/>
              <w:spacing w:line="237" w:lineRule="auto"/>
              <w:ind w:left="108" w:right="101"/>
              <w:jc w:val="both"/>
              <w:rPr>
                <w:sz w:val="21"/>
              </w:rPr>
            </w:pPr>
            <w:r>
              <w:rPr>
                <w:spacing w:val="-7"/>
                <w:sz w:val="21"/>
              </w:rPr>
              <w:t>如果您在宽限期结束之后仍未交纳保险费，则本合同自宽限期满的次日零</w:t>
            </w:r>
            <w:r>
              <w:rPr>
                <w:spacing w:val="-10"/>
                <w:sz w:val="21"/>
              </w:rPr>
              <w:t>时起效力中止。同时，附加险合同效力中止。本合同效力中止期间，我们</w:t>
            </w:r>
            <w:r>
              <w:rPr>
                <w:spacing w:val="-5"/>
                <w:sz w:val="21"/>
              </w:rPr>
              <w:t>不承担保险责任。</w:t>
            </w:r>
          </w:p>
        </w:tc>
      </w:tr>
      <w:tr>
        <w:trPr>
          <w:trHeight w:val="2430" w:hRule="atLeast"/>
        </w:trPr>
        <w:tc>
          <w:tcPr>
            <w:tcW w:w="818" w:type="dxa"/>
          </w:tcPr>
          <w:p>
            <w:pPr>
              <w:pStyle w:val="TableParagraph"/>
              <w:spacing w:before="131"/>
              <w:ind w:left="107"/>
              <w:rPr>
                <w:rFonts w:ascii="Times New Roman"/>
                <w:b/>
                <w:sz w:val="21"/>
              </w:rPr>
            </w:pPr>
            <w:r>
              <w:rPr>
                <w:rFonts w:ascii="Times New Roman"/>
                <w:b/>
                <w:sz w:val="21"/>
              </w:rPr>
              <w:t>5.2</w:t>
            </w:r>
          </w:p>
        </w:tc>
        <w:tc>
          <w:tcPr>
            <w:tcW w:w="1947" w:type="dxa"/>
          </w:tcPr>
          <w:p>
            <w:pPr>
              <w:pStyle w:val="TableParagraph"/>
              <w:spacing w:before="36"/>
              <w:ind w:left="0" w:right="324"/>
              <w:jc w:val="right"/>
              <w:rPr>
                <w:rFonts w:ascii="微软雅黑" w:eastAsia="微软雅黑" w:hint="eastAsia"/>
                <w:b/>
                <w:sz w:val="21"/>
              </w:rPr>
            </w:pPr>
            <w:r>
              <w:rPr>
                <w:rFonts w:ascii="微软雅黑" w:eastAsia="微软雅黑" w:hint="eastAsia"/>
                <w:b/>
                <w:sz w:val="21"/>
              </w:rPr>
              <w:t>合同效力恢复</w:t>
            </w:r>
          </w:p>
        </w:tc>
        <w:tc>
          <w:tcPr>
            <w:tcW w:w="6876" w:type="dxa"/>
          </w:tcPr>
          <w:p>
            <w:pPr>
              <w:pStyle w:val="TableParagraph"/>
              <w:spacing w:line="264" w:lineRule="auto" w:before="120"/>
              <w:ind w:left="108" w:right="101"/>
              <w:jc w:val="both"/>
              <w:rPr>
                <w:sz w:val="21"/>
              </w:rPr>
            </w:pPr>
            <w:r>
              <w:rPr>
                <w:spacing w:val="-6"/>
                <w:sz w:val="21"/>
              </w:rPr>
              <w:t>本合同及附加险合同效力中止后 </w:t>
            </w:r>
            <w:r>
              <w:rPr>
                <w:rFonts w:ascii="Times New Roman" w:eastAsia="Times New Roman"/>
                <w:sz w:val="21"/>
              </w:rPr>
              <w:t>2 </w:t>
            </w:r>
            <w:r>
              <w:rPr>
                <w:spacing w:val="-9"/>
                <w:sz w:val="21"/>
              </w:rPr>
              <w:t>年内，您可以申请恢复合同效力。经您与本公司协商达成协议，并补交本合同及附加险合同保险费和利息的次日</w:t>
            </w:r>
            <w:r>
              <w:rPr>
                <w:spacing w:val="-5"/>
                <w:sz w:val="21"/>
              </w:rPr>
              <w:t>零时起，本合同及附加险合同效力恢复。</w:t>
            </w:r>
          </w:p>
          <w:p>
            <w:pPr>
              <w:pStyle w:val="TableParagraph"/>
              <w:spacing w:line="266" w:lineRule="auto" w:before="15"/>
              <w:ind w:left="108" w:right="101"/>
              <w:jc w:val="both"/>
              <w:rPr>
                <w:sz w:val="21"/>
              </w:rPr>
            </w:pPr>
            <w:r>
              <w:rPr>
                <w:spacing w:val="-5"/>
                <w:sz w:val="21"/>
              </w:rPr>
              <w:t>若自本合同及附加险合同效力中止之日起满 </w:t>
            </w:r>
            <w:r>
              <w:rPr>
                <w:rFonts w:ascii="Times New Roman" w:eastAsia="Times New Roman"/>
                <w:sz w:val="21"/>
              </w:rPr>
              <w:t>2 </w:t>
            </w:r>
            <w:r>
              <w:rPr>
                <w:spacing w:val="-10"/>
                <w:sz w:val="21"/>
              </w:rPr>
              <w:t>年，您和本公司未达成协议的，本公司有权解除本合同，本合同自解除之日起终止，附加险合同同时终止。本公司解除合同的，将向您同时退还合同效力中止时本合同及附加</w:t>
            </w:r>
            <w:r>
              <w:rPr>
                <w:spacing w:val="-3"/>
                <w:sz w:val="21"/>
              </w:rPr>
              <w:t>险合同项下的现金价值。</w:t>
            </w:r>
          </w:p>
        </w:tc>
      </w:tr>
      <w:tr>
        <w:trPr>
          <w:trHeight w:val="585" w:hRule="atLeast"/>
        </w:trPr>
        <w:tc>
          <w:tcPr>
            <w:tcW w:w="818" w:type="dxa"/>
            <w:tcBorders>
              <w:bottom w:val="single" w:sz="4" w:space="0" w:color="000000"/>
            </w:tcBorders>
          </w:tcPr>
          <w:p>
            <w:pPr>
              <w:pStyle w:val="TableParagraph"/>
              <w:spacing w:line="441" w:lineRule="exact" w:before="124"/>
              <w:ind w:left="107"/>
              <w:rPr>
                <w:rFonts w:ascii="Arial" w:hAnsi="Arial"/>
                <w:b/>
                <w:sz w:val="40"/>
              </w:rPr>
            </w:pPr>
            <w:r>
              <w:rPr>
                <w:rFonts w:ascii="Arial" w:hAnsi="Arial"/>
                <w:b/>
                <w:w w:val="119"/>
                <w:sz w:val="40"/>
              </w:rPr>
              <w:t></w:t>
            </w:r>
          </w:p>
        </w:tc>
        <w:tc>
          <w:tcPr>
            <w:tcW w:w="8823" w:type="dxa"/>
            <w:gridSpan w:val="2"/>
            <w:tcBorders>
              <w:bottom w:val="single" w:sz="4" w:space="0" w:color="000000"/>
            </w:tcBorders>
          </w:tcPr>
          <w:p>
            <w:pPr>
              <w:pStyle w:val="TableParagraph"/>
              <w:spacing w:before="107"/>
              <w:ind w:left="353"/>
              <w:rPr>
                <w:rFonts w:ascii="微软雅黑" w:eastAsia="微软雅黑" w:hint="eastAsia"/>
                <w:b/>
                <w:sz w:val="24"/>
              </w:rPr>
            </w:pPr>
            <w:r>
              <w:rPr>
                <w:rFonts w:ascii="微软雅黑" w:eastAsia="微软雅黑" w:hint="eastAsia"/>
                <w:b/>
                <w:sz w:val="24"/>
              </w:rPr>
              <w:t>其它需要关注的事项</w:t>
            </w:r>
          </w:p>
        </w:tc>
      </w:tr>
      <w:tr>
        <w:trPr>
          <w:trHeight w:val="4950" w:hRule="atLeast"/>
        </w:trPr>
        <w:tc>
          <w:tcPr>
            <w:tcW w:w="818" w:type="dxa"/>
            <w:tcBorders>
              <w:top w:val="single" w:sz="4" w:space="0" w:color="000000"/>
            </w:tcBorders>
          </w:tcPr>
          <w:p>
            <w:pPr>
              <w:pStyle w:val="TableParagraph"/>
              <w:spacing w:before="10"/>
              <w:ind w:left="0"/>
              <w:rPr>
                <w:rFonts w:ascii="Times New Roman"/>
                <w:sz w:val="20"/>
              </w:rPr>
            </w:pPr>
          </w:p>
          <w:p>
            <w:pPr>
              <w:pStyle w:val="TableParagraph"/>
              <w:ind w:left="107"/>
              <w:rPr>
                <w:rFonts w:ascii="Times New Roman"/>
                <w:b/>
                <w:sz w:val="21"/>
              </w:rPr>
            </w:pPr>
            <w:r>
              <w:rPr>
                <w:rFonts w:ascii="Times New Roman"/>
                <w:b/>
                <w:sz w:val="21"/>
              </w:rPr>
              <w:t>6.1</w:t>
            </w:r>
          </w:p>
        </w:tc>
        <w:tc>
          <w:tcPr>
            <w:tcW w:w="1947" w:type="dxa"/>
            <w:tcBorders>
              <w:top w:val="single" w:sz="4" w:space="0" w:color="000000"/>
            </w:tcBorders>
          </w:tcPr>
          <w:p>
            <w:pPr>
              <w:pStyle w:val="TableParagraph"/>
              <w:spacing w:before="6"/>
              <w:ind w:left="0"/>
              <w:rPr>
                <w:rFonts w:ascii="Times New Roman"/>
                <w:sz w:val="20"/>
              </w:rPr>
            </w:pPr>
          </w:p>
          <w:p>
            <w:pPr>
              <w:pStyle w:val="TableParagraph"/>
              <w:spacing w:line="180" w:lineRule="auto"/>
              <w:ind w:left="353" w:right="535"/>
              <w:rPr>
                <w:rFonts w:ascii="微软雅黑" w:eastAsia="微软雅黑" w:hint="eastAsia"/>
                <w:b/>
                <w:sz w:val="21"/>
              </w:rPr>
            </w:pPr>
            <w:r>
              <w:rPr>
                <w:rFonts w:ascii="微软雅黑" w:eastAsia="微软雅黑" w:hint="eastAsia"/>
                <w:b/>
                <w:sz w:val="21"/>
              </w:rPr>
              <w:t>明确说明与如实告知</w:t>
            </w:r>
          </w:p>
        </w:tc>
        <w:tc>
          <w:tcPr>
            <w:tcW w:w="6876" w:type="dxa"/>
            <w:tcBorders>
              <w:top w:val="single" w:sz="4" w:space="0" w:color="000000"/>
            </w:tcBorders>
          </w:tcPr>
          <w:p>
            <w:pPr>
              <w:pStyle w:val="TableParagraph"/>
              <w:spacing w:before="11"/>
              <w:ind w:left="0"/>
              <w:rPr>
                <w:rFonts w:ascii="Times New Roman"/>
                <w:sz w:val="19"/>
              </w:rPr>
            </w:pPr>
          </w:p>
          <w:p>
            <w:pPr>
              <w:pStyle w:val="TableParagraph"/>
              <w:ind w:left="108"/>
              <w:rPr>
                <w:sz w:val="21"/>
              </w:rPr>
            </w:pPr>
            <w:r>
              <w:rPr>
                <w:sz w:val="21"/>
              </w:rPr>
              <w:t>订立本合同时，本公司应向您说明本合同的内容。</w:t>
            </w:r>
          </w:p>
          <w:p>
            <w:pPr>
              <w:pStyle w:val="TableParagraph"/>
              <w:spacing w:line="273" w:lineRule="auto" w:before="37"/>
              <w:ind w:left="108" w:right="101"/>
              <w:rPr>
                <w:sz w:val="21"/>
              </w:rPr>
            </w:pPr>
            <w:r>
              <w:rPr>
                <w:spacing w:val="-3"/>
                <w:sz w:val="21"/>
              </w:rPr>
              <w:t>对保险条款中免除本公司责任的条款，本公司在订立合同时应当在投保</w:t>
            </w:r>
            <w:r>
              <w:rPr>
                <w:spacing w:val="-8"/>
                <w:sz w:val="21"/>
              </w:rPr>
              <w:t>单、保险单或者其他保险凭证上作出足以引起您注意的提示，并对该条款</w:t>
            </w:r>
            <w:r>
              <w:rPr>
                <w:spacing w:val="-5"/>
                <w:sz w:val="21"/>
              </w:rPr>
              <w:t>的内容以书面或者口头形式向您作出明确说明，未作提示或者明确说明</w:t>
            </w:r>
            <w:r>
              <w:rPr>
                <w:spacing w:val="-4"/>
                <w:sz w:val="21"/>
              </w:rPr>
              <w:t>的，该条款不产生效力。</w:t>
            </w:r>
          </w:p>
          <w:p>
            <w:pPr>
              <w:pStyle w:val="TableParagraph"/>
              <w:spacing w:line="262" w:lineRule="exact" w:before="8"/>
              <w:ind w:left="108"/>
              <w:rPr>
                <w:sz w:val="21"/>
              </w:rPr>
            </w:pPr>
            <w:r>
              <w:rPr>
                <w:sz w:val="21"/>
              </w:rPr>
              <w:t>本公司就您和被保险人的有关情况提出询问，您应当如实告知。</w:t>
            </w:r>
          </w:p>
          <w:p>
            <w:pPr>
              <w:pStyle w:val="TableParagraph"/>
              <w:spacing w:line="206" w:lineRule="auto" w:before="38"/>
              <w:ind w:left="108" w:right="104"/>
              <w:rPr>
                <w:rFonts w:ascii="微软雅黑" w:eastAsia="微软雅黑" w:hint="eastAsia"/>
                <w:b/>
                <w:sz w:val="21"/>
              </w:rPr>
            </w:pPr>
            <w:r>
              <w:rPr>
                <w:rFonts w:ascii="微软雅黑" w:eastAsia="微软雅黑" w:hint="eastAsia"/>
                <w:b/>
                <w:spacing w:val="-7"/>
                <w:sz w:val="21"/>
              </w:rPr>
              <w:t>如果您故意或者因重大过失未履行前款规定的如实告知义务，足以影响本公司决定是否同意承保或者提高保险费率的，本公司有权解除本合同。</w:t>
            </w:r>
            <w:r>
              <w:rPr>
                <w:rFonts w:ascii="微软雅黑" w:eastAsia="微软雅黑" w:hint="eastAsia"/>
                <w:b/>
                <w:spacing w:val="-12"/>
                <w:sz w:val="21"/>
              </w:rPr>
              <w:t>如果您故意不履行如实告知义务，对于本合同解除前发生的保险事故，本</w:t>
            </w:r>
            <w:r>
              <w:rPr>
                <w:rFonts w:ascii="微软雅黑" w:eastAsia="微软雅黑" w:hint="eastAsia"/>
                <w:b/>
                <w:spacing w:val="-10"/>
                <w:sz w:val="21"/>
              </w:rPr>
              <w:t>公司不承担给付保险金的责任，并不退还保险费。</w:t>
            </w:r>
          </w:p>
          <w:p>
            <w:pPr>
              <w:pStyle w:val="TableParagraph"/>
              <w:spacing w:line="206" w:lineRule="auto"/>
              <w:ind w:left="108" w:right="-15"/>
              <w:rPr>
                <w:rFonts w:ascii="微软雅黑" w:eastAsia="微软雅黑" w:hint="eastAsia"/>
                <w:b/>
                <w:sz w:val="21"/>
              </w:rPr>
            </w:pPr>
            <w:r>
              <w:rPr>
                <w:rFonts w:ascii="微软雅黑" w:eastAsia="微软雅黑" w:hint="eastAsia"/>
                <w:b/>
                <w:spacing w:val="-3"/>
                <w:sz w:val="21"/>
              </w:rPr>
              <w:t>如果您因重大过失未履行如实告知义务，对保险事故的发生有严重影响  </w:t>
            </w:r>
            <w:r>
              <w:rPr>
                <w:rFonts w:ascii="微软雅黑" w:eastAsia="微软雅黑" w:hint="eastAsia"/>
                <w:b/>
                <w:spacing w:val="-17"/>
                <w:sz w:val="21"/>
              </w:rPr>
              <w:t>的，对于本合同解除前发生的保险事故，本公司不承担给付保险金的责任， 但应当退还保险费。</w:t>
            </w:r>
          </w:p>
          <w:p>
            <w:pPr>
              <w:pStyle w:val="TableParagraph"/>
              <w:spacing w:line="237" w:lineRule="auto"/>
              <w:ind w:left="108" w:right="40"/>
              <w:rPr>
                <w:sz w:val="21"/>
              </w:rPr>
            </w:pPr>
            <w:r>
              <w:rPr>
                <w:sz w:val="21"/>
              </w:rPr>
              <w:t>本公司在合同订立时已经知道您未如实告知的情况的，本公司不得解除合同；发生保险事故的，本公司承担给付保险金的责任。</w:t>
            </w:r>
          </w:p>
        </w:tc>
      </w:tr>
      <w:tr>
        <w:trPr>
          <w:trHeight w:val="3907" w:hRule="atLeast"/>
        </w:trPr>
        <w:tc>
          <w:tcPr>
            <w:tcW w:w="818" w:type="dxa"/>
          </w:tcPr>
          <w:p>
            <w:pPr>
              <w:pStyle w:val="TableParagraph"/>
              <w:spacing w:before="132"/>
              <w:ind w:left="107"/>
              <w:rPr>
                <w:rFonts w:ascii="Times New Roman"/>
                <w:b/>
                <w:sz w:val="21"/>
              </w:rPr>
            </w:pPr>
            <w:r>
              <w:rPr>
                <w:rFonts w:ascii="Times New Roman"/>
                <w:b/>
                <w:sz w:val="21"/>
              </w:rPr>
              <w:t>6.2</w:t>
            </w:r>
          </w:p>
        </w:tc>
        <w:tc>
          <w:tcPr>
            <w:tcW w:w="1947" w:type="dxa"/>
          </w:tcPr>
          <w:p>
            <w:pPr>
              <w:pStyle w:val="TableParagraph"/>
              <w:spacing w:before="37"/>
              <w:ind w:left="0" w:right="324"/>
              <w:jc w:val="right"/>
              <w:rPr>
                <w:rFonts w:ascii="微软雅黑" w:eastAsia="微软雅黑" w:hint="eastAsia"/>
                <w:b/>
                <w:sz w:val="21"/>
              </w:rPr>
            </w:pPr>
            <w:r>
              <w:rPr>
                <w:rFonts w:ascii="微软雅黑" w:eastAsia="微软雅黑" w:hint="eastAsia"/>
                <w:b/>
                <w:sz w:val="21"/>
              </w:rPr>
              <w:t>年龄性别错误</w:t>
            </w:r>
          </w:p>
        </w:tc>
        <w:tc>
          <w:tcPr>
            <w:tcW w:w="6876" w:type="dxa"/>
          </w:tcPr>
          <w:p>
            <w:pPr>
              <w:pStyle w:val="TableParagraph"/>
              <w:spacing w:line="273" w:lineRule="auto" w:before="121"/>
              <w:ind w:left="108" w:right="39"/>
              <w:jc w:val="both"/>
              <w:rPr>
                <w:sz w:val="21"/>
              </w:rPr>
            </w:pPr>
            <w:r>
              <w:rPr>
                <w:spacing w:val="-3"/>
                <w:sz w:val="21"/>
              </w:rPr>
              <w:t>被保险人的年龄按周岁计算，其中投保年龄以合同生效日时的周岁为准。</w:t>
            </w:r>
            <w:r>
              <w:rPr>
                <w:spacing w:val="-8"/>
                <w:sz w:val="21"/>
              </w:rPr>
              <w:t>在投保本保险时，您应将被保险人的真实年龄和性别在投保单上填明，如</w:t>
            </w:r>
            <w:r>
              <w:rPr>
                <w:spacing w:val="-5"/>
                <w:sz w:val="21"/>
              </w:rPr>
              <w:t>果发生错误，我们将按照下列规则处理：</w:t>
            </w:r>
          </w:p>
          <w:p>
            <w:pPr>
              <w:pStyle w:val="TableParagraph"/>
              <w:spacing w:line="206" w:lineRule="auto"/>
              <w:ind w:left="108" w:right="18"/>
              <w:jc w:val="both"/>
              <w:rPr>
                <w:sz w:val="21"/>
              </w:rPr>
            </w:pPr>
            <w:r>
              <w:rPr>
                <w:rFonts w:ascii="微软雅黑" w:eastAsia="微软雅黑" w:hint="eastAsia"/>
                <w:b/>
                <w:spacing w:val="-8"/>
                <w:sz w:val="21"/>
              </w:rPr>
              <w:t>如果您申报的被保险人年龄或性别不真实，并且其真实年龄或性别不符合合同约定的年龄或性别限制的，我们在保险事故发生之前有权解除合同， </w:t>
            </w:r>
            <w:r>
              <w:rPr>
                <w:rFonts w:ascii="微软雅黑" w:eastAsia="微软雅黑" w:hint="eastAsia"/>
                <w:b/>
                <w:spacing w:val="-14"/>
                <w:sz w:val="21"/>
              </w:rPr>
              <w:t>向您退还保险单的现金价值，并对合同解除前发生的保险事故不承担给付保险金的责任，</w:t>
            </w:r>
            <w:r>
              <w:rPr>
                <w:spacing w:val="-3"/>
                <w:sz w:val="21"/>
              </w:rPr>
              <w:t>但是自合同成立之日起逾二年的除外。</w:t>
            </w:r>
          </w:p>
          <w:p>
            <w:pPr>
              <w:pStyle w:val="TableParagraph"/>
              <w:spacing w:line="273" w:lineRule="auto" w:before="15"/>
              <w:ind w:left="108" w:right="101"/>
              <w:jc w:val="both"/>
              <w:rPr>
                <w:sz w:val="21"/>
              </w:rPr>
            </w:pPr>
            <w:r>
              <w:rPr>
                <w:spacing w:val="-7"/>
                <w:sz w:val="21"/>
              </w:rPr>
              <w:t>如果您申报的被保险人年龄或性别不真实，致使实交保险费少于应交保险</w:t>
            </w:r>
            <w:r>
              <w:rPr>
                <w:spacing w:val="-9"/>
                <w:sz w:val="21"/>
              </w:rPr>
              <w:t>费的，我们有权更正，并要求您补交保险费。如果已经发生保险事故，在</w:t>
            </w:r>
            <w:r>
              <w:rPr>
                <w:spacing w:val="-5"/>
                <w:sz w:val="21"/>
              </w:rPr>
              <w:t>给付保险金时，我们将按实交保险费和应交保险费的比例给付。</w:t>
            </w:r>
          </w:p>
          <w:p>
            <w:pPr>
              <w:pStyle w:val="TableParagraph"/>
              <w:spacing w:line="274" w:lineRule="exact" w:before="11"/>
              <w:ind w:left="108" w:right="101"/>
              <w:jc w:val="both"/>
              <w:rPr>
                <w:sz w:val="21"/>
              </w:rPr>
            </w:pPr>
            <w:r>
              <w:rPr>
                <w:spacing w:val="-7"/>
                <w:sz w:val="21"/>
              </w:rPr>
              <w:t>如果您申报的被保险人年龄或性别不真实，致使实交保险费多于应交保险</w:t>
            </w:r>
            <w:r>
              <w:rPr>
                <w:spacing w:val="-5"/>
                <w:sz w:val="21"/>
              </w:rPr>
              <w:t>费的，我们会将多收的保险费无息退还给您。</w:t>
            </w:r>
          </w:p>
        </w:tc>
      </w:tr>
      <w:tr>
        <w:trPr>
          <w:trHeight w:val="661" w:hRule="atLeast"/>
        </w:trPr>
        <w:tc>
          <w:tcPr>
            <w:tcW w:w="818" w:type="dxa"/>
          </w:tcPr>
          <w:p>
            <w:pPr>
              <w:pStyle w:val="TableParagraph"/>
              <w:spacing w:before="131"/>
              <w:ind w:left="107"/>
              <w:rPr>
                <w:rFonts w:ascii="Times New Roman"/>
                <w:b/>
                <w:sz w:val="21"/>
              </w:rPr>
            </w:pPr>
            <w:r>
              <w:rPr>
                <w:rFonts w:ascii="Times New Roman"/>
                <w:b/>
                <w:sz w:val="21"/>
              </w:rPr>
              <w:t>6.3</w:t>
            </w:r>
          </w:p>
        </w:tc>
        <w:tc>
          <w:tcPr>
            <w:tcW w:w="1947" w:type="dxa"/>
          </w:tcPr>
          <w:p>
            <w:pPr>
              <w:pStyle w:val="TableParagraph"/>
              <w:spacing w:line="317" w:lineRule="exact" w:before="36"/>
              <w:ind w:left="353"/>
              <w:rPr>
                <w:rFonts w:ascii="微软雅黑" w:eastAsia="微软雅黑" w:hint="eastAsia"/>
                <w:b/>
                <w:sz w:val="21"/>
              </w:rPr>
            </w:pPr>
            <w:r>
              <w:rPr>
                <w:rFonts w:ascii="微软雅黑" w:eastAsia="微软雅黑" w:hint="eastAsia"/>
                <w:b/>
                <w:sz w:val="21"/>
              </w:rPr>
              <w:t>合同解除权的限</w:t>
            </w:r>
          </w:p>
          <w:p>
            <w:pPr>
              <w:pStyle w:val="TableParagraph"/>
              <w:spacing w:line="288" w:lineRule="exact"/>
              <w:ind w:left="353"/>
              <w:rPr>
                <w:rFonts w:ascii="微软雅黑" w:eastAsia="微软雅黑" w:hint="eastAsia"/>
                <w:b/>
                <w:sz w:val="21"/>
              </w:rPr>
            </w:pPr>
            <w:r>
              <w:rPr>
                <w:rFonts w:ascii="微软雅黑" w:eastAsia="微软雅黑" w:hint="eastAsia"/>
                <w:b/>
                <w:w w:val="100"/>
                <w:sz w:val="21"/>
              </w:rPr>
              <w:t>制</w:t>
            </w:r>
          </w:p>
        </w:tc>
        <w:tc>
          <w:tcPr>
            <w:tcW w:w="6876" w:type="dxa"/>
          </w:tcPr>
          <w:p>
            <w:pPr>
              <w:pStyle w:val="TableParagraph"/>
              <w:spacing w:line="281" w:lineRule="exact" w:before="99"/>
              <w:ind w:left="108"/>
              <w:rPr>
                <w:sz w:val="21"/>
              </w:rPr>
            </w:pPr>
            <w:r>
              <w:rPr>
                <w:sz w:val="21"/>
              </w:rPr>
              <w:t>条款 </w:t>
            </w:r>
            <w:r>
              <w:rPr>
                <w:rFonts w:ascii="Times New Roman" w:eastAsia="Times New Roman"/>
                <w:sz w:val="21"/>
              </w:rPr>
              <w:t>6.1 </w:t>
            </w:r>
            <w:r>
              <w:rPr>
                <w:sz w:val="21"/>
              </w:rPr>
              <w:t>及 </w:t>
            </w:r>
            <w:r>
              <w:rPr>
                <w:rFonts w:ascii="Times New Roman" w:eastAsia="Times New Roman"/>
                <w:sz w:val="21"/>
              </w:rPr>
              <w:t>6.2 </w:t>
            </w:r>
            <w:r>
              <w:rPr>
                <w:sz w:val="21"/>
              </w:rPr>
              <w:t>中规定的合同解除权，自本公司知道有解除事由之日起，</w:t>
            </w:r>
          </w:p>
          <w:p>
            <w:pPr>
              <w:pStyle w:val="TableParagraph"/>
              <w:spacing w:line="261" w:lineRule="exact"/>
              <w:ind w:left="108"/>
              <w:rPr>
                <w:sz w:val="21"/>
              </w:rPr>
            </w:pPr>
            <w:r>
              <w:rPr>
                <w:sz w:val="21"/>
              </w:rPr>
              <w:t>超过 </w:t>
            </w:r>
            <w:r>
              <w:rPr>
                <w:rFonts w:ascii="Times New Roman" w:eastAsia="Times New Roman"/>
                <w:sz w:val="21"/>
              </w:rPr>
              <w:t>30 </w:t>
            </w:r>
            <w:r>
              <w:rPr>
                <w:sz w:val="21"/>
              </w:rPr>
              <w:t>日不行使而消灭。自本合同成立之日起超过 </w:t>
            </w:r>
            <w:r>
              <w:rPr>
                <w:rFonts w:ascii="Times New Roman" w:eastAsia="Times New Roman"/>
                <w:sz w:val="21"/>
              </w:rPr>
              <w:t>2 </w:t>
            </w:r>
            <w:r>
              <w:rPr>
                <w:sz w:val="21"/>
              </w:rPr>
              <w:t>年的，本公司不得</w:t>
            </w:r>
          </w:p>
        </w:tc>
      </w:tr>
    </w:tbl>
    <w:p>
      <w:pPr>
        <w:spacing w:after="0" w:line="261" w:lineRule="exact"/>
        <w:rPr>
          <w:sz w:val="21"/>
        </w:rPr>
        <w:sectPr>
          <w:pgSz w:w="11910" w:h="16450"/>
          <w:pgMar w:header="857" w:footer="968" w:top="1040" w:bottom="1180" w:left="1020" w:right="102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1947"/>
        <w:gridCol w:w="6876"/>
      </w:tblGrid>
      <w:tr>
        <w:trPr>
          <w:trHeight w:val="461" w:hRule="atLeast"/>
        </w:trPr>
        <w:tc>
          <w:tcPr>
            <w:tcW w:w="818" w:type="dxa"/>
            <w:tcBorders>
              <w:top w:val="single" w:sz="6" w:space="0" w:color="000000"/>
            </w:tcBorders>
          </w:tcPr>
          <w:p>
            <w:pPr>
              <w:pStyle w:val="TableParagraph"/>
              <w:ind w:left="0"/>
              <w:rPr>
                <w:rFonts w:ascii="Times New Roman"/>
                <w:sz w:val="20"/>
              </w:rPr>
            </w:pPr>
          </w:p>
        </w:tc>
        <w:tc>
          <w:tcPr>
            <w:tcW w:w="1947" w:type="dxa"/>
            <w:tcBorders>
              <w:top w:val="single" w:sz="6" w:space="0" w:color="000000"/>
            </w:tcBorders>
          </w:tcPr>
          <w:p>
            <w:pPr>
              <w:pStyle w:val="TableParagraph"/>
              <w:ind w:left="0"/>
              <w:rPr>
                <w:rFonts w:ascii="Times New Roman"/>
                <w:sz w:val="20"/>
              </w:rPr>
            </w:pPr>
          </w:p>
        </w:tc>
        <w:tc>
          <w:tcPr>
            <w:tcW w:w="6876" w:type="dxa"/>
            <w:tcBorders>
              <w:top w:val="single" w:sz="6" w:space="0" w:color="000000"/>
            </w:tcBorders>
          </w:tcPr>
          <w:p>
            <w:pPr>
              <w:pStyle w:val="TableParagraph"/>
              <w:spacing w:before="47"/>
              <w:ind w:left="108"/>
              <w:rPr>
                <w:sz w:val="21"/>
              </w:rPr>
            </w:pPr>
            <w:r>
              <w:rPr>
                <w:sz w:val="21"/>
              </w:rPr>
              <w:t>解除合同；发生保险事故的，本公司承担给付保险金的责任。</w:t>
            </w:r>
          </w:p>
        </w:tc>
      </w:tr>
      <w:tr>
        <w:trPr>
          <w:trHeight w:val="787" w:hRule="atLeast"/>
        </w:trPr>
        <w:tc>
          <w:tcPr>
            <w:tcW w:w="818" w:type="dxa"/>
          </w:tcPr>
          <w:p>
            <w:pPr>
              <w:pStyle w:val="TableParagraph"/>
              <w:spacing w:before="131"/>
              <w:ind w:left="107"/>
              <w:rPr>
                <w:rFonts w:ascii="Times New Roman"/>
                <w:b/>
                <w:sz w:val="21"/>
              </w:rPr>
            </w:pPr>
            <w:r>
              <w:rPr>
                <w:rFonts w:ascii="Times New Roman"/>
                <w:b/>
                <w:sz w:val="21"/>
              </w:rPr>
              <w:t>6.4</w:t>
            </w:r>
          </w:p>
        </w:tc>
        <w:tc>
          <w:tcPr>
            <w:tcW w:w="1947" w:type="dxa"/>
          </w:tcPr>
          <w:p>
            <w:pPr>
              <w:pStyle w:val="TableParagraph"/>
              <w:spacing w:before="37"/>
              <w:ind w:left="353"/>
              <w:rPr>
                <w:rFonts w:ascii="微软雅黑" w:eastAsia="微软雅黑" w:hint="eastAsia"/>
                <w:b/>
                <w:sz w:val="21"/>
              </w:rPr>
            </w:pPr>
            <w:r>
              <w:rPr>
                <w:rFonts w:ascii="微软雅黑" w:eastAsia="微软雅黑" w:hint="eastAsia"/>
                <w:b/>
                <w:sz w:val="21"/>
              </w:rPr>
              <w:t>事故鉴定</w:t>
            </w:r>
          </w:p>
        </w:tc>
        <w:tc>
          <w:tcPr>
            <w:tcW w:w="6876" w:type="dxa"/>
          </w:tcPr>
          <w:p>
            <w:pPr>
              <w:pStyle w:val="TableParagraph"/>
              <w:spacing w:before="99"/>
              <w:ind w:left="108" w:right="101"/>
              <w:rPr>
                <w:sz w:val="21"/>
              </w:rPr>
            </w:pPr>
            <w:r>
              <w:rPr>
                <w:spacing w:val="-7"/>
                <w:sz w:val="21"/>
              </w:rPr>
              <w:t>如果被保险人保险事故原因不明，除法律不允许的情形外，本公司可以要</w:t>
            </w:r>
            <w:r>
              <w:rPr>
                <w:spacing w:val="-5"/>
                <w:sz w:val="21"/>
              </w:rPr>
              <w:t>求解剖检验或要求有资质的鉴定机构对保险事故进行鉴定。</w:t>
            </w:r>
          </w:p>
        </w:tc>
      </w:tr>
      <w:tr>
        <w:trPr>
          <w:trHeight w:val="780" w:hRule="atLeast"/>
        </w:trPr>
        <w:tc>
          <w:tcPr>
            <w:tcW w:w="818" w:type="dxa"/>
          </w:tcPr>
          <w:p>
            <w:pPr>
              <w:pStyle w:val="TableParagraph"/>
              <w:spacing w:before="131"/>
              <w:ind w:left="107"/>
              <w:rPr>
                <w:rFonts w:ascii="Times New Roman"/>
                <w:b/>
                <w:sz w:val="21"/>
              </w:rPr>
            </w:pPr>
            <w:r>
              <w:rPr>
                <w:rFonts w:ascii="Times New Roman"/>
                <w:b/>
                <w:sz w:val="21"/>
              </w:rPr>
              <w:t>6.5</w:t>
            </w:r>
          </w:p>
        </w:tc>
        <w:tc>
          <w:tcPr>
            <w:tcW w:w="1947" w:type="dxa"/>
          </w:tcPr>
          <w:p>
            <w:pPr>
              <w:pStyle w:val="TableParagraph"/>
              <w:spacing w:before="36"/>
              <w:ind w:left="353"/>
              <w:rPr>
                <w:rFonts w:ascii="微软雅黑" w:eastAsia="微软雅黑" w:hint="eastAsia"/>
                <w:b/>
                <w:sz w:val="21"/>
              </w:rPr>
            </w:pPr>
            <w:r>
              <w:rPr>
                <w:rFonts w:ascii="微软雅黑" w:eastAsia="微软雅黑" w:hint="eastAsia"/>
                <w:b/>
                <w:sz w:val="21"/>
              </w:rPr>
              <w:t>争议处理</w:t>
            </w:r>
          </w:p>
        </w:tc>
        <w:tc>
          <w:tcPr>
            <w:tcW w:w="6876" w:type="dxa"/>
          </w:tcPr>
          <w:p>
            <w:pPr>
              <w:pStyle w:val="TableParagraph"/>
              <w:spacing w:line="237" w:lineRule="auto" w:before="102"/>
              <w:ind w:left="108" w:right="101"/>
              <w:rPr>
                <w:sz w:val="21"/>
              </w:rPr>
            </w:pPr>
            <w:r>
              <w:rPr>
                <w:spacing w:val="-8"/>
                <w:sz w:val="21"/>
              </w:rPr>
              <w:t>因履行本合同发生的争议，当事人协商解决不成，依法向保单签发机构所</w:t>
            </w:r>
            <w:r>
              <w:rPr>
                <w:spacing w:val="-5"/>
                <w:sz w:val="21"/>
              </w:rPr>
              <w:t>在地的人民法院起诉。</w:t>
            </w:r>
          </w:p>
        </w:tc>
      </w:tr>
      <w:tr>
        <w:trPr>
          <w:trHeight w:val="559" w:hRule="atLeast"/>
        </w:trPr>
        <w:tc>
          <w:tcPr>
            <w:tcW w:w="818" w:type="dxa"/>
            <w:tcBorders>
              <w:bottom w:val="single" w:sz="8" w:space="0" w:color="000000"/>
            </w:tcBorders>
          </w:tcPr>
          <w:p>
            <w:pPr>
              <w:pStyle w:val="TableParagraph"/>
              <w:spacing w:line="426" w:lineRule="exact" w:before="113"/>
              <w:ind w:left="107"/>
              <w:rPr>
                <w:rFonts w:ascii="Wingdings" w:hAnsi="Wingdings"/>
                <w:sz w:val="40"/>
              </w:rPr>
            </w:pPr>
            <w:r>
              <w:rPr>
                <w:rFonts w:ascii="Wingdings" w:hAnsi="Wingdings"/>
                <w:w w:val="100"/>
                <w:sz w:val="40"/>
              </w:rPr>
              <w:t></w:t>
            </w:r>
          </w:p>
        </w:tc>
        <w:tc>
          <w:tcPr>
            <w:tcW w:w="1947" w:type="dxa"/>
            <w:tcBorders>
              <w:bottom w:val="single" w:sz="8" w:space="0" w:color="000000"/>
            </w:tcBorders>
          </w:tcPr>
          <w:p>
            <w:pPr>
              <w:pStyle w:val="TableParagraph"/>
              <w:spacing w:before="81"/>
              <w:ind w:left="353"/>
              <w:rPr>
                <w:rFonts w:ascii="微软雅黑" w:eastAsia="微软雅黑" w:hint="eastAsia"/>
                <w:b/>
                <w:sz w:val="24"/>
              </w:rPr>
            </w:pPr>
            <w:r>
              <w:rPr>
                <w:rFonts w:ascii="微软雅黑" w:eastAsia="微软雅黑" w:hint="eastAsia"/>
                <w:b/>
                <w:sz w:val="24"/>
              </w:rPr>
              <w:t>释义</w:t>
            </w:r>
          </w:p>
        </w:tc>
        <w:tc>
          <w:tcPr>
            <w:tcW w:w="6876" w:type="dxa"/>
            <w:tcBorders>
              <w:bottom w:val="single" w:sz="8" w:space="0" w:color="000000"/>
            </w:tcBorders>
          </w:tcPr>
          <w:p>
            <w:pPr>
              <w:pStyle w:val="TableParagraph"/>
              <w:ind w:left="0"/>
              <w:rPr>
                <w:rFonts w:ascii="Times New Roman"/>
                <w:sz w:val="20"/>
              </w:rPr>
            </w:pPr>
          </w:p>
        </w:tc>
      </w:tr>
      <w:tr>
        <w:trPr>
          <w:trHeight w:val="893" w:hRule="atLeast"/>
        </w:trPr>
        <w:tc>
          <w:tcPr>
            <w:tcW w:w="818" w:type="dxa"/>
            <w:tcBorders>
              <w:top w:val="single" w:sz="8" w:space="0" w:color="000000"/>
            </w:tcBorders>
          </w:tcPr>
          <w:p>
            <w:pPr>
              <w:pStyle w:val="TableParagraph"/>
              <w:spacing w:before="10"/>
              <w:ind w:left="0"/>
              <w:rPr>
                <w:rFonts w:ascii="Times New Roman"/>
                <w:sz w:val="20"/>
              </w:rPr>
            </w:pPr>
          </w:p>
          <w:p>
            <w:pPr>
              <w:pStyle w:val="TableParagraph"/>
              <w:ind w:left="107"/>
              <w:rPr>
                <w:rFonts w:ascii="Times New Roman"/>
                <w:b/>
                <w:sz w:val="21"/>
              </w:rPr>
            </w:pPr>
            <w:r>
              <w:rPr>
                <w:rFonts w:ascii="Times New Roman"/>
                <w:b/>
                <w:sz w:val="21"/>
              </w:rPr>
              <w:t>7.1</w:t>
            </w:r>
          </w:p>
        </w:tc>
        <w:tc>
          <w:tcPr>
            <w:tcW w:w="1947" w:type="dxa"/>
            <w:tcBorders>
              <w:top w:val="single" w:sz="8" w:space="0" w:color="000000"/>
            </w:tcBorders>
          </w:tcPr>
          <w:p>
            <w:pPr>
              <w:pStyle w:val="TableParagraph"/>
              <w:spacing w:before="145"/>
              <w:ind w:left="353"/>
              <w:rPr>
                <w:rFonts w:ascii="微软雅黑" w:eastAsia="微软雅黑" w:hint="eastAsia"/>
                <w:b/>
                <w:sz w:val="21"/>
              </w:rPr>
            </w:pPr>
            <w:r>
              <w:rPr>
                <w:rFonts w:ascii="微软雅黑" w:eastAsia="微软雅黑" w:hint="eastAsia"/>
                <w:b/>
                <w:sz w:val="21"/>
              </w:rPr>
              <w:t>周岁</w:t>
            </w:r>
          </w:p>
        </w:tc>
        <w:tc>
          <w:tcPr>
            <w:tcW w:w="6876" w:type="dxa"/>
            <w:tcBorders>
              <w:top w:val="single" w:sz="8" w:space="0" w:color="000000"/>
            </w:tcBorders>
          </w:tcPr>
          <w:p>
            <w:pPr>
              <w:pStyle w:val="TableParagraph"/>
              <w:spacing w:before="3"/>
              <w:ind w:left="0"/>
              <w:rPr>
                <w:rFonts w:ascii="Times New Roman"/>
                <w:sz w:val="18"/>
              </w:rPr>
            </w:pPr>
          </w:p>
          <w:p>
            <w:pPr>
              <w:pStyle w:val="TableParagraph"/>
              <w:spacing w:line="237" w:lineRule="auto"/>
              <w:ind w:left="108" w:right="40"/>
              <w:rPr>
                <w:sz w:val="21"/>
              </w:rPr>
            </w:pPr>
            <w:r>
              <w:rPr>
                <w:sz w:val="21"/>
              </w:rPr>
              <w:t>指按法定身份证明文件中记载的出生日期计算的年龄，自出生之日起为零周岁，每经过一年增加一岁，不足一年的不计。</w:t>
            </w:r>
          </w:p>
        </w:tc>
      </w:tr>
      <w:tr>
        <w:trPr>
          <w:trHeight w:val="787" w:hRule="atLeast"/>
        </w:trPr>
        <w:tc>
          <w:tcPr>
            <w:tcW w:w="818" w:type="dxa"/>
          </w:tcPr>
          <w:p>
            <w:pPr>
              <w:pStyle w:val="TableParagraph"/>
              <w:spacing w:before="132"/>
              <w:ind w:left="107"/>
              <w:rPr>
                <w:rFonts w:ascii="Times New Roman"/>
                <w:b/>
                <w:sz w:val="21"/>
              </w:rPr>
            </w:pPr>
            <w:r>
              <w:rPr>
                <w:rFonts w:ascii="Times New Roman"/>
                <w:b/>
                <w:sz w:val="21"/>
              </w:rPr>
              <w:t>7.2</w:t>
            </w:r>
          </w:p>
        </w:tc>
        <w:tc>
          <w:tcPr>
            <w:tcW w:w="1947" w:type="dxa"/>
          </w:tcPr>
          <w:p>
            <w:pPr>
              <w:pStyle w:val="TableParagraph"/>
              <w:spacing w:line="180" w:lineRule="auto" w:before="127"/>
              <w:ind w:left="353" w:right="104"/>
              <w:rPr>
                <w:rFonts w:ascii="微软雅黑" w:eastAsia="微软雅黑" w:hint="eastAsia"/>
                <w:b/>
                <w:sz w:val="21"/>
              </w:rPr>
            </w:pPr>
            <w:r>
              <w:rPr>
                <w:rFonts w:ascii="微软雅黑" w:eastAsia="微软雅黑" w:hint="eastAsia"/>
                <w:b/>
                <w:sz w:val="21"/>
              </w:rPr>
              <w:t>保险费约定交纳日</w:t>
            </w:r>
          </w:p>
        </w:tc>
        <w:tc>
          <w:tcPr>
            <w:tcW w:w="6876" w:type="dxa"/>
          </w:tcPr>
          <w:p>
            <w:pPr>
              <w:pStyle w:val="TableParagraph"/>
              <w:spacing w:before="99"/>
              <w:ind w:left="108" w:right="33"/>
              <w:rPr>
                <w:sz w:val="21"/>
              </w:rPr>
            </w:pPr>
            <w:r>
              <w:rPr>
                <w:sz w:val="21"/>
              </w:rPr>
              <w:t>指保险合同生效日在每月、每季、每半年或每年（根据交费方式确定）的对应日。如果当月无对应的同一日，则以该月最后一日为对应日。</w:t>
            </w:r>
          </w:p>
        </w:tc>
      </w:tr>
      <w:tr>
        <w:trPr>
          <w:trHeight w:val="785" w:hRule="atLeast"/>
        </w:trPr>
        <w:tc>
          <w:tcPr>
            <w:tcW w:w="818" w:type="dxa"/>
          </w:tcPr>
          <w:p>
            <w:pPr>
              <w:pStyle w:val="TableParagraph"/>
              <w:spacing w:before="131"/>
              <w:ind w:left="107"/>
              <w:rPr>
                <w:rFonts w:ascii="Times New Roman"/>
                <w:b/>
                <w:sz w:val="21"/>
              </w:rPr>
            </w:pPr>
            <w:r>
              <w:rPr>
                <w:rFonts w:ascii="Times New Roman"/>
                <w:b/>
                <w:sz w:val="21"/>
              </w:rPr>
              <w:t>7.3</w:t>
            </w:r>
          </w:p>
        </w:tc>
        <w:tc>
          <w:tcPr>
            <w:tcW w:w="1947" w:type="dxa"/>
          </w:tcPr>
          <w:p>
            <w:pPr>
              <w:pStyle w:val="TableParagraph"/>
              <w:spacing w:before="36"/>
              <w:ind w:left="353"/>
              <w:rPr>
                <w:rFonts w:ascii="微软雅黑" w:eastAsia="微软雅黑" w:hint="eastAsia"/>
                <w:b/>
                <w:sz w:val="21"/>
              </w:rPr>
            </w:pPr>
            <w:r>
              <w:rPr>
                <w:rFonts w:ascii="微软雅黑" w:eastAsia="微软雅黑" w:hint="eastAsia"/>
                <w:b/>
                <w:sz w:val="21"/>
              </w:rPr>
              <w:t>有效身份证件</w:t>
            </w:r>
          </w:p>
        </w:tc>
        <w:tc>
          <w:tcPr>
            <w:tcW w:w="6876" w:type="dxa"/>
          </w:tcPr>
          <w:p>
            <w:pPr>
              <w:pStyle w:val="TableParagraph"/>
              <w:spacing w:line="237" w:lineRule="auto" w:before="102"/>
              <w:ind w:left="108" w:right="39"/>
              <w:rPr>
                <w:sz w:val="21"/>
              </w:rPr>
            </w:pPr>
            <w:r>
              <w:rPr>
                <w:sz w:val="21"/>
              </w:rPr>
              <w:t>指依据法律规定，由有权机构制作颁发的证明身份的证件、文件等，如： 居民身份证、护照、军人证等。</w:t>
            </w:r>
          </w:p>
        </w:tc>
      </w:tr>
      <w:tr>
        <w:trPr>
          <w:trHeight w:val="786" w:hRule="atLeast"/>
        </w:trPr>
        <w:tc>
          <w:tcPr>
            <w:tcW w:w="818" w:type="dxa"/>
          </w:tcPr>
          <w:p>
            <w:pPr>
              <w:pStyle w:val="TableParagraph"/>
              <w:spacing w:before="132"/>
              <w:ind w:left="107"/>
              <w:rPr>
                <w:rFonts w:ascii="Times New Roman"/>
                <w:b/>
                <w:sz w:val="21"/>
              </w:rPr>
            </w:pPr>
            <w:r>
              <w:rPr>
                <w:rFonts w:ascii="Times New Roman"/>
                <w:b/>
                <w:sz w:val="21"/>
              </w:rPr>
              <w:t>7.4</w:t>
            </w:r>
          </w:p>
        </w:tc>
        <w:tc>
          <w:tcPr>
            <w:tcW w:w="1947" w:type="dxa"/>
          </w:tcPr>
          <w:p>
            <w:pPr>
              <w:pStyle w:val="TableParagraph"/>
              <w:spacing w:before="38"/>
              <w:ind w:left="353"/>
              <w:rPr>
                <w:rFonts w:ascii="微软雅黑" w:eastAsia="微软雅黑" w:hint="eastAsia"/>
                <w:b/>
                <w:sz w:val="21"/>
              </w:rPr>
            </w:pPr>
            <w:r>
              <w:rPr>
                <w:rFonts w:ascii="微软雅黑" w:eastAsia="微软雅黑" w:hint="eastAsia"/>
                <w:b/>
                <w:sz w:val="21"/>
              </w:rPr>
              <w:t>现金价值</w:t>
            </w:r>
          </w:p>
        </w:tc>
        <w:tc>
          <w:tcPr>
            <w:tcW w:w="6876" w:type="dxa"/>
          </w:tcPr>
          <w:p>
            <w:pPr>
              <w:pStyle w:val="TableParagraph"/>
              <w:spacing w:line="237" w:lineRule="auto" w:before="103"/>
              <w:ind w:left="108" w:right="39"/>
              <w:rPr>
                <w:sz w:val="21"/>
              </w:rPr>
            </w:pPr>
            <w:r>
              <w:rPr>
                <w:sz w:val="21"/>
              </w:rPr>
              <w:t>指保险单所具有的价值，通常体现为解除合同时，根据精算原理计算的， 由本公司退还的那部分金额。现金价值在保险单上载明。</w:t>
            </w:r>
          </w:p>
        </w:tc>
      </w:tr>
      <w:tr>
        <w:trPr>
          <w:trHeight w:val="1332" w:hRule="atLeast"/>
        </w:trPr>
        <w:tc>
          <w:tcPr>
            <w:tcW w:w="818" w:type="dxa"/>
          </w:tcPr>
          <w:p>
            <w:pPr>
              <w:pStyle w:val="TableParagraph"/>
              <w:spacing w:before="131"/>
              <w:ind w:left="107"/>
              <w:rPr>
                <w:rFonts w:ascii="Times New Roman"/>
                <w:b/>
                <w:sz w:val="21"/>
              </w:rPr>
            </w:pPr>
            <w:r>
              <w:rPr>
                <w:rFonts w:ascii="Times New Roman"/>
                <w:b/>
                <w:sz w:val="21"/>
              </w:rPr>
              <w:t>7.5</w:t>
            </w:r>
          </w:p>
        </w:tc>
        <w:tc>
          <w:tcPr>
            <w:tcW w:w="1947" w:type="dxa"/>
          </w:tcPr>
          <w:p>
            <w:pPr>
              <w:pStyle w:val="TableParagraph"/>
              <w:spacing w:before="36"/>
              <w:ind w:left="353"/>
              <w:rPr>
                <w:rFonts w:ascii="微软雅黑" w:eastAsia="微软雅黑" w:hint="eastAsia"/>
                <w:b/>
                <w:sz w:val="21"/>
              </w:rPr>
            </w:pPr>
            <w:r>
              <w:rPr>
                <w:rFonts w:ascii="微软雅黑" w:eastAsia="微软雅黑" w:hint="eastAsia"/>
                <w:b/>
                <w:sz w:val="21"/>
              </w:rPr>
              <w:t>医院</w:t>
            </w:r>
          </w:p>
        </w:tc>
        <w:tc>
          <w:tcPr>
            <w:tcW w:w="6876" w:type="dxa"/>
          </w:tcPr>
          <w:p>
            <w:pPr>
              <w:pStyle w:val="TableParagraph"/>
              <w:spacing w:line="237" w:lineRule="auto" w:before="102"/>
              <w:ind w:left="108" w:right="39"/>
              <w:jc w:val="both"/>
              <w:rPr>
                <w:sz w:val="21"/>
              </w:rPr>
            </w:pPr>
            <w:r>
              <w:rPr>
                <w:spacing w:val="-7"/>
                <w:sz w:val="21"/>
              </w:rPr>
              <w:t>指本公司与投保人约定的定点医院，未约定定点医院的，则指依法设立的</w:t>
            </w:r>
            <w:r>
              <w:rPr>
                <w:spacing w:val="-5"/>
                <w:sz w:val="21"/>
              </w:rPr>
              <w:t>国家卫生部医院等级分类中的二级或以上医疗机构，但不包括民办医院、</w:t>
            </w:r>
            <w:r>
              <w:rPr>
                <w:spacing w:val="-10"/>
                <w:sz w:val="21"/>
              </w:rPr>
              <w:t>疗养院、护理院、康复中心、戒酒或戒毒中心、精神心理治疗中心以及无</w:t>
            </w:r>
            <w:r>
              <w:rPr>
                <w:spacing w:val="-5"/>
                <w:sz w:val="21"/>
              </w:rPr>
              <w:t>相应医护人员或设备的二级或三级医院的联合医院或联合病房。</w:t>
            </w:r>
          </w:p>
        </w:tc>
      </w:tr>
      <w:tr>
        <w:trPr>
          <w:trHeight w:val="2156" w:hRule="atLeast"/>
        </w:trPr>
        <w:tc>
          <w:tcPr>
            <w:tcW w:w="818" w:type="dxa"/>
          </w:tcPr>
          <w:p>
            <w:pPr>
              <w:pStyle w:val="TableParagraph"/>
              <w:spacing w:before="131"/>
              <w:ind w:left="107"/>
              <w:rPr>
                <w:rFonts w:ascii="Times New Roman"/>
                <w:b/>
                <w:sz w:val="21"/>
              </w:rPr>
            </w:pPr>
            <w:r>
              <w:rPr>
                <w:rFonts w:ascii="Times New Roman"/>
                <w:b/>
                <w:sz w:val="21"/>
              </w:rPr>
              <w:t>7.6</w:t>
            </w:r>
          </w:p>
        </w:tc>
        <w:tc>
          <w:tcPr>
            <w:tcW w:w="1947" w:type="dxa"/>
          </w:tcPr>
          <w:p>
            <w:pPr>
              <w:pStyle w:val="TableParagraph"/>
              <w:spacing w:before="36"/>
              <w:ind w:left="353"/>
              <w:rPr>
                <w:rFonts w:ascii="微软雅黑" w:eastAsia="微软雅黑" w:hint="eastAsia"/>
                <w:b/>
                <w:sz w:val="21"/>
              </w:rPr>
            </w:pPr>
            <w:r>
              <w:rPr>
                <w:rFonts w:ascii="微软雅黑" w:eastAsia="微软雅黑" w:hint="eastAsia"/>
                <w:b/>
                <w:sz w:val="21"/>
              </w:rPr>
              <w:t>专科医生</w:t>
            </w:r>
          </w:p>
        </w:tc>
        <w:tc>
          <w:tcPr>
            <w:tcW w:w="6876" w:type="dxa"/>
          </w:tcPr>
          <w:p>
            <w:pPr>
              <w:pStyle w:val="TableParagraph"/>
              <w:spacing w:line="273" w:lineRule="exact" w:before="99"/>
              <w:ind w:left="108"/>
              <w:rPr>
                <w:sz w:val="21"/>
              </w:rPr>
            </w:pPr>
            <w:r>
              <w:rPr>
                <w:sz w:val="21"/>
              </w:rPr>
              <w:t>专科医生应当同时满足以下四项资格条件：</w:t>
            </w:r>
          </w:p>
          <w:p>
            <w:pPr>
              <w:pStyle w:val="TableParagraph"/>
              <w:spacing w:line="280" w:lineRule="exact"/>
              <w:ind w:left="108"/>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23" w:lineRule="auto" w:before="12"/>
              <w:ind w:left="108" w:right="101"/>
              <w:rPr>
                <w:sz w:val="21"/>
              </w:rPr>
            </w:pPr>
            <w:r>
              <w:rPr>
                <w:spacing w:val="-8"/>
                <w:sz w:val="21"/>
              </w:rPr>
              <w:t>（</w:t>
            </w:r>
            <w:r>
              <w:rPr>
                <w:rFonts w:ascii="Times New Roman" w:eastAsia="Times New Roman"/>
                <w:spacing w:val="-8"/>
                <w:sz w:val="21"/>
              </w:rPr>
              <w:t>2</w:t>
            </w:r>
            <w:r>
              <w:rPr>
                <w:spacing w:val="-8"/>
                <w:sz w:val="21"/>
              </w:rPr>
              <w:t>）</w:t>
            </w:r>
            <w:r>
              <w:rPr>
                <w:spacing w:val="-12"/>
                <w:sz w:val="21"/>
              </w:rPr>
              <w:t>具有有效的中华人民共和国《医师执业证书》，并按期到相关部门登</w:t>
            </w:r>
            <w:r>
              <w:rPr>
                <w:spacing w:val="-7"/>
                <w:sz w:val="21"/>
              </w:rPr>
              <w:t>记注册；</w:t>
            </w:r>
          </w:p>
          <w:p>
            <w:pPr>
              <w:pStyle w:val="TableParagraph"/>
              <w:spacing w:line="223" w:lineRule="auto" w:before="19"/>
              <w:ind w:left="108" w:right="105"/>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line="289" w:lineRule="exact"/>
              <w:ind w:left="108"/>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1333" w:hRule="atLeast"/>
        </w:trPr>
        <w:tc>
          <w:tcPr>
            <w:tcW w:w="818" w:type="dxa"/>
          </w:tcPr>
          <w:p>
            <w:pPr>
              <w:pStyle w:val="TableParagraph"/>
              <w:spacing w:before="124"/>
              <w:ind w:left="107"/>
              <w:rPr>
                <w:rFonts w:ascii="Times New Roman"/>
                <w:b/>
                <w:sz w:val="21"/>
              </w:rPr>
            </w:pPr>
            <w:r>
              <w:rPr>
                <w:rFonts w:ascii="Times New Roman"/>
                <w:b/>
                <w:sz w:val="21"/>
              </w:rPr>
              <w:t>7.7</w:t>
            </w:r>
          </w:p>
        </w:tc>
        <w:tc>
          <w:tcPr>
            <w:tcW w:w="1947" w:type="dxa"/>
          </w:tcPr>
          <w:p>
            <w:pPr>
              <w:pStyle w:val="TableParagraph"/>
              <w:spacing w:before="29"/>
              <w:ind w:left="353"/>
              <w:rPr>
                <w:rFonts w:ascii="微软雅黑" w:eastAsia="微软雅黑" w:hint="eastAsia"/>
                <w:b/>
                <w:sz w:val="21"/>
              </w:rPr>
            </w:pPr>
            <w:r>
              <w:rPr>
                <w:rFonts w:ascii="微软雅黑" w:eastAsia="微软雅黑" w:hint="eastAsia"/>
                <w:b/>
                <w:sz w:val="21"/>
              </w:rPr>
              <w:t>重大疾病</w:t>
            </w:r>
          </w:p>
        </w:tc>
        <w:tc>
          <w:tcPr>
            <w:tcW w:w="6876" w:type="dxa"/>
          </w:tcPr>
          <w:p>
            <w:pPr>
              <w:pStyle w:val="TableParagraph"/>
              <w:spacing w:line="225" w:lineRule="auto" w:before="109"/>
              <w:ind w:left="108" w:right="101"/>
              <w:jc w:val="both"/>
              <w:rPr>
                <w:sz w:val="21"/>
              </w:rPr>
            </w:pPr>
            <w:r>
              <w:rPr>
                <w:sz w:val="21"/>
              </w:rPr>
              <w:t>本合同所定义的重大疾病共有</w:t>
            </w:r>
            <w:r>
              <w:rPr>
                <w:rFonts w:ascii="Times New Roman" w:hAnsi="Times New Roman" w:eastAsia="Times New Roman"/>
                <w:sz w:val="21"/>
              </w:rPr>
              <w:t>50</w:t>
            </w:r>
            <w:r>
              <w:rPr>
                <w:sz w:val="21"/>
              </w:rPr>
              <w:t>种，其中第</w:t>
            </w:r>
            <w:r>
              <w:rPr>
                <w:rFonts w:ascii="Times New Roman" w:hAnsi="Times New Roman" w:eastAsia="Times New Roman"/>
                <w:sz w:val="21"/>
              </w:rPr>
              <w:t>1</w:t>
            </w:r>
            <w:r>
              <w:rPr>
                <w:sz w:val="21"/>
              </w:rPr>
              <w:t>至</w:t>
            </w:r>
            <w:r>
              <w:rPr>
                <w:rFonts w:ascii="Times New Roman" w:hAnsi="Times New Roman" w:eastAsia="Times New Roman"/>
                <w:sz w:val="21"/>
              </w:rPr>
              <w:t>25</w:t>
            </w:r>
            <w:r>
              <w:rPr>
                <w:sz w:val="21"/>
              </w:rPr>
              <w:t>种重大疾病为中国保险</w:t>
            </w:r>
            <w:r>
              <w:rPr>
                <w:spacing w:val="-13"/>
                <w:sz w:val="21"/>
              </w:rPr>
              <w:t>行业协会颁布的《重大疾病保险的疾病定义使用规范》</w:t>
            </w:r>
            <w:r>
              <w:rPr>
                <w:sz w:val="21"/>
              </w:rPr>
              <w:t>（</w:t>
            </w:r>
            <w:r>
              <w:rPr>
                <w:spacing w:val="-3"/>
                <w:sz w:val="21"/>
              </w:rPr>
              <w:t>中保协寿</w:t>
            </w:r>
            <w:r>
              <w:rPr>
                <w:rFonts w:ascii="Times New Roman" w:hAnsi="Times New Roman" w:eastAsia="Times New Roman"/>
                <w:sz w:val="21"/>
              </w:rPr>
              <w:t>[2007</w:t>
            </w:r>
            <w:r>
              <w:rPr>
                <w:rFonts w:ascii="Times New Roman" w:hAnsi="Times New Roman" w:eastAsia="Times New Roman"/>
                <w:spacing w:val="10"/>
                <w:sz w:val="21"/>
              </w:rPr>
              <w:t>] </w:t>
            </w:r>
            <w:r>
              <w:rPr>
                <w:rFonts w:ascii="Times New Roman" w:hAnsi="Times New Roman" w:eastAsia="Times New Roman"/>
                <w:sz w:val="21"/>
              </w:rPr>
              <w:t>9 </w:t>
            </w:r>
            <w:r>
              <w:rPr>
                <w:w w:val="100"/>
                <w:sz w:val="21"/>
              </w:rPr>
              <w:t>号）（</w:t>
            </w:r>
            <w:r>
              <w:rPr>
                <w:spacing w:val="-14"/>
                <w:w w:val="100"/>
                <w:sz w:val="21"/>
              </w:rPr>
              <w:t>以下简称“规范”</w:t>
            </w:r>
            <w:r>
              <w:rPr>
                <w:w w:val="100"/>
                <w:sz w:val="21"/>
              </w:rPr>
              <w:t>）规定的疾病，第</w:t>
            </w:r>
            <w:r>
              <w:rPr>
                <w:rFonts w:ascii="Times New Roman" w:hAnsi="Times New Roman" w:eastAsia="Times New Roman"/>
                <w:w w:val="100"/>
                <w:sz w:val="21"/>
              </w:rPr>
              <w:t>26</w:t>
            </w:r>
            <w:r>
              <w:rPr>
                <w:spacing w:val="1"/>
                <w:w w:val="100"/>
                <w:sz w:val="21"/>
              </w:rPr>
              <w:t>至</w:t>
            </w:r>
            <w:r>
              <w:rPr>
                <w:rFonts w:ascii="Times New Roman" w:hAnsi="Times New Roman" w:eastAsia="Times New Roman"/>
                <w:spacing w:val="-3"/>
                <w:w w:val="100"/>
                <w:sz w:val="21"/>
              </w:rPr>
              <w:t>5</w:t>
            </w:r>
            <w:r>
              <w:rPr>
                <w:rFonts w:ascii="Times New Roman" w:hAnsi="Times New Roman" w:eastAsia="Times New Roman"/>
                <w:w w:val="100"/>
                <w:sz w:val="21"/>
              </w:rPr>
              <w:t>0</w:t>
            </w:r>
            <w:r>
              <w:rPr>
                <w:w w:val="100"/>
                <w:sz w:val="21"/>
              </w:rPr>
              <w:t>种重大疾病为“规范”</w:t>
            </w:r>
            <w:r>
              <w:rPr>
                <w:spacing w:val="-3"/>
                <w:sz w:val="21"/>
              </w:rPr>
              <w:t>规定范围之外的疾病。符合定义的重大疾病应当由专科医生明确诊断。</w:t>
            </w:r>
          </w:p>
        </w:tc>
      </w:tr>
      <w:tr>
        <w:trPr>
          <w:trHeight w:val="3102" w:hRule="atLeast"/>
        </w:trPr>
        <w:tc>
          <w:tcPr>
            <w:tcW w:w="818" w:type="dxa"/>
          </w:tcPr>
          <w:p>
            <w:pPr>
              <w:pStyle w:val="TableParagraph"/>
              <w:ind w:left="0"/>
              <w:rPr>
                <w:rFonts w:ascii="Times New Roman"/>
                <w:sz w:val="20"/>
              </w:rPr>
            </w:pPr>
          </w:p>
        </w:tc>
        <w:tc>
          <w:tcPr>
            <w:tcW w:w="1947" w:type="dxa"/>
          </w:tcPr>
          <w:p>
            <w:pPr>
              <w:pStyle w:val="TableParagraph"/>
              <w:spacing w:before="25"/>
              <w:ind w:left="353"/>
              <w:rPr>
                <w:rFonts w:ascii="微软雅黑" w:eastAsia="微软雅黑" w:hint="eastAsia"/>
                <w:b/>
                <w:sz w:val="21"/>
              </w:rPr>
            </w:pPr>
            <w:r>
              <w:rPr>
                <w:rFonts w:ascii="微软雅黑" w:eastAsia="微软雅黑" w:hint="eastAsia"/>
                <w:b/>
                <w:sz w:val="21"/>
              </w:rPr>
              <w:t>恶性肿瘤</w:t>
            </w:r>
          </w:p>
        </w:tc>
        <w:tc>
          <w:tcPr>
            <w:tcW w:w="6876" w:type="dxa"/>
          </w:tcPr>
          <w:p>
            <w:pPr>
              <w:pStyle w:val="TableParagraph"/>
              <w:spacing w:line="237" w:lineRule="auto" w:before="90"/>
              <w:ind w:left="108" w:right="108"/>
              <w:jc w:val="both"/>
              <w:rPr>
                <w:sz w:val="21"/>
              </w:rPr>
            </w:pPr>
            <w:r>
              <w:rPr>
                <w:spacing w:val="-6"/>
                <w:sz w:val="21"/>
              </w:rPr>
              <w:t>指恶性细胞不受控制的进行性增长和扩散，浸润和破坏周围正常组织，可</w:t>
            </w:r>
            <w:r>
              <w:rPr>
                <w:spacing w:val="-10"/>
                <w:sz w:val="21"/>
              </w:rPr>
              <w:t>以经血管、淋巴管和体腔扩散转移到身体其它部位的疾病。经病理学检查</w:t>
            </w:r>
            <w:r>
              <w:rPr>
                <w:spacing w:val="-11"/>
                <w:sz w:val="21"/>
              </w:rPr>
              <w:t>结果明确诊断，临床诊断属于世界卫生组织《疾病和有关健康问题的国际</w:t>
            </w:r>
            <w:r>
              <w:rPr>
                <w:spacing w:val="-24"/>
                <w:sz w:val="21"/>
              </w:rPr>
              <w:t>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55" w:lineRule="exact"/>
              <w:ind w:left="108"/>
              <w:jc w:val="both"/>
              <w:rPr>
                <w:sz w:val="21"/>
              </w:rPr>
            </w:pPr>
            <w:r>
              <w:rPr>
                <w:sz w:val="21"/>
              </w:rPr>
              <w:t>下列疾病不在保障范围内：</w:t>
            </w:r>
          </w:p>
          <w:p>
            <w:pPr>
              <w:pStyle w:val="TableParagraph"/>
              <w:numPr>
                <w:ilvl w:val="0"/>
                <w:numId w:val="11"/>
              </w:numPr>
              <w:tabs>
                <w:tab w:pos="676" w:val="left" w:leader="none"/>
              </w:tabs>
              <w:spacing w:line="281" w:lineRule="exact" w:before="0" w:after="0"/>
              <w:ind w:left="675" w:right="0" w:hanging="567"/>
              <w:jc w:val="both"/>
              <w:rPr>
                <w:sz w:val="21"/>
              </w:rPr>
            </w:pPr>
            <w:r>
              <w:rPr>
                <w:spacing w:val="-1"/>
                <w:sz w:val="21"/>
              </w:rPr>
              <w:t>原位癌；</w:t>
            </w:r>
          </w:p>
          <w:p>
            <w:pPr>
              <w:pStyle w:val="TableParagraph"/>
              <w:numPr>
                <w:ilvl w:val="0"/>
                <w:numId w:val="11"/>
              </w:numPr>
              <w:tabs>
                <w:tab w:pos="676" w:val="left" w:leader="none"/>
              </w:tabs>
              <w:spacing w:line="271" w:lineRule="exact" w:before="0" w:after="0"/>
              <w:ind w:left="675" w:right="0" w:hanging="567"/>
              <w:jc w:val="both"/>
              <w:rPr>
                <w:sz w:val="21"/>
              </w:rPr>
            </w:pPr>
            <w:r>
              <w:rPr>
                <w:spacing w:val="-14"/>
                <w:sz w:val="21"/>
              </w:rPr>
              <w:t>相当于 </w:t>
            </w:r>
            <w:r>
              <w:rPr>
                <w:rFonts w:ascii="Times New Roman" w:eastAsia="Times New Roman"/>
                <w:sz w:val="21"/>
              </w:rPr>
              <w:t>Binet</w:t>
            </w:r>
            <w:r>
              <w:rPr>
                <w:rFonts w:ascii="Times New Roman" w:eastAsia="Times New Roman"/>
                <w:spacing w:val="1"/>
                <w:sz w:val="21"/>
              </w:rPr>
              <w:t> </w:t>
            </w:r>
            <w:r>
              <w:rPr>
                <w:spacing w:val="-12"/>
                <w:sz w:val="21"/>
              </w:rPr>
              <w:t>分期方案 </w:t>
            </w:r>
            <w:r>
              <w:rPr>
                <w:rFonts w:ascii="Times New Roman" w:eastAsia="Times New Roman"/>
                <w:sz w:val="21"/>
              </w:rPr>
              <w:t>A</w:t>
            </w:r>
            <w:r>
              <w:rPr>
                <w:rFonts w:ascii="Times New Roman" w:eastAsia="Times New Roman"/>
                <w:spacing w:val="5"/>
                <w:sz w:val="21"/>
              </w:rPr>
              <w:t> </w:t>
            </w:r>
            <w:r>
              <w:rPr>
                <w:spacing w:val="-3"/>
                <w:sz w:val="21"/>
              </w:rPr>
              <w:t>期程度的慢性淋巴细胞白血病；</w:t>
            </w:r>
          </w:p>
          <w:p>
            <w:pPr>
              <w:pStyle w:val="TableParagraph"/>
              <w:numPr>
                <w:ilvl w:val="0"/>
                <w:numId w:val="11"/>
              </w:numPr>
              <w:tabs>
                <w:tab w:pos="676" w:val="left" w:leader="none"/>
              </w:tabs>
              <w:spacing w:line="272" w:lineRule="exact" w:before="0" w:after="0"/>
              <w:ind w:left="675" w:right="0" w:hanging="567"/>
              <w:jc w:val="both"/>
              <w:rPr>
                <w:sz w:val="21"/>
              </w:rPr>
            </w:pPr>
            <w:r>
              <w:rPr>
                <w:spacing w:val="-14"/>
                <w:sz w:val="21"/>
              </w:rPr>
              <w:t>相当于 </w:t>
            </w:r>
            <w:r>
              <w:rPr>
                <w:rFonts w:ascii="Times New Roman" w:eastAsia="Times New Roman"/>
                <w:sz w:val="21"/>
              </w:rPr>
              <w:t>Ann</w:t>
            </w:r>
            <w:r>
              <w:rPr>
                <w:rFonts w:ascii="Times New Roman" w:eastAsia="Times New Roman"/>
                <w:spacing w:val="-12"/>
                <w:sz w:val="21"/>
              </w:rPr>
              <w:t> </w:t>
            </w:r>
            <w:r>
              <w:rPr>
                <w:rFonts w:ascii="Times New Roman" w:eastAsia="Times New Roman"/>
                <w:sz w:val="21"/>
              </w:rPr>
              <w:t>Arbor</w:t>
            </w:r>
            <w:r>
              <w:rPr>
                <w:rFonts w:ascii="Times New Roman" w:eastAsia="Times New Roman"/>
                <w:spacing w:val="2"/>
                <w:sz w:val="21"/>
              </w:rPr>
              <w:t> </w:t>
            </w:r>
            <w:r>
              <w:rPr>
                <w:spacing w:val="-12"/>
                <w:sz w:val="21"/>
              </w:rPr>
              <w:t>分期方案 </w:t>
            </w:r>
            <w:r>
              <w:rPr>
                <w:rFonts w:ascii="Times New Roman" w:eastAsia="Times New Roman"/>
                <w:sz w:val="21"/>
              </w:rPr>
              <w:t>I</w:t>
            </w:r>
            <w:r>
              <w:rPr>
                <w:rFonts w:ascii="Times New Roman" w:eastAsia="Times New Roman"/>
                <w:spacing w:val="0"/>
                <w:sz w:val="21"/>
              </w:rPr>
              <w:t> </w:t>
            </w:r>
            <w:r>
              <w:rPr>
                <w:spacing w:val="-3"/>
                <w:sz w:val="21"/>
              </w:rPr>
              <w:t>期程度的何杰金氏病；</w:t>
            </w:r>
          </w:p>
          <w:p>
            <w:pPr>
              <w:pStyle w:val="TableParagraph"/>
              <w:numPr>
                <w:ilvl w:val="0"/>
                <w:numId w:val="11"/>
              </w:numPr>
              <w:tabs>
                <w:tab w:pos="676" w:val="left" w:leader="none"/>
              </w:tabs>
              <w:spacing w:line="272" w:lineRule="exact" w:before="0" w:after="0"/>
              <w:ind w:left="675" w:right="0" w:hanging="567"/>
              <w:jc w:val="both"/>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1"/>
              </w:numPr>
              <w:tabs>
                <w:tab w:pos="676" w:val="left" w:leader="none"/>
              </w:tabs>
              <w:spacing w:line="272" w:lineRule="exact" w:before="0" w:after="0"/>
              <w:ind w:left="675" w:right="0" w:hanging="567"/>
              <w:jc w:val="both"/>
              <w:rPr>
                <w:sz w:val="21"/>
              </w:rPr>
            </w:pPr>
            <w:r>
              <w:rPr>
                <w:rFonts w:ascii="Times New Roman" w:eastAsia="Times New Roman"/>
                <w:sz w:val="21"/>
              </w:rPr>
              <w:t>TNM</w:t>
            </w:r>
            <w:r>
              <w:rPr>
                <w:rFonts w:ascii="Times New Roman" w:eastAsia="Times New Roman"/>
                <w:spacing w:val="2"/>
                <w:sz w:val="21"/>
              </w:rPr>
              <w:t> </w:t>
            </w:r>
            <w:r>
              <w:rPr>
                <w:sz w:val="21"/>
              </w:rPr>
              <w:t>分期为 </w:t>
            </w:r>
            <w:r>
              <w:rPr>
                <w:rFonts w:ascii="Times New Roman" w:eastAsia="Times New Roman"/>
                <w:sz w:val="21"/>
              </w:rPr>
              <w:t>T1N0M0</w:t>
            </w:r>
            <w:r>
              <w:rPr>
                <w:rFonts w:ascii="Times New Roman" w:eastAsia="Times New Roman"/>
                <w:spacing w:val="5"/>
                <w:sz w:val="21"/>
              </w:rPr>
              <w:t> </w:t>
            </w:r>
            <w:r>
              <w:rPr>
                <w:spacing w:val="-3"/>
                <w:sz w:val="21"/>
              </w:rPr>
              <w:t>期或更轻分期的前列腺癌；</w:t>
            </w:r>
          </w:p>
          <w:p>
            <w:pPr>
              <w:pStyle w:val="TableParagraph"/>
              <w:numPr>
                <w:ilvl w:val="0"/>
                <w:numId w:val="11"/>
              </w:numPr>
              <w:tabs>
                <w:tab w:pos="676" w:val="left" w:leader="none"/>
              </w:tabs>
              <w:spacing w:line="262" w:lineRule="exact" w:before="0" w:after="0"/>
              <w:ind w:left="675" w:right="0" w:hanging="567"/>
              <w:jc w:val="both"/>
              <w:rPr>
                <w:sz w:val="21"/>
              </w:rPr>
            </w:pPr>
            <w:r>
              <w:rPr>
                <w:spacing w:val="-3"/>
                <w:sz w:val="21"/>
              </w:rPr>
              <w:t>感染艾滋病病毒或患艾滋病期间所患恶性肿瘤。</w:t>
            </w:r>
          </w:p>
        </w:tc>
      </w:tr>
    </w:tbl>
    <w:p>
      <w:pPr>
        <w:spacing w:after="0" w:line="262" w:lineRule="exact"/>
        <w:jc w:val="both"/>
        <w:rPr>
          <w:sz w:val="21"/>
        </w:rPr>
        <w:sectPr>
          <w:pgSz w:w="11910" w:h="16450"/>
          <w:pgMar w:header="857" w:footer="968" w:top="1040" w:bottom="1180" w:left="102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6874"/>
      </w:tblGrid>
      <w:tr>
        <w:trPr>
          <w:trHeight w:val="2387" w:hRule="atLeast"/>
        </w:trPr>
        <w:tc>
          <w:tcPr>
            <w:tcW w:w="2724" w:type="dxa"/>
            <w:tcBorders>
              <w:top w:val="single" w:sz="6" w:space="0" w:color="000000"/>
            </w:tcBorders>
          </w:tcPr>
          <w:p>
            <w:pPr>
              <w:pStyle w:val="TableParagraph"/>
              <w:spacing w:line="347" w:lineRule="exact"/>
              <w:ind w:left="1133"/>
              <w:rPr>
                <w:rFonts w:ascii="微软雅黑" w:eastAsia="微软雅黑" w:hint="eastAsia"/>
                <w:b/>
                <w:sz w:val="21"/>
              </w:rPr>
            </w:pPr>
            <w:r>
              <w:rPr>
                <w:rFonts w:ascii="微软雅黑" w:eastAsia="微软雅黑" w:hint="eastAsia"/>
                <w:b/>
                <w:sz w:val="21"/>
              </w:rPr>
              <w:t>急性心肌梗塞</w:t>
            </w:r>
          </w:p>
        </w:tc>
        <w:tc>
          <w:tcPr>
            <w:tcW w:w="6874" w:type="dxa"/>
            <w:tcBorders>
              <w:top w:val="single" w:sz="6" w:space="0" w:color="000000"/>
            </w:tcBorders>
          </w:tcPr>
          <w:p>
            <w:pPr>
              <w:pStyle w:val="TableParagraph"/>
              <w:spacing w:line="237" w:lineRule="auto" w:before="50"/>
              <w:ind w:right="35"/>
              <w:rPr>
                <w:sz w:val="21"/>
              </w:rPr>
            </w:pPr>
            <w:r>
              <w:rPr>
                <w:sz w:val="21"/>
              </w:rPr>
              <w:t>指因冠状动脉阻塞导致的相应区域供血不足造成部分心肌坏死。须满足下列至少三项条件：</w:t>
            </w:r>
          </w:p>
          <w:p>
            <w:pPr>
              <w:pStyle w:val="TableParagraph"/>
              <w:numPr>
                <w:ilvl w:val="0"/>
                <w:numId w:val="12"/>
              </w:numPr>
              <w:tabs>
                <w:tab w:pos="678" w:val="left" w:leader="none"/>
              </w:tabs>
              <w:spacing w:line="280" w:lineRule="exact" w:before="0" w:after="0"/>
              <w:ind w:left="677" w:right="0" w:hanging="566"/>
              <w:jc w:val="left"/>
              <w:rPr>
                <w:sz w:val="21"/>
              </w:rPr>
            </w:pPr>
            <w:r>
              <w:rPr>
                <w:spacing w:val="-3"/>
                <w:sz w:val="21"/>
              </w:rPr>
              <w:t>典型临床表现，例如急性胸痛等；</w:t>
            </w:r>
          </w:p>
          <w:p>
            <w:pPr>
              <w:pStyle w:val="TableParagraph"/>
              <w:numPr>
                <w:ilvl w:val="0"/>
                <w:numId w:val="12"/>
              </w:numPr>
              <w:tabs>
                <w:tab w:pos="678" w:val="left" w:leader="none"/>
              </w:tabs>
              <w:spacing w:line="272" w:lineRule="exact" w:before="0" w:after="0"/>
              <w:ind w:left="677" w:right="0" w:hanging="566"/>
              <w:jc w:val="left"/>
              <w:rPr>
                <w:sz w:val="21"/>
              </w:rPr>
            </w:pPr>
            <w:r>
              <w:rPr>
                <w:spacing w:val="-3"/>
                <w:sz w:val="21"/>
              </w:rPr>
              <w:t>新近的心电图改变提示急性心肌梗塞；</w:t>
            </w:r>
          </w:p>
          <w:p>
            <w:pPr>
              <w:pStyle w:val="TableParagraph"/>
              <w:numPr>
                <w:ilvl w:val="0"/>
                <w:numId w:val="12"/>
              </w:numPr>
              <w:tabs>
                <w:tab w:pos="678" w:val="left" w:leader="none"/>
              </w:tabs>
              <w:spacing w:line="223" w:lineRule="auto" w:before="12" w:after="0"/>
              <w:ind w:left="677" w:right="104" w:hanging="566"/>
              <w:jc w:val="left"/>
              <w:rPr>
                <w:sz w:val="21"/>
              </w:rPr>
            </w:pPr>
            <w:r>
              <w:rPr>
                <w:spacing w:val="-4"/>
                <w:sz w:val="21"/>
              </w:rPr>
              <w:t>心肌酶或肌钙蛋白有诊断意义的升高，或呈符合急性心肌梗塞的动</w:t>
            </w:r>
            <w:r>
              <w:rPr>
                <w:spacing w:val="-3"/>
                <w:sz w:val="21"/>
              </w:rPr>
              <w:t>态性变化；</w:t>
            </w:r>
          </w:p>
          <w:p>
            <w:pPr>
              <w:pStyle w:val="TableParagraph"/>
              <w:numPr>
                <w:ilvl w:val="0"/>
                <w:numId w:val="12"/>
              </w:numPr>
              <w:tabs>
                <w:tab w:pos="678" w:val="left" w:leader="none"/>
              </w:tabs>
              <w:spacing w:line="223" w:lineRule="auto" w:before="19" w:after="0"/>
              <w:ind w:left="677" w:right="205" w:hanging="566"/>
              <w:jc w:val="left"/>
              <w:rPr>
                <w:sz w:val="21"/>
              </w:rPr>
            </w:pPr>
            <w:r>
              <w:rPr>
                <w:spacing w:val="-14"/>
                <w:sz w:val="21"/>
              </w:rPr>
              <w:t>发病 </w:t>
            </w:r>
            <w:r>
              <w:rPr>
                <w:rFonts w:ascii="Times New Roman" w:eastAsia="Times New Roman"/>
                <w:sz w:val="21"/>
              </w:rPr>
              <w:t>90</w:t>
            </w:r>
            <w:r>
              <w:rPr>
                <w:rFonts w:ascii="Times New Roman" w:eastAsia="Times New Roman"/>
                <w:spacing w:val="12"/>
                <w:sz w:val="21"/>
              </w:rPr>
              <w:t> </w:t>
            </w:r>
            <w:r>
              <w:rPr>
                <w:spacing w:val="-3"/>
                <w:sz w:val="21"/>
              </w:rPr>
              <w:t>天后，经检查证实左心室功能降低，如左心室射血分数低</w:t>
            </w:r>
            <w:r>
              <w:rPr>
                <w:spacing w:val="-28"/>
                <w:sz w:val="21"/>
              </w:rPr>
              <w:t>于 </w:t>
            </w:r>
            <w:r>
              <w:rPr>
                <w:rFonts w:ascii="Times New Roman" w:eastAsia="Times New Roman"/>
                <w:sz w:val="21"/>
              </w:rPr>
              <w:t>50%</w:t>
            </w:r>
            <w:r>
              <w:rPr>
                <w:sz w:val="21"/>
              </w:rPr>
              <w:t>。</w:t>
            </w:r>
          </w:p>
        </w:tc>
      </w:tr>
      <w:tr>
        <w:trPr>
          <w:trHeight w:val="2148" w:hRule="atLeast"/>
        </w:trPr>
        <w:tc>
          <w:tcPr>
            <w:tcW w:w="2724" w:type="dxa"/>
          </w:tcPr>
          <w:p>
            <w:pPr>
              <w:pStyle w:val="TableParagraph"/>
              <w:spacing w:before="17"/>
              <w:ind w:left="1133"/>
              <w:rPr>
                <w:rFonts w:ascii="微软雅黑" w:eastAsia="微软雅黑" w:hint="eastAsia"/>
                <w:b/>
                <w:sz w:val="21"/>
              </w:rPr>
            </w:pPr>
            <w:r>
              <w:rPr>
                <w:rFonts w:ascii="微软雅黑" w:eastAsia="微软雅黑" w:hint="eastAsia"/>
                <w:b/>
                <w:sz w:val="21"/>
              </w:rPr>
              <w:t>脑中风后遗症</w:t>
            </w:r>
          </w:p>
        </w:tc>
        <w:tc>
          <w:tcPr>
            <w:tcW w:w="6874" w:type="dxa"/>
          </w:tcPr>
          <w:p>
            <w:pPr>
              <w:pStyle w:val="TableParagraph"/>
              <w:spacing w:line="230" w:lineRule="auto" w:before="90"/>
              <w:ind w:right="104"/>
              <w:jc w:val="both"/>
              <w:rPr>
                <w:sz w:val="21"/>
              </w:rPr>
            </w:pPr>
            <w:r>
              <w:rPr>
                <w:spacing w:val="-7"/>
                <w:sz w:val="21"/>
              </w:rPr>
              <w:t>指因脑血管的突发病变引起脑血管出血、栓塞或梗塞，并导致神经系统永</w:t>
            </w:r>
            <w:r>
              <w:rPr>
                <w:spacing w:val="-10"/>
                <w:sz w:val="21"/>
              </w:rPr>
              <w:t>久性功能障碍。神经系统永久性的功能障碍，指疾病确诊 </w:t>
            </w:r>
            <w:r>
              <w:rPr>
                <w:rFonts w:ascii="Times New Roman" w:eastAsia="Times New Roman"/>
                <w:sz w:val="21"/>
              </w:rPr>
              <w:t>180 </w:t>
            </w:r>
            <w:r>
              <w:rPr>
                <w:spacing w:val="-8"/>
                <w:sz w:val="21"/>
              </w:rPr>
              <w:t>天后，仍遗</w:t>
            </w:r>
            <w:r>
              <w:rPr>
                <w:spacing w:val="-5"/>
                <w:sz w:val="21"/>
              </w:rPr>
              <w:t>留下列一种或一种以上障碍：</w:t>
            </w:r>
          </w:p>
          <w:p>
            <w:pPr>
              <w:pStyle w:val="TableParagraph"/>
              <w:numPr>
                <w:ilvl w:val="0"/>
                <w:numId w:val="13"/>
              </w:numPr>
              <w:tabs>
                <w:tab w:pos="678" w:val="left" w:leader="none"/>
              </w:tabs>
              <w:spacing w:line="254" w:lineRule="exact" w:before="0" w:after="0"/>
              <w:ind w:left="677" w:right="0" w:hanging="566"/>
              <w:jc w:val="left"/>
              <w:rPr>
                <w:sz w:val="21"/>
              </w:rPr>
            </w:pPr>
            <w:r>
              <w:rPr>
                <w:spacing w:val="-3"/>
                <w:w w:val="100"/>
                <w:sz w:val="21"/>
              </w:rPr>
              <w:t>一肢或一肢以上</w:t>
            </w:r>
            <w:r>
              <w:rPr>
                <w:rFonts w:ascii="微软雅黑" w:eastAsia="微软雅黑" w:hint="eastAsia"/>
                <w:b/>
                <w:spacing w:val="-1"/>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9</w:t>
            </w:r>
            <w:r>
              <w:rPr>
                <w:spacing w:val="-106"/>
                <w:w w:val="100"/>
                <w:sz w:val="21"/>
              </w:rPr>
              <w:t>）；</w:t>
            </w:r>
          </w:p>
          <w:p>
            <w:pPr>
              <w:pStyle w:val="TableParagraph"/>
              <w:numPr>
                <w:ilvl w:val="0"/>
                <w:numId w:val="13"/>
              </w:numPr>
              <w:tabs>
                <w:tab w:pos="678" w:val="left" w:leader="none"/>
              </w:tabs>
              <w:spacing w:line="272" w:lineRule="exact" w:before="0" w:after="0"/>
              <w:ind w:left="677" w:right="0" w:hanging="566"/>
              <w:jc w:val="left"/>
              <w:rPr>
                <w:sz w:val="21"/>
              </w:rPr>
            </w:pPr>
            <w:r>
              <w:rPr>
                <w:rFonts w:ascii="微软雅黑" w:eastAsia="微软雅黑" w:hint="eastAsia"/>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7.</w:t>
            </w:r>
            <w:r>
              <w:rPr>
                <w:rFonts w:ascii="Times New Roman" w:eastAsia="Times New Roman"/>
                <w:spacing w:val="-2"/>
                <w:w w:val="100"/>
                <w:sz w:val="21"/>
              </w:rPr>
              <w:t>2</w:t>
            </w:r>
            <w:r>
              <w:rPr>
                <w:rFonts w:ascii="Times New Roman" w:eastAsia="Times New Roman"/>
                <w:w w:val="100"/>
                <w:sz w:val="21"/>
              </w:rPr>
              <w:t>0</w:t>
            </w:r>
            <w:r>
              <w:rPr>
                <w:spacing w:val="-106"/>
                <w:w w:val="100"/>
                <w:sz w:val="21"/>
              </w:rPr>
              <w:t>）；</w:t>
            </w:r>
          </w:p>
          <w:p>
            <w:pPr>
              <w:pStyle w:val="TableParagraph"/>
              <w:numPr>
                <w:ilvl w:val="0"/>
                <w:numId w:val="13"/>
              </w:numPr>
              <w:tabs>
                <w:tab w:pos="678" w:val="left" w:leader="none"/>
              </w:tabs>
              <w:spacing w:line="216" w:lineRule="auto" w:before="0" w:after="0"/>
              <w:ind w:left="677" w:right="106" w:hanging="566"/>
              <w:jc w:val="left"/>
              <w:rPr>
                <w:sz w:val="21"/>
              </w:rPr>
            </w:pPr>
            <w:r>
              <w:rPr>
                <w:spacing w:val="-4"/>
                <w:sz w:val="21"/>
              </w:rPr>
              <w:t>自主生活能力完全丧失，无法独立完成</w:t>
            </w:r>
            <w:r>
              <w:rPr>
                <w:rFonts w:ascii="微软雅黑" w:eastAsia="微软雅黑" w:hint="eastAsia"/>
                <w:b/>
                <w:spacing w:val="-2"/>
                <w:sz w:val="21"/>
              </w:rPr>
              <w:t>六项基本日常生活活动</w:t>
            </w:r>
            <w:r>
              <w:rPr>
                <w:spacing w:val="-3"/>
                <w:sz w:val="21"/>
              </w:rPr>
              <w:t>（</w:t>
            </w:r>
            <w:r>
              <w:rPr>
                <w:sz w:val="21"/>
              </w:rPr>
              <w:t>见</w:t>
            </w:r>
            <w:r>
              <w:rPr>
                <w:spacing w:val="-15"/>
                <w:sz w:val="21"/>
              </w:rPr>
              <w:t>释义 </w:t>
            </w:r>
            <w:r>
              <w:rPr>
                <w:rFonts w:ascii="Times New Roman" w:eastAsia="Times New Roman"/>
                <w:sz w:val="21"/>
              </w:rPr>
              <w:t>7.21</w:t>
            </w:r>
            <w:r>
              <w:rPr>
                <w:sz w:val="21"/>
              </w:rPr>
              <w:t>）</w:t>
            </w:r>
            <w:r>
              <w:rPr>
                <w:spacing w:val="-3"/>
                <w:sz w:val="21"/>
              </w:rPr>
              <w:t>中的三项或三项以上。</w:t>
            </w:r>
          </w:p>
        </w:tc>
      </w:tr>
      <w:tr>
        <w:trPr>
          <w:trHeight w:val="1595" w:hRule="atLeast"/>
        </w:trPr>
        <w:tc>
          <w:tcPr>
            <w:tcW w:w="2724" w:type="dxa"/>
          </w:tcPr>
          <w:p>
            <w:pPr>
              <w:pStyle w:val="TableParagraph"/>
              <w:spacing w:line="318" w:lineRule="exact" w:before="17"/>
              <w:ind w:left="1133"/>
              <w:rPr>
                <w:rFonts w:ascii="微软雅黑" w:eastAsia="微软雅黑" w:hint="eastAsia"/>
                <w:b/>
                <w:sz w:val="21"/>
              </w:rPr>
            </w:pPr>
            <w:r>
              <w:rPr>
                <w:rFonts w:ascii="微软雅黑" w:eastAsia="微软雅黑" w:hint="eastAsia"/>
                <w:b/>
                <w:sz w:val="21"/>
              </w:rPr>
              <w:t>重大器官移植术</w:t>
            </w:r>
          </w:p>
          <w:p>
            <w:pPr>
              <w:pStyle w:val="TableParagraph"/>
              <w:spacing w:line="180" w:lineRule="auto" w:before="46"/>
              <w:ind w:left="1133" w:right="265"/>
              <w:rPr>
                <w:rFonts w:ascii="微软雅黑" w:eastAsia="微软雅黑" w:hint="eastAsia"/>
                <w:b/>
                <w:sz w:val="21"/>
              </w:rPr>
            </w:pPr>
            <w:r>
              <w:rPr>
                <w:rFonts w:ascii="Times New Roman" w:eastAsia="Times New Roman"/>
                <w:b/>
                <w:sz w:val="21"/>
              </w:rPr>
              <w:t>/</w:t>
            </w:r>
            <w:r>
              <w:rPr>
                <w:rFonts w:ascii="微软雅黑" w:eastAsia="微软雅黑" w:hint="eastAsia"/>
                <w:b/>
                <w:sz w:val="21"/>
              </w:rPr>
              <w:t>造血干细胞移植术</w:t>
            </w:r>
          </w:p>
        </w:tc>
        <w:tc>
          <w:tcPr>
            <w:tcW w:w="6874" w:type="dxa"/>
          </w:tcPr>
          <w:p>
            <w:pPr>
              <w:pStyle w:val="TableParagraph"/>
              <w:spacing w:before="79"/>
              <w:ind w:right="106"/>
              <w:rPr>
                <w:sz w:val="21"/>
              </w:rPr>
            </w:pPr>
            <w:r>
              <w:rPr>
                <w:spacing w:val="-9"/>
                <w:sz w:val="21"/>
              </w:rPr>
              <w:t>重大器官移植术，指因相应器官功能衰竭，已经实施了肾脏、肝脏、心脏</w:t>
            </w:r>
            <w:r>
              <w:rPr>
                <w:spacing w:val="-5"/>
                <w:sz w:val="21"/>
              </w:rPr>
              <w:t>或肺脏的异体移植手术。</w:t>
            </w:r>
          </w:p>
          <w:p>
            <w:pPr>
              <w:pStyle w:val="TableParagraph"/>
              <w:spacing w:line="237" w:lineRule="auto"/>
              <w:rPr>
                <w:sz w:val="21"/>
              </w:rPr>
            </w:pPr>
            <w:r>
              <w:rPr>
                <w:spacing w:val="-8"/>
                <w:sz w:val="21"/>
              </w:rPr>
              <w:t>造血干细胞移植术，指因造血功能损害或造血系统恶性肿瘤，已经实施了</w:t>
            </w:r>
            <w:r>
              <w:rPr>
                <w:spacing w:val="-23"/>
                <w:sz w:val="21"/>
              </w:rPr>
              <w:t>造血干细胞</w:t>
            </w:r>
            <w:r>
              <w:rPr>
                <w:spacing w:val="-3"/>
                <w:sz w:val="21"/>
              </w:rPr>
              <w:t>（</w:t>
            </w:r>
            <w:r>
              <w:rPr>
                <w:spacing w:val="-11"/>
                <w:sz w:val="21"/>
              </w:rPr>
              <w:t>包括骨髓造血干细胞、外周血造血干细胞和脐血造血干细胞</w:t>
            </w:r>
            <w:r>
              <w:rPr>
                <w:sz w:val="21"/>
              </w:rPr>
              <w:t>） </w:t>
            </w:r>
            <w:r>
              <w:rPr>
                <w:spacing w:val="-3"/>
                <w:sz w:val="21"/>
              </w:rPr>
              <w:t>的异体移植手术。</w:t>
            </w:r>
          </w:p>
        </w:tc>
      </w:tr>
      <w:tr>
        <w:trPr>
          <w:trHeight w:val="1332"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冠状动脉搭桥术</w:t>
            </w:r>
          </w:p>
        </w:tc>
        <w:tc>
          <w:tcPr>
            <w:tcW w:w="6874" w:type="dxa"/>
          </w:tcPr>
          <w:p>
            <w:pPr>
              <w:pStyle w:val="TableParagraph"/>
              <w:spacing w:before="87"/>
              <w:ind w:right="104"/>
              <w:rPr>
                <w:sz w:val="21"/>
              </w:rPr>
            </w:pPr>
            <w:r>
              <w:rPr>
                <w:spacing w:val="-10"/>
                <w:sz w:val="21"/>
              </w:rPr>
              <w:t>指为治疗严重的冠心病，实际实施了开胸进行的冠状动脉血管旁路移植的手术。</w:t>
            </w:r>
          </w:p>
          <w:p>
            <w:pPr>
              <w:pStyle w:val="TableParagraph"/>
              <w:ind w:right="106"/>
              <w:rPr>
                <w:sz w:val="21"/>
              </w:rPr>
            </w:pPr>
            <w:r>
              <w:rPr>
                <w:spacing w:val="-9"/>
                <w:sz w:val="21"/>
              </w:rPr>
              <w:t>冠状动脉支架植入术、心导管球囊扩张术、激光射频技术及其它非开胸的</w:t>
            </w:r>
            <w:r>
              <w:rPr>
                <w:spacing w:val="-5"/>
                <w:sz w:val="21"/>
              </w:rPr>
              <w:t>介入手术、腔镜手术不在保障范围内。</w:t>
            </w:r>
          </w:p>
        </w:tc>
      </w:tr>
      <w:tr>
        <w:trPr>
          <w:trHeight w:val="792"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终末期肾病</w:t>
            </w:r>
          </w:p>
        </w:tc>
        <w:tc>
          <w:tcPr>
            <w:tcW w:w="6874" w:type="dxa"/>
          </w:tcPr>
          <w:p>
            <w:pPr>
              <w:pStyle w:val="TableParagraph"/>
              <w:spacing w:line="273" w:lineRule="exact" w:before="87"/>
              <w:rPr>
                <w:sz w:val="21"/>
              </w:rPr>
            </w:pPr>
            <w:r>
              <w:rPr>
                <w:sz w:val="21"/>
              </w:rPr>
              <w:t>指双肾功能慢性不可逆性衰竭，达到尿毒症期，经诊断后已经进行了至少</w:t>
            </w:r>
          </w:p>
          <w:p>
            <w:pPr>
              <w:pStyle w:val="TableParagraph"/>
              <w:spacing w:line="289" w:lineRule="exact"/>
              <w:rPr>
                <w:sz w:val="21"/>
              </w:rPr>
            </w:pPr>
            <w:r>
              <w:rPr>
                <w:rFonts w:ascii="Times New Roman" w:eastAsia="Times New Roman"/>
                <w:sz w:val="21"/>
              </w:rPr>
              <w:t>90 </w:t>
            </w:r>
            <w:r>
              <w:rPr>
                <w:sz w:val="21"/>
              </w:rPr>
              <w:t>天的规律性透析治疗或实施了肾脏移植手术。</w:t>
            </w:r>
          </w:p>
        </w:tc>
      </w:tr>
      <w:tr>
        <w:trPr>
          <w:trHeight w:val="779" w:hRule="atLeast"/>
        </w:trPr>
        <w:tc>
          <w:tcPr>
            <w:tcW w:w="2724" w:type="dxa"/>
          </w:tcPr>
          <w:p>
            <w:pPr>
              <w:pStyle w:val="TableParagraph"/>
              <w:spacing w:before="17"/>
              <w:ind w:left="1133"/>
              <w:rPr>
                <w:rFonts w:ascii="微软雅黑" w:eastAsia="微软雅黑" w:hint="eastAsia"/>
                <w:b/>
                <w:sz w:val="21"/>
              </w:rPr>
            </w:pPr>
            <w:r>
              <w:rPr>
                <w:rFonts w:ascii="微软雅黑" w:eastAsia="微软雅黑" w:hint="eastAsia"/>
                <w:b/>
                <w:sz w:val="21"/>
              </w:rPr>
              <w:t>多个肢体缺失</w:t>
            </w:r>
          </w:p>
        </w:tc>
        <w:tc>
          <w:tcPr>
            <w:tcW w:w="6874" w:type="dxa"/>
          </w:tcPr>
          <w:p>
            <w:pPr>
              <w:pStyle w:val="TableParagraph"/>
              <w:spacing w:before="79"/>
              <w:ind w:right="33"/>
              <w:rPr>
                <w:sz w:val="21"/>
              </w:rPr>
            </w:pPr>
            <w:r>
              <w:rPr>
                <w:sz w:val="21"/>
              </w:rPr>
              <w:t>指因疾病或意外伤害导致两个或两个以上肢体自腕关节或踝关节近端（靠近躯干端）以上完全性断离。</w:t>
            </w:r>
          </w:p>
        </w:tc>
      </w:tr>
      <w:tr>
        <w:trPr>
          <w:trHeight w:val="1884" w:hRule="atLeast"/>
        </w:trPr>
        <w:tc>
          <w:tcPr>
            <w:tcW w:w="2724" w:type="dxa"/>
          </w:tcPr>
          <w:p>
            <w:pPr>
              <w:pStyle w:val="TableParagraph"/>
              <w:spacing w:line="182" w:lineRule="auto" w:before="112"/>
              <w:ind w:left="1133" w:right="110"/>
              <w:rPr>
                <w:rFonts w:ascii="微软雅黑" w:eastAsia="微软雅黑" w:hint="eastAsia"/>
                <w:b/>
                <w:sz w:val="21"/>
              </w:rPr>
            </w:pPr>
            <w:r>
              <w:rPr>
                <w:rFonts w:ascii="微软雅黑" w:eastAsia="微软雅黑" w:hint="eastAsia"/>
                <w:b/>
                <w:sz w:val="21"/>
              </w:rPr>
              <w:t>急性或亚急性重症肝炎</w:t>
            </w:r>
          </w:p>
        </w:tc>
        <w:tc>
          <w:tcPr>
            <w:tcW w:w="6874" w:type="dxa"/>
          </w:tcPr>
          <w:p>
            <w:pPr>
              <w:pStyle w:val="TableParagraph"/>
              <w:spacing w:before="87"/>
              <w:ind w:right="35"/>
              <w:rPr>
                <w:sz w:val="21"/>
              </w:rPr>
            </w:pPr>
            <w:r>
              <w:rPr>
                <w:sz w:val="21"/>
              </w:rPr>
              <w:t>指因肝炎病毒感染引起肝组织弥漫性坏死，导致急性肝功能衰竭，且经血清学或病毒学检查证实，并须满足下列全部条件：</w:t>
            </w:r>
          </w:p>
          <w:p>
            <w:pPr>
              <w:pStyle w:val="TableParagraph"/>
              <w:numPr>
                <w:ilvl w:val="0"/>
                <w:numId w:val="14"/>
              </w:numPr>
              <w:tabs>
                <w:tab w:pos="678" w:val="left" w:leader="none"/>
              </w:tabs>
              <w:spacing w:line="277" w:lineRule="exact" w:before="0" w:after="0"/>
              <w:ind w:left="677" w:right="0" w:hanging="566"/>
              <w:jc w:val="left"/>
              <w:rPr>
                <w:sz w:val="21"/>
              </w:rPr>
            </w:pPr>
            <w:r>
              <w:rPr>
                <w:spacing w:val="-3"/>
                <w:sz w:val="21"/>
              </w:rPr>
              <w:t>重度黄疸或黄疸迅速加重；</w:t>
            </w:r>
          </w:p>
          <w:p>
            <w:pPr>
              <w:pStyle w:val="TableParagraph"/>
              <w:numPr>
                <w:ilvl w:val="0"/>
                <w:numId w:val="14"/>
              </w:numPr>
              <w:tabs>
                <w:tab w:pos="678" w:val="left" w:leader="none"/>
              </w:tabs>
              <w:spacing w:line="272" w:lineRule="exact" w:before="0" w:after="0"/>
              <w:ind w:left="677" w:right="0" w:hanging="566"/>
              <w:jc w:val="left"/>
              <w:rPr>
                <w:sz w:val="21"/>
              </w:rPr>
            </w:pPr>
            <w:r>
              <w:rPr>
                <w:spacing w:val="-1"/>
                <w:sz w:val="21"/>
              </w:rPr>
              <w:t>肝性脑病；</w:t>
            </w:r>
          </w:p>
          <w:p>
            <w:pPr>
              <w:pStyle w:val="TableParagraph"/>
              <w:numPr>
                <w:ilvl w:val="0"/>
                <w:numId w:val="14"/>
              </w:numPr>
              <w:tabs>
                <w:tab w:pos="678" w:val="left" w:leader="none"/>
              </w:tabs>
              <w:spacing w:line="272" w:lineRule="exact" w:before="0" w:after="0"/>
              <w:ind w:left="677" w:right="0" w:hanging="566"/>
              <w:jc w:val="left"/>
              <w:rPr>
                <w:sz w:val="21"/>
              </w:rPr>
            </w:pPr>
            <w:r>
              <w:rPr>
                <w:rFonts w:ascii="Times New Roman" w:eastAsia="Times New Roman"/>
                <w:sz w:val="21"/>
              </w:rPr>
              <w:t>B</w:t>
            </w:r>
            <w:r>
              <w:rPr>
                <w:rFonts w:ascii="Times New Roman" w:eastAsia="Times New Roman"/>
                <w:spacing w:val="25"/>
                <w:sz w:val="21"/>
              </w:rPr>
              <w:t> </w:t>
            </w:r>
            <w:r>
              <w:rPr>
                <w:spacing w:val="-3"/>
                <w:sz w:val="21"/>
              </w:rPr>
              <w:t>超或其他影像学检查显示肝脏体积急速萎缩；</w:t>
            </w:r>
          </w:p>
          <w:p>
            <w:pPr>
              <w:pStyle w:val="TableParagraph"/>
              <w:numPr>
                <w:ilvl w:val="0"/>
                <w:numId w:val="14"/>
              </w:numPr>
              <w:tabs>
                <w:tab w:pos="678" w:val="left" w:leader="none"/>
              </w:tabs>
              <w:spacing w:line="281" w:lineRule="exact" w:before="0" w:after="0"/>
              <w:ind w:left="677" w:right="0" w:hanging="566"/>
              <w:jc w:val="left"/>
              <w:rPr>
                <w:sz w:val="21"/>
              </w:rPr>
            </w:pPr>
            <w:r>
              <w:rPr>
                <w:spacing w:val="-3"/>
                <w:sz w:val="21"/>
              </w:rPr>
              <w:t>肝功能指标进行性恶化。</w:t>
            </w:r>
          </w:p>
        </w:tc>
      </w:tr>
      <w:tr>
        <w:trPr>
          <w:trHeight w:val="2139" w:hRule="atLeast"/>
        </w:trPr>
        <w:tc>
          <w:tcPr>
            <w:tcW w:w="2724" w:type="dxa"/>
          </w:tcPr>
          <w:p>
            <w:pPr>
              <w:pStyle w:val="TableParagraph"/>
              <w:spacing w:before="18"/>
              <w:ind w:left="1133"/>
              <w:rPr>
                <w:rFonts w:ascii="微软雅黑" w:eastAsia="微软雅黑" w:hint="eastAsia"/>
                <w:b/>
                <w:sz w:val="21"/>
              </w:rPr>
            </w:pPr>
            <w:r>
              <w:rPr>
                <w:rFonts w:ascii="微软雅黑" w:eastAsia="微软雅黑" w:hint="eastAsia"/>
                <w:b/>
                <w:sz w:val="21"/>
              </w:rPr>
              <w:t>良性脑肿瘤</w:t>
            </w:r>
          </w:p>
        </w:tc>
        <w:tc>
          <w:tcPr>
            <w:tcW w:w="6874" w:type="dxa"/>
          </w:tcPr>
          <w:p>
            <w:pPr>
              <w:pStyle w:val="TableParagraph"/>
              <w:spacing w:line="228" w:lineRule="auto" w:before="94"/>
              <w:ind w:right="1"/>
              <w:rPr>
                <w:sz w:val="21"/>
              </w:rPr>
            </w:pPr>
            <w:r>
              <w:rPr>
                <w:spacing w:val="-9"/>
                <w:sz w:val="21"/>
              </w:rPr>
              <w:t>指脑的良性肿瘤，已经引起颅内压增高，临床表现为视神经乳头水肿、精</w:t>
            </w:r>
            <w:r>
              <w:rPr>
                <w:spacing w:val="-14"/>
                <w:w w:val="100"/>
                <w:sz w:val="21"/>
              </w:rPr>
              <w:t>神症状、癫痫及运动感觉障碍等，并危及生命。须由头颅断层扫描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7"/>
                <w:sz w:val="21"/>
              </w:rPr>
              <w:t>核磁共振检查（</w:t>
            </w:r>
            <w:r>
              <w:rPr>
                <w:rFonts w:ascii="Times New Roman" w:eastAsia="Times New Roman"/>
                <w:spacing w:val="-7"/>
                <w:sz w:val="21"/>
              </w:rPr>
              <w:t>MRI</w:t>
            </w:r>
            <w:r>
              <w:rPr>
                <w:spacing w:val="-7"/>
                <w:sz w:val="21"/>
              </w:rPr>
              <w:t>）</w:t>
            </w:r>
            <w:r>
              <w:rPr>
                <w:spacing w:val="-6"/>
                <w:sz w:val="21"/>
              </w:rPr>
              <w:t>或正电子发射断层扫描</w:t>
            </w:r>
            <w:r>
              <w:rPr>
                <w:spacing w:val="-7"/>
                <w:sz w:val="21"/>
              </w:rPr>
              <w:t>（</w:t>
            </w:r>
            <w:r>
              <w:rPr>
                <w:rFonts w:ascii="Times New Roman" w:eastAsia="Times New Roman"/>
                <w:spacing w:val="-7"/>
                <w:sz w:val="21"/>
              </w:rPr>
              <w:t>PET</w:t>
            </w:r>
            <w:r>
              <w:rPr>
                <w:spacing w:val="-7"/>
                <w:sz w:val="21"/>
              </w:rPr>
              <w:t>）</w:t>
            </w:r>
            <w:r>
              <w:rPr>
                <w:spacing w:val="-3"/>
                <w:sz w:val="21"/>
              </w:rPr>
              <w:t>等影像学检查证实， 并须满足下列至少一项条件：</w:t>
            </w:r>
          </w:p>
          <w:p>
            <w:pPr>
              <w:pStyle w:val="TableParagraph"/>
              <w:numPr>
                <w:ilvl w:val="0"/>
                <w:numId w:val="15"/>
              </w:numPr>
              <w:tabs>
                <w:tab w:pos="678" w:val="left" w:leader="none"/>
              </w:tabs>
              <w:spacing w:line="279" w:lineRule="exact" w:before="0" w:after="0"/>
              <w:ind w:left="677" w:right="0" w:hanging="566"/>
              <w:jc w:val="left"/>
              <w:rPr>
                <w:sz w:val="21"/>
              </w:rPr>
            </w:pPr>
            <w:r>
              <w:rPr>
                <w:spacing w:val="-3"/>
                <w:sz w:val="21"/>
              </w:rPr>
              <w:t>实际实施了开颅进行的脑肿瘤完全切除或部分切除的手术；</w:t>
            </w:r>
          </w:p>
          <w:p>
            <w:pPr>
              <w:pStyle w:val="TableParagraph"/>
              <w:numPr>
                <w:ilvl w:val="0"/>
                <w:numId w:val="15"/>
              </w:numPr>
              <w:tabs>
                <w:tab w:pos="678" w:val="left" w:leader="none"/>
              </w:tabs>
              <w:spacing w:line="273" w:lineRule="exact" w:before="0" w:after="0"/>
              <w:ind w:left="677" w:right="0" w:hanging="566"/>
              <w:jc w:val="left"/>
              <w:rPr>
                <w:sz w:val="21"/>
              </w:rPr>
            </w:pPr>
            <w:r>
              <w:rPr>
                <w:spacing w:val="-3"/>
                <w:sz w:val="21"/>
              </w:rPr>
              <w:t>实际实施了对脑肿瘤进行的放射治疗。</w:t>
            </w:r>
          </w:p>
          <w:p>
            <w:pPr>
              <w:pStyle w:val="TableParagraph"/>
              <w:spacing w:line="265" w:lineRule="exact"/>
              <w:rPr>
                <w:sz w:val="21"/>
              </w:rPr>
            </w:pPr>
            <w:r>
              <w:rPr>
                <w:sz w:val="21"/>
              </w:rPr>
              <w:t>脑垂体瘤、脑囊肿、脑血管性疾病不在保障范围内。</w:t>
            </w:r>
          </w:p>
        </w:tc>
      </w:tr>
      <w:tr>
        <w:trPr>
          <w:trHeight w:val="923" w:hRule="atLeast"/>
        </w:trPr>
        <w:tc>
          <w:tcPr>
            <w:tcW w:w="2724" w:type="dxa"/>
          </w:tcPr>
          <w:p>
            <w:pPr>
              <w:pStyle w:val="TableParagraph"/>
              <w:spacing w:line="180" w:lineRule="auto" w:before="115"/>
              <w:ind w:left="1133" w:right="110"/>
              <w:rPr>
                <w:rFonts w:ascii="微软雅黑" w:eastAsia="微软雅黑" w:hint="eastAsia"/>
                <w:b/>
                <w:sz w:val="21"/>
              </w:rPr>
            </w:pPr>
            <w:r>
              <w:rPr>
                <w:rFonts w:ascii="微软雅黑" w:eastAsia="微软雅黑" w:hint="eastAsia"/>
                <w:b/>
                <w:sz w:val="21"/>
              </w:rPr>
              <w:t>慢性肝功能衰竭失代偿期</w:t>
            </w:r>
          </w:p>
        </w:tc>
        <w:tc>
          <w:tcPr>
            <w:tcW w:w="6874" w:type="dxa"/>
          </w:tcPr>
          <w:p>
            <w:pPr>
              <w:pStyle w:val="TableParagraph"/>
              <w:spacing w:line="274" w:lineRule="exact" w:before="87"/>
              <w:rPr>
                <w:sz w:val="21"/>
              </w:rPr>
            </w:pPr>
            <w:r>
              <w:rPr>
                <w:sz w:val="21"/>
              </w:rPr>
              <w:t>指因慢性肝脏疾病导致肝功能衰竭。须满足下列全部条件：</w:t>
            </w:r>
          </w:p>
          <w:p>
            <w:pPr>
              <w:pStyle w:val="TableParagraph"/>
              <w:numPr>
                <w:ilvl w:val="0"/>
                <w:numId w:val="16"/>
              </w:numPr>
              <w:tabs>
                <w:tab w:pos="678" w:val="left" w:leader="none"/>
              </w:tabs>
              <w:spacing w:line="280" w:lineRule="exact" w:before="0" w:after="0"/>
              <w:ind w:left="677" w:right="0" w:hanging="566"/>
              <w:jc w:val="left"/>
              <w:rPr>
                <w:sz w:val="21"/>
              </w:rPr>
            </w:pPr>
            <w:r>
              <w:rPr>
                <w:spacing w:val="-2"/>
                <w:sz w:val="21"/>
              </w:rPr>
              <w:t>持续性黄疸；</w:t>
            </w:r>
          </w:p>
          <w:p>
            <w:pPr>
              <w:pStyle w:val="TableParagraph"/>
              <w:numPr>
                <w:ilvl w:val="0"/>
                <w:numId w:val="16"/>
              </w:numPr>
              <w:tabs>
                <w:tab w:pos="678" w:val="left" w:leader="none"/>
              </w:tabs>
              <w:spacing w:line="261" w:lineRule="exact" w:before="0" w:after="0"/>
              <w:ind w:left="677" w:right="0" w:hanging="566"/>
              <w:jc w:val="left"/>
              <w:rPr>
                <w:sz w:val="21"/>
              </w:rPr>
            </w:pPr>
            <w:r>
              <w:rPr>
                <w:sz w:val="21"/>
              </w:rPr>
              <w:t>腹水；</w:t>
            </w:r>
          </w:p>
        </w:tc>
      </w:tr>
    </w:tbl>
    <w:p>
      <w:pPr>
        <w:spacing w:after="0" w:line="261" w:lineRule="exact"/>
        <w:jc w:val="left"/>
        <w:rPr>
          <w:sz w:val="21"/>
        </w:rPr>
        <w:sectPr>
          <w:pgSz w:w="11910" w:h="16450"/>
          <w:pgMar w:header="857" w:footer="968" w:top="1040" w:bottom="1180" w:left="106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6874"/>
      </w:tblGrid>
      <w:tr>
        <w:trPr>
          <w:trHeight w:val="1018" w:hRule="atLeast"/>
        </w:trPr>
        <w:tc>
          <w:tcPr>
            <w:tcW w:w="2724" w:type="dxa"/>
            <w:tcBorders>
              <w:top w:val="single" w:sz="6" w:space="0" w:color="000000"/>
            </w:tcBorders>
          </w:tcPr>
          <w:p>
            <w:pPr>
              <w:pStyle w:val="TableParagraph"/>
              <w:ind w:left="0"/>
              <w:rPr>
                <w:rFonts w:ascii="Times New Roman"/>
                <w:sz w:val="20"/>
              </w:rPr>
            </w:pPr>
          </w:p>
        </w:tc>
        <w:tc>
          <w:tcPr>
            <w:tcW w:w="6874" w:type="dxa"/>
            <w:tcBorders>
              <w:top w:val="single" w:sz="6" w:space="0" w:color="000000"/>
            </w:tcBorders>
          </w:tcPr>
          <w:p>
            <w:pPr>
              <w:pStyle w:val="TableParagraph"/>
              <w:numPr>
                <w:ilvl w:val="0"/>
                <w:numId w:val="17"/>
              </w:numPr>
              <w:tabs>
                <w:tab w:pos="678" w:val="left" w:leader="none"/>
              </w:tabs>
              <w:spacing w:line="281" w:lineRule="exact" w:before="47" w:after="0"/>
              <w:ind w:left="111" w:right="0" w:firstLine="0"/>
              <w:jc w:val="left"/>
              <w:rPr>
                <w:sz w:val="21"/>
              </w:rPr>
            </w:pPr>
            <w:r>
              <w:rPr>
                <w:spacing w:val="-1"/>
                <w:sz w:val="21"/>
              </w:rPr>
              <w:t>肝性脑病；</w:t>
            </w:r>
          </w:p>
          <w:p>
            <w:pPr>
              <w:pStyle w:val="TableParagraph"/>
              <w:numPr>
                <w:ilvl w:val="0"/>
                <w:numId w:val="17"/>
              </w:numPr>
              <w:tabs>
                <w:tab w:pos="678" w:val="left" w:leader="none"/>
              </w:tabs>
              <w:spacing w:line="225" w:lineRule="auto" w:before="7" w:after="0"/>
              <w:ind w:left="111" w:right="1715" w:firstLine="0"/>
              <w:jc w:val="left"/>
              <w:rPr>
                <w:sz w:val="21"/>
              </w:rPr>
            </w:pPr>
            <w:r>
              <w:rPr>
                <w:spacing w:val="-3"/>
                <w:sz w:val="21"/>
              </w:rPr>
              <w:t>充血性脾大伴脾功能亢进或食管胃底静脉曲张。因酗酒或药物滥用导致的肝功能衰竭不在保障范围内。</w:t>
            </w:r>
          </w:p>
        </w:tc>
      </w:tr>
      <w:tr>
        <w:trPr>
          <w:trHeight w:val="1872" w:hRule="atLeast"/>
        </w:trPr>
        <w:tc>
          <w:tcPr>
            <w:tcW w:w="2724" w:type="dxa"/>
          </w:tcPr>
          <w:p>
            <w:pPr>
              <w:pStyle w:val="TableParagraph"/>
              <w:spacing w:line="180" w:lineRule="auto" w:before="115"/>
              <w:ind w:left="1133" w:right="110"/>
              <w:rPr>
                <w:rFonts w:ascii="微软雅黑" w:eastAsia="微软雅黑" w:hint="eastAsia"/>
                <w:b/>
                <w:sz w:val="21"/>
              </w:rPr>
            </w:pPr>
            <w:r>
              <w:rPr>
                <w:rFonts w:ascii="微软雅黑" w:eastAsia="微软雅黑" w:hint="eastAsia"/>
                <w:b/>
                <w:sz w:val="21"/>
              </w:rPr>
              <w:t>脑炎后遗症或脑膜炎后遗症</w:t>
            </w:r>
          </w:p>
        </w:tc>
        <w:tc>
          <w:tcPr>
            <w:tcW w:w="6874" w:type="dxa"/>
          </w:tcPr>
          <w:p>
            <w:pPr>
              <w:pStyle w:val="TableParagraph"/>
              <w:spacing w:before="87"/>
              <w:ind w:right="3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numPr>
                <w:ilvl w:val="0"/>
                <w:numId w:val="18"/>
              </w:numPr>
              <w:tabs>
                <w:tab w:pos="678" w:val="left" w:leader="none"/>
              </w:tabs>
              <w:spacing w:line="261" w:lineRule="exact" w:before="0" w:after="0"/>
              <w:ind w:left="677" w:right="0" w:hanging="566"/>
              <w:jc w:val="left"/>
              <w:rPr>
                <w:sz w:val="21"/>
              </w:rPr>
            </w:pPr>
            <w:r>
              <w:rPr>
                <w:spacing w:val="-3"/>
                <w:sz w:val="21"/>
              </w:rPr>
              <w:t>一肢或一肢以上肢体机能完全丧失；</w:t>
            </w:r>
          </w:p>
          <w:p>
            <w:pPr>
              <w:pStyle w:val="TableParagraph"/>
              <w:numPr>
                <w:ilvl w:val="0"/>
                <w:numId w:val="18"/>
              </w:numPr>
              <w:tabs>
                <w:tab w:pos="678" w:val="left" w:leader="none"/>
              </w:tabs>
              <w:spacing w:line="272" w:lineRule="exact" w:before="0" w:after="0"/>
              <w:ind w:left="677" w:right="0" w:hanging="566"/>
              <w:jc w:val="left"/>
              <w:rPr>
                <w:sz w:val="21"/>
              </w:rPr>
            </w:pPr>
            <w:r>
              <w:rPr>
                <w:spacing w:val="-3"/>
                <w:sz w:val="21"/>
              </w:rPr>
              <w:t>语言能力或咀嚼吞咽能力完全丧失；</w:t>
            </w:r>
          </w:p>
          <w:p>
            <w:pPr>
              <w:pStyle w:val="TableParagraph"/>
              <w:numPr>
                <w:ilvl w:val="0"/>
                <w:numId w:val="18"/>
              </w:numPr>
              <w:tabs>
                <w:tab w:pos="678" w:val="left" w:leader="none"/>
              </w:tabs>
              <w:spacing w:line="223" w:lineRule="auto" w:before="11" w:after="0"/>
              <w:ind w:left="677" w:right="104" w:hanging="566"/>
              <w:jc w:val="left"/>
              <w:rPr>
                <w:sz w:val="21"/>
              </w:rPr>
            </w:pPr>
            <w:r>
              <w:rPr>
                <w:spacing w:val="-4"/>
                <w:sz w:val="21"/>
              </w:rPr>
              <w:t>自主生活能力完全丧失，无法独立完成六项基本日常生活活动中的</w:t>
            </w:r>
            <w:r>
              <w:rPr>
                <w:spacing w:val="-3"/>
                <w:sz w:val="21"/>
              </w:rPr>
              <w:t>三项或三项以上。</w:t>
            </w:r>
          </w:p>
        </w:tc>
      </w:tr>
      <w:tr>
        <w:trPr>
          <w:trHeight w:val="1331" w:hRule="atLeast"/>
        </w:trPr>
        <w:tc>
          <w:tcPr>
            <w:tcW w:w="2724" w:type="dxa"/>
          </w:tcPr>
          <w:p>
            <w:pPr>
              <w:pStyle w:val="TableParagraph"/>
              <w:spacing w:before="29"/>
              <w:ind w:left="1133"/>
              <w:rPr>
                <w:rFonts w:ascii="微软雅黑" w:eastAsia="微软雅黑" w:hint="eastAsia"/>
                <w:b/>
                <w:sz w:val="21"/>
              </w:rPr>
            </w:pPr>
            <w:r>
              <w:rPr>
                <w:rFonts w:ascii="微软雅黑" w:eastAsia="微软雅黑" w:hint="eastAsia"/>
                <w:b/>
                <w:sz w:val="21"/>
              </w:rPr>
              <w:t>深度昏迷</w:t>
            </w:r>
          </w:p>
        </w:tc>
        <w:tc>
          <w:tcPr>
            <w:tcW w:w="6874" w:type="dxa"/>
          </w:tcPr>
          <w:p>
            <w:pPr>
              <w:pStyle w:val="TableParagraph"/>
              <w:spacing w:line="223" w:lineRule="auto" w:before="112"/>
              <w:ind w:right="145"/>
              <w:jc w:val="both"/>
              <w:rPr>
                <w:sz w:val="21"/>
              </w:rPr>
            </w:pPr>
            <w:r>
              <w:rPr>
                <w:spacing w:val="-3"/>
                <w:sz w:val="21"/>
              </w:rPr>
              <w:t>指因疾病或意外伤害导致意识丧失</w:t>
            </w:r>
            <w:r>
              <w:rPr>
                <w:rFonts w:ascii="Times New Roman" w:eastAsia="Times New Roman"/>
                <w:spacing w:val="-3"/>
                <w:sz w:val="21"/>
              </w:rPr>
              <w:t>,</w:t>
            </w:r>
            <w:r>
              <w:rPr>
                <w:spacing w:val="-3"/>
                <w:sz w:val="21"/>
              </w:rPr>
              <w:t>对外界刺激和体内需求均无反应</w:t>
            </w:r>
            <w:r>
              <w:rPr>
                <w:rFonts w:ascii="Times New Roman" w:eastAsia="Times New Roman"/>
                <w:sz w:val="21"/>
              </w:rPr>
              <w:t>,</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pacing w:val="-19"/>
                <w:sz w:val="21"/>
              </w:rPr>
              <w:t>分或 </w:t>
            </w:r>
            <w:r>
              <w:rPr>
                <w:rFonts w:ascii="Times New Roman" w:eastAsia="Times New Roman"/>
                <w:sz w:val="21"/>
              </w:rPr>
              <w:t>5 </w:t>
            </w:r>
            <w:r>
              <w:rPr>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spacing w:line="258" w:lineRule="exact"/>
              <w:jc w:val="both"/>
              <w:rPr>
                <w:sz w:val="21"/>
              </w:rPr>
            </w:pPr>
            <w:r>
              <w:rPr>
                <w:sz w:val="21"/>
              </w:rPr>
              <w:t>因酗酒或药物滥用导致的深度昏迷不在保障范围内。</w:t>
            </w:r>
          </w:p>
        </w:tc>
      </w:tr>
      <w:tr>
        <w:trPr>
          <w:trHeight w:val="1606" w:hRule="atLeast"/>
        </w:trPr>
        <w:tc>
          <w:tcPr>
            <w:tcW w:w="2724" w:type="dxa"/>
          </w:tcPr>
          <w:p>
            <w:pPr>
              <w:pStyle w:val="TableParagraph"/>
              <w:spacing w:before="28"/>
              <w:ind w:left="1133"/>
              <w:rPr>
                <w:rFonts w:ascii="微软雅黑" w:eastAsia="微软雅黑" w:hint="eastAsia"/>
                <w:b/>
                <w:sz w:val="21"/>
              </w:rPr>
            </w:pPr>
            <w:r>
              <w:rPr>
                <w:rFonts w:ascii="微软雅黑" w:eastAsia="微软雅黑" w:hint="eastAsia"/>
                <w:b/>
                <w:sz w:val="21"/>
              </w:rPr>
              <w:t>双耳失聪</w:t>
            </w:r>
          </w:p>
        </w:tc>
        <w:tc>
          <w:tcPr>
            <w:tcW w:w="6874" w:type="dxa"/>
          </w:tcPr>
          <w:p>
            <w:pPr>
              <w:pStyle w:val="TableParagraph"/>
              <w:spacing w:line="349" w:lineRule="exact" w:before="28"/>
              <w:rPr>
                <w:sz w:val="21"/>
              </w:rPr>
            </w:pPr>
            <w:r>
              <w:rPr>
                <w:spacing w:val="-3"/>
                <w:sz w:val="21"/>
              </w:rPr>
              <w:t>指因疾病或意外伤害导致双耳听力</w:t>
            </w:r>
            <w:r>
              <w:rPr>
                <w:rFonts w:ascii="微软雅黑" w:eastAsia="微软雅黑" w:hint="eastAsia"/>
                <w:b/>
                <w:spacing w:val="-5"/>
                <w:sz w:val="21"/>
              </w:rPr>
              <w:t>永久不可逆</w:t>
            </w:r>
            <w:r>
              <w:rPr>
                <w:spacing w:val="-3"/>
                <w:sz w:val="21"/>
              </w:rPr>
              <w:t>（</w:t>
            </w:r>
            <w:r>
              <w:rPr>
                <w:spacing w:val="-5"/>
                <w:sz w:val="21"/>
              </w:rPr>
              <w:t>见释义 </w:t>
            </w:r>
            <w:r>
              <w:rPr>
                <w:rFonts w:ascii="Times New Roman" w:eastAsia="Times New Roman"/>
                <w:spacing w:val="-7"/>
                <w:sz w:val="21"/>
              </w:rPr>
              <w:t>7.22</w:t>
            </w:r>
            <w:r>
              <w:rPr>
                <w:spacing w:val="-7"/>
                <w:sz w:val="21"/>
              </w:rPr>
              <w:t>）</w:t>
            </w:r>
            <w:r>
              <w:rPr>
                <w:spacing w:val="-8"/>
                <w:sz w:val="21"/>
              </w:rPr>
              <w:t>性丧失，在</w:t>
            </w:r>
          </w:p>
          <w:p>
            <w:pPr>
              <w:pStyle w:val="TableParagraph"/>
              <w:spacing w:line="223" w:lineRule="auto" w:before="6"/>
              <w:ind w:right="104"/>
              <w:rPr>
                <w:sz w:val="21"/>
              </w:rPr>
            </w:pPr>
            <w:r>
              <w:rPr>
                <w:rFonts w:ascii="Times New Roman" w:eastAsia="Times New Roman"/>
                <w:sz w:val="21"/>
              </w:rPr>
              <w:t>500 </w:t>
            </w:r>
            <w:r>
              <w:rPr>
                <w:spacing w:val="-10"/>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w:t>
            </w:r>
            <w:r>
              <w:rPr>
                <w:spacing w:val="-5"/>
                <w:sz w:val="21"/>
              </w:rPr>
              <w:t>经纯音听力测试、声导抗检测或听觉诱发电位检测等证实。</w:t>
            </w:r>
          </w:p>
          <w:p>
            <w:pPr>
              <w:pStyle w:val="TableParagraph"/>
              <w:spacing w:line="180" w:lineRule="auto" w:before="24"/>
              <w:ind w:right="1"/>
              <w:rPr>
                <w:rFonts w:ascii="微软雅黑" w:eastAsia="微软雅黑" w:hint="eastAsia"/>
                <w:b/>
                <w:sz w:val="21"/>
              </w:rPr>
            </w:pPr>
            <w:r>
              <w:rPr>
                <w:rFonts w:ascii="Times New Roman" w:eastAsia="Times New Roman"/>
                <w:b/>
                <w:sz w:val="21"/>
              </w:rPr>
              <w:t>3 </w:t>
            </w:r>
            <w:r>
              <w:rPr>
                <w:rFonts w:ascii="微软雅黑" w:eastAsia="微软雅黑" w:hint="eastAsia"/>
                <w:b/>
                <w:spacing w:val="-14"/>
                <w:sz w:val="21"/>
              </w:rPr>
              <w:t>周岁以下儿童除外</w:t>
            </w:r>
            <w:r>
              <w:rPr>
                <w:rFonts w:ascii="微软雅黑" w:eastAsia="微软雅黑" w:hint="eastAsia"/>
                <w:b/>
                <w:spacing w:val="-3"/>
                <w:sz w:val="21"/>
              </w:rPr>
              <w:t>（被保险人确诊时间需在 </w:t>
            </w:r>
            <w:r>
              <w:rPr>
                <w:rFonts w:ascii="Times New Roman" w:eastAsia="Times New Roman"/>
                <w:b/>
                <w:sz w:val="21"/>
              </w:rPr>
              <w:t>3 </w:t>
            </w:r>
            <w:r>
              <w:rPr>
                <w:rFonts w:ascii="微软雅黑" w:eastAsia="微软雅黑" w:hint="eastAsia"/>
                <w:b/>
                <w:sz w:val="21"/>
              </w:rPr>
              <w:t>周岁以上方符合理赔条件， </w:t>
            </w:r>
            <w:r>
              <w:rPr>
                <w:rFonts w:ascii="微软雅黑" w:eastAsia="微软雅黑" w:hint="eastAsia"/>
                <w:b/>
                <w:spacing w:val="-3"/>
                <w:sz w:val="21"/>
              </w:rPr>
              <w:t>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1883"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双目失明</w:t>
            </w:r>
          </w:p>
        </w:tc>
        <w:tc>
          <w:tcPr>
            <w:tcW w:w="6874" w:type="dxa"/>
          </w:tcPr>
          <w:p>
            <w:pPr>
              <w:pStyle w:val="TableParagraph"/>
              <w:spacing w:before="87"/>
              <w:ind w:right="35"/>
              <w:rPr>
                <w:sz w:val="21"/>
              </w:rPr>
            </w:pPr>
            <w:r>
              <w:rPr>
                <w:sz w:val="21"/>
              </w:rPr>
              <w:t>指因疾病或意外伤害导致双眼视力永久不可逆性丧失，双眼中较好眼须满足下列至少一项条件：</w:t>
            </w:r>
          </w:p>
          <w:p>
            <w:pPr>
              <w:pStyle w:val="TableParagraph"/>
              <w:numPr>
                <w:ilvl w:val="0"/>
                <w:numId w:val="19"/>
              </w:numPr>
              <w:tabs>
                <w:tab w:pos="678" w:val="left" w:leader="none"/>
              </w:tabs>
              <w:spacing w:line="277" w:lineRule="exact" w:before="0" w:after="0"/>
              <w:ind w:left="677" w:right="0" w:hanging="566"/>
              <w:jc w:val="left"/>
              <w:rPr>
                <w:sz w:val="21"/>
              </w:rPr>
            </w:pPr>
            <w:r>
              <w:rPr>
                <w:spacing w:val="-3"/>
                <w:sz w:val="21"/>
              </w:rPr>
              <w:t>眼球缺失或摘除；</w:t>
            </w:r>
          </w:p>
          <w:p>
            <w:pPr>
              <w:pStyle w:val="TableParagraph"/>
              <w:numPr>
                <w:ilvl w:val="0"/>
                <w:numId w:val="19"/>
              </w:numPr>
              <w:tabs>
                <w:tab w:pos="678" w:val="left" w:leader="none"/>
              </w:tabs>
              <w:spacing w:line="225" w:lineRule="auto" w:before="8" w:after="0"/>
              <w:ind w:left="677" w:right="107" w:hanging="566"/>
              <w:jc w:val="left"/>
              <w:rPr>
                <w:sz w:val="21"/>
              </w:rPr>
            </w:pPr>
            <w:r>
              <w:rPr>
                <w:spacing w:val="-7"/>
                <w:sz w:val="21"/>
              </w:rPr>
              <w:t>矫正视力低于 </w:t>
            </w:r>
            <w:r>
              <w:rPr>
                <w:rFonts w:ascii="Times New Roman" w:eastAsia="Times New Roman"/>
                <w:sz w:val="21"/>
              </w:rPr>
              <w:t>0.02</w:t>
            </w:r>
            <w:r>
              <w:rPr>
                <w:sz w:val="21"/>
              </w:rPr>
              <w:t>（</w:t>
            </w:r>
            <w:r>
              <w:rPr>
                <w:spacing w:val="-4"/>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numPr>
                <w:ilvl w:val="0"/>
                <w:numId w:val="19"/>
              </w:numPr>
              <w:tabs>
                <w:tab w:pos="678" w:val="left" w:leader="none"/>
              </w:tabs>
              <w:spacing w:line="287" w:lineRule="exact" w:before="0" w:after="0"/>
              <w:ind w:left="677" w:right="0" w:hanging="566"/>
              <w:jc w:val="left"/>
              <w:rPr>
                <w:sz w:val="21"/>
              </w:rPr>
            </w:pPr>
            <w:r>
              <w:rPr>
                <w:spacing w:val="-9"/>
                <w:sz w:val="21"/>
              </w:rPr>
              <w:t>视野半径小于 </w:t>
            </w:r>
            <w:r>
              <w:rPr>
                <w:rFonts w:ascii="Times New Roman" w:eastAsia="Times New Roman"/>
                <w:sz w:val="21"/>
              </w:rPr>
              <w:t>5</w:t>
            </w:r>
            <w:r>
              <w:rPr>
                <w:rFonts w:ascii="Times New Roman" w:eastAsia="Times New Roman"/>
                <w:spacing w:val="0"/>
                <w:sz w:val="21"/>
              </w:rPr>
              <w:t> </w:t>
            </w:r>
            <w:r>
              <w:rPr>
                <w:sz w:val="21"/>
              </w:rPr>
              <w:t>度。</w:t>
            </w:r>
          </w:p>
        </w:tc>
      </w:tr>
      <w:tr>
        <w:trPr>
          <w:trHeight w:val="1050" w:hRule="atLeast"/>
        </w:trPr>
        <w:tc>
          <w:tcPr>
            <w:tcW w:w="2724" w:type="dxa"/>
          </w:tcPr>
          <w:p>
            <w:pPr>
              <w:pStyle w:val="TableParagraph"/>
              <w:spacing w:before="18"/>
              <w:ind w:left="1133"/>
              <w:rPr>
                <w:rFonts w:ascii="微软雅黑" w:eastAsia="微软雅黑" w:hint="eastAsia"/>
                <w:b/>
                <w:sz w:val="21"/>
              </w:rPr>
            </w:pPr>
            <w:r>
              <w:rPr>
                <w:rFonts w:ascii="微软雅黑" w:eastAsia="微软雅黑" w:hint="eastAsia"/>
                <w:b/>
                <w:sz w:val="21"/>
              </w:rPr>
              <w:t>瘫痪</w:t>
            </w:r>
          </w:p>
        </w:tc>
        <w:tc>
          <w:tcPr>
            <w:tcW w:w="6874" w:type="dxa"/>
          </w:tcPr>
          <w:p>
            <w:pPr>
              <w:pStyle w:val="TableParagraph"/>
              <w:spacing w:line="230" w:lineRule="auto" w:before="91"/>
              <w:ind w:right="104"/>
              <w:jc w:val="both"/>
              <w:rPr>
                <w:sz w:val="21"/>
              </w:rPr>
            </w:pPr>
            <w:r>
              <w:rPr>
                <w:spacing w:val="-6"/>
                <w:sz w:val="21"/>
              </w:rPr>
              <w:t>指因疾病或意外伤害导致两肢或两肢以上肢体机能永久完全丧失。肢体机</w:t>
            </w:r>
            <w:r>
              <w:rPr>
                <w:spacing w:val="-11"/>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9"/>
                <w:sz w:val="21"/>
              </w:rPr>
              <w:t>天后，每肢三</w:t>
            </w:r>
            <w:r>
              <w:rPr>
                <w:spacing w:val="-5"/>
                <w:sz w:val="21"/>
              </w:rPr>
              <w:t>大关节中的两大关节仍然完全僵硬，或不能随意识活动。</w:t>
            </w:r>
          </w:p>
        </w:tc>
      </w:tr>
      <w:tr>
        <w:trPr>
          <w:trHeight w:val="786" w:hRule="atLeast"/>
        </w:trPr>
        <w:tc>
          <w:tcPr>
            <w:tcW w:w="2724" w:type="dxa"/>
          </w:tcPr>
          <w:p>
            <w:pPr>
              <w:pStyle w:val="TableParagraph"/>
              <w:spacing w:before="26"/>
              <w:ind w:left="1133"/>
              <w:rPr>
                <w:rFonts w:ascii="微软雅黑" w:eastAsia="微软雅黑" w:hint="eastAsia"/>
                <w:b/>
                <w:sz w:val="21"/>
              </w:rPr>
            </w:pPr>
            <w:r>
              <w:rPr>
                <w:rFonts w:ascii="微软雅黑" w:eastAsia="微软雅黑" w:hint="eastAsia"/>
                <w:b/>
                <w:sz w:val="21"/>
              </w:rPr>
              <w:t>心脏瓣膜手术</w:t>
            </w:r>
          </w:p>
        </w:tc>
        <w:tc>
          <w:tcPr>
            <w:tcW w:w="6874" w:type="dxa"/>
          </w:tcPr>
          <w:p>
            <w:pPr>
              <w:pStyle w:val="TableParagraph"/>
              <w:spacing w:line="237" w:lineRule="auto" w:before="91"/>
              <w:ind w:right="104"/>
              <w:rPr>
                <w:sz w:val="21"/>
              </w:rPr>
            </w:pPr>
            <w:r>
              <w:rPr>
                <w:spacing w:val="-10"/>
                <w:sz w:val="21"/>
              </w:rPr>
              <w:t>指为治疗心脏瓣膜疾病，实际实施了开胸进行的心脏瓣膜置换或修复的手术。</w:t>
            </w:r>
          </w:p>
        </w:tc>
      </w:tr>
      <w:tr>
        <w:trPr>
          <w:trHeight w:val="1877" w:hRule="atLeast"/>
        </w:trPr>
        <w:tc>
          <w:tcPr>
            <w:tcW w:w="2724" w:type="dxa"/>
          </w:tcPr>
          <w:p>
            <w:pPr>
              <w:pStyle w:val="TableParagraph"/>
              <w:spacing w:line="180" w:lineRule="auto" w:before="116"/>
              <w:ind w:left="1133" w:right="110"/>
              <w:rPr>
                <w:rFonts w:ascii="微软雅黑" w:eastAsia="微软雅黑" w:hint="eastAsia"/>
                <w:b/>
                <w:sz w:val="21"/>
              </w:rPr>
            </w:pPr>
            <w:r>
              <w:rPr>
                <w:rFonts w:ascii="微软雅黑" w:eastAsia="微软雅黑" w:hint="eastAsia"/>
                <w:b/>
                <w:sz w:val="21"/>
              </w:rPr>
              <w:t>严重阿尔茨海默病</w:t>
            </w:r>
          </w:p>
        </w:tc>
        <w:tc>
          <w:tcPr>
            <w:tcW w:w="6874" w:type="dxa"/>
          </w:tcPr>
          <w:p>
            <w:pPr>
              <w:pStyle w:val="TableParagraph"/>
              <w:spacing w:line="232" w:lineRule="auto" w:before="96"/>
              <w:ind w:right="104"/>
              <w:jc w:val="both"/>
              <w:rPr>
                <w:sz w:val="21"/>
              </w:rPr>
            </w:pPr>
            <w:r>
              <w:rPr>
                <w:spacing w:val="-10"/>
                <w:sz w:val="21"/>
              </w:rPr>
              <w:t>指因大脑进行性、不可逆性改变导致智能严重衰退或丧失，临床表现为明</w:t>
            </w:r>
            <w:r>
              <w:rPr>
                <w:spacing w:val="-11"/>
                <w:sz w:val="21"/>
              </w:rPr>
              <w:t>显的认知能力障碍、行为异常和社交能力减退，其日常生活必须持续受到</w:t>
            </w:r>
            <w:r>
              <w:rPr>
                <w:spacing w:val="-6"/>
                <w:w w:val="100"/>
                <w:sz w:val="21"/>
              </w:rPr>
              <w:t>他人监护。须由头颅断层扫描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w:t>
            </w:r>
            <w:r>
              <w:rPr>
                <w:spacing w:val="-4"/>
                <w:sz w:val="21"/>
              </w:rPr>
              <w:t>射断层扫描</w:t>
            </w:r>
            <w:r>
              <w:rPr>
                <w:spacing w:val="-3"/>
                <w:sz w:val="21"/>
              </w:rPr>
              <w:t>（</w:t>
            </w:r>
            <w:r>
              <w:rPr>
                <w:rFonts w:ascii="Times New Roman" w:eastAsia="Times New Roman"/>
                <w:spacing w:val="-3"/>
                <w:sz w:val="21"/>
              </w:rPr>
              <w:t>PET</w:t>
            </w:r>
            <w:r>
              <w:rPr>
                <w:spacing w:val="-3"/>
                <w:sz w:val="21"/>
              </w:rPr>
              <w:t>）</w:t>
            </w:r>
            <w:r>
              <w:rPr>
                <w:spacing w:val="-5"/>
                <w:sz w:val="21"/>
              </w:rPr>
              <w:t>等影像学检查证实，且自主生活能力完全丧失，无法</w:t>
            </w:r>
            <w:r>
              <w:rPr>
                <w:spacing w:val="-3"/>
                <w:sz w:val="21"/>
              </w:rPr>
              <w:t>独立完成六项基本日常生活活动中的三项或三项以上。 神经官能症和精神疾病不在保障范围内。</w:t>
            </w:r>
          </w:p>
        </w:tc>
      </w:tr>
      <w:tr>
        <w:trPr>
          <w:trHeight w:val="2268"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严重脑损伤</w:t>
            </w:r>
          </w:p>
        </w:tc>
        <w:tc>
          <w:tcPr>
            <w:tcW w:w="6874" w:type="dxa"/>
          </w:tcPr>
          <w:p>
            <w:pPr>
              <w:pStyle w:val="TableParagraph"/>
              <w:spacing w:line="228" w:lineRule="auto" w:before="101"/>
              <w:ind w:right="104"/>
              <w:jc w:val="both"/>
              <w:rPr>
                <w:sz w:val="21"/>
              </w:rPr>
            </w:pPr>
            <w:r>
              <w:rPr>
                <w:spacing w:val="-8"/>
                <w:sz w:val="21"/>
              </w:rPr>
              <w:t>指因头部遭受机械性外力，引起脑重要部位损伤，导致神经系统永久性的</w:t>
            </w:r>
            <w:r>
              <w:rPr>
                <w:spacing w:val="-5"/>
                <w:w w:val="100"/>
                <w:sz w:val="21"/>
              </w:rPr>
              <w:t>功能障碍。须由头颅断层扫描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w:t>
            </w:r>
            <w:r>
              <w:rPr>
                <w:spacing w:val="-4"/>
                <w:sz w:val="21"/>
              </w:rPr>
              <w:t>射断层扫描</w:t>
            </w:r>
            <w:r>
              <w:rPr>
                <w:spacing w:val="-3"/>
                <w:sz w:val="21"/>
              </w:rPr>
              <w:t>（</w:t>
            </w:r>
            <w:r>
              <w:rPr>
                <w:rFonts w:ascii="Times New Roman" w:eastAsia="Times New Roman"/>
                <w:spacing w:val="-3"/>
                <w:sz w:val="21"/>
              </w:rPr>
              <w:t>PET</w:t>
            </w:r>
            <w:r>
              <w:rPr>
                <w:spacing w:val="-3"/>
                <w:sz w:val="21"/>
              </w:rPr>
              <w:t>）</w:t>
            </w:r>
            <w:r>
              <w:rPr>
                <w:spacing w:val="-5"/>
                <w:sz w:val="21"/>
              </w:rPr>
              <w:t>等影像学检查证实。神经系统永久性的功能障碍，指</w:t>
            </w:r>
            <w:r>
              <w:rPr>
                <w:spacing w:val="-13"/>
                <w:sz w:val="21"/>
              </w:rPr>
              <w:t>脑损伤 </w:t>
            </w:r>
            <w:r>
              <w:rPr>
                <w:rFonts w:ascii="Times New Roman" w:eastAsia="Times New Roman"/>
                <w:sz w:val="21"/>
              </w:rPr>
              <w:t>180 </w:t>
            </w:r>
            <w:r>
              <w:rPr>
                <w:spacing w:val="-3"/>
                <w:sz w:val="21"/>
              </w:rPr>
              <w:t>天后，仍遗留下列一种或一种以上障碍：</w:t>
            </w:r>
          </w:p>
          <w:p>
            <w:pPr>
              <w:pStyle w:val="TableParagraph"/>
              <w:numPr>
                <w:ilvl w:val="0"/>
                <w:numId w:val="20"/>
              </w:numPr>
              <w:tabs>
                <w:tab w:pos="678" w:val="left" w:leader="none"/>
              </w:tabs>
              <w:spacing w:line="264" w:lineRule="exact" w:before="0" w:after="0"/>
              <w:ind w:left="677" w:right="0" w:hanging="566"/>
              <w:jc w:val="left"/>
              <w:rPr>
                <w:sz w:val="21"/>
              </w:rPr>
            </w:pPr>
            <w:r>
              <w:rPr>
                <w:spacing w:val="-3"/>
                <w:sz w:val="21"/>
              </w:rPr>
              <w:t>一肢或一肢以上肢体机能完全丧失；</w:t>
            </w:r>
          </w:p>
          <w:p>
            <w:pPr>
              <w:pStyle w:val="TableParagraph"/>
              <w:numPr>
                <w:ilvl w:val="0"/>
                <w:numId w:val="20"/>
              </w:numPr>
              <w:tabs>
                <w:tab w:pos="678" w:val="left" w:leader="none"/>
              </w:tabs>
              <w:spacing w:line="271" w:lineRule="exact" w:before="0" w:after="0"/>
              <w:ind w:left="677" w:right="0" w:hanging="566"/>
              <w:jc w:val="left"/>
              <w:rPr>
                <w:sz w:val="21"/>
              </w:rPr>
            </w:pPr>
            <w:r>
              <w:rPr>
                <w:spacing w:val="-3"/>
                <w:sz w:val="21"/>
              </w:rPr>
              <w:t>语言能力或咀嚼吞咽能力完全丧失；</w:t>
            </w:r>
          </w:p>
          <w:p>
            <w:pPr>
              <w:pStyle w:val="TableParagraph"/>
              <w:numPr>
                <w:ilvl w:val="0"/>
                <w:numId w:val="20"/>
              </w:numPr>
              <w:tabs>
                <w:tab w:pos="678" w:val="left" w:leader="none"/>
              </w:tabs>
              <w:spacing w:line="274" w:lineRule="exact" w:before="16" w:after="0"/>
              <w:ind w:left="677" w:right="104" w:hanging="566"/>
              <w:jc w:val="left"/>
              <w:rPr>
                <w:sz w:val="21"/>
              </w:rPr>
            </w:pPr>
            <w:r>
              <w:rPr>
                <w:spacing w:val="-4"/>
                <w:sz w:val="21"/>
              </w:rPr>
              <w:t>自主生活能力完全丧失，无法独立完成六项基本日常生活活动中的</w:t>
            </w:r>
            <w:r>
              <w:rPr>
                <w:spacing w:val="-3"/>
                <w:sz w:val="21"/>
              </w:rPr>
              <w:t>三项或三项以上。</w:t>
            </w:r>
          </w:p>
        </w:tc>
      </w:tr>
    </w:tbl>
    <w:p>
      <w:pPr>
        <w:spacing w:after="0" w:line="274" w:lineRule="exact"/>
        <w:jc w:val="left"/>
        <w:rPr>
          <w:sz w:val="21"/>
        </w:rPr>
        <w:sectPr>
          <w:pgSz w:w="11910" w:h="16450"/>
          <w:pgMar w:header="857" w:footer="968" w:top="1040" w:bottom="1180" w:left="106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6874"/>
      </w:tblGrid>
      <w:tr>
        <w:trPr>
          <w:trHeight w:val="1831" w:hRule="atLeast"/>
        </w:trPr>
        <w:tc>
          <w:tcPr>
            <w:tcW w:w="2724" w:type="dxa"/>
            <w:tcBorders>
              <w:top w:val="single" w:sz="6" w:space="0" w:color="000000"/>
            </w:tcBorders>
          </w:tcPr>
          <w:p>
            <w:pPr>
              <w:pStyle w:val="TableParagraph"/>
              <w:spacing w:line="347" w:lineRule="exact"/>
              <w:ind w:left="1133"/>
              <w:rPr>
                <w:rFonts w:ascii="微软雅黑" w:eastAsia="微软雅黑" w:hint="eastAsia"/>
                <w:b/>
                <w:sz w:val="21"/>
              </w:rPr>
            </w:pPr>
            <w:r>
              <w:rPr>
                <w:rFonts w:ascii="微软雅黑" w:eastAsia="微软雅黑" w:hint="eastAsia"/>
                <w:b/>
                <w:sz w:val="21"/>
              </w:rPr>
              <w:t>严重帕金森病</w:t>
            </w:r>
          </w:p>
        </w:tc>
        <w:tc>
          <w:tcPr>
            <w:tcW w:w="6874" w:type="dxa"/>
            <w:tcBorders>
              <w:top w:val="single" w:sz="6" w:space="0" w:color="000000"/>
            </w:tcBorders>
          </w:tcPr>
          <w:p>
            <w:pPr>
              <w:pStyle w:val="TableParagraph"/>
              <w:spacing w:line="237" w:lineRule="auto" w:before="50"/>
              <w:ind w:right="34"/>
              <w:rPr>
                <w:sz w:val="21"/>
              </w:rPr>
            </w:pPr>
            <w:r>
              <w:rPr>
                <w:sz w:val="21"/>
              </w:rPr>
              <w:t>是一种中枢神经系统的退行性疾病，临床表现为震颤麻痹、共济失调等。须满足下列全部条件：</w:t>
            </w:r>
          </w:p>
          <w:p>
            <w:pPr>
              <w:pStyle w:val="TableParagraph"/>
              <w:numPr>
                <w:ilvl w:val="0"/>
                <w:numId w:val="21"/>
              </w:numPr>
              <w:tabs>
                <w:tab w:pos="678" w:val="left" w:leader="none"/>
              </w:tabs>
              <w:spacing w:line="280" w:lineRule="exact" w:before="0" w:after="0"/>
              <w:ind w:left="677" w:right="0" w:hanging="566"/>
              <w:jc w:val="left"/>
              <w:rPr>
                <w:sz w:val="21"/>
              </w:rPr>
            </w:pPr>
            <w:r>
              <w:rPr>
                <w:spacing w:val="-3"/>
                <w:sz w:val="21"/>
              </w:rPr>
              <w:t>药物治疗无法控制病情；</w:t>
            </w:r>
          </w:p>
          <w:p>
            <w:pPr>
              <w:pStyle w:val="TableParagraph"/>
              <w:numPr>
                <w:ilvl w:val="0"/>
                <w:numId w:val="21"/>
              </w:numPr>
              <w:tabs>
                <w:tab w:pos="678" w:val="left" w:leader="none"/>
              </w:tabs>
              <w:spacing w:line="225" w:lineRule="auto" w:before="7" w:after="0"/>
              <w:ind w:left="677" w:right="104" w:hanging="566"/>
              <w:jc w:val="left"/>
              <w:rPr>
                <w:sz w:val="21"/>
              </w:rPr>
            </w:pPr>
            <w:r>
              <w:rPr>
                <w:spacing w:val="-4"/>
                <w:sz w:val="21"/>
              </w:rPr>
              <w:t>自主生活能力完全丧失，无法独立完成六项基本日常生活活动中的</w:t>
            </w:r>
            <w:r>
              <w:rPr>
                <w:spacing w:val="-3"/>
                <w:sz w:val="21"/>
              </w:rPr>
              <w:t>三项或三项以上。</w:t>
            </w:r>
          </w:p>
          <w:p>
            <w:pPr>
              <w:pStyle w:val="TableParagraph"/>
              <w:spacing w:line="271" w:lineRule="exact"/>
              <w:rPr>
                <w:sz w:val="21"/>
              </w:rPr>
            </w:pPr>
            <w:r>
              <w:rPr>
                <w:sz w:val="21"/>
              </w:rPr>
              <w:t>继发性帕金森综合征不在保障范围内。</w:t>
            </w:r>
          </w:p>
        </w:tc>
      </w:tr>
      <w:tr>
        <w:trPr>
          <w:trHeight w:val="790" w:hRule="atLeast"/>
        </w:trPr>
        <w:tc>
          <w:tcPr>
            <w:tcW w:w="2724" w:type="dxa"/>
          </w:tcPr>
          <w:p>
            <w:pPr>
              <w:pStyle w:val="TableParagraph"/>
              <w:spacing w:before="28"/>
              <w:ind w:left="1133"/>
              <w:rPr>
                <w:rFonts w:ascii="微软雅黑" w:hAnsi="微软雅黑" w:eastAsia="微软雅黑" w:hint="eastAsia"/>
                <w:b/>
                <w:sz w:val="21"/>
              </w:rPr>
            </w:pPr>
            <w:r>
              <w:rPr>
                <w:rFonts w:ascii="微软雅黑" w:hAnsi="微软雅黑" w:eastAsia="微软雅黑" w:hint="eastAsia"/>
                <w:b/>
                <w:sz w:val="21"/>
              </w:rPr>
              <w:t>严重Ⅲ度烧伤</w:t>
            </w:r>
          </w:p>
        </w:tc>
        <w:tc>
          <w:tcPr>
            <w:tcW w:w="6874" w:type="dxa"/>
          </w:tcPr>
          <w:p>
            <w:pPr>
              <w:pStyle w:val="TableParagraph"/>
              <w:spacing w:line="225" w:lineRule="auto" w:before="108"/>
              <w:ind w:right="142"/>
              <w:rPr>
                <w:sz w:val="21"/>
              </w:rPr>
            </w:pPr>
            <w:r>
              <w:rPr>
                <w:spacing w:val="-5"/>
                <w:sz w:val="21"/>
              </w:rPr>
              <w:t>指烧伤程度为Ⅲ度，且Ⅲ度烧伤面积达到全身体表面积的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2"/>
                <w:sz w:val="21"/>
              </w:rPr>
              <w:t>％以</w:t>
            </w:r>
            <w:r>
              <w:rPr>
                <w:spacing w:val="-3"/>
                <w:sz w:val="21"/>
              </w:rPr>
              <w:t>上。体表面积根据 《中国新九分法》计算。</w:t>
            </w:r>
          </w:p>
        </w:tc>
      </w:tr>
      <w:tr>
        <w:trPr>
          <w:trHeight w:val="1066" w:hRule="atLeast"/>
        </w:trPr>
        <w:tc>
          <w:tcPr>
            <w:tcW w:w="2724" w:type="dxa"/>
          </w:tcPr>
          <w:p>
            <w:pPr>
              <w:pStyle w:val="TableParagraph"/>
              <w:spacing w:line="180" w:lineRule="auto" w:before="115"/>
              <w:ind w:left="1133" w:right="110"/>
              <w:rPr>
                <w:rFonts w:ascii="微软雅黑" w:eastAsia="微软雅黑" w:hint="eastAsia"/>
                <w:b/>
                <w:sz w:val="21"/>
              </w:rPr>
            </w:pPr>
            <w:r>
              <w:rPr>
                <w:rFonts w:ascii="微软雅黑" w:eastAsia="微软雅黑" w:hint="eastAsia"/>
                <w:b/>
                <w:sz w:val="21"/>
              </w:rPr>
              <w:t>严重原发性肺动脉高压</w:t>
            </w:r>
          </w:p>
        </w:tc>
        <w:tc>
          <w:tcPr>
            <w:tcW w:w="6874" w:type="dxa"/>
          </w:tcPr>
          <w:p>
            <w:pPr>
              <w:pStyle w:val="TableParagraph"/>
              <w:spacing w:line="237" w:lineRule="auto" w:before="90"/>
              <w:ind w:right="104"/>
              <w:jc w:val="both"/>
              <w:rPr>
                <w:sz w:val="21"/>
              </w:rPr>
            </w:pPr>
            <w:r>
              <w:rPr>
                <w:spacing w:val="-6"/>
                <w:sz w:val="21"/>
              </w:rPr>
              <w:t>指不明原因的肺动脉压力持续性增高，进行性发展而导致的慢性疾病，已</w:t>
            </w:r>
            <w:r>
              <w:rPr>
                <w:spacing w:val="-8"/>
                <w:sz w:val="21"/>
              </w:rPr>
              <w:t>经造成永久不可逆性的体力活动能力受限，达到美国纽约心脏病学会心功</w:t>
            </w:r>
            <w:r>
              <w:rPr>
                <w:spacing w:val="-12"/>
                <w:sz w:val="21"/>
              </w:rPr>
              <w:t>能状态分级 </w:t>
            </w:r>
            <w:r>
              <w:rPr>
                <w:rFonts w:ascii="Times New Roman" w:eastAsia="Times New Roman"/>
                <w:sz w:val="21"/>
              </w:rPr>
              <w:t>IV </w:t>
            </w:r>
            <w:r>
              <w:rPr>
                <w:spacing w:val="-6"/>
                <w:sz w:val="21"/>
              </w:rPr>
              <w:t>级，且静息状态下肺动脉平均压超过 </w:t>
            </w:r>
            <w:r>
              <w:rPr>
                <w:rFonts w:ascii="Times New Roman" w:eastAsia="Times New Roman"/>
                <w:sz w:val="21"/>
              </w:rPr>
              <w:t>30mmHg</w:t>
            </w:r>
            <w:r>
              <w:rPr>
                <w:sz w:val="21"/>
              </w:rPr>
              <w:t>。</w:t>
            </w:r>
          </w:p>
        </w:tc>
      </w:tr>
      <w:tr>
        <w:trPr>
          <w:trHeight w:val="1320" w:hRule="atLeast"/>
        </w:trPr>
        <w:tc>
          <w:tcPr>
            <w:tcW w:w="2724" w:type="dxa"/>
          </w:tcPr>
          <w:p>
            <w:pPr>
              <w:pStyle w:val="TableParagraph"/>
              <w:spacing w:line="180" w:lineRule="auto" w:before="107"/>
              <w:ind w:left="1133" w:right="110"/>
              <w:rPr>
                <w:rFonts w:ascii="微软雅黑" w:eastAsia="微软雅黑" w:hint="eastAsia"/>
                <w:b/>
                <w:sz w:val="21"/>
              </w:rPr>
            </w:pPr>
            <w:r>
              <w:rPr>
                <w:rFonts w:ascii="微软雅黑" w:eastAsia="微软雅黑" w:hint="eastAsia"/>
                <w:b/>
                <w:sz w:val="21"/>
              </w:rPr>
              <w:t>严重运动神经元病</w:t>
            </w:r>
          </w:p>
        </w:tc>
        <w:tc>
          <w:tcPr>
            <w:tcW w:w="6874" w:type="dxa"/>
          </w:tcPr>
          <w:p>
            <w:pPr>
              <w:pStyle w:val="TableParagraph"/>
              <w:spacing w:line="237" w:lineRule="auto" w:before="82"/>
              <w:ind w:right="104"/>
              <w:jc w:val="both"/>
              <w:rPr>
                <w:sz w:val="21"/>
              </w:rPr>
            </w:pPr>
            <w:r>
              <w:rPr>
                <w:spacing w:val="-7"/>
                <w:sz w:val="21"/>
              </w:rPr>
              <w:t>是一组中枢神经系统运动神经元的进行性变性疾病，包括进行性脊肌萎缩</w:t>
            </w:r>
            <w:r>
              <w:rPr>
                <w:spacing w:val="-11"/>
                <w:sz w:val="21"/>
              </w:rPr>
              <w:t>症、进行性延髓麻痹症、原发性侧索硬化症、肌萎缩性侧索硬化症。须满</w:t>
            </w:r>
            <w:r>
              <w:rPr>
                <w:spacing w:val="-12"/>
                <w:sz w:val="21"/>
              </w:rPr>
              <w:t>足自主生活能力完全丧失，无法独立完成六项基本日常生活活动中的三项</w:t>
            </w:r>
            <w:r>
              <w:rPr>
                <w:spacing w:val="-6"/>
                <w:sz w:val="21"/>
              </w:rPr>
              <w:t>或三项以上的条件。</w:t>
            </w:r>
          </w:p>
        </w:tc>
      </w:tr>
      <w:tr>
        <w:trPr>
          <w:trHeight w:val="1606" w:hRule="atLeast"/>
        </w:trPr>
        <w:tc>
          <w:tcPr>
            <w:tcW w:w="2724" w:type="dxa"/>
          </w:tcPr>
          <w:p>
            <w:pPr>
              <w:pStyle w:val="TableParagraph"/>
              <w:spacing w:before="28"/>
              <w:ind w:left="1133"/>
              <w:rPr>
                <w:rFonts w:ascii="微软雅黑" w:eastAsia="微软雅黑" w:hint="eastAsia"/>
                <w:b/>
                <w:sz w:val="21"/>
              </w:rPr>
            </w:pPr>
            <w:r>
              <w:rPr>
                <w:rFonts w:ascii="微软雅黑" w:eastAsia="微软雅黑" w:hint="eastAsia"/>
                <w:b/>
                <w:sz w:val="21"/>
              </w:rPr>
              <w:t>语言能力丧失</w:t>
            </w:r>
          </w:p>
        </w:tc>
        <w:tc>
          <w:tcPr>
            <w:tcW w:w="6874" w:type="dxa"/>
          </w:tcPr>
          <w:p>
            <w:pPr>
              <w:pStyle w:val="TableParagraph"/>
              <w:spacing w:line="281" w:lineRule="exact" w:before="90"/>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ind w:right="560"/>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182" w:lineRule="auto" w:before="31"/>
              <w:ind w:right="1"/>
              <w:rPr>
                <w:rFonts w:ascii="微软雅黑" w:eastAsia="微软雅黑" w:hint="eastAsia"/>
                <w:b/>
                <w:sz w:val="21"/>
              </w:rPr>
            </w:pPr>
            <w:r>
              <w:rPr>
                <w:rFonts w:ascii="Times New Roman" w:eastAsia="Times New Roman"/>
                <w:b/>
                <w:sz w:val="21"/>
              </w:rPr>
              <w:t>3 </w:t>
            </w:r>
            <w:r>
              <w:rPr>
                <w:rFonts w:ascii="微软雅黑" w:eastAsia="微软雅黑" w:hint="eastAsia"/>
                <w:b/>
                <w:spacing w:val="-14"/>
                <w:sz w:val="21"/>
              </w:rPr>
              <w:t>周岁以下儿童除外</w:t>
            </w:r>
            <w:r>
              <w:rPr>
                <w:rFonts w:ascii="微软雅黑" w:eastAsia="微软雅黑" w:hint="eastAsia"/>
                <w:b/>
                <w:spacing w:val="-3"/>
                <w:sz w:val="21"/>
              </w:rPr>
              <w:t>（被保险人确诊时间需在 </w:t>
            </w:r>
            <w:r>
              <w:rPr>
                <w:rFonts w:ascii="Times New Roman" w:eastAsia="Times New Roman"/>
                <w:b/>
                <w:sz w:val="21"/>
              </w:rPr>
              <w:t>3 </w:t>
            </w:r>
            <w:r>
              <w:rPr>
                <w:rFonts w:ascii="微软雅黑" w:eastAsia="微软雅黑" w:hint="eastAsia"/>
                <w:b/>
                <w:sz w:val="21"/>
              </w:rPr>
              <w:t>周岁以上方符合理赔条件， </w:t>
            </w:r>
            <w:r>
              <w:rPr>
                <w:rFonts w:ascii="微软雅黑" w:eastAsia="微软雅黑" w:hint="eastAsia"/>
                <w:b/>
                <w:spacing w:val="-3"/>
                <w:sz w:val="21"/>
              </w:rPr>
              <w:t>且理赔时必须提供专科医生的诊断证明和检查报告</w:t>
            </w:r>
            <w:r>
              <w:rPr>
                <w:rFonts w:ascii="微软雅黑" w:eastAsia="微软雅黑" w:hint="eastAsia"/>
                <w:b/>
                <w:spacing w:val="-108"/>
                <w:sz w:val="21"/>
              </w:rPr>
              <w:t>）</w:t>
            </w:r>
            <w:r>
              <w:rPr>
                <w:rFonts w:ascii="微软雅黑" w:eastAsia="微软雅黑" w:hint="eastAsia"/>
                <w:b/>
                <w:sz w:val="21"/>
              </w:rPr>
              <w:t>。</w:t>
            </w:r>
          </w:p>
        </w:tc>
      </w:tr>
      <w:tr>
        <w:trPr>
          <w:trHeight w:val="2154" w:hRule="atLeast"/>
        </w:trPr>
        <w:tc>
          <w:tcPr>
            <w:tcW w:w="2724" w:type="dxa"/>
          </w:tcPr>
          <w:p>
            <w:pPr>
              <w:pStyle w:val="TableParagraph"/>
              <w:spacing w:line="180" w:lineRule="auto" w:before="115"/>
              <w:ind w:left="1133" w:right="110"/>
              <w:rPr>
                <w:rFonts w:ascii="微软雅黑" w:eastAsia="微软雅黑" w:hint="eastAsia"/>
                <w:b/>
                <w:sz w:val="21"/>
              </w:rPr>
            </w:pPr>
            <w:r>
              <w:rPr>
                <w:rFonts w:ascii="微软雅黑" w:eastAsia="微软雅黑" w:hint="eastAsia"/>
                <w:b/>
                <w:sz w:val="21"/>
              </w:rPr>
              <w:t>重型再生障碍性贫血</w:t>
            </w:r>
          </w:p>
        </w:tc>
        <w:tc>
          <w:tcPr>
            <w:tcW w:w="6874" w:type="dxa"/>
          </w:tcPr>
          <w:p>
            <w:pPr>
              <w:pStyle w:val="TableParagraph"/>
              <w:spacing w:line="237" w:lineRule="auto" w:before="90"/>
              <w:ind w:right="104"/>
              <w:rPr>
                <w:sz w:val="21"/>
              </w:rPr>
            </w:pPr>
            <w:r>
              <w:rPr>
                <w:spacing w:val="-7"/>
                <w:sz w:val="21"/>
              </w:rPr>
              <w:t>指因骨髓造血功能慢性持续性衰竭导致的贫血、中性粒细胞减少及血小板</w:t>
            </w:r>
            <w:r>
              <w:rPr>
                <w:spacing w:val="-5"/>
                <w:sz w:val="21"/>
              </w:rPr>
              <w:t>减少，须满足以下全部条件：</w:t>
            </w:r>
          </w:p>
          <w:p>
            <w:pPr>
              <w:pStyle w:val="TableParagraph"/>
              <w:numPr>
                <w:ilvl w:val="0"/>
                <w:numId w:val="22"/>
              </w:numPr>
              <w:tabs>
                <w:tab w:pos="678" w:val="left" w:leader="none"/>
              </w:tabs>
              <w:spacing w:line="280" w:lineRule="exact" w:before="0" w:after="0"/>
              <w:ind w:left="677" w:right="0" w:hanging="566"/>
              <w:jc w:val="left"/>
              <w:rPr>
                <w:sz w:val="21"/>
              </w:rPr>
            </w:pPr>
            <w:r>
              <w:rPr>
                <w:spacing w:val="-3"/>
                <w:sz w:val="21"/>
              </w:rPr>
              <w:t>骨髓穿刺检查或骨髓活检结果支持诊断；</w:t>
            </w:r>
          </w:p>
          <w:p>
            <w:pPr>
              <w:pStyle w:val="TableParagraph"/>
              <w:numPr>
                <w:ilvl w:val="0"/>
                <w:numId w:val="22"/>
              </w:numPr>
              <w:tabs>
                <w:tab w:pos="678" w:val="left" w:leader="none"/>
              </w:tabs>
              <w:spacing w:line="272" w:lineRule="exact" w:before="0" w:after="0"/>
              <w:ind w:left="677" w:right="0" w:hanging="566"/>
              <w:jc w:val="left"/>
              <w:rPr>
                <w:sz w:val="21"/>
              </w:rPr>
            </w:pPr>
            <w:r>
              <w:rPr>
                <w:spacing w:val="-3"/>
                <w:sz w:val="21"/>
              </w:rPr>
              <w:t>外周血象必须具备以下三项条件：</w:t>
            </w:r>
          </w:p>
          <w:p>
            <w:pPr>
              <w:pStyle w:val="TableParagraph"/>
              <w:spacing w:line="272" w:lineRule="exact"/>
              <w:ind w:left="531"/>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rFonts w:ascii="Times New Roman" w:hAnsi="Times New Roman" w:eastAsia="Times New Roman"/>
                <w:sz w:val="21"/>
                <w:vertAlign w:val="baseline"/>
              </w:rPr>
              <w:t>/L </w:t>
            </w:r>
            <w:r>
              <w:rPr>
                <w:sz w:val="21"/>
                <w:vertAlign w:val="baseline"/>
              </w:rPr>
              <w:t>；</w:t>
            </w:r>
          </w:p>
          <w:p>
            <w:pPr>
              <w:pStyle w:val="TableParagraph"/>
              <w:spacing w:line="271" w:lineRule="exact"/>
              <w:ind w:left="531"/>
              <w:rPr>
                <w:sz w:val="21"/>
              </w:rPr>
            </w:pPr>
            <w:r>
              <w:rPr>
                <w:sz w:val="21"/>
              </w:rPr>
              <w:t>② 网织红细胞＜</w:t>
            </w:r>
            <w:r>
              <w:rPr>
                <w:rFonts w:ascii="Times New Roman" w:hAnsi="Times New Roman" w:eastAsia="Times New Roman"/>
                <w:sz w:val="21"/>
              </w:rPr>
              <w:t>1%</w:t>
            </w:r>
            <w:r>
              <w:rPr>
                <w:sz w:val="21"/>
              </w:rPr>
              <w:t>；</w:t>
            </w:r>
          </w:p>
          <w:p>
            <w:pPr>
              <w:pStyle w:val="TableParagraph"/>
              <w:spacing w:line="281" w:lineRule="exact"/>
              <w:ind w:left="531"/>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rFonts w:ascii="Times New Roman" w:hAnsi="Times New Roman" w:eastAsia="Times New Roman"/>
                <w:sz w:val="21"/>
                <w:vertAlign w:val="baseline"/>
              </w:rPr>
              <w:t>/L</w:t>
            </w:r>
            <w:r>
              <w:rPr>
                <w:sz w:val="21"/>
                <w:vertAlign w:val="baseline"/>
              </w:rPr>
              <w:t>。</w:t>
            </w:r>
          </w:p>
        </w:tc>
      </w:tr>
      <w:tr>
        <w:trPr>
          <w:trHeight w:val="1323" w:hRule="atLeast"/>
        </w:trPr>
        <w:tc>
          <w:tcPr>
            <w:tcW w:w="2724" w:type="dxa"/>
          </w:tcPr>
          <w:p>
            <w:pPr>
              <w:pStyle w:val="TableParagraph"/>
              <w:spacing w:before="18"/>
              <w:ind w:left="1133"/>
              <w:rPr>
                <w:rFonts w:ascii="微软雅黑" w:eastAsia="微软雅黑" w:hint="eastAsia"/>
                <w:b/>
                <w:sz w:val="21"/>
              </w:rPr>
            </w:pPr>
            <w:r>
              <w:rPr>
                <w:rFonts w:ascii="微软雅黑" w:eastAsia="微软雅黑" w:hint="eastAsia"/>
                <w:b/>
                <w:sz w:val="21"/>
              </w:rPr>
              <w:t>主动脉手术</w:t>
            </w:r>
          </w:p>
        </w:tc>
        <w:tc>
          <w:tcPr>
            <w:tcW w:w="6874" w:type="dxa"/>
          </w:tcPr>
          <w:p>
            <w:pPr>
              <w:pStyle w:val="TableParagraph"/>
              <w:spacing w:line="237" w:lineRule="auto" w:before="83"/>
              <w:ind w:right="104"/>
              <w:jc w:val="both"/>
              <w:rPr>
                <w:sz w:val="21"/>
              </w:rPr>
            </w:pPr>
            <w:r>
              <w:rPr>
                <w:spacing w:val="-8"/>
                <w:sz w:val="21"/>
              </w:rPr>
              <w:t>指为治疗主动脉疾病，实际实施了开胸或开腹进行的切除、置换、修补病</w:t>
            </w:r>
            <w:r>
              <w:rPr>
                <w:spacing w:val="-11"/>
                <w:sz w:val="21"/>
              </w:rPr>
              <w:t>损主动脉血管的手术。主动脉指胸主动脉和腹主动脉，不包括胸主动脉和</w:t>
            </w:r>
            <w:r>
              <w:rPr>
                <w:spacing w:val="-6"/>
                <w:sz w:val="21"/>
              </w:rPr>
              <w:t>腹主动脉的分支血管。</w:t>
            </w:r>
          </w:p>
          <w:p>
            <w:pPr>
              <w:pStyle w:val="TableParagraph"/>
              <w:spacing w:line="271" w:lineRule="exact"/>
              <w:jc w:val="both"/>
              <w:rPr>
                <w:sz w:val="21"/>
              </w:rPr>
            </w:pPr>
            <w:r>
              <w:rPr>
                <w:sz w:val="21"/>
              </w:rPr>
              <w:t>动脉内血管成形术不在保障范围内。</w:t>
            </w:r>
          </w:p>
        </w:tc>
      </w:tr>
      <w:tr>
        <w:trPr>
          <w:trHeight w:val="1058"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严重克隆病</w:t>
            </w:r>
          </w:p>
        </w:tc>
        <w:tc>
          <w:tcPr>
            <w:tcW w:w="6874" w:type="dxa"/>
          </w:tcPr>
          <w:p>
            <w:pPr>
              <w:pStyle w:val="TableParagraph"/>
              <w:spacing w:line="237" w:lineRule="auto" w:before="90"/>
              <w:ind w:right="34"/>
              <w:rPr>
                <w:sz w:val="21"/>
              </w:rPr>
            </w:pPr>
            <w:r>
              <w:rPr>
                <w:spacing w:val="-3"/>
                <w:sz w:val="21"/>
              </w:rPr>
              <w:t>克隆病是一种慢性肉芽肿性肠炎，具有特征性的克隆病病理组织学变化。</w:t>
            </w:r>
            <w:r>
              <w:rPr>
                <w:spacing w:val="-8"/>
                <w:sz w:val="21"/>
              </w:rPr>
              <w:t>诊断必须由病理检查结果证实。被保险人所患的克隆病必须已经造成瘘管</w:t>
            </w:r>
            <w:r>
              <w:rPr>
                <w:spacing w:val="-5"/>
                <w:sz w:val="21"/>
              </w:rPr>
              <w:t>形成并伴有肠梗阻或肠穿孔。</w:t>
            </w:r>
          </w:p>
        </w:tc>
      </w:tr>
      <w:tr>
        <w:trPr>
          <w:trHeight w:val="1611"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多发性硬化</w:t>
            </w:r>
          </w:p>
        </w:tc>
        <w:tc>
          <w:tcPr>
            <w:tcW w:w="6874" w:type="dxa"/>
          </w:tcPr>
          <w:p>
            <w:pPr>
              <w:pStyle w:val="TableParagraph"/>
              <w:spacing w:line="230" w:lineRule="auto" w:before="98"/>
              <w:rPr>
                <w:sz w:val="21"/>
              </w:rPr>
            </w:pPr>
            <w:r>
              <w:rPr>
                <w:spacing w:val="-5"/>
                <w:sz w:val="21"/>
              </w:rPr>
              <w:t>被保险人因脑及脊髓内的脱髓鞘病变而出现神经系统多灶性</w:t>
            </w:r>
            <w:r>
              <w:rPr>
                <w:sz w:val="21"/>
              </w:rPr>
              <w:t>（</w:t>
            </w:r>
            <w:r>
              <w:rPr>
                <w:spacing w:val="-3"/>
                <w:sz w:val="21"/>
              </w:rPr>
              <w:t>多发性</w:t>
            </w:r>
            <w:r>
              <w:rPr>
                <w:spacing w:val="-36"/>
                <w:sz w:val="21"/>
              </w:rPr>
              <w:t>）</w:t>
            </w:r>
            <w:r>
              <w:rPr>
                <w:sz w:val="21"/>
              </w:rPr>
              <w:t>多</w:t>
            </w:r>
            <w:r>
              <w:rPr>
                <w:spacing w:val="-8"/>
                <w:sz w:val="21"/>
              </w:rPr>
              <w:t>时相</w:t>
            </w:r>
            <w:r>
              <w:rPr>
                <w:spacing w:val="-3"/>
                <w:sz w:val="21"/>
              </w:rPr>
              <w:t>（</w:t>
            </w:r>
            <w:r>
              <w:rPr>
                <w:spacing w:val="-16"/>
                <w:sz w:val="21"/>
              </w:rPr>
              <w:t>至少 </w:t>
            </w:r>
            <w:r>
              <w:rPr>
                <w:rFonts w:ascii="Times New Roman" w:eastAsia="Times New Roman"/>
                <w:sz w:val="21"/>
              </w:rPr>
              <w:t>6 </w:t>
            </w:r>
            <w:r>
              <w:rPr>
                <w:spacing w:val="-5"/>
                <w:sz w:val="21"/>
              </w:rPr>
              <w:t>个月以内有一次以上</w:t>
            </w:r>
            <w:r>
              <w:rPr>
                <w:spacing w:val="-3"/>
                <w:sz w:val="21"/>
              </w:rPr>
              <w:t>（不包含一次</w:t>
            </w:r>
            <w:r>
              <w:rPr>
                <w:spacing w:val="-17"/>
                <w:sz w:val="21"/>
              </w:rPr>
              <w:t>）</w:t>
            </w:r>
            <w:r>
              <w:rPr>
                <w:spacing w:val="-1"/>
                <w:sz w:val="21"/>
              </w:rPr>
              <w:t>的发作</w:t>
            </w:r>
            <w:r>
              <w:rPr>
                <w:spacing w:val="-15"/>
                <w:sz w:val="21"/>
              </w:rPr>
              <w:t>）</w:t>
            </w:r>
            <w:r>
              <w:rPr>
                <w:spacing w:val="-5"/>
                <w:sz w:val="21"/>
              </w:rPr>
              <w:t>的病变，须由</w:t>
            </w:r>
            <w:r>
              <w:rPr>
                <w:spacing w:val="-18"/>
                <w:w w:val="100"/>
                <w:sz w:val="21"/>
              </w:rPr>
              <w:t>计算机断层扫描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1"/>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97"/>
                <w:w w:val="100"/>
                <w:sz w:val="21"/>
              </w:rPr>
              <w:t>）</w:t>
            </w:r>
            <w:r>
              <w:rPr>
                <w:spacing w:val="-13"/>
                <w:w w:val="100"/>
                <w:sz w:val="21"/>
              </w:rPr>
              <w:t>或正电子发射断层扫描</w:t>
            </w:r>
            <w:r>
              <w:rPr>
                <w:spacing w:val="-2"/>
                <w:w w:val="100"/>
                <w:sz w:val="21"/>
              </w:rPr>
              <w:t>（</w:t>
            </w:r>
            <w:r>
              <w:rPr>
                <w:rFonts w:ascii="Times New Roman" w:eastAsia="Times New Roman"/>
                <w:w w:val="100"/>
                <w:sz w:val="21"/>
              </w:rPr>
              <w:t>PE</w:t>
            </w:r>
            <w:r>
              <w:rPr>
                <w:rFonts w:ascii="Times New Roman" w:eastAsia="Times New Roman"/>
                <w:w w:val="100"/>
                <w:sz w:val="21"/>
              </w:rPr>
              <w:t>T</w:t>
            </w:r>
            <w:r>
              <w:rPr>
                <w:w w:val="100"/>
                <w:sz w:val="21"/>
              </w:rPr>
              <w:t>）</w:t>
            </w:r>
            <w:r>
              <w:rPr>
                <w:spacing w:val="-9"/>
                <w:sz w:val="21"/>
              </w:rPr>
              <w:t>等影像学检查证实，且已经造成自主生活能力完全丧失，无法独立完成六</w:t>
            </w:r>
            <w:r>
              <w:rPr>
                <w:spacing w:val="-7"/>
                <w:sz w:val="21"/>
              </w:rPr>
              <w:t>项基本日常生活活动中的三项或三项以上，持续至少 </w:t>
            </w:r>
            <w:r>
              <w:rPr>
                <w:rFonts w:ascii="Times New Roman" w:eastAsia="Times New Roman"/>
                <w:sz w:val="21"/>
              </w:rPr>
              <w:t>180 </w:t>
            </w:r>
            <w:r>
              <w:rPr>
                <w:sz w:val="21"/>
              </w:rPr>
              <w:t>天。</w:t>
            </w:r>
          </w:p>
        </w:tc>
      </w:tr>
      <w:tr>
        <w:trPr>
          <w:trHeight w:val="1172" w:hRule="atLeast"/>
        </w:trPr>
        <w:tc>
          <w:tcPr>
            <w:tcW w:w="2724" w:type="dxa"/>
          </w:tcPr>
          <w:p>
            <w:pPr>
              <w:pStyle w:val="TableParagraph"/>
              <w:spacing w:line="180" w:lineRule="auto" w:before="107"/>
              <w:ind w:left="1133" w:right="110"/>
              <w:rPr>
                <w:rFonts w:ascii="微软雅黑" w:eastAsia="微软雅黑" w:hint="eastAsia"/>
                <w:b/>
                <w:sz w:val="21"/>
              </w:rPr>
            </w:pPr>
            <w:r>
              <w:rPr>
                <w:rFonts w:ascii="微软雅黑" w:eastAsia="微软雅黑" w:hint="eastAsia"/>
                <w:b/>
                <w:sz w:val="21"/>
              </w:rPr>
              <w:t>严重肌营养不良症</w:t>
            </w:r>
          </w:p>
        </w:tc>
        <w:tc>
          <w:tcPr>
            <w:tcW w:w="6874" w:type="dxa"/>
          </w:tcPr>
          <w:p>
            <w:pPr>
              <w:pStyle w:val="TableParagraph"/>
              <w:spacing w:before="79"/>
              <w:ind w:right="104"/>
              <w:rPr>
                <w:sz w:val="21"/>
              </w:rPr>
            </w:pPr>
            <w:r>
              <w:rPr>
                <w:spacing w:val="-8"/>
                <w:sz w:val="21"/>
              </w:rPr>
              <w:t>指一组原发于肌肉的遗传性疾病，临床表现为与神经系统无关的肌肉无力</w:t>
            </w:r>
            <w:r>
              <w:rPr>
                <w:spacing w:val="-5"/>
                <w:sz w:val="21"/>
              </w:rPr>
              <w:t>和肌肉萎缩。须满足下列全部条件：</w:t>
            </w:r>
          </w:p>
          <w:p>
            <w:pPr>
              <w:pStyle w:val="TableParagraph"/>
              <w:spacing w:line="274" w:lineRule="exact" w:before="22"/>
              <w:ind w:left="677" w:right="104" w:hanging="567"/>
              <w:rPr>
                <w:sz w:val="21"/>
              </w:rPr>
            </w:pPr>
            <w:r>
              <w:rPr>
                <w:sz w:val="21"/>
              </w:rPr>
              <w:t>（</w:t>
            </w:r>
            <w:r>
              <w:rPr>
                <w:rFonts w:ascii="Times New Roman" w:eastAsia="Times New Roman"/>
                <w:sz w:val="21"/>
              </w:rPr>
              <w:t>1</w:t>
            </w:r>
            <w:r>
              <w:rPr>
                <w:sz w:val="21"/>
              </w:rPr>
              <w:t>）</w:t>
            </w:r>
            <w:r>
              <w:rPr>
                <w:spacing w:val="-8"/>
                <w:sz w:val="21"/>
              </w:rPr>
              <w:t> 肌肉组织活检结果满足肌营养不良症的肌肉细胞变性、坏死等阳性改变；</w:t>
            </w:r>
          </w:p>
        </w:tc>
      </w:tr>
    </w:tbl>
    <w:p>
      <w:pPr>
        <w:spacing w:after="0" w:line="274" w:lineRule="exact"/>
        <w:rPr>
          <w:sz w:val="21"/>
        </w:rPr>
        <w:sectPr>
          <w:pgSz w:w="11910" w:h="16450"/>
          <w:pgMar w:header="857" w:footer="968" w:top="1040" w:bottom="1180" w:left="106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6869"/>
      </w:tblGrid>
      <w:tr>
        <w:trPr>
          <w:trHeight w:val="746" w:hRule="atLeast"/>
        </w:trPr>
        <w:tc>
          <w:tcPr>
            <w:tcW w:w="2724" w:type="dxa"/>
            <w:tcBorders>
              <w:top w:val="single" w:sz="6" w:space="0" w:color="000000"/>
            </w:tcBorders>
          </w:tcPr>
          <w:p>
            <w:pPr>
              <w:pStyle w:val="TableParagraph"/>
              <w:ind w:left="0"/>
              <w:rPr>
                <w:rFonts w:ascii="Times New Roman"/>
                <w:sz w:val="20"/>
              </w:rPr>
            </w:pPr>
          </w:p>
        </w:tc>
        <w:tc>
          <w:tcPr>
            <w:tcW w:w="6869" w:type="dxa"/>
            <w:tcBorders>
              <w:top w:val="single" w:sz="6" w:space="0" w:color="000000"/>
            </w:tcBorders>
          </w:tcPr>
          <w:p>
            <w:pPr>
              <w:pStyle w:val="TableParagraph"/>
              <w:spacing w:line="223" w:lineRule="auto" w:before="67"/>
              <w:ind w:left="677" w:right="99" w:hanging="567"/>
              <w:rPr>
                <w:sz w:val="21"/>
              </w:rPr>
            </w:pPr>
            <w:r>
              <w:rPr>
                <w:sz w:val="21"/>
              </w:rPr>
              <w:t>（</w:t>
            </w:r>
            <w:r>
              <w:rPr>
                <w:rFonts w:ascii="Times New Roman" w:eastAsia="Times New Roman"/>
                <w:sz w:val="21"/>
              </w:rPr>
              <w:t>2</w:t>
            </w:r>
            <w:r>
              <w:rPr>
                <w:sz w:val="21"/>
              </w:rPr>
              <w:t>）</w:t>
            </w:r>
            <w:r>
              <w:rPr>
                <w:spacing w:val="-9"/>
                <w:sz w:val="21"/>
              </w:rPr>
              <w:t> 自主生活能力完全丧失，无法独立完成六项基本日常生活活动中的</w:t>
            </w:r>
            <w:r>
              <w:rPr>
                <w:spacing w:val="-5"/>
                <w:sz w:val="21"/>
              </w:rPr>
              <w:t>三项或三项以上。</w:t>
            </w:r>
          </w:p>
        </w:tc>
      </w:tr>
      <w:tr>
        <w:trPr>
          <w:trHeight w:val="2965" w:hRule="atLeast"/>
        </w:trPr>
        <w:tc>
          <w:tcPr>
            <w:tcW w:w="2724" w:type="dxa"/>
          </w:tcPr>
          <w:p>
            <w:pPr>
              <w:pStyle w:val="TableParagraph"/>
              <w:spacing w:before="26"/>
              <w:ind w:left="0" w:right="532"/>
              <w:jc w:val="right"/>
              <w:rPr>
                <w:rFonts w:ascii="微软雅黑" w:eastAsia="微软雅黑" w:hint="eastAsia"/>
                <w:b/>
                <w:sz w:val="21"/>
              </w:rPr>
            </w:pPr>
            <w:r>
              <w:rPr>
                <w:rFonts w:ascii="微软雅黑" w:eastAsia="微软雅黑" w:hint="eastAsia"/>
                <w:b/>
                <w:sz w:val="21"/>
              </w:rPr>
              <w:t>重症肌无力</w:t>
            </w:r>
          </w:p>
        </w:tc>
        <w:tc>
          <w:tcPr>
            <w:tcW w:w="6869" w:type="dxa"/>
          </w:tcPr>
          <w:p>
            <w:pPr>
              <w:pStyle w:val="TableParagraph"/>
              <w:spacing w:line="237" w:lineRule="auto" w:before="91"/>
              <w:ind w:right="99"/>
              <w:jc w:val="both"/>
              <w:rPr>
                <w:sz w:val="21"/>
              </w:rPr>
            </w:pPr>
            <w:r>
              <w:rPr>
                <w:spacing w:val="-6"/>
                <w:sz w:val="21"/>
              </w:rPr>
              <w:t>是指一种神经与肌肉接头部位传递障碍的自身免疫性疾病，临床特征是局</w:t>
            </w:r>
            <w:r>
              <w:rPr>
                <w:spacing w:val="-7"/>
                <w:sz w:val="21"/>
              </w:rPr>
              <w:t>部或全身横纹肌于活动时易于疲劳无力，颅神经眼外肌最易累及，也可涉</w:t>
            </w:r>
            <w:r>
              <w:rPr>
                <w:spacing w:val="-11"/>
                <w:sz w:val="21"/>
              </w:rPr>
              <w:t>及呼吸肌、下肢近端肌群以至全身肌肉，须经本公司认可的神经科医师确</w:t>
            </w:r>
            <w:r>
              <w:rPr>
                <w:spacing w:val="-6"/>
                <w:sz w:val="21"/>
              </w:rPr>
              <w:t>诊。其诊断必须同时具有下列情况：</w:t>
            </w:r>
          </w:p>
          <w:p>
            <w:pPr>
              <w:pStyle w:val="TableParagraph"/>
              <w:numPr>
                <w:ilvl w:val="0"/>
                <w:numId w:val="23"/>
              </w:numPr>
              <w:tabs>
                <w:tab w:pos="678" w:val="left" w:leader="none"/>
              </w:tabs>
              <w:spacing w:line="279" w:lineRule="exact" w:before="0" w:after="0"/>
              <w:ind w:left="677" w:right="0" w:hanging="566"/>
              <w:jc w:val="left"/>
              <w:rPr>
                <w:sz w:val="21"/>
              </w:rPr>
            </w:pPr>
            <w:r>
              <w:rPr>
                <w:spacing w:val="-12"/>
                <w:sz w:val="21"/>
              </w:rPr>
              <w:t>经药物、胸腺手术治疗一年以上无法控制病情，丧失正常工作能力；</w:t>
            </w:r>
          </w:p>
          <w:p>
            <w:pPr>
              <w:pStyle w:val="TableParagraph"/>
              <w:numPr>
                <w:ilvl w:val="0"/>
                <w:numId w:val="23"/>
              </w:numPr>
              <w:tabs>
                <w:tab w:pos="678" w:val="left" w:leader="none"/>
              </w:tabs>
              <w:spacing w:line="230" w:lineRule="auto" w:before="3" w:after="0"/>
              <w:ind w:left="677" w:right="99" w:hanging="566"/>
              <w:jc w:val="both"/>
              <w:rPr>
                <w:sz w:val="21"/>
              </w:rPr>
            </w:pPr>
            <w:r>
              <w:rPr>
                <w:spacing w:val="-9"/>
                <w:sz w:val="21"/>
              </w:rPr>
              <w:t>出现眼睑下垂，或延髓肌受累引起的构音困难、进食呛咳</w:t>
            </w:r>
            <w:r>
              <w:rPr>
                <w:rFonts w:ascii="Times New Roman" w:eastAsia="Times New Roman"/>
                <w:sz w:val="21"/>
              </w:rPr>
              <w:t>,</w:t>
            </w:r>
            <w:r>
              <w:rPr>
                <w:spacing w:val="-3"/>
                <w:sz w:val="21"/>
              </w:rPr>
              <w:t>或由于肌</w:t>
            </w:r>
            <w:r>
              <w:rPr>
                <w:spacing w:val="-4"/>
                <w:sz w:val="21"/>
              </w:rPr>
              <w:t>无力累及延髓肌、呼吸肌而致机体呼吸功能不正常的危急状态即肌</w:t>
            </w:r>
            <w:r>
              <w:rPr>
                <w:spacing w:val="-3"/>
                <w:sz w:val="21"/>
              </w:rPr>
              <w:t>无力危象；</w:t>
            </w:r>
          </w:p>
          <w:p>
            <w:pPr>
              <w:pStyle w:val="TableParagraph"/>
              <w:numPr>
                <w:ilvl w:val="0"/>
                <w:numId w:val="23"/>
              </w:numPr>
              <w:tabs>
                <w:tab w:pos="678" w:val="left" w:leader="none"/>
              </w:tabs>
              <w:spacing w:line="225" w:lineRule="auto" w:before="13" w:after="0"/>
              <w:ind w:left="677" w:right="101" w:hanging="566"/>
              <w:jc w:val="both"/>
              <w:rPr>
                <w:sz w:val="21"/>
              </w:rPr>
            </w:pPr>
            <w:r>
              <w:rPr>
                <w:spacing w:val="-4"/>
                <w:sz w:val="21"/>
              </w:rPr>
              <w:t>症状缓解、复发及恶化交替出现，临床接受新斯的明等抗胆碱酯酶</w:t>
            </w:r>
            <w:r>
              <w:rPr>
                <w:spacing w:val="-3"/>
                <w:sz w:val="21"/>
              </w:rPr>
              <w:t>药物治疗的病史。</w:t>
            </w:r>
          </w:p>
        </w:tc>
      </w:tr>
      <w:tr>
        <w:trPr>
          <w:trHeight w:val="1599" w:hRule="atLeast"/>
        </w:trPr>
        <w:tc>
          <w:tcPr>
            <w:tcW w:w="2724" w:type="dxa"/>
          </w:tcPr>
          <w:p>
            <w:pPr>
              <w:pStyle w:val="TableParagraph"/>
              <w:spacing w:before="25"/>
              <w:ind w:left="0" w:right="532"/>
              <w:jc w:val="right"/>
              <w:rPr>
                <w:rFonts w:ascii="微软雅黑" w:eastAsia="微软雅黑" w:hint="eastAsia"/>
                <w:b/>
                <w:sz w:val="21"/>
              </w:rPr>
            </w:pPr>
            <w:r>
              <w:rPr>
                <w:rFonts w:ascii="微软雅黑" w:eastAsia="微软雅黑" w:hint="eastAsia"/>
                <w:b/>
                <w:sz w:val="21"/>
              </w:rPr>
              <w:t>植物人状态</w:t>
            </w:r>
          </w:p>
        </w:tc>
        <w:tc>
          <w:tcPr>
            <w:tcW w:w="6869" w:type="dxa"/>
          </w:tcPr>
          <w:p>
            <w:pPr>
              <w:pStyle w:val="TableParagraph"/>
              <w:spacing w:line="235" w:lineRule="auto" w:before="93"/>
              <w:ind w:right="99"/>
              <w:jc w:val="both"/>
              <w:rPr>
                <w:sz w:val="21"/>
              </w:rPr>
            </w:pPr>
            <w:r>
              <w:rPr>
                <w:spacing w:val="-8"/>
                <w:sz w:val="21"/>
              </w:rPr>
              <w:t>一种丧失生理、意识和交流功能后的临床依赖状态。可以是由脑外伤、缺</w:t>
            </w:r>
            <w:r>
              <w:rPr>
                <w:spacing w:val="-11"/>
                <w:sz w:val="21"/>
              </w:rPr>
              <w:t>氧持续状态、严重的脑炎或者某种神经毒素造成。患者无法从事主动或者有目的的活动，而只能对疼痛刺激产生反应。被保险人需要在医院使用辅</w:t>
            </w:r>
            <w:r>
              <w:rPr>
                <w:spacing w:val="-14"/>
                <w:sz w:val="21"/>
              </w:rPr>
              <w:t>助机器维持生命。只有在因植物人状态持续 </w:t>
            </w:r>
            <w:r>
              <w:rPr>
                <w:rFonts w:ascii="Times New Roman" w:eastAsia="Times New Roman"/>
                <w:sz w:val="21"/>
              </w:rPr>
              <w:t>180 </w:t>
            </w:r>
            <w:r>
              <w:rPr>
                <w:spacing w:val="-3"/>
                <w:sz w:val="21"/>
              </w:rPr>
              <w:t>天以后并且必须有神经科专科医生的医学诊断证明的情况下才能得到理赔。</w:t>
            </w:r>
          </w:p>
        </w:tc>
      </w:tr>
      <w:tr>
        <w:trPr>
          <w:trHeight w:val="2704" w:hRule="atLeast"/>
        </w:trPr>
        <w:tc>
          <w:tcPr>
            <w:tcW w:w="2724" w:type="dxa"/>
          </w:tcPr>
          <w:p>
            <w:pPr>
              <w:pStyle w:val="TableParagraph"/>
              <w:spacing w:line="180" w:lineRule="auto" w:before="119"/>
              <w:ind w:left="1133" w:right="110"/>
              <w:rPr>
                <w:rFonts w:ascii="微软雅黑" w:eastAsia="微软雅黑" w:hint="eastAsia"/>
                <w:b/>
                <w:sz w:val="21"/>
              </w:rPr>
            </w:pPr>
            <w:r>
              <w:rPr>
                <w:rFonts w:ascii="微软雅黑" w:eastAsia="微软雅黑" w:hint="eastAsia"/>
                <w:b/>
                <w:sz w:val="21"/>
              </w:rPr>
              <w:t>严重原发性心肌病</w:t>
            </w:r>
          </w:p>
        </w:tc>
        <w:tc>
          <w:tcPr>
            <w:tcW w:w="6869" w:type="dxa"/>
          </w:tcPr>
          <w:p>
            <w:pPr>
              <w:pStyle w:val="TableParagraph"/>
              <w:spacing w:line="225" w:lineRule="auto" w:before="108"/>
              <w:ind w:right="101"/>
              <w:jc w:val="both"/>
              <w:rPr>
                <w:sz w:val="21"/>
              </w:rPr>
            </w:pPr>
            <w:r>
              <w:rPr>
                <w:sz w:val="21"/>
              </w:rPr>
              <w:t>指不明原因引起的一类心肌病变</w:t>
            </w:r>
            <w:r>
              <w:rPr>
                <w:rFonts w:ascii="Times New Roman" w:eastAsia="Times New Roman"/>
                <w:sz w:val="21"/>
              </w:rPr>
              <w:t>,</w:t>
            </w:r>
            <w:r>
              <w:rPr>
                <w:sz w:val="21"/>
              </w:rPr>
              <w:t>包括原发性扩张型心肌病</w:t>
            </w:r>
            <w:r>
              <w:rPr>
                <w:rFonts w:ascii="Times New Roman" w:eastAsia="Times New Roman"/>
                <w:sz w:val="21"/>
              </w:rPr>
              <w:t>,</w:t>
            </w:r>
            <w:r>
              <w:rPr>
                <w:sz w:val="21"/>
              </w:rPr>
              <w:t>原发性肥厚型心肌病及原发性限制型心肌病三种</w:t>
            </w:r>
            <w:r>
              <w:rPr>
                <w:rFonts w:ascii="Times New Roman" w:eastAsia="Times New Roman"/>
                <w:sz w:val="21"/>
              </w:rPr>
              <w:t>,</w:t>
            </w:r>
            <w:r>
              <w:rPr>
                <w:sz w:val="21"/>
              </w:rPr>
              <w:t>病变必须已造成事实上心室功能障碍而出现明显的心功能衰竭</w:t>
            </w:r>
            <w:r>
              <w:rPr>
                <w:rFonts w:ascii="Times New Roman" w:eastAsia="Times New Roman"/>
                <w:sz w:val="21"/>
              </w:rPr>
              <w:t>(</w:t>
            </w:r>
            <w:r>
              <w:rPr>
                <w:sz w:val="21"/>
              </w:rPr>
              <w:t>指按照美国纽约心脏协会心功能分类标准心功能达四级</w:t>
            </w:r>
            <w:r>
              <w:rPr>
                <w:rFonts w:ascii="Times New Roman" w:eastAsia="Times New Roman"/>
                <w:sz w:val="21"/>
              </w:rPr>
              <w:t>*),</w:t>
            </w:r>
            <w:r>
              <w:rPr>
                <w:sz w:val="21"/>
              </w:rPr>
              <w:t>且有相关住院医疗记录显示四级心功能衰竭状态持续至少</w:t>
            </w:r>
          </w:p>
          <w:p>
            <w:pPr>
              <w:pStyle w:val="TableParagraph"/>
              <w:spacing w:line="264" w:lineRule="exact"/>
              <w:rPr>
                <w:sz w:val="21"/>
              </w:rPr>
            </w:pPr>
            <w:r>
              <w:rPr>
                <w:rFonts w:ascii="Times New Roman" w:eastAsia="Times New Roman"/>
                <w:sz w:val="21"/>
              </w:rPr>
              <w:t>180 </w:t>
            </w:r>
            <w:r>
              <w:rPr>
                <w:sz w:val="21"/>
              </w:rPr>
              <w:t>天。</w:t>
            </w:r>
          </w:p>
          <w:p>
            <w:pPr>
              <w:pStyle w:val="TableParagraph"/>
              <w:ind w:right="99"/>
              <w:jc w:val="both"/>
              <w:rPr>
                <w:sz w:val="21"/>
              </w:rPr>
            </w:pPr>
            <w:r>
              <w:rPr>
                <w:spacing w:val="-9"/>
                <w:sz w:val="21"/>
              </w:rPr>
              <w:t>本病须经专科医生明确诊断，继发于全身性疾病或其它器官系统疾病造成</w:t>
            </w:r>
            <w:r>
              <w:rPr>
                <w:spacing w:val="-5"/>
                <w:sz w:val="21"/>
              </w:rPr>
              <w:t>的心肌病变不在保障范围内。</w:t>
            </w:r>
          </w:p>
          <w:p>
            <w:pPr>
              <w:pStyle w:val="TableParagraph"/>
              <w:spacing w:line="225" w:lineRule="auto" w:before="23"/>
              <w:ind w:right="103"/>
              <w:jc w:val="both"/>
              <w:rPr>
                <w:sz w:val="21"/>
              </w:rPr>
            </w:pPr>
            <w:r>
              <w:rPr>
                <w:rFonts w:ascii="Times New Roman" w:eastAsia="Times New Roman"/>
                <w:sz w:val="21"/>
              </w:rPr>
              <w:t>*</w:t>
            </w:r>
            <w:r>
              <w:rPr>
                <w:sz w:val="21"/>
              </w:rPr>
              <w:t>美国纽约心脏协会分类标准心功能四级是指有医院的医疗记录显示病人不能进行任何活动</w:t>
            </w:r>
            <w:r>
              <w:rPr>
                <w:rFonts w:ascii="Times New Roman" w:eastAsia="Times New Roman"/>
                <w:sz w:val="21"/>
              </w:rPr>
              <w:t>,</w:t>
            </w:r>
            <w:r>
              <w:rPr>
                <w:sz w:val="21"/>
              </w:rPr>
              <w:t>休息时仍有心悸</w:t>
            </w:r>
            <w:r>
              <w:rPr>
                <w:rFonts w:ascii="Times New Roman" w:eastAsia="Times New Roman"/>
                <w:sz w:val="21"/>
              </w:rPr>
              <w:t>,</w:t>
            </w:r>
            <w:r>
              <w:rPr>
                <w:sz w:val="21"/>
              </w:rPr>
              <w:t>呼吸困难等心力衰竭表现。</w:t>
            </w:r>
          </w:p>
        </w:tc>
      </w:tr>
      <w:tr>
        <w:trPr>
          <w:trHeight w:val="4054" w:hRule="atLeast"/>
        </w:trPr>
        <w:tc>
          <w:tcPr>
            <w:tcW w:w="2724" w:type="dxa"/>
          </w:tcPr>
          <w:p>
            <w:pPr>
              <w:pStyle w:val="TableParagraph"/>
              <w:spacing w:line="317" w:lineRule="exact" w:before="17"/>
              <w:ind w:left="1133"/>
              <w:rPr>
                <w:rFonts w:ascii="微软雅黑" w:eastAsia="微软雅黑" w:hint="eastAsia"/>
                <w:b/>
                <w:sz w:val="21"/>
              </w:rPr>
            </w:pPr>
            <w:r>
              <w:rPr>
                <w:rFonts w:ascii="微软雅黑" w:eastAsia="微软雅黑" w:hint="eastAsia"/>
                <w:b/>
                <w:sz w:val="21"/>
              </w:rPr>
              <w:t>系统性红斑狼疮</w:t>
            </w:r>
          </w:p>
          <w:p>
            <w:pPr>
              <w:pStyle w:val="TableParagraph"/>
              <w:spacing w:line="180" w:lineRule="auto" w:before="45"/>
              <w:ind w:left="1133" w:right="112"/>
              <w:rPr>
                <w:rFonts w:ascii="微软雅黑" w:eastAsia="微软雅黑" w:hint="eastAsia"/>
                <w:b/>
                <w:sz w:val="21"/>
              </w:rPr>
            </w:pPr>
            <w:r>
              <w:rPr>
                <w:rFonts w:ascii="Times New Roman" w:eastAsia="Times New Roman"/>
                <w:b/>
                <w:sz w:val="21"/>
              </w:rPr>
              <w:t>-III </w:t>
            </w:r>
            <w:r>
              <w:rPr>
                <w:rFonts w:ascii="微软雅黑" w:eastAsia="微软雅黑" w:hint="eastAsia"/>
                <w:b/>
                <w:sz w:val="21"/>
              </w:rPr>
              <w:t>型或以上狼疮性肾炎</w:t>
            </w:r>
          </w:p>
        </w:tc>
        <w:tc>
          <w:tcPr>
            <w:tcW w:w="6869" w:type="dxa"/>
          </w:tcPr>
          <w:p>
            <w:pPr>
              <w:pStyle w:val="TableParagraph"/>
              <w:spacing w:line="237" w:lineRule="auto" w:before="82"/>
              <w:ind w:right="99"/>
              <w:rPr>
                <w:sz w:val="21"/>
              </w:rPr>
            </w:pPr>
            <w:r>
              <w:rPr>
                <w:spacing w:val="-7"/>
                <w:sz w:val="21"/>
              </w:rPr>
              <w:t>系统性红斑狼疮是由多种因素引起，累及多系统的自身免疫性疾病。其特</w:t>
            </w:r>
            <w:r>
              <w:rPr>
                <w:spacing w:val="-5"/>
                <w:sz w:val="21"/>
              </w:rPr>
              <w:t>点是生成自身抗体对抗多种自身抗原。多见于育龄妇女。</w:t>
            </w:r>
          </w:p>
          <w:p>
            <w:pPr>
              <w:pStyle w:val="TableParagraph"/>
              <w:spacing w:line="272" w:lineRule="exact"/>
              <w:rPr>
                <w:sz w:val="21"/>
              </w:rPr>
            </w:pPr>
            <w:r>
              <w:rPr>
                <w:sz w:val="21"/>
              </w:rPr>
              <w:t>本保障所指的系统性红斑狼疮仅限于累及肾脏（经肾脏活检确认的，符合</w:t>
            </w:r>
          </w:p>
          <w:p>
            <w:pPr>
              <w:pStyle w:val="TableParagraph"/>
              <w:spacing w:line="230" w:lineRule="auto" w:before="10"/>
              <w:ind w:right="99"/>
              <w:jc w:val="both"/>
              <w:rPr>
                <w:sz w:val="21"/>
              </w:rPr>
            </w:pPr>
            <w:r>
              <w:rPr>
                <w:rFonts w:ascii="Times New Roman" w:eastAsia="Times New Roman"/>
                <w:sz w:val="21"/>
              </w:rPr>
              <w:t>WHO </w:t>
            </w:r>
            <w:r>
              <w:rPr>
                <w:spacing w:val="-10"/>
                <w:sz w:val="21"/>
              </w:rPr>
              <w:t>诊断标准定义 </w:t>
            </w:r>
            <w:r>
              <w:rPr>
                <w:rFonts w:ascii="Times New Roman" w:eastAsia="Times New Roman"/>
                <w:sz w:val="21"/>
              </w:rPr>
              <w:t>III </w:t>
            </w:r>
            <w:r>
              <w:rPr>
                <w:spacing w:val="-16"/>
                <w:sz w:val="21"/>
              </w:rPr>
              <w:t>型至 </w:t>
            </w:r>
            <w:r>
              <w:rPr>
                <w:rFonts w:ascii="Times New Roman" w:eastAsia="Times New Roman"/>
                <w:sz w:val="21"/>
              </w:rPr>
              <w:t>VI </w:t>
            </w:r>
            <w:r>
              <w:rPr>
                <w:spacing w:val="-3"/>
                <w:sz w:val="21"/>
              </w:rPr>
              <w:t>型狼疮性肾炎）</w:t>
            </w:r>
            <w:r>
              <w:rPr>
                <w:spacing w:val="-4"/>
                <w:sz w:val="21"/>
              </w:rPr>
              <w:t>的系统性红斑狼疮。其他</w:t>
            </w:r>
            <w:r>
              <w:rPr>
                <w:spacing w:val="-9"/>
                <w:sz w:val="21"/>
              </w:rPr>
              <w:t>类型的红斑性狼疮，如盘状狼疮、仅累及血液及关节的狼疮不在本保障范围內。</w:t>
            </w:r>
          </w:p>
          <w:p>
            <w:pPr>
              <w:pStyle w:val="TableParagraph"/>
              <w:spacing w:line="237" w:lineRule="auto" w:before="1"/>
              <w:ind w:right="2888"/>
              <w:rPr>
                <w:sz w:val="21"/>
              </w:rPr>
            </w:pPr>
            <w:r>
              <w:rPr>
                <w:sz w:val="21"/>
              </w:rPr>
              <w:t>本病必须由免疫和风湿科专家医师确诊。世界卫生组织（</w:t>
            </w:r>
            <w:r>
              <w:rPr>
                <w:rFonts w:ascii="Times New Roman" w:eastAsia="Times New Roman"/>
                <w:sz w:val="21"/>
              </w:rPr>
              <w:t>WHO</w:t>
            </w:r>
            <w:r>
              <w:rPr>
                <w:sz w:val="21"/>
              </w:rPr>
              <w:t>）狼疮性肾炎分型：</w:t>
            </w:r>
          </w:p>
          <w:p>
            <w:pPr>
              <w:pStyle w:val="TableParagraph"/>
              <w:numPr>
                <w:ilvl w:val="0"/>
                <w:numId w:val="24"/>
              </w:numPr>
              <w:tabs>
                <w:tab w:pos="551" w:val="left" w:leader="none"/>
              </w:tabs>
              <w:spacing w:line="264" w:lineRule="exact" w:before="0" w:after="0"/>
              <w:ind w:left="550" w:right="0" w:hanging="381"/>
              <w:jc w:val="both"/>
              <w:rPr>
                <w:sz w:val="21"/>
              </w:rPr>
            </w:pPr>
            <w:r>
              <w:rPr>
                <w:spacing w:val="-3"/>
                <w:sz w:val="21"/>
              </w:rPr>
              <w:t>型：微小病变型</w:t>
            </w:r>
          </w:p>
          <w:p>
            <w:pPr>
              <w:pStyle w:val="TableParagraph"/>
              <w:numPr>
                <w:ilvl w:val="0"/>
                <w:numId w:val="24"/>
              </w:numPr>
              <w:tabs>
                <w:tab w:pos="534" w:val="left" w:leader="none"/>
              </w:tabs>
              <w:spacing w:line="272" w:lineRule="exact" w:before="0" w:after="0"/>
              <w:ind w:left="533" w:right="0" w:hanging="364"/>
              <w:jc w:val="both"/>
              <w:rPr>
                <w:sz w:val="21"/>
              </w:rPr>
            </w:pPr>
            <w:r>
              <w:rPr>
                <w:spacing w:val="-3"/>
                <w:sz w:val="21"/>
              </w:rPr>
              <w:t>型：系膜增殖性狼疮性肾炎</w:t>
            </w:r>
          </w:p>
          <w:p>
            <w:pPr>
              <w:pStyle w:val="TableParagraph"/>
              <w:numPr>
                <w:ilvl w:val="0"/>
                <w:numId w:val="24"/>
              </w:numPr>
              <w:tabs>
                <w:tab w:pos="532" w:val="left" w:leader="none"/>
              </w:tabs>
              <w:spacing w:line="272" w:lineRule="exact" w:before="0" w:after="0"/>
              <w:ind w:left="531" w:right="0" w:hanging="362"/>
              <w:jc w:val="both"/>
              <w:rPr>
                <w:sz w:val="21"/>
              </w:rPr>
            </w:pPr>
            <w:r>
              <w:rPr>
                <w:spacing w:val="-3"/>
                <w:sz w:val="21"/>
              </w:rPr>
              <w:t>型：局灶节段增殖性狼疮性肾炎</w:t>
            </w:r>
          </w:p>
          <w:p>
            <w:pPr>
              <w:pStyle w:val="TableParagraph"/>
              <w:numPr>
                <w:ilvl w:val="0"/>
                <w:numId w:val="24"/>
              </w:numPr>
              <w:tabs>
                <w:tab w:pos="532" w:val="left" w:leader="none"/>
              </w:tabs>
              <w:spacing w:line="272" w:lineRule="exact" w:before="0" w:after="0"/>
              <w:ind w:left="531" w:right="0" w:hanging="362"/>
              <w:jc w:val="both"/>
              <w:rPr>
                <w:sz w:val="21"/>
              </w:rPr>
            </w:pPr>
            <w:r>
              <w:rPr>
                <w:spacing w:val="-3"/>
                <w:sz w:val="21"/>
              </w:rPr>
              <w:t>型：弥漫增殖性狼疮性肾炎</w:t>
            </w:r>
          </w:p>
          <w:p>
            <w:pPr>
              <w:pStyle w:val="TableParagraph"/>
              <w:numPr>
                <w:ilvl w:val="0"/>
                <w:numId w:val="24"/>
              </w:numPr>
              <w:tabs>
                <w:tab w:pos="534" w:val="left" w:leader="none"/>
              </w:tabs>
              <w:spacing w:line="272" w:lineRule="exact" w:before="0" w:after="0"/>
              <w:ind w:left="533" w:right="0" w:hanging="364"/>
              <w:jc w:val="both"/>
              <w:rPr>
                <w:sz w:val="21"/>
              </w:rPr>
            </w:pPr>
            <w:r>
              <w:rPr>
                <w:spacing w:val="-3"/>
                <w:sz w:val="21"/>
              </w:rPr>
              <w:t>型：膜性狼疮性肾炎</w:t>
            </w:r>
          </w:p>
          <w:p>
            <w:pPr>
              <w:pStyle w:val="TableParagraph"/>
              <w:numPr>
                <w:ilvl w:val="0"/>
                <w:numId w:val="24"/>
              </w:numPr>
              <w:tabs>
                <w:tab w:pos="496" w:val="left" w:leader="none"/>
              </w:tabs>
              <w:spacing w:line="281" w:lineRule="exact" w:before="0" w:after="0"/>
              <w:ind w:left="495" w:right="0" w:hanging="326"/>
              <w:jc w:val="both"/>
              <w:rPr>
                <w:sz w:val="21"/>
              </w:rPr>
            </w:pPr>
            <w:r>
              <w:rPr>
                <w:spacing w:val="-3"/>
                <w:sz w:val="21"/>
              </w:rPr>
              <w:t>型：肾小球硬化性狼疮性肾炎</w:t>
            </w:r>
          </w:p>
        </w:tc>
      </w:tr>
      <w:tr>
        <w:trPr>
          <w:trHeight w:val="2004" w:hRule="atLeast"/>
        </w:trPr>
        <w:tc>
          <w:tcPr>
            <w:tcW w:w="2724" w:type="dxa"/>
          </w:tcPr>
          <w:p>
            <w:pPr>
              <w:pStyle w:val="TableParagraph"/>
              <w:spacing w:line="180" w:lineRule="auto" w:before="108"/>
              <w:ind w:left="1133" w:right="110"/>
              <w:rPr>
                <w:rFonts w:ascii="微软雅黑" w:eastAsia="微软雅黑" w:hint="eastAsia"/>
                <w:b/>
                <w:sz w:val="21"/>
              </w:rPr>
            </w:pPr>
            <w:r>
              <w:rPr>
                <w:rFonts w:ascii="微软雅黑" w:eastAsia="微软雅黑" w:hint="eastAsia"/>
                <w:b/>
                <w:sz w:val="21"/>
              </w:rPr>
              <w:t>严重类风湿性关节炎</w:t>
            </w:r>
          </w:p>
        </w:tc>
        <w:tc>
          <w:tcPr>
            <w:tcW w:w="6869" w:type="dxa"/>
          </w:tcPr>
          <w:p>
            <w:pPr>
              <w:pStyle w:val="TableParagraph"/>
              <w:spacing w:line="235" w:lineRule="auto" w:before="85"/>
              <w:ind w:right="99"/>
              <w:jc w:val="both"/>
              <w:rPr>
                <w:sz w:val="21"/>
              </w:rPr>
            </w:pPr>
            <w:r>
              <w:rPr>
                <w:spacing w:val="-6"/>
                <w:sz w:val="21"/>
              </w:rPr>
              <w:t>类风湿性关节炎为广泛分布的慢性进行性多关节病变，表现为关节严重变</w:t>
            </w:r>
            <w:r>
              <w:rPr>
                <w:spacing w:val="-11"/>
                <w:sz w:val="21"/>
              </w:rPr>
              <w:t>形，侵犯至少三个主要关节或关节组</w:t>
            </w:r>
            <w:r>
              <w:rPr>
                <w:sz w:val="21"/>
              </w:rPr>
              <w:t>（</w:t>
            </w:r>
            <w:r>
              <w:rPr>
                <w:spacing w:val="-22"/>
                <w:sz w:val="21"/>
              </w:rPr>
              <w:t>如：双手</w:t>
            </w:r>
            <w:r>
              <w:rPr>
                <w:spacing w:val="-3"/>
                <w:sz w:val="21"/>
              </w:rPr>
              <w:t>（</w:t>
            </w:r>
            <w:r>
              <w:rPr>
                <w:spacing w:val="-2"/>
                <w:sz w:val="21"/>
              </w:rPr>
              <w:t>多手指</w:t>
            </w:r>
            <w:r>
              <w:rPr>
                <w:spacing w:val="-44"/>
                <w:sz w:val="21"/>
              </w:rPr>
              <w:t>）</w:t>
            </w:r>
            <w:r>
              <w:rPr>
                <w:spacing w:val="-18"/>
                <w:sz w:val="21"/>
              </w:rPr>
              <w:t>关节、双足</w:t>
            </w:r>
            <w:r>
              <w:rPr>
                <w:spacing w:val="-3"/>
                <w:sz w:val="21"/>
              </w:rPr>
              <w:t>（</w:t>
            </w:r>
            <w:r>
              <w:rPr>
                <w:sz w:val="21"/>
              </w:rPr>
              <w:t>多足趾）关节、双腕关节、双膝关节和双髋关节</w:t>
            </w:r>
            <w:r>
              <w:rPr>
                <w:spacing w:val="-104"/>
                <w:sz w:val="21"/>
              </w:rPr>
              <w:t>）</w:t>
            </w:r>
            <w:r>
              <w:rPr>
                <w:spacing w:val="-2"/>
                <w:sz w:val="21"/>
              </w:rPr>
              <w:t>。类风湿性关节炎必须明</w:t>
            </w:r>
            <w:r>
              <w:rPr>
                <w:spacing w:val="-4"/>
                <w:sz w:val="21"/>
              </w:rPr>
              <w:t>确诊断并且已经达到类风湿性关节炎功能分级 </w:t>
            </w:r>
            <w:r>
              <w:rPr>
                <w:rFonts w:ascii="Times New Roman" w:eastAsia="Times New Roman"/>
                <w:sz w:val="21"/>
              </w:rPr>
              <w:t>III </w:t>
            </w:r>
            <w:r>
              <w:rPr>
                <w:spacing w:val="-3"/>
                <w:sz w:val="21"/>
              </w:rPr>
              <w:t>级以上的功能障碍</w:t>
            </w:r>
            <w:r>
              <w:rPr>
                <w:sz w:val="21"/>
              </w:rPr>
              <w:t>（关</w:t>
            </w:r>
            <w:r>
              <w:rPr>
                <w:spacing w:val="-8"/>
                <w:sz w:val="21"/>
              </w:rPr>
              <w:t>节活动严重限制，不能完成大部分的日常工作和活动</w:t>
            </w:r>
            <w:r>
              <w:rPr>
                <w:spacing w:val="-36"/>
                <w:sz w:val="21"/>
              </w:rPr>
              <w:t>）</w:t>
            </w:r>
            <w:r>
              <w:rPr>
                <w:spacing w:val="-3"/>
                <w:sz w:val="21"/>
              </w:rPr>
              <w:t>并且满足下列全部条件：</w:t>
            </w:r>
          </w:p>
          <w:p>
            <w:pPr>
              <w:pStyle w:val="TableParagraph"/>
              <w:spacing w:line="267" w:lineRule="exact"/>
              <w:jc w:val="both"/>
              <w:rPr>
                <w:sz w:val="21"/>
              </w:rPr>
            </w:pPr>
            <w:r>
              <w:rPr>
                <w:sz w:val="21"/>
              </w:rPr>
              <w:t>（</w:t>
            </w:r>
            <w:r>
              <w:rPr>
                <w:rFonts w:ascii="Times New Roman" w:eastAsia="Times New Roman"/>
                <w:sz w:val="21"/>
              </w:rPr>
              <w:t>1</w:t>
            </w:r>
            <w:r>
              <w:rPr>
                <w:sz w:val="21"/>
              </w:rPr>
              <w:t>） 晨僵；</w:t>
            </w:r>
          </w:p>
        </w:tc>
      </w:tr>
    </w:tbl>
    <w:p>
      <w:pPr>
        <w:spacing w:after="0" w:line="267" w:lineRule="exact"/>
        <w:jc w:val="both"/>
        <w:rPr>
          <w:sz w:val="21"/>
        </w:rPr>
        <w:sectPr>
          <w:pgSz w:w="11910" w:h="16450"/>
          <w:pgMar w:header="857" w:footer="968" w:top="1040" w:bottom="1160" w:left="1060" w:right="104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6865"/>
      </w:tblGrid>
      <w:tr>
        <w:trPr>
          <w:trHeight w:val="1298" w:hRule="atLeast"/>
        </w:trPr>
        <w:tc>
          <w:tcPr>
            <w:tcW w:w="2724" w:type="dxa"/>
            <w:tcBorders>
              <w:top w:val="single" w:sz="6" w:space="0" w:color="000000"/>
            </w:tcBorders>
          </w:tcPr>
          <w:p>
            <w:pPr>
              <w:pStyle w:val="TableParagraph"/>
              <w:ind w:left="0"/>
              <w:rPr>
                <w:rFonts w:ascii="Times New Roman"/>
                <w:sz w:val="20"/>
              </w:rPr>
            </w:pPr>
          </w:p>
        </w:tc>
        <w:tc>
          <w:tcPr>
            <w:tcW w:w="6865" w:type="dxa"/>
            <w:tcBorders>
              <w:top w:val="single" w:sz="6" w:space="0" w:color="000000"/>
            </w:tcBorders>
          </w:tcPr>
          <w:p>
            <w:pPr>
              <w:pStyle w:val="TableParagraph"/>
              <w:numPr>
                <w:ilvl w:val="0"/>
                <w:numId w:val="25"/>
              </w:numPr>
              <w:tabs>
                <w:tab w:pos="678" w:val="left" w:leader="none"/>
              </w:tabs>
              <w:spacing w:line="281" w:lineRule="exact" w:before="47" w:after="0"/>
              <w:ind w:left="677" w:right="0" w:hanging="566"/>
              <w:jc w:val="left"/>
              <w:rPr>
                <w:sz w:val="21"/>
              </w:rPr>
            </w:pPr>
            <w:r>
              <w:rPr>
                <w:spacing w:val="-2"/>
                <w:sz w:val="21"/>
              </w:rPr>
              <w:t>对称性关节炎；</w:t>
            </w:r>
          </w:p>
          <w:p>
            <w:pPr>
              <w:pStyle w:val="TableParagraph"/>
              <w:numPr>
                <w:ilvl w:val="0"/>
                <w:numId w:val="25"/>
              </w:numPr>
              <w:tabs>
                <w:tab w:pos="678" w:val="left" w:leader="none"/>
              </w:tabs>
              <w:spacing w:line="273" w:lineRule="exact" w:before="0" w:after="0"/>
              <w:ind w:left="677" w:right="0" w:hanging="566"/>
              <w:jc w:val="left"/>
              <w:rPr>
                <w:sz w:val="21"/>
              </w:rPr>
            </w:pPr>
            <w:r>
              <w:rPr>
                <w:spacing w:val="-3"/>
                <w:sz w:val="21"/>
              </w:rPr>
              <w:t>类风湿性皮下结节；</w:t>
            </w:r>
          </w:p>
          <w:p>
            <w:pPr>
              <w:pStyle w:val="TableParagraph"/>
              <w:numPr>
                <w:ilvl w:val="0"/>
                <w:numId w:val="25"/>
              </w:numPr>
              <w:tabs>
                <w:tab w:pos="678" w:val="left" w:leader="none"/>
              </w:tabs>
              <w:spacing w:line="272" w:lineRule="exact" w:before="0" w:after="0"/>
              <w:ind w:left="677" w:right="0" w:hanging="566"/>
              <w:jc w:val="left"/>
              <w:rPr>
                <w:sz w:val="21"/>
              </w:rPr>
            </w:pPr>
            <w:r>
              <w:rPr>
                <w:spacing w:val="-3"/>
                <w:sz w:val="21"/>
              </w:rPr>
              <w:t>类风湿因子滴度升高；</w:t>
            </w:r>
          </w:p>
          <w:p>
            <w:pPr>
              <w:pStyle w:val="TableParagraph"/>
              <w:numPr>
                <w:ilvl w:val="0"/>
                <w:numId w:val="25"/>
              </w:numPr>
              <w:tabs>
                <w:tab w:pos="678" w:val="left" w:leader="none"/>
              </w:tabs>
              <w:spacing w:line="281" w:lineRule="exact" w:before="0" w:after="0"/>
              <w:ind w:left="677" w:right="0" w:hanging="566"/>
              <w:jc w:val="left"/>
              <w:rPr>
                <w:sz w:val="21"/>
              </w:rPr>
            </w:pPr>
            <w:r>
              <w:rPr>
                <w:rFonts w:ascii="Times New Roman" w:eastAsia="Times New Roman"/>
                <w:sz w:val="21"/>
              </w:rPr>
              <w:t>X</w:t>
            </w:r>
            <w:r>
              <w:rPr>
                <w:rFonts w:ascii="Times New Roman" w:eastAsia="Times New Roman"/>
                <w:spacing w:val="22"/>
                <w:sz w:val="21"/>
              </w:rPr>
              <w:t> </w:t>
            </w:r>
            <w:r>
              <w:rPr>
                <w:spacing w:val="-3"/>
                <w:sz w:val="21"/>
              </w:rPr>
              <w:t>线显示严重的关节</w:t>
            </w:r>
            <w:r>
              <w:rPr>
                <w:rFonts w:ascii="Times New Roman" w:eastAsia="Times New Roman"/>
                <w:sz w:val="21"/>
              </w:rPr>
              <w:t>(</w:t>
            </w:r>
            <w:r>
              <w:rPr>
                <w:spacing w:val="-2"/>
                <w:sz w:val="21"/>
              </w:rPr>
              <w:t>软骨和骨</w:t>
            </w:r>
            <w:r>
              <w:rPr>
                <w:rFonts w:ascii="Times New Roman" w:eastAsia="Times New Roman"/>
                <w:sz w:val="21"/>
              </w:rPr>
              <w:t>)</w:t>
            </w:r>
            <w:r>
              <w:rPr>
                <w:spacing w:val="-3"/>
                <w:sz w:val="21"/>
              </w:rPr>
              <w:t>破坏和关节畸形。</w:t>
            </w:r>
          </w:p>
        </w:tc>
      </w:tr>
      <w:tr>
        <w:trPr>
          <w:trHeight w:val="1050" w:hRule="atLeast"/>
        </w:trPr>
        <w:tc>
          <w:tcPr>
            <w:tcW w:w="2724" w:type="dxa"/>
          </w:tcPr>
          <w:p>
            <w:pPr>
              <w:pStyle w:val="TableParagraph"/>
              <w:spacing w:line="180" w:lineRule="auto" w:before="109"/>
              <w:ind w:left="1133" w:right="110"/>
              <w:rPr>
                <w:rFonts w:ascii="微软雅黑" w:eastAsia="微软雅黑" w:hint="eastAsia"/>
                <w:b/>
                <w:sz w:val="21"/>
              </w:rPr>
            </w:pPr>
            <w:r>
              <w:rPr>
                <w:rFonts w:ascii="微软雅黑" w:eastAsia="微软雅黑" w:hint="eastAsia"/>
                <w:b/>
                <w:sz w:val="21"/>
              </w:rPr>
              <w:t>急性出血坏死性胰腺炎</w:t>
            </w:r>
          </w:p>
        </w:tc>
        <w:tc>
          <w:tcPr>
            <w:tcW w:w="6865" w:type="dxa"/>
          </w:tcPr>
          <w:p>
            <w:pPr>
              <w:pStyle w:val="TableParagraph"/>
              <w:spacing w:line="237" w:lineRule="auto" w:before="83"/>
              <w:ind w:right="95"/>
              <w:jc w:val="both"/>
              <w:rPr>
                <w:sz w:val="21"/>
              </w:rPr>
            </w:pPr>
            <w:r>
              <w:rPr>
                <w:spacing w:val="-6"/>
                <w:sz w:val="21"/>
              </w:rPr>
              <w:t>指被保险人因为急性出血坏死性胰腺炎已经接受了外科开腹手术治疗，以</w:t>
            </w:r>
            <w:r>
              <w:rPr>
                <w:spacing w:val="-10"/>
                <w:sz w:val="21"/>
              </w:rPr>
              <w:t>进行坏死组织清除、坏死病灶切除或胰腺切除。因饮酒所致的急性出血坏</w:t>
            </w:r>
            <w:r>
              <w:rPr>
                <w:spacing w:val="-5"/>
                <w:sz w:val="21"/>
              </w:rPr>
              <w:t>死性胰腺炎或经腹腔镜手术进行的治疗不在保障范围内。</w:t>
            </w:r>
          </w:p>
        </w:tc>
      </w:tr>
      <w:tr>
        <w:trPr>
          <w:trHeight w:val="1884" w:hRule="atLeast"/>
        </w:trPr>
        <w:tc>
          <w:tcPr>
            <w:tcW w:w="2724" w:type="dxa"/>
          </w:tcPr>
          <w:p>
            <w:pPr>
              <w:pStyle w:val="TableParagraph"/>
              <w:spacing w:before="26"/>
              <w:ind w:left="1133"/>
              <w:rPr>
                <w:rFonts w:ascii="微软雅黑" w:eastAsia="微软雅黑" w:hint="eastAsia"/>
                <w:b/>
                <w:sz w:val="21"/>
              </w:rPr>
            </w:pPr>
            <w:r>
              <w:rPr>
                <w:rFonts w:ascii="微软雅黑" w:eastAsia="微软雅黑" w:hint="eastAsia"/>
                <w:b/>
                <w:sz w:val="21"/>
              </w:rPr>
              <w:t>坏死性筋膜炎</w:t>
            </w:r>
          </w:p>
        </w:tc>
        <w:tc>
          <w:tcPr>
            <w:tcW w:w="6865" w:type="dxa"/>
          </w:tcPr>
          <w:p>
            <w:pPr>
              <w:pStyle w:val="TableParagraph"/>
              <w:spacing w:line="273" w:lineRule="exact" w:before="88"/>
              <w:rPr>
                <w:sz w:val="21"/>
              </w:rPr>
            </w:pPr>
            <w:r>
              <w:rPr>
                <w:sz w:val="21"/>
              </w:rPr>
              <w:t>坏死性筋膜炎的诊断须同时符合下列要求：</w:t>
            </w:r>
          </w:p>
          <w:p>
            <w:pPr>
              <w:pStyle w:val="TableParagraph"/>
              <w:numPr>
                <w:ilvl w:val="0"/>
                <w:numId w:val="26"/>
              </w:numPr>
              <w:tabs>
                <w:tab w:pos="678" w:val="left" w:leader="none"/>
              </w:tabs>
              <w:spacing w:line="280" w:lineRule="exact" w:before="0" w:after="0"/>
              <w:ind w:left="677" w:right="0" w:hanging="566"/>
              <w:jc w:val="left"/>
              <w:rPr>
                <w:sz w:val="21"/>
              </w:rPr>
            </w:pPr>
            <w:r>
              <w:rPr>
                <w:spacing w:val="-3"/>
                <w:sz w:val="21"/>
              </w:rPr>
              <w:t>符合坏死性筋膜炎的一般临床表现；</w:t>
            </w:r>
          </w:p>
          <w:p>
            <w:pPr>
              <w:pStyle w:val="TableParagraph"/>
              <w:numPr>
                <w:ilvl w:val="0"/>
                <w:numId w:val="26"/>
              </w:numPr>
              <w:tabs>
                <w:tab w:pos="678" w:val="left" w:leader="none"/>
              </w:tabs>
              <w:spacing w:line="273" w:lineRule="exact" w:before="0" w:after="0"/>
              <w:ind w:left="677" w:right="0" w:hanging="566"/>
              <w:jc w:val="left"/>
              <w:rPr>
                <w:sz w:val="21"/>
              </w:rPr>
            </w:pPr>
            <w:r>
              <w:rPr>
                <w:spacing w:val="-3"/>
                <w:sz w:val="21"/>
              </w:rPr>
              <w:t>细菌培养检出致病菌；</w:t>
            </w:r>
          </w:p>
          <w:p>
            <w:pPr>
              <w:pStyle w:val="TableParagraph"/>
              <w:numPr>
                <w:ilvl w:val="0"/>
                <w:numId w:val="26"/>
              </w:numPr>
              <w:tabs>
                <w:tab w:pos="678" w:val="left" w:leader="none"/>
              </w:tabs>
              <w:spacing w:line="230" w:lineRule="auto" w:before="1" w:after="0"/>
              <w:ind w:left="677" w:right="95" w:hanging="566"/>
              <w:jc w:val="both"/>
              <w:rPr>
                <w:sz w:val="21"/>
              </w:rPr>
            </w:pPr>
            <w:r>
              <w:rPr>
                <w:spacing w:val="-4"/>
                <w:sz w:val="21"/>
              </w:rPr>
              <w:t>出现广泛性肌肉及软组织坏死，并导致身体受影响部位永久完全失</w:t>
            </w:r>
            <w:r>
              <w:rPr>
                <w:spacing w:val="-5"/>
                <w:sz w:val="21"/>
              </w:rPr>
              <w:t>去功能。所谓永久完全失去功能是指受影响部位的全部功能完全丧</w:t>
            </w:r>
            <w:r>
              <w:rPr>
                <w:spacing w:val="-15"/>
                <w:sz w:val="21"/>
              </w:rPr>
              <w:t>失超过 </w:t>
            </w:r>
            <w:r>
              <w:rPr>
                <w:rFonts w:ascii="Times New Roman" w:eastAsia="Times New Roman"/>
                <w:sz w:val="21"/>
              </w:rPr>
              <w:t>180</w:t>
            </w:r>
            <w:r>
              <w:rPr>
                <w:rFonts w:ascii="Times New Roman" w:eastAsia="Times New Roman"/>
                <w:spacing w:val="0"/>
                <w:sz w:val="21"/>
              </w:rPr>
              <w:t> </w:t>
            </w:r>
            <w:r>
              <w:rPr>
                <w:spacing w:val="-2"/>
                <w:sz w:val="21"/>
              </w:rPr>
              <w:t>天者。</w:t>
            </w:r>
          </w:p>
        </w:tc>
      </w:tr>
      <w:tr>
        <w:trPr>
          <w:trHeight w:val="1595" w:hRule="atLeast"/>
        </w:trPr>
        <w:tc>
          <w:tcPr>
            <w:tcW w:w="2724" w:type="dxa"/>
          </w:tcPr>
          <w:p>
            <w:pPr>
              <w:pStyle w:val="TableParagraph"/>
              <w:spacing w:line="180" w:lineRule="auto" w:before="107"/>
              <w:ind w:left="1133" w:right="110"/>
              <w:rPr>
                <w:rFonts w:ascii="微软雅黑" w:eastAsia="微软雅黑" w:hint="eastAsia"/>
                <w:b/>
                <w:sz w:val="21"/>
              </w:rPr>
            </w:pPr>
            <w:r>
              <w:rPr>
                <w:rFonts w:ascii="微软雅黑" w:eastAsia="微软雅黑" w:hint="eastAsia"/>
                <w:b/>
                <w:sz w:val="21"/>
              </w:rPr>
              <w:t>慢性复发性胰腺炎</w:t>
            </w:r>
          </w:p>
        </w:tc>
        <w:tc>
          <w:tcPr>
            <w:tcW w:w="6865" w:type="dxa"/>
          </w:tcPr>
          <w:p>
            <w:pPr>
              <w:pStyle w:val="TableParagraph"/>
              <w:spacing w:line="228" w:lineRule="auto" w:before="93"/>
              <w:ind w:left="140" w:right="95"/>
              <w:jc w:val="both"/>
              <w:rPr>
                <w:sz w:val="21"/>
              </w:rPr>
            </w:pPr>
            <w:r>
              <w:rPr>
                <w:sz w:val="21"/>
              </w:rPr>
              <w:t>有腹痛等典型症状的胰腺炎反复发作超过三次以上，导致胰腺进行性破坏，并导致胰腺功能紊乱而导致严重糖尿病以及营养不良、恶液质。</w:t>
            </w:r>
            <w:r>
              <w:rPr>
                <w:rFonts w:ascii="Times New Roman" w:eastAsia="Times New Roman"/>
                <w:sz w:val="21"/>
              </w:rPr>
              <w:t>CT </w:t>
            </w:r>
            <w:r>
              <w:rPr>
                <w:sz w:val="21"/>
              </w:rPr>
              <w:t>检查证实胰腺存在广泛钙化，且必须接受酶替代以及胰岛素替代治疗 </w:t>
            </w:r>
            <w:r>
              <w:rPr>
                <w:rFonts w:ascii="Times New Roman" w:eastAsia="Times New Roman"/>
                <w:sz w:val="21"/>
              </w:rPr>
              <w:t>6 </w:t>
            </w:r>
            <w:r>
              <w:rPr>
                <w:sz w:val="21"/>
              </w:rPr>
              <w:t>个月以上。诊断必须有消化科专科医生确诊。</w:t>
            </w:r>
          </w:p>
          <w:p>
            <w:pPr>
              <w:pStyle w:val="TableParagraph"/>
              <w:spacing w:line="299" w:lineRule="exact"/>
              <w:jc w:val="both"/>
              <w:rPr>
                <w:rFonts w:ascii="微软雅黑" w:eastAsia="微软雅黑" w:hint="eastAsia"/>
                <w:b/>
                <w:sz w:val="21"/>
              </w:rPr>
            </w:pPr>
            <w:r>
              <w:rPr>
                <w:rFonts w:ascii="微软雅黑" w:eastAsia="微软雅黑" w:hint="eastAsia"/>
                <w:b/>
                <w:sz w:val="21"/>
              </w:rPr>
              <w:t>酒精导致的慢性复发性胰腺炎不在保障范围内。</w:t>
            </w:r>
          </w:p>
        </w:tc>
      </w:tr>
      <w:tr>
        <w:trPr>
          <w:trHeight w:val="1876" w:hRule="atLeast"/>
        </w:trPr>
        <w:tc>
          <w:tcPr>
            <w:tcW w:w="2724" w:type="dxa"/>
          </w:tcPr>
          <w:p>
            <w:pPr>
              <w:pStyle w:val="TableParagraph"/>
              <w:spacing w:before="25"/>
              <w:ind w:left="1133"/>
              <w:rPr>
                <w:rFonts w:ascii="微软雅黑" w:eastAsia="微软雅黑" w:hint="eastAsia"/>
                <w:b/>
                <w:sz w:val="21"/>
              </w:rPr>
            </w:pPr>
            <w:r>
              <w:rPr>
                <w:rFonts w:ascii="微软雅黑" w:eastAsia="微软雅黑" w:hint="eastAsia"/>
                <w:b/>
                <w:sz w:val="21"/>
              </w:rPr>
              <w:t>终末期肺病</w:t>
            </w:r>
          </w:p>
        </w:tc>
        <w:tc>
          <w:tcPr>
            <w:tcW w:w="6865" w:type="dxa"/>
          </w:tcPr>
          <w:p>
            <w:pPr>
              <w:pStyle w:val="TableParagraph"/>
              <w:spacing w:before="87"/>
              <w:ind w:left="137" w:right="107"/>
              <w:rPr>
                <w:sz w:val="21"/>
              </w:rPr>
            </w:pPr>
            <w:r>
              <w:rPr>
                <w:sz w:val="21"/>
              </w:rPr>
              <w:t>由我们认可的呼吸科专家确诊被保险人患有终末期肺病而出现慢性呼吸功能衰竭，其诊断标准包括以下各项：</w:t>
            </w:r>
          </w:p>
          <w:p>
            <w:pPr>
              <w:pStyle w:val="TableParagraph"/>
              <w:numPr>
                <w:ilvl w:val="0"/>
                <w:numId w:val="27"/>
              </w:numPr>
              <w:tabs>
                <w:tab w:pos="678" w:val="left" w:leader="none"/>
              </w:tabs>
              <w:spacing w:line="277" w:lineRule="exact" w:before="0" w:after="0"/>
              <w:ind w:left="677" w:right="0" w:hanging="566"/>
              <w:jc w:val="left"/>
              <w:rPr>
                <w:sz w:val="21"/>
              </w:rPr>
            </w:pPr>
            <w:r>
              <w:rPr>
                <w:spacing w:val="-9"/>
                <w:sz w:val="21"/>
              </w:rPr>
              <w:t>肺功能测试其 </w:t>
            </w:r>
            <w:r>
              <w:rPr>
                <w:rFonts w:ascii="Times New Roman" w:eastAsia="Times New Roman"/>
                <w:sz w:val="21"/>
              </w:rPr>
              <w:t>FEV1</w:t>
            </w:r>
            <w:r>
              <w:rPr>
                <w:rFonts w:ascii="Times New Roman" w:eastAsia="Times New Roman"/>
                <w:spacing w:val="0"/>
                <w:sz w:val="21"/>
              </w:rPr>
              <w:t> </w:t>
            </w:r>
            <w:r>
              <w:rPr>
                <w:spacing w:val="-12"/>
                <w:sz w:val="21"/>
              </w:rPr>
              <w:t>持续低于 </w:t>
            </w:r>
            <w:r>
              <w:rPr>
                <w:rFonts w:ascii="Times New Roman" w:eastAsia="Times New Roman"/>
                <w:sz w:val="21"/>
              </w:rPr>
              <w:t>0.75 </w:t>
            </w:r>
            <w:r>
              <w:rPr>
                <w:sz w:val="21"/>
              </w:rPr>
              <w:t>升；</w:t>
            </w:r>
          </w:p>
          <w:p>
            <w:pPr>
              <w:pStyle w:val="TableParagraph"/>
              <w:numPr>
                <w:ilvl w:val="0"/>
                <w:numId w:val="27"/>
              </w:numPr>
              <w:tabs>
                <w:tab w:pos="678" w:val="left" w:leader="none"/>
              </w:tabs>
              <w:spacing w:line="272" w:lineRule="exact" w:before="0" w:after="0"/>
              <w:ind w:left="677" w:right="0" w:hanging="566"/>
              <w:jc w:val="left"/>
              <w:rPr>
                <w:sz w:val="21"/>
              </w:rPr>
            </w:pPr>
            <w:r>
              <w:rPr>
                <w:spacing w:val="-3"/>
                <w:sz w:val="21"/>
              </w:rPr>
              <w:t>病人缺氧必须广泛而持续地进行输氧治疗；</w:t>
            </w:r>
          </w:p>
          <w:p>
            <w:pPr>
              <w:pStyle w:val="TableParagraph"/>
              <w:numPr>
                <w:ilvl w:val="0"/>
                <w:numId w:val="27"/>
              </w:numPr>
              <w:tabs>
                <w:tab w:pos="678" w:val="left" w:leader="none"/>
              </w:tabs>
              <w:spacing w:line="272" w:lineRule="exact" w:before="0" w:after="0"/>
              <w:ind w:left="677" w:right="0" w:hanging="566"/>
              <w:jc w:val="left"/>
              <w:rPr>
                <w:sz w:val="21"/>
              </w:rPr>
            </w:pPr>
            <w:r>
              <w:rPr>
                <w:spacing w:val="-7"/>
                <w:sz w:val="21"/>
              </w:rPr>
              <w:t>动脉血气分析氧分压低于 </w:t>
            </w:r>
            <w:r>
              <w:rPr>
                <w:rFonts w:ascii="Times New Roman" w:eastAsia="Times New Roman"/>
                <w:sz w:val="21"/>
              </w:rPr>
              <w:t>55mmHg</w:t>
            </w:r>
            <w:r>
              <w:rPr>
                <w:sz w:val="21"/>
              </w:rPr>
              <w:t>。</w:t>
            </w:r>
          </w:p>
          <w:p>
            <w:pPr>
              <w:pStyle w:val="TableParagraph"/>
              <w:spacing w:line="265" w:lineRule="exact"/>
              <w:ind w:left="140"/>
              <w:rPr>
                <w:sz w:val="21"/>
              </w:rPr>
            </w:pPr>
            <w:r>
              <w:rPr>
                <w:sz w:val="21"/>
              </w:rPr>
              <w:t>理赔时必须提供以上各项中相应的医院证明文件或检查报告。</w:t>
            </w:r>
          </w:p>
        </w:tc>
      </w:tr>
      <w:tr>
        <w:trPr>
          <w:trHeight w:val="1876" w:hRule="atLeast"/>
        </w:trPr>
        <w:tc>
          <w:tcPr>
            <w:tcW w:w="2724" w:type="dxa"/>
          </w:tcPr>
          <w:p>
            <w:pPr>
              <w:pStyle w:val="TableParagraph"/>
              <w:spacing w:before="26"/>
              <w:ind w:left="1133"/>
              <w:rPr>
                <w:rFonts w:ascii="微软雅黑" w:eastAsia="微软雅黑" w:hint="eastAsia"/>
                <w:b/>
                <w:sz w:val="21"/>
              </w:rPr>
            </w:pPr>
            <w:r>
              <w:rPr>
                <w:rFonts w:ascii="微软雅黑" w:eastAsia="微软雅黑" w:hint="eastAsia"/>
                <w:b/>
                <w:sz w:val="21"/>
              </w:rPr>
              <w:t>严重脊髓灰质炎</w:t>
            </w:r>
          </w:p>
        </w:tc>
        <w:tc>
          <w:tcPr>
            <w:tcW w:w="6865" w:type="dxa"/>
          </w:tcPr>
          <w:p>
            <w:pPr>
              <w:pStyle w:val="TableParagraph"/>
              <w:spacing w:line="235" w:lineRule="auto" w:before="94"/>
              <w:ind w:left="137" w:right="95"/>
              <w:jc w:val="both"/>
              <w:rPr>
                <w:sz w:val="21"/>
              </w:rPr>
            </w:pPr>
            <w:r>
              <w:rPr>
                <w:sz w:val="21"/>
              </w:rPr>
              <w:t>指由于脊髓灰质炎病毒感染所导致的运动功能障碍或呼吸功能减弱的瘫</w:t>
            </w:r>
            <w:r>
              <w:rPr>
                <w:spacing w:val="-12"/>
                <w:sz w:val="21"/>
              </w:rPr>
              <w:t>痪性疾病。诊断必须由神经科专科医生确认并提供相关的脊髓灰质炎病毒</w:t>
            </w:r>
            <w:r>
              <w:rPr>
                <w:spacing w:val="-8"/>
                <w:sz w:val="21"/>
              </w:rPr>
              <w:t>感染的证据</w:t>
            </w:r>
            <w:r>
              <w:rPr>
                <w:spacing w:val="-3"/>
                <w:sz w:val="21"/>
              </w:rPr>
              <w:t>（例如：脑脊液检查或血清学抗体检查报告</w:t>
            </w:r>
            <w:r>
              <w:rPr>
                <w:spacing w:val="-106"/>
                <w:sz w:val="21"/>
              </w:rPr>
              <w:t>）</w:t>
            </w:r>
            <w:r>
              <w:rPr>
                <w:spacing w:val="-3"/>
                <w:sz w:val="21"/>
              </w:rPr>
              <w:t>。被保险人若无</w:t>
            </w:r>
            <w:r>
              <w:rPr>
                <w:spacing w:val="-11"/>
                <w:sz w:val="21"/>
              </w:rPr>
              <w:t>因此感染而导致的瘫痪，则不符合理赔条件。未导致肢体瘫痪及其它病因</w:t>
            </w:r>
            <w:r>
              <w:rPr>
                <w:spacing w:val="-16"/>
                <w:sz w:val="21"/>
              </w:rPr>
              <w:t>所致的瘫痪，例如格林</w:t>
            </w:r>
            <w:r>
              <w:rPr>
                <w:rFonts w:ascii="Times New Roman" w:eastAsia="Times New Roman"/>
                <w:b/>
                <w:sz w:val="21"/>
              </w:rPr>
              <w:t>-</w:t>
            </w:r>
            <w:r>
              <w:rPr>
                <w:spacing w:val="-3"/>
                <w:sz w:val="21"/>
              </w:rPr>
              <w:t>巴利综合征</w:t>
            </w:r>
            <w:r>
              <w:rPr>
                <w:rFonts w:ascii="Times New Roman" w:eastAsia="Times New Roman"/>
                <w:b/>
                <w:sz w:val="21"/>
              </w:rPr>
              <w:t>(</w:t>
            </w:r>
            <w:r>
              <w:rPr>
                <w:spacing w:val="-3"/>
                <w:sz w:val="21"/>
              </w:rPr>
              <w:t>急性感染性多神经炎</w:t>
            </w:r>
            <w:r>
              <w:rPr>
                <w:rFonts w:ascii="Times New Roman" w:eastAsia="Times New Roman"/>
                <w:b/>
                <w:sz w:val="21"/>
              </w:rPr>
              <w:t>)</w:t>
            </w:r>
            <w:r>
              <w:rPr>
                <w:spacing w:val="-3"/>
                <w:sz w:val="21"/>
              </w:rPr>
              <w:t>则不在保障范围内。</w:t>
            </w:r>
          </w:p>
        </w:tc>
      </w:tr>
      <w:tr>
        <w:trPr>
          <w:trHeight w:val="2693" w:hRule="atLeast"/>
        </w:trPr>
        <w:tc>
          <w:tcPr>
            <w:tcW w:w="2724" w:type="dxa"/>
          </w:tcPr>
          <w:p>
            <w:pPr>
              <w:pStyle w:val="TableParagraph"/>
              <w:spacing w:line="180" w:lineRule="auto" w:before="115"/>
              <w:ind w:left="1133" w:right="110"/>
              <w:rPr>
                <w:rFonts w:ascii="微软雅黑" w:eastAsia="微软雅黑" w:hint="eastAsia"/>
                <w:b/>
                <w:sz w:val="21"/>
              </w:rPr>
            </w:pPr>
            <w:r>
              <w:rPr>
                <w:rFonts w:ascii="微软雅黑" w:eastAsia="微软雅黑" w:hint="eastAsia"/>
                <w:b/>
                <w:sz w:val="21"/>
              </w:rPr>
              <w:t>慢性肾上腺皮质功能衰竭</w:t>
            </w:r>
          </w:p>
        </w:tc>
        <w:tc>
          <w:tcPr>
            <w:tcW w:w="6865" w:type="dxa"/>
          </w:tcPr>
          <w:p>
            <w:pPr>
              <w:pStyle w:val="TableParagraph"/>
              <w:spacing w:line="237" w:lineRule="auto" w:before="90"/>
              <w:ind w:left="137" w:right="95"/>
              <w:jc w:val="both"/>
              <w:rPr>
                <w:sz w:val="21"/>
              </w:rPr>
            </w:pPr>
            <w:r>
              <w:rPr>
                <w:spacing w:val="-10"/>
                <w:sz w:val="21"/>
              </w:rPr>
              <w:t>因为自身免疫功能紊乱，使肾上腺组织逐渐受损，而需要长期接受糖皮质</w:t>
            </w:r>
            <w:r>
              <w:rPr>
                <w:spacing w:val="-12"/>
                <w:sz w:val="21"/>
              </w:rPr>
              <w:t>激素及肾上腺皮质激素替代疗法。该病必须经国家机关认可的有合法资质</w:t>
            </w:r>
            <w:r>
              <w:rPr>
                <w:spacing w:val="-6"/>
                <w:sz w:val="21"/>
              </w:rPr>
              <w:t>的内分泌专科医生确诊，并有以下报告作为证据：</w:t>
            </w:r>
          </w:p>
          <w:p>
            <w:pPr>
              <w:pStyle w:val="TableParagraph"/>
              <w:numPr>
                <w:ilvl w:val="0"/>
                <w:numId w:val="28"/>
              </w:numPr>
              <w:tabs>
                <w:tab w:pos="678" w:val="left" w:leader="none"/>
              </w:tabs>
              <w:spacing w:line="279" w:lineRule="exact" w:before="0" w:after="0"/>
              <w:ind w:left="677" w:right="0" w:hanging="566"/>
              <w:jc w:val="both"/>
              <w:rPr>
                <w:sz w:val="21"/>
              </w:rPr>
            </w:pPr>
            <w:r>
              <w:rPr>
                <w:spacing w:val="-3"/>
                <w:sz w:val="21"/>
              </w:rPr>
              <w:t>促肾上腺皮质激素</w:t>
            </w:r>
            <w:r>
              <w:rPr>
                <w:rFonts w:ascii="Times New Roman" w:eastAsia="Times New Roman"/>
                <w:spacing w:val="-1"/>
                <w:sz w:val="21"/>
              </w:rPr>
              <w:t>(ACTH)</w:t>
            </w:r>
            <w:r>
              <w:rPr>
                <w:spacing w:val="-1"/>
                <w:sz w:val="21"/>
              </w:rPr>
              <w:t>刺激试验；</w:t>
            </w:r>
          </w:p>
          <w:p>
            <w:pPr>
              <w:pStyle w:val="TableParagraph"/>
              <w:numPr>
                <w:ilvl w:val="0"/>
                <w:numId w:val="28"/>
              </w:numPr>
              <w:tabs>
                <w:tab w:pos="678" w:val="left" w:leader="none"/>
              </w:tabs>
              <w:spacing w:line="272" w:lineRule="exact" w:before="0" w:after="0"/>
              <w:ind w:left="677" w:right="0" w:hanging="566"/>
              <w:jc w:val="both"/>
              <w:rPr>
                <w:sz w:val="21"/>
              </w:rPr>
            </w:pPr>
            <w:r>
              <w:rPr>
                <w:spacing w:val="-3"/>
                <w:sz w:val="21"/>
              </w:rPr>
              <w:t>胰岛素血糖减少测试；</w:t>
            </w:r>
          </w:p>
          <w:p>
            <w:pPr>
              <w:pStyle w:val="TableParagraph"/>
              <w:numPr>
                <w:ilvl w:val="0"/>
                <w:numId w:val="28"/>
              </w:numPr>
              <w:tabs>
                <w:tab w:pos="678" w:val="left" w:leader="none"/>
              </w:tabs>
              <w:spacing w:line="272" w:lineRule="exact" w:before="0" w:after="0"/>
              <w:ind w:left="677" w:right="0" w:hanging="566"/>
              <w:jc w:val="both"/>
              <w:rPr>
                <w:sz w:val="21"/>
              </w:rPr>
            </w:pPr>
            <w:r>
              <w:rPr>
                <w:spacing w:val="-3"/>
                <w:sz w:val="21"/>
              </w:rPr>
              <w:t>血浆促肾上腺皮质激素</w:t>
            </w:r>
            <w:r>
              <w:rPr>
                <w:rFonts w:ascii="Times New Roman" w:eastAsia="Times New Roman"/>
                <w:spacing w:val="-1"/>
                <w:sz w:val="21"/>
              </w:rPr>
              <w:t>(ACTH)</w:t>
            </w:r>
            <w:r>
              <w:rPr>
                <w:spacing w:val="-3"/>
                <w:sz w:val="21"/>
              </w:rPr>
              <w:t>水平测定；</w:t>
            </w:r>
          </w:p>
          <w:p>
            <w:pPr>
              <w:pStyle w:val="TableParagraph"/>
              <w:numPr>
                <w:ilvl w:val="0"/>
                <w:numId w:val="28"/>
              </w:numPr>
              <w:tabs>
                <w:tab w:pos="678" w:val="left" w:leader="none"/>
              </w:tabs>
              <w:spacing w:line="272" w:lineRule="exact" w:before="0" w:after="0"/>
              <w:ind w:left="677" w:right="0" w:hanging="566"/>
              <w:jc w:val="both"/>
              <w:rPr>
                <w:sz w:val="21"/>
              </w:rPr>
            </w:pPr>
            <w:r>
              <w:rPr>
                <w:spacing w:val="-3"/>
                <w:sz w:val="21"/>
              </w:rPr>
              <w:t>血浆肾素活性</w:t>
            </w:r>
            <w:r>
              <w:rPr>
                <w:rFonts w:ascii="Times New Roman" w:eastAsia="Times New Roman"/>
                <w:spacing w:val="-1"/>
                <w:sz w:val="21"/>
              </w:rPr>
              <w:t>(PRA)</w:t>
            </w:r>
            <w:r>
              <w:rPr>
                <w:spacing w:val="-2"/>
                <w:sz w:val="21"/>
              </w:rPr>
              <w:t>测定。</w:t>
            </w:r>
          </w:p>
          <w:p>
            <w:pPr>
              <w:pStyle w:val="TableParagraph"/>
              <w:ind w:left="137" w:right="1"/>
              <w:rPr>
                <w:sz w:val="21"/>
              </w:rPr>
            </w:pPr>
            <w:r>
              <w:rPr>
                <w:sz w:val="21"/>
              </w:rPr>
              <w:t>慢性肾上腺皮质功能衰竭只对由自身免疫功能紊乱引起的承担保险责任， 其他原因引起的除外。</w:t>
            </w:r>
          </w:p>
        </w:tc>
      </w:tr>
      <w:tr>
        <w:trPr>
          <w:trHeight w:val="1578" w:hRule="atLeast"/>
        </w:trPr>
        <w:tc>
          <w:tcPr>
            <w:tcW w:w="2724" w:type="dxa"/>
          </w:tcPr>
          <w:p>
            <w:pPr>
              <w:pStyle w:val="TableParagraph"/>
              <w:spacing w:line="180" w:lineRule="auto" w:before="116"/>
              <w:ind w:left="1133" w:right="110"/>
              <w:rPr>
                <w:rFonts w:ascii="微软雅黑" w:eastAsia="微软雅黑" w:hint="eastAsia"/>
                <w:b/>
                <w:sz w:val="21"/>
              </w:rPr>
            </w:pPr>
            <w:r>
              <w:rPr>
                <w:rFonts w:ascii="微软雅黑" w:eastAsia="微软雅黑" w:hint="eastAsia"/>
                <w:b/>
                <w:sz w:val="21"/>
              </w:rPr>
              <w:t>慢性呼吸功能衰竭</w:t>
            </w:r>
          </w:p>
        </w:tc>
        <w:tc>
          <w:tcPr>
            <w:tcW w:w="6865" w:type="dxa"/>
          </w:tcPr>
          <w:p>
            <w:pPr>
              <w:pStyle w:val="TableParagraph"/>
              <w:spacing w:line="285" w:lineRule="auto" w:before="116"/>
              <w:ind w:right="26"/>
              <w:rPr>
                <w:sz w:val="21"/>
              </w:rPr>
            </w:pPr>
            <w:r>
              <w:rPr>
                <w:sz w:val="21"/>
              </w:rPr>
              <w:t>慢性肺部疾病导致永久不可逆性的慢性呼吸功能衰竭。慢性呼吸功能衰竭必须明确诊断并满足下列全部条件：</w:t>
            </w:r>
          </w:p>
          <w:p>
            <w:pPr>
              <w:pStyle w:val="TableParagraph"/>
              <w:numPr>
                <w:ilvl w:val="0"/>
                <w:numId w:val="29"/>
              </w:numPr>
              <w:tabs>
                <w:tab w:pos="678" w:val="left" w:leader="none"/>
              </w:tabs>
              <w:spacing w:line="266" w:lineRule="exact" w:before="0" w:after="0"/>
              <w:ind w:left="677" w:right="0" w:hanging="566"/>
              <w:jc w:val="left"/>
              <w:rPr>
                <w:sz w:val="21"/>
              </w:rPr>
            </w:pPr>
            <w:r>
              <w:rPr>
                <w:spacing w:val="-3"/>
                <w:sz w:val="21"/>
              </w:rPr>
              <w:t>动脉血氧分压</w:t>
            </w:r>
            <w:r>
              <w:rPr>
                <w:spacing w:val="-1"/>
                <w:sz w:val="21"/>
              </w:rPr>
              <w:t>（</w:t>
            </w:r>
            <w:r>
              <w:rPr>
                <w:rFonts w:ascii="Times New Roman" w:eastAsia="Times New Roman"/>
                <w:spacing w:val="-1"/>
                <w:sz w:val="21"/>
              </w:rPr>
              <w:t>PaO2</w:t>
            </w:r>
            <w:r>
              <w:rPr>
                <w:spacing w:val="-1"/>
                <w:sz w:val="21"/>
              </w:rPr>
              <w:t>）</w:t>
            </w:r>
            <w:r>
              <w:rPr>
                <w:rFonts w:ascii="Times New Roman" w:eastAsia="Times New Roman"/>
                <w:spacing w:val="-1"/>
                <w:sz w:val="21"/>
              </w:rPr>
              <w:t>&lt;50mmHg</w:t>
            </w:r>
            <w:r>
              <w:rPr>
                <w:spacing w:val="-1"/>
                <w:sz w:val="21"/>
              </w:rPr>
              <w:t>；</w:t>
            </w:r>
          </w:p>
          <w:p>
            <w:pPr>
              <w:pStyle w:val="TableParagraph"/>
              <w:numPr>
                <w:ilvl w:val="0"/>
                <w:numId w:val="29"/>
              </w:numPr>
              <w:tabs>
                <w:tab w:pos="678" w:val="left" w:leader="none"/>
              </w:tabs>
              <w:spacing w:line="272" w:lineRule="exact" w:before="0" w:after="0"/>
              <w:ind w:left="677" w:right="0" w:hanging="566"/>
              <w:jc w:val="left"/>
              <w:rPr>
                <w:sz w:val="21"/>
              </w:rPr>
            </w:pPr>
            <w:r>
              <w:rPr>
                <w:spacing w:val="-3"/>
                <w:sz w:val="21"/>
              </w:rPr>
              <w:t>动脉血氧饱和度</w:t>
            </w:r>
            <w:r>
              <w:rPr>
                <w:spacing w:val="-1"/>
                <w:sz w:val="21"/>
              </w:rPr>
              <w:t>（</w:t>
            </w:r>
            <w:r>
              <w:rPr>
                <w:rFonts w:ascii="Times New Roman" w:eastAsia="Times New Roman"/>
                <w:spacing w:val="-1"/>
                <w:sz w:val="21"/>
              </w:rPr>
              <w:t>SaO2</w:t>
            </w:r>
            <w:r>
              <w:rPr>
                <w:spacing w:val="-1"/>
                <w:sz w:val="21"/>
              </w:rPr>
              <w:t>）</w:t>
            </w:r>
            <w:r>
              <w:rPr>
                <w:rFonts w:ascii="Times New Roman" w:eastAsia="Times New Roman"/>
                <w:spacing w:val="-1"/>
                <w:sz w:val="21"/>
              </w:rPr>
              <w:t>&lt;80</w:t>
            </w:r>
            <w:r>
              <w:rPr>
                <w:spacing w:val="-1"/>
                <w:sz w:val="21"/>
              </w:rPr>
              <w:t>％；</w:t>
            </w:r>
          </w:p>
          <w:p>
            <w:pPr>
              <w:pStyle w:val="TableParagraph"/>
              <w:numPr>
                <w:ilvl w:val="0"/>
                <w:numId w:val="29"/>
              </w:numPr>
              <w:tabs>
                <w:tab w:pos="678" w:val="left" w:leader="none"/>
              </w:tabs>
              <w:spacing w:line="262" w:lineRule="exact" w:before="0" w:after="0"/>
              <w:ind w:left="677" w:right="0" w:hanging="566"/>
              <w:jc w:val="left"/>
              <w:rPr>
                <w:sz w:val="21"/>
              </w:rPr>
            </w:pPr>
            <w:r>
              <w:rPr>
                <w:spacing w:val="-3"/>
                <w:sz w:val="21"/>
              </w:rPr>
              <w:t>因缺氧必须接受持续的输氧治疗。</w:t>
            </w:r>
          </w:p>
        </w:tc>
      </w:tr>
    </w:tbl>
    <w:p>
      <w:pPr>
        <w:spacing w:after="0" w:line="262" w:lineRule="exact"/>
        <w:jc w:val="left"/>
        <w:rPr>
          <w:sz w:val="21"/>
        </w:rPr>
        <w:sectPr>
          <w:pgSz w:w="11910" w:h="16450"/>
          <w:pgMar w:header="857" w:footer="968" w:top="1040" w:bottom="1180" w:left="1060" w:right="104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6875"/>
      </w:tblGrid>
      <w:tr>
        <w:trPr>
          <w:trHeight w:val="473" w:hRule="atLeast"/>
        </w:trPr>
        <w:tc>
          <w:tcPr>
            <w:tcW w:w="2728" w:type="dxa"/>
            <w:tcBorders>
              <w:top w:val="single" w:sz="6" w:space="0" w:color="000000"/>
            </w:tcBorders>
          </w:tcPr>
          <w:p>
            <w:pPr>
              <w:pStyle w:val="TableParagraph"/>
              <w:ind w:left="0"/>
              <w:rPr>
                <w:rFonts w:ascii="Times New Roman"/>
                <w:sz w:val="20"/>
              </w:rPr>
            </w:pPr>
          </w:p>
        </w:tc>
        <w:tc>
          <w:tcPr>
            <w:tcW w:w="6875" w:type="dxa"/>
            <w:tcBorders>
              <w:top w:val="single" w:sz="6" w:space="0" w:color="000000"/>
            </w:tcBorders>
          </w:tcPr>
          <w:p>
            <w:pPr>
              <w:pStyle w:val="TableParagraph"/>
              <w:spacing w:before="47"/>
              <w:ind w:left="133"/>
              <w:rPr>
                <w:sz w:val="21"/>
              </w:rPr>
            </w:pPr>
            <w:r>
              <w:rPr>
                <w:sz w:val="21"/>
              </w:rPr>
              <w:t>理赔时必须提供以上三项相应的证明文件或检查报告。</w:t>
            </w:r>
          </w:p>
        </w:tc>
      </w:tr>
      <w:tr>
        <w:trPr>
          <w:trHeight w:val="2050" w:hRule="atLeast"/>
        </w:trPr>
        <w:tc>
          <w:tcPr>
            <w:tcW w:w="2728" w:type="dxa"/>
          </w:tcPr>
          <w:p>
            <w:pPr>
              <w:pStyle w:val="TableParagraph"/>
              <w:spacing w:before="25"/>
              <w:ind w:left="1133"/>
              <w:rPr>
                <w:rFonts w:ascii="微软雅黑" w:eastAsia="微软雅黑" w:hint="eastAsia"/>
                <w:b/>
                <w:sz w:val="21"/>
              </w:rPr>
            </w:pPr>
            <w:r>
              <w:rPr>
                <w:rFonts w:ascii="微软雅黑" w:eastAsia="微软雅黑" w:hint="eastAsia"/>
                <w:b/>
                <w:sz w:val="21"/>
              </w:rPr>
              <w:t>系统性硬皮病</w:t>
            </w:r>
          </w:p>
        </w:tc>
        <w:tc>
          <w:tcPr>
            <w:tcW w:w="6875" w:type="dxa"/>
          </w:tcPr>
          <w:p>
            <w:pPr>
              <w:pStyle w:val="TableParagraph"/>
              <w:spacing w:line="285" w:lineRule="auto" w:before="116"/>
              <w:ind w:left="107" w:right="99"/>
              <w:jc w:val="both"/>
              <w:rPr>
                <w:sz w:val="21"/>
              </w:rPr>
            </w:pPr>
            <w:r>
              <w:rPr>
                <w:w w:val="100"/>
                <w:sz w:val="21"/>
              </w:rPr>
              <w:t>系统性硬皮病（须累及内脏器官</w:t>
            </w:r>
            <w:r>
              <w:rPr>
                <w:spacing w:val="-106"/>
                <w:w w:val="100"/>
                <w:sz w:val="21"/>
              </w:rPr>
              <w:t>）</w:t>
            </w:r>
            <w:r>
              <w:rPr>
                <w:w w:val="100"/>
                <w:sz w:val="21"/>
              </w:rPr>
              <w:t>，指一种以局限性或弥漫性皮肤增厚和</w:t>
            </w:r>
            <w:r>
              <w:rPr>
                <w:spacing w:val="-9"/>
                <w:sz w:val="21"/>
              </w:rPr>
              <w:t>皮肤、血管、内脏器官异常纤维化为特征的结缔组织病。本病须经专科医</w:t>
            </w:r>
            <w:r>
              <w:rPr>
                <w:spacing w:val="-5"/>
                <w:sz w:val="21"/>
              </w:rPr>
              <w:t>师明确诊断，并须满足下列至少一项条件：</w:t>
            </w:r>
          </w:p>
          <w:p>
            <w:pPr>
              <w:pStyle w:val="TableParagraph"/>
              <w:numPr>
                <w:ilvl w:val="0"/>
                <w:numId w:val="30"/>
              </w:numPr>
              <w:tabs>
                <w:tab w:pos="674" w:val="left" w:leader="none"/>
              </w:tabs>
              <w:spacing w:line="266" w:lineRule="exact" w:before="0" w:after="0"/>
              <w:ind w:left="673" w:right="0" w:hanging="566"/>
              <w:jc w:val="both"/>
              <w:rPr>
                <w:sz w:val="21"/>
              </w:rPr>
            </w:pPr>
            <w:r>
              <w:rPr>
                <w:spacing w:val="-3"/>
                <w:sz w:val="21"/>
              </w:rPr>
              <w:t>肺脏：肺部病变进而发展为肺间质纤维化和肺动脉高压；</w:t>
            </w:r>
          </w:p>
          <w:p>
            <w:pPr>
              <w:pStyle w:val="TableParagraph"/>
              <w:numPr>
                <w:ilvl w:val="0"/>
                <w:numId w:val="30"/>
              </w:numPr>
              <w:tabs>
                <w:tab w:pos="674" w:val="left" w:leader="none"/>
              </w:tabs>
              <w:spacing w:line="272" w:lineRule="exact" w:before="0" w:after="0"/>
              <w:ind w:left="673" w:right="0" w:hanging="566"/>
              <w:jc w:val="both"/>
              <w:rPr>
                <w:sz w:val="21"/>
              </w:rPr>
            </w:pPr>
            <w:r>
              <w:rPr>
                <w:spacing w:val="-6"/>
                <w:sz w:val="21"/>
              </w:rPr>
              <w:t>心脏：心功能受损达到美国纽约心脏病学会心功能状态分级 </w:t>
            </w:r>
            <w:r>
              <w:rPr>
                <w:rFonts w:ascii="Times New Roman" w:eastAsia="Times New Roman"/>
                <w:sz w:val="21"/>
              </w:rPr>
              <w:t>IV</w:t>
            </w:r>
            <w:r>
              <w:rPr>
                <w:rFonts w:ascii="Times New Roman" w:eastAsia="Times New Roman"/>
                <w:spacing w:val="15"/>
                <w:sz w:val="21"/>
              </w:rPr>
              <w:t> </w:t>
            </w:r>
            <w:r>
              <w:rPr>
                <w:spacing w:val="-3"/>
                <w:sz w:val="21"/>
              </w:rPr>
              <w:t>级；</w:t>
            </w:r>
          </w:p>
          <w:p>
            <w:pPr>
              <w:pStyle w:val="TableParagraph"/>
              <w:numPr>
                <w:ilvl w:val="0"/>
                <w:numId w:val="30"/>
              </w:numPr>
              <w:tabs>
                <w:tab w:pos="674" w:val="left" w:leader="none"/>
              </w:tabs>
              <w:spacing w:line="282" w:lineRule="exact" w:before="0" w:after="0"/>
              <w:ind w:left="673" w:right="0" w:hanging="566"/>
              <w:jc w:val="both"/>
              <w:rPr>
                <w:sz w:val="21"/>
              </w:rPr>
            </w:pPr>
            <w:r>
              <w:rPr>
                <w:spacing w:val="-3"/>
                <w:sz w:val="21"/>
              </w:rPr>
              <w:t>肾脏：肾脏受损导致双肾功能慢性不可逆衰竭，达到尿毒症期。</w:t>
            </w:r>
          </w:p>
        </w:tc>
      </w:tr>
      <w:tr>
        <w:trPr>
          <w:trHeight w:val="1051" w:hRule="atLeast"/>
        </w:trPr>
        <w:tc>
          <w:tcPr>
            <w:tcW w:w="2728" w:type="dxa"/>
          </w:tcPr>
          <w:p>
            <w:pPr>
              <w:pStyle w:val="TableParagraph"/>
              <w:spacing w:before="17"/>
              <w:ind w:left="1133"/>
              <w:rPr>
                <w:rFonts w:ascii="微软雅黑" w:eastAsia="微软雅黑" w:hint="eastAsia"/>
                <w:b/>
                <w:sz w:val="21"/>
              </w:rPr>
            </w:pPr>
            <w:r>
              <w:rPr>
                <w:rFonts w:ascii="微软雅黑" w:eastAsia="微软雅黑" w:hint="eastAsia"/>
                <w:b/>
                <w:sz w:val="21"/>
              </w:rPr>
              <w:t>象皮病</w:t>
            </w:r>
          </w:p>
        </w:tc>
        <w:tc>
          <w:tcPr>
            <w:tcW w:w="6875" w:type="dxa"/>
          </w:tcPr>
          <w:p>
            <w:pPr>
              <w:pStyle w:val="TableParagraph"/>
              <w:spacing w:line="237" w:lineRule="auto" w:before="82"/>
              <w:ind w:left="107" w:right="102"/>
              <w:jc w:val="both"/>
              <w:rPr>
                <w:sz w:val="21"/>
              </w:rPr>
            </w:pPr>
            <w:r>
              <w:rPr>
                <w:spacing w:val="-9"/>
                <w:sz w:val="21"/>
              </w:rPr>
              <w:t>指末期丝虫病，按国际淋巴学会分级为三度淋巴液肿，其临床表现为肢体</w:t>
            </w:r>
            <w:r>
              <w:rPr>
                <w:spacing w:val="-10"/>
                <w:sz w:val="21"/>
              </w:rPr>
              <w:t>非凹陷性水肿伴畸形增大、硬皮症和疣状增生。此病症须经医院的专科医</w:t>
            </w:r>
            <w:r>
              <w:rPr>
                <w:spacing w:val="-5"/>
                <w:sz w:val="21"/>
              </w:rPr>
              <w:t>生根据临床表现和微丝蚴的化验结果确诊。</w:t>
            </w:r>
          </w:p>
        </w:tc>
      </w:tr>
      <w:tr>
        <w:trPr>
          <w:trHeight w:val="1329" w:hRule="atLeast"/>
        </w:trPr>
        <w:tc>
          <w:tcPr>
            <w:tcW w:w="2728" w:type="dxa"/>
          </w:tcPr>
          <w:p>
            <w:pPr>
              <w:pStyle w:val="TableParagraph"/>
              <w:spacing w:line="180" w:lineRule="auto" w:before="115"/>
              <w:ind w:left="1133" w:right="105"/>
              <w:rPr>
                <w:rFonts w:ascii="微软雅黑" w:eastAsia="微软雅黑" w:hint="eastAsia"/>
                <w:b/>
                <w:sz w:val="21"/>
              </w:rPr>
            </w:pPr>
            <w:r>
              <w:rPr>
                <w:rFonts w:ascii="微软雅黑" w:eastAsia="微软雅黑" w:hint="eastAsia"/>
                <w:b/>
                <w:sz w:val="21"/>
              </w:rPr>
              <w:t>严重溃疡性结肠炎</w:t>
            </w:r>
          </w:p>
        </w:tc>
        <w:tc>
          <w:tcPr>
            <w:tcW w:w="6875" w:type="dxa"/>
          </w:tcPr>
          <w:p>
            <w:pPr>
              <w:pStyle w:val="TableParagraph"/>
              <w:spacing w:line="237" w:lineRule="auto" w:before="90"/>
              <w:ind w:left="107" w:right="99"/>
              <w:jc w:val="both"/>
              <w:rPr>
                <w:sz w:val="21"/>
              </w:rPr>
            </w:pPr>
            <w:r>
              <w:rPr>
                <w:spacing w:val="-5"/>
                <w:sz w:val="21"/>
              </w:rPr>
              <w:t>溃疡性结肠炎是指伴有致命性电解质紊乱的急性暴发性溃疡性结肠炎，病</w:t>
            </w:r>
            <w:r>
              <w:rPr>
                <w:spacing w:val="-9"/>
                <w:sz w:val="21"/>
              </w:rPr>
              <w:t>变累及全结肠，表现为严重的血便和系统性症状体征，治疗通常采取全结肠切除和回肠造瘘术。溃疡性结肠炎必须根据组织病理学特点诊断，并且</w:t>
            </w:r>
            <w:r>
              <w:rPr>
                <w:spacing w:val="-5"/>
                <w:sz w:val="21"/>
              </w:rPr>
              <w:t>被保险人已经接受了结肠切除和回肠造瘘术。</w:t>
            </w:r>
          </w:p>
        </w:tc>
      </w:tr>
      <w:tr>
        <w:trPr>
          <w:trHeight w:val="1877" w:hRule="atLeast"/>
        </w:trPr>
        <w:tc>
          <w:tcPr>
            <w:tcW w:w="2728" w:type="dxa"/>
          </w:tcPr>
          <w:p>
            <w:pPr>
              <w:pStyle w:val="TableParagraph"/>
              <w:spacing w:line="180" w:lineRule="auto" w:before="115"/>
              <w:ind w:left="1133" w:right="105"/>
              <w:rPr>
                <w:rFonts w:ascii="微软雅黑" w:eastAsia="微软雅黑" w:hint="eastAsia"/>
                <w:b/>
                <w:sz w:val="21"/>
              </w:rPr>
            </w:pPr>
            <w:r>
              <w:rPr>
                <w:rFonts w:ascii="微软雅黑" w:eastAsia="微软雅黑" w:hint="eastAsia"/>
                <w:b/>
                <w:sz w:val="21"/>
              </w:rPr>
              <w:t>非阿尔茨海默病所致严重痴呆</w:t>
            </w:r>
          </w:p>
        </w:tc>
        <w:tc>
          <w:tcPr>
            <w:tcW w:w="6875" w:type="dxa"/>
          </w:tcPr>
          <w:p>
            <w:pPr>
              <w:pStyle w:val="TableParagraph"/>
              <w:spacing w:line="237" w:lineRule="auto" w:before="90"/>
              <w:ind w:left="107" w:right="39"/>
              <w:jc w:val="both"/>
              <w:rPr>
                <w:sz w:val="21"/>
              </w:rPr>
            </w:pPr>
            <w:r>
              <w:rPr>
                <w:sz w:val="21"/>
              </w:rPr>
              <w:t>指因阿尔茨海默病以外的脑的器质性疾病造成脑功能衰竭导致永久不可</w:t>
            </w:r>
            <w:r>
              <w:rPr>
                <w:spacing w:val="-9"/>
                <w:sz w:val="21"/>
              </w:rPr>
              <w:t>逆性的严重痴呆，临床表现为明显的认知能力障碍、行为异常和社交能力</w:t>
            </w:r>
            <w:r>
              <w:rPr>
                <w:spacing w:val="-10"/>
                <w:sz w:val="21"/>
              </w:rPr>
              <w:t>减退。被保险人自主生活能力完全丧失，无法独立完成六项基本日常生活</w:t>
            </w:r>
            <w:r>
              <w:rPr>
                <w:spacing w:val="-9"/>
                <w:sz w:val="21"/>
              </w:rPr>
              <w:t>活动中的三项或三项以上，日常生活必须持续受到他人监护。导致痴呆的</w:t>
            </w:r>
            <w:r>
              <w:rPr>
                <w:spacing w:val="-5"/>
                <w:sz w:val="21"/>
              </w:rPr>
              <w:t>疾病必须明确诊断，并且由完整的临床、实验室和影像学检查结果证实。</w:t>
            </w:r>
          </w:p>
          <w:p>
            <w:pPr>
              <w:pStyle w:val="TableParagraph"/>
              <w:spacing w:line="299" w:lineRule="exact"/>
              <w:ind w:left="107"/>
              <w:jc w:val="both"/>
              <w:rPr>
                <w:rFonts w:ascii="微软雅黑" w:eastAsia="微软雅黑" w:hint="eastAsia"/>
                <w:b/>
                <w:sz w:val="21"/>
              </w:rPr>
            </w:pPr>
            <w:r>
              <w:rPr>
                <w:rFonts w:ascii="微软雅黑" w:eastAsia="微软雅黑" w:hint="eastAsia"/>
                <w:b/>
                <w:sz w:val="21"/>
              </w:rPr>
              <w:t>神经官能症和精神疾病不在保障范围内。</w:t>
            </w:r>
          </w:p>
        </w:tc>
      </w:tr>
      <w:tr>
        <w:trPr>
          <w:trHeight w:val="2147" w:hRule="atLeast"/>
        </w:trPr>
        <w:tc>
          <w:tcPr>
            <w:tcW w:w="2728" w:type="dxa"/>
          </w:tcPr>
          <w:p>
            <w:pPr>
              <w:pStyle w:val="TableParagraph"/>
              <w:spacing w:line="180" w:lineRule="auto" w:before="115"/>
              <w:ind w:left="1133" w:right="105"/>
              <w:rPr>
                <w:rFonts w:ascii="微软雅黑" w:eastAsia="微软雅黑" w:hint="eastAsia"/>
                <w:b/>
                <w:sz w:val="21"/>
              </w:rPr>
            </w:pPr>
            <w:r>
              <w:rPr>
                <w:rFonts w:ascii="微软雅黑" w:eastAsia="微软雅黑" w:hint="eastAsia"/>
                <w:b/>
                <w:sz w:val="21"/>
              </w:rPr>
              <w:t>原发性硬化性胆管炎</w:t>
            </w:r>
          </w:p>
        </w:tc>
        <w:tc>
          <w:tcPr>
            <w:tcW w:w="6875" w:type="dxa"/>
          </w:tcPr>
          <w:p>
            <w:pPr>
              <w:pStyle w:val="TableParagraph"/>
              <w:spacing w:line="237" w:lineRule="auto" w:before="90"/>
              <w:ind w:left="107" w:right="102"/>
              <w:jc w:val="both"/>
              <w:rPr>
                <w:sz w:val="21"/>
              </w:rPr>
            </w:pPr>
            <w:r>
              <w:rPr>
                <w:spacing w:val="-8"/>
                <w:sz w:val="21"/>
              </w:rPr>
              <w:t>指一种胆汁淤积综合征，其特征是肝内、肝外胆道因纤维化性炎症逐渐狭</w:t>
            </w:r>
            <w:r>
              <w:rPr>
                <w:spacing w:val="-10"/>
                <w:sz w:val="21"/>
              </w:rPr>
              <w:t>窄，并最终导致完全阻塞而发展为肝硬化。本病须经内镜逆行胰胆管造影</w:t>
            </w:r>
            <w:r>
              <w:rPr>
                <w:spacing w:val="-5"/>
                <w:sz w:val="21"/>
              </w:rPr>
              <w:t>等影像学检查证实，并须满足下列全部条件：</w:t>
            </w:r>
          </w:p>
          <w:p>
            <w:pPr>
              <w:pStyle w:val="TableParagraph"/>
              <w:numPr>
                <w:ilvl w:val="0"/>
                <w:numId w:val="31"/>
              </w:numPr>
              <w:tabs>
                <w:tab w:pos="674" w:val="left" w:leader="none"/>
              </w:tabs>
              <w:spacing w:line="279" w:lineRule="exact" w:before="0" w:after="0"/>
              <w:ind w:left="673" w:right="0" w:hanging="566"/>
              <w:jc w:val="both"/>
              <w:rPr>
                <w:sz w:val="21"/>
              </w:rPr>
            </w:pPr>
            <w:r>
              <w:rPr>
                <w:spacing w:val="-3"/>
                <w:sz w:val="21"/>
              </w:rPr>
              <w:t>总胆红素和直接胆红素同时升高，血清 </w:t>
            </w:r>
            <w:r>
              <w:rPr>
                <w:rFonts w:ascii="Times New Roman" w:eastAsia="Times New Roman"/>
                <w:sz w:val="21"/>
              </w:rPr>
              <w:t>ALP&gt;200U/L</w:t>
            </w:r>
            <w:r>
              <w:rPr>
                <w:sz w:val="21"/>
              </w:rPr>
              <w:t>；</w:t>
            </w:r>
          </w:p>
          <w:p>
            <w:pPr>
              <w:pStyle w:val="TableParagraph"/>
              <w:numPr>
                <w:ilvl w:val="0"/>
                <w:numId w:val="31"/>
              </w:numPr>
              <w:tabs>
                <w:tab w:pos="674" w:val="left" w:leader="none"/>
              </w:tabs>
              <w:spacing w:line="272" w:lineRule="exact" w:before="0" w:after="0"/>
              <w:ind w:left="673" w:right="0" w:hanging="566"/>
              <w:jc w:val="both"/>
              <w:rPr>
                <w:sz w:val="21"/>
              </w:rPr>
            </w:pPr>
            <w:r>
              <w:rPr>
                <w:spacing w:val="-3"/>
                <w:sz w:val="21"/>
              </w:rPr>
              <w:t>持续性黄疸病史；</w:t>
            </w:r>
          </w:p>
          <w:p>
            <w:pPr>
              <w:pStyle w:val="TableParagraph"/>
              <w:numPr>
                <w:ilvl w:val="0"/>
                <w:numId w:val="31"/>
              </w:numPr>
              <w:tabs>
                <w:tab w:pos="674" w:val="left" w:leader="none"/>
              </w:tabs>
              <w:spacing w:line="241" w:lineRule="exact" w:before="0" w:after="0"/>
              <w:ind w:left="673" w:right="0" w:hanging="566"/>
              <w:jc w:val="both"/>
              <w:rPr>
                <w:sz w:val="21"/>
              </w:rPr>
            </w:pPr>
            <w:r>
              <w:rPr>
                <w:spacing w:val="-3"/>
                <w:sz w:val="21"/>
              </w:rPr>
              <w:t>出现胆汁性肝硬化或门脉高压。</w:t>
            </w:r>
          </w:p>
          <w:p>
            <w:pPr>
              <w:pStyle w:val="TableParagraph"/>
              <w:spacing w:line="323" w:lineRule="exact"/>
              <w:ind w:left="107"/>
              <w:jc w:val="both"/>
              <w:rPr>
                <w:rFonts w:ascii="微软雅黑" w:eastAsia="微软雅黑" w:hint="eastAsia"/>
                <w:b/>
                <w:sz w:val="21"/>
              </w:rPr>
            </w:pPr>
            <w:r>
              <w:rPr>
                <w:rFonts w:ascii="微软雅黑" w:eastAsia="微软雅黑" w:hint="eastAsia"/>
                <w:b/>
                <w:sz w:val="21"/>
              </w:rPr>
              <w:t>因肿瘤或胆管损伤等继发性的硬化性胆管炎不在保障范围内。</w:t>
            </w:r>
          </w:p>
        </w:tc>
      </w:tr>
      <w:tr>
        <w:trPr>
          <w:trHeight w:val="793" w:hRule="atLeast"/>
        </w:trPr>
        <w:tc>
          <w:tcPr>
            <w:tcW w:w="2728" w:type="dxa"/>
          </w:tcPr>
          <w:p>
            <w:pPr>
              <w:pStyle w:val="TableParagraph"/>
              <w:spacing w:before="25"/>
              <w:ind w:left="1133"/>
              <w:rPr>
                <w:rFonts w:ascii="微软雅黑" w:eastAsia="微软雅黑" w:hint="eastAsia"/>
                <w:b/>
                <w:sz w:val="21"/>
              </w:rPr>
            </w:pPr>
            <w:r>
              <w:rPr>
                <w:rFonts w:ascii="微软雅黑" w:eastAsia="微软雅黑" w:hint="eastAsia"/>
                <w:b/>
                <w:sz w:val="21"/>
              </w:rPr>
              <w:t>严重心肌炎</w:t>
            </w:r>
          </w:p>
        </w:tc>
        <w:tc>
          <w:tcPr>
            <w:tcW w:w="6875" w:type="dxa"/>
          </w:tcPr>
          <w:p>
            <w:pPr>
              <w:pStyle w:val="TableParagraph"/>
              <w:spacing w:line="237" w:lineRule="auto" w:before="90"/>
              <w:ind w:left="107" w:right="39"/>
              <w:rPr>
                <w:sz w:val="21"/>
              </w:rPr>
            </w:pPr>
            <w:r>
              <w:rPr>
                <w:sz w:val="21"/>
              </w:rPr>
              <w:t>指心肌局限性或弥漫性的急性或慢性炎症病变，导致心脏功能障碍，达到美国纽约心脏病学会心功能状态分级</w:t>
            </w:r>
            <w:r>
              <w:rPr>
                <w:rFonts w:ascii="Times New Roman" w:eastAsia="Times New Roman"/>
                <w:sz w:val="21"/>
              </w:rPr>
              <w:t>IV</w:t>
            </w:r>
            <w:r>
              <w:rPr>
                <w:sz w:val="21"/>
              </w:rPr>
              <w:t>级，且持续至少</w:t>
            </w:r>
            <w:r>
              <w:rPr>
                <w:rFonts w:ascii="Times New Roman" w:eastAsia="Times New Roman"/>
                <w:sz w:val="21"/>
              </w:rPr>
              <w:t>90</w:t>
            </w:r>
            <w:r>
              <w:rPr>
                <w:sz w:val="21"/>
              </w:rPr>
              <w:t>天。</w:t>
            </w:r>
          </w:p>
        </w:tc>
      </w:tr>
      <w:tr>
        <w:trPr>
          <w:trHeight w:val="1599" w:hRule="atLeast"/>
        </w:trPr>
        <w:tc>
          <w:tcPr>
            <w:tcW w:w="2728" w:type="dxa"/>
          </w:tcPr>
          <w:p>
            <w:pPr>
              <w:pStyle w:val="TableParagraph"/>
              <w:spacing w:before="17"/>
              <w:ind w:left="1133"/>
              <w:rPr>
                <w:rFonts w:ascii="微软雅黑" w:eastAsia="微软雅黑" w:hint="eastAsia"/>
                <w:b/>
                <w:sz w:val="21"/>
              </w:rPr>
            </w:pPr>
            <w:r>
              <w:rPr>
                <w:rFonts w:ascii="微软雅黑" w:eastAsia="微软雅黑" w:hint="eastAsia"/>
                <w:b/>
                <w:sz w:val="21"/>
              </w:rPr>
              <w:t>严重川畸病</w:t>
            </w:r>
          </w:p>
        </w:tc>
        <w:tc>
          <w:tcPr>
            <w:tcW w:w="6875" w:type="dxa"/>
          </w:tcPr>
          <w:p>
            <w:pPr>
              <w:pStyle w:val="TableParagraph"/>
              <w:spacing w:line="232" w:lineRule="auto" w:before="87"/>
              <w:ind w:left="107" w:right="102"/>
              <w:jc w:val="both"/>
              <w:rPr>
                <w:sz w:val="21"/>
              </w:rPr>
            </w:pPr>
            <w:r>
              <w:rPr>
                <w:spacing w:val="-7"/>
                <w:sz w:val="21"/>
              </w:rPr>
              <w:t>严重川崎病是一种以皮肤粘膜出疹、淋巴结肿大和多发性动脉炎为特点的</w:t>
            </w:r>
            <w:r>
              <w:rPr>
                <w:spacing w:val="-2"/>
                <w:sz w:val="21"/>
              </w:rPr>
              <w:t>急性发热性疾病。 本合同仅对因川崎病合并的冠状动脉炎导致的冠状动</w:t>
            </w:r>
            <w:r>
              <w:rPr>
                <w:spacing w:val="1"/>
                <w:sz w:val="21"/>
              </w:rPr>
              <w:t>脉瘤 </w:t>
            </w:r>
            <w:r>
              <w:rPr>
                <w:rFonts w:ascii="Times New Roman" w:eastAsia="Times New Roman"/>
                <w:sz w:val="21"/>
              </w:rPr>
              <w:t>(Nakano II</w:t>
            </w:r>
            <w:r>
              <w:rPr>
                <w:sz w:val="21"/>
              </w:rPr>
              <w:t>级</w:t>
            </w:r>
            <w:r>
              <w:rPr>
                <w:rFonts w:ascii="Times New Roman" w:eastAsia="Times New Roman"/>
                <w:sz w:val="21"/>
              </w:rPr>
              <w:t>)</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line="287" w:lineRule="exact"/>
              <w:ind w:left="107"/>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327" w:hRule="atLeast"/>
        </w:trPr>
        <w:tc>
          <w:tcPr>
            <w:tcW w:w="2728" w:type="dxa"/>
          </w:tcPr>
          <w:p>
            <w:pPr>
              <w:pStyle w:val="TableParagraph"/>
              <w:spacing w:line="180" w:lineRule="auto" w:before="111"/>
              <w:ind w:left="1133" w:right="536"/>
              <w:jc w:val="both"/>
              <w:rPr>
                <w:rFonts w:ascii="微软雅黑" w:eastAsia="微软雅黑" w:hint="eastAsia"/>
                <w:b/>
                <w:sz w:val="21"/>
              </w:rPr>
            </w:pPr>
            <w:r>
              <w:rPr>
                <w:rFonts w:ascii="微软雅黑" w:eastAsia="微软雅黑" w:hint="eastAsia"/>
                <w:b/>
                <w:sz w:val="21"/>
              </w:rPr>
              <w:t>严重幼年型类风湿关节炎</w:t>
            </w:r>
          </w:p>
        </w:tc>
        <w:tc>
          <w:tcPr>
            <w:tcW w:w="6875" w:type="dxa"/>
          </w:tcPr>
          <w:p>
            <w:pPr>
              <w:pStyle w:val="TableParagraph"/>
              <w:spacing w:line="225" w:lineRule="auto" w:before="100"/>
              <w:ind w:left="107" w:right="102"/>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年以上且已接受以治疗为目的的膝或髋关节的置换手术。</w:t>
            </w:r>
          </w:p>
        </w:tc>
      </w:tr>
      <w:tr>
        <w:trPr>
          <w:trHeight w:val="1178" w:hRule="atLeast"/>
        </w:trPr>
        <w:tc>
          <w:tcPr>
            <w:tcW w:w="2728" w:type="dxa"/>
          </w:tcPr>
          <w:p>
            <w:pPr>
              <w:pStyle w:val="TableParagraph"/>
              <w:spacing w:line="180" w:lineRule="auto" w:before="115"/>
              <w:ind w:left="1133" w:right="536"/>
              <w:rPr>
                <w:rFonts w:ascii="微软雅黑" w:eastAsia="微软雅黑" w:hint="eastAsia"/>
                <w:b/>
                <w:sz w:val="21"/>
              </w:rPr>
            </w:pPr>
            <w:r>
              <w:rPr>
                <w:rFonts w:ascii="微软雅黑" w:eastAsia="微软雅黑" w:hint="eastAsia"/>
                <w:b/>
                <w:sz w:val="21"/>
              </w:rPr>
              <w:t>胰岛素依赖型糖尿病</w:t>
            </w:r>
          </w:p>
        </w:tc>
        <w:tc>
          <w:tcPr>
            <w:tcW w:w="6875" w:type="dxa"/>
          </w:tcPr>
          <w:p>
            <w:pPr>
              <w:pStyle w:val="TableParagraph"/>
              <w:spacing w:line="230" w:lineRule="auto" w:before="98"/>
              <w:ind w:left="107" w:right="102"/>
              <w:jc w:val="both"/>
              <w:rPr>
                <w:sz w:val="21"/>
              </w:rPr>
            </w:pPr>
            <w:r>
              <w:rPr>
                <w:sz w:val="21"/>
              </w:rPr>
              <w:t>胰岛素依赖型糖尿病是由于胰岛</w:t>
            </w:r>
            <w:r>
              <w:rPr>
                <w:spacing w:val="2"/>
                <w:sz w:val="21"/>
              </w:rPr>
              <w:t>β</w:t>
            </w:r>
            <w:r>
              <w:rPr>
                <w:sz w:val="21"/>
              </w:rPr>
              <w:t>细胞毁坏而导致的胰岛素分泌的绝对缺乏引起的慢性血糖升高，并需要持续性地依赖外享性胰岛素维持</w:t>
            </w:r>
            <w:r>
              <w:rPr>
                <w:rFonts w:ascii="Times New Roman" w:hAnsi="Times New Roman" w:eastAsia="Times New Roman"/>
                <w:sz w:val="21"/>
              </w:rPr>
              <w:t>180</w:t>
            </w:r>
            <w:r>
              <w:rPr>
                <w:sz w:val="21"/>
              </w:rPr>
              <w:t>天</w:t>
            </w:r>
            <w:r>
              <w:rPr>
                <w:spacing w:val="-8"/>
                <w:sz w:val="21"/>
              </w:rPr>
              <w:t>以上。该病必须由医院的内分泌科专科医生确诊，可以用其他方法</w:t>
            </w:r>
            <w:r>
              <w:rPr>
                <w:spacing w:val="-3"/>
                <w:sz w:val="21"/>
              </w:rPr>
              <w:t>（</w:t>
            </w:r>
            <w:r>
              <w:rPr>
                <w:sz w:val="21"/>
              </w:rPr>
              <w:t>非胰</w:t>
            </w:r>
          </w:p>
          <w:p>
            <w:pPr>
              <w:pStyle w:val="TableParagraph"/>
              <w:spacing w:line="251" w:lineRule="exact"/>
              <w:ind w:left="107"/>
              <w:jc w:val="both"/>
              <w:rPr>
                <w:sz w:val="21"/>
              </w:rPr>
            </w:pPr>
            <w:r>
              <w:rPr>
                <w:sz w:val="21"/>
              </w:rPr>
              <w:t>岛素注射）治疗的糖尿病不在本合同保障范围内。</w:t>
            </w:r>
          </w:p>
        </w:tc>
      </w:tr>
    </w:tbl>
    <w:p>
      <w:pPr>
        <w:spacing w:after="0" w:line="251" w:lineRule="exact"/>
        <w:jc w:val="both"/>
        <w:rPr>
          <w:sz w:val="21"/>
        </w:rPr>
        <w:sectPr>
          <w:pgSz w:w="11910" w:h="16450"/>
          <w:pgMar w:header="857" w:footer="968" w:top="1040" w:bottom="1180" w:left="106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41"/>
        <w:gridCol w:w="6877"/>
      </w:tblGrid>
      <w:tr>
        <w:trPr>
          <w:trHeight w:val="1006" w:hRule="atLeast"/>
        </w:trPr>
        <w:tc>
          <w:tcPr>
            <w:tcW w:w="786" w:type="dxa"/>
            <w:tcBorders>
              <w:top w:val="single" w:sz="6" w:space="0" w:color="000000"/>
            </w:tcBorders>
          </w:tcPr>
          <w:p>
            <w:pPr>
              <w:pStyle w:val="TableParagraph"/>
              <w:ind w:left="0"/>
              <w:rPr>
                <w:rFonts w:ascii="Times New Roman"/>
                <w:sz w:val="20"/>
              </w:rPr>
            </w:pPr>
          </w:p>
        </w:tc>
        <w:tc>
          <w:tcPr>
            <w:tcW w:w="1941" w:type="dxa"/>
            <w:tcBorders>
              <w:top w:val="single" w:sz="6" w:space="0" w:color="000000"/>
            </w:tcBorders>
          </w:tcPr>
          <w:p>
            <w:pPr>
              <w:pStyle w:val="TableParagraph"/>
              <w:spacing w:line="180" w:lineRule="auto" w:before="75"/>
              <w:ind w:left="347" w:right="104"/>
              <w:rPr>
                <w:rFonts w:ascii="微软雅黑" w:eastAsia="微软雅黑" w:hint="eastAsia"/>
                <w:b/>
                <w:sz w:val="21"/>
              </w:rPr>
            </w:pPr>
            <w:r>
              <w:rPr>
                <w:rFonts w:ascii="微软雅黑" w:eastAsia="微软雅黑" w:hint="eastAsia"/>
                <w:b/>
                <w:sz w:val="21"/>
              </w:rPr>
              <w:t>溶血性链球菌引起的坏疽</w:t>
            </w:r>
          </w:p>
        </w:tc>
        <w:tc>
          <w:tcPr>
            <w:tcW w:w="6877" w:type="dxa"/>
            <w:tcBorders>
              <w:top w:val="single" w:sz="6" w:space="0" w:color="000000"/>
            </w:tcBorders>
          </w:tcPr>
          <w:p>
            <w:pPr>
              <w:pStyle w:val="TableParagraph"/>
              <w:spacing w:line="230" w:lineRule="auto" w:before="59"/>
              <w:ind w:left="108" w:right="103"/>
              <w:jc w:val="both"/>
              <w:rPr>
                <w:sz w:val="21"/>
              </w:rPr>
            </w:pPr>
            <w:r>
              <w:rPr>
                <w:sz w:val="21"/>
              </w:rPr>
              <w:t>包围肢体或躯干的浅筋膜和</w:t>
            </w:r>
            <w:r>
              <w:rPr>
                <w:rFonts w:ascii="Times New Roman" w:eastAsia="Times New Roman"/>
                <w:sz w:val="21"/>
              </w:rPr>
              <w:t>/</w:t>
            </w:r>
            <w:r>
              <w:rPr>
                <w:sz w:val="21"/>
              </w:rPr>
              <w:t>或深筋膜受到溶血性链球菌的感染，病情在</w:t>
            </w:r>
            <w:r>
              <w:rPr>
                <w:spacing w:val="-9"/>
                <w:sz w:val="21"/>
              </w:rPr>
              <w:t>短时间内急剧恶化，已经立刻进行了手术及清创术。最后的诊断必须由微</w:t>
            </w:r>
            <w:r>
              <w:rPr>
                <w:spacing w:val="-5"/>
                <w:sz w:val="21"/>
              </w:rPr>
              <w:t>生物或病理学专家进行相关检查后证实。</w:t>
            </w:r>
          </w:p>
        </w:tc>
      </w:tr>
      <w:tr>
        <w:trPr>
          <w:trHeight w:val="1058" w:hRule="atLeast"/>
        </w:trPr>
        <w:tc>
          <w:tcPr>
            <w:tcW w:w="786" w:type="dxa"/>
          </w:tcPr>
          <w:p>
            <w:pPr>
              <w:pStyle w:val="TableParagraph"/>
              <w:spacing w:before="131"/>
              <w:ind w:left="69"/>
              <w:rPr>
                <w:rFonts w:ascii="Times New Roman"/>
                <w:b/>
                <w:sz w:val="21"/>
              </w:rPr>
            </w:pPr>
            <w:r>
              <w:rPr>
                <w:rFonts w:ascii="Times New Roman"/>
                <w:b/>
                <w:sz w:val="21"/>
              </w:rPr>
              <w:t>7.8</w:t>
            </w:r>
          </w:p>
        </w:tc>
        <w:tc>
          <w:tcPr>
            <w:tcW w:w="1941" w:type="dxa"/>
          </w:tcPr>
          <w:p>
            <w:pPr>
              <w:pStyle w:val="TableParagraph"/>
              <w:spacing w:before="36"/>
              <w:ind w:left="347"/>
              <w:rPr>
                <w:rFonts w:ascii="微软雅黑" w:eastAsia="微软雅黑" w:hint="eastAsia"/>
                <w:b/>
                <w:sz w:val="21"/>
              </w:rPr>
            </w:pPr>
            <w:r>
              <w:rPr>
                <w:rFonts w:ascii="微软雅黑" w:eastAsia="微软雅黑" w:hint="eastAsia"/>
                <w:b/>
                <w:sz w:val="21"/>
              </w:rPr>
              <w:t>意外伤害</w:t>
            </w:r>
          </w:p>
        </w:tc>
        <w:tc>
          <w:tcPr>
            <w:tcW w:w="6877" w:type="dxa"/>
          </w:tcPr>
          <w:p>
            <w:pPr>
              <w:pStyle w:val="TableParagraph"/>
              <w:spacing w:line="237" w:lineRule="auto" w:before="102"/>
              <w:ind w:left="108" w:right="-15"/>
              <w:jc w:val="both"/>
              <w:rPr>
                <w:sz w:val="21"/>
              </w:rPr>
            </w:pPr>
            <w:r>
              <w:rPr>
                <w:spacing w:val="-16"/>
                <w:sz w:val="21"/>
              </w:rPr>
              <w:t>指遭受外来的、突发的、非本意的、非疾病的使身体受到伤害的客观事件。</w:t>
            </w:r>
            <w:r>
              <w:rPr>
                <w:spacing w:val="-7"/>
                <w:sz w:val="21"/>
              </w:rPr>
              <w:t>并以此客观事件为直接且单独原因导致被保险人身体蒙受伤害或者身故。</w:t>
            </w:r>
            <w:r>
              <w:rPr>
                <w:spacing w:val="-5"/>
                <w:sz w:val="21"/>
              </w:rPr>
              <w:t>猝死不属于意外伤害。</w:t>
            </w:r>
          </w:p>
        </w:tc>
      </w:tr>
      <w:tr>
        <w:trPr>
          <w:trHeight w:val="4873" w:hRule="atLeast"/>
        </w:trPr>
        <w:tc>
          <w:tcPr>
            <w:tcW w:w="786" w:type="dxa"/>
          </w:tcPr>
          <w:p>
            <w:pPr>
              <w:pStyle w:val="TableParagraph"/>
              <w:spacing w:before="131"/>
              <w:ind w:left="69"/>
              <w:rPr>
                <w:rFonts w:ascii="Times New Roman"/>
                <w:b/>
                <w:sz w:val="21"/>
              </w:rPr>
            </w:pPr>
            <w:r>
              <w:rPr>
                <w:rFonts w:ascii="Times New Roman"/>
                <w:b/>
                <w:sz w:val="21"/>
              </w:rPr>
              <w:t>7.9</w:t>
            </w:r>
          </w:p>
        </w:tc>
        <w:tc>
          <w:tcPr>
            <w:tcW w:w="1941" w:type="dxa"/>
          </w:tcPr>
          <w:p>
            <w:pPr>
              <w:pStyle w:val="TableParagraph"/>
              <w:spacing w:before="36"/>
              <w:ind w:left="347"/>
              <w:rPr>
                <w:rFonts w:ascii="微软雅黑" w:eastAsia="微软雅黑" w:hint="eastAsia"/>
                <w:b/>
                <w:sz w:val="21"/>
              </w:rPr>
            </w:pPr>
            <w:r>
              <w:rPr>
                <w:rFonts w:ascii="微软雅黑" w:eastAsia="微软雅黑" w:hint="eastAsia"/>
                <w:b/>
                <w:sz w:val="21"/>
              </w:rPr>
              <w:t>全残</w:t>
            </w:r>
          </w:p>
        </w:tc>
        <w:tc>
          <w:tcPr>
            <w:tcW w:w="6877" w:type="dxa"/>
          </w:tcPr>
          <w:p>
            <w:pPr>
              <w:pStyle w:val="TableParagraph"/>
              <w:spacing w:line="243" w:lineRule="exact" w:before="99"/>
              <w:ind w:left="108"/>
              <w:jc w:val="both"/>
              <w:rPr>
                <w:sz w:val="21"/>
              </w:rPr>
            </w:pPr>
            <w:r>
              <w:rPr>
                <w:sz w:val="21"/>
              </w:rPr>
              <w:t>指被保险人在合同有效期内发生下列残疾程度之一的：</w:t>
            </w:r>
          </w:p>
          <w:p>
            <w:pPr>
              <w:pStyle w:val="TableParagraph"/>
              <w:numPr>
                <w:ilvl w:val="0"/>
                <w:numId w:val="32"/>
              </w:numPr>
              <w:tabs>
                <w:tab w:pos="675" w:val="left" w:leader="none"/>
              </w:tabs>
              <w:spacing w:line="316" w:lineRule="exact" w:before="0" w:after="0"/>
              <w:ind w:left="674" w:right="0" w:hanging="566"/>
              <w:jc w:val="both"/>
              <w:rPr>
                <w:sz w:val="21"/>
              </w:rPr>
            </w:pPr>
            <w:r>
              <w:rPr>
                <w:spacing w:val="-3"/>
                <w:w w:val="100"/>
                <w:sz w:val="21"/>
              </w:rPr>
              <w:t>双目永久完全</w:t>
            </w:r>
            <w:r>
              <w:rPr>
                <w:rFonts w:ascii="微软雅黑" w:eastAsia="微软雅黑" w:hint="eastAsia"/>
                <w:b/>
                <w:w w:val="100"/>
                <w:sz w:val="21"/>
              </w:rPr>
              <w:t>失明</w:t>
            </w:r>
            <w:r>
              <w:rPr>
                <w:w w:val="100"/>
                <w:sz w:val="21"/>
              </w:rPr>
              <w:t>（注</w:t>
            </w:r>
            <w:r>
              <w:rPr>
                <w:spacing w:val="-55"/>
                <w:sz w:val="21"/>
              </w:rPr>
              <w:t> </w:t>
            </w:r>
            <w:r>
              <w:rPr>
                <w:rFonts w:ascii="Times New Roman" w:eastAsia="Times New Roman"/>
                <w:w w:val="100"/>
                <w:sz w:val="21"/>
              </w:rPr>
              <w:t>1</w:t>
            </w:r>
            <w:r>
              <w:rPr>
                <w:spacing w:val="-108"/>
                <w:w w:val="100"/>
                <w:sz w:val="21"/>
              </w:rPr>
              <w:t>）；</w:t>
            </w:r>
          </w:p>
          <w:p>
            <w:pPr>
              <w:pStyle w:val="TableParagraph"/>
              <w:numPr>
                <w:ilvl w:val="0"/>
                <w:numId w:val="32"/>
              </w:numPr>
              <w:tabs>
                <w:tab w:pos="675" w:val="left" w:leader="none"/>
              </w:tabs>
              <w:spacing w:line="268" w:lineRule="exact" w:before="0" w:after="0"/>
              <w:ind w:left="674" w:right="0" w:hanging="566"/>
              <w:jc w:val="both"/>
              <w:rPr>
                <w:sz w:val="21"/>
              </w:rPr>
            </w:pPr>
            <w:r>
              <w:rPr>
                <w:spacing w:val="-3"/>
                <w:sz w:val="21"/>
              </w:rPr>
              <w:t>两上肢腕关节以上或者两下肢踝关节以上缺失；</w:t>
            </w:r>
          </w:p>
          <w:p>
            <w:pPr>
              <w:pStyle w:val="TableParagraph"/>
              <w:numPr>
                <w:ilvl w:val="0"/>
                <w:numId w:val="32"/>
              </w:numPr>
              <w:tabs>
                <w:tab w:pos="675" w:val="left" w:leader="none"/>
              </w:tabs>
              <w:spacing w:line="273" w:lineRule="exact" w:before="0" w:after="0"/>
              <w:ind w:left="674" w:right="0" w:hanging="566"/>
              <w:jc w:val="both"/>
              <w:rPr>
                <w:sz w:val="21"/>
              </w:rPr>
            </w:pPr>
            <w:r>
              <w:rPr>
                <w:spacing w:val="-3"/>
                <w:sz w:val="21"/>
              </w:rPr>
              <w:t>一上肢腕关节以上及一下肢踝关节以上缺失；</w:t>
            </w:r>
          </w:p>
          <w:p>
            <w:pPr>
              <w:pStyle w:val="TableParagraph"/>
              <w:numPr>
                <w:ilvl w:val="0"/>
                <w:numId w:val="32"/>
              </w:numPr>
              <w:tabs>
                <w:tab w:pos="675" w:val="left" w:leader="none"/>
              </w:tabs>
              <w:spacing w:line="272" w:lineRule="exact" w:before="0" w:after="0"/>
              <w:ind w:left="674" w:right="0" w:hanging="566"/>
              <w:jc w:val="both"/>
              <w:rPr>
                <w:sz w:val="21"/>
              </w:rPr>
            </w:pPr>
            <w:r>
              <w:rPr>
                <w:spacing w:val="-3"/>
                <w:sz w:val="21"/>
              </w:rPr>
              <w:t>一目永久完全失明及一上肢腕关节以上缺失；</w:t>
            </w:r>
          </w:p>
          <w:p>
            <w:pPr>
              <w:pStyle w:val="TableParagraph"/>
              <w:numPr>
                <w:ilvl w:val="0"/>
                <w:numId w:val="32"/>
              </w:numPr>
              <w:tabs>
                <w:tab w:pos="675" w:val="left" w:leader="none"/>
              </w:tabs>
              <w:spacing w:line="241" w:lineRule="exact" w:before="0" w:after="0"/>
              <w:ind w:left="674" w:right="0" w:hanging="566"/>
              <w:jc w:val="both"/>
              <w:rPr>
                <w:sz w:val="21"/>
              </w:rPr>
            </w:pPr>
            <w:r>
              <w:rPr>
                <w:spacing w:val="-3"/>
                <w:sz w:val="21"/>
              </w:rPr>
              <w:t>一目永久完全失明及一下肢踝关节以上缺失；</w:t>
            </w:r>
          </w:p>
          <w:p>
            <w:pPr>
              <w:pStyle w:val="TableParagraph"/>
              <w:numPr>
                <w:ilvl w:val="0"/>
                <w:numId w:val="32"/>
              </w:numPr>
              <w:tabs>
                <w:tab w:pos="675" w:val="left" w:leader="none"/>
              </w:tabs>
              <w:spacing w:line="277" w:lineRule="exact" w:before="0" w:after="0"/>
              <w:ind w:left="674" w:right="0" w:hanging="566"/>
              <w:jc w:val="both"/>
              <w:rPr>
                <w:sz w:val="21"/>
              </w:rPr>
            </w:pPr>
            <w:r>
              <w:rPr>
                <w:spacing w:val="-2"/>
                <w:w w:val="100"/>
                <w:sz w:val="21"/>
              </w:rPr>
              <w:t>四肢</w:t>
            </w:r>
            <w:r>
              <w:rPr>
                <w:rFonts w:ascii="微软雅黑" w:eastAsia="微软雅黑" w:hint="eastAsia"/>
                <w:b/>
                <w:spacing w:val="-1"/>
                <w:w w:val="100"/>
                <w:sz w:val="21"/>
              </w:rPr>
              <w:t>关节机能永久完全丧失</w:t>
            </w:r>
            <w:r>
              <w:rPr>
                <w:w w:val="100"/>
                <w:sz w:val="21"/>
              </w:rPr>
              <w:t>（注</w:t>
            </w:r>
            <w:r>
              <w:rPr>
                <w:spacing w:val="-55"/>
                <w:sz w:val="21"/>
              </w:rPr>
              <w:t> </w:t>
            </w:r>
            <w:r>
              <w:rPr>
                <w:rFonts w:ascii="Times New Roman" w:eastAsia="Times New Roman"/>
                <w:w w:val="100"/>
                <w:sz w:val="21"/>
              </w:rPr>
              <w:t>2</w:t>
            </w:r>
            <w:r>
              <w:rPr>
                <w:spacing w:val="-106"/>
                <w:w w:val="100"/>
                <w:sz w:val="21"/>
              </w:rPr>
              <w:t>）；</w:t>
            </w:r>
          </w:p>
          <w:p>
            <w:pPr>
              <w:pStyle w:val="TableParagraph"/>
              <w:numPr>
                <w:ilvl w:val="0"/>
                <w:numId w:val="32"/>
              </w:numPr>
              <w:tabs>
                <w:tab w:pos="675" w:val="left" w:leader="none"/>
              </w:tabs>
              <w:spacing w:line="304" w:lineRule="exact" w:before="0" w:after="0"/>
              <w:ind w:left="674" w:right="0" w:hanging="566"/>
              <w:jc w:val="both"/>
              <w:rPr>
                <w:sz w:val="21"/>
              </w:rPr>
            </w:pPr>
            <w:r>
              <w:rPr>
                <w:rFonts w:ascii="微软雅黑" w:eastAsia="微软雅黑" w:hint="eastAsia"/>
                <w:b/>
                <w:spacing w:val="-2"/>
                <w:w w:val="100"/>
                <w:sz w:val="21"/>
              </w:rPr>
              <w:t>咀嚼、吞咽机能永久完全丧失</w:t>
            </w:r>
            <w:r>
              <w:rPr>
                <w:w w:val="100"/>
                <w:sz w:val="21"/>
              </w:rPr>
              <w:t>（注</w:t>
            </w:r>
            <w:r>
              <w:rPr>
                <w:spacing w:val="-55"/>
                <w:sz w:val="21"/>
              </w:rPr>
              <w:t> </w:t>
            </w:r>
            <w:r>
              <w:rPr>
                <w:rFonts w:ascii="Times New Roman" w:eastAsia="Times New Roman"/>
                <w:w w:val="100"/>
                <w:sz w:val="21"/>
              </w:rPr>
              <w:t>3</w:t>
            </w:r>
            <w:r>
              <w:rPr>
                <w:spacing w:val="-106"/>
                <w:w w:val="100"/>
                <w:sz w:val="21"/>
              </w:rPr>
              <w:t>）；</w:t>
            </w:r>
          </w:p>
          <w:p>
            <w:pPr>
              <w:pStyle w:val="TableParagraph"/>
              <w:numPr>
                <w:ilvl w:val="0"/>
                <w:numId w:val="32"/>
              </w:numPr>
              <w:tabs>
                <w:tab w:pos="675" w:val="left" w:leader="none"/>
              </w:tabs>
              <w:spacing w:line="230" w:lineRule="auto" w:before="0" w:after="0"/>
              <w:ind w:left="674" w:right="103" w:hanging="566"/>
              <w:jc w:val="both"/>
              <w:rPr>
                <w:sz w:val="21"/>
              </w:rPr>
            </w:pPr>
            <w:r>
              <w:rPr>
                <w:spacing w:val="-3"/>
                <w:sz w:val="21"/>
              </w:rPr>
              <w:t>中枢神经系统机能或者胸、腹部脏器机能极度障碍，终身不能从事任何工作，为维持生命必要的日常生活活动（指食物摄取、大小便始末、穿脱衣服、起居、步行、入浴等</w:t>
            </w:r>
            <w:r>
              <w:rPr>
                <w:sz w:val="21"/>
              </w:rPr>
              <w:t>）</w:t>
            </w:r>
            <w:r>
              <w:rPr>
                <w:spacing w:val="-3"/>
                <w:sz w:val="21"/>
              </w:rPr>
              <w:t>，全需他人扶助。</w:t>
            </w:r>
          </w:p>
          <w:p>
            <w:pPr>
              <w:pStyle w:val="TableParagraph"/>
              <w:spacing w:line="225" w:lineRule="auto" w:before="15"/>
              <w:ind w:left="108" w:right="43"/>
              <w:jc w:val="both"/>
              <w:rPr>
                <w:sz w:val="21"/>
              </w:rPr>
            </w:pPr>
            <w:r>
              <w:rPr>
                <w:spacing w:val="-19"/>
                <w:sz w:val="21"/>
              </w:rPr>
              <w:t>注 </w:t>
            </w:r>
            <w:r>
              <w:rPr>
                <w:rFonts w:ascii="Times New Roman" w:eastAsia="Times New Roman"/>
                <w:spacing w:val="-3"/>
                <w:sz w:val="21"/>
              </w:rPr>
              <w:t>1</w:t>
            </w:r>
            <w:r>
              <w:rPr>
                <w:spacing w:val="-3"/>
                <w:sz w:val="21"/>
              </w:rPr>
              <w:t>：包括眼球缺失或者摘除、或者不能辨别明暗、或者仅能辨别眼前手</w:t>
            </w:r>
            <w:r>
              <w:rPr>
                <w:spacing w:val="-6"/>
                <w:sz w:val="21"/>
              </w:rPr>
              <w:t>动者，最佳矫正视力低于国际标准视力表 </w:t>
            </w:r>
            <w:r>
              <w:rPr>
                <w:rFonts w:ascii="Times New Roman" w:eastAsia="Times New Roman"/>
                <w:sz w:val="21"/>
              </w:rPr>
              <w:t>0.02</w:t>
            </w:r>
            <w:r>
              <w:rPr>
                <w:spacing w:val="-7"/>
                <w:sz w:val="21"/>
              </w:rPr>
              <w:t>，或者视野半径小于 </w:t>
            </w:r>
            <w:r>
              <w:rPr>
                <w:rFonts w:ascii="Times New Roman" w:eastAsia="Times New Roman"/>
                <w:sz w:val="21"/>
              </w:rPr>
              <w:t>5 </w:t>
            </w:r>
            <w:r>
              <w:rPr>
                <w:spacing w:val="-3"/>
                <w:sz w:val="21"/>
              </w:rPr>
              <w:t>度， 并由本公司认可的医疗机构的眼科医生出具医疗诊断证明。</w:t>
            </w:r>
          </w:p>
          <w:p>
            <w:pPr>
              <w:pStyle w:val="TableParagraph"/>
              <w:spacing w:line="280" w:lineRule="exact"/>
              <w:ind w:left="108"/>
              <w:rPr>
                <w:sz w:val="21"/>
              </w:rPr>
            </w:pPr>
            <w:r>
              <w:rPr>
                <w:sz w:val="21"/>
              </w:rPr>
              <w:t>注 </w:t>
            </w:r>
            <w:r>
              <w:rPr>
                <w:rFonts w:ascii="Times New Roman" w:eastAsia="Times New Roman"/>
                <w:sz w:val="21"/>
              </w:rPr>
              <w:t>2</w:t>
            </w:r>
            <w:r>
              <w:rPr>
                <w:sz w:val="21"/>
              </w:rPr>
              <w:t>：指关节永久完全僵硬、或者麻痹、或者关节不能随意识活动。</w:t>
            </w:r>
          </w:p>
          <w:p>
            <w:pPr>
              <w:pStyle w:val="TableParagraph"/>
              <w:spacing w:line="225" w:lineRule="auto" w:before="8"/>
              <w:ind w:left="108" w:right="35"/>
              <w:rPr>
                <w:sz w:val="21"/>
              </w:rPr>
            </w:pPr>
            <w:r>
              <w:rPr>
                <w:sz w:val="21"/>
              </w:rPr>
              <w:t>注 </w:t>
            </w:r>
            <w:r>
              <w:rPr>
                <w:rFonts w:ascii="Times New Roman" w:eastAsia="Times New Roman"/>
                <w:sz w:val="21"/>
              </w:rPr>
              <w:t>3</w:t>
            </w:r>
            <w:r>
              <w:rPr>
                <w:sz w:val="21"/>
              </w:rPr>
              <w:t>：由于牙齿以外的原因引起器质障碍或者机能障碍，以致永久完全不能作咀嚼、吞咽运动，除流质食物外不能摄取或者吞咽状态。</w:t>
            </w:r>
          </w:p>
        </w:tc>
      </w:tr>
      <w:tr>
        <w:trPr>
          <w:trHeight w:val="784" w:hRule="atLeast"/>
        </w:trPr>
        <w:tc>
          <w:tcPr>
            <w:tcW w:w="786" w:type="dxa"/>
          </w:tcPr>
          <w:p>
            <w:pPr>
              <w:pStyle w:val="TableParagraph"/>
              <w:spacing w:before="131"/>
              <w:ind w:left="69"/>
              <w:rPr>
                <w:rFonts w:ascii="Times New Roman"/>
                <w:b/>
                <w:sz w:val="21"/>
              </w:rPr>
            </w:pPr>
            <w:r>
              <w:rPr>
                <w:rFonts w:ascii="Times New Roman"/>
                <w:b/>
                <w:sz w:val="21"/>
              </w:rPr>
              <w:t>7.10</w:t>
            </w:r>
          </w:p>
        </w:tc>
        <w:tc>
          <w:tcPr>
            <w:tcW w:w="1941" w:type="dxa"/>
          </w:tcPr>
          <w:p>
            <w:pPr>
              <w:pStyle w:val="TableParagraph"/>
              <w:spacing w:before="36"/>
              <w:ind w:left="347"/>
              <w:rPr>
                <w:rFonts w:ascii="微软雅黑" w:eastAsia="微软雅黑" w:hint="eastAsia"/>
                <w:b/>
                <w:sz w:val="21"/>
              </w:rPr>
            </w:pPr>
            <w:r>
              <w:rPr>
                <w:rFonts w:ascii="微软雅黑" w:eastAsia="微软雅黑" w:hint="eastAsia"/>
                <w:b/>
                <w:sz w:val="21"/>
              </w:rPr>
              <w:t>犯罪</w:t>
            </w:r>
          </w:p>
        </w:tc>
        <w:tc>
          <w:tcPr>
            <w:tcW w:w="6877" w:type="dxa"/>
          </w:tcPr>
          <w:p>
            <w:pPr>
              <w:pStyle w:val="TableParagraph"/>
              <w:spacing w:line="237" w:lineRule="auto" w:before="102"/>
              <w:ind w:left="108" w:right="103"/>
              <w:rPr>
                <w:sz w:val="21"/>
              </w:rPr>
            </w:pPr>
            <w:r>
              <w:rPr>
                <w:spacing w:val="-7"/>
                <w:sz w:val="21"/>
              </w:rPr>
              <w:t>对于犯罪行为的认定，应依据法院的判决来决定是否构成犯罪，如果当事</w:t>
            </w:r>
            <w:r>
              <w:rPr>
                <w:spacing w:val="-5"/>
                <w:sz w:val="21"/>
              </w:rPr>
              <w:t>人已经死亡，无法对其进行审判，则应理解为事实上明显已构成犯罪。</w:t>
            </w:r>
          </w:p>
        </w:tc>
      </w:tr>
      <w:tr>
        <w:trPr>
          <w:trHeight w:val="1332" w:hRule="atLeast"/>
        </w:trPr>
        <w:tc>
          <w:tcPr>
            <w:tcW w:w="786" w:type="dxa"/>
          </w:tcPr>
          <w:p>
            <w:pPr>
              <w:pStyle w:val="TableParagraph"/>
              <w:spacing w:before="131"/>
              <w:ind w:left="69"/>
              <w:rPr>
                <w:rFonts w:ascii="Times New Roman"/>
                <w:b/>
                <w:sz w:val="21"/>
              </w:rPr>
            </w:pPr>
            <w:r>
              <w:rPr>
                <w:rFonts w:ascii="Times New Roman"/>
                <w:b/>
                <w:sz w:val="21"/>
              </w:rPr>
              <w:t>7.11</w:t>
            </w:r>
          </w:p>
        </w:tc>
        <w:tc>
          <w:tcPr>
            <w:tcW w:w="1941" w:type="dxa"/>
          </w:tcPr>
          <w:p>
            <w:pPr>
              <w:pStyle w:val="TableParagraph"/>
              <w:spacing w:before="36"/>
              <w:ind w:left="347"/>
              <w:rPr>
                <w:rFonts w:ascii="微软雅黑" w:eastAsia="微软雅黑" w:hint="eastAsia"/>
                <w:b/>
                <w:sz w:val="21"/>
              </w:rPr>
            </w:pPr>
            <w:r>
              <w:rPr>
                <w:rFonts w:ascii="微软雅黑" w:eastAsia="微软雅黑" w:hint="eastAsia"/>
                <w:b/>
                <w:sz w:val="21"/>
              </w:rPr>
              <w:t>毒品</w:t>
            </w:r>
          </w:p>
        </w:tc>
        <w:tc>
          <w:tcPr>
            <w:tcW w:w="6877" w:type="dxa"/>
          </w:tcPr>
          <w:p>
            <w:pPr>
              <w:pStyle w:val="TableParagraph"/>
              <w:spacing w:line="237" w:lineRule="auto" w:before="102"/>
              <w:ind w:left="108" w:right="40"/>
              <w:jc w:val="both"/>
              <w:rPr>
                <w:sz w:val="21"/>
              </w:rPr>
            </w:pPr>
            <w:r>
              <w:rPr>
                <w:spacing w:val="-3"/>
                <w:sz w:val="21"/>
              </w:rPr>
              <w:t>指《中华人民共和国刑法》规定的鸦片、海洛因、甲基苯丙胺</w:t>
            </w:r>
            <w:r>
              <w:rPr>
                <w:sz w:val="21"/>
              </w:rPr>
              <w:t>（</w:t>
            </w:r>
            <w:r>
              <w:rPr>
                <w:spacing w:val="-2"/>
                <w:sz w:val="21"/>
              </w:rPr>
              <w:t>冰毒</w:t>
            </w:r>
            <w:r>
              <w:rPr>
                <w:spacing w:val="-3"/>
                <w:sz w:val="21"/>
              </w:rPr>
              <w:t>）</w:t>
            </w:r>
            <w:r>
              <w:rPr>
                <w:sz w:val="21"/>
              </w:rPr>
              <w:t>、</w:t>
            </w:r>
            <w:r>
              <w:rPr>
                <w:spacing w:val="-10"/>
                <w:sz w:val="21"/>
              </w:rPr>
              <w:t>吗啡、大麻、可卡因以及国家规定管制的其他能够使人形成瘾癖的麻醉药</w:t>
            </w:r>
            <w:r>
              <w:rPr>
                <w:spacing w:val="-11"/>
                <w:sz w:val="21"/>
              </w:rPr>
              <w:t>品和精神药品，但不包括由医生开具并遵医嘱使用的用于治疗疾病但含有</w:t>
            </w:r>
            <w:r>
              <w:rPr>
                <w:spacing w:val="-6"/>
                <w:sz w:val="21"/>
              </w:rPr>
              <w:t>毒品成分的处方药品。</w:t>
            </w:r>
          </w:p>
        </w:tc>
      </w:tr>
      <w:tr>
        <w:trPr>
          <w:trHeight w:val="521" w:hRule="atLeast"/>
        </w:trPr>
        <w:tc>
          <w:tcPr>
            <w:tcW w:w="786" w:type="dxa"/>
          </w:tcPr>
          <w:p>
            <w:pPr>
              <w:pStyle w:val="TableParagraph"/>
              <w:spacing w:before="132"/>
              <w:ind w:left="69"/>
              <w:rPr>
                <w:rFonts w:ascii="Times New Roman"/>
                <w:b/>
                <w:sz w:val="21"/>
              </w:rPr>
            </w:pPr>
            <w:r>
              <w:rPr>
                <w:rFonts w:ascii="Times New Roman"/>
                <w:b/>
                <w:sz w:val="21"/>
              </w:rPr>
              <w:t>7.12</w:t>
            </w:r>
          </w:p>
        </w:tc>
        <w:tc>
          <w:tcPr>
            <w:tcW w:w="1941" w:type="dxa"/>
          </w:tcPr>
          <w:p>
            <w:pPr>
              <w:pStyle w:val="TableParagraph"/>
              <w:spacing w:before="37"/>
              <w:ind w:left="347"/>
              <w:rPr>
                <w:rFonts w:ascii="微软雅黑" w:eastAsia="微软雅黑" w:hint="eastAsia"/>
                <w:b/>
                <w:sz w:val="21"/>
              </w:rPr>
            </w:pPr>
            <w:r>
              <w:rPr>
                <w:rFonts w:ascii="微软雅黑" w:eastAsia="微软雅黑" w:hint="eastAsia"/>
                <w:b/>
                <w:sz w:val="21"/>
              </w:rPr>
              <w:t>醉酒</w:t>
            </w:r>
          </w:p>
        </w:tc>
        <w:tc>
          <w:tcPr>
            <w:tcW w:w="6877" w:type="dxa"/>
          </w:tcPr>
          <w:p>
            <w:pPr>
              <w:pStyle w:val="TableParagraph"/>
              <w:spacing w:before="99"/>
              <w:ind w:left="108"/>
              <w:rPr>
                <w:sz w:val="21"/>
              </w:rPr>
            </w:pPr>
            <w:r>
              <w:rPr>
                <w:sz w:val="21"/>
              </w:rPr>
              <w:t>指发生事故时当事人每百毫升血液中的酒精含量大于或等于 </w:t>
            </w:r>
            <w:r>
              <w:rPr>
                <w:rFonts w:ascii="Times New Roman" w:eastAsia="Times New Roman"/>
                <w:sz w:val="21"/>
              </w:rPr>
              <w:t>80 </w:t>
            </w:r>
            <w:r>
              <w:rPr>
                <w:sz w:val="21"/>
              </w:rPr>
              <w:t>毫克。</w:t>
            </w:r>
          </w:p>
        </w:tc>
      </w:tr>
      <w:tr>
        <w:trPr>
          <w:trHeight w:val="1050" w:hRule="atLeast"/>
        </w:trPr>
        <w:tc>
          <w:tcPr>
            <w:tcW w:w="786" w:type="dxa"/>
          </w:tcPr>
          <w:p>
            <w:pPr>
              <w:pStyle w:val="TableParagraph"/>
              <w:spacing w:before="123"/>
              <w:ind w:left="69"/>
              <w:rPr>
                <w:rFonts w:ascii="Times New Roman"/>
                <w:b/>
                <w:sz w:val="21"/>
              </w:rPr>
            </w:pPr>
            <w:r>
              <w:rPr>
                <w:rFonts w:ascii="Times New Roman"/>
                <w:b/>
                <w:sz w:val="21"/>
              </w:rPr>
              <w:t>7.13</w:t>
            </w:r>
          </w:p>
        </w:tc>
        <w:tc>
          <w:tcPr>
            <w:tcW w:w="1941" w:type="dxa"/>
          </w:tcPr>
          <w:p>
            <w:pPr>
              <w:pStyle w:val="TableParagraph"/>
              <w:spacing w:before="28"/>
              <w:ind w:left="347"/>
              <w:rPr>
                <w:rFonts w:ascii="微软雅黑" w:eastAsia="微软雅黑" w:hint="eastAsia"/>
                <w:b/>
                <w:sz w:val="21"/>
              </w:rPr>
            </w:pPr>
            <w:r>
              <w:rPr>
                <w:rFonts w:ascii="微软雅黑" w:eastAsia="微软雅黑" w:hint="eastAsia"/>
                <w:b/>
                <w:sz w:val="21"/>
              </w:rPr>
              <w:t>酒后驾驶</w:t>
            </w:r>
          </w:p>
        </w:tc>
        <w:tc>
          <w:tcPr>
            <w:tcW w:w="6877" w:type="dxa"/>
          </w:tcPr>
          <w:p>
            <w:pPr>
              <w:pStyle w:val="TableParagraph"/>
              <w:spacing w:line="237" w:lineRule="auto" w:before="94"/>
              <w:ind w:left="108" w:right="103"/>
              <w:jc w:val="both"/>
              <w:rPr>
                <w:sz w:val="21"/>
              </w:rPr>
            </w:pPr>
            <w:r>
              <w:rPr>
                <w:spacing w:val="-10"/>
                <w:sz w:val="21"/>
              </w:rPr>
              <w:t>指经检测或鉴定，发生事故时车辆驾驶人员每百毫升血液中的酒精含量达</w:t>
            </w:r>
            <w:r>
              <w:rPr>
                <w:spacing w:val="-9"/>
                <w:sz w:val="21"/>
              </w:rPr>
              <w:t>到或超过一定的标准，公安机关交通管理部门依据《道路交通安全法》的</w:t>
            </w:r>
            <w:r>
              <w:rPr>
                <w:spacing w:val="-5"/>
                <w:sz w:val="21"/>
              </w:rPr>
              <w:t>规定认定为饮酒后驾驶或醉酒后驾驶。</w:t>
            </w:r>
          </w:p>
        </w:tc>
      </w:tr>
      <w:tr>
        <w:trPr>
          <w:trHeight w:val="3136" w:hRule="atLeast"/>
        </w:trPr>
        <w:tc>
          <w:tcPr>
            <w:tcW w:w="786" w:type="dxa"/>
          </w:tcPr>
          <w:p>
            <w:pPr>
              <w:pStyle w:val="TableParagraph"/>
              <w:spacing w:before="131"/>
              <w:ind w:left="69"/>
              <w:rPr>
                <w:rFonts w:ascii="Times New Roman"/>
                <w:b/>
                <w:sz w:val="21"/>
              </w:rPr>
            </w:pPr>
            <w:r>
              <w:rPr>
                <w:rFonts w:ascii="Times New Roman"/>
                <w:b/>
                <w:sz w:val="21"/>
              </w:rPr>
              <w:t>7.14</w:t>
            </w:r>
          </w:p>
        </w:tc>
        <w:tc>
          <w:tcPr>
            <w:tcW w:w="1941" w:type="dxa"/>
          </w:tcPr>
          <w:p>
            <w:pPr>
              <w:pStyle w:val="TableParagraph"/>
              <w:spacing w:line="180" w:lineRule="auto" w:before="127"/>
              <w:ind w:left="347" w:right="104"/>
              <w:rPr>
                <w:rFonts w:ascii="微软雅黑" w:eastAsia="微软雅黑" w:hint="eastAsia"/>
                <w:b/>
                <w:sz w:val="21"/>
              </w:rPr>
            </w:pPr>
            <w:r>
              <w:rPr>
                <w:rFonts w:ascii="微软雅黑" w:eastAsia="微软雅黑" w:hint="eastAsia"/>
                <w:b/>
                <w:sz w:val="21"/>
              </w:rPr>
              <w:t>无合法有效驾驶证驾驶</w:t>
            </w:r>
          </w:p>
        </w:tc>
        <w:tc>
          <w:tcPr>
            <w:tcW w:w="6877" w:type="dxa"/>
          </w:tcPr>
          <w:p>
            <w:pPr>
              <w:pStyle w:val="TableParagraph"/>
              <w:spacing w:before="120"/>
              <w:ind w:left="108"/>
              <w:rPr>
                <w:sz w:val="21"/>
              </w:rPr>
            </w:pPr>
            <w:r>
              <w:rPr>
                <w:sz w:val="21"/>
              </w:rPr>
              <w:t>指下列情形之一：</w:t>
            </w:r>
          </w:p>
          <w:p>
            <w:pPr>
              <w:pStyle w:val="TableParagraph"/>
              <w:numPr>
                <w:ilvl w:val="0"/>
                <w:numId w:val="33"/>
              </w:numPr>
              <w:tabs>
                <w:tab w:pos="675" w:val="left" w:leader="none"/>
              </w:tabs>
              <w:spacing w:line="282" w:lineRule="exact" w:before="15" w:after="0"/>
              <w:ind w:left="674" w:right="0" w:hanging="566"/>
              <w:jc w:val="left"/>
              <w:rPr>
                <w:sz w:val="21"/>
              </w:rPr>
            </w:pPr>
            <w:r>
              <w:rPr>
                <w:spacing w:val="-3"/>
                <w:sz w:val="21"/>
              </w:rPr>
              <w:t>没有驾驶证驾驶；</w:t>
            </w:r>
          </w:p>
          <w:p>
            <w:pPr>
              <w:pStyle w:val="TableParagraph"/>
              <w:numPr>
                <w:ilvl w:val="0"/>
                <w:numId w:val="33"/>
              </w:numPr>
              <w:tabs>
                <w:tab w:pos="675" w:val="left" w:leader="none"/>
              </w:tabs>
              <w:spacing w:line="272" w:lineRule="exact" w:before="0" w:after="0"/>
              <w:ind w:left="674" w:right="0" w:hanging="566"/>
              <w:jc w:val="left"/>
              <w:rPr>
                <w:sz w:val="21"/>
              </w:rPr>
            </w:pPr>
            <w:r>
              <w:rPr>
                <w:spacing w:val="-3"/>
                <w:sz w:val="21"/>
              </w:rPr>
              <w:t>驾驶与驾驶证准驾车型不相符合的车辆；</w:t>
            </w:r>
          </w:p>
          <w:p>
            <w:pPr>
              <w:pStyle w:val="TableParagraph"/>
              <w:numPr>
                <w:ilvl w:val="0"/>
                <w:numId w:val="33"/>
              </w:numPr>
              <w:tabs>
                <w:tab w:pos="675" w:val="left" w:leader="none"/>
              </w:tabs>
              <w:spacing w:line="271" w:lineRule="exact" w:before="0" w:after="0"/>
              <w:ind w:left="674" w:right="0" w:hanging="566"/>
              <w:jc w:val="left"/>
              <w:rPr>
                <w:sz w:val="21"/>
              </w:rPr>
            </w:pPr>
            <w:r>
              <w:rPr>
                <w:spacing w:val="-3"/>
                <w:sz w:val="21"/>
              </w:rPr>
              <w:t>驾驶员持审验不合格的驾驶证驾驶；</w:t>
            </w:r>
          </w:p>
          <w:p>
            <w:pPr>
              <w:pStyle w:val="TableParagraph"/>
              <w:numPr>
                <w:ilvl w:val="0"/>
                <w:numId w:val="33"/>
              </w:numPr>
              <w:tabs>
                <w:tab w:pos="675" w:val="left" w:leader="none"/>
              </w:tabs>
              <w:spacing w:line="273" w:lineRule="exact" w:before="0" w:after="0"/>
              <w:ind w:left="674" w:right="0" w:hanging="566"/>
              <w:jc w:val="left"/>
              <w:rPr>
                <w:sz w:val="21"/>
              </w:rPr>
            </w:pPr>
            <w:r>
              <w:rPr>
                <w:spacing w:val="-3"/>
                <w:sz w:val="21"/>
              </w:rPr>
              <w:t>未经公安交通管理部门同意，持未审验的驾驶证驾驶；</w:t>
            </w:r>
          </w:p>
          <w:p>
            <w:pPr>
              <w:pStyle w:val="TableParagraph"/>
              <w:numPr>
                <w:ilvl w:val="0"/>
                <w:numId w:val="33"/>
              </w:numPr>
              <w:tabs>
                <w:tab w:pos="675" w:val="left" w:leader="none"/>
              </w:tabs>
              <w:spacing w:line="223" w:lineRule="auto" w:before="12" w:after="0"/>
              <w:ind w:left="674" w:right="103" w:hanging="566"/>
              <w:jc w:val="left"/>
              <w:rPr>
                <w:sz w:val="21"/>
              </w:rPr>
            </w:pPr>
            <w:r>
              <w:rPr>
                <w:spacing w:val="-3"/>
                <w:sz w:val="21"/>
              </w:rPr>
              <w:t>持学习驾驶证学习驾车时，无教练员随车指导，或不按指定时间、路线学习驾车；</w:t>
            </w:r>
          </w:p>
          <w:p>
            <w:pPr>
              <w:pStyle w:val="TableParagraph"/>
              <w:numPr>
                <w:ilvl w:val="0"/>
                <w:numId w:val="33"/>
              </w:numPr>
              <w:tabs>
                <w:tab w:pos="675" w:val="left" w:leader="none"/>
              </w:tabs>
              <w:spacing w:line="280" w:lineRule="exact" w:before="0" w:after="0"/>
              <w:ind w:left="674" w:right="0" w:hanging="566"/>
              <w:jc w:val="left"/>
              <w:rPr>
                <w:sz w:val="21"/>
              </w:rPr>
            </w:pPr>
            <w:r>
              <w:rPr>
                <w:spacing w:val="-3"/>
                <w:sz w:val="21"/>
              </w:rPr>
              <w:t>持学习驾驶证在高速公路上驾车；</w:t>
            </w:r>
          </w:p>
          <w:p>
            <w:pPr>
              <w:pStyle w:val="TableParagraph"/>
              <w:numPr>
                <w:ilvl w:val="0"/>
                <w:numId w:val="33"/>
              </w:numPr>
              <w:tabs>
                <w:tab w:pos="675" w:val="left" w:leader="none"/>
              </w:tabs>
              <w:spacing w:line="272" w:lineRule="exact" w:before="0" w:after="0"/>
              <w:ind w:left="674" w:right="0" w:hanging="566"/>
              <w:jc w:val="left"/>
              <w:rPr>
                <w:sz w:val="21"/>
              </w:rPr>
            </w:pPr>
            <w:r>
              <w:rPr>
                <w:spacing w:val="-3"/>
                <w:sz w:val="21"/>
              </w:rPr>
              <w:t>公安交通管理部门规定的其它无有效驾驶证驾驶的情况。</w:t>
            </w:r>
          </w:p>
          <w:p>
            <w:pPr>
              <w:pStyle w:val="TableParagraph"/>
              <w:spacing w:line="272" w:lineRule="exact" w:before="19"/>
              <w:ind w:left="108" w:right="41"/>
              <w:rPr>
                <w:sz w:val="21"/>
              </w:rPr>
            </w:pPr>
            <w:r>
              <w:rPr>
                <w:sz w:val="21"/>
              </w:rPr>
              <w:t>事故发生时法律法规的相关规定与上述释义不符的，以事故发生时的法律法规为准。</w:t>
            </w:r>
          </w:p>
        </w:tc>
      </w:tr>
    </w:tbl>
    <w:p>
      <w:pPr>
        <w:spacing w:after="0" w:line="272" w:lineRule="exact"/>
        <w:rPr>
          <w:sz w:val="21"/>
        </w:rPr>
        <w:sectPr>
          <w:pgSz w:w="11910" w:h="16450"/>
          <w:pgMar w:header="857" w:footer="968" w:top="1040" w:bottom="1180" w:left="1060" w:right="1020"/>
        </w:sectPr>
      </w:pPr>
    </w:p>
    <w:p>
      <w:pPr>
        <w:pStyle w:val="BodyText"/>
        <w:rPr>
          <w:rFonts w:ascii="Times New Roman"/>
          <w:sz w:val="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941"/>
        <w:gridCol w:w="6838"/>
      </w:tblGrid>
      <w:tr>
        <w:trPr>
          <w:trHeight w:val="1089" w:hRule="atLeast"/>
        </w:trPr>
        <w:tc>
          <w:tcPr>
            <w:tcW w:w="786" w:type="dxa"/>
            <w:tcBorders>
              <w:top w:val="single" w:sz="6" w:space="0" w:color="000000"/>
            </w:tcBorders>
          </w:tcPr>
          <w:p>
            <w:pPr>
              <w:pStyle w:val="TableParagraph"/>
              <w:spacing w:before="79"/>
              <w:ind w:left="69"/>
              <w:rPr>
                <w:rFonts w:ascii="Times New Roman"/>
                <w:b/>
                <w:sz w:val="21"/>
              </w:rPr>
            </w:pPr>
            <w:r>
              <w:rPr>
                <w:rFonts w:ascii="Times New Roman"/>
                <w:b/>
                <w:sz w:val="21"/>
              </w:rPr>
              <w:t>7.15</w:t>
            </w:r>
          </w:p>
        </w:tc>
        <w:tc>
          <w:tcPr>
            <w:tcW w:w="1941" w:type="dxa"/>
            <w:tcBorders>
              <w:top w:val="single" w:sz="6" w:space="0" w:color="000000"/>
            </w:tcBorders>
          </w:tcPr>
          <w:p>
            <w:pPr>
              <w:pStyle w:val="TableParagraph"/>
              <w:spacing w:line="347" w:lineRule="exact"/>
              <w:ind w:left="347"/>
              <w:rPr>
                <w:rFonts w:ascii="微软雅黑" w:eastAsia="微软雅黑" w:hint="eastAsia"/>
                <w:b/>
                <w:sz w:val="21"/>
              </w:rPr>
            </w:pPr>
            <w:r>
              <w:rPr>
                <w:rFonts w:ascii="微软雅黑" w:eastAsia="微软雅黑" w:hint="eastAsia"/>
                <w:b/>
                <w:sz w:val="21"/>
              </w:rPr>
              <w:t>无有效行驶证</w:t>
            </w:r>
          </w:p>
        </w:tc>
        <w:tc>
          <w:tcPr>
            <w:tcW w:w="6838" w:type="dxa"/>
            <w:tcBorders>
              <w:top w:val="single" w:sz="6" w:space="0" w:color="000000"/>
            </w:tcBorders>
          </w:tcPr>
          <w:p>
            <w:pPr>
              <w:pStyle w:val="TableParagraph"/>
              <w:spacing w:before="69"/>
              <w:ind w:left="108"/>
              <w:rPr>
                <w:sz w:val="21"/>
              </w:rPr>
            </w:pPr>
            <w:r>
              <w:rPr>
                <w:sz w:val="21"/>
              </w:rPr>
              <w:t>指下列情形之一：</w:t>
            </w:r>
          </w:p>
          <w:p>
            <w:pPr>
              <w:pStyle w:val="TableParagraph"/>
              <w:numPr>
                <w:ilvl w:val="0"/>
                <w:numId w:val="34"/>
              </w:numPr>
              <w:tabs>
                <w:tab w:pos="675" w:val="left" w:leader="none"/>
              </w:tabs>
              <w:spacing w:line="281" w:lineRule="exact" w:before="16" w:after="0"/>
              <w:ind w:left="674" w:right="0" w:hanging="566"/>
              <w:jc w:val="left"/>
              <w:rPr>
                <w:sz w:val="21"/>
              </w:rPr>
            </w:pPr>
            <w:r>
              <w:rPr>
                <w:spacing w:val="-3"/>
                <w:sz w:val="21"/>
              </w:rPr>
              <w:t>机动车被依法注销登记的；</w:t>
            </w:r>
          </w:p>
          <w:p>
            <w:pPr>
              <w:pStyle w:val="TableParagraph"/>
              <w:numPr>
                <w:ilvl w:val="0"/>
                <w:numId w:val="34"/>
              </w:numPr>
              <w:tabs>
                <w:tab w:pos="675" w:val="left" w:leader="none"/>
              </w:tabs>
              <w:spacing w:line="281" w:lineRule="exact" w:before="0" w:after="0"/>
              <w:ind w:left="674" w:right="0" w:hanging="566"/>
              <w:jc w:val="left"/>
              <w:rPr>
                <w:sz w:val="21"/>
              </w:rPr>
            </w:pPr>
            <w:r>
              <w:rPr>
                <w:spacing w:val="-3"/>
                <w:sz w:val="21"/>
              </w:rPr>
              <w:t>未依法按时进行或通过机动车安全技术检验。</w:t>
            </w:r>
          </w:p>
        </w:tc>
      </w:tr>
      <w:tr>
        <w:trPr>
          <w:trHeight w:val="919" w:hRule="atLeast"/>
        </w:trPr>
        <w:tc>
          <w:tcPr>
            <w:tcW w:w="786" w:type="dxa"/>
          </w:tcPr>
          <w:p>
            <w:pPr>
              <w:pStyle w:val="TableParagraph"/>
              <w:spacing w:before="159"/>
              <w:ind w:left="69"/>
              <w:rPr>
                <w:rFonts w:ascii="Times New Roman"/>
                <w:b/>
                <w:sz w:val="21"/>
              </w:rPr>
            </w:pPr>
            <w:r>
              <w:rPr>
                <w:rFonts w:ascii="Times New Roman"/>
                <w:b/>
                <w:sz w:val="21"/>
              </w:rPr>
              <w:t>7.16</w:t>
            </w:r>
          </w:p>
        </w:tc>
        <w:tc>
          <w:tcPr>
            <w:tcW w:w="1941" w:type="dxa"/>
          </w:tcPr>
          <w:p>
            <w:pPr>
              <w:pStyle w:val="TableParagraph"/>
              <w:spacing w:before="64"/>
              <w:ind w:left="347"/>
              <w:rPr>
                <w:rFonts w:ascii="微软雅黑" w:eastAsia="微软雅黑" w:hint="eastAsia"/>
                <w:b/>
                <w:sz w:val="21"/>
              </w:rPr>
            </w:pPr>
            <w:r>
              <w:rPr>
                <w:rFonts w:ascii="微软雅黑" w:eastAsia="微软雅黑" w:hint="eastAsia"/>
                <w:b/>
                <w:sz w:val="21"/>
              </w:rPr>
              <w:t>遗传性疾病</w:t>
            </w:r>
          </w:p>
        </w:tc>
        <w:tc>
          <w:tcPr>
            <w:tcW w:w="6838" w:type="dxa"/>
          </w:tcPr>
          <w:p>
            <w:pPr>
              <w:pStyle w:val="TableParagraph"/>
              <w:spacing w:line="273" w:lineRule="auto" w:before="148"/>
              <w:ind w:left="108" w:right="4"/>
              <w:rPr>
                <w:sz w:val="21"/>
              </w:rPr>
            </w:pPr>
            <w:r>
              <w:rPr>
                <w:sz w:val="21"/>
              </w:rPr>
              <w:t>指生殖细胞或受精卵的遗传物质（染色体和基因）发生突变或畸变所引起的疾病，通常具有由亲代传至后代的垂直传递的特征。</w:t>
            </w:r>
          </w:p>
        </w:tc>
      </w:tr>
      <w:tr>
        <w:trPr>
          <w:trHeight w:val="1256" w:hRule="atLeast"/>
        </w:trPr>
        <w:tc>
          <w:tcPr>
            <w:tcW w:w="786" w:type="dxa"/>
          </w:tcPr>
          <w:p>
            <w:pPr>
              <w:pStyle w:val="TableParagraph"/>
              <w:spacing w:before="176"/>
              <w:ind w:left="69"/>
              <w:rPr>
                <w:rFonts w:ascii="Times New Roman"/>
                <w:b/>
                <w:sz w:val="21"/>
              </w:rPr>
            </w:pPr>
            <w:r>
              <w:rPr>
                <w:rFonts w:ascii="Times New Roman"/>
                <w:b/>
                <w:sz w:val="21"/>
              </w:rPr>
              <w:t>7.17</w:t>
            </w:r>
          </w:p>
        </w:tc>
        <w:tc>
          <w:tcPr>
            <w:tcW w:w="1941" w:type="dxa"/>
          </w:tcPr>
          <w:p>
            <w:pPr>
              <w:pStyle w:val="TableParagraph"/>
              <w:spacing w:line="180" w:lineRule="auto" w:before="171"/>
              <w:ind w:left="347" w:right="104"/>
              <w:rPr>
                <w:rFonts w:ascii="微软雅黑" w:eastAsia="微软雅黑" w:hint="eastAsia"/>
                <w:b/>
                <w:sz w:val="21"/>
              </w:rPr>
            </w:pPr>
            <w:r>
              <w:rPr>
                <w:rFonts w:ascii="微软雅黑" w:eastAsia="微软雅黑" w:hint="eastAsia"/>
                <w:b/>
                <w:sz w:val="21"/>
              </w:rPr>
              <w:t>先天性畸形、变形或染色体异常</w:t>
            </w:r>
          </w:p>
        </w:tc>
        <w:tc>
          <w:tcPr>
            <w:tcW w:w="6838" w:type="dxa"/>
          </w:tcPr>
          <w:p>
            <w:pPr>
              <w:pStyle w:val="TableParagraph"/>
              <w:spacing w:line="273" w:lineRule="auto" w:before="165"/>
              <w:ind w:left="108" w:right="1"/>
              <w:rPr>
                <w:sz w:val="21"/>
              </w:rPr>
            </w:pPr>
            <w:r>
              <w:rPr>
                <w:spacing w:val="-7"/>
                <w:sz w:val="21"/>
              </w:rPr>
              <w:t>指被保险人出生时就具有的畸形、变形或染色体异常。先天性畸形、变形</w:t>
            </w:r>
            <w:r>
              <w:rPr>
                <w:spacing w:val="-5"/>
                <w:sz w:val="21"/>
              </w:rPr>
              <w:t>和染色体异常依照世界卫生组织《疾病和有关健康问题的国际统计分类》</w:t>
            </w:r>
          </w:p>
          <w:p>
            <w:pPr>
              <w:pStyle w:val="TableParagraph"/>
              <w:spacing w:before="7"/>
              <w:ind w:left="108"/>
              <w:rPr>
                <w:sz w:val="21"/>
              </w:rPr>
            </w:pPr>
            <w:r>
              <w:rPr>
                <w:sz w:val="21"/>
              </w:rPr>
              <w:t>（</w:t>
            </w:r>
            <w:r>
              <w:rPr>
                <w:rFonts w:ascii="Times New Roman" w:eastAsia="Times New Roman"/>
                <w:sz w:val="21"/>
              </w:rPr>
              <w:t>ICD-10</w:t>
            </w:r>
            <w:r>
              <w:rPr>
                <w:sz w:val="21"/>
              </w:rPr>
              <w:t>）确定。</w:t>
            </w:r>
          </w:p>
        </w:tc>
      </w:tr>
      <w:tr>
        <w:trPr>
          <w:trHeight w:val="1719" w:hRule="atLeast"/>
        </w:trPr>
        <w:tc>
          <w:tcPr>
            <w:tcW w:w="786" w:type="dxa"/>
          </w:tcPr>
          <w:p>
            <w:pPr>
              <w:pStyle w:val="TableParagraph"/>
              <w:spacing w:before="168"/>
              <w:ind w:left="69"/>
              <w:rPr>
                <w:rFonts w:ascii="Times New Roman"/>
                <w:b/>
                <w:sz w:val="21"/>
              </w:rPr>
            </w:pPr>
            <w:r>
              <w:rPr>
                <w:rFonts w:ascii="Times New Roman"/>
                <w:b/>
                <w:sz w:val="21"/>
              </w:rPr>
              <w:t>7.18</w:t>
            </w:r>
          </w:p>
        </w:tc>
        <w:tc>
          <w:tcPr>
            <w:tcW w:w="1941" w:type="dxa"/>
          </w:tcPr>
          <w:p>
            <w:pPr>
              <w:pStyle w:val="TableParagraph"/>
              <w:spacing w:line="180" w:lineRule="auto" w:before="164"/>
              <w:ind w:left="347" w:right="104"/>
              <w:rPr>
                <w:rFonts w:ascii="微软雅黑" w:eastAsia="微软雅黑" w:hint="eastAsia"/>
                <w:b/>
                <w:sz w:val="21"/>
              </w:rPr>
            </w:pPr>
            <w:r>
              <w:rPr>
                <w:rFonts w:ascii="微软雅黑" w:eastAsia="微软雅黑" w:hint="eastAsia"/>
                <w:b/>
                <w:sz w:val="21"/>
              </w:rPr>
              <w:t>感染艾滋病病毒或患艾滋病</w:t>
            </w:r>
          </w:p>
        </w:tc>
        <w:tc>
          <w:tcPr>
            <w:tcW w:w="6838" w:type="dxa"/>
          </w:tcPr>
          <w:p>
            <w:pPr>
              <w:pStyle w:val="TableParagraph"/>
              <w:spacing w:line="256" w:lineRule="auto" w:before="157"/>
              <w:ind w:left="108" w:right="64"/>
              <w:rPr>
                <w:sz w:val="21"/>
              </w:rPr>
            </w:pPr>
            <w:r>
              <w:rPr>
                <w:spacing w:val="-8"/>
                <w:sz w:val="21"/>
              </w:rPr>
              <w:t>艾滋病病毒指人类免疫缺陷病毒，英文缩写为 </w:t>
            </w:r>
            <w:r>
              <w:rPr>
                <w:rFonts w:ascii="Times New Roman" w:eastAsia="Times New Roman"/>
                <w:sz w:val="21"/>
              </w:rPr>
              <w:t>HIV</w:t>
            </w:r>
            <w:r>
              <w:rPr>
                <w:spacing w:val="-7"/>
                <w:sz w:val="21"/>
              </w:rPr>
              <w:t>。艾滋病指人类免疫缺</w:t>
            </w:r>
            <w:r>
              <w:rPr>
                <w:spacing w:val="-6"/>
                <w:sz w:val="21"/>
              </w:rPr>
              <w:t>陷病毒引起的获得性免疫缺陷综合征，英文缩写为 </w:t>
            </w:r>
            <w:r>
              <w:rPr>
                <w:rFonts w:ascii="Times New Roman" w:eastAsia="Times New Roman"/>
                <w:sz w:val="21"/>
              </w:rPr>
              <w:t>AIDS</w:t>
            </w:r>
            <w:r>
              <w:rPr>
                <w:sz w:val="21"/>
              </w:rPr>
              <w:t>。</w:t>
            </w:r>
          </w:p>
          <w:p>
            <w:pPr>
              <w:pStyle w:val="TableParagraph"/>
              <w:spacing w:line="272" w:lineRule="exact" w:before="10"/>
              <w:ind w:left="108" w:right="5"/>
              <w:rPr>
                <w:sz w:val="21"/>
              </w:rPr>
            </w:pPr>
            <w:r>
              <w:rPr>
                <w:sz w:val="21"/>
              </w:rPr>
              <w:t>在人体血液或其它样本中检测到艾滋病病毒或其抗体呈阳性，没有出现临床症状或体征的，为感染艾滋病病毒；如果同时出现了明显临床症状或体</w:t>
            </w:r>
          </w:p>
          <w:p>
            <w:pPr>
              <w:pStyle w:val="TableParagraph"/>
              <w:spacing w:line="249" w:lineRule="exact"/>
              <w:ind w:left="108"/>
              <w:rPr>
                <w:sz w:val="21"/>
              </w:rPr>
            </w:pPr>
            <w:r>
              <w:rPr>
                <w:sz w:val="21"/>
              </w:rPr>
              <w:t>征的，为患艾滋病。</w:t>
            </w:r>
          </w:p>
        </w:tc>
      </w:tr>
      <w:tr>
        <w:trPr>
          <w:trHeight w:val="785" w:hRule="atLeast"/>
        </w:trPr>
        <w:tc>
          <w:tcPr>
            <w:tcW w:w="786" w:type="dxa"/>
          </w:tcPr>
          <w:p>
            <w:pPr>
              <w:pStyle w:val="TableParagraph"/>
              <w:spacing w:before="131"/>
              <w:ind w:left="69"/>
              <w:rPr>
                <w:rFonts w:ascii="Times New Roman"/>
                <w:b/>
                <w:sz w:val="21"/>
              </w:rPr>
            </w:pPr>
            <w:r>
              <w:rPr>
                <w:rFonts w:ascii="Times New Roman"/>
                <w:b/>
                <w:sz w:val="21"/>
              </w:rPr>
              <w:t>7.19</w:t>
            </w:r>
          </w:p>
        </w:tc>
        <w:tc>
          <w:tcPr>
            <w:tcW w:w="1941" w:type="dxa"/>
          </w:tcPr>
          <w:p>
            <w:pPr>
              <w:pStyle w:val="TableParagraph"/>
              <w:spacing w:line="180" w:lineRule="auto" w:before="127"/>
              <w:ind w:left="347" w:right="104"/>
              <w:rPr>
                <w:rFonts w:ascii="微软雅黑" w:eastAsia="微软雅黑" w:hint="eastAsia"/>
                <w:b/>
                <w:sz w:val="21"/>
              </w:rPr>
            </w:pPr>
            <w:r>
              <w:rPr>
                <w:rFonts w:ascii="微软雅黑" w:eastAsia="微软雅黑" w:hint="eastAsia"/>
                <w:b/>
                <w:sz w:val="21"/>
              </w:rPr>
              <w:t>肢体机能完全丧失</w:t>
            </w:r>
          </w:p>
        </w:tc>
        <w:tc>
          <w:tcPr>
            <w:tcW w:w="6838" w:type="dxa"/>
          </w:tcPr>
          <w:p>
            <w:pPr>
              <w:pStyle w:val="TableParagraph"/>
              <w:spacing w:line="237" w:lineRule="auto" w:before="102"/>
              <w:ind w:left="108" w:right="64"/>
              <w:rPr>
                <w:sz w:val="21"/>
              </w:rPr>
            </w:pPr>
            <w:r>
              <w:rPr>
                <w:spacing w:val="-7"/>
                <w:sz w:val="21"/>
              </w:rPr>
              <w:t>指肢体的三大关节中的两大关节僵硬，或不能随意识活动。肢体是指包括</w:t>
            </w:r>
            <w:r>
              <w:rPr>
                <w:spacing w:val="-5"/>
                <w:sz w:val="21"/>
              </w:rPr>
              <w:t>肩关节的整个上肢或包括髋关节的整个下肢。</w:t>
            </w:r>
          </w:p>
        </w:tc>
      </w:tr>
      <w:tr>
        <w:trPr>
          <w:trHeight w:val="1603" w:hRule="atLeast"/>
        </w:trPr>
        <w:tc>
          <w:tcPr>
            <w:tcW w:w="786" w:type="dxa"/>
          </w:tcPr>
          <w:p>
            <w:pPr>
              <w:pStyle w:val="TableParagraph"/>
              <w:spacing w:before="132"/>
              <w:ind w:left="69"/>
              <w:rPr>
                <w:rFonts w:ascii="Times New Roman"/>
                <w:b/>
                <w:sz w:val="21"/>
              </w:rPr>
            </w:pPr>
            <w:r>
              <w:rPr>
                <w:rFonts w:ascii="Times New Roman"/>
                <w:b/>
                <w:sz w:val="21"/>
              </w:rPr>
              <w:t>7.20</w:t>
            </w:r>
          </w:p>
        </w:tc>
        <w:tc>
          <w:tcPr>
            <w:tcW w:w="1941" w:type="dxa"/>
          </w:tcPr>
          <w:p>
            <w:pPr>
              <w:pStyle w:val="TableParagraph"/>
              <w:spacing w:line="180" w:lineRule="auto" w:before="128"/>
              <w:ind w:left="347" w:right="104"/>
              <w:jc w:val="both"/>
              <w:rPr>
                <w:rFonts w:ascii="微软雅黑" w:eastAsia="微软雅黑" w:hint="eastAsia"/>
                <w:b/>
                <w:sz w:val="21"/>
              </w:rPr>
            </w:pPr>
            <w:r>
              <w:rPr>
                <w:rFonts w:ascii="微软雅黑" w:eastAsia="微软雅黑" w:hint="eastAsia"/>
                <w:b/>
                <w:sz w:val="21"/>
              </w:rPr>
              <w:t>语言能力或咀嚼吞咽能力完全丧失</w:t>
            </w:r>
          </w:p>
        </w:tc>
        <w:tc>
          <w:tcPr>
            <w:tcW w:w="6838" w:type="dxa"/>
          </w:tcPr>
          <w:p>
            <w:pPr>
              <w:pStyle w:val="TableParagraph"/>
              <w:spacing w:line="237" w:lineRule="auto" w:before="103"/>
              <w:ind w:left="108" w:right="64"/>
              <w:jc w:val="both"/>
              <w:rPr>
                <w:sz w:val="21"/>
              </w:rPr>
            </w:pPr>
            <w:r>
              <w:rPr>
                <w:spacing w:val="-6"/>
                <w:sz w:val="21"/>
              </w:rPr>
              <w:t>语言能力完全丧失，指无法发出四种语音</w:t>
            </w:r>
            <w:r>
              <w:rPr>
                <w:spacing w:val="-3"/>
                <w:sz w:val="21"/>
              </w:rPr>
              <w:t>（</w:t>
            </w:r>
            <w:r>
              <w:rPr>
                <w:spacing w:val="-7"/>
                <w:sz w:val="21"/>
              </w:rPr>
              <w:t>包括口唇音、齿舌音、口盖音</w:t>
            </w:r>
            <w:r>
              <w:rPr>
                <w:spacing w:val="-6"/>
                <w:sz w:val="21"/>
              </w:rPr>
              <w:t>和喉头音</w:t>
            </w:r>
            <w:r>
              <w:rPr>
                <w:spacing w:val="-20"/>
                <w:sz w:val="21"/>
              </w:rPr>
              <w:t>）</w:t>
            </w:r>
            <w:r>
              <w:rPr>
                <w:spacing w:val="-8"/>
                <w:sz w:val="21"/>
              </w:rPr>
              <w:t>中的任何三种、或声带全部切除，或因大脑语言中枢受伤害而</w:t>
            </w:r>
            <w:r>
              <w:rPr>
                <w:spacing w:val="-5"/>
                <w:sz w:val="21"/>
              </w:rPr>
              <w:t>患失语症。</w:t>
            </w:r>
          </w:p>
          <w:p>
            <w:pPr>
              <w:pStyle w:val="TableParagraph"/>
              <w:spacing w:line="237" w:lineRule="auto"/>
              <w:ind w:left="108" w:right="1"/>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156" w:hRule="atLeast"/>
        </w:trPr>
        <w:tc>
          <w:tcPr>
            <w:tcW w:w="786" w:type="dxa"/>
          </w:tcPr>
          <w:p>
            <w:pPr>
              <w:pStyle w:val="TableParagraph"/>
              <w:spacing w:before="132"/>
              <w:ind w:left="69"/>
              <w:rPr>
                <w:rFonts w:ascii="Times New Roman"/>
                <w:b/>
                <w:sz w:val="21"/>
              </w:rPr>
            </w:pPr>
            <w:r>
              <w:rPr>
                <w:rFonts w:ascii="Times New Roman"/>
                <w:b/>
                <w:sz w:val="21"/>
              </w:rPr>
              <w:t>7.21</w:t>
            </w:r>
          </w:p>
        </w:tc>
        <w:tc>
          <w:tcPr>
            <w:tcW w:w="1941" w:type="dxa"/>
          </w:tcPr>
          <w:p>
            <w:pPr>
              <w:pStyle w:val="TableParagraph"/>
              <w:spacing w:line="180" w:lineRule="auto" w:before="128"/>
              <w:ind w:left="347" w:right="104"/>
              <w:rPr>
                <w:rFonts w:ascii="微软雅黑" w:eastAsia="微软雅黑" w:hint="eastAsia"/>
                <w:b/>
                <w:sz w:val="21"/>
              </w:rPr>
            </w:pPr>
            <w:r>
              <w:rPr>
                <w:rFonts w:ascii="微软雅黑" w:eastAsia="微软雅黑" w:hint="eastAsia"/>
                <w:b/>
                <w:sz w:val="21"/>
              </w:rPr>
              <w:t>六项基本日常生活活动</w:t>
            </w:r>
          </w:p>
        </w:tc>
        <w:tc>
          <w:tcPr>
            <w:tcW w:w="6838" w:type="dxa"/>
          </w:tcPr>
          <w:p>
            <w:pPr>
              <w:pStyle w:val="TableParagraph"/>
              <w:spacing w:line="273" w:lineRule="exact" w:before="100"/>
              <w:ind w:left="108"/>
              <w:rPr>
                <w:sz w:val="21"/>
              </w:rPr>
            </w:pPr>
            <w:r>
              <w:rPr>
                <w:sz w:val="21"/>
              </w:rPr>
              <w:t>六项基本日常生活活动是指：</w:t>
            </w:r>
          </w:p>
          <w:p>
            <w:pPr>
              <w:pStyle w:val="TableParagraph"/>
              <w:numPr>
                <w:ilvl w:val="0"/>
                <w:numId w:val="35"/>
              </w:numPr>
              <w:tabs>
                <w:tab w:pos="675" w:val="left" w:leader="none"/>
              </w:tabs>
              <w:spacing w:line="280" w:lineRule="exact" w:before="0" w:after="0"/>
              <w:ind w:left="674" w:right="0" w:hanging="566"/>
              <w:jc w:val="left"/>
              <w:rPr>
                <w:sz w:val="21"/>
              </w:rPr>
            </w:pPr>
            <w:r>
              <w:rPr>
                <w:spacing w:val="-3"/>
                <w:sz w:val="21"/>
              </w:rPr>
              <w:t>穿衣：自己能够穿衣及脱衣；</w:t>
            </w:r>
          </w:p>
          <w:p>
            <w:pPr>
              <w:pStyle w:val="TableParagraph"/>
              <w:numPr>
                <w:ilvl w:val="0"/>
                <w:numId w:val="35"/>
              </w:numPr>
              <w:tabs>
                <w:tab w:pos="675" w:val="left" w:leader="none"/>
              </w:tabs>
              <w:spacing w:line="272" w:lineRule="exact" w:before="0" w:after="0"/>
              <w:ind w:left="674" w:right="0" w:hanging="566"/>
              <w:jc w:val="left"/>
              <w:rPr>
                <w:sz w:val="21"/>
              </w:rPr>
            </w:pPr>
            <w:r>
              <w:rPr>
                <w:spacing w:val="-3"/>
                <w:sz w:val="21"/>
              </w:rPr>
              <w:t>移动：自己从一个房间到另一个房间；</w:t>
            </w:r>
          </w:p>
          <w:p>
            <w:pPr>
              <w:pStyle w:val="TableParagraph"/>
              <w:numPr>
                <w:ilvl w:val="0"/>
                <w:numId w:val="35"/>
              </w:numPr>
              <w:tabs>
                <w:tab w:pos="675" w:val="left" w:leader="none"/>
              </w:tabs>
              <w:spacing w:line="271" w:lineRule="exact" w:before="0" w:after="0"/>
              <w:ind w:left="674" w:right="0" w:hanging="566"/>
              <w:jc w:val="left"/>
              <w:rPr>
                <w:sz w:val="21"/>
              </w:rPr>
            </w:pPr>
            <w:r>
              <w:rPr>
                <w:spacing w:val="-3"/>
                <w:sz w:val="21"/>
              </w:rPr>
              <w:t>行动：自己上下床或上下轮椅；</w:t>
            </w:r>
          </w:p>
          <w:p>
            <w:pPr>
              <w:pStyle w:val="TableParagraph"/>
              <w:numPr>
                <w:ilvl w:val="0"/>
                <w:numId w:val="35"/>
              </w:numPr>
              <w:tabs>
                <w:tab w:pos="675" w:val="left" w:leader="none"/>
              </w:tabs>
              <w:spacing w:line="272" w:lineRule="exact" w:before="0" w:after="0"/>
              <w:ind w:left="674" w:right="0" w:hanging="566"/>
              <w:jc w:val="left"/>
              <w:rPr>
                <w:sz w:val="21"/>
              </w:rPr>
            </w:pPr>
            <w:r>
              <w:rPr>
                <w:spacing w:val="-3"/>
                <w:sz w:val="21"/>
              </w:rPr>
              <w:t>如厕：自己控制进行大小便；</w:t>
            </w:r>
          </w:p>
          <w:p>
            <w:pPr>
              <w:pStyle w:val="TableParagraph"/>
              <w:numPr>
                <w:ilvl w:val="0"/>
                <w:numId w:val="35"/>
              </w:numPr>
              <w:tabs>
                <w:tab w:pos="675" w:val="left" w:leader="none"/>
              </w:tabs>
              <w:spacing w:line="272" w:lineRule="exact" w:before="0" w:after="0"/>
              <w:ind w:left="674" w:right="0" w:hanging="566"/>
              <w:jc w:val="left"/>
              <w:rPr>
                <w:sz w:val="21"/>
              </w:rPr>
            </w:pPr>
            <w:r>
              <w:rPr>
                <w:spacing w:val="-3"/>
                <w:sz w:val="21"/>
              </w:rPr>
              <w:t>进食：自己从已准备好的碗或碟中取食物放入口中；</w:t>
            </w:r>
          </w:p>
          <w:p>
            <w:pPr>
              <w:pStyle w:val="TableParagraph"/>
              <w:numPr>
                <w:ilvl w:val="0"/>
                <w:numId w:val="35"/>
              </w:numPr>
              <w:tabs>
                <w:tab w:pos="675" w:val="left" w:leader="none"/>
              </w:tabs>
              <w:spacing w:line="281" w:lineRule="exact" w:before="0" w:after="0"/>
              <w:ind w:left="674" w:right="0" w:hanging="566"/>
              <w:jc w:val="left"/>
              <w:rPr>
                <w:sz w:val="21"/>
              </w:rPr>
            </w:pPr>
            <w:r>
              <w:rPr>
                <w:spacing w:val="-3"/>
                <w:sz w:val="21"/>
              </w:rPr>
              <w:t>洗澡：自己进行淋浴或盆浴。</w:t>
            </w:r>
          </w:p>
        </w:tc>
      </w:tr>
      <w:tr>
        <w:trPr>
          <w:trHeight w:val="638" w:hRule="atLeast"/>
        </w:trPr>
        <w:tc>
          <w:tcPr>
            <w:tcW w:w="786" w:type="dxa"/>
          </w:tcPr>
          <w:p>
            <w:pPr>
              <w:pStyle w:val="TableParagraph"/>
              <w:spacing w:before="125"/>
              <w:ind w:left="69"/>
              <w:rPr>
                <w:rFonts w:ascii="Times New Roman"/>
                <w:b/>
                <w:sz w:val="21"/>
              </w:rPr>
            </w:pPr>
            <w:r>
              <w:rPr>
                <w:rFonts w:ascii="Times New Roman"/>
                <w:b/>
                <w:sz w:val="21"/>
              </w:rPr>
              <w:t>7.22</w:t>
            </w:r>
          </w:p>
        </w:tc>
        <w:tc>
          <w:tcPr>
            <w:tcW w:w="1941" w:type="dxa"/>
          </w:tcPr>
          <w:p>
            <w:pPr>
              <w:pStyle w:val="TableParagraph"/>
              <w:spacing w:before="30"/>
              <w:ind w:left="347"/>
              <w:rPr>
                <w:rFonts w:ascii="微软雅黑" w:eastAsia="微软雅黑" w:hint="eastAsia"/>
                <w:b/>
                <w:sz w:val="21"/>
              </w:rPr>
            </w:pPr>
            <w:r>
              <w:rPr>
                <w:rFonts w:ascii="微软雅黑" w:eastAsia="微软雅黑" w:hint="eastAsia"/>
                <w:b/>
                <w:sz w:val="21"/>
              </w:rPr>
              <w:t>永久不可逆</w:t>
            </w:r>
          </w:p>
        </w:tc>
        <w:tc>
          <w:tcPr>
            <w:tcW w:w="6838" w:type="dxa"/>
          </w:tcPr>
          <w:p>
            <w:pPr>
              <w:pStyle w:val="TableParagraph"/>
              <w:spacing w:line="272" w:lineRule="exact" w:before="120"/>
              <w:ind w:left="108" w:right="66"/>
              <w:rPr>
                <w:sz w:val="21"/>
              </w:rPr>
            </w:pPr>
            <w:r>
              <w:rPr>
                <w:sz w:val="21"/>
              </w:rPr>
              <w:t>指自疾病确诊或意外伤害发生之日起，经过积极治疗</w:t>
            </w:r>
            <w:r>
              <w:rPr>
                <w:rFonts w:ascii="Times New Roman" w:eastAsia="Times New Roman"/>
                <w:sz w:val="21"/>
              </w:rPr>
              <w:t>180</w:t>
            </w:r>
            <w:r>
              <w:rPr>
                <w:sz w:val="21"/>
              </w:rPr>
              <w:t>天后，仍无法通过现有医疗手段恢复。</w:t>
            </w:r>
          </w:p>
        </w:tc>
      </w:tr>
    </w:tbl>
    <w:sectPr>
      <w:pgSz w:w="11910" w:h="16450"/>
      <w:pgMar w:header="857" w:footer="968" w:top="1040" w:bottom="11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86.929993pt;margin-top:761.5pt;width:21.6pt;height:12pt;mso-position-horizontal-relative:page;mso-position-vertical-relative:page;z-index:-348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12</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864" from="58.560001pt,55.559994pt" to="536.860001pt,55.55999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2pt;width:110pt;height:11pt;mso-position-horizontal-relative:page;mso-position-vertical-relative:page;z-index:-34840"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2pt;width:110pt;height:11pt;mso-position-horizontal-relative:page;mso-position-vertical-relative:page;z-index:-34792" type="#_x0000_t202" filled="false" stroked="false">
          <v:textbox inset="0,0,0,0">
            <w:txbxContent>
              <w:p>
                <w:pPr>
                  <w:spacing w:line="200" w:lineRule="exact" w:before="0"/>
                  <w:ind w:left="20" w:right="0" w:firstLine="0"/>
                  <w:jc w:val="left"/>
                  <w:rPr>
                    <w:sz w:val="18"/>
                  </w:rPr>
                </w:pPr>
                <w:r>
                  <w:rPr>
                    <w:sz w:val="18"/>
                  </w:rPr>
                  <w:t>和谐健康保险股份有限公司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95" w:hanging="567"/>
      </w:pPr>
      <w:rPr>
        <w:rFonts w:hint="default"/>
      </w:rPr>
    </w:lvl>
    <w:lvl w:ilvl="2">
      <w:start w:val="0"/>
      <w:numFmt w:val="bullet"/>
      <w:lvlText w:val="•"/>
      <w:lvlJc w:val="left"/>
      <w:pPr>
        <w:ind w:left="1911" w:hanging="567"/>
      </w:pPr>
      <w:rPr>
        <w:rFonts w:hint="default"/>
      </w:rPr>
    </w:lvl>
    <w:lvl w:ilvl="3">
      <w:start w:val="0"/>
      <w:numFmt w:val="bullet"/>
      <w:lvlText w:val="•"/>
      <w:lvlJc w:val="left"/>
      <w:pPr>
        <w:ind w:left="2527" w:hanging="567"/>
      </w:pPr>
      <w:rPr>
        <w:rFonts w:hint="default"/>
      </w:rPr>
    </w:lvl>
    <w:lvl w:ilvl="4">
      <w:start w:val="0"/>
      <w:numFmt w:val="bullet"/>
      <w:lvlText w:val="•"/>
      <w:lvlJc w:val="left"/>
      <w:pPr>
        <w:ind w:left="3143" w:hanging="567"/>
      </w:pPr>
      <w:rPr>
        <w:rFonts w:hint="default"/>
      </w:rPr>
    </w:lvl>
    <w:lvl w:ilvl="5">
      <w:start w:val="0"/>
      <w:numFmt w:val="bullet"/>
      <w:lvlText w:val="•"/>
      <w:lvlJc w:val="left"/>
      <w:pPr>
        <w:ind w:left="3759" w:hanging="567"/>
      </w:pPr>
      <w:rPr>
        <w:rFonts w:hint="default"/>
      </w:rPr>
    </w:lvl>
    <w:lvl w:ilvl="6">
      <w:start w:val="0"/>
      <w:numFmt w:val="bullet"/>
      <w:lvlText w:val="•"/>
      <w:lvlJc w:val="left"/>
      <w:pPr>
        <w:ind w:left="4374" w:hanging="567"/>
      </w:pPr>
      <w:rPr>
        <w:rFonts w:hint="default"/>
      </w:rPr>
    </w:lvl>
    <w:lvl w:ilvl="7">
      <w:start w:val="0"/>
      <w:numFmt w:val="bullet"/>
      <w:lvlText w:val="•"/>
      <w:lvlJc w:val="left"/>
      <w:pPr>
        <w:ind w:left="4990" w:hanging="567"/>
      </w:pPr>
      <w:rPr>
        <w:rFonts w:hint="default"/>
      </w:rPr>
    </w:lvl>
    <w:lvl w:ilvl="8">
      <w:start w:val="0"/>
      <w:numFmt w:val="bullet"/>
      <w:lvlText w:val="•"/>
      <w:lvlJc w:val="left"/>
      <w:pPr>
        <w:ind w:left="5606" w:hanging="567"/>
      </w:pPr>
      <w:rPr>
        <w:rFonts w:hint="default"/>
      </w:rPr>
    </w:lvl>
  </w:abstractNum>
  <w:abstractNum w:abstractNumId="33">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95" w:hanging="567"/>
      </w:pPr>
      <w:rPr>
        <w:rFonts w:hint="default"/>
      </w:rPr>
    </w:lvl>
    <w:lvl w:ilvl="2">
      <w:start w:val="0"/>
      <w:numFmt w:val="bullet"/>
      <w:lvlText w:val="•"/>
      <w:lvlJc w:val="left"/>
      <w:pPr>
        <w:ind w:left="1911" w:hanging="567"/>
      </w:pPr>
      <w:rPr>
        <w:rFonts w:hint="default"/>
      </w:rPr>
    </w:lvl>
    <w:lvl w:ilvl="3">
      <w:start w:val="0"/>
      <w:numFmt w:val="bullet"/>
      <w:lvlText w:val="•"/>
      <w:lvlJc w:val="left"/>
      <w:pPr>
        <w:ind w:left="2527" w:hanging="567"/>
      </w:pPr>
      <w:rPr>
        <w:rFonts w:hint="default"/>
      </w:rPr>
    </w:lvl>
    <w:lvl w:ilvl="4">
      <w:start w:val="0"/>
      <w:numFmt w:val="bullet"/>
      <w:lvlText w:val="•"/>
      <w:lvlJc w:val="left"/>
      <w:pPr>
        <w:ind w:left="3143" w:hanging="567"/>
      </w:pPr>
      <w:rPr>
        <w:rFonts w:hint="default"/>
      </w:rPr>
    </w:lvl>
    <w:lvl w:ilvl="5">
      <w:start w:val="0"/>
      <w:numFmt w:val="bullet"/>
      <w:lvlText w:val="•"/>
      <w:lvlJc w:val="left"/>
      <w:pPr>
        <w:ind w:left="3759" w:hanging="567"/>
      </w:pPr>
      <w:rPr>
        <w:rFonts w:hint="default"/>
      </w:rPr>
    </w:lvl>
    <w:lvl w:ilvl="6">
      <w:start w:val="0"/>
      <w:numFmt w:val="bullet"/>
      <w:lvlText w:val="•"/>
      <w:lvlJc w:val="left"/>
      <w:pPr>
        <w:ind w:left="4374" w:hanging="567"/>
      </w:pPr>
      <w:rPr>
        <w:rFonts w:hint="default"/>
      </w:rPr>
    </w:lvl>
    <w:lvl w:ilvl="7">
      <w:start w:val="0"/>
      <w:numFmt w:val="bullet"/>
      <w:lvlText w:val="•"/>
      <w:lvlJc w:val="left"/>
      <w:pPr>
        <w:ind w:left="4990" w:hanging="567"/>
      </w:pPr>
      <w:rPr>
        <w:rFonts w:hint="default"/>
      </w:rPr>
    </w:lvl>
    <w:lvl w:ilvl="8">
      <w:start w:val="0"/>
      <w:numFmt w:val="bullet"/>
      <w:lvlText w:val="•"/>
      <w:lvlJc w:val="left"/>
      <w:pPr>
        <w:ind w:left="5606" w:hanging="567"/>
      </w:pPr>
      <w:rPr>
        <w:rFonts w:hint="default"/>
      </w:rPr>
    </w:lvl>
  </w:abstractNum>
  <w:abstractNum w:abstractNumId="32">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9" w:hanging="567"/>
      </w:pPr>
      <w:rPr>
        <w:rFonts w:hint="default"/>
      </w:rPr>
    </w:lvl>
    <w:lvl w:ilvl="3">
      <w:start w:val="0"/>
      <w:numFmt w:val="bullet"/>
      <w:lvlText w:val="•"/>
      <w:lvlJc w:val="left"/>
      <w:pPr>
        <w:ind w:left="2539" w:hanging="567"/>
      </w:pPr>
      <w:rPr>
        <w:rFonts w:hint="default"/>
      </w:rPr>
    </w:lvl>
    <w:lvl w:ilvl="4">
      <w:start w:val="0"/>
      <w:numFmt w:val="bullet"/>
      <w:lvlText w:val="•"/>
      <w:lvlJc w:val="left"/>
      <w:pPr>
        <w:ind w:left="3158" w:hanging="567"/>
      </w:pPr>
      <w:rPr>
        <w:rFonts w:hint="default"/>
      </w:rPr>
    </w:lvl>
    <w:lvl w:ilvl="5">
      <w:start w:val="0"/>
      <w:numFmt w:val="bullet"/>
      <w:lvlText w:val="•"/>
      <w:lvlJc w:val="left"/>
      <w:pPr>
        <w:ind w:left="3778" w:hanging="567"/>
      </w:pPr>
      <w:rPr>
        <w:rFonts w:hint="default"/>
      </w:rPr>
    </w:lvl>
    <w:lvl w:ilvl="6">
      <w:start w:val="0"/>
      <w:numFmt w:val="bullet"/>
      <w:lvlText w:val="•"/>
      <w:lvlJc w:val="left"/>
      <w:pPr>
        <w:ind w:left="4398" w:hanging="567"/>
      </w:pPr>
      <w:rPr>
        <w:rFonts w:hint="default"/>
      </w:rPr>
    </w:lvl>
    <w:lvl w:ilvl="7">
      <w:start w:val="0"/>
      <w:numFmt w:val="bullet"/>
      <w:lvlText w:val="•"/>
      <w:lvlJc w:val="left"/>
      <w:pPr>
        <w:ind w:left="5017" w:hanging="567"/>
      </w:pPr>
      <w:rPr>
        <w:rFonts w:hint="default"/>
      </w:rPr>
    </w:lvl>
    <w:lvl w:ilvl="8">
      <w:start w:val="0"/>
      <w:numFmt w:val="bullet"/>
      <w:lvlText w:val="•"/>
      <w:lvlJc w:val="left"/>
      <w:pPr>
        <w:ind w:left="5637" w:hanging="567"/>
      </w:pPr>
      <w:rPr>
        <w:rFonts w:hint="default"/>
      </w:rPr>
    </w:lvl>
  </w:abstractNum>
  <w:abstractNum w:abstractNumId="31">
    <w:multiLevelType w:val="hybridMultilevel"/>
    <w:lvl w:ilvl="0">
      <w:start w:val="1"/>
      <w:numFmt w:val="decimal"/>
      <w:lvlText w:val="（%1）"/>
      <w:lvlJc w:val="left"/>
      <w:pPr>
        <w:ind w:left="674"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9" w:hanging="567"/>
      </w:pPr>
      <w:rPr>
        <w:rFonts w:hint="default"/>
      </w:rPr>
    </w:lvl>
    <w:lvl w:ilvl="3">
      <w:start w:val="0"/>
      <w:numFmt w:val="bullet"/>
      <w:lvlText w:val="•"/>
      <w:lvlJc w:val="left"/>
      <w:pPr>
        <w:ind w:left="2539" w:hanging="567"/>
      </w:pPr>
      <w:rPr>
        <w:rFonts w:hint="default"/>
      </w:rPr>
    </w:lvl>
    <w:lvl w:ilvl="4">
      <w:start w:val="0"/>
      <w:numFmt w:val="bullet"/>
      <w:lvlText w:val="•"/>
      <w:lvlJc w:val="left"/>
      <w:pPr>
        <w:ind w:left="3158" w:hanging="567"/>
      </w:pPr>
      <w:rPr>
        <w:rFonts w:hint="default"/>
      </w:rPr>
    </w:lvl>
    <w:lvl w:ilvl="5">
      <w:start w:val="0"/>
      <w:numFmt w:val="bullet"/>
      <w:lvlText w:val="•"/>
      <w:lvlJc w:val="left"/>
      <w:pPr>
        <w:ind w:left="3778" w:hanging="567"/>
      </w:pPr>
      <w:rPr>
        <w:rFonts w:hint="default"/>
      </w:rPr>
    </w:lvl>
    <w:lvl w:ilvl="6">
      <w:start w:val="0"/>
      <w:numFmt w:val="bullet"/>
      <w:lvlText w:val="•"/>
      <w:lvlJc w:val="left"/>
      <w:pPr>
        <w:ind w:left="4398" w:hanging="567"/>
      </w:pPr>
      <w:rPr>
        <w:rFonts w:hint="default"/>
      </w:rPr>
    </w:lvl>
    <w:lvl w:ilvl="7">
      <w:start w:val="0"/>
      <w:numFmt w:val="bullet"/>
      <w:lvlText w:val="•"/>
      <w:lvlJc w:val="left"/>
      <w:pPr>
        <w:ind w:left="5017" w:hanging="567"/>
      </w:pPr>
      <w:rPr>
        <w:rFonts w:hint="default"/>
      </w:rPr>
    </w:lvl>
    <w:lvl w:ilvl="8">
      <w:start w:val="0"/>
      <w:numFmt w:val="bullet"/>
      <w:lvlText w:val="•"/>
      <w:lvlJc w:val="left"/>
      <w:pPr>
        <w:ind w:left="5637" w:hanging="567"/>
      </w:pPr>
      <w:rPr>
        <w:rFonts w:hint="default"/>
      </w:rPr>
    </w:lvl>
  </w:abstractNum>
  <w:abstractNum w:abstractNumId="30">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9"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8"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7" w:hanging="567"/>
      </w:pPr>
      <w:rPr>
        <w:rFonts w:hint="default"/>
      </w:rPr>
    </w:lvl>
    <w:lvl w:ilvl="7">
      <w:start w:val="0"/>
      <w:numFmt w:val="bullet"/>
      <w:lvlText w:val="•"/>
      <w:lvlJc w:val="left"/>
      <w:pPr>
        <w:ind w:left="5016" w:hanging="567"/>
      </w:pPr>
      <w:rPr>
        <w:rFonts w:hint="default"/>
      </w:rPr>
    </w:lvl>
    <w:lvl w:ilvl="8">
      <w:start w:val="0"/>
      <w:numFmt w:val="bullet"/>
      <w:lvlText w:val="•"/>
      <w:lvlJc w:val="left"/>
      <w:pPr>
        <w:ind w:left="5636" w:hanging="567"/>
      </w:pPr>
      <w:rPr>
        <w:rFonts w:hint="default"/>
      </w:rPr>
    </w:lvl>
  </w:abstractNum>
  <w:abstractNum w:abstractNumId="29">
    <w:multiLevelType w:val="hybridMultilevel"/>
    <w:lvl w:ilvl="0">
      <w:start w:val="1"/>
      <w:numFmt w:val="decimal"/>
      <w:lvlText w:val="（%1）"/>
      <w:lvlJc w:val="left"/>
      <w:pPr>
        <w:ind w:left="673"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9"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8"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7" w:hanging="567"/>
      </w:pPr>
      <w:rPr>
        <w:rFonts w:hint="default"/>
      </w:rPr>
    </w:lvl>
    <w:lvl w:ilvl="7">
      <w:start w:val="0"/>
      <w:numFmt w:val="bullet"/>
      <w:lvlText w:val="•"/>
      <w:lvlJc w:val="left"/>
      <w:pPr>
        <w:ind w:left="5016" w:hanging="567"/>
      </w:pPr>
      <w:rPr>
        <w:rFonts w:hint="default"/>
      </w:rPr>
    </w:lvl>
    <w:lvl w:ilvl="8">
      <w:start w:val="0"/>
      <w:numFmt w:val="bullet"/>
      <w:lvlText w:val="•"/>
      <w:lvlJc w:val="left"/>
      <w:pPr>
        <w:ind w:left="5636" w:hanging="567"/>
      </w:pPr>
      <w:rPr>
        <w:rFonts w:hint="default"/>
      </w:rPr>
    </w:lvl>
  </w:abstractNum>
  <w:abstractNum w:abstractNumId="28">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5" w:hanging="567"/>
      </w:pPr>
      <w:rPr>
        <w:rFonts w:hint="default"/>
      </w:rPr>
    </w:lvl>
    <w:lvl w:ilvl="4">
      <w:start w:val="0"/>
      <w:numFmt w:val="bullet"/>
      <w:lvlText w:val="•"/>
      <w:lvlJc w:val="left"/>
      <w:pPr>
        <w:ind w:left="3154" w:hanging="567"/>
      </w:pPr>
      <w:rPr>
        <w:rFonts w:hint="default"/>
      </w:rPr>
    </w:lvl>
    <w:lvl w:ilvl="5">
      <w:start w:val="0"/>
      <w:numFmt w:val="bullet"/>
      <w:lvlText w:val="•"/>
      <w:lvlJc w:val="left"/>
      <w:pPr>
        <w:ind w:left="3772" w:hanging="567"/>
      </w:pPr>
      <w:rPr>
        <w:rFonts w:hint="default"/>
      </w:rPr>
    </w:lvl>
    <w:lvl w:ilvl="6">
      <w:start w:val="0"/>
      <w:numFmt w:val="bullet"/>
      <w:lvlText w:val="•"/>
      <w:lvlJc w:val="left"/>
      <w:pPr>
        <w:ind w:left="4391" w:hanging="567"/>
      </w:pPr>
      <w:rPr>
        <w:rFonts w:hint="default"/>
      </w:rPr>
    </w:lvl>
    <w:lvl w:ilvl="7">
      <w:start w:val="0"/>
      <w:numFmt w:val="bullet"/>
      <w:lvlText w:val="•"/>
      <w:lvlJc w:val="left"/>
      <w:pPr>
        <w:ind w:left="5009" w:hanging="567"/>
      </w:pPr>
      <w:rPr>
        <w:rFonts w:hint="default"/>
      </w:rPr>
    </w:lvl>
    <w:lvl w:ilvl="8">
      <w:start w:val="0"/>
      <w:numFmt w:val="bullet"/>
      <w:lvlText w:val="•"/>
      <w:lvlJc w:val="left"/>
      <w:pPr>
        <w:ind w:left="5628" w:hanging="567"/>
      </w:pPr>
      <w:rPr>
        <w:rFonts w:hint="default"/>
      </w:rPr>
    </w:lvl>
  </w:abstractNum>
  <w:abstractNum w:abstractNumId="27">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5" w:hanging="567"/>
      </w:pPr>
      <w:rPr>
        <w:rFonts w:hint="default"/>
      </w:rPr>
    </w:lvl>
    <w:lvl w:ilvl="4">
      <w:start w:val="0"/>
      <w:numFmt w:val="bullet"/>
      <w:lvlText w:val="•"/>
      <w:lvlJc w:val="left"/>
      <w:pPr>
        <w:ind w:left="3154" w:hanging="567"/>
      </w:pPr>
      <w:rPr>
        <w:rFonts w:hint="default"/>
      </w:rPr>
    </w:lvl>
    <w:lvl w:ilvl="5">
      <w:start w:val="0"/>
      <w:numFmt w:val="bullet"/>
      <w:lvlText w:val="•"/>
      <w:lvlJc w:val="left"/>
      <w:pPr>
        <w:ind w:left="3772" w:hanging="567"/>
      </w:pPr>
      <w:rPr>
        <w:rFonts w:hint="default"/>
      </w:rPr>
    </w:lvl>
    <w:lvl w:ilvl="6">
      <w:start w:val="0"/>
      <w:numFmt w:val="bullet"/>
      <w:lvlText w:val="•"/>
      <w:lvlJc w:val="left"/>
      <w:pPr>
        <w:ind w:left="4391" w:hanging="567"/>
      </w:pPr>
      <w:rPr>
        <w:rFonts w:hint="default"/>
      </w:rPr>
    </w:lvl>
    <w:lvl w:ilvl="7">
      <w:start w:val="0"/>
      <w:numFmt w:val="bullet"/>
      <w:lvlText w:val="•"/>
      <w:lvlJc w:val="left"/>
      <w:pPr>
        <w:ind w:left="5009" w:hanging="567"/>
      </w:pPr>
      <w:rPr>
        <w:rFonts w:hint="default"/>
      </w:rPr>
    </w:lvl>
    <w:lvl w:ilvl="8">
      <w:start w:val="0"/>
      <w:numFmt w:val="bullet"/>
      <w:lvlText w:val="•"/>
      <w:lvlJc w:val="left"/>
      <w:pPr>
        <w:ind w:left="5628" w:hanging="567"/>
      </w:pPr>
      <w:rPr>
        <w:rFonts w:hint="default"/>
      </w:rPr>
    </w:lvl>
  </w:abstractNum>
  <w:abstractNum w:abstractNumId="26">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5" w:hanging="567"/>
      </w:pPr>
      <w:rPr>
        <w:rFonts w:hint="default"/>
      </w:rPr>
    </w:lvl>
    <w:lvl w:ilvl="4">
      <w:start w:val="0"/>
      <w:numFmt w:val="bullet"/>
      <w:lvlText w:val="•"/>
      <w:lvlJc w:val="left"/>
      <w:pPr>
        <w:ind w:left="3154" w:hanging="567"/>
      </w:pPr>
      <w:rPr>
        <w:rFonts w:hint="default"/>
      </w:rPr>
    </w:lvl>
    <w:lvl w:ilvl="5">
      <w:start w:val="0"/>
      <w:numFmt w:val="bullet"/>
      <w:lvlText w:val="•"/>
      <w:lvlJc w:val="left"/>
      <w:pPr>
        <w:ind w:left="3772" w:hanging="567"/>
      </w:pPr>
      <w:rPr>
        <w:rFonts w:hint="default"/>
      </w:rPr>
    </w:lvl>
    <w:lvl w:ilvl="6">
      <w:start w:val="0"/>
      <w:numFmt w:val="bullet"/>
      <w:lvlText w:val="•"/>
      <w:lvlJc w:val="left"/>
      <w:pPr>
        <w:ind w:left="4391" w:hanging="567"/>
      </w:pPr>
      <w:rPr>
        <w:rFonts w:hint="default"/>
      </w:rPr>
    </w:lvl>
    <w:lvl w:ilvl="7">
      <w:start w:val="0"/>
      <w:numFmt w:val="bullet"/>
      <w:lvlText w:val="•"/>
      <w:lvlJc w:val="left"/>
      <w:pPr>
        <w:ind w:left="5009" w:hanging="567"/>
      </w:pPr>
      <w:rPr>
        <w:rFonts w:hint="default"/>
      </w:rPr>
    </w:lvl>
    <w:lvl w:ilvl="8">
      <w:start w:val="0"/>
      <w:numFmt w:val="bullet"/>
      <w:lvlText w:val="•"/>
      <w:lvlJc w:val="left"/>
      <w:pPr>
        <w:ind w:left="5628" w:hanging="567"/>
      </w:pPr>
      <w:rPr>
        <w:rFonts w:hint="default"/>
      </w:rPr>
    </w:lvl>
  </w:abstractNum>
  <w:abstractNum w:abstractNumId="25">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5" w:hanging="567"/>
      </w:pPr>
      <w:rPr>
        <w:rFonts w:hint="default"/>
      </w:rPr>
    </w:lvl>
    <w:lvl w:ilvl="4">
      <w:start w:val="0"/>
      <w:numFmt w:val="bullet"/>
      <w:lvlText w:val="•"/>
      <w:lvlJc w:val="left"/>
      <w:pPr>
        <w:ind w:left="3154" w:hanging="567"/>
      </w:pPr>
      <w:rPr>
        <w:rFonts w:hint="default"/>
      </w:rPr>
    </w:lvl>
    <w:lvl w:ilvl="5">
      <w:start w:val="0"/>
      <w:numFmt w:val="bullet"/>
      <w:lvlText w:val="•"/>
      <w:lvlJc w:val="left"/>
      <w:pPr>
        <w:ind w:left="3772" w:hanging="567"/>
      </w:pPr>
      <w:rPr>
        <w:rFonts w:hint="default"/>
      </w:rPr>
    </w:lvl>
    <w:lvl w:ilvl="6">
      <w:start w:val="0"/>
      <w:numFmt w:val="bullet"/>
      <w:lvlText w:val="•"/>
      <w:lvlJc w:val="left"/>
      <w:pPr>
        <w:ind w:left="4391" w:hanging="567"/>
      </w:pPr>
      <w:rPr>
        <w:rFonts w:hint="default"/>
      </w:rPr>
    </w:lvl>
    <w:lvl w:ilvl="7">
      <w:start w:val="0"/>
      <w:numFmt w:val="bullet"/>
      <w:lvlText w:val="•"/>
      <w:lvlJc w:val="left"/>
      <w:pPr>
        <w:ind w:left="5009" w:hanging="567"/>
      </w:pPr>
      <w:rPr>
        <w:rFonts w:hint="default"/>
      </w:rPr>
    </w:lvl>
    <w:lvl w:ilvl="8">
      <w:start w:val="0"/>
      <w:numFmt w:val="bullet"/>
      <w:lvlText w:val="•"/>
      <w:lvlJc w:val="left"/>
      <w:pPr>
        <w:ind w:left="5628" w:hanging="567"/>
      </w:pPr>
      <w:rPr>
        <w:rFonts w:hint="default"/>
      </w:rPr>
    </w:lvl>
  </w:abstractNum>
  <w:abstractNum w:abstractNumId="24">
    <w:multiLevelType w:val="hybridMultilevel"/>
    <w:lvl w:ilvl="0">
      <w:start w:val="2"/>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5" w:hanging="567"/>
      </w:pPr>
      <w:rPr>
        <w:rFonts w:hint="default"/>
      </w:rPr>
    </w:lvl>
    <w:lvl w:ilvl="4">
      <w:start w:val="0"/>
      <w:numFmt w:val="bullet"/>
      <w:lvlText w:val="•"/>
      <w:lvlJc w:val="left"/>
      <w:pPr>
        <w:ind w:left="3154" w:hanging="567"/>
      </w:pPr>
      <w:rPr>
        <w:rFonts w:hint="default"/>
      </w:rPr>
    </w:lvl>
    <w:lvl w:ilvl="5">
      <w:start w:val="0"/>
      <w:numFmt w:val="bullet"/>
      <w:lvlText w:val="•"/>
      <w:lvlJc w:val="left"/>
      <w:pPr>
        <w:ind w:left="3772" w:hanging="567"/>
      </w:pPr>
      <w:rPr>
        <w:rFonts w:hint="default"/>
      </w:rPr>
    </w:lvl>
    <w:lvl w:ilvl="6">
      <w:start w:val="0"/>
      <w:numFmt w:val="bullet"/>
      <w:lvlText w:val="•"/>
      <w:lvlJc w:val="left"/>
      <w:pPr>
        <w:ind w:left="4391" w:hanging="567"/>
      </w:pPr>
      <w:rPr>
        <w:rFonts w:hint="default"/>
      </w:rPr>
    </w:lvl>
    <w:lvl w:ilvl="7">
      <w:start w:val="0"/>
      <w:numFmt w:val="bullet"/>
      <w:lvlText w:val="•"/>
      <w:lvlJc w:val="left"/>
      <w:pPr>
        <w:ind w:left="5009" w:hanging="567"/>
      </w:pPr>
      <w:rPr>
        <w:rFonts w:hint="default"/>
      </w:rPr>
    </w:lvl>
    <w:lvl w:ilvl="8">
      <w:start w:val="0"/>
      <w:numFmt w:val="bullet"/>
      <w:lvlText w:val="•"/>
      <w:lvlJc w:val="left"/>
      <w:pPr>
        <w:ind w:left="5628" w:hanging="567"/>
      </w:pPr>
      <w:rPr>
        <w:rFonts w:hint="default"/>
      </w:rPr>
    </w:lvl>
  </w:abstractNum>
  <w:abstractNum w:abstractNumId="23">
    <w:multiLevelType w:val="hybridMultilevel"/>
    <w:lvl w:ilvl="0">
      <w:start w:val="1"/>
      <w:numFmt w:val="upperRoman"/>
      <w:lvlText w:val="%1"/>
      <w:lvlJc w:val="left"/>
      <w:pPr>
        <w:ind w:left="550" w:hanging="382"/>
        <w:jc w:val="left"/>
      </w:pPr>
      <w:rPr>
        <w:rFonts w:hint="default" w:ascii="Times New Roman" w:hAnsi="Times New Roman" w:eastAsia="Times New Roman" w:cs="Times New Roman"/>
        <w:w w:val="100"/>
        <w:sz w:val="21"/>
        <w:szCs w:val="21"/>
      </w:rPr>
    </w:lvl>
    <w:lvl w:ilvl="1">
      <w:start w:val="0"/>
      <w:numFmt w:val="bullet"/>
      <w:lvlText w:val="•"/>
      <w:lvlJc w:val="left"/>
      <w:pPr>
        <w:ind w:left="1190" w:hanging="382"/>
      </w:pPr>
      <w:rPr>
        <w:rFonts w:hint="default"/>
      </w:rPr>
    </w:lvl>
    <w:lvl w:ilvl="2">
      <w:start w:val="0"/>
      <w:numFmt w:val="bullet"/>
      <w:lvlText w:val="•"/>
      <w:lvlJc w:val="left"/>
      <w:pPr>
        <w:ind w:left="1821" w:hanging="382"/>
      </w:pPr>
      <w:rPr>
        <w:rFonts w:hint="default"/>
      </w:rPr>
    </w:lvl>
    <w:lvl w:ilvl="3">
      <w:start w:val="0"/>
      <w:numFmt w:val="bullet"/>
      <w:lvlText w:val="•"/>
      <w:lvlJc w:val="left"/>
      <w:pPr>
        <w:ind w:left="2452" w:hanging="382"/>
      </w:pPr>
      <w:rPr>
        <w:rFonts w:hint="default"/>
      </w:rPr>
    </w:lvl>
    <w:lvl w:ilvl="4">
      <w:start w:val="0"/>
      <w:numFmt w:val="bullet"/>
      <w:lvlText w:val="•"/>
      <w:lvlJc w:val="left"/>
      <w:pPr>
        <w:ind w:left="3083" w:hanging="382"/>
      </w:pPr>
      <w:rPr>
        <w:rFonts w:hint="default"/>
      </w:rPr>
    </w:lvl>
    <w:lvl w:ilvl="5">
      <w:start w:val="0"/>
      <w:numFmt w:val="bullet"/>
      <w:lvlText w:val="•"/>
      <w:lvlJc w:val="left"/>
      <w:pPr>
        <w:ind w:left="3714" w:hanging="382"/>
      </w:pPr>
      <w:rPr>
        <w:rFonts w:hint="default"/>
      </w:rPr>
    </w:lvl>
    <w:lvl w:ilvl="6">
      <w:start w:val="0"/>
      <w:numFmt w:val="bullet"/>
      <w:lvlText w:val="•"/>
      <w:lvlJc w:val="left"/>
      <w:pPr>
        <w:ind w:left="4345" w:hanging="382"/>
      </w:pPr>
      <w:rPr>
        <w:rFonts w:hint="default"/>
      </w:rPr>
    </w:lvl>
    <w:lvl w:ilvl="7">
      <w:start w:val="0"/>
      <w:numFmt w:val="bullet"/>
      <w:lvlText w:val="•"/>
      <w:lvlJc w:val="left"/>
      <w:pPr>
        <w:ind w:left="4976" w:hanging="382"/>
      </w:pPr>
      <w:rPr>
        <w:rFonts w:hint="default"/>
      </w:rPr>
    </w:lvl>
    <w:lvl w:ilvl="8">
      <w:start w:val="0"/>
      <w:numFmt w:val="bullet"/>
      <w:lvlText w:val="•"/>
      <w:lvlJc w:val="left"/>
      <w:pPr>
        <w:ind w:left="5607" w:hanging="382"/>
      </w:pPr>
      <w:rPr>
        <w:rFonts w:hint="default"/>
      </w:rPr>
    </w:lvl>
  </w:abstractNum>
  <w:abstractNum w:abstractNumId="22">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8" w:hanging="567"/>
      </w:pPr>
      <w:rPr>
        <w:rFonts w:hint="default"/>
      </w:rPr>
    </w:lvl>
    <w:lvl w:ilvl="2">
      <w:start w:val="0"/>
      <w:numFmt w:val="bullet"/>
      <w:lvlText w:val="•"/>
      <w:lvlJc w:val="left"/>
      <w:pPr>
        <w:ind w:left="1917" w:hanging="567"/>
      </w:pPr>
      <w:rPr>
        <w:rFonts w:hint="default"/>
      </w:rPr>
    </w:lvl>
    <w:lvl w:ilvl="3">
      <w:start w:val="0"/>
      <w:numFmt w:val="bullet"/>
      <w:lvlText w:val="•"/>
      <w:lvlJc w:val="left"/>
      <w:pPr>
        <w:ind w:left="2536" w:hanging="567"/>
      </w:pPr>
      <w:rPr>
        <w:rFonts w:hint="default"/>
      </w:rPr>
    </w:lvl>
    <w:lvl w:ilvl="4">
      <w:start w:val="0"/>
      <w:numFmt w:val="bullet"/>
      <w:lvlText w:val="•"/>
      <w:lvlJc w:val="left"/>
      <w:pPr>
        <w:ind w:left="3155" w:hanging="567"/>
      </w:pPr>
      <w:rPr>
        <w:rFonts w:hint="default"/>
      </w:rPr>
    </w:lvl>
    <w:lvl w:ilvl="5">
      <w:start w:val="0"/>
      <w:numFmt w:val="bullet"/>
      <w:lvlText w:val="•"/>
      <w:lvlJc w:val="left"/>
      <w:pPr>
        <w:ind w:left="3774" w:hanging="567"/>
      </w:pPr>
      <w:rPr>
        <w:rFonts w:hint="default"/>
      </w:rPr>
    </w:lvl>
    <w:lvl w:ilvl="6">
      <w:start w:val="0"/>
      <w:numFmt w:val="bullet"/>
      <w:lvlText w:val="•"/>
      <w:lvlJc w:val="left"/>
      <w:pPr>
        <w:ind w:left="4393" w:hanging="567"/>
      </w:pPr>
      <w:rPr>
        <w:rFonts w:hint="default"/>
      </w:rPr>
    </w:lvl>
    <w:lvl w:ilvl="7">
      <w:start w:val="0"/>
      <w:numFmt w:val="bullet"/>
      <w:lvlText w:val="•"/>
      <w:lvlJc w:val="left"/>
      <w:pPr>
        <w:ind w:left="5012" w:hanging="567"/>
      </w:pPr>
      <w:rPr>
        <w:rFonts w:hint="default"/>
      </w:rPr>
    </w:lvl>
    <w:lvl w:ilvl="8">
      <w:start w:val="0"/>
      <w:numFmt w:val="bullet"/>
      <w:lvlText w:val="•"/>
      <w:lvlJc w:val="left"/>
      <w:pPr>
        <w:ind w:left="5631" w:hanging="567"/>
      </w:pPr>
      <w:rPr>
        <w:rFonts w:hint="default"/>
      </w:rPr>
    </w:lvl>
  </w:abstractNum>
  <w:abstractNum w:abstractNumId="21">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20">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9">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8">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7">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6">
    <w:multiLevelType w:val="hybridMultilevel"/>
    <w:lvl w:ilvl="0">
      <w:start w:val="3"/>
      <w:numFmt w:val="decimal"/>
      <w:lvlText w:val="（%1）"/>
      <w:lvlJc w:val="left"/>
      <w:pPr>
        <w:ind w:left="111" w:hanging="567"/>
        <w:jc w:val="left"/>
      </w:pPr>
      <w:rPr>
        <w:rFonts w:hint="default" w:ascii="宋体" w:hAnsi="宋体" w:eastAsia="宋体" w:cs="宋体"/>
        <w:w w:val="100"/>
        <w:sz w:val="21"/>
        <w:szCs w:val="21"/>
      </w:rPr>
    </w:lvl>
    <w:lvl w:ilvl="1">
      <w:start w:val="0"/>
      <w:numFmt w:val="bullet"/>
      <w:lvlText w:val="•"/>
      <w:lvlJc w:val="left"/>
      <w:pPr>
        <w:ind w:left="795" w:hanging="567"/>
      </w:pPr>
      <w:rPr>
        <w:rFonts w:hint="default"/>
      </w:rPr>
    </w:lvl>
    <w:lvl w:ilvl="2">
      <w:start w:val="0"/>
      <w:numFmt w:val="bullet"/>
      <w:lvlText w:val="•"/>
      <w:lvlJc w:val="left"/>
      <w:pPr>
        <w:ind w:left="1470" w:hanging="567"/>
      </w:pPr>
      <w:rPr>
        <w:rFonts w:hint="default"/>
      </w:rPr>
    </w:lvl>
    <w:lvl w:ilvl="3">
      <w:start w:val="0"/>
      <w:numFmt w:val="bullet"/>
      <w:lvlText w:val="•"/>
      <w:lvlJc w:val="left"/>
      <w:pPr>
        <w:ind w:left="2146" w:hanging="567"/>
      </w:pPr>
      <w:rPr>
        <w:rFonts w:hint="default"/>
      </w:rPr>
    </w:lvl>
    <w:lvl w:ilvl="4">
      <w:start w:val="0"/>
      <w:numFmt w:val="bullet"/>
      <w:lvlText w:val="•"/>
      <w:lvlJc w:val="left"/>
      <w:pPr>
        <w:ind w:left="2821" w:hanging="567"/>
      </w:pPr>
      <w:rPr>
        <w:rFonts w:hint="default"/>
      </w:rPr>
    </w:lvl>
    <w:lvl w:ilvl="5">
      <w:start w:val="0"/>
      <w:numFmt w:val="bullet"/>
      <w:lvlText w:val="•"/>
      <w:lvlJc w:val="left"/>
      <w:pPr>
        <w:ind w:left="3497" w:hanging="567"/>
      </w:pPr>
      <w:rPr>
        <w:rFonts w:hint="default"/>
      </w:rPr>
    </w:lvl>
    <w:lvl w:ilvl="6">
      <w:start w:val="0"/>
      <w:numFmt w:val="bullet"/>
      <w:lvlText w:val="•"/>
      <w:lvlJc w:val="left"/>
      <w:pPr>
        <w:ind w:left="4172" w:hanging="567"/>
      </w:pPr>
      <w:rPr>
        <w:rFonts w:hint="default"/>
      </w:rPr>
    </w:lvl>
    <w:lvl w:ilvl="7">
      <w:start w:val="0"/>
      <w:numFmt w:val="bullet"/>
      <w:lvlText w:val="•"/>
      <w:lvlJc w:val="left"/>
      <w:pPr>
        <w:ind w:left="4847" w:hanging="567"/>
      </w:pPr>
      <w:rPr>
        <w:rFonts w:hint="default"/>
      </w:rPr>
    </w:lvl>
    <w:lvl w:ilvl="8">
      <w:start w:val="0"/>
      <w:numFmt w:val="bullet"/>
      <w:lvlText w:val="•"/>
      <w:lvlJc w:val="left"/>
      <w:pPr>
        <w:ind w:left="5523" w:hanging="567"/>
      </w:pPr>
      <w:rPr>
        <w:rFonts w:hint="default"/>
      </w:rPr>
    </w:lvl>
  </w:abstractNum>
  <w:abstractNum w:abstractNumId="15">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4">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3">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2">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1">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8"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7" w:hanging="567"/>
      </w:pPr>
      <w:rPr>
        <w:rFonts w:hint="default"/>
      </w:rPr>
    </w:lvl>
    <w:lvl w:ilvl="5">
      <w:start w:val="0"/>
      <w:numFmt w:val="bullet"/>
      <w:lvlText w:val="•"/>
      <w:lvlJc w:val="left"/>
      <w:pPr>
        <w:ind w:left="3777" w:hanging="567"/>
      </w:pPr>
      <w:rPr>
        <w:rFonts w:hint="default"/>
      </w:rPr>
    </w:lvl>
    <w:lvl w:ilvl="6">
      <w:start w:val="0"/>
      <w:numFmt w:val="bullet"/>
      <w:lvlText w:val="•"/>
      <w:lvlJc w:val="left"/>
      <w:pPr>
        <w:ind w:left="4396" w:hanging="567"/>
      </w:pPr>
      <w:rPr>
        <w:rFonts w:hint="default"/>
      </w:rPr>
    </w:lvl>
    <w:lvl w:ilvl="7">
      <w:start w:val="0"/>
      <w:numFmt w:val="bullet"/>
      <w:lvlText w:val="•"/>
      <w:lvlJc w:val="left"/>
      <w:pPr>
        <w:ind w:left="5015" w:hanging="567"/>
      </w:pPr>
      <w:rPr>
        <w:rFonts w:hint="default"/>
      </w:rPr>
    </w:lvl>
    <w:lvl w:ilvl="8">
      <w:start w:val="0"/>
      <w:numFmt w:val="bullet"/>
      <w:lvlText w:val="•"/>
      <w:lvlJc w:val="left"/>
      <w:pPr>
        <w:ind w:left="5635" w:hanging="567"/>
      </w:pPr>
      <w:rPr>
        <w:rFonts w:hint="default"/>
      </w:rPr>
    </w:lvl>
  </w:abstractNum>
  <w:abstractNum w:abstractNumId="10">
    <w:multiLevelType w:val="hybridMultilevel"/>
    <w:lvl w:ilvl="0">
      <w:start w:val="1"/>
      <w:numFmt w:val="decimal"/>
      <w:lvlText w:val="（%1）"/>
      <w:lvlJc w:val="left"/>
      <w:pPr>
        <w:ind w:left="675" w:hanging="567"/>
        <w:jc w:val="left"/>
      </w:pPr>
      <w:rPr>
        <w:rFonts w:hint="default" w:ascii="宋体" w:hAnsi="宋体" w:eastAsia="宋体" w:cs="宋体"/>
        <w:w w:val="100"/>
        <w:sz w:val="21"/>
        <w:szCs w:val="21"/>
      </w:rPr>
    </w:lvl>
    <w:lvl w:ilvl="1">
      <w:start w:val="0"/>
      <w:numFmt w:val="bullet"/>
      <w:lvlText w:val="•"/>
      <w:lvlJc w:val="left"/>
      <w:pPr>
        <w:ind w:left="1299" w:hanging="567"/>
      </w:pPr>
      <w:rPr>
        <w:rFonts w:hint="default"/>
      </w:rPr>
    </w:lvl>
    <w:lvl w:ilvl="2">
      <w:start w:val="0"/>
      <w:numFmt w:val="bullet"/>
      <w:lvlText w:val="•"/>
      <w:lvlJc w:val="left"/>
      <w:pPr>
        <w:ind w:left="1919" w:hanging="567"/>
      </w:pPr>
      <w:rPr>
        <w:rFonts w:hint="default"/>
      </w:rPr>
    </w:lvl>
    <w:lvl w:ilvl="3">
      <w:start w:val="0"/>
      <w:numFmt w:val="bullet"/>
      <w:lvlText w:val="•"/>
      <w:lvlJc w:val="left"/>
      <w:pPr>
        <w:ind w:left="2538" w:hanging="567"/>
      </w:pPr>
      <w:rPr>
        <w:rFonts w:hint="default"/>
      </w:rPr>
    </w:lvl>
    <w:lvl w:ilvl="4">
      <w:start w:val="0"/>
      <w:numFmt w:val="bullet"/>
      <w:lvlText w:val="•"/>
      <w:lvlJc w:val="left"/>
      <w:pPr>
        <w:ind w:left="3158" w:hanging="567"/>
      </w:pPr>
      <w:rPr>
        <w:rFonts w:hint="default"/>
      </w:rPr>
    </w:lvl>
    <w:lvl w:ilvl="5">
      <w:start w:val="0"/>
      <w:numFmt w:val="bullet"/>
      <w:lvlText w:val="•"/>
      <w:lvlJc w:val="left"/>
      <w:pPr>
        <w:ind w:left="3778" w:hanging="567"/>
      </w:pPr>
      <w:rPr>
        <w:rFonts w:hint="default"/>
      </w:rPr>
    </w:lvl>
    <w:lvl w:ilvl="6">
      <w:start w:val="0"/>
      <w:numFmt w:val="bullet"/>
      <w:lvlText w:val="•"/>
      <w:lvlJc w:val="left"/>
      <w:pPr>
        <w:ind w:left="4397" w:hanging="567"/>
      </w:pPr>
      <w:rPr>
        <w:rFonts w:hint="default"/>
      </w:rPr>
    </w:lvl>
    <w:lvl w:ilvl="7">
      <w:start w:val="0"/>
      <w:numFmt w:val="bullet"/>
      <w:lvlText w:val="•"/>
      <w:lvlJc w:val="left"/>
      <w:pPr>
        <w:ind w:left="5017" w:hanging="567"/>
      </w:pPr>
      <w:rPr>
        <w:rFonts w:hint="default"/>
      </w:rPr>
    </w:lvl>
    <w:lvl w:ilvl="8">
      <w:start w:val="0"/>
      <w:numFmt w:val="bullet"/>
      <w:lvlText w:val="•"/>
      <w:lvlJc w:val="left"/>
      <w:pPr>
        <w:ind w:left="5636" w:hanging="567"/>
      </w:pPr>
      <w:rPr>
        <w:rFonts w:hint="default"/>
      </w:rPr>
    </w:lvl>
  </w:abstractNum>
  <w:abstractNum w:abstractNumId="9">
    <w:multiLevelType w:val="hybridMultilevel"/>
    <w:lvl w:ilvl="0">
      <w:start w:val="1"/>
      <w:numFmt w:val="decimal"/>
      <w:lvlText w:val="（%1）"/>
      <w:lvlJc w:val="left"/>
      <w:pPr>
        <w:ind w:left="896" w:hanging="680"/>
        <w:jc w:val="left"/>
      </w:pPr>
      <w:rPr>
        <w:rFonts w:hint="default" w:ascii="宋体" w:hAnsi="宋体" w:eastAsia="宋体" w:cs="宋体"/>
        <w:w w:val="100"/>
        <w:sz w:val="21"/>
        <w:szCs w:val="21"/>
      </w:rPr>
    </w:lvl>
    <w:lvl w:ilvl="1">
      <w:start w:val="0"/>
      <w:numFmt w:val="bullet"/>
      <w:lvlText w:val="•"/>
      <w:lvlJc w:val="left"/>
      <w:pPr>
        <w:ind w:left="1508" w:hanging="680"/>
      </w:pPr>
      <w:rPr>
        <w:rFonts w:hint="default"/>
      </w:rPr>
    </w:lvl>
    <w:lvl w:ilvl="2">
      <w:start w:val="0"/>
      <w:numFmt w:val="bullet"/>
      <w:lvlText w:val="•"/>
      <w:lvlJc w:val="left"/>
      <w:pPr>
        <w:ind w:left="2117" w:hanging="680"/>
      </w:pPr>
      <w:rPr>
        <w:rFonts w:hint="default"/>
      </w:rPr>
    </w:lvl>
    <w:lvl w:ilvl="3">
      <w:start w:val="0"/>
      <w:numFmt w:val="bullet"/>
      <w:lvlText w:val="•"/>
      <w:lvlJc w:val="left"/>
      <w:pPr>
        <w:ind w:left="2726" w:hanging="680"/>
      </w:pPr>
      <w:rPr>
        <w:rFonts w:hint="default"/>
      </w:rPr>
    </w:lvl>
    <w:lvl w:ilvl="4">
      <w:start w:val="0"/>
      <w:numFmt w:val="bullet"/>
      <w:lvlText w:val="•"/>
      <w:lvlJc w:val="left"/>
      <w:pPr>
        <w:ind w:left="3334" w:hanging="680"/>
      </w:pPr>
      <w:rPr>
        <w:rFonts w:hint="default"/>
      </w:rPr>
    </w:lvl>
    <w:lvl w:ilvl="5">
      <w:start w:val="0"/>
      <w:numFmt w:val="bullet"/>
      <w:lvlText w:val="•"/>
      <w:lvlJc w:val="left"/>
      <w:pPr>
        <w:ind w:left="3943" w:hanging="680"/>
      </w:pPr>
      <w:rPr>
        <w:rFonts w:hint="default"/>
      </w:rPr>
    </w:lvl>
    <w:lvl w:ilvl="6">
      <w:start w:val="0"/>
      <w:numFmt w:val="bullet"/>
      <w:lvlText w:val="•"/>
      <w:lvlJc w:val="left"/>
      <w:pPr>
        <w:ind w:left="4552" w:hanging="680"/>
      </w:pPr>
      <w:rPr>
        <w:rFonts w:hint="default"/>
      </w:rPr>
    </w:lvl>
    <w:lvl w:ilvl="7">
      <w:start w:val="0"/>
      <w:numFmt w:val="bullet"/>
      <w:lvlText w:val="•"/>
      <w:lvlJc w:val="left"/>
      <w:pPr>
        <w:ind w:left="5160" w:hanging="680"/>
      </w:pPr>
      <w:rPr>
        <w:rFonts w:hint="default"/>
      </w:rPr>
    </w:lvl>
    <w:lvl w:ilvl="8">
      <w:start w:val="0"/>
      <w:numFmt w:val="bullet"/>
      <w:lvlText w:val="•"/>
      <w:lvlJc w:val="left"/>
      <w:pPr>
        <w:ind w:left="5769" w:hanging="680"/>
      </w:pPr>
      <w:rPr>
        <w:rFonts w:hint="default"/>
      </w:rPr>
    </w:lvl>
  </w:abstractNum>
  <w:abstractNum w:abstractNumId="8">
    <w:multiLevelType w:val="hybridMultilevel"/>
    <w:lvl w:ilvl="0">
      <w:start w:val="1"/>
      <w:numFmt w:val="decimal"/>
      <w:lvlText w:val="（%1）"/>
      <w:lvlJc w:val="left"/>
      <w:pPr>
        <w:ind w:left="742" w:hanging="605"/>
        <w:jc w:val="left"/>
      </w:pPr>
      <w:rPr>
        <w:rFonts w:hint="default" w:ascii="宋体" w:hAnsi="宋体" w:eastAsia="宋体" w:cs="宋体"/>
        <w:w w:val="100"/>
        <w:sz w:val="21"/>
        <w:szCs w:val="21"/>
      </w:rPr>
    </w:lvl>
    <w:lvl w:ilvl="1">
      <w:start w:val="0"/>
      <w:numFmt w:val="bullet"/>
      <w:lvlText w:val="•"/>
      <w:lvlJc w:val="left"/>
      <w:pPr>
        <w:ind w:left="1364" w:hanging="605"/>
      </w:pPr>
      <w:rPr>
        <w:rFonts w:hint="default"/>
      </w:rPr>
    </w:lvl>
    <w:lvl w:ilvl="2">
      <w:start w:val="0"/>
      <w:numFmt w:val="bullet"/>
      <w:lvlText w:val="•"/>
      <w:lvlJc w:val="left"/>
      <w:pPr>
        <w:ind w:left="1989" w:hanging="605"/>
      </w:pPr>
      <w:rPr>
        <w:rFonts w:hint="default"/>
      </w:rPr>
    </w:lvl>
    <w:lvl w:ilvl="3">
      <w:start w:val="0"/>
      <w:numFmt w:val="bullet"/>
      <w:lvlText w:val="•"/>
      <w:lvlJc w:val="left"/>
      <w:pPr>
        <w:ind w:left="2614" w:hanging="605"/>
      </w:pPr>
      <w:rPr>
        <w:rFonts w:hint="default"/>
      </w:rPr>
    </w:lvl>
    <w:lvl w:ilvl="4">
      <w:start w:val="0"/>
      <w:numFmt w:val="bullet"/>
      <w:lvlText w:val="•"/>
      <w:lvlJc w:val="left"/>
      <w:pPr>
        <w:ind w:left="3238" w:hanging="605"/>
      </w:pPr>
      <w:rPr>
        <w:rFonts w:hint="default"/>
      </w:rPr>
    </w:lvl>
    <w:lvl w:ilvl="5">
      <w:start w:val="0"/>
      <w:numFmt w:val="bullet"/>
      <w:lvlText w:val="•"/>
      <w:lvlJc w:val="left"/>
      <w:pPr>
        <w:ind w:left="3863" w:hanging="605"/>
      </w:pPr>
      <w:rPr>
        <w:rFonts w:hint="default"/>
      </w:rPr>
    </w:lvl>
    <w:lvl w:ilvl="6">
      <w:start w:val="0"/>
      <w:numFmt w:val="bullet"/>
      <w:lvlText w:val="•"/>
      <w:lvlJc w:val="left"/>
      <w:pPr>
        <w:ind w:left="4488" w:hanging="605"/>
      </w:pPr>
      <w:rPr>
        <w:rFonts w:hint="default"/>
      </w:rPr>
    </w:lvl>
    <w:lvl w:ilvl="7">
      <w:start w:val="0"/>
      <w:numFmt w:val="bullet"/>
      <w:lvlText w:val="•"/>
      <w:lvlJc w:val="left"/>
      <w:pPr>
        <w:ind w:left="5112" w:hanging="605"/>
      </w:pPr>
      <w:rPr>
        <w:rFonts w:hint="default"/>
      </w:rPr>
    </w:lvl>
    <w:lvl w:ilvl="8">
      <w:start w:val="0"/>
      <w:numFmt w:val="bullet"/>
      <w:lvlText w:val="•"/>
      <w:lvlJc w:val="left"/>
      <w:pPr>
        <w:ind w:left="5737" w:hanging="605"/>
      </w:pPr>
      <w:rPr>
        <w:rFonts w:hint="default"/>
      </w:rPr>
    </w:lvl>
  </w:abstractNum>
  <w:abstractNum w:abstractNumId="7">
    <w:multiLevelType w:val="hybridMultilevel"/>
    <w:lvl w:ilvl="0">
      <w:start w:val="1"/>
      <w:numFmt w:val="decimal"/>
      <w:lvlText w:val="（%1）"/>
      <w:lvlJc w:val="left"/>
      <w:pPr>
        <w:ind w:left="680" w:hanging="567"/>
        <w:jc w:val="left"/>
      </w:pPr>
      <w:rPr>
        <w:rFonts w:hint="default" w:ascii="宋体" w:hAnsi="宋体" w:eastAsia="宋体" w:cs="宋体"/>
        <w:w w:val="100"/>
        <w:sz w:val="21"/>
        <w:szCs w:val="21"/>
      </w:rPr>
    </w:lvl>
    <w:lvl w:ilvl="1">
      <w:start w:val="0"/>
      <w:numFmt w:val="bullet"/>
      <w:lvlText w:val="•"/>
      <w:lvlJc w:val="left"/>
      <w:pPr>
        <w:ind w:left="1300" w:hanging="567"/>
      </w:pPr>
      <w:rPr>
        <w:rFonts w:hint="default"/>
      </w:rPr>
    </w:lvl>
    <w:lvl w:ilvl="2">
      <w:start w:val="0"/>
      <w:numFmt w:val="bullet"/>
      <w:lvlText w:val="•"/>
      <w:lvlJc w:val="left"/>
      <w:pPr>
        <w:ind w:left="1920" w:hanging="567"/>
      </w:pPr>
      <w:rPr>
        <w:rFonts w:hint="default"/>
      </w:rPr>
    </w:lvl>
    <w:lvl w:ilvl="3">
      <w:start w:val="0"/>
      <w:numFmt w:val="bullet"/>
      <w:lvlText w:val="•"/>
      <w:lvlJc w:val="left"/>
      <w:pPr>
        <w:ind w:left="2540" w:hanging="567"/>
      </w:pPr>
      <w:rPr>
        <w:rFonts w:hint="default"/>
      </w:rPr>
    </w:lvl>
    <w:lvl w:ilvl="4">
      <w:start w:val="0"/>
      <w:numFmt w:val="bullet"/>
      <w:lvlText w:val="•"/>
      <w:lvlJc w:val="left"/>
      <w:pPr>
        <w:ind w:left="3161" w:hanging="567"/>
      </w:pPr>
      <w:rPr>
        <w:rFonts w:hint="default"/>
      </w:rPr>
    </w:lvl>
    <w:lvl w:ilvl="5">
      <w:start w:val="0"/>
      <w:numFmt w:val="bullet"/>
      <w:lvlText w:val="•"/>
      <w:lvlJc w:val="left"/>
      <w:pPr>
        <w:ind w:left="3781" w:hanging="567"/>
      </w:pPr>
      <w:rPr>
        <w:rFonts w:hint="default"/>
      </w:rPr>
    </w:lvl>
    <w:lvl w:ilvl="6">
      <w:start w:val="0"/>
      <w:numFmt w:val="bullet"/>
      <w:lvlText w:val="•"/>
      <w:lvlJc w:val="left"/>
      <w:pPr>
        <w:ind w:left="4401" w:hanging="567"/>
      </w:pPr>
      <w:rPr>
        <w:rFonts w:hint="default"/>
      </w:rPr>
    </w:lvl>
    <w:lvl w:ilvl="7">
      <w:start w:val="0"/>
      <w:numFmt w:val="bullet"/>
      <w:lvlText w:val="•"/>
      <w:lvlJc w:val="left"/>
      <w:pPr>
        <w:ind w:left="5022" w:hanging="567"/>
      </w:pPr>
      <w:rPr>
        <w:rFonts w:hint="default"/>
      </w:rPr>
    </w:lvl>
    <w:lvl w:ilvl="8">
      <w:start w:val="0"/>
      <w:numFmt w:val="bullet"/>
      <w:lvlText w:val="•"/>
      <w:lvlJc w:val="left"/>
      <w:pPr>
        <w:ind w:left="5642" w:hanging="567"/>
      </w:pPr>
      <w:rPr>
        <w:rFonts w:hint="default"/>
      </w:rPr>
    </w:lvl>
  </w:abstractNum>
  <w:abstractNum w:abstractNumId="6">
    <w:multiLevelType w:val="hybridMultilevel"/>
    <w:lvl w:ilvl="0">
      <w:start w:val="1"/>
      <w:numFmt w:val="decimal"/>
      <w:lvlText w:val="（%1）"/>
      <w:lvlJc w:val="left"/>
      <w:pPr>
        <w:ind w:left="680" w:hanging="567"/>
        <w:jc w:val="left"/>
      </w:pPr>
      <w:rPr>
        <w:rFonts w:hint="default" w:ascii="宋体" w:hAnsi="宋体" w:eastAsia="宋体" w:cs="宋体"/>
        <w:w w:val="100"/>
        <w:sz w:val="21"/>
        <w:szCs w:val="21"/>
      </w:rPr>
    </w:lvl>
    <w:lvl w:ilvl="1">
      <w:start w:val="0"/>
      <w:numFmt w:val="bullet"/>
      <w:lvlText w:val="•"/>
      <w:lvlJc w:val="left"/>
      <w:pPr>
        <w:ind w:left="1300" w:hanging="567"/>
      </w:pPr>
      <w:rPr>
        <w:rFonts w:hint="default"/>
      </w:rPr>
    </w:lvl>
    <w:lvl w:ilvl="2">
      <w:start w:val="0"/>
      <w:numFmt w:val="bullet"/>
      <w:lvlText w:val="•"/>
      <w:lvlJc w:val="left"/>
      <w:pPr>
        <w:ind w:left="1920" w:hanging="567"/>
      </w:pPr>
      <w:rPr>
        <w:rFonts w:hint="default"/>
      </w:rPr>
    </w:lvl>
    <w:lvl w:ilvl="3">
      <w:start w:val="0"/>
      <w:numFmt w:val="bullet"/>
      <w:lvlText w:val="•"/>
      <w:lvlJc w:val="left"/>
      <w:pPr>
        <w:ind w:left="2540" w:hanging="567"/>
      </w:pPr>
      <w:rPr>
        <w:rFonts w:hint="default"/>
      </w:rPr>
    </w:lvl>
    <w:lvl w:ilvl="4">
      <w:start w:val="0"/>
      <w:numFmt w:val="bullet"/>
      <w:lvlText w:val="•"/>
      <w:lvlJc w:val="left"/>
      <w:pPr>
        <w:ind w:left="3161" w:hanging="567"/>
      </w:pPr>
      <w:rPr>
        <w:rFonts w:hint="default"/>
      </w:rPr>
    </w:lvl>
    <w:lvl w:ilvl="5">
      <w:start w:val="0"/>
      <w:numFmt w:val="bullet"/>
      <w:lvlText w:val="•"/>
      <w:lvlJc w:val="left"/>
      <w:pPr>
        <w:ind w:left="3781" w:hanging="567"/>
      </w:pPr>
      <w:rPr>
        <w:rFonts w:hint="default"/>
      </w:rPr>
    </w:lvl>
    <w:lvl w:ilvl="6">
      <w:start w:val="0"/>
      <w:numFmt w:val="bullet"/>
      <w:lvlText w:val="•"/>
      <w:lvlJc w:val="left"/>
      <w:pPr>
        <w:ind w:left="4401" w:hanging="567"/>
      </w:pPr>
      <w:rPr>
        <w:rFonts w:hint="default"/>
      </w:rPr>
    </w:lvl>
    <w:lvl w:ilvl="7">
      <w:start w:val="0"/>
      <w:numFmt w:val="bullet"/>
      <w:lvlText w:val="•"/>
      <w:lvlJc w:val="left"/>
      <w:pPr>
        <w:ind w:left="5022" w:hanging="567"/>
      </w:pPr>
      <w:rPr>
        <w:rFonts w:hint="default"/>
      </w:rPr>
    </w:lvl>
    <w:lvl w:ilvl="8">
      <w:start w:val="0"/>
      <w:numFmt w:val="bullet"/>
      <w:lvlText w:val="•"/>
      <w:lvlJc w:val="left"/>
      <w:pPr>
        <w:ind w:left="5642" w:hanging="567"/>
      </w:pPr>
      <w:rPr>
        <w:rFonts w:hint="default"/>
      </w:rPr>
    </w:lvl>
  </w:abstractNum>
  <w:abstractNum w:abstractNumId="5">
    <w:multiLevelType w:val="hybridMultilevel"/>
    <w:lvl w:ilvl="0">
      <w:start w:val="1"/>
      <w:numFmt w:val="decimal"/>
      <w:lvlText w:val="（%1）"/>
      <w:lvlJc w:val="left"/>
      <w:pPr>
        <w:ind w:left="680" w:hanging="567"/>
        <w:jc w:val="left"/>
      </w:pPr>
      <w:rPr>
        <w:rFonts w:hint="default" w:ascii="宋体" w:hAnsi="宋体" w:eastAsia="宋体" w:cs="宋体"/>
        <w:w w:val="100"/>
        <w:sz w:val="21"/>
        <w:szCs w:val="21"/>
      </w:rPr>
    </w:lvl>
    <w:lvl w:ilvl="1">
      <w:start w:val="0"/>
      <w:numFmt w:val="bullet"/>
      <w:lvlText w:val="•"/>
      <w:lvlJc w:val="left"/>
      <w:pPr>
        <w:ind w:left="1300" w:hanging="567"/>
      </w:pPr>
      <w:rPr>
        <w:rFonts w:hint="default"/>
      </w:rPr>
    </w:lvl>
    <w:lvl w:ilvl="2">
      <w:start w:val="0"/>
      <w:numFmt w:val="bullet"/>
      <w:lvlText w:val="•"/>
      <w:lvlJc w:val="left"/>
      <w:pPr>
        <w:ind w:left="1920" w:hanging="567"/>
      </w:pPr>
      <w:rPr>
        <w:rFonts w:hint="default"/>
      </w:rPr>
    </w:lvl>
    <w:lvl w:ilvl="3">
      <w:start w:val="0"/>
      <w:numFmt w:val="bullet"/>
      <w:lvlText w:val="•"/>
      <w:lvlJc w:val="left"/>
      <w:pPr>
        <w:ind w:left="2540" w:hanging="567"/>
      </w:pPr>
      <w:rPr>
        <w:rFonts w:hint="default"/>
      </w:rPr>
    </w:lvl>
    <w:lvl w:ilvl="4">
      <w:start w:val="0"/>
      <w:numFmt w:val="bullet"/>
      <w:lvlText w:val="•"/>
      <w:lvlJc w:val="left"/>
      <w:pPr>
        <w:ind w:left="3161" w:hanging="567"/>
      </w:pPr>
      <w:rPr>
        <w:rFonts w:hint="default"/>
      </w:rPr>
    </w:lvl>
    <w:lvl w:ilvl="5">
      <w:start w:val="0"/>
      <w:numFmt w:val="bullet"/>
      <w:lvlText w:val="•"/>
      <w:lvlJc w:val="left"/>
      <w:pPr>
        <w:ind w:left="3781" w:hanging="567"/>
      </w:pPr>
      <w:rPr>
        <w:rFonts w:hint="default"/>
      </w:rPr>
    </w:lvl>
    <w:lvl w:ilvl="6">
      <w:start w:val="0"/>
      <w:numFmt w:val="bullet"/>
      <w:lvlText w:val="•"/>
      <w:lvlJc w:val="left"/>
      <w:pPr>
        <w:ind w:left="4401" w:hanging="567"/>
      </w:pPr>
      <w:rPr>
        <w:rFonts w:hint="default"/>
      </w:rPr>
    </w:lvl>
    <w:lvl w:ilvl="7">
      <w:start w:val="0"/>
      <w:numFmt w:val="bullet"/>
      <w:lvlText w:val="•"/>
      <w:lvlJc w:val="left"/>
      <w:pPr>
        <w:ind w:left="5022" w:hanging="567"/>
      </w:pPr>
      <w:rPr>
        <w:rFonts w:hint="default"/>
      </w:rPr>
    </w:lvl>
    <w:lvl w:ilvl="8">
      <w:start w:val="0"/>
      <w:numFmt w:val="bullet"/>
      <w:lvlText w:val="•"/>
      <w:lvlJc w:val="left"/>
      <w:pPr>
        <w:ind w:left="5642" w:hanging="567"/>
      </w:pPr>
      <w:rPr>
        <w:rFonts w:hint="default"/>
      </w:rPr>
    </w:lvl>
  </w:abstractNum>
  <w:abstractNum w:abstractNumId="4">
    <w:multiLevelType w:val="hybridMultilevel"/>
    <w:lvl w:ilvl="0">
      <w:start w:val="1"/>
      <w:numFmt w:val="decimal"/>
      <w:lvlText w:val="（%1）"/>
      <w:lvlJc w:val="left"/>
      <w:pPr>
        <w:ind w:left="747" w:hanging="629"/>
        <w:jc w:val="left"/>
      </w:pPr>
      <w:rPr>
        <w:rFonts w:hint="default" w:ascii="黑体" w:hAnsi="黑体" w:eastAsia="黑体" w:cs="黑体"/>
        <w:w w:val="100"/>
        <w:sz w:val="21"/>
        <w:szCs w:val="21"/>
      </w:rPr>
    </w:lvl>
    <w:lvl w:ilvl="1">
      <w:start w:val="0"/>
      <w:numFmt w:val="bullet"/>
      <w:lvlText w:val="•"/>
      <w:lvlJc w:val="left"/>
      <w:pPr>
        <w:ind w:left="1354" w:hanging="629"/>
      </w:pPr>
      <w:rPr>
        <w:rFonts w:hint="default"/>
      </w:rPr>
    </w:lvl>
    <w:lvl w:ilvl="2">
      <w:start w:val="0"/>
      <w:numFmt w:val="bullet"/>
      <w:lvlText w:val="•"/>
      <w:lvlJc w:val="left"/>
      <w:pPr>
        <w:ind w:left="1969" w:hanging="629"/>
      </w:pPr>
      <w:rPr>
        <w:rFonts w:hint="default"/>
      </w:rPr>
    </w:lvl>
    <w:lvl w:ilvl="3">
      <w:start w:val="0"/>
      <w:numFmt w:val="bullet"/>
      <w:lvlText w:val="•"/>
      <w:lvlJc w:val="left"/>
      <w:pPr>
        <w:ind w:left="2583" w:hanging="629"/>
      </w:pPr>
      <w:rPr>
        <w:rFonts w:hint="default"/>
      </w:rPr>
    </w:lvl>
    <w:lvl w:ilvl="4">
      <w:start w:val="0"/>
      <w:numFmt w:val="bullet"/>
      <w:lvlText w:val="•"/>
      <w:lvlJc w:val="left"/>
      <w:pPr>
        <w:ind w:left="3198" w:hanging="629"/>
      </w:pPr>
      <w:rPr>
        <w:rFonts w:hint="default"/>
      </w:rPr>
    </w:lvl>
    <w:lvl w:ilvl="5">
      <w:start w:val="0"/>
      <w:numFmt w:val="bullet"/>
      <w:lvlText w:val="•"/>
      <w:lvlJc w:val="left"/>
      <w:pPr>
        <w:ind w:left="3812" w:hanging="629"/>
      </w:pPr>
      <w:rPr>
        <w:rFonts w:hint="default"/>
      </w:rPr>
    </w:lvl>
    <w:lvl w:ilvl="6">
      <w:start w:val="0"/>
      <w:numFmt w:val="bullet"/>
      <w:lvlText w:val="•"/>
      <w:lvlJc w:val="left"/>
      <w:pPr>
        <w:ind w:left="4427" w:hanging="629"/>
      </w:pPr>
      <w:rPr>
        <w:rFonts w:hint="default"/>
      </w:rPr>
    </w:lvl>
    <w:lvl w:ilvl="7">
      <w:start w:val="0"/>
      <w:numFmt w:val="bullet"/>
      <w:lvlText w:val="•"/>
      <w:lvlJc w:val="left"/>
      <w:pPr>
        <w:ind w:left="5041" w:hanging="629"/>
      </w:pPr>
      <w:rPr>
        <w:rFonts w:hint="default"/>
      </w:rPr>
    </w:lvl>
    <w:lvl w:ilvl="8">
      <w:start w:val="0"/>
      <w:numFmt w:val="bullet"/>
      <w:lvlText w:val="•"/>
      <w:lvlJc w:val="left"/>
      <w:pPr>
        <w:ind w:left="5656" w:hanging="629"/>
      </w:pPr>
      <w:rPr>
        <w:rFonts w:hint="default"/>
      </w:rPr>
    </w:lvl>
  </w:abstractNum>
  <w:abstractNum w:abstractNumId="3">
    <w:multiLevelType w:val="hybridMultilevel"/>
    <w:lvl w:ilvl="0">
      <w:start w:val="1"/>
      <w:numFmt w:val="decimal"/>
      <w:lvlText w:val="（%1）"/>
      <w:lvlJc w:val="left"/>
      <w:pPr>
        <w:ind w:left="677" w:hanging="567"/>
        <w:jc w:val="left"/>
      </w:pPr>
      <w:rPr>
        <w:rFonts w:hint="default" w:ascii="宋体" w:hAnsi="宋体" w:eastAsia="宋体" w:cs="宋体"/>
        <w:w w:val="100"/>
        <w:sz w:val="21"/>
        <w:szCs w:val="21"/>
      </w:rPr>
    </w:lvl>
    <w:lvl w:ilvl="1">
      <w:start w:val="0"/>
      <w:numFmt w:val="bullet"/>
      <w:lvlText w:val="•"/>
      <w:lvlJc w:val="left"/>
      <w:pPr>
        <w:ind w:left="1300" w:hanging="567"/>
      </w:pPr>
      <w:rPr>
        <w:rFonts w:hint="default"/>
      </w:rPr>
    </w:lvl>
    <w:lvl w:ilvl="2">
      <w:start w:val="0"/>
      <w:numFmt w:val="bullet"/>
      <w:lvlText w:val="•"/>
      <w:lvlJc w:val="left"/>
      <w:pPr>
        <w:ind w:left="1920" w:hanging="567"/>
      </w:pPr>
      <w:rPr>
        <w:rFonts w:hint="default"/>
      </w:rPr>
    </w:lvl>
    <w:lvl w:ilvl="3">
      <w:start w:val="0"/>
      <w:numFmt w:val="bullet"/>
      <w:lvlText w:val="•"/>
      <w:lvlJc w:val="left"/>
      <w:pPr>
        <w:ind w:left="2540" w:hanging="567"/>
      </w:pPr>
      <w:rPr>
        <w:rFonts w:hint="default"/>
      </w:rPr>
    </w:lvl>
    <w:lvl w:ilvl="4">
      <w:start w:val="0"/>
      <w:numFmt w:val="bullet"/>
      <w:lvlText w:val="•"/>
      <w:lvlJc w:val="left"/>
      <w:pPr>
        <w:ind w:left="3160" w:hanging="567"/>
      </w:pPr>
      <w:rPr>
        <w:rFonts w:hint="default"/>
      </w:rPr>
    </w:lvl>
    <w:lvl w:ilvl="5">
      <w:start w:val="0"/>
      <w:numFmt w:val="bullet"/>
      <w:lvlText w:val="•"/>
      <w:lvlJc w:val="left"/>
      <w:pPr>
        <w:ind w:left="3781" w:hanging="567"/>
      </w:pPr>
      <w:rPr>
        <w:rFonts w:hint="default"/>
      </w:rPr>
    </w:lvl>
    <w:lvl w:ilvl="6">
      <w:start w:val="0"/>
      <w:numFmt w:val="bullet"/>
      <w:lvlText w:val="•"/>
      <w:lvlJc w:val="left"/>
      <w:pPr>
        <w:ind w:left="4401" w:hanging="567"/>
      </w:pPr>
      <w:rPr>
        <w:rFonts w:hint="default"/>
      </w:rPr>
    </w:lvl>
    <w:lvl w:ilvl="7">
      <w:start w:val="0"/>
      <w:numFmt w:val="bullet"/>
      <w:lvlText w:val="•"/>
      <w:lvlJc w:val="left"/>
      <w:pPr>
        <w:ind w:left="5021" w:hanging="567"/>
      </w:pPr>
      <w:rPr>
        <w:rFonts w:hint="default"/>
      </w:rPr>
    </w:lvl>
    <w:lvl w:ilvl="8">
      <w:start w:val="0"/>
      <w:numFmt w:val="bullet"/>
      <w:lvlText w:val="•"/>
      <w:lvlJc w:val="left"/>
      <w:pPr>
        <w:ind w:left="5641" w:hanging="567"/>
      </w:pPr>
      <w:rPr>
        <w:rFonts w:hint="default"/>
      </w:rPr>
    </w:lvl>
  </w:abstractNum>
  <w:abstractNum w:abstractNumId="2">
    <w:multiLevelType w:val="hybridMultilevel"/>
    <w:lvl w:ilvl="0">
      <w:start w:val="7"/>
      <w:numFmt w:val="decimal"/>
      <w:lvlText w:val="%1"/>
      <w:lvlJc w:val="left"/>
      <w:pPr>
        <w:ind w:left="881" w:hanging="420"/>
        <w:jc w:val="left"/>
      </w:pPr>
      <w:rPr>
        <w:rFonts w:hint="default"/>
      </w:rPr>
    </w:lvl>
    <w:lvl w:ilvl="1">
      <w:start w:val="9"/>
      <w:numFmt w:val="decimal"/>
      <w:lvlText w:val="%1.%2"/>
      <w:lvlJc w:val="left"/>
      <w:pPr>
        <w:ind w:left="977"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232" w:hanging="420"/>
      </w:pPr>
      <w:rPr>
        <w:rFonts w:hint="default"/>
      </w:rPr>
    </w:lvl>
    <w:lvl w:ilvl="3">
      <w:start w:val="0"/>
      <w:numFmt w:val="bullet"/>
      <w:lvlText w:val="•"/>
      <w:lvlJc w:val="left"/>
      <w:pPr>
        <w:ind w:left="1484" w:hanging="420"/>
      </w:pPr>
      <w:rPr>
        <w:rFonts w:hint="default"/>
      </w:rPr>
    </w:lvl>
    <w:lvl w:ilvl="4">
      <w:start w:val="0"/>
      <w:numFmt w:val="bullet"/>
      <w:lvlText w:val="•"/>
      <w:lvlJc w:val="left"/>
      <w:pPr>
        <w:ind w:left="1736" w:hanging="420"/>
      </w:pPr>
      <w:rPr>
        <w:rFonts w:hint="default"/>
      </w:rPr>
    </w:lvl>
    <w:lvl w:ilvl="5">
      <w:start w:val="0"/>
      <w:numFmt w:val="bullet"/>
      <w:lvlText w:val="•"/>
      <w:lvlJc w:val="left"/>
      <w:pPr>
        <w:ind w:left="1988" w:hanging="420"/>
      </w:pPr>
      <w:rPr>
        <w:rFonts w:hint="default"/>
      </w:rPr>
    </w:lvl>
    <w:lvl w:ilvl="6">
      <w:start w:val="0"/>
      <w:numFmt w:val="bullet"/>
      <w:lvlText w:val="•"/>
      <w:lvlJc w:val="left"/>
      <w:pPr>
        <w:ind w:left="2240" w:hanging="420"/>
      </w:pPr>
      <w:rPr>
        <w:rFonts w:hint="default"/>
      </w:rPr>
    </w:lvl>
    <w:lvl w:ilvl="7">
      <w:start w:val="0"/>
      <w:numFmt w:val="bullet"/>
      <w:lvlText w:val="•"/>
      <w:lvlJc w:val="left"/>
      <w:pPr>
        <w:ind w:left="2492" w:hanging="420"/>
      </w:pPr>
      <w:rPr>
        <w:rFonts w:hint="default"/>
      </w:rPr>
    </w:lvl>
    <w:lvl w:ilvl="8">
      <w:start w:val="0"/>
      <w:numFmt w:val="bullet"/>
      <w:lvlText w:val="•"/>
      <w:lvlJc w:val="left"/>
      <w:pPr>
        <w:ind w:left="2744" w:hanging="420"/>
      </w:pPr>
      <w:rPr>
        <w:rFonts w:hint="default"/>
      </w:rPr>
    </w:lvl>
  </w:abstractNum>
  <w:abstractNum w:abstractNumId="1">
    <w:multiLevelType w:val="hybridMultilevel"/>
    <w:lvl w:ilvl="0">
      <w:start w:val="4"/>
      <w:numFmt w:val="decimal"/>
      <w:lvlText w:val="%1."/>
      <w:lvlJc w:val="left"/>
      <w:pPr>
        <w:ind w:left="573"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86" w:hanging="425"/>
        <w:jc w:val="left"/>
      </w:pPr>
      <w:rPr>
        <w:rFonts w:hint="default" w:ascii="Times New Roman" w:hAnsi="Times New Roman" w:eastAsia="Times New Roman" w:cs="Times New Roman"/>
        <w:w w:val="100"/>
        <w:sz w:val="21"/>
        <w:szCs w:val="21"/>
      </w:rPr>
    </w:lvl>
    <w:lvl w:ilvl="2">
      <w:start w:val="0"/>
      <w:numFmt w:val="bullet"/>
      <w:lvlText w:val="•"/>
      <w:lvlJc w:val="left"/>
      <w:pPr>
        <w:ind w:left="720" w:hanging="425"/>
      </w:pPr>
      <w:rPr>
        <w:rFonts w:hint="default"/>
      </w:rPr>
    </w:lvl>
    <w:lvl w:ilvl="3">
      <w:start w:val="0"/>
      <w:numFmt w:val="bullet"/>
      <w:lvlText w:val="•"/>
      <w:lvlJc w:val="left"/>
      <w:pPr>
        <w:ind w:left="1023" w:hanging="425"/>
      </w:pPr>
      <w:rPr>
        <w:rFonts w:hint="default"/>
      </w:rPr>
    </w:lvl>
    <w:lvl w:ilvl="4">
      <w:start w:val="0"/>
      <w:numFmt w:val="bullet"/>
      <w:lvlText w:val="•"/>
      <w:lvlJc w:val="left"/>
      <w:pPr>
        <w:ind w:left="1326" w:hanging="425"/>
      </w:pPr>
      <w:rPr>
        <w:rFonts w:hint="default"/>
      </w:rPr>
    </w:lvl>
    <w:lvl w:ilvl="5">
      <w:start w:val="0"/>
      <w:numFmt w:val="bullet"/>
      <w:lvlText w:val="•"/>
      <w:lvlJc w:val="left"/>
      <w:pPr>
        <w:ind w:left="1629" w:hanging="425"/>
      </w:pPr>
      <w:rPr>
        <w:rFonts w:hint="default"/>
      </w:rPr>
    </w:lvl>
    <w:lvl w:ilvl="6">
      <w:start w:val="0"/>
      <w:numFmt w:val="bullet"/>
      <w:lvlText w:val="•"/>
      <w:lvlJc w:val="left"/>
      <w:pPr>
        <w:ind w:left="1932" w:hanging="425"/>
      </w:pPr>
      <w:rPr>
        <w:rFonts w:hint="default"/>
      </w:rPr>
    </w:lvl>
    <w:lvl w:ilvl="7">
      <w:start w:val="0"/>
      <w:numFmt w:val="bullet"/>
      <w:lvlText w:val="•"/>
      <w:lvlJc w:val="left"/>
      <w:pPr>
        <w:ind w:left="2235" w:hanging="425"/>
      </w:pPr>
      <w:rPr>
        <w:rFonts w:hint="default"/>
      </w:rPr>
    </w:lvl>
    <w:lvl w:ilvl="8">
      <w:start w:val="0"/>
      <w:numFmt w:val="bullet"/>
      <w:lvlText w:val="•"/>
      <w:lvlJc w:val="left"/>
      <w:pPr>
        <w:ind w:left="2538" w:hanging="425"/>
      </w:pPr>
      <w:rPr>
        <w:rFonts w:hint="default"/>
      </w:rPr>
    </w:lvl>
  </w:abstractNum>
  <w:abstractNum w:abstractNumId="0">
    <w:multiLevelType w:val="hybridMultilevel"/>
    <w:lvl w:ilvl="0">
      <w:start w:val="1"/>
      <w:numFmt w:val="decimal"/>
      <w:lvlText w:val="%1."/>
      <w:lvlJc w:val="left"/>
      <w:pPr>
        <w:ind w:left="535"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646" w:hanging="425"/>
        <w:jc w:val="left"/>
      </w:pPr>
      <w:rPr>
        <w:rFonts w:hint="default" w:ascii="Times New Roman" w:hAnsi="Times New Roman" w:eastAsia="Times New Roman" w:cs="Times New Roman"/>
        <w:w w:val="100"/>
        <w:sz w:val="21"/>
        <w:szCs w:val="21"/>
      </w:rPr>
    </w:lvl>
    <w:lvl w:ilvl="2">
      <w:start w:val="0"/>
      <w:numFmt w:val="bullet"/>
      <w:lvlText w:val="•"/>
      <w:lvlJc w:val="left"/>
      <w:pPr>
        <w:ind w:left="640" w:hanging="425"/>
      </w:pPr>
      <w:rPr>
        <w:rFonts w:hint="default"/>
      </w:rPr>
    </w:lvl>
    <w:lvl w:ilvl="3">
      <w:start w:val="0"/>
      <w:numFmt w:val="bullet"/>
      <w:lvlText w:val="•"/>
      <w:lvlJc w:val="left"/>
      <w:pPr>
        <w:ind w:left="949" w:hanging="425"/>
      </w:pPr>
      <w:rPr>
        <w:rFonts w:hint="default"/>
      </w:rPr>
    </w:lvl>
    <w:lvl w:ilvl="4">
      <w:start w:val="0"/>
      <w:numFmt w:val="bullet"/>
      <w:lvlText w:val="•"/>
      <w:lvlJc w:val="left"/>
      <w:pPr>
        <w:ind w:left="1258" w:hanging="425"/>
      </w:pPr>
      <w:rPr>
        <w:rFonts w:hint="default"/>
      </w:rPr>
    </w:lvl>
    <w:lvl w:ilvl="5">
      <w:start w:val="0"/>
      <w:numFmt w:val="bullet"/>
      <w:lvlText w:val="•"/>
      <w:lvlJc w:val="left"/>
      <w:pPr>
        <w:ind w:left="1567" w:hanging="425"/>
      </w:pPr>
      <w:rPr>
        <w:rFonts w:hint="default"/>
      </w:rPr>
    </w:lvl>
    <w:lvl w:ilvl="6">
      <w:start w:val="0"/>
      <w:numFmt w:val="bullet"/>
      <w:lvlText w:val="•"/>
      <w:lvlJc w:val="left"/>
      <w:pPr>
        <w:ind w:left="1877" w:hanging="425"/>
      </w:pPr>
      <w:rPr>
        <w:rFonts w:hint="default"/>
      </w:rPr>
    </w:lvl>
    <w:lvl w:ilvl="7">
      <w:start w:val="0"/>
      <w:numFmt w:val="bullet"/>
      <w:lvlText w:val="•"/>
      <w:lvlJc w:val="left"/>
      <w:pPr>
        <w:ind w:left="2186" w:hanging="425"/>
      </w:pPr>
      <w:rPr>
        <w:rFonts w:hint="default"/>
      </w:rPr>
    </w:lvl>
    <w:lvl w:ilvl="8">
      <w:start w:val="0"/>
      <w:numFmt w:val="bullet"/>
      <w:lvlText w:val="•"/>
      <w:lvlJc w:val="left"/>
      <w:pPr>
        <w:ind w:left="2495" w:hanging="425"/>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48" w:lineRule="exact"/>
      <w:ind w:left="4"/>
      <w:jc w:val="center"/>
      <w:outlineLvl w:val="1"/>
    </w:pPr>
    <w:rPr>
      <w:rFonts w:ascii="微软雅黑" w:hAnsi="微软雅黑" w:eastAsia="微软雅黑" w:cs="微软雅黑"/>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1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wubo</dc:creator>
  <dc:title>阅 读 指 引</dc:title>
  <dcterms:created xsi:type="dcterms:W3CDTF">2018-10-19T23:59:29Z</dcterms:created>
  <dcterms:modified xsi:type="dcterms:W3CDTF">2018-10-19T23:59:29Z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2014-12-31T00:00:00Z</vt:filetime>
  </property>
  <property fmtid="{D5CDD505-2E9C-101B-9397-08002B2CF9AE}" pid="3" name="Creator">
    <vt:lpwstr>Microsoft® Office Word 2007</vt:lpwstr>
  </property>
  <property fmtid="{D5CDD505-2E9C-101B-9397-08002B2CF9AE}" pid="4" name="LastSaved">
    <vt:filetime>2018-10-19T00:00:00Z</vt:filetime>
  </property>
</Properties>
</file>