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20" w:lineRule="auto" w:before="124"/>
        <w:ind w:right="2429"/>
        <w:jc w:val="center"/>
      </w:pPr>
      <w:r>
        <w:rPr/>
        <w:pict>
          <v:group style="position:absolute;margin-left:458.125pt;margin-top:-81.42437pt;width:142.2pt;height:95.2pt;mso-position-horizontal-relative:page;mso-position-vertical-relative:paragraph;z-index:-27280" coordorigin="9163,-1628" coordsize="2844,1904">
            <v:rect style="position:absolute;left:9170;top:-1629;width:2737;height:1896" filled="true" fillcolor="#ffffff" stroked="false">
              <v:fill type="solid"/>
            </v:rect>
            <v:shape style="position:absolute;left:9170;top:-1629;width:2737;height:1896" coordorigin="9170,-1628" coordsize="2737,1896" path="m9170,268l11906,268m9170,-1628l9170,268e" filled="false" stroked="true" strokeweight=".75pt" strokecolor="#ffffff">
              <v:path arrowok="t"/>
              <v:stroke dashstyle="solid"/>
            </v:shape>
            <v:shape style="position:absolute;left:10082;top:-1267;width:1140;height:1140" type="#_x0000_t75" stroked="false">
              <v:imagedata r:id="rId6" o:title=""/>
            </v:shape>
            <v:shape style="position:absolute;left:9323;top:-1568;width:2682;height:180" type="#_x0000_t202" filled="false" stroked="false">
              <v:textbox inset="0,0,0,0">
                <w:txbxContent>
                  <w:p>
                    <w:pPr>
                      <w:spacing w:line="180" w:lineRule="exact" w:before="0"/>
                      <w:ind w:left="0" w:right="0" w:firstLine="0"/>
                      <w:jc w:val="left"/>
                      <w:rPr>
                        <w:sz w:val="18"/>
                      </w:rPr>
                    </w:pPr>
                    <w:r>
                      <w:rPr>
                        <w:spacing w:val="-5"/>
                        <w:sz w:val="18"/>
                      </w:rPr>
                      <w:t>合众人寿</w:t>
                    </w:r>
                    <w:r>
                      <w:rPr>
                        <w:spacing w:val="-4"/>
                        <w:sz w:val="18"/>
                      </w:rPr>
                      <w:t>（2013）</w:t>
                    </w:r>
                    <w:r>
                      <w:rPr>
                        <w:spacing w:val="-9"/>
                        <w:sz w:val="18"/>
                      </w:rPr>
                      <w:t>疾病保险 </w:t>
                    </w:r>
                    <w:r>
                      <w:rPr>
                        <w:sz w:val="18"/>
                      </w:rPr>
                      <w:t>047</w:t>
                    </w:r>
                    <w:r>
                      <w:rPr>
                        <w:spacing w:val="-23"/>
                        <w:sz w:val="18"/>
                      </w:rPr>
                      <w:t> 号</w:t>
                    </w:r>
                  </w:p>
                </w:txbxContent>
              </v:textbox>
              <w10:wrap type="none"/>
            </v:shape>
            <v:shape style="position:absolute;left:9755;top:-7;width:1820;height:180" type="#_x0000_t202" filled="false" stroked="false">
              <v:textbox inset="0,0,0,0">
                <w:txbxContent>
                  <w:p>
                    <w:pPr>
                      <w:spacing w:line="180" w:lineRule="exact" w:before="0"/>
                      <w:ind w:left="0" w:right="0" w:firstLine="0"/>
                      <w:jc w:val="left"/>
                      <w:rPr>
                        <w:sz w:val="18"/>
                      </w:rPr>
                    </w:pPr>
                    <w:r>
                      <w:rPr>
                        <w:sz w:val="18"/>
                      </w:rPr>
                      <w:t>请扫描以查询验证条款</w:t>
                    </w:r>
                  </w:p>
                </w:txbxContent>
              </v:textbox>
              <w10:wrap type="none"/>
            </v:shape>
            <w10:wrap type="none"/>
          </v:group>
        </w:pict>
      </w:r>
      <w:r>
        <w:rPr/>
        <w:t>合众附加优选提前给付重大疾病保险（B 款）条款阅  读  指 引</w:t>
      </w:r>
    </w:p>
    <w:p>
      <w:pPr>
        <w:pStyle w:val="BodyText"/>
        <w:spacing w:before="227"/>
        <w:ind w:left="1571" w:right="2364"/>
        <w:jc w:val="center"/>
      </w:pPr>
      <w:r>
        <w:rPr/>
        <w:drawing>
          <wp:anchor distT="0" distB="0" distL="0" distR="0" allowOverlap="1" layoutInCell="1" locked="0" behindDoc="1" simplePos="0" relativeHeight="268408103">
            <wp:simplePos x="0" y="0"/>
            <wp:positionH relativeFrom="page">
              <wp:posOffset>609600</wp:posOffset>
            </wp:positionH>
            <wp:positionV relativeFrom="paragraph">
              <wp:posOffset>392857</wp:posOffset>
            </wp:positionV>
            <wp:extent cx="6341364" cy="7605725"/>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341364" cy="760572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5515"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保险金申请</w:t>
            </w:r>
          </w:p>
        </w:tc>
        <w:tc>
          <w:tcPr>
            <w:tcW w:w="3401" w:type="dxa"/>
          </w:tcPr>
          <w:p>
            <w:pPr>
              <w:pStyle w:val="TableParagraph"/>
              <w:numPr>
                <w:ilvl w:val="1"/>
                <w:numId w:val="3"/>
              </w:numPr>
              <w:tabs>
                <w:tab w:pos="636" w:val="left" w:leader="none"/>
              </w:tabs>
              <w:spacing w:line="211" w:lineRule="exact" w:before="0" w:after="0"/>
              <w:ind w:left="635" w:right="0" w:hanging="422"/>
              <w:jc w:val="left"/>
              <w:rPr>
                <w:sz w:val="21"/>
              </w:rPr>
            </w:pPr>
            <w:r>
              <w:rPr>
                <w:spacing w:val="-3"/>
                <w:sz w:val="21"/>
              </w:rPr>
              <w:t>保险金的给付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诉讼时效</w:t>
            </w:r>
          </w:p>
          <w:p>
            <w:pPr>
              <w:pStyle w:val="TableParagraph"/>
              <w:numPr>
                <w:ilvl w:val="0"/>
                <w:numId w:val="4"/>
              </w:numPr>
              <w:tabs>
                <w:tab w:pos="425" w:val="left" w:leader="none"/>
              </w:tabs>
              <w:spacing w:line="240" w:lineRule="auto" w:before="37" w:after="0"/>
              <w:ind w:left="424" w:right="0" w:hanging="317"/>
              <w:jc w:val="left"/>
              <w:rPr>
                <w:b/>
                <w:sz w:val="21"/>
              </w:rPr>
            </w:pPr>
            <w:r>
              <w:rPr>
                <w:b/>
                <w:spacing w:val="-1"/>
                <w:sz w:val="21"/>
              </w:rPr>
              <w:t>保险费的支付和现金价值权益</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4"/>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4"/>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4"/>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本公司合同解除权的限制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4"/>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4"/>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4"/>
              </w:numPr>
              <w:tabs>
                <w:tab w:pos="636" w:val="left" w:leader="none"/>
              </w:tabs>
              <w:spacing w:line="255" w:lineRule="exact" w:before="36" w:after="0"/>
              <w:ind w:left="635" w:right="0" w:hanging="422"/>
              <w:jc w:val="left"/>
              <w:rPr>
                <w:sz w:val="21"/>
              </w:rPr>
            </w:pPr>
            <w:r>
              <w:rPr>
                <w:spacing w:val="-3"/>
                <w:sz w:val="21"/>
              </w:rPr>
              <w:t>重大疾病</w:t>
            </w:r>
          </w:p>
        </w:tc>
        <w:tc>
          <w:tcPr>
            <w:tcW w:w="3951" w:type="dxa"/>
          </w:tcPr>
          <w:p>
            <w:pPr>
              <w:pStyle w:val="TableParagraph"/>
              <w:numPr>
                <w:ilvl w:val="1"/>
                <w:numId w:val="5"/>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5"/>
              </w:numPr>
              <w:tabs>
                <w:tab w:pos="656" w:val="left" w:leader="none"/>
              </w:tabs>
              <w:spacing w:line="240" w:lineRule="auto" w:before="37" w:after="0"/>
              <w:ind w:left="739" w:right="0" w:hanging="507"/>
              <w:jc w:val="left"/>
              <w:rPr>
                <w:sz w:val="21"/>
              </w:rPr>
            </w:pPr>
            <w:r>
              <w:rPr>
                <w:spacing w:val="-3"/>
                <w:sz w:val="21"/>
              </w:rPr>
              <w:t>无合法有效驾驶证驾驶</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5"/>
              </w:numPr>
              <w:tabs>
                <w:tab w:pos="759" w:val="left" w:leader="none"/>
              </w:tabs>
              <w:spacing w:line="240" w:lineRule="auto" w:before="37" w:after="0"/>
              <w:ind w:left="758" w:right="0" w:hanging="526"/>
              <w:jc w:val="left"/>
              <w:rPr>
                <w:sz w:val="21"/>
              </w:rPr>
            </w:pPr>
            <w:r>
              <w:rPr>
                <w:sz w:val="21"/>
              </w:rPr>
              <w:t>潜水</w:t>
            </w:r>
          </w:p>
          <w:p>
            <w:pPr>
              <w:pStyle w:val="TableParagraph"/>
              <w:numPr>
                <w:ilvl w:val="1"/>
                <w:numId w:val="5"/>
              </w:numPr>
              <w:tabs>
                <w:tab w:pos="759" w:val="left" w:leader="none"/>
              </w:tabs>
              <w:spacing w:line="240" w:lineRule="auto" w:before="37" w:after="0"/>
              <w:ind w:left="758" w:right="0" w:hanging="526"/>
              <w:jc w:val="left"/>
              <w:rPr>
                <w:sz w:val="21"/>
              </w:rPr>
            </w:pPr>
            <w:r>
              <w:rPr>
                <w:sz w:val="21"/>
              </w:rPr>
              <w:t>攀岩</w:t>
            </w:r>
          </w:p>
          <w:p>
            <w:pPr>
              <w:pStyle w:val="TableParagraph"/>
              <w:numPr>
                <w:ilvl w:val="1"/>
                <w:numId w:val="5"/>
              </w:numPr>
              <w:tabs>
                <w:tab w:pos="759" w:val="left" w:leader="none"/>
              </w:tabs>
              <w:spacing w:line="240" w:lineRule="auto" w:before="37" w:after="0"/>
              <w:ind w:left="758" w:right="0" w:hanging="526"/>
              <w:jc w:val="left"/>
              <w:rPr>
                <w:sz w:val="21"/>
              </w:rPr>
            </w:pPr>
            <w:r>
              <w:rPr>
                <w:spacing w:val="-2"/>
                <w:sz w:val="21"/>
              </w:rPr>
              <w:t>探险活动</w:t>
            </w:r>
          </w:p>
          <w:p>
            <w:pPr>
              <w:pStyle w:val="TableParagraph"/>
              <w:numPr>
                <w:ilvl w:val="1"/>
                <w:numId w:val="5"/>
              </w:numPr>
              <w:tabs>
                <w:tab w:pos="706" w:val="left" w:leader="none"/>
              </w:tabs>
              <w:spacing w:line="240" w:lineRule="auto" w:before="36" w:after="0"/>
              <w:ind w:left="705" w:right="0" w:hanging="473"/>
              <w:jc w:val="left"/>
              <w:rPr>
                <w:sz w:val="21"/>
              </w:rPr>
            </w:pPr>
            <w:r>
              <w:rPr>
                <w:spacing w:val="-2"/>
                <w:sz w:val="21"/>
              </w:rPr>
              <w:t>武术比赛</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本合同约定利率</w:t>
            </w:r>
          </w:p>
          <w:p>
            <w:pPr>
              <w:pStyle w:val="TableParagraph"/>
              <w:numPr>
                <w:ilvl w:val="1"/>
                <w:numId w:val="5"/>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5"/>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5"/>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5"/>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footerReference w:type="default" r:id="rId5"/>
          <w:type w:val="continuous"/>
          <w:pgSz w:w="11910" w:h="16840"/>
          <w:pgMar w:footer="912" w:top="0" w:bottom="1100" w:left="860" w:right="0"/>
          <w:pgNumType w:start="1"/>
        </w:sectPr>
      </w:pPr>
    </w:p>
    <w:p>
      <w:pPr>
        <w:pStyle w:val="Heading1"/>
        <w:spacing w:line="478" w:lineRule="exact"/>
      </w:pPr>
      <w:r>
        <w:rPr/>
        <w:t>合众附加优选提前给付重大疾病保险（B 款）条款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ind w:left="108"/>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3"/>
                <w:sz w:val="21"/>
              </w:rPr>
              <w:t>凡年满 </w:t>
            </w:r>
            <w:r>
              <w:rPr>
                <w:sz w:val="21"/>
              </w:rPr>
              <w:t>18</w:t>
            </w:r>
            <w:r>
              <w:rPr>
                <w:spacing w:val="-20"/>
                <w:sz w:val="21"/>
              </w:rPr>
              <w:t> 周岁至 </w:t>
            </w:r>
            <w:r>
              <w:rPr>
                <w:sz w:val="21"/>
              </w:rPr>
              <w:t>50</w:t>
            </w:r>
            <w:r>
              <w:rPr>
                <w:spacing w:val="-8"/>
                <w:sz w:val="21"/>
              </w:rPr>
              <w:t> 周岁，符合本公司承保条件的人，均可作为被保险人。</w:t>
            </w:r>
          </w:p>
        </w:tc>
      </w:tr>
      <w:tr>
        <w:trPr>
          <w:trHeight w:val="2141" w:hRule="atLeast"/>
        </w:trPr>
        <w:tc>
          <w:tcPr>
            <w:tcW w:w="748" w:type="dxa"/>
          </w:tcPr>
          <w:p>
            <w:pPr>
              <w:pStyle w:val="TableParagraph"/>
              <w:spacing w:before="143"/>
              <w:ind w:left="108"/>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73" w:lineRule="auto" w:before="143"/>
              <w:ind w:left="96" w:right="106"/>
              <w:jc w:val="both"/>
              <w:rPr>
                <w:sz w:val="21"/>
              </w:rPr>
            </w:pPr>
            <w:r>
              <w:rPr>
                <w:w w:val="100"/>
                <w:sz w:val="21"/>
              </w:rPr>
              <w:t>本附加保险合同（以下简称“本附加合同</w:t>
            </w:r>
            <w:r>
              <w:rPr>
                <w:spacing w:val="-104"/>
                <w:w w:val="100"/>
                <w:sz w:val="21"/>
              </w:rPr>
              <w:t>”）</w:t>
            </w:r>
            <w:r>
              <w:rPr>
                <w:spacing w:val="-1"/>
                <w:w w:val="100"/>
                <w:sz w:val="21"/>
              </w:rPr>
              <w:t>，需由合众优选两全保险合</w:t>
            </w:r>
            <w:r>
              <w:rPr>
                <w:spacing w:val="-1"/>
                <w:sz w:val="21"/>
              </w:rPr>
              <w:t>同（</w:t>
            </w:r>
            <w:r>
              <w:rPr>
                <w:spacing w:val="-3"/>
                <w:sz w:val="21"/>
              </w:rPr>
              <w:t>以下简称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3"/>
                <w:sz w:val="21"/>
              </w:rPr>
              <w:t>的投保人提出申请，经我们同意而订立。</w:t>
            </w:r>
          </w:p>
          <w:p>
            <w:pPr>
              <w:pStyle w:val="TableParagraph"/>
              <w:spacing w:line="273" w:lineRule="auto"/>
              <w:ind w:left="96" w:right="140"/>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854" w:hRule="atLeast"/>
        </w:trPr>
        <w:tc>
          <w:tcPr>
            <w:tcW w:w="748" w:type="dxa"/>
          </w:tcPr>
          <w:p>
            <w:pPr>
              <w:pStyle w:val="TableParagraph"/>
              <w:spacing w:before="99"/>
              <w:ind w:left="108"/>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857" w:hRule="atLeast"/>
        </w:trPr>
        <w:tc>
          <w:tcPr>
            <w:tcW w:w="748" w:type="dxa"/>
          </w:tcPr>
          <w:p>
            <w:pPr>
              <w:pStyle w:val="TableParagraph"/>
              <w:spacing w:before="168"/>
              <w:ind w:left="10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5"/>
                <w:sz w:val="21"/>
              </w:rPr>
              <w:t>交费期限、保险期间和交费金额，自您签收本附加合同之日起，有</w:t>
            </w:r>
            <w:r>
              <w:rPr>
                <w:sz w:val="21"/>
              </w:rPr>
              <w:t>10天</w:t>
            </w:r>
            <w:r>
              <w:rPr>
                <w:spacing w:val="-9"/>
                <w:sz w:val="21"/>
              </w:rPr>
              <w:t>的犹豫期。如果您在此期间提出解除本附加合同，须与主合同一并解除， </w:t>
            </w:r>
            <w:r>
              <w:rPr>
                <w:spacing w:val="-5"/>
                <w:sz w:val="21"/>
              </w:rPr>
              <w:t>同时需要填写书面申请书，并提供您的保险合同及</w:t>
            </w:r>
            <w:r>
              <w:rPr>
                <w:b/>
                <w:sz w:val="21"/>
              </w:rPr>
              <w:t>有效身份证件</w:t>
            </w:r>
            <w:r>
              <w:rPr>
                <w:spacing w:val="-3"/>
                <w:sz w:val="21"/>
              </w:rPr>
              <w:t>（</w:t>
            </w:r>
            <w:r>
              <w:rPr>
                <w:sz w:val="21"/>
              </w:rPr>
              <w:t>见释义</w:t>
            </w:r>
            <w:r>
              <w:rPr>
                <w:spacing w:val="-15"/>
                <w:sz w:val="21"/>
              </w:rPr>
              <w:t>6.2）</w:t>
            </w:r>
            <w:r>
              <w:rPr>
                <w:spacing w:val="-5"/>
                <w:sz w:val="21"/>
              </w:rPr>
              <w:t>，我们会在扣除不超过人民币</w:t>
            </w:r>
            <w:r>
              <w:rPr>
                <w:sz w:val="21"/>
              </w:rPr>
              <w:t>10</w:t>
            </w:r>
            <w:r>
              <w:rPr>
                <w:spacing w:val="-3"/>
                <w:sz w:val="21"/>
              </w:rPr>
              <w:t>元的保单工本费后无息退还您所交的本附加合同的保险费。自我们收到您解除合同的书面申请时起，本附加合同即被解除。对本附加合同解除前发生的保险事故我们不承担保险责任。</w:t>
            </w:r>
          </w:p>
        </w:tc>
      </w:tr>
      <w:tr>
        <w:trPr>
          <w:trHeight w:val="1584" w:hRule="atLeast"/>
        </w:trPr>
        <w:tc>
          <w:tcPr>
            <w:tcW w:w="748" w:type="dxa"/>
          </w:tcPr>
          <w:p>
            <w:pPr>
              <w:pStyle w:val="TableParagraph"/>
              <w:spacing w:before="167"/>
              <w:ind w:left="108"/>
              <w:rPr>
                <w:b/>
                <w:sz w:val="21"/>
              </w:rPr>
            </w:pPr>
            <w:r>
              <w:rPr>
                <w:b/>
                <w:sz w:val="21"/>
              </w:rPr>
              <w:t>1.5</w:t>
            </w:r>
          </w:p>
        </w:tc>
        <w:tc>
          <w:tcPr>
            <w:tcW w:w="1857" w:type="dxa"/>
          </w:tcPr>
          <w:p>
            <w:pPr>
              <w:pStyle w:val="TableParagraph"/>
              <w:spacing w:before="167"/>
              <w:ind w:left="282"/>
              <w:rPr>
                <w:b/>
                <w:sz w:val="21"/>
              </w:rPr>
            </w:pPr>
            <w:r>
              <w:rPr>
                <w:b/>
                <w:sz w:val="21"/>
              </w:rPr>
              <w:t>合同内容变更</w:t>
            </w:r>
          </w:p>
        </w:tc>
        <w:tc>
          <w:tcPr>
            <w:tcW w:w="6755" w:type="dxa"/>
          </w:tcPr>
          <w:p>
            <w:pPr>
              <w:pStyle w:val="TableParagraph"/>
              <w:spacing w:line="273" w:lineRule="auto" w:before="167"/>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977" w:hRule="atLeast"/>
        </w:trPr>
        <w:tc>
          <w:tcPr>
            <w:tcW w:w="748" w:type="dxa"/>
          </w:tcPr>
          <w:p>
            <w:pPr>
              <w:pStyle w:val="TableParagraph"/>
              <w:spacing w:before="142"/>
              <w:ind w:left="108"/>
              <w:rPr>
                <w:b/>
                <w:sz w:val="21"/>
              </w:rPr>
            </w:pPr>
            <w:r>
              <w:rPr>
                <w:b/>
                <w:sz w:val="21"/>
              </w:rPr>
              <w:t>1.6</w:t>
            </w:r>
          </w:p>
        </w:tc>
        <w:tc>
          <w:tcPr>
            <w:tcW w:w="1857" w:type="dxa"/>
          </w:tcPr>
          <w:p>
            <w:pPr>
              <w:pStyle w:val="TableParagraph"/>
              <w:spacing w:line="273" w:lineRule="auto" w:before="142"/>
              <w:ind w:left="282" w:right="305"/>
              <w:rPr>
                <w:b/>
                <w:sz w:val="21"/>
              </w:rPr>
            </w:pPr>
            <w:r>
              <w:rPr>
                <w:b/>
                <w:sz w:val="21"/>
              </w:rPr>
              <w:t>您解除合同的手续及风险</w:t>
            </w:r>
          </w:p>
        </w:tc>
        <w:tc>
          <w:tcPr>
            <w:tcW w:w="6755" w:type="dxa"/>
          </w:tcPr>
          <w:p>
            <w:pPr>
              <w:pStyle w:val="TableParagraph"/>
              <w:spacing w:line="273" w:lineRule="auto" w:before="142"/>
              <w:ind w:left="96" w:right="139"/>
              <w:jc w:val="both"/>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，您可申请解除本附加合同。申请解除本附加合同时，主合同需一并申请解除，请您填写解除合同申请书并向我们提供下列资料：</w:t>
            </w:r>
          </w:p>
          <w:p>
            <w:pPr>
              <w:pStyle w:val="TableParagraph"/>
              <w:spacing w:before="7"/>
              <w:ind w:left="96"/>
              <w:jc w:val="both"/>
              <w:rPr>
                <w:sz w:val="21"/>
              </w:rPr>
            </w:pPr>
            <w:r>
              <w:rPr>
                <w:sz w:val="21"/>
              </w:rPr>
              <w:t>（1）保险合同；</w:t>
            </w:r>
          </w:p>
          <w:p>
            <w:pPr>
              <w:pStyle w:val="TableParagraph"/>
              <w:spacing w:before="37"/>
              <w:ind w:left="96"/>
              <w:jc w:val="both"/>
              <w:rPr>
                <w:sz w:val="21"/>
              </w:rPr>
            </w:pPr>
            <w:r>
              <w:rPr>
                <w:sz w:val="21"/>
              </w:rPr>
              <w:t>（2）您的有效身份证件。</w:t>
            </w:r>
          </w:p>
          <w:p>
            <w:pPr>
              <w:pStyle w:val="TableParagraph"/>
              <w:spacing w:line="255" w:lineRule="exact" w:before="37"/>
              <w:ind w:left="96"/>
              <w:jc w:val="both"/>
              <w:rPr>
                <w:sz w:val="21"/>
              </w:rPr>
            </w:pPr>
            <w:r>
              <w:rPr>
                <w:sz w:val="21"/>
              </w:rPr>
              <w:t>自我们收到解除合同申请书时起，本附加合同终止。我们自收到解除合</w:t>
            </w:r>
          </w:p>
        </w:tc>
      </w:tr>
    </w:tbl>
    <w:p>
      <w:pPr>
        <w:spacing w:after="0" w:line="255" w:lineRule="exact"/>
        <w:jc w:val="both"/>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754" w:hRule="atLeast"/>
        </w:trPr>
        <w:tc>
          <w:tcPr>
            <w:tcW w:w="748" w:type="dxa"/>
          </w:tcPr>
          <w:p>
            <w:pPr>
              <w:pStyle w:val="TableParagraph"/>
              <w:ind w:left="0"/>
              <w:rPr>
                <w:rFonts w:ascii="Times New Roman"/>
                <w:sz w:val="20"/>
              </w:rPr>
            </w:pPr>
          </w:p>
        </w:tc>
        <w:tc>
          <w:tcPr>
            <w:tcW w:w="1752" w:type="dxa"/>
          </w:tcPr>
          <w:p>
            <w:pPr>
              <w:pStyle w:val="TableParagraph"/>
              <w:ind w:left="0"/>
              <w:rPr>
                <w:rFonts w:ascii="Times New Roman"/>
                <w:sz w:val="20"/>
              </w:rPr>
            </w:pPr>
          </w:p>
        </w:tc>
        <w:tc>
          <w:tcPr>
            <w:tcW w:w="6859" w:type="dxa"/>
          </w:tcPr>
          <w:p>
            <w:pPr>
              <w:pStyle w:val="TableParagraph"/>
              <w:spacing w:line="211" w:lineRule="exact"/>
              <w:ind w:left="201"/>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before="37"/>
              <w:ind w:left="201"/>
              <w:rPr>
                <w:sz w:val="21"/>
              </w:rPr>
            </w:pPr>
            <w:r>
              <w:rPr>
                <w:sz w:val="21"/>
              </w:rPr>
              <w:t>您在犹豫期后解除合同会遭受一定损失。</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ind w:left="0"/>
              <w:rPr>
                <w:sz w:val="18"/>
              </w:rPr>
            </w:pPr>
          </w:p>
          <w:p>
            <w:pPr>
              <w:pStyle w:val="TableParagraph"/>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7"/>
              <w:ind w:left="0"/>
              <w:rPr>
                <w:sz w:val="21"/>
              </w:rPr>
            </w:pPr>
          </w:p>
          <w:p>
            <w:pPr>
              <w:pStyle w:val="TableParagraph"/>
              <w:ind w:left="108"/>
              <w:rPr>
                <w:b/>
                <w:sz w:val="21"/>
              </w:rPr>
            </w:pPr>
            <w:r>
              <w:rPr>
                <w:b/>
                <w:sz w:val="21"/>
              </w:rPr>
              <w:t>2.1</w:t>
            </w:r>
          </w:p>
        </w:tc>
        <w:tc>
          <w:tcPr>
            <w:tcW w:w="1752" w:type="dxa"/>
            <w:tcBorders>
              <w:top w:val="single" w:sz="4" w:space="0" w:color="000000"/>
            </w:tcBorders>
          </w:tcPr>
          <w:p>
            <w:pPr>
              <w:pStyle w:val="TableParagraph"/>
              <w:spacing w:before="7"/>
              <w:ind w:left="0"/>
              <w:rPr>
                <w:sz w:val="21"/>
              </w:rPr>
            </w:pPr>
          </w:p>
          <w:p>
            <w:pPr>
              <w:pStyle w:val="TableParagraph"/>
              <w:ind w:left="282"/>
              <w:rPr>
                <w:b/>
                <w:sz w:val="21"/>
              </w:rPr>
            </w:pPr>
            <w:r>
              <w:rPr>
                <w:b/>
                <w:sz w:val="21"/>
              </w:rPr>
              <w:t>基本保险金额</w:t>
            </w:r>
          </w:p>
        </w:tc>
        <w:tc>
          <w:tcPr>
            <w:tcW w:w="6859" w:type="dxa"/>
            <w:tcBorders>
              <w:top w:val="single" w:sz="4" w:space="0" w:color="000000"/>
            </w:tcBorders>
          </w:tcPr>
          <w:p>
            <w:pPr>
              <w:pStyle w:val="TableParagraph"/>
              <w:spacing w:before="7"/>
              <w:ind w:left="0"/>
              <w:rPr>
                <w:sz w:val="21"/>
              </w:rPr>
            </w:pPr>
          </w:p>
          <w:p>
            <w:pPr>
              <w:pStyle w:val="TableParagraph"/>
              <w:spacing w:line="273" w:lineRule="auto"/>
              <w:ind w:left="201" w:right="138"/>
              <w:rPr>
                <w:sz w:val="21"/>
              </w:rPr>
            </w:pPr>
            <w:r>
              <w:rPr>
                <w:sz w:val="21"/>
              </w:rPr>
              <w:t>本附加合同的基本保险金额与主合同的基本保险金额相同，并在保险单上载明。基本保险金额一经确定，在保险期间内不得变更。</w:t>
            </w:r>
          </w:p>
        </w:tc>
      </w:tr>
      <w:tr>
        <w:trPr>
          <w:trHeight w:val="623" w:hRule="atLeast"/>
        </w:trPr>
        <w:tc>
          <w:tcPr>
            <w:tcW w:w="748" w:type="dxa"/>
          </w:tcPr>
          <w:p>
            <w:pPr>
              <w:pStyle w:val="TableParagraph"/>
              <w:spacing w:before="142"/>
              <w:ind w:left="108"/>
              <w:rPr>
                <w:b/>
                <w:sz w:val="21"/>
              </w:rPr>
            </w:pPr>
            <w:r>
              <w:rPr>
                <w:b/>
                <w:sz w:val="21"/>
              </w:rPr>
              <w:t>2.2</w:t>
            </w:r>
          </w:p>
        </w:tc>
        <w:tc>
          <w:tcPr>
            <w:tcW w:w="1752" w:type="dxa"/>
          </w:tcPr>
          <w:p>
            <w:pPr>
              <w:pStyle w:val="TableParagraph"/>
              <w:spacing w:before="142"/>
              <w:ind w:left="282"/>
              <w:rPr>
                <w:b/>
                <w:sz w:val="21"/>
              </w:rPr>
            </w:pPr>
            <w:r>
              <w:rPr>
                <w:b/>
                <w:sz w:val="21"/>
              </w:rPr>
              <w:t>保险期间</w:t>
            </w:r>
          </w:p>
        </w:tc>
        <w:tc>
          <w:tcPr>
            <w:tcW w:w="6859" w:type="dxa"/>
          </w:tcPr>
          <w:p>
            <w:pPr>
              <w:pStyle w:val="TableParagraph"/>
              <w:spacing w:before="142"/>
              <w:ind w:left="201"/>
              <w:rPr>
                <w:sz w:val="21"/>
              </w:rPr>
            </w:pPr>
            <w:r>
              <w:rPr>
                <w:sz w:val="21"/>
              </w:rPr>
              <w:t>本附加合同的保险期间与主合同的保险期间相同，并在保险单上载明。</w:t>
            </w:r>
          </w:p>
        </w:tc>
      </w:tr>
      <w:tr>
        <w:trPr>
          <w:trHeight w:val="624" w:hRule="atLeast"/>
        </w:trPr>
        <w:tc>
          <w:tcPr>
            <w:tcW w:w="748" w:type="dxa"/>
          </w:tcPr>
          <w:p>
            <w:pPr>
              <w:pStyle w:val="TableParagraph"/>
              <w:spacing w:before="142"/>
              <w:ind w:left="108"/>
              <w:rPr>
                <w:b/>
                <w:sz w:val="21"/>
              </w:rPr>
            </w:pPr>
            <w:r>
              <w:rPr>
                <w:b/>
                <w:sz w:val="21"/>
              </w:rPr>
              <w:t>2.3</w:t>
            </w:r>
          </w:p>
        </w:tc>
        <w:tc>
          <w:tcPr>
            <w:tcW w:w="1752" w:type="dxa"/>
          </w:tcPr>
          <w:p>
            <w:pPr>
              <w:pStyle w:val="TableParagraph"/>
              <w:spacing w:before="142"/>
              <w:ind w:left="282"/>
              <w:rPr>
                <w:b/>
                <w:sz w:val="21"/>
              </w:rPr>
            </w:pPr>
            <w:r>
              <w:rPr>
                <w:b/>
                <w:sz w:val="21"/>
              </w:rPr>
              <w:t>保险责任</w:t>
            </w:r>
          </w:p>
        </w:tc>
        <w:tc>
          <w:tcPr>
            <w:tcW w:w="6859" w:type="dxa"/>
          </w:tcPr>
          <w:p>
            <w:pPr>
              <w:pStyle w:val="TableParagraph"/>
              <w:spacing w:before="142"/>
              <w:ind w:left="201"/>
              <w:rPr>
                <w:sz w:val="21"/>
              </w:rPr>
            </w:pPr>
            <w:r>
              <w:rPr>
                <w:sz w:val="21"/>
              </w:rPr>
              <w:t>在本附加合同保险期间内，我们承担如下保险责任：</w:t>
            </w:r>
          </w:p>
        </w:tc>
      </w:tr>
      <w:tr>
        <w:trPr>
          <w:trHeight w:val="2533" w:hRule="atLeast"/>
        </w:trPr>
        <w:tc>
          <w:tcPr>
            <w:tcW w:w="748" w:type="dxa"/>
          </w:tcPr>
          <w:p>
            <w:pPr>
              <w:pStyle w:val="TableParagraph"/>
              <w:ind w:left="0"/>
              <w:rPr>
                <w:rFonts w:ascii="Times New Roman"/>
                <w:sz w:val="20"/>
              </w:rPr>
            </w:pPr>
          </w:p>
        </w:tc>
        <w:tc>
          <w:tcPr>
            <w:tcW w:w="1752" w:type="dxa"/>
          </w:tcPr>
          <w:p>
            <w:pPr>
              <w:pStyle w:val="TableParagraph"/>
              <w:spacing w:before="143"/>
              <w:ind w:left="282"/>
              <w:rPr>
                <w:rFonts w:ascii="黑体" w:eastAsia="黑体" w:hint="eastAsia"/>
                <w:b/>
                <w:sz w:val="21"/>
              </w:rPr>
            </w:pPr>
            <w:r>
              <w:rPr>
                <w:rFonts w:ascii="黑体" w:eastAsia="黑体" w:hint="eastAsia"/>
                <w:b/>
                <w:sz w:val="21"/>
              </w:rPr>
              <w:t>等待期</w:t>
            </w:r>
          </w:p>
        </w:tc>
        <w:tc>
          <w:tcPr>
            <w:tcW w:w="6859" w:type="dxa"/>
          </w:tcPr>
          <w:p>
            <w:pPr>
              <w:pStyle w:val="TableParagraph"/>
              <w:spacing w:line="278" w:lineRule="auto" w:before="167"/>
              <w:ind w:left="201" w:right="12"/>
              <w:rPr>
                <w:rFonts w:ascii="黑体" w:eastAsia="黑体" w:hint="eastAsia"/>
                <w:sz w:val="21"/>
              </w:rPr>
            </w:pPr>
            <w:r>
              <w:rPr>
                <w:rFonts w:ascii="黑体" w:eastAsia="黑体" w:hint="eastAsia"/>
                <w:b/>
                <w:spacing w:val="-1"/>
                <w:sz w:val="21"/>
              </w:rPr>
              <w:t>被保险人在本附加合同</w:t>
            </w:r>
            <w:r>
              <w:rPr>
                <w:rFonts w:ascii="黑体" w:eastAsia="黑体" w:hint="eastAsia"/>
                <w:b/>
                <w:sz w:val="21"/>
              </w:rPr>
              <w:t>Th</w:t>
            </w:r>
            <w:r>
              <w:rPr>
                <w:rFonts w:ascii="黑体" w:eastAsia="黑体" w:hint="eastAsia"/>
                <w:b/>
                <w:spacing w:val="-11"/>
                <w:sz w:val="21"/>
              </w:rPr>
              <w:t>效之日起 </w:t>
            </w:r>
            <w:r>
              <w:rPr>
                <w:rFonts w:ascii="黑体" w:eastAsia="黑体" w:hint="eastAsia"/>
                <w:b/>
                <w:sz w:val="21"/>
              </w:rPr>
              <w:t>90</w:t>
            </w:r>
            <w:r>
              <w:rPr>
                <w:rFonts w:ascii="黑体" w:eastAsia="黑体" w:hint="eastAsia"/>
                <w:b/>
                <w:spacing w:val="-10"/>
                <w:sz w:val="21"/>
              </w:rPr>
              <w:t> 天内初次发</w:t>
            </w:r>
            <w:r>
              <w:rPr>
                <w:rFonts w:ascii="黑体" w:eastAsia="黑体" w:hint="eastAsia"/>
                <w:b/>
                <w:sz w:val="21"/>
              </w:rPr>
              <w:t>Th本附加合同所定义的重大疾病（见释义 6.4），我们将无息返还您所交的主合同和本附加合</w:t>
            </w:r>
            <w:r>
              <w:rPr>
                <w:rFonts w:ascii="黑体" w:eastAsia="黑体" w:hint="eastAsia"/>
                <w:b/>
                <w:spacing w:val="-5"/>
                <w:sz w:val="21"/>
              </w:rPr>
              <w:t>同的保险费，主合同与本附加合同终止。这 </w:t>
            </w:r>
            <w:r>
              <w:rPr>
                <w:rFonts w:ascii="黑体" w:eastAsia="黑体" w:hint="eastAsia"/>
                <w:b/>
                <w:sz w:val="21"/>
              </w:rPr>
              <w:t>90</w:t>
            </w:r>
            <w:r>
              <w:rPr>
                <w:rFonts w:ascii="黑体" w:eastAsia="黑体" w:hint="eastAsia"/>
                <w:b/>
                <w:spacing w:val="-8"/>
                <w:sz w:val="21"/>
              </w:rPr>
              <w:t> 天的时间称为等待期。</w:t>
            </w:r>
            <w:r>
              <w:rPr>
                <w:rFonts w:ascii="黑体" w:eastAsia="黑体" w:hint="eastAsia"/>
                <w:sz w:val="21"/>
              </w:rPr>
              <w:t>被保险人因</w:t>
            </w:r>
            <w:r>
              <w:rPr>
                <w:rFonts w:ascii="黑体" w:eastAsia="黑体" w:hint="eastAsia"/>
                <w:b/>
                <w:sz w:val="21"/>
              </w:rPr>
              <w:t>意外伤害</w:t>
            </w:r>
            <w:r>
              <w:rPr>
                <w:rFonts w:ascii="黑体" w:eastAsia="黑体" w:hint="eastAsia"/>
                <w:sz w:val="21"/>
              </w:rPr>
              <w:t>（</w:t>
            </w:r>
            <w:r>
              <w:rPr>
                <w:rFonts w:ascii="黑体" w:eastAsia="黑体" w:hint="eastAsia"/>
                <w:spacing w:val="2"/>
                <w:sz w:val="21"/>
              </w:rPr>
              <w:t>见释义 </w:t>
            </w:r>
            <w:r>
              <w:rPr>
                <w:rFonts w:ascii="黑体" w:eastAsia="黑体" w:hint="eastAsia"/>
                <w:sz w:val="21"/>
              </w:rPr>
              <w:t>6.5）</w:t>
            </w:r>
            <w:r>
              <w:rPr>
                <w:rFonts w:ascii="黑体" w:eastAsia="黑体" w:hint="eastAsia"/>
                <w:spacing w:val="-1"/>
                <w:sz w:val="21"/>
              </w:rPr>
              <w:t>导致本附加合同定义的重大疾病， 无</w:t>
            </w:r>
            <w:r>
              <w:rPr>
                <w:rFonts w:ascii="黑体" w:eastAsia="黑体" w:hint="eastAsia"/>
                <w:spacing w:val="-2"/>
                <w:sz w:val="21"/>
              </w:rPr>
              <w:t>等待期。</w:t>
            </w:r>
          </w:p>
          <w:p>
            <w:pPr>
              <w:pStyle w:val="TableParagraph"/>
              <w:spacing w:before="7"/>
              <w:ind w:left="0"/>
              <w:rPr>
                <w:sz w:val="23"/>
              </w:rPr>
            </w:pPr>
          </w:p>
          <w:p>
            <w:pPr>
              <w:pStyle w:val="TableParagraph"/>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1571" w:hRule="atLeast"/>
        </w:trPr>
        <w:tc>
          <w:tcPr>
            <w:tcW w:w="748" w:type="dxa"/>
          </w:tcPr>
          <w:p>
            <w:pPr>
              <w:pStyle w:val="TableParagraph"/>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w:t>
            </w:r>
          </w:p>
        </w:tc>
        <w:tc>
          <w:tcPr>
            <w:tcW w:w="6859" w:type="dxa"/>
          </w:tcPr>
          <w:p>
            <w:pPr>
              <w:pStyle w:val="TableParagraph"/>
              <w:spacing w:line="273" w:lineRule="auto" w:before="153"/>
              <w:ind w:left="201" w:right="103"/>
              <w:jc w:val="both"/>
              <w:rPr>
                <w:sz w:val="21"/>
              </w:rPr>
            </w:pPr>
            <w:r>
              <w:rPr>
                <w:spacing w:val="-3"/>
                <w:sz w:val="21"/>
              </w:rPr>
              <w:t>被保险人初次发生且经</w:t>
            </w:r>
            <w:r>
              <w:rPr>
                <w:b/>
                <w:spacing w:val="-9"/>
                <w:sz w:val="21"/>
              </w:rPr>
              <w:t>专科医生</w:t>
            </w:r>
            <w:r>
              <w:rPr>
                <w:sz w:val="21"/>
              </w:rPr>
              <w:t>（</w:t>
            </w:r>
            <w:r>
              <w:rPr>
                <w:spacing w:val="-3"/>
                <w:sz w:val="21"/>
              </w:rPr>
              <w:t>见释义</w:t>
            </w:r>
            <w:r>
              <w:rPr>
                <w:spacing w:val="-10"/>
                <w:sz w:val="21"/>
              </w:rPr>
              <w:t>6.6）</w:t>
            </w:r>
            <w:r>
              <w:rPr>
                <w:spacing w:val="-3"/>
                <w:sz w:val="21"/>
              </w:rPr>
              <w:t>明确诊断患本附加合同所定义的重大疾病，我们按本附加合同的保险金额给付重大疾病保险金， 本附加合同终止。</w:t>
            </w:r>
          </w:p>
          <w:p>
            <w:pPr>
              <w:pStyle w:val="TableParagraph"/>
              <w:spacing w:before="7"/>
              <w:ind w:left="201"/>
              <w:jc w:val="both"/>
              <w:rPr>
                <w:sz w:val="21"/>
              </w:rPr>
            </w:pPr>
            <w:r>
              <w:rPr>
                <w:sz w:val="21"/>
              </w:rPr>
              <w:t>我们给付重大疾病保险金后，主合同与本附加合同终止。</w:t>
            </w:r>
          </w:p>
        </w:tc>
      </w:tr>
      <w:tr>
        <w:trPr>
          <w:trHeight w:val="6346" w:hRule="atLeast"/>
        </w:trPr>
        <w:tc>
          <w:tcPr>
            <w:tcW w:w="748" w:type="dxa"/>
          </w:tcPr>
          <w:p>
            <w:pPr>
              <w:pStyle w:val="TableParagraph"/>
              <w:spacing w:before="142"/>
              <w:ind w:left="108"/>
              <w:rPr>
                <w:b/>
                <w:sz w:val="21"/>
              </w:rPr>
            </w:pPr>
            <w:r>
              <w:rPr>
                <w:b/>
                <w:sz w:val="21"/>
              </w:rPr>
              <w:t>2.4</w:t>
            </w:r>
          </w:p>
        </w:tc>
        <w:tc>
          <w:tcPr>
            <w:tcW w:w="1752" w:type="dxa"/>
          </w:tcPr>
          <w:p>
            <w:pPr>
              <w:pStyle w:val="TableParagraph"/>
              <w:spacing w:line="273" w:lineRule="auto" w:before="142"/>
              <w:ind w:left="282" w:right="200"/>
              <w:rPr>
                <w:rFonts w:ascii="黑体" w:eastAsia="黑体" w:hint="eastAsia"/>
                <w:b/>
                <w:sz w:val="21"/>
              </w:rPr>
            </w:pPr>
            <w:r>
              <w:rPr>
                <w:rFonts w:ascii="黑体" w:eastAsia="黑体" w:hint="eastAsia"/>
                <w:b/>
                <w:sz w:val="21"/>
              </w:rPr>
              <w:t>保险责任的免除</w:t>
            </w:r>
          </w:p>
        </w:tc>
        <w:tc>
          <w:tcPr>
            <w:tcW w:w="6859" w:type="dxa"/>
          </w:tcPr>
          <w:p>
            <w:pPr>
              <w:pStyle w:val="TableParagraph"/>
              <w:spacing w:before="142"/>
              <w:ind w:left="20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6"/>
              </w:numPr>
              <w:tabs>
                <w:tab w:pos="921" w:val="left" w:leader="none"/>
              </w:tabs>
              <w:spacing w:line="273" w:lineRule="auto" w:before="0" w:after="0"/>
              <w:ind w:left="921" w:right="102"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8"/>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6.9）</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2"/>
                <w:w w:val="100"/>
                <w:sz w:val="21"/>
              </w:rPr>
              <w:t>1</w:t>
            </w:r>
            <w:r>
              <w:rPr>
                <w:rFonts w:ascii="黑体" w:eastAsia="黑体" w:hint="eastAsia"/>
                <w:w w:val="100"/>
                <w:sz w:val="21"/>
              </w:rPr>
              <w:t>1</w:t>
            </w:r>
            <w:r>
              <w:rPr>
                <w:rFonts w:ascii="黑体" w:eastAsia="黑体" w:hint="eastAsia"/>
                <w:spacing w:val="-106"/>
                <w:w w:val="100"/>
                <w:sz w:val="21"/>
              </w:rPr>
              <w:t>）；</w:t>
            </w:r>
          </w:p>
          <w:p>
            <w:pPr>
              <w:pStyle w:val="TableParagraph"/>
              <w:numPr>
                <w:ilvl w:val="0"/>
                <w:numId w:val="6"/>
              </w:numPr>
              <w:tabs>
                <w:tab w:pos="921" w:val="left" w:leader="none"/>
              </w:tabs>
              <w:spacing w:line="273" w:lineRule="auto" w:before="36" w:after="0"/>
              <w:ind w:left="921" w:right="105"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273" w:lineRule="auto" w:before="37"/>
              <w:ind w:left="921" w:right="1"/>
              <w:rPr>
                <w:rFonts w:ascii="黑体" w:eastAsia="黑体" w:hint="eastAsia"/>
                <w:sz w:val="21"/>
              </w:rPr>
            </w:pPr>
            <w:r>
              <w:rPr>
                <w:rFonts w:ascii="黑体" w:eastAsia="黑体" w:hint="eastAsia"/>
                <w:w w:val="100"/>
                <w:sz w:val="21"/>
              </w:rPr>
              <w:t>6.13</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4</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310" w:lineRule="atLeast" w:before="128"/>
              <w:ind w:left="201" w:right="32"/>
              <w:rPr>
                <w:sz w:val="21"/>
              </w:rPr>
            </w:pPr>
            <w:r>
              <w:rPr>
                <w:sz w:val="21"/>
              </w:rPr>
              <w:t>发生上述第（2）项情形导致被保险人发生本附加合同所定义的重大疾病的，本附加合同终止，您已交足 2 年以上保险费的，我们向其他权利人</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1510" w:hRule="atLeast"/>
        </w:trPr>
        <w:tc>
          <w:tcPr>
            <w:tcW w:w="748" w:type="dxa"/>
          </w:tcPr>
          <w:p>
            <w:pPr>
              <w:pStyle w:val="TableParagraph"/>
              <w:ind w:left="0"/>
              <w:rPr>
                <w:rFonts w:ascii="Times New Roman"/>
                <w:sz w:val="20"/>
              </w:rPr>
            </w:pPr>
          </w:p>
        </w:tc>
        <w:tc>
          <w:tcPr>
            <w:tcW w:w="1752" w:type="dxa"/>
          </w:tcPr>
          <w:p>
            <w:pPr>
              <w:pStyle w:val="TableParagraph"/>
              <w:ind w:left="0"/>
              <w:rPr>
                <w:rFonts w:ascii="Times New Roman"/>
                <w:sz w:val="20"/>
              </w:rPr>
            </w:pPr>
          </w:p>
        </w:tc>
        <w:tc>
          <w:tcPr>
            <w:tcW w:w="6861" w:type="dxa"/>
          </w:tcPr>
          <w:p>
            <w:pPr>
              <w:pStyle w:val="TableParagraph"/>
              <w:spacing w:line="211" w:lineRule="exact"/>
              <w:ind w:left="201"/>
              <w:rPr>
                <w:sz w:val="21"/>
              </w:rPr>
            </w:pPr>
            <w:r>
              <w:rPr>
                <w:sz w:val="21"/>
              </w:rPr>
              <w:t>退还保险单的现金价值。</w:t>
            </w:r>
          </w:p>
          <w:p>
            <w:pPr>
              <w:pStyle w:val="TableParagraph"/>
              <w:spacing w:line="273" w:lineRule="auto" w:before="37"/>
              <w:ind w:left="201" w:right="108"/>
              <w:jc w:val="both"/>
              <w:rPr>
                <w:sz w:val="21"/>
              </w:rPr>
            </w:pPr>
            <w:r>
              <w:rPr>
                <w:sz w:val="21"/>
              </w:rPr>
              <w:t>发生上述第（1）项、第（3）—（10）项情形，造成被保险人发生本附加合同所定义的重大疾病的，本附加合同终止，我们向您退还保险单的现金价值。</w:t>
            </w:r>
          </w:p>
        </w:tc>
      </w:tr>
      <w:tr>
        <w:trPr>
          <w:trHeight w:val="2365" w:hRule="atLeast"/>
        </w:trPr>
        <w:tc>
          <w:tcPr>
            <w:tcW w:w="748" w:type="dxa"/>
          </w:tcPr>
          <w:p>
            <w:pPr>
              <w:pStyle w:val="TableParagraph"/>
              <w:spacing w:before="10"/>
              <w:ind w:left="0"/>
              <w:rPr>
                <w:sz w:val="22"/>
              </w:rPr>
            </w:pPr>
          </w:p>
          <w:p>
            <w:pPr>
              <w:pStyle w:val="TableParagraph"/>
              <w:ind w:left="108"/>
              <w:rPr>
                <w:b/>
                <w:sz w:val="21"/>
              </w:rPr>
            </w:pPr>
            <w:r>
              <w:rPr>
                <w:b/>
                <w:sz w:val="21"/>
              </w:rPr>
              <w:t>2.5</w:t>
            </w:r>
          </w:p>
        </w:tc>
        <w:tc>
          <w:tcPr>
            <w:tcW w:w="1752" w:type="dxa"/>
          </w:tcPr>
          <w:p>
            <w:pPr>
              <w:pStyle w:val="TableParagraph"/>
              <w:spacing w:before="10"/>
              <w:ind w:left="0"/>
              <w:rPr>
                <w:sz w:val="22"/>
              </w:rPr>
            </w:pPr>
          </w:p>
          <w:p>
            <w:pPr>
              <w:pStyle w:val="TableParagraph"/>
              <w:spacing w:line="273" w:lineRule="auto"/>
              <w:ind w:left="282" w:right="200"/>
              <w:rPr>
                <w:b/>
                <w:sz w:val="21"/>
              </w:rPr>
            </w:pPr>
            <w:r>
              <w:rPr>
                <w:b/>
                <w:sz w:val="21"/>
              </w:rPr>
              <w:t>保险责任的终止</w:t>
            </w:r>
          </w:p>
        </w:tc>
        <w:tc>
          <w:tcPr>
            <w:tcW w:w="6861" w:type="dxa"/>
          </w:tcPr>
          <w:p>
            <w:pPr>
              <w:pStyle w:val="TableParagraph"/>
              <w:spacing w:before="10"/>
              <w:ind w:left="0"/>
              <w:rPr>
                <w:sz w:val="22"/>
              </w:rPr>
            </w:pPr>
          </w:p>
          <w:p>
            <w:pPr>
              <w:pStyle w:val="TableParagraph"/>
              <w:ind w:left="203"/>
              <w:rPr>
                <w:sz w:val="21"/>
              </w:rPr>
            </w:pPr>
            <w:r>
              <w:rPr>
                <w:sz w:val="21"/>
              </w:rPr>
              <w:t>以下任何一种情况发生时，本附加合同及其保险责任自动终止：</w:t>
            </w:r>
          </w:p>
          <w:p>
            <w:pPr>
              <w:pStyle w:val="TableParagraph"/>
              <w:spacing w:before="36"/>
              <w:ind w:left="203"/>
              <w:rPr>
                <w:sz w:val="21"/>
              </w:rPr>
            </w:pPr>
            <w:r>
              <w:rPr>
                <w:sz w:val="21"/>
              </w:rPr>
              <w:t>（1）在本附加合同有效期内您向我们申请解除合同；</w:t>
            </w:r>
          </w:p>
          <w:p>
            <w:pPr>
              <w:pStyle w:val="TableParagraph"/>
              <w:spacing w:before="36"/>
              <w:ind w:left="203"/>
              <w:rPr>
                <w:sz w:val="21"/>
              </w:rPr>
            </w:pPr>
            <w:r>
              <w:rPr>
                <w:sz w:val="21"/>
              </w:rPr>
              <w:t>（2）本附加合同其他条款所列保险责任终止或本附加合同终止的情形；</w:t>
            </w:r>
          </w:p>
          <w:p>
            <w:pPr>
              <w:pStyle w:val="TableParagraph"/>
              <w:spacing w:before="36"/>
              <w:ind w:left="203"/>
              <w:rPr>
                <w:sz w:val="21"/>
              </w:rPr>
            </w:pPr>
            <w:r>
              <w:rPr>
                <w:sz w:val="21"/>
              </w:rPr>
              <w:t>（3）主合同效力终止；</w:t>
            </w:r>
          </w:p>
          <w:p>
            <w:pPr>
              <w:pStyle w:val="TableParagraph"/>
              <w:spacing w:line="273" w:lineRule="auto" w:before="36"/>
              <w:ind w:left="666" w:right="34" w:hanging="464"/>
              <w:rPr>
                <w:sz w:val="21"/>
              </w:rPr>
            </w:pPr>
            <w:r>
              <w:rPr>
                <w:sz w:val="21"/>
              </w:rPr>
              <w:t>（4）本附加合同因其他条款所列情况而中止效力，且自本附加合同效力中止之日起 2 年内您与我们未达成复效协议的。</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10"/>
              <w:ind w:left="0"/>
              <w:rPr>
                <w:sz w:val="21"/>
              </w:rPr>
            </w:pPr>
          </w:p>
          <w:p>
            <w:pPr>
              <w:pStyle w:val="TableParagraph"/>
              <w:ind w:left="108"/>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ind w:left="282"/>
              <w:rPr>
                <w:b/>
                <w:sz w:val="21"/>
              </w:rPr>
            </w:pPr>
            <w:r>
              <w:rPr>
                <w:b/>
                <w:sz w:val="21"/>
              </w:rPr>
              <w:t>保险金受益人</w:t>
            </w:r>
          </w:p>
        </w:tc>
        <w:tc>
          <w:tcPr>
            <w:tcW w:w="6861" w:type="dxa"/>
            <w:tcBorders>
              <w:top w:val="single" w:sz="4" w:space="0" w:color="000000"/>
            </w:tcBorders>
          </w:tcPr>
          <w:p>
            <w:pPr>
              <w:pStyle w:val="TableParagraph"/>
              <w:spacing w:before="10"/>
              <w:ind w:left="0"/>
              <w:rPr>
                <w:sz w:val="21"/>
              </w:rPr>
            </w:pPr>
          </w:p>
          <w:p>
            <w:pPr>
              <w:pStyle w:val="TableParagraph"/>
              <w:ind w:left="201"/>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spacing w:before="143"/>
              <w:ind w:left="108"/>
              <w:rPr>
                <w:b/>
                <w:sz w:val="21"/>
              </w:rPr>
            </w:pPr>
            <w:r>
              <w:rPr>
                <w:b/>
                <w:sz w:val="21"/>
              </w:rPr>
              <w:t>3.3</w:t>
            </w:r>
          </w:p>
        </w:tc>
        <w:tc>
          <w:tcPr>
            <w:tcW w:w="1752" w:type="dxa"/>
          </w:tcPr>
          <w:p>
            <w:pPr>
              <w:pStyle w:val="TableParagraph"/>
              <w:spacing w:before="143"/>
              <w:ind w:left="282"/>
              <w:rPr>
                <w:b/>
                <w:sz w:val="21"/>
              </w:rPr>
            </w:pPr>
            <w:r>
              <w:rPr>
                <w:b/>
                <w:sz w:val="21"/>
              </w:rPr>
              <w:t>保险金申请</w:t>
            </w:r>
          </w:p>
        </w:tc>
        <w:tc>
          <w:tcPr>
            <w:tcW w:w="6861" w:type="dxa"/>
          </w:tcPr>
          <w:p>
            <w:pPr>
              <w:pStyle w:val="TableParagraph"/>
              <w:spacing w:before="143"/>
              <w:ind w:left="201"/>
              <w:rPr>
                <w:sz w:val="21"/>
              </w:rPr>
            </w:pPr>
            <w:r>
              <w:rPr>
                <w:sz w:val="21"/>
              </w:rPr>
              <w:t>在申请保险金时，请按照下列方式办理：</w:t>
            </w:r>
          </w:p>
        </w:tc>
      </w:tr>
      <w:tr>
        <w:trPr>
          <w:trHeight w:val="3131" w:hRule="atLeast"/>
        </w:trPr>
        <w:tc>
          <w:tcPr>
            <w:tcW w:w="748" w:type="dxa"/>
          </w:tcPr>
          <w:p>
            <w:pPr>
              <w:pStyle w:val="TableParagraph"/>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73" w:lineRule="auto" w:before="36"/>
              <w:ind w:left="693" w:right="105"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p>
            <w:pPr>
              <w:pStyle w:val="TableParagraph"/>
              <w:spacing w:line="273" w:lineRule="auto" w:before="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2913" w:hRule="atLeast"/>
        </w:trPr>
        <w:tc>
          <w:tcPr>
            <w:tcW w:w="748" w:type="dxa"/>
          </w:tcPr>
          <w:p>
            <w:pPr>
              <w:pStyle w:val="TableParagraph"/>
              <w:spacing w:before="142"/>
              <w:ind w:left="108"/>
              <w:rPr>
                <w:b/>
                <w:sz w:val="21"/>
              </w:rPr>
            </w:pPr>
            <w:r>
              <w:rPr>
                <w:b/>
                <w:sz w:val="21"/>
              </w:rPr>
              <w:t>3.4</w:t>
            </w:r>
          </w:p>
        </w:tc>
        <w:tc>
          <w:tcPr>
            <w:tcW w:w="1752" w:type="dxa"/>
          </w:tcPr>
          <w:p>
            <w:pPr>
              <w:pStyle w:val="TableParagraph"/>
              <w:spacing w:before="142"/>
              <w:ind w:left="282"/>
              <w:rPr>
                <w:b/>
                <w:sz w:val="21"/>
              </w:rPr>
            </w:pPr>
            <w:r>
              <w:rPr>
                <w:b/>
                <w:sz w:val="21"/>
              </w:rPr>
              <w:t>保险金的给付</w:t>
            </w:r>
          </w:p>
        </w:tc>
        <w:tc>
          <w:tcPr>
            <w:tcW w:w="6861" w:type="dxa"/>
          </w:tcPr>
          <w:p>
            <w:pPr>
              <w:pStyle w:val="TableParagraph"/>
              <w:spacing w:before="142"/>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9"/>
              <w:rPr>
                <w:sz w:val="21"/>
              </w:rPr>
            </w:pPr>
            <w:r>
              <w:rPr>
                <w:sz w:val="21"/>
              </w:rPr>
              <w:t>对属于保险责任的，本公司在与受益人达成给付保险金的协议后 10 日内，履行给付保险金义务。</w:t>
            </w:r>
          </w:p>
          <w:p>
            <w:pPr>
              <w:pStyle w:val="TableParagraph"/>
              <w:spacing w:line="273" w:lineRule="auto" w:before="7"/>
              <w:ind w:left="201" w:right="108"/>
              <w:rPr>
                <w:sz w:val="21"/>
              </w:rPr>
            </w:pPr>
            <w:r>
              <w:rPr>
                <w:sz w:val="21"/>
              </w:rPr>
              <w:t>本公司未及时履行前款规定义务的，除支付保险金外，应当赔偿受益人因此受到的损失。</w:t>
            </w:r>
          </w:p>
          <w:p>
            <w:pPr>
              <w:pStyle w:val="TableParagraph"/>
              <w:spacing w:line="273" w:lineRule="auto" w:before="7"/>
              <w:ind w:left="201" w:right="141"/>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55" w:lineRule="exact" w:before="7"/>
              <w:ind w:left="201"/>
              <w:rPr>
                <w:sz w:val="21"/>
              </w:rPr>
            </w:pPr>
            <w:r>
              <w:rPr>
                <w:spacing w:val="-5"/>
                <w:sz w:val="21"/>
              </w:rPr>
              <w:t>本公司在收到保险金给付申请书及有关证明和资料之日起 </w:t>
            </w:r>
            <w:r>
              <w:rPr>
                <w:sz w:val="21"/>
              </w:rPr>
              <w:t>60</w:t>
            </w:r>
            <w:r>
              <w:rPr>
                <w:spacing w:val="-20"/>
                <w:sz w:val="21"/>
              </w:rPr>
              <w:t> 日内，对给</w:t>
            </w:r>
          </w:p>
        </w:tc>
      </w:tr>
    </w:tbl>
    <w:p>
      <w:pPr>
        <w:spacing w:after="0" w:line="255"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6"/>
      </w:tblGrid>
      <w:tr>
        <w:trPr>
          <w:trHeight w:val="729" w:hRule="atLeast"/>
        </w:trPr>
        <w:tc>
          <w:tcPr>
            <w:tcW w:w="748"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6856" w:type="dxa"/>
          </w:tcPr>
          <w:p>
            <w:pPr>
              <w:pStyle w:val="TableParagraph"/>
              <w:spacing w:line="211" w:lineRule="exact"/>
              <w:ind w:left="198"/>
              <w:rPr>
                <w:sz w:val="21"/>
              </w:rPr>
            </w:pPr>
            <w:r>
              <w:rPr>
                <w:sz w:val="21"/>
              </w:rPr>
              <w:t>付保险金的数额不能确定的，根据已有证明和资料可以确定的数额先予</w:t>
            </w:r>
          </w:p>
          <w:p>
            <w:pPr>
              <w:pStyle w:val="TableParagraph"/>
              <w:spacing w:before="37"/>
              <w:ind w:left="198"/>
              <w:rPr>
                <w:sz w:val="21"/>
              </w:rPr>
            </w:pPr>
            <w:r>
              <w:rPr>
                <w:sz w:val="21"/>
              </w:rPr>
              <w:t>支付；本公司最终确定给付保险金的数额后，将支付相应的差额。</w:t>
            </w:r>
          </w:p>
        </w:tc>
      </w:tr>
      <w:tr>
        <w:trPr>
          <w:trHeight w:val="961" w:hRule="atLeast"/>
        </w:trPr>
        <w:tc>
          <w:tcPr>
            <w:tcW w:w="748" w:type="dxa"/>
          </w:tcPr>
          <w:p>
            <w:pPr>
              <w:pStyle w:val="TableParagraph"/>
              <w:spacing w:before="143"/>
              <w:ind w:left="108"/>
              <w:rPr>
                <w:b/>
                <w:sz w:val="21"/>
              </w:rPr>
            </w:pPr>
            <w:r>
              <w:rPr>
                <w:b/>
                <w:sz w:val="21"/>
              </w:rPr>
              <w:t>3.5</w:t>
            </w:r>
          </w:p>
        </w:tc>
        <w:tc>
          <w:tcPr>
            <w:tcW w:w="1755" w:type="dxa"/>
          </w:tcPr>
          <w:p>
            <w:pPr>
              <w:pStyle w:val="TableParagraph"/>
              <w:spacing w:before="143"/>
              <w:ind w:left="282"/>
              <w:rPr>
                <w:b/>
                <w:sz w:val="21"/>
              </w:rPr>
            </w:pPr>
            <w:r>
              <w:rPr>
                <w:b/>
                <w:sz w:val="21"/>
              </w:rPr>
              <w:t>诉讼时效</w:t>
            </w:r>
          </w:p>
        </w:tc>
        <w:tc>
          <w:tcPr>
            <w:tcW w:w="6856" w:type="dxa"/>
          </w:tcPr>
          <w:p>
            <w:pPr>
              <w:pStyle w:val="TableParagraph"/>
              <w:spacing w:line="273" w:lineRule="auto" w:before="143"/>
              <w:ind w:left="198" w:right="139"/>
              <w:rPr>
                <w:sz w:val="21"/>
              </w:rPr>
            </w:pPr>
            <w:r>
              <w:rPr>
                <w:spacing w:val="-5"/>
                <w:sz w:val="21"/>
              </w:rPr>
              <w:t>受益人向我们请求给付保险金的诉讼时效期间为 </w:t>
            </w:r>
            <w:r>
              <w:rPr>
                <w:sz w:val="21"/>
              </w:rPr>
              <w:t>2</w:t>
            </w:r>
            <w:r>
              <w:rPr>
                <w:spacing w:val="-8"/>
                <w:sz w:val="21"/>
              </w:rPr>
              <w:t> 年，自其知道或应当</w:t>
            </w:r>
            <w:r>
              <w:rPr>
                <w:spacing w:val="-5"/>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ind w:left="0"/>
              <w:rPr>
                <w:sz w:val="18"/>
              </w:rPr>
            </w:pPr>
          </w:p>
          <w:p>
            <w:pPr>
              <w:pStyle w:val="TableParagraph"/>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ind w:left="0"/>
              <w:rPr>
                <w:sz w:val="23"/>
              </w:rPr>
            </w:pPr>
          </w:p>
          <w:p>
            <w:pPr>
              <w:pStyle w:val="TableParagraph"/>
              <w:ind w:left="108"/>
              <w:rPr>
                <w:b/>
                <w:sz w:val="21"/>
              </w:rPr>
            </w:pPr>
            <w:r>
              <w:rPr>
                <w:b/>
                <w:sz w:val="21"/>
              </w:rPr>
              <w:t>4.1</w:t>
            </w:r>
          </w:p>
        </w:tc>
        <w:tc>
          <w:tcPr>
            <w:tcW w:w="1755" w:type="dxa"/>
            <w:tcBorders>
              <w:top w:val="single" w:sz="4" w:space="0" w:color="000000"/>
            </w:tcBorders>
          </w:tcPr>
          <w:p>
            <w:pPr>
              <w:pStyle w:val="TableParagraph"/>
              <w:ind w:left="0"/>
              <w:rPr>
                <w:sz w:val="23"/>
              </w:rPr>
            </w:pPr>
          </w:p>
          <w:p>
            <w:pPr>
              <w:pStyle w:val="TableParagraph"/>
              <w:ind w:left="282"/>
              <w:rPr>
                <w:b/>
                <w:sz w:val="21"/>
              </w:rPr>
            </w:pPr>
            <w:r>
              <w:rPr>
                <w:b/>
                <w:sz w:val="21"/>
              </w:rPr>
              <w:t>保险费的支付</w:t>
            </w:r>
          </w:p>
        </w:tc>
        <w:tc>
          <w:tcPr>
            <w:tcW w:w="6856" w:type="dxa"/>
            <w:tcBorders>
              <w:top w:val="single" w:sz="4" w:space="0" w:color="000000"/>
            </w:tcBorders>
          </w:tcPr>
          <w:p>
            <w:pPr>
              <w:pStyle w:val="TableParagraph"/>
              <w:ind w:left="0"/>
              <w:rPr>
                <w:sz w:val="23"/>
              </w:rPr>
            </w:pPr>
          </w:p>
          <w:p>
            <w:pPr>
              <w:pStyle w:val="TableParagraph"/>
              <w:spacing w:line="273" w:lineRule="auto"/>
              <w:ind w:left="198" w:right="138"/>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936" w:hRule="atLeast"/>
        </w:trPr>
        <w:tc>
          <w:tcPr>
            <w:tcW w:w="748" w:type="dxa"/>
          </w:tcPr>
          <w:p>
            <w:pPr>
              <w:pStyle w:val="TableParagraph"/>
              <w:spacing w:before="143"/>
              <w:ind w:left="108"/>
              <w:rPr>
                <w:b/>
                <w:sz w:val="21"/>
              </w:rPr>
            </w:pPr>
            <w:r>
              <w:rPr>
                <w:b/>
                <w:sz w:val="21"/>
              </w:rPr>
              <w:t>4.2</w:t>
            </w:r>
          </w:p>
        </w:tc>
        <w:tc>
          <w:tcPr>
            <w:tcW w:w="1755" w:type="dxa"/>
          </w:tcPr>
          <w:p>
            <w:pPr>
              <w:pStyle w:val="TableParagraph"/>
              <w:spacing w:line="273" w:lineRule="auto" w:before="143"/>
              <w:ind w:left="282" w:right="203"/>
              <w:rPr>
                <w:b/>
                <w:sz w:val="21"/>
              </w:rPr>
            </w:pPr>
            <w:r>
              <w:rPr>
                <w:b/>
                <w:sz w:val="21"/>
              </w:rPr>
              <w:t>保险单的现金价值</w:t>
            </w:r>
          </w:p>
        </w:tc>
        <w:tc>
          <w:tcPr>
            <w:tcW w:w="6856" w:type="dxa"/>
          </w:tcPr>
          <w:p>
            <w:pPr>
              <w:pStyle w:val="TableParagraph"/>
              <w:spacing w:line="273" w:lineRule="auto" w:before="143"/>
              <w:ind w:left="198" w:right="139"/>
              <w:rPr>
                <w:sz w:val="21"/>
              </w:rPr>
            </w:pPr>
            <w:r>
              <w:rPr>
                <w:sz w:val="21"/>
              </w:rPr>
              <w:t>本附加合同保单年度末的现金价值会在保险单上载明。保单年度内的现金价值，您可以向我们咨询。</w:t>
            </w:r>
          </w:p>
        </w:tc>
      </w:tr>
      <w:tr>
        <w:trPr>
          <w:trHeight w:val="2184" w:hRule="atLeast"/>
        </w:trPr>
        <w:tc>
          <w:tcPr>
            <w:tcW w:w="748" w:type="dxa"/>
          </w:tcPr>
          <w:p>
            <w:pPr>
              <w:pStyle w:val="TableParagraph"/>
              <w:spacing w:before="142"/>
              <w:ind w:left="108"/>
              <w:rPr>
                <w:b/>
                <w:sz w:val="21"/>
              </w:rPr>
            </w:pPr>
            <w:r>
              <w:rPr>
                <w:b/>
                <w:sz w:val="21"/>
              </w:rPr>
              <w:t>4.3</w:t>
            </w:r>
          </w:p>
        </w:tc>
        <w:tc>
          <w:tcPr>
            <w:tcW w:w="1755" w:type="dxa"/>
          </w:tcPr>
          <w:p>
            <w:pPr>
              <w:pStyle w:val="TableParagraph"/>
              <w:spacing w:before="142"/>
              <w:ind w:left="282"/>
              <w:rPr>
                <w:b/>
                <w:sz w:val="21"/>
              </w:rPr>
            </w:pPr>
            <w:r>
              <w:rPr>
                <w:b/>
                <w:sz w:val="21"/>
              </w:rPr>
              <w:t>宽限期</w:t>
            </w:r>
          </w:p>
        </w:tc>
        <w:tc>
          <w:tcPr>
            <w:tcW w:w="6856" w:type="dxa"/>
          </w:tcPr>
          <w:p>
            <w:pPr>
              <w:pStyle w:val="TableParagraph"/>
              <w:spacing w:line="273" w:lineRule="auto" w:before="142"/>
              <w:ind w:left="198" w:right="139"/>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73" w:lineRule="auto" w:before="7"/>
              <w:ind w:left="198" w:right="139"/>
              <w:rPr>
                <w:sz w:val="21"/>
              </w:rPr>
            </w:pPr>
            <w:r>
              <w:rPr>
                <w:sz w:val="21"/>
              </w:rPr>
              <w:t>如果您宽限期结束之后仍未支付保险费，则本附加合同自宽限期满的次日零时起效力中止。</w:t>
            </w:r>
          </w:p>
        </w:tc>
      </w:tr>
      <w:tr>
        <w:trPr>
          <w:trHeight w:val="1248" w:hRule="atLeast"/>
        </w:trPr>
        <w:tc>
          <w:tcPr>
            <w:tcW w:w="748" w:type="dxa"/>
          </w:tcPr>
          <w:p>
            <w:pPr>
              <w:pStyle w:val="TableParagraph"/>
              <w:spacing w:before="142"/>
              <w:ind w:left="108"/>
              <w:rPr>
                <w:b/>
                <w:sz w:val="21"/>
              </w:rPr>
            </w:pPr>
            <w:r>
              <w:rPr>
                <w:b/>
                <w:sz w:val="21"/>
              </w:rPr>
              <w:t>4.4</w:t>
            </w:r>
          </w:p>
        </w:tc>
        <w:tc>
          <w:tcPr>
            <w:tcW w:w="1755" w:type="dxa"/>
          </w:tcPr>
          <w:p>
            <w:pPr>
              <w:pStyle w:val="TableParagraph"/>
              <w:spacing w:before="142"/>
              <w:ind w:left="282"/>
              <w:rPr>
                <w:b/>
                <w:sz w:val="21"/>
              </w:rPr>
            </w:pPr>
            <w:r>
              <w:rPr>
                <w:b/>
                <w:sz w:val="21"/>
              </w:rPr>
              <w:t>合同效力中止</w:t>
            </w:r>
          </w:p>
        </w:tc>
        <w:tc>
          <w:tcPr>
            <w:tcW w:w="6856" w:type="dxa"/>
          </w:tcPr>
          <w:p>
            <w:pPr>
              <w:pStyle w:val="TableParagraph"/>
              <w:spacing w:line="273" w:lineRule="auto" w:before="142"/>
              <w:ind w:left="198" w:right="139"/>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48" w:type="dxa"/>
          </w:tcPr>
          <w:p>
            <w:pPr>
              <w:pStyle w:val="TableParagraph"/>
              <w:spacing w:before="142"/>
              <w:ind w:left="108"/>
              <w:rPr>
                <w:b/>
                <w:sz w:val="21"/>
              </w:rPr>
            </w:pPr>
            <w:r>
              <w:rPr>
                <w:b/>
                <w:sz w:val="21"/>
              </w:rPr>
              <w:t>4.5</w:t>
            </w:r>
          </w:p>
        </w:tc>
        <w:tc>
          <w:tcPr>
            <w:tcW w:w="1755" w:type="dxa"/>
          </w:tcPr>
          <w:p>
            <w:pPr>
              <w:pStyle w:val="TableParagraph"/>
              <w:spacing w:before="142"/>
              <w:ind w:left="282"/>
              <w:rPr>
                <w:b/>
                <w:sz w:val="21"/>
              </w:rPr>
            </w:pPr>
            <w:r>
              <w:rPr>
                <w:b/>
                <w:sz w:val="21"/>
              </w:rPr>
              <w:t>合同效力恢复</w:t>
            </w:r>
          </w:p>
        </w:tc>
        <w:tc>
          <w:tcPr>
            <w:tcW w:w="6856" w:type="dxa"/>
          </w:tcPr>
          <w:p>
            <w:pPr>
              <w:pStyle w:val="TableParagraph"/>
              <w:spacing w:line="273" w:lineRule="auto" w:before="142"/>
              <w:ind w:left="198" w:right="138"/>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6.16</w:t>
            </w:r>
            <w:r>
              <w:rPr>
                <w:spacing w:val="-3"/>
                <w:sz w:val="21"/>
              </w:rPr>
              <w:t>)按日复利计算。</w:t>
            </w:r>
          </w:p>
          <w:p>
            <w:pPr>
              <w:pStyle w:val="TableParagraph"/>
              <w:spacing w:line="273" w:lineRule="auto" w:before="7"/>
              <w:ind w:left="198" w:right="140"/>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10"/>
              <w:ind w:left="0"/>
              <w:rPr>
                <w:sz w:val="18"/>
              </w:rPr>
            </w:pPr>
          </w:p>
          <w:p>
            <w:pPr>
              <w:pStyle w:val="TableParagraph"/>
              <w:ind w:left="289"/>
              <w:rPr>
                <w:b/>
                <w:sz w:val="24"/>
              </w:rPr>
            </w:pPr>
            <w:r>
              <w:rPr>
                <w:b/>
                <w:sz w:val="24"/>
              </w:rPr>
              <w:t>其他事项</w:t>
            </w:r>
          </w:p>
        </w:tc>
        <w:tc>
          <w:tcPr>
            <w:tcW w:w="6856" w:type="dxa"/>
            <w:tcBorders>
              <w:bottom w:val="single" w:sz="4" w:space="0" w:color="000000"/>
            </w:tcBorders>
          </w:tcPr>
          <w:p>
            <w:pPr>
              <w:pStyle w:val="TableParagraph"/>
              <w:ind w:left="0"/>
              <w:rPr>
                <w:rFonts w:ascii="Times New Roman"/>
                <w:sz w:val="20"/>
              </w:rPr>
            </w:pPr>
          </w:p>
        </w:tc>
      </w:tr>
      <w:tr>
        <w:trPr>
          <w:trHeight w:val="3067" w:hRule="atLeast"/>
        </w:trPr>
        <w:tc>
          <w:tcPr>
            <w:tcW w:w="748" w:type="dxa"/>
            <w:tcBorders>
              <w:top w:val="single" w:sz="4" w:space="0" w:color="000000"/>
            </w:tcBorders>
          </w:tcPr>
          <w:p>
            <w:pPr>
              <w:pStyle w:val="TableParagraph"/>
              <w:spacing w:before="9"/>
              <w:ind w:left="0"/>
              <w:rPr>
                <w:sz w:val="22"/>
              </w:rPr>
            </w:pPr>
          </w:p>
          <w:p>
            <w:pPr>
              <w:pStyle w:val="TableParagraph"/>
              <w:ind w:left="108"/>
              <w:rPr>
                <w:b/>
                <w:sz w:val="21"/>
              </w:rPr>
            </w:pPr>
            <w:r>
              <w:rPr>
                <w:b/>
                <w:sz w:val="21"/>
              </w:rPr>
              <w:t>5.1</w:t>
            </w:r>
          </w:p>
        </w:tc>
        <w:tc>
          <w:tcPr>
            <w:tcW w:w="1755" w:type="dxa"/>
            <w:tcBorders>
              <w:top w:val="single" w:sz="4" w:space="0" w:color="000000"/>
            </w:tcBorders>
          </w:tcPr>
          <w:p>
            <w:pPr>
              <w:pStyle w:val="TableParagraph"/>
              <w:spacing w:before="9"/>
              <w:ind w:left="0"/>
              <w:rPr>
                <w:sz w:val="22"/>
              </w:rPr>
            </w:pPr>
          </w:p>
          <w:p>
            <w:pPr>
              <w:pStyle w:val="TableParagraph"/>
              <w:spacing w:line="273" w:lineRule="auto"/>
              <w:ind w:left="289" w:right="196"/>
              <w:rPr>
                <w:b/>
                <w:sz w:val="21"/>
              </w:rPr>
            </w:pPr>
            <w:r>
              <w:rPr>
                <w:b/>
                <w:sz w:val="21"/>
              </w:rPr>
              <w:t>明确说明与如实告知</w:t>
            </w:r>
          </w:p>
        </w:tc>
        <w:tc>
          <w:tcPr>
            <w:tcW w:w="6856" w:type="dxa"/>
            <w:tcBorders>
              <w:top w:val="single" w:sz="4" w:space="0" w:color="000000"/>
            </w:tcBorders>
          </w:tcPr>
          <w:p>
            <w:pPr>
              <w:pStyle w:val="TableParagraph"/>
              <w:spacing w:before="9"/>
              <w:ind w:left="0"/>
              <w:rPr>
                <w:sz w:val="22"/>
              </w:rPr>
            </w:pPr>
          </w:p>
          <w:p>
            <w:pPr>
              <w:pStyle w:val="TableParagraph"/>
              <w:ind w:left="224"/>
              <w:rPr>
                <w:sz w:val="21"/>
              </w:rPr>
            </w:pPr>
            <w:r>
              <w:rPr>
                <w:sz w:val="21"/>
              </w:rPr>
              <w:t>订立本合同时，本公司应向投保人说明本合同的内容。</w:t>
            </w:r>
          </w:p>
          <w:p>
            <w:pPr>
              <w:pStyle w:val="TableParagraph"/>
              <w:spacing w:line="273" w:lineRule="auto" w:before="37"/>
              <w:ind w:left="224" w:right="112"/>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312" w:lineRule="exact" w:before="3"/>
              <w:ind w:left="224" w:right="-15"/>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tc>
      </w:tr>
    </w:tbl>
    <w:p>
      <w:pPr>
        <w:spacing w:after="0" w:line="312"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2290" w:hRule="atLeast"/>
        </w:trPr>
        <w:tc>
          <w:tcPr>
            <w:tcW w:w="751" w:type="dxa"/>
          </w:tcPr>
          <w:p>
            <w:pPr>
              <w:pStyle w:val="TableParagraph"/>
              <w:ind w:left="0"/>
              <w:rPr>
                <w:rFonts w:ascii="Times New Roman"/>
                <w:sz w:val="20"/>
              </w:rPr>
            </w:pPr>
          </w:p>
        </w:tc>
        <w:tc>
          <w:tcPr>
            <w:tcW w:w="1876" w:type="dxa"/>
          </w:tcPr>
          <w:p>
            <w:pPr>
              <w:pStyle w:val="TableParagraph"/>
              <w:ind w:left="0"/>
              <w:rPr>
                <w:rFonts w:ascii="Times New Roman"/>
                <w:sz w:val="20"/>
              </w:rPr>
            </w:pPr>
          </w:p>
        </w:tc>
        <w:tc>
          <w:tcPr>
            <w:tcW w:w="6732" w:type="dxa"/>
          </w:tcPr>
          <w:p>
            <w:pPr>
              <w:pStyle w:val="TableParagraph"/>
              <w:spacing w:line="211" w:lineRule="exact"/>
              <w:ind w:left="100"/>
              <w:rPr>
                <w:sz w:val="21"/>
              </w:rPr>
            </w:pPr>
            <w:r>
              <w:rPr>
                <w:sz w:val="21"/>
              </w:rPr>
              <w:t>如果投保人故意不履行如实告知义务，对于本合同解除前发生的保险事</w:t>
            </w:r>
          </w:p>
          <w:p>
            <w:pPr>
              <w:pStyle w:val="TableParagraph"/>
              <w:spacing w:before="37"/>
              <w:ind w:left="100"/>
              <w:rPr>
                <w:sz w:val="21"/>
              </w:rPr>
            </w:pPr>
            <w:r>
              <w:rPr>
                <w:sz w:val="21"/>
              </w:rPr>
              <w:t>故，本公司不承担给付保险金的责任，并不退还保险费。</w:t>
            </w:r>
          </w:p>
          <w:p>
            <w:pPr>
              <w:pStyle w:val="TableParagraph"/>
              <w:spacing w:line="273" w:lineRule="auto" w:before="37"/>
              <w:ind w:left="100" w:right="112"/>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100" w:right="112"/>
              <w:jc w:val="both"/>
              <w:rPr>
                <w:sz w:val="21"/>
              </w:rPr>
            </w:pPr>
            <w:r>
              <w:rPr>
                <w:sz w:val="21"/>
              </w:rPr>
              <w:t>本公司在合同订立时已经知道投保人未如实告知的情况的，本公司不得解除合同；发生保险事故的，本公司承担给付保险金的责任。</w:t>
            </w:r>
          </w:p>
        </w:tc>
      </w:tr>
      <w:tr>
        <w:trPr>
          <w:trHeight w:val="1247" w:hRule="atLeast"/>
        </w:trPr>
        <w:tc>
          <w:tcPr>
            <w:tcW w:w="751" w:type="dxa"/>
          </w:tcPr>
          <w:p>
            <w:pPr>
              <w:pStyle w:val="TableParagraph"/>
              <w:spacing w:before="142"/>
              <w:ind w:left="108"/>
              <w:rPr>
                <w:b/>
                <w:sz w:val="21"/>
              </w:rPr>
            </w:pPr>
            <w:r>
              <w:rPr>
                <w:b/>
                <w:sz w:val="21"/>
              </w:rPr>
              <w:t>5.2</w:t>
            </w:r>
          </w:p>
        </w:tc>
        <w:tc>
          <w:tcPr>
            <w:tcW w:w="1876" w:type="dxa"/>
          </w:tcPr>
          <w:p>
            <w:pPr>
              <w:pStyle w:val="TableParagraph"/>
              <w:spacing w:line="273" w:lineRule="auto" w:before="142"/>
              <w:ind w:left="286" w:right="320"/>
              <w:rPr>
                <w:b/>
                <w:sz w:val="21"/>
              </w:rPr>
            </w:pPr>
            <w:r>
              <w:rPr>
                <w:b/>
                <w:sz w:val="21"/>
              </w:rPr>
              <w:t>本公司合同解除权的限制</w:t>
            </w:r>
          </w:p>
        </w:tc>
        <w:tc>
          <w:tcPr>
            <w:tcW w:w="6732" w:type="dxa"/>
          </w:tcPr>
          <w:p>
            <w:pPr>
              <w:pStyle w:val="TableParagraph"/>
              <w:spacing w:before="142"/>
              <w:ind w:left="100"/>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100" w:right="112"/>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3120" w:hRule="atLeast"/>
        </w:trPr>
        <w:tc>
          <w:tcPr>
            <w:tcW w:w="751" w:type="dxa"/>
          </w:tcPr>
          <w:p>
            <w:pPr>
              <w:pStyle w:val="TableParagraph"/>
              <w:spacing w:before="142"/>
              <w:ind w:left="108"/>
              <w:rPr>
                <w:b/>
                <w:sz w:val="21"/>
              </w:rPr>
            </w:pPr>
            <w:r>
              <w:rPr>
                <w:b/>
                <w:sz w:val="21"/>
              </w:rPr>
              <w:t>5.3</w:t>
            </w:r>
          </w:p>
        </w:tc>
        <w:tc>
          <w:tcPr>
            <w:tcW w:w="1876" w:type="dxa"/>
          </w:tcPr>
          <w:p>
            <w:pPr>
              <w:pStyle w:val="TableParagraph"/>
              <w:spacing w:before="142"/>
              <w:ind w:left="286"/>
              <w:rPr>
                <w:b/>
                <w:sz w:val="21"/>
              </w:rPr>
            </w:pPr>
            <w:r>
              <w:rPr>
                <w:b/>
                <w:sz w:val="21"/>
              </w:rPr>
              <w:t>年龄性别错误</w:t>
            </w:r>
          </w:p>
        </w:tc>
        <w:tc>
          <w:tcPr>
            <w:tcW w:w="6732" w:type="dxa"/>
          </w:tcPr>
          <w:p>
            <w:pPr>
              <w:pStyle w:val="TableParagraph"/>
              <w:spacing w:line="273" w:lineRule="auto" w:before="142"/>
              <w:ind w:left="100" w:right="112"/>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04" w:right="100"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273" w:lineRule="auto" w:before="7"/>
              <w:ind w:left="592" w:right="100" w:hanging="490"/>
              <w:jc w:val="both"/>
              <w:rPr>
                <w:sz w:val="21"/>
              </w:rPr>
            </w:pPr>
            <w:r>
              <w:rPr>
                <w:spacing w:val="-17"/>
                <w:sz w:val="21"/>
              </w:rPr>
              <w:t>（2）</w:t>
            </w:r>
            <w:r>
              <w:rPr>
                <w:spacing w:val="-6"/>
                <w:sz w:val="21"/>
              </w:rPr>
              <w:t>您申报的被保险人年龄性别不真实，我们有权按照被保险人的真实</w:t>
            </w:r>
            <w:r>
              <w:rPr>
                <w:spacing w:val="-8"/>
                <w:sz w:val="21"/>
              </w:rPr>
              <w:t>年龄性别重新核算保险金额。若已经发生保险事故，在给付保险金</w:t>
            </w:r>
            <w:r>
              <w:rPr>
                <w:spacing w:val="-5"/>
                <w:sz w:val="21"/>
              </w:rPr>
              <w:t>时按重新核算后的保险金额给付。</w:t>
            </w:r>
          </w:p>
        </w:tc>
      </w:tr>
      <w:tr>
        <w:trPr>
          <w:trHeight w:val="1585" w:hRule="atLeast"/>
        </w:trPr>
        <w:tc>
          <w:tcPr>
            <w:tcW w:w="751" w:type="dxa"/>
          </w:tcPr>
          <w:p>
            <w:pPr>
              <w:pStyle w:val="TableParagraph"/>
              <w:spacing w:before="142"/>
              <w:ind w:left="108"/>
              <w:rPr>
                <w:b/>
                <w:sz w:val="21"/>
              </w:rPr>
            </w:pPr>
            <w:r>
              <w:rPr>
                <w:b/>
                <w:sz w:val="21"/>
              </w:rPr>
              <w:t>5.4</w:t>
            </w:r>
          </w:p>
        </w:tc>
        <w:tc>
          <w:tcPr>
            <w:tcW w:w="1876" w:type="dxa"/>
          </w:tcPr>
          <w:p>
            <w:pPr>
              <w:pStyle w:val="TableParagraph"/>
              <w:spacing w:before="142"/>
              <w:ind w:left="286"/>
              <w:rPr>
                <w:b/>
                <w:sz w:val="21"/>
              </w:rPr>
            </w:pPr>
            <w:r>
              <w:rPr>
                <w:b/>
                <w:sz w:val="21"/>
              </w:rPr>
              <w:t>未还款项</w:t>
            </w:r>
          </w:p>
        </w:tc>
        <w:tc>
          <w:tcPr>
            <w:tcW w:w="6732" w:type="dxa"/>
          </w:tcPr>
          <w:p>
            <w:pPr>
              <w:pStyle w:val="TableParagraph"/>
              <w:spacing w:line="273" w:lineRule="auto" w:before="142"/>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0"/>
              <w:rPr>
                <w:sz w:val="18"/>
              </w:rPr>
            </w:pPr>
          </w:p>
          <w:p>
            <w:pPr>
              <w:pStyle w:val="TableParagraph"/>
              <w:ind w:left="286"/>
              <w:rPr>
                <w:b/>
                <w:sz w:val="24"/>
              </w:rPr>
            </w:pPr>
            <w:r>
              <w:rPr>
                <w:b/>
                <w:sz w:val="24"/>
              </w:rPr>
              <w:t>释义</w:t>
            </w:r>
          </w:p>
        </w:tc>
        <w:tc>
          <w:tcPr>
            <w:tcW w:w="6732" w:type="dxa"/>
            <w:tcBorders>
              <w:bottom w:val="single" w:sz="4" w:space="0" w:color="000000"/>
            </w:tcBorders>
          </w:tcPr>
          <w:p>
            <w:pPr>
              <w:pStyle w:val="TableParagraph"/>
              <w:ind w:left="0"/>
              <w:rPr>
                <w:rFonts w:ascii="Times New Roman"/>
                <w:sz w:val="20"/>
              </w:rPr>
            </w:pPr>
          </w:p>
        </w:tc>
      </w:tr>
      <w:tr>
        <w:trPr>
          <w:trHeight w:val="1095" w:hRule="atLeast"/>
        </w:trPr>
        <w:tc>
          <w:tcPr>
            <w:tcW w:w="751" w:type="dxa"/>
            <w:tcBorders>
              <w:top w:val="single" w:sz="4" w:space="0" w:color="000000"/>
            </w:tcBorders>
          </w:tcPr>
          <w:p>
            <w:pPr>
              <w:pStyle w:val="TableParagraph"/>
              <w:ind w:left="0"/>
              <w:rPr>
                <w:sz w:val="23"/>
              </w:rPr>
            </w:pPr>
          </w:p>
          <w:p>
            <w:pPr>
              <w:pStyle w:val="TableParagraph"/>
              <w:ind w:left="108"/>
              <w:rPr>
                <w:b/>
                <w:sz w:val="21"/>
              </w:rPr>
            </w:pPr>
            <w:r>
              <w:rPr>
                <w:b/>
                <w:sz w:val="21"/>
              </w:rPr>
              <w:t>6.1</w:t>
            </w:r>
          </w:p>
        </w:tc>
        <w:tc>
          <w:tcPr>
            <w:tcW w:w="1876" w:type="dxa"/>
            <w:tcBorders>
              <w:top w:val="single" w:sz="4" w:space="0" w:color="000000"/>
            </w:tcBorders>
          </w:tcPr>
          <w:p>
            <w:pPr>
              <w:pStyle w:val="TableParagraph"/>
              <w:ind w:left="0"/>
              <w:rPr>
                <w:sz w:val="23"/>
              </w:rPr>
            </w:pPr>
          </w:p>
          <w:p>
            <w:pPr>
              <w:pStyle w:val="TableParagraph"/>
              <w:ind w:left="286"/>
              <w:rPr>
                <w:b/>
                <w:sz w:val="21"/>
              </w:rPr>
            </w:pPr>
            <w:r>
              <w:rPr>
                <w:b/>
                <w:sz w:val="21"/>
              </w:rPr>
              <w:t>周岁</w:t>
            </w:r>
          </w:p>
        </w:tc>
        <w:tc>
          <w:tcPr>
            <w:tcW w:w="6732" w:type="dxa"/>
            <w:tcBorders>
              <w:top w:val="single" w:sz="4" w:space="0" w:color="000000"/>
            </w:tcBorders>
          </w:tcPr>
          <w:p>
            <w:pPr>
              <w:pStyle w:val="TableParagraph"/>
              <w:ind w:left="0"/>
              <w:rPr>
                <w:sz w:val="23"/>
              </w:rPr>
            </w:pPr>
          </w:p>
          <w:p>
            <w:pPr>
              <w:pStyle w:val="TableParagraph"/>
              <w:spacing w:line="273" w:lineRule="auto"/>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spacing w:before="142"/>
              <w:ind w:left="108"/>
              <w:rPr>
                <w:b/>
                <w:sz w:val="21"/>
              </w:rPr>
            </w:pPr>
            <w:r>
              <w:rPr>
                <w:b/>
                <w:sz w:val="21"/>
              </w:rPr>
              <w:t>6.2</w:t>
            </w:r>
          </w:p>
        </w:tc>
        <w:tc>
          <w:tcPr>
            <w:tcW w:w="1876" w:type="dxa"/>
          </w:tcPr>
          <w:p>
            <w:pPr>
              <w:pStyle w:val="TableParagraph"/>
              <w:spacing w:before="142"/>
              <w:ind w:left="286"/>
              <w:rPr>
                <w:b/>
                <w:sz w:val="21"/>
              </w:rPr>
            </w:pPr>
            <w:r>
              <w:rPr>
                <w:b/>
                <w:sz w:val="21"/>
              </w:rPr>
              <w:t>有效身份证件</w:t>
            </w:r>
          </w:p>
        </w:tc>
        <w:tc>
          <w:tcPr>
            <w:tcW w:w="6732" w:type="dxa"/>
          </w:tcPr>
          <w:p>
            <w:pPr>
              <w:pStyle w:val="TableParagraph"/>
              <w:spacing w:line="273" w:lineRule="auto" w:before="142"/>
              <w:ind w:left="100" w:right="11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spacing w:before="143"/>
              <w:ind w:left="108"/>
              <w:rPr>
                <w:b/>
                <w:sz w:val="21"/>
              </w:rPr>
            </w:pPr>
            <w:r>
              <w:rPr>
                <w:b/>
                <w:sz w:val="21"/>
              </w:rPr>
              <w:t>6.3</w:t>
            </w:r>
          </w:p>
        </w:tc>
        <w:tc>
          <w:tcPr>
            <w:tcW w:w="1876" w:type="dxa"/>
          </w:tcPr>
          <w:p>
            <w:pPr>
              <w:pStyle w:val="TableParagraph"/>
              <w:spacing w:before="143"/>
              <w:ind w:left="286"/>
              <w:rPr>
                <w:b/>
                <w:sz w:val="21"/>
              </w:rPr>
            </w:pPr>
            <w:r>
              <w:rPr>
                <w:b/>
                <w:sz w:val="21"/>
              </w:rPr>
              <w:t>现金价值</w:t>
            </w:r>
          </w:p>
        </w:tc>
        <w:tc>
          <w:tcPr>
            <w:tcW w:w="6732" w:type="dxa"/>
          </w:tcPr>
          <w:p>
            <w:pPr>
              <w:pStyle w:val="TableParagraph"/>
              <w:spacing w:line="273" w:lineRule="auto" w:before="143"/>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936" w:hRule="atLeast"/>
        </w:trPr>
        <w:tc>
          <w:tcPr>
            <w:tcW w:w="751" w:type="dxa"/>
          </w:tcPr>
          <w:p>
            <w:pPr>
              <w:pStyle w:val="TableParagraph"/>
              <w:spacing w:before="142"/>
              <w:ind w:left="108"/>
              <w:rPr>
                <w:b/>
                <w:sz w:val="21"/>
              </w:rPr>
            </w:pPr>
            <w:r>
              <w:rPr>
                <w:b/>
                <w:sz w:val="21"/>
              </w:rPr>
              <w:t>6.4</w:t>
            </w:r>
          </w:p>
        </w:tc>
        <w:tc>
          <w:tcPr>
            <w:tcW w:w="1876" w:type="dxa"/>
          </w:tcPr>
          <w:p>
            <w:pPr>
              <w:pStyle w:val="TableParagraph"/>
              <w:spacing w:before="142"/>
              <w:ind w:left="286"/>
              <w:rPr>
                <w:b/>
                <w:sz w:val="21"/>
              </w:rPr>
            </w:pPr>
            <w:r>
              <w:rPr>
                <w:b/>
                <w:sz w:val="21"/>
              </w:rPr>
              <w:t>重大疾病</w:t>
            </w:r>
          </w:p>
        </w:tc>
        <w:tc>
          <w:tcPr>
            <w:tcW w:w="6732" w:type="dxa"/>
          </w:tcPr>
          <w:p>
            <w:pPr>
              <w:pStyle w:val="TableParagraph"/>
              <w:spacing w:line="273" w:lineRule="auto" w:before="142"/>
              <w:ind w:left="100" w:right="112"/>
              <w:rPr>
                <w:sz w:val="21"/>
              </w:rPr>
            </w:pPr>
            <w:r>
              <w:rPr>
                <w:sz w:val="21"/>
              </w:rPr>
              <w:t>指保险责任生效后，经专科医生明确诊断，被保险人初次发生符合以下疾病定义所述条件的疾病：</w:t>
            </w:r>
          </w:p>
        </w:tc>
      </w:tr>
      <w:tr>
        <w:trPr>
          <w:trHeight w:val="1353" w:hRule="atLeast"/>
        </w:trPr>
        <w:tc>
          <w:tcPr>
            <w:tcW w:w="751" w:type="dxa"/>
          </w:tcPr>
          <w:p>
            <w:pPr>
              <w:pStyle w:val="TableParagraph"/>
              <w:ind w:left="0"/>
              <w:rPr>
                <w:rFonts w:ascii="Times New Roman"/>
                <w:sz w:val="20"/>
              </w:rPr>
            </w:pPr>
          </w:p>
        </w:tc>
        <w:tc>
          <w:tcPr>
            <w:tcW w:w="1876" w:type="dxa"/>
          </w:tcPr>
          <w:p>
            <w:pPr>
              <w:pStyle w:val="TableParagraph"/>
              <w:spacing w:before="142"/>
              <w:ind w:left="286"/>
              <w:rPr>
                <w:sz w:val="21"/>
              </w:rPr>
            </w:pPr>
            <w:r>
              <w:rPr>
                <w:sz w:val="21"/>
              </w:rPr>
              <w:t>(一) 恶性肿瘤</w:t>
            </w:r>
          </w:p>
          <w:p>
            <w:pPr>
              <w:pStyle w:val="TableParagraph"/>
              <w:spacing w:line="273" w:lineRule="auto" w:before="36"/>
              <w:ind w:left="286" w:right="114"/>
              <w:rPr>
                <w:sz w:val="21"/>
              </w:rPr>
            </w:pPr>
            <w:r>
              <w:rPr>
                <w:sz w:val="21"/>
              </w:rPr>
              <w:t>－“中国保险行业协会推荐”</w:t>
            </w:r>
          </w:p>
        </w:tc>
        <w:tc>
          <w:tcPr>
            <w:tcW w:w="6732" w:type="dxa"/>
          </w:tcPr>
          <w:p>
            <w:pPr>
              <w:pStyle w:val="TableParagraph"/>
              <w:spacing w:line="310" w:lineRule="atLeast" w:before="107"/>
              <w:ind w:left="100" w:right="112"/>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tc>
      </w:tr>
    </w:tbl>
    <w:p>
      <w:pPr>
        <w:spacing w:after="0" w:line="310" w:lineRule="atLeast"/>
        <w:jc w:val="both"/>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22"/>
      </w:tblGrid>
      <w:tr>
        <w:trPr>
          <w:trHeight w:val="2240" w:hRule="atLeast"/>
        </w:trPr>
        <w:tc>
          <w:tcPr>
            <w:tcW w:w="1790" w:type="dxa"/>
          </w:tcPr>
          <w:p>
            <w:pPr>
              <w:pStyle w:val="TableParagraph"/>
              <w:ind w:left="0"/>
              <w:rPr>
                <w:rFonts w:ascii="Times New Roman"/>
                <w:sz w:val="20"/>
              </w:rPr>
            </w:pPr>
          </w:p>
        </w:tc>
        <w:tc>
          <w:tcPr>
            <w:tcW w:w="6922" w:type="dxa"/>
          </w:tcPr>
          <w:p>
            <w:pPr>
              <w:pStyle w:val="TableParagraph"/>
              <w:spacing w:line="211" w:lineRule="exact"/>
              <w:ind w:left="100"/>
              <w:rPr>
                <w:sz w:val="21"/>
              </w:rPr>
            </w:pPr>
            <w:r>
              <w:rPr>
                <w:sz w:val="21"/>
              </w:rPr>
              <w:t>下列疾病不在保障范围内：</w:t>
            </w:r>
          </w:p>
          <w:p>
            <w:pPr>
              <w:pStyle w:val="TableParagraph"/>
              <w:spacing w:before="37"/>
              <w:ind w:left="100"/>
              <w:rPr>
                <w:sz w:val="21"/>
              </w:rPr>
            </w:pPr>
            <w:r>
              <w:rPr>
                <w:sz w:val="21"/>
              </w:rPr>
              <w:t>（1）原位癌；</w:t>
            </w:r>
          </w:p>
          <w:p>
            <w:pPr>
              <w:pStyle w:val="TableParagraph"/>
              <w:spacing w:before="37"/>
              <w:ind w:left="100"/>
              <w:rPr>
                <w:sz w:val="21"/>
              </w:rPr>
            </w:pPr>
            <w:r>
              <w:rPr>
                <w:sz w:val="21"/>
              </w:rPr>
              <w:t>（2）相当于Binet分期方案A期程度的慢性淋巴细胞白血病；</w:t>
            </w:r>
          </w:p>
          <w:p>
            <w:pPr>
              <w:pStyle w:val="TableParagraph"/>
              <w:spacing w:before="36"/>
              <w:ind w:left="100"/>
              <w:rPr>
                <w:sz w:val="21"/>
              </w:rPr>
            </w:pPr>
            <w:r>
              <w:rPr>
                <w:sz w:val="21"/>
              </w:rPr>
              <w:t>（3）相当于Ann Arbor分期方案I期程度的何杰金氏病；</w:t>
            </w:r>
          </w:p>
          <w:p>
            <w:pPr>
              <w:pStyle w:val="TableParagraph"/>
              <w:spacing w:line="274" w:lineRule="exact" w:before="15"/>
              <w:ind w:left="100"/>
              <w:rPr>
                <w:sz w:val="21"/>
              </w:rPr>
            </w:pPr>
            <w:r>
              <w:rPr>
                <w:sz w:val="21"/>
              </w:rPr>
              <w:t>（4）皮肤癌（不包括恶性黑色素瘤及已发生转移的皮肤癌）；</w:t>
            </w:r>
          </w:p>
          <w:p>
            <w:pPr>
              <w:pStyle w:val="TableParagraph"/>
              <w:spacing w:line="230" w:lineRule="exact"/>
              <w:ind w:left="100"/>
              <w:rPr>
                <w:sz w:val="21"/>
              </w:rPr>
            </w:pPr>
            <w:r>
              <w:rPr>
                <w:sz w:val="21"/>
              </w:rPr>
              <w:t>（5）TNM 分期为 T N M 期或更轻分期的前列腺癌；</w:t>
            </w:r>
          </w:p>
          <w:p>
            <w:pPr>
              <w:pStyle w:val="TableParagraph"/>
              <w:spacing w:line="100" w:lineRule="exact"/>
              <w:ind w:left="1782"/>
              <w:rPr>
                <w:sz w:val="11"/>
              </w:rPr>
            </w:pPr>
            <w:r>
              <w:rPr>
                <w:sz w:val="11"/>
              </w:rPr>
              <w:t>1  0 0</w:t>
            </w:r>
          </w:p>
          <w:p>
            <w:pPr>
              <w:pStyle w:val="TableParagraph"/>
              <w:spacing w:before="1"/>
              <w:ind w:left="100"/>
              <w:rPr>
                <w:sz w:val="21"/>
              </w:rPr>
            </w:pPr>
            <w:r>
              <w:rPr>
                <w:sz w:val="21"/>
              </w:rPr>
              <w:t>（6）感染艾滋病病毒或患艾滋病期间所患恶性肿瘤。</w:t>
            </w:r>
          </w:p>
        </w:tc>
      </w:tr>
      <w:tr>
        <w:trPr>
          <w:trHeight w:val="2800" w:hRule="atLeast"/>
        </w:trPr>
        <w:tc>
          <w:tcPr>
            <w:tcW w:w="1790" w:type="dxa"/>
          </w:tcPr>
          <w:p>
            <w:pPr>
              <w:pStyle w:val="TableParagraph"/>
              <w:spacing w:line="273" w:lineRule="auto" w:before="134"/>
              <w:ind w:right="97"/>
              <w:jc w:val="both"/>
              <w:rPr>
                <w:sz w:val="21"/>
              </w:rPr>
            </w:pPr>
            <w:r>
              <w:rPr>
                <w:spacing w:val="13"/>
                <w:sz w:val="21"/>
              </w:rPr>
              <w:t>(二) 急性心肌</w:t>
            </w:r>
            <w:r>
              <w:rPr>
                <w:spacing w:val="-1"/>
                <w:sz w:val="21"/>
              </w:rPr>
              <w:t>梗塞－“中国保</w:t>
            </w:r>
            <w:r>
              <w:rPr>
                <w:spacing w:val="-32"/>
                <w:sz w:val="21"/>
              </w:rPr>
              <w:t>险 行 业 协 会 推荐”</w:t>
            </w:r>
          </w:p>
        </w:tc>
        <w:tc>
          <w:tcPr>
            <w:tcW w:w="6922" w:type="dxa"/>
          </w:tcPr>
          <w:p>
            <w:pPr>
              <w:pStyle w:val="TableParagraph"/>
              <w:spacing w:line="273" w:lineRule="auto" w:before="134"/>
              <w:ind w:left="100" w:right="295"/>
              <w:rPr>
                <w:sz w:val="21"/>
              </w:rPr>
            </w:pPr>
            <w:r>
              <w:rPr>
                <w:sz w:val="21"/>
              </w:rPr>
              <w:t>指因冠状动脉阻塞导致的相应区域供血不足造成部分心肌坏死。须满足下列至少三项条件：</w:t>
            </w:r>
          </w:p>
          <w:p>
            <w:pPr>
              <w:pStyle w:val="TableParagraph"/>
              <w:spacing w:before="7"/>
              <w:ind w:left="181"/>
              <w:rPr>
                <w:sz w:val="21"/>
              </w:rPr>
            </w:pPr>
            <w:r>
              <w:rPr>
                <w:sz w:val="21"/>
              </w:rPr>
              <w:t>（1）典型临床表现，例如急性胸痛等；</w:t>
            </w:r>
          </w:p>
          <w:p>
            <w:pPr>
              <w:pStyle w:val="TableParagraph"/>
              <w:spacing w:before="36"/>
              <w:ind w:left="181"/>
              <w:rPr>
                <w:sz w:val="21"/>
              </w:rPr>
            </w:pPr>
            <w:r>
              <w:rPr>
                <w:sz w:val="21"/>
              </w:rPr>
              <w:t>（2）新近的心电图改变提示急性心肌梗塞；</w:t>
            </w:r>
          </w:p>
          <w:p>
            <w:pPr>
              <w:pStyle w:val="TableParagraph"/>
              <w:spacing w:line="273" w:lineRule="auto" w:before="36"/>
              <w:ind w:left="721" w:right="296" w:hanging="540"/>
              <w:rPr>
                <w:sz w:val="21"/>
              </w:rPr>
            </w:pPr>
            <w:r>
              <w:rPr>
                <w:sz w:val="21"/>
              </w:rPr>
              <w:t>（3）心肌酶或肌钙蛋白有诊断意义的升高，或呈符合急性心肌梗塞的动态性变化；</w:t>
            </w:r>
          </w:p>
          <w:p>
            <w:pPr>
              <w:pStyle w:val="TableParagraph"/>
              <w:spacing w:line="273" w:lineRule="auto" w:before="7"/>
              <w:ind w:left="721" w:right="293"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1790" w:type="dxa"/>
          </w:tcPr>
          <w:p>
            <w:pPr>
              <w:pStyle w:val="TableParagraph"/>
              <w:spacing w:line="273" w:lineRule="auto" w:before="142"/>
              <w:ind w:right="97"/>
              <w:jc w:val="both"/>
              <w:rPr>
                <w:sz w:val="21"/>
              </w:rPr>
            </w:pPr>
            <w:r>
              <w:rPr>
                <w:spacing w:val="13"/>
                <w:sz w:val="21"/>
              </w:rPr>
              <w:t>(三) 脑中风后</w:t>
            </w:r>
            <w:r>
              <w:rPr>
                <w:spacing w:val="-1"/>
                <w:sz w:val="21"/>
              </w:rPr>
              <w:t>遗症－“中国保</w:t>
            </w:r>
            <w:r>
              <w:rPr>
                <w:spacing w:val="-32"/>
                <w:sz w:val="21"/>
              </w:rPr>
              <w:t>险 行 业 协 会 推荐”</w:t>
            </w:r>
          </w:p>
        </w:tc>
        <w:tc>
          <w:tcPr>
            <w:tcW w:w="6922" w:type="dxa"/>
          </w:tcPr>
          <w:p>
            <w:pPr>
              <w:pStyle w:val="TableParagraph"/>
              <w:spacing w:line="273" w:lineRule="auto" w:before="142"/>
              <w:ind w:left="100" w:right="197"/>
              <w:rPr>
                <w:sz w:val="21"/>
              </w:rPr>
            </w:pPr>
            <w:r>
              <w:rPr>
                <w:spacing w:val="-3"/>
                <w:sz w:val="21"/>
              </w:rPr>
              <w:t>指因脑血管的突发病变引起脑血管出血、栓塞或梗塞，并导致神经系统永久性的功能障碍。神经系统永久性的功能障碍，指疾病确诊</w:t>
            </w:r>
            <w:r>
              <w:rPr>
                <w:sz w:val="21"/>
              </w:rPr>
              <w:t>180天后， </w:t>
            </w:r>
            <w:r>
              <w:rPr>
                <w:spacing w:val="-3"/>
                <w:sz w:val="21"/>
              </w:rPr>
              <w:t>仍遗留下列一种或一种以上障碍：</w:t>
            </w:r>
          </w:p>
          <w:p>
            <w:pPr>
              <w:pStyle w:val="TableParagraph"/>
              <w:spacing w:before="7"/>
              <w:ind w:left="181"/>
              <w:rPr>
                <w:sz w:val="21"/>
              </w:rPr>
            </w:pPr>
            <w:r>
              <w:rPr>
                <w:sz w:val="21"/>
              </w:rPr>
              <w:t>（1）一肢或一肢以上肢体机能完全丧失；</w:t>
            </w:r>
          </w:p>
          <w:p>
            <w:pPr>
              <w:pStyle w:val="TableParagraph"/>
              <w:spacing w:before="37"/>
              <w:ind w:left="181"/>
              <w:rPr>
                <w:sz w:val="21"/>
              </w:rPr>
            </w:pPr>
            <w:r>
              <w:rPr>
                <w:sz w:val="21"/>
              </w:rPr>
              <w:t>（2）语言能力或咀嚼吞咽能力完全丧失；</w:t>
            </w:r>
          </w:p>
          <w:p>
            <w:pPr>
              <w:pStyle w:val="TableParagraph"/>
              <w:spacing w:line="273" w:lineRule="auto" w:before="37"/>
              <w:ind w:left="721" w:right="296" w:hanging="540"/>
              <w:rPr>
                <w:sz w:val="21"/>
              </w:rPr>
            </w:pPr>
            <w:r>
              <w:rPr>
                <w:sz w:val="21"/>
              </w:rPr>
              <w:t>（3）自主生活能力完全丧失，无法独立完成六项基本日常生活活动中的三项或三项以上。</w:t>
            </w:r>
          </w:p>
        </w:tc>
      </w:tr>
      <w:tr>
        <w:trPr>
          <w:trHeight w:val="1872" w:hRule="atLeast"/>
        </w:trPr>
        <w:tc>
          <w:tcPr>
            <w:tcW w:w="1790" w:type="dxa"/>
          </w:tcPr>
          <w:p>
            <w:pPr>
              <w:pStyle w:val="TableParagraph"/>
              <w:spacing w:line="273" w:lineRule="auto" w:before="143"/>
              <w:ind w:right="97"/>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73" w:lineRule="auto" w:before="8"/>
              <w:ind w:right="114"/>
              <w:jc w:val="both"/>
              <w:rPr>
                <w:sz w:val="21"/>
              </w:rPr>
            </w:pPr>
            <w:r>
              <w:rPr>
                <w:sz w:val="21"/>
              </w:rPr>
              <w:t>“中国保险行业协会推荐”</w:t>
            </w:r>
          </w:p>
        </w:tc>
        <w:tc>
          <w:tcPr>
            <w:tcW w:w="6922" w:type="dxa"/>
          </w:tcPr>
          <w:p>
            <w:pPr>
              <w:pStyle w:val="TableParagraph"/>
              <w:spacing w:line="273" w:lineRule="auto" w:before="143"/>
              <w:ind w:left="100" w:right="302"/>
              <w:jc w:val="both"/>
              <w:rPr>
                <w:sz w:val="21"/>
              </w:rPr>
            </w:pPr>
            <w:r>
              <w:rPr>
                <w:sz w:val="21"/>
              </w:rPr>
              <w:t>重大器官移植术，指因相应器官功能衰竭，已经实施了肾脏、肝脏、心脏或肺脏的异体移植手术。</w:t>
            </w:r>
          </w:p>
          <w:p>
            <w:pPr>
              <w:pStyle w:val="TableParagraph"/>
              <w:spacing w:line="273" w:lineRule="auto" w:before="8"/>
              <w:ind w:left="100" w:right="29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790" w:type="dxa"/>
          </w:tcPr>
          <w:p>
            <w:pPr>
              <w:pStyle w:val="TableParagraph"/>
              <w:spacing w:line="273" w:lineRule="auto" w:before="142"/>
              <w:ind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2" w:type="dxa"/>
          </w:tcPr>
          <w:p>
            <w:pPr>
              <w:pStyle w:val="TableParagraph"/>
              <w:spacing w:line="273" w:lineRule="auto" w:before="142"/>
              <w:ind w:left="100" w:right="295"/>
              <w:rPr>
                <w:sz w:val="21"/>
              </w:rPr>
            </w:pPr>
            <w:r>
              <w:rPr>
                <w:sz w:val="21"/>
              </w:rPr>
              <w:t>指为治疗严重的冠心病，实际实施了开胸进行的冠状动脉血管旁路移植的手术。</w:t>
            </w:r>
          </w:p>
          <w:p>
            <w:pPr>
              <w:pStyle w:val="TableParagraph"/>
              <w:spacing w:line="273" w:lineRule="auto" w:before="7"/>
              <w:ind w:left="100" w:right="295"/>
              <w:rPr>
                <w:sz w:val="21"/>
              </w:rPr>
            </w:pPr>
            <w:r>
              <w:rPr>
                <w:sz w:val="21"/>
              </w:rPr>
              <w:t>冠状动脉支架植入术、心导管球囊扩张术、激光射频技术及其他非开胸的介入手术、腔镜手术不在保障范围内。</w:t>
            </w:r>
          </w:p>
        </w:tc>
      </w:tr>
      <w:tr>
        <w:trPr>
          <w:trHeight w:val="2183" w:hRule="atLeast"/>
        </w:trPr>
        <w:tc>
          <w:tcPr>
            <w:tcW w:w="1790" w:type="dxa"/>
          </w:tcPr>
          <w:p>
            <w:pPr>
              <w:pStyle w:val="TableParagraph"/>
              <w:spacing w:line="273" w:lineRule="auto" w:before="142"/>
              <w:ind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22" w:type="dxa"/>
          </w:tcPr>
          <w:p>
            <w:pPr>
              <w:pStyle w:val="TableParagraph"/>
              <w:spacing w:line="273" w:lineRule="auto" w:before="142"/>
              <w:ind w:left="100" w:right="29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417" w:hRule="atLeast"/>
        </w:trPr>
        <w:tc>
          <w:tcPr>
            <w:tcW w:w="1790" w:type="dxa"/>
          </w:tcPr>
          <w:p>
            <w:pPr>
              <w:pStyle w:val="TableParagraph"/>
              <w:spacing w:line="255" w:lineRule="exact" w:before="142"/>
              <w:rPr>
                <w:sz w:val="21"/>
              </w:rPr>
            </w:pPr>
            <w:r>
              <w:rPr>
                <w:sz w:val="21"/>
              </w:rPr>
              <w:t>(七) 多个肢体</w:t>
            </w:r>
          </w:p>
        </w:tc>
        <w:tc>
          <w:tcPr>
            <w:tcW w:w="6922" w:type="dxa"/>
          </w:tcPr>
          <w:p>
            <w:pPr>
              <w:pStyle w:val="TableParagraph"/>
              <w:spacing w:line="255" w:lineRule="exact" w:before="142"/>
              <w:ind w:left="100"/>
              <w:rPr>
                <w:sz w:val="21"/>
              </w:rPr>
            </w:pPr>
            <w:r>
              <w:rPr>
                <w:sz w:val="21"/>
              </w:rPr>
              <w:t>指因疾病或意外伤害导致两个或两个以上肢体自腕关节或踝关节近端</w:t>
            </w:r>
          </w:p>
        </w:tc>
      </w:tr>
    </w:tbl>
    <w:p>
      <w:pPr>
        <w:spacing w:after="0" w:line="255" w:lineRule="exact"/>
        <w:rPr>
          <w:sz w:val="21"/>
        </w:rPr>
        <w:sectPr>
          <w:pgSz w:w="11910" w:h="16840"/>
          <w:pgMar w:header="0" w:footer="912" w:top="1160" w:bottom="1100" w:left="1680" w:right="12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1042" w:hRule="atLeast"/>
        </w:trPr>
        <w:tc>
          <w:tcPr>
            <w:tcW w:w="1790" w:type="dxa"/>
          </w:tcPr>
          <w:p>
            <w:pPr>
              <w:pStyle w:val="TableParagraph"/>
              <w:spacing w:line="211" w:lineRule="exact"/>
              <w:rPr>
                <w:sz w:val="21"/>
              </w:rPr>
            </w:pPr>
            <w:r>
              <w:rPr>
                <w:sz w:val="21"/>
              </w:rPr>
              <w:t>缺失－“中国保</w:t>
            </w:r>
          </w:p>
          <w:p>
            <w:pPr>
              <w:pStyle w:val="TableParagraph"/>
              <w:spacing w:line="273" w:lineRule="auto" w:before="37"/>
              <w:ind w:right="115"/>
              <w:rPr>
                <w:sz w:val="21"/>
              </w:rPr>
            </w:pPr>
            <w:r>
              <w:rPr>
                <w:spacing w:val="-32"/>
                <w:sz w:val="21"/>
              </w:rPr>
              <w:t>险 行 业 协 会 推荐”</w:t>
            </w:r>
          </w:p>
        </w:tc>
        <w:tc>
          <w:tcPr>
            <w:tcW w:w="6932" w:type="dxa"/>
          </w:tcPr>
          <w:p>
            <w:pPr>
              <w:pStyle w:val="TableParagraph"/>
              <w:spacing w:line="211" w:lineRule="exact"/>
              <w:ind w:left="100"/>
              <w:rPr>
                <w:sz w:val="21"/>
              </w:rPr>
            </w:pPr>
            <w:r>
              <w:rPr>
                <w:sz w:val="21"/>
              </w:rPr>
              <w:t>（靠近躯干端）以上完全性断离。</w:t>
            </w:r>
          </w:p>
        </w:tc>
      </w:tr>
      <w:tr>
        <w:trPr>
          <w:trHeight w:val="2191" w:hRule="atLeast"/>
        </w:trPr>
        <w:tc>
          <w:tcPr>
            <w:tcW w:w="1790" w:type="dxa"/>
          </w:tcPr>
          <w:p>
            <w:pPr>
              <w:pStyle w:val="TableParagraph"/>
              <w:spacing w:line="273" w:lineRule="auto" w:before="142"/>
              <w:ind w:right="97"/>
              <w:rPr>
                <w:sz w:val="21"/>
              </w:rPr>
            </w:pPr>
            <w:r>
              <w:rPr>
                <w:sz w:val="21"/>
              </w:rPr>
              <w:t>(八) 急性或亚急性重症肝炎－</w:t>
            </w:r>
          </w:p>
          <w:p>
            <w:pPr>
              <w:pStyle w:val="TableParagraph"/>
              <w:spacing w:line="273" w:lineRule="auto" w:before="7"/>
              <w:ind w:right="114"/>
              <w:rPr>
                <w:sz w:val="21"/>
              </w:rPr>
            </w:pPr>
            <w:r>
              <w:rPr>
                <w:sz w:val="21"/>
              </w:rPr>
              <w:t>“中国保险行业协会推荐”</w:t>
            </w:r>
          </w:p>
        </w:tc>
        <w:tc>
          <w:tcPr>
            <w:tcW w:w="6932" w:type="dxa"/>
          </w:tcPr>
          <w:p>
            <w:pPr>
              <w:pStyle w:val="TableParagraph"/>
              <w:spacing w:line="273" w:lineRule="auto" w:before="142"/>
              <w:ind w:left="10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7"/>
              <w:ind w:left="100"/>
              <w:rPr>
                <w:sz w:val="21"/>
              </w:rPr>
            </w:pPr>
            <w:r>
              <w:rPr>
                <w:sz w:val="21"/>
              </w:rPr>
              <w:t>（3）B超或其他影像学检查显示肝脏体积急速萎缩；</w:t>
            </w:r>
          </w:p>
          <w:p>
            <w:pPr>
              <w:pStyle w:val="TableParagraph"/>
              <w:spacing w:before="37"/>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4"/>
              <w:ind w:right="97"/>
              <w:jc w:val="both"/>
              <w:rPr>
                <w:sz w:val="21"/>
              </w:rPr>
            </w:pPr>
            <w:r>
              <w:rPr>
                <w:sz w:val="21"/>
              </w:rPr>
              <w:t>(九) 良性脑肿瘤－“中国保险行业协会推荐”</w:t>
            </w:r>
          </w:p>
        </w:tc>
        <w:tc>
          <w:tcPr>
            <w:tcW w:w="6932" w:type="dxa"/>
          </w:tcPr>
          <w:p>
            <w:pPr>
              <w:pStyle w:val="TableParagraph"/>
              <w:spacing w:line="273" w:lineRule="auto" w:before="134"/>
              <w:ind w:left="100" w:right="197"/>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ind w:left="100"/>
              <w:rPr>
                <w:sz w:val="21"/>
              </w:rPr>
            </w:pPr>
            <w:r>
              <w:rPr>
                <w:sz w:val="21"/>
              </w:rPr>
              <w:t>（1）实际实施了开颅进行的脑肿瘤完全切除或部分切除的手术；</w:t>
            </w:r>
          </w:p>
          <w:p>
            <w:pPr>
              <w:pStyle w:val="TableParagraph"/>
              <w:spacing w:before="37"/>
              <w:ind w:left="100"/>
              <w:rPr>
                <w:sz w:val="21"/>
              </w:rPr>
            </w:pPr>
            <w:r>
              <w:rPr>
                <w:sz w:val="21"/>
              </w:rPr>
              <w:t>（2）实际实施了对脑肿瘤进行的放射治疗。</w:t>
            </w:r>
          </w:p>
          <w:p>
            <w:pPr>
              <w:pStyle w:val="TableParagraph"/>
              <w:spacing w:before="37"/>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before="142"/>
              <w:ind w:right="97"/>
              <w:rPr>
                <w:sz w:val="21"/>
              </w:rPr>
            </w:pPr>
            <w:r>
              <w:rPr>
                <w:sz w:val="21"/>
              </w:rPr>
              <w:t>(十) 慢性肝功能衰竭失代偿期</w:t>
            </w:r>
          </w:p>
          <w:p>
            <w:pPr>
              <w:pStyle w:val="TableParagraph"/>
              <w:spacing w:line="273" w:lineRule="auto" w:before="7"/>
              <w:ind w:right="114"/>
              <w:rPr>
                <w:sz w:val="21"/>
              </w:rPr>
            </w:pPr>
            <w:r>
              <w:rPr>
                <w:sz w:val="21"/>
              </w:rPr>
              <w:t>－“中国保险行业协会推荐”</w:t>
            </w:r>
          </w:p>
        </w:tc>
        <w:tc>
          <w:tcPr>
            <w:tcW w:w="6932" w:type="dxa"/>
          </w:tcPr>
          <w:p>
            <w:pPr>
              <w:pStyle w:val="TableParagraph"/>
              <w:spacing w:before="142"/>
              <w:ind w:left="100"/>
              <w:rPr>
                <w:sz w:val="21"/>
              </w:rPr>
            </w:pPr>
            <w:r>
              <w:rPr>
                <w:sz w:val="21"/>
              </w:rPr>
              <w:t>指因慢性肝脏疾病导致肝功能衰竭。须满足下列全部条件：</w:t>
            </w:r>
          </w:p>
          <w:p>
            <w:pPr>
              <w:pStyle w:val="TableParagraph"/>
              <w:spacing w:before="36"/>
              <w:ind w:left="100"/>
              <w:rPr>
                <w:sz w:val="21"/>
              </w:rPr>
            </w:pPr>
            <w:r>
              <w:rPr>
                <w:sz w:val="21"/>
              </w:rPr>
              <w:t>（1）持续性黄疸；</w:t>
            </w:r>
          </w:p>
          <w:p>
            <w:pPr>
              <w:pStyle w:val="TableParagraph"/>
              <w:spacing w:before="36"/>
              <w:ind w:left="100"/>
              <w:rPr>
                <w:sz w:val="21"/>
              </w:rPr>
            </w:pPr>
            <w:r>
              <w:rPr>
                <w:sz w:val="21"/>
              </w:rPr>
              <w:t>（2）腹水；</w:t>
            </w:r>
          </w:p>
          <w:p>
            <w:pPr>
              <w:pStyle w:val="TableParagraph"/>
              <w:spacing w:before="36"/>
              <w:ind w:left="100"/>
              <w:rPr>
                <w:sz w:val="21"/>
              </w:rPr>
            </w:pPr>
            <w:r>
              <w:rPr>
                <w:sz w:val="21"/>
              </w:rPr>
              <w:t>（3）肝性脑病；</w:t>
            </w:r>
          </w:p>
          <w:p>
            <w:pPr>
              <w:pStyle w:val="TableParagraph"/>
              <w:spacing w:line="273" w:lineRule="auto" w:before="36"/>
              <w:ind w:left="100" w:right="1680"/>
              <w:rPr>
                <w:sz w:val="21"/>
              </w:rPr>
            </w:pPr>
            <w:r>
              <w:rPr>
                <w:sz w:val="21"/>
              </w:rPr>
              <w:t>（4）充血性脾肿大伴脾功能亢进或食管胃底静脉曲张。因酗酒或药物滥用导致的肝功能衰竭不在保障范围内。</w:t>
            </w:r>
          </w:p>
        </w:tc>
      </w:tr>
      <w:tr>
        <w:trPr>
          <w:trHeight w:val="2189" w:hRule="atLeast"/>
        </w:trPr>
        <w:tc>
          <w:tcPr>
            <w:tcW w:w="1790" w:type="dxa"/>
          </w:tcPr>
          <w:p>
            <w:pPr>
              <w:pStyle w:val="TableParagraph"/>
              <w:spacing w:line="273" w:lineRule="auto" w:before="142"/>
              <w:ind w:right="97"/>
              <w:jc w:val="both"/>
              <w:rPr>
                <w:sz w:val="21"/>
              </w:rPr>
            </w:pPr>
            <w:r>
              <w:rPr>
                <w:spacing w:val="13"/>
                <w:sz w:val="21"/>
              </w:rPr>
              <w:t>(十一) 脑炎后</w:t>
            </w:r>
            <w:r>
              <w:rPr>
                <w:spacing w:val="-2"/>
                <w:sz w:val="21"/>
              </w:rPr>
              <w:t>遗症或脑膜炎后</w:t>
            </w:r>
            <w:r>
              <w:rPr>
                <w:spacing w:val="-3"/>
                <w:sz w:val="21"/>
              </w:rPr>
              <w:t>遗症－“中国保</w:t>
            </w:r>
            <w:r>
              <w:rPr>
                <w:spacing w:val="-33"/>
                <w:sz w:val="21"/>
              </w:rPr>
              <w:t>险 行 业 协 会 推荐”</w:t>
            </w:r>
          </w:p>
        </w:tc>
        <w:tc>
          <w:tcPr>
            <w:tcW w:w="6932" w:type="dxa"/>
          </w:tcPr>
          <w:p>
            <w:pPr>
              <w:pStyle w:val="TableParagraph"/>
              <w:spacing w:line="273" w:lineRule="auto" w:before="142"/>
              <w:ind w:left="100" w:right="2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0"/>
              <w:rPr>
                <w:sz w:val="21"/>
              </w:rPr>
            </w:pPr>
            <w:r>
              <w:rPr>
                <w:sz w:val="21"/>
              </w:rPr>
              <w:t>（1）一肢或一肢以上</w:t>
            </w:r>
            <w:r>
              <w:rPr>
                <w:b/>
                <w:sz w:val="21"/>
              </w:rPr>
              <w:t>肢体机能完全丧失</w:t>
            </w:r>
            <w:r>
              <w:rPr>
                <w:sz w:val="21"/>
              </w:rPr>
              <w:t>（见释义6.17）；</w:t>
            </w:r>
          </w:p>
          <w:p>
            <w:pPr>
              <w:pStyle w:val="TableParagraph"/>
              <w:spacing w:before="37"/>
              <w:ind w:left="100"/>
              <w:rPr>
                <w:sz w:val="21"/>
              </w:rPr>
            </w:pPr>
            <w:r>
              <w:rPr>
                <w:sz w:val="21"/>
              </w:rPr>
              <w:t>（2）</w:t>
            </w:r>
            <w:r>
              <w:rPr>
                <w:b/>
                <w:sz w:val="21"/>
              </w:rPr>
              <w:t>语言能力或咀嚼吞咽能力完全丧失</w:t>
            </w:r>
            <w:r>
              <w:rPr>
                <w:sz w:val="21"/>
              </w:rPr>
              <w:t>（见释义6.18）；</w:t>
            </w:r>
          </w:p>
          <w:p>
            <w:pPr>
              <w:pStyle w:val="TableParagraph"/>
              <w:spacing w:line="247" w:lineRule="auto" w:before="37"/>
              <w:ind w:left="721" w:right="305" w:hanging="540"/>
              <w:rPr>
                <w:sz w:val="24"/>
              </w:rPr>
            </w:pPr>
            <w:r>
              <w:rPr>
                <w:spacing w:val="-21"/>
                <w:sz w:val="21"/>
              </w:rPr>
              <w:t>（3）</w:t>
            </w:r>
            <w:r>
              <w:rPr>
                <w:spacing w:val="-9"/>
                <w:sz w:val="21"/>
              </w:rPr>
              <w:t>自主生活能力完全丧失，无法独立完成</w:t>
            </w:r>
            <w:r>
              <w:rPr>
                <w:b/>
                <w:spacing w:val="-7"/>
                <w:sz w:val="21"/>
              </w:rPr>
              <w:t>六项基本日常生活活动</w:t>
            </w:r>
            <w:r>
              <w:rPr>
                <w:spacing w:val="-3"/>
                <w:sz w:val="21"/>
              </w:rPr>
              <w:t>（见</w:t>
            </w:r>
            <w:r>
              <w:rPr>
                <w:spacing w:val="-1"/>
                <w:sz w:val="21"/>
              </w:rPr>
              <w:t>释义6.19）</w:t>
            </w:r>
            <w:r>
              <w:rPr>
                <w:spacing w:val="-3"/>
                <w:sz w:val="21"/>
              </w:rPr>
              <w:t>中的三项或三项以上</w:t>
            </w:r>
            <w:r>
              <w:rPr>
                <w:sz w:val="24"/>
              </w:rPr>
              <w:t>。</w:t>
            </w:r>
          </w:p>
        </w:tc>
      </w:tr>
      <w:tr>
        <w:trPr>
          <w:trHeight w:val="1551" w:hRule="atLeast"/>
        </w:trPr>
        <w:tc>
          <w:tcPr>
            <w:tcW w:w="1790" w:type="dxa"/>
          </w:tcPr>
          <w:p>
            <w:pPr>
              <w:pStyle w:val="TableParagraph"/>
              <w:spacing w:line="273" w:lineRule="auto" w:before="137"/>
              <w:ind w:right="97"/>
              <w:jc w:val="both"/>
              <w:rPr>
                <w:sz w:val="21"/>
              </w:rPr>
            </w:pPr>
            <w:r>
              <w:rPr>
                <w:sz w:val="21"/>
              </w:rPr>
              <w:t>(十二) 深度昏迷－“中国保险行业协会推荐”</w:t>
            </w:r>
          </w:p>
        </w:tc>
        <w:tc>
          <w:tcPr>
            <w:tcW w:w="6932" w:type="dxa"/>
          </w:tcPr>
          <w:p>
            <w:pPr>
              <w:pStyle w:val="TableParagraph"/>
              <w:spacing w:line="273" w:lineRule="auto" w:before="137"/>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0"/>
              <w:jc w:val="both"/>
              <w:rPr>
                <w:sz w:val="21"/>
              </w:rPr>
            </w:pPr>
            <w:r>
              <w:rPr>
                <w:sz w:val="21"/>
              </w:rPr>
              <w:t>因酗酒或药物滥用导致的深度昏迷不在保障范围内。</w:t>
            </w:r>
          </w:p>
        </w:tc>
      </w:tr>
      <w:tr>
        <w:trPr>
          <w:trHeight w:val="1251" w:hRule="atLeast"/>
        </w:trPr>
        <w:tc>
          <w:tcPr>
            <w:tcW w:w="1790" w:type="dxa"/>
          </w:tcPr>
          <w:p>
            <w:pPr>
              <w:pStyle w:val="TableParagraph"/>
              <w:spacing w:line="273" w:lineRule="auto" w:before="146"/>
              <w:ind w:right="97"/>
              <w:jc w:val="both"/>
              <w:rPr>
                <w:sz w:val="21"/>
              </w:rPr>
            </w:pPr>
            <w:r>
              <w:rPr>
                <w:sz w:val="21"/>
              </w:rPr>
              <w:t>(十三) 双耳失聪－“中国保险行业协会推荐”</w:t>
            </w:r>
          </w:p>
        </w:tc>
        <w:tc>
          <w:tcPr>
            <w:tcW w:w="6932" w:type="dxa"/>
          </w:tcPr>
          <w:p>
            <w:pPr>
              <w:pStyle w:val="TableParagraph"/>
              <w:spacing w:line="256" w:lineRule="auto" w:before="146"/>
              <w:ind w:left="100" w:right="197"/>
              <w:rPr>
                <w:sz w:val="21"/>
              </w:rPr>
            </w:pPr>
            <w:r>
              <w:rPr>
                <w:spacing w:val="-3"/>
                <w:sz w:val="21"/>
              </w:rPr>
              <w:t>指因疾病或意外伤害导致双耳听力</w:t>
            </w:r>
            <w:r>
              <w:rPr>
                <w:b/>
                <w:sz w:val="21"/>
              </w:rPr>
              <w:t>永久不可逆</w:t>
            </w:r>
            <w:r>
              <w:rPr>
                <w:spacing w:val="-3"/>
                <w:sz w:val="21"/>
              </w:rPr>
              <w:t>（</w:t>
            </w:r>
            <w:r>
              <w:rPr>
                <w:spacing w:val="-11"/>
                <w:sz w:val="21"/>
              </w:rPr>
              <w:t>见释义 </w:t>
            </w:r>
            <w:r>
              <w:rPr>
                <w:rFonts w:ascii="Times New Roman" w:eastAsia="Times New Roman"/>
                <w:sz w:val="21"/>
              </w:rPr>
              <w:t>6.20</w:t>
            </w:r>
            <w:r>
              <w:rPr>
                <w:sz w:val="21"/>
              </w:rPr>
              <w:t>）</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1353" w:hRule="atLeast"/>
        </w:trPr>
        <w:tc>
          <w:tcPr>
            <w:tcW w:w="1790" w:type="dxa"/>
          </w:tcPr>
          <w:p>
            <w:pPr>
              <w:pStyle w:val="TableParagraph"/>
              <w:spacing w:line="273" w:lineRule="auto" w:before="142"/>
              <w:ind w:right="97"/>
              <w:jc w:val="both"/>
              <w:rPr>
                <w:sz w:val="21"/>
              </w:rPr>
            </w:pPr>
            <w:r>
              <w:rPr>
                <w:sz w:val="21"/>
              </w:rPr>
              <w:t>(十四) 双目失明－“中国保险行业协会推荐”</w:t>
            </w:r>
          </w:p>
        </w:tc>
        <w:tc>
          <w:tcPr>
            <w:tcW w:w="6932" w:type="dxa"/>
          </w:tcPr>
          <w:p>
            <w:pPr>
              <w:pStyle w:val="TableParagraph"/>
              <w:spacing w:line="273" w:lineRule="auto" w:before="142"/>
              <w:ind w:left="100" w:right="305"/>
              <w:rPr>
                <w:sz w:val="21"/>
              </w:rPr>
            </w:pPr>
            <w:r>
              <w:rPr>
                <w:sz w:val="21"/>
              </w:rPr>
              <w:t>指因疾病或意外伤害导致双眼视力永久不可逆性丧失，双眼中较好眼须满足下列至少一项条件：</w:t>
            </w:r>
          </w:p>
          <w:p>
            <w:pPr>
              <w:pStyle w:val="TableParagraph"/>
              <w:spacing w:before="7"/>
              <w:ind w:left="181"/>
              <w:rPr>
                <w:sz w:val="21"/>
              </w:rPr>
            </w:pPr>
            <w:r>
              <w:rPr>
                <w:sz w:val="21"/>
              </w:rPr>
              <w:t>（1）眼球缺失或摘除；</w:t>
            </w:r>
          </w:p>
          <w:p>
            <w:pPr>
              <w:pStyle w:val="TableParagraph"/>
              <w:spacing w:line="255" w:lineRule="exact" w:before="37"/>
              <w:ind w:left="181"/>
              <w:rPr>
                <w:sz w:val="21"/>
              </w:rPr>
            </w:pPr>
            <w:r>
              <w:rPr>
                <w:sz w:val="21"/>
              </w:rPr>
              <w:t>（2）矫正视力低于0.02（采用国际标准视力表，如果使用其他视力表</w:t>
            </w:r>
          </w:p>
        </w:tc>
      </w:tr>
    </w:tbl>
    <w:p>
      <w:pPr>
        <w:spacing w:after="0" w:line="255"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737" w:hRule="atLeast"/>
        </w:trPr>
        <w:tc>
          <w:tcPr>
            <w:tcW w:w="1796" w:type="dxa"/>
          </w:tcPr>
          <w:p>
            <w:pPr>
              <w:pStyle w:val="TableParagraph"/>
              <w:ind w:left="0"/>
              <w:rPr>
                <w:rFonts w:ascii="Times New Roman"/>
                <w:sz w:val="20"/>
              </w:rPr>
            </w:pPr>
          </w:p>
        </w:tc>
        <w:tc>
          <w:tcPr>
            <w:tcW w:w="6926" w:type="dxa"/>
          </w:tcPr>
          <w:p>
            <w:pPr>
              <w:pStyle w:val="TableParagraph"/>
              <w:spacing w:line="211" w:lineRule="exact"/>
              <w:ind w:left="129" w:right="4147"/>
              <w:jc w:val="center"/>
              <w:rPr>
                <w:sz w:val="21"/>
              </w:rPr>
            </w:pPr>
            <w:r>
              <w:rPr>
                <w:sz w:val="21"/>
              </w:rPr>
              <w:t>应进行换算）；</w:t>
            </w:r>
          </w:p>
          <w:p>
            <w:pPr>
              <w:pStyle w:val="TableParagraph"/>
              <w:spacing w:before="37"/>
              <w:ind w:left="129" w:right="4288"/>
              <w:jc w:val="center"/>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6" w:type="dxa"/>
          </w:tcPr>
          <w:p>
            <w:pPr>
              <w:pStyle w:val="TableParagraph"/>
              <w:spacing w:before="135"/>
              <w:rPr>
                <w:sz w:val="21"/>
              </w:rPr>
            </w:pPr>
            <w:r>
              <w:rPr>
                <w:sz w:val="21"/>
              </w:rPr>
              <w:t>(十五) 瘫痪－</w:t>
            </w:r>
          </w:p>
          <w:p>
            <w:pPr>
              <w:pStyle w:val="TableParagraph"/>
              <w:spacing w:line="273" w:lineRule="auto" w:before="37"/>
              <w:ind w:right="120"/>
              <w:rPr>
                <w:sz w:val="21"/>
              </w:rPr>
            </w:pPr>
            <w:r>
              <w:rPr>
                <w:sz w:val="21"/>
              </w:rPr>
              <w:t>“中国保险行业协会推荐”</w:t>
            </w:r>
          </w:p>
        </w:tc>
        <w:tc>
          <w:tcPr>
            <w:tcW w:w="6926" w:type="dxa"/>
          </w:tcPr>
          <w:p>
            <w:pPr>
              <w:pStyle w:val="TableParagraph"/>
              <w:spacing w:line="264" w:lineRule="auto" w:before="135"/>
              <w:ind w:left="94"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6" w:type="dxa"/>
          </w:tcPr>
          <w:p>
            <w:pPr>
              <w:pStyle w:val="TableParagraph"/>
              <w:spacing w:line="273" w:lineRule="auto" w:before="142"/>
              <w:ind w:right="103"/>
              <w:jc w:val="both"/>
              <w:rPr>
                <w:sz w:val="21"/>
              </w:rPr>
            </w:pPr>
            <w:r>
              <w:rPr>
                <w:sz w:val="21"/>
              </w:rPr>
              <w:t>(十六) 心脏瓣膜手术－“中国保险行业协会推荐”</w:t>
            </w:r>
          </w:p>
        </w:tc>
        <w:tc>
          <w:tcPr>
            <w:tcW w:w="6926" w:type="dxa"/>
          </w:tcPr>
          <w:p>
            <w:pPr>
              <w:pStyle w:val="TableParagraph"/>
              <w:spacing w:line="273" w:lineRule="auto" w:before="142"/>
              <w:ind w:left="94" w:right="305"/>
              <w:rPr>
                <w:sz w:val="21"/>
              </w:rPr>
            </w:pPr>
            <w:r>
              <w:rPr>
                <w:sz w:val="21"/>
              </w:rPr>
              <w:t>指为治疗心脏瓣膜疾病，实际实施了开胸进行的心脏瓣膜置换或修复的手术。</w:t>
            </w:r>
          </w:p>
        </w:tc>
      </w:tr>
      <w:tr>
        <w:trPr>
          <w:trHeight w:val="2184" w:hRule="atLeast"/>
        </w:trPr>
        <w:tc>
          <w:tcPr>
            <w:tcW w:w="1796" w:type="dxa"/>
          </w:tcPr>
          <w:p>
            <w:pPr>
              <w:pStyle w:val="TableParagraph"/>
              <w:spacing w:line="273" w:lineRule="auto" w:before="142"/>
              <w:ind w:right="103"/>
              <w:rPr>
                <w:sz w:val="21"/>
              </w:rPr>
            </w:pPr>
            <w:r>
              <w:rPr>
                <w:spacing w:val="13"/>
                <w:sz w:val="21"/>
              </w:rPr>
              <w:t>(十七) 严重阿</w:t>
            </w:r>
            <w:r>
              <w:rPr>
                <w:spacing w:val="-32"/>
                <w:sz w:val="21"/>
              </w:rPr>
              <w:t>尔 茨 海 默 病 －</w:t>
            </w:r>
          </w:p>
          <w:p>
            <w:pPr>
              <w:pStyle w:val="TableParagraph"/>
              <w:spacing w:line="273" w:lineRule="auto" w:before="7"/>
              <w:ind w:right="120"/>
              <w:rPr>
                <w:sz w:val="21"/>
              </w:rPr>
            </w:pPr>
            <w:r>
              <w:rPr>
                <w:sz w:val="21"/>
              </w:rPr>
              <w:t>“中国保险行业协会推荐”</w:t>
            </w:r>
          </w:p>
        </w:tc>
        <w:tc>
          <w:tcPr>
            <w:tcW w:w="6926" w:type="dxa"/>
          </w:tcPr>
          <w:p>
            <w:pPr>
              <w:pStyle w:val="TableParagraph"/>
              <w:spacing w:line="273" w:lineRule="auto" w:before="142"/>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w:t>
            </w:r>
            <w:r>
              <w:rPr>
                <w:spacing w:val="-5"/>
                <w:sz w:val="21"/>
              </w:rPr>
              <w:t>（CT）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before="142"/>
              <w:ind w:right="103"/>
              <w:jc w:val="both"/>
              <w:rPr>
                <w:sz w:val="21"/>
              </w:rPr>
            </w:pPr>
            <w:r>
              <w:rPr>
                <w:spacing w:val="13"/>
                <w:sz w:val="21"/>
              </w:rPr>
              <w:t>(十八) 严重脑</w:t>
            </w:r>
            <w:r>
              <w:rPr>
                <w:spacing w:val="-1"/>
                <w:sz w:val="21"/>
              </w:rPr>
              <w:t>损伤－“中国保</w:t>
            </w:r>
            <w:r>
              <w:rPr>
                <w:spacing w:val="-32"/>
                <w:sz w:val="21"/>
              </w:rPr>
              <w:t>险 行 业 协 会 推荐”</w:t>
            </w:r>
          </w:p>
        </w:tc>
        <w:tc>
          <w:tcPr>
            <w:tcW w:w="6926" w:type="dxa"/>
          </w:tcPr>
          <w:p>
            <w:pPr>
              <w:pStyle w:val="TableParagraph"/>
              <w:spacing w:line="273" w:lineRule="auto" w:before="142"/>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175"/>
              <w:rPr>
                <w:sz w:val="21"/>
              </w:rPr>
            </w:pPr>
            <w:r>
              <w:rPr>
                <w:sz w:val="21"/>
              </w:rPr>
              <w:t>（1）一肢或一肢以上肢体机能完全丧失；</w:t>
            </w:r>
          </w:p>
          <w:p>
            <w:pPr>
              <w:pStyle w:val="TableParagraph"/>
              <w:spacing w:before="37"/>
              <w:ind w:left="175"/>
              <w:rPr>
                <w:sz w:val="21"/>
              </w:rPr>
            </w:pPr>
            <w:r>
              <w:rPr>
                <w:sz w:val="21"/>
              </w:rPr>
              <w:t>（2）语言能力或咀嚼吞咽能力完全丧失；</w:t>
            </w:r>
          </w:p>
          <w:p>
            <w:pPr>
              <w:pStyle w:val="TableParagraph"/>
              <w:spacing w:line="273" w:lineRule="auto" w:before="36"/>
              <w:ind w:left="715" w:right="339" w:hanging="540"/>
              <w:rPr>
                <w:sz w:val="21"/>
              </w:rPr>
            </w:pPr>
            <w:r>
              <w:rPr>
                <w:sz w:val="21"/>
              </w:rPr>
              <w:t>（3）自主生活能力完全丧失，无法独立完成六项基本日常生活活动中的三项或三项以上。</w:t>
            </w:r>
          </w:p>
        </w:tc>
      </w:tr>
      <w:tr>
        <w:trPr>
          <w:trHeight w:val="2180" w:hRule="atLeast"/>
        </w:trPr>
        <w:tc>
          <w:tcPr>
            <w:tcW w:w="1796" w:type="dxa"/>
          </w:tcPr>
          <w:p>
            <w:pPr>
              <w:pStyle w:val="TableParagraph"/>
              <w:spacing w:line="273" w:lineRule="auto" w:before="142"/>
              <w:ind w:right="103"/>
              <w:jc w:val="both"/>
              <w:rPr>
                <w:sz w:val="21"/>
              </w:rPr>
            </w:pPr>
            <w:r>
              <w:rPr>
                <w:sz w:val="21"/>
              </w:rPr>
              <w:t>(十九) 严重帕金森病－“中国保险行业协会推荐”</w:t>
            </w:r>
          </w:p>
        </w:tc>
        <w:tc>
          <w:tcPr>
            <w:tcW w:w="6926" w:type="dxa"/>
          </w:tcPr>
          <w:p>
            <w:pPr>
              <w:pStyle w:val="TableParagraph"/>
              <w:spacing w:line="273" w:lineRule="auto" w:before="142"/>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7"/>
              <w:ind w:left="175"/>
              <w:rPr>
                <w:sz w:val="21"/>
              </w:rPr>
            </w:pPr>
            <w:r>
              <w:rPr>
                <w:sz w:val="21"/>
              </w:rPr>
              <w:t>（1）药物治疗无法控制病情；</w:t>
            </w:r>
          </w:p>
          <w:p>
            <w:pPr>
              <w:pStyle w:val="TableParagraph"/>
              <w:spacing w:line="273" w:lineRule="auto" w:before="37"/>
              <w:ind w:left="715" w:right="339"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26"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4"/>
              <w:rPr>
                <w:sz w:val="21"/>
              </w:rPr>
            </w:pPr>
            <w:r>
              <w:rPr>
                <w:sz w:val="21"/>
              </w:rPr>
              <w:t>以上。体表面积根据《中国新九分法》计算。</w:t>
            </w:r>
          </w:p>
        </w:tc>
      </w:tr>
      <w:tr>
        <w:trPr>
          <w:trHeight w:val="1561" w:hRule="atLeast"/>
        </w:trPr>
        <w:tc>
          <w:tcPr>
            <w:tcW w:w="1796" w:type="dxa"/>
          </w:tcPr>
          <w:p>
            <w:pPr>
              <w:pStyle w:val="TableParagraph"/>
              <w:spacing w:line="268" w:lineRule="auto" w:before="147"/>
              <w:ind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26" w:type="dxa"/>
          </w:tcPr>
          <w:p>
            <w:pPr>
              <w:pStyle w:val="TableParagraph"/>
              <w:spacing w:line="273" w:lineRule="auto" w:before="147"/>
              <w:ind w:left="94" w:right="305"/>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436" w:hRule="atLeast"/>
        </w:trPr>
        <w:tc>
          <w:tcPr>
            <w:tcW w:w="1796" w:type="dxa"/>
          </w:tcPr>
          <w:p>
            <w:pPr>
              <w:pStyle w:val="TableParagraph"/>
              <w:spacing w:line="271" w:lineRule="exact" w:before="146"/>
              <w:rPr>
                <w:sz w:val="21"/>
              </w:rPr>
            </w:pPr>
            <w:r>
              <w:rPr>
                <w:rFonts w:ascii="Times New Roman" w:eastAsia="Times New Roman"/>
                <w:sz w:val="21"/>
              </w:rPr>
              <w:t>( </w:t>
            </w:r>
            <w:r>
              <w:rPr>
                <w:sz w:val="21"/>
              </w:rPr>
              <w:t>二十二</w:t>
            </w:r>
            <w:r>
              <w:rPr>
                <w:rFonts w:ascii="Times New Roman" w:eastAsia="Times New Roman"/>
                <w:sz w:val="21"/>
              </w:rPr>
              <w:t>)  </w:t>
            </w:r>
            <w:r>
              <w:rPr>
                <w:sz w:val="21"/>
              </w:rPr>
              <w:t>严重</w:t>
            </w:r>
          </w:p>
        </w:tc>
        <w:tc>
          <w:tcPr>
            <w:tcW w:w="6926" w:type="dxa"/>
          </w:tcPr>
          <w:p>
            <w:pPr>
              <w:pStyle w:val="TableParagraph"/>
              <w:spacing w:line="271" w:lineRule="exact" w:before="146"/>
              <w:ind w:left="94"/>
              <w:rPr>
                <w:sz w:val="21"/>
              </w:rPr>
            </w:pPr>
            <w:r>
              <w:rPr>
                <w:sz w:val="21"/>
              </w:rPr>
              <w:t>是一组中枢神经系统运动神经元的进行性变性疾病，包括进行性脊肌萎</w:t>
            </w:r>
          </w:p>
        </w:tc>
      </w:tr>
    </w:tbl>
    <w:p>
      <w:pPr>
        <w:spacing w:after="0" w:line="271"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822"/>
      </w:tblGrid>
      <w:tr>
        <w:trPr>
          <w:trHeight w:val="1038" w:hRule="atLeast"/>
        </w:trPr>
        <w:tc>
          <w:tcPr>
            <w:tcW w:w="1796" w:type="dxa"/>
          </w:tcPr>
          <w:p>
            <w:pPr>
              <w:pStyle w:val="TableParagraph"/>
              <w:spacing w:line="211" w:lineRule="exact"/>
              <w:rPr>
                <w:sz w:val="21"/>
              </w:rPr>
            </w:pPr>
            <w:r>
              <w:rPr>
                <w:sz w:val="21"/>
              </w:rPr>
              <w:t>运动神经元病－</w:t>
            </w:r>
          </w:p>
          <w:p>
            <w:pPr>
              <w:pStyle w:val="TableParagraph"/>
              <w:spacing w:line="273" w:lineRule="auto" w:before="37"/>
              <w:ind w:right="120"/>
              <w:rPr>
                <w:sz w:val="21"/>
              </w:rPr>
            </w:pPr>
            <w:r>
              <w:rPr>
                <w:sz w:val="21"/>
              </w:rPr>
              <w:t>“中国保险行业协会推荐”</w:t>
            </w:r>
          </w:p>
        </w:tc>
        <w:tc>
          <w:tcPr>
            <w:tcW w:w="6822" w:type="dxa"/>
          </w:tcPr>
          <w:p>
            <w:pPr>
              <w:pStyle w:val="TableParagraph"/>
              <w:spacing w:line="211" w:lineRule="exact"/>
              <w:ind w:left="94"/>
              <w:rPr>
                <w:sz w:val="21"/>
              </w:rPr>
            </w:pPr>
            <w:r>
              <w:rPr>
                <w:sz w:val="21"/>
              </w:rPr>
              <w:t>缩症、进行性延髓麻痹症、原发性侧索硬化症、肌萎缩性侧索硬化症。</w:t>
            </w:r>
          </w:p>
          <w:p>
            <w:pPr>
              <w:pStyle w:val="TableParagraph"/>
              <w:spacing w:line="273" w:lineRule="auto" w:before="37"/>
              <w:ind w:left="94" w:right="201"/>
              <w:rPr>
                <w:sz w:val="21"/>
              </w:rPr>
            </w:pPr>
            <w:r>
              <w:rPr>
                <w:sz w:val="21"/>
              </w:rPr>
              <w:t>须满足自主生活能力完全丧失，无法独立完成六项基本日常生活活动中的三项或三项以上的条件。</w:t>
            </w:r>
          </w:p>
        </w:tc>
      </w:tr>
      <w:tr>
        <w:trPr>
          <w:trHeight w:val="1560" w:hRule="atLeast"/>
        </w:trPr>
        <w:tc>
          <w:tcPr>
            <w:tcW w:w="1796" w:type="dxa"/>
          </w:tcPr>
          <w:p>
            <w:pPr>
              <w:pStyle w:val="TableParagraph"/>
              <w:spacing w:line="266" w:lineRule="auto" w:before="146"/>
              <w:ind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822"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before="37"/>
              <w:ind w:left="94" w:right="420"/>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right="120"/>
              <w:rPr>
                <w:sz w:val="21"/>
              </w:rPr>
            </w:pPr>
            <w:r>
              <w:rPr>
                <w:sz w:val="21"/>
              </w:rPr>
              <w:t>－“中国保险行业协会推荐”</w:t>
            </w:r>
          </w:p>
        </w:tc>
        <w:tc>
          <w:tcPr>
            <w:tcW w:w="6822" w:type="dxa"/>
          </w:tcPr>
          <w:p>
            <w:pPr>
              <w:pStyle w:val="TableParagraph"/>
              <w:spacing w:line="273" w:lineRule="auto" w:before="146"/>
              <w:ind w:left="94" w:right="201"/>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5"/>
              <w:ind w:left="425"/>
              <w:jc w:val="center"/>
              <w:rPr>
                <w:sz w:val="11"/>
              </w:rPr>
            </w:pPr>
            <w:r>
              <w:rPr>
                <w:w w:val="100"/>
                <w:sz w:val="11"/>
              </w:rPr>
              <w:t>9</w:t>
            </w:r>
          </w:p>
          <w:p>
            <w:pPr>
              <w:pStyle w:val="TableParagraph"/>
              <w:spacing w:line="228" w:lineRule="exact"/>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ind w:left="653"/>
              <w:rPr>
                <w:sz w:val="21"/>
              </w:rPr>
            </w:pPr>
            <w:r>
              <w:rPr>
                <w:sz w:val="21"/>
              </w:rPr>
              <w:t>② 网织红细胞＜1%；</w:t>
            </w:r>
          </w:p>
          <w:p>
            <w:pPr>
              <w:pStyle w:val="TableParagraph"/>
              <w:spacing w:line="99" w:lineRule="exact" w:before="5"/>
              <w:ind w:left="0" w:right="628"/>
              <w:jc w:val="center"/>
              <w:rPr>
                <w:sz w:val="11"/>
              </w:rPr>
            </w:pPr>
            <w:r>
              <w:rPr>
                <w:w w:val="100"/>
                <w:sz w:val="11"/>
              </w:rPr>
              <w:t>9</w:t>
            </w:r>
          </w:p>
          <w:p>
            <w:pPr>
              <w:pStyle w:val="TableParagraph"/>
              <w:spacing w:line="230" w:lineRule="exact"/>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822" w:type="dxa"/>
          </w:tcPr>
          <w:p>
            <w:pPr>
              <w:pStyle w:val="TableParagraph"/>
              <w:spacing w:line="273" w:lineRule="auto" w:before="136"/>
              <w:ind w:left="94" w:right="2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568" w:hRule="atLeast"/>
        </w:trPr>
        <w:tc>
          <w:tcPr>
            <w:tcW w:w="1796" w:type="dxa"/>
          </w:tcPr>
          <w:p>
            <w:pPr>
              <w:pStyle w:val="TableParagraph"/>
              <w:spacing w:line="256" w:lineRule="auto" w:before="146"/>
              <w:ind w:right="91"/>
              <w:rPr>
                <w:sz w:val="21"/>
              </w:rPr>
            </w:pPr>
            <w:r>
              <w:rPr>
                <w:rFonts w:ascii="Times New Roman" w:eastAsia="Times New Roman"/>
                <w:sz w:val="21"/>
              </w:rPr>
              <w:t>( </w:t>
            </w:r>
            <w:r>
              <w:rPr>
                <w:sz w:val="21"/>
              </w:rPr>
              <w:t>二十六</w:t>
            </w:r>
            <w:r>
              <w:rPr>
                <w:rFonts w:ascii="Times New Roman" w:eastAsia="Times New Roman"/>
                <w:sz w:val="21"/>
              </w:rPr>
              <w:t>) </w:t>
            </w:r>
            <w:r>
              <w:rPr>
                <w:sz w:val="21"/>
              </w:rPr>
              <w:t>原发性心肌病</w:t>
            </w:r>
          </w:p>
        </w:tc>
        <w:tc>
          <w:tcPr>
            <w:tcW w:w="6822" w:type="dxa"/>
          </w:tcPr>
          <w:p>
            <w:pPr>
              <w:pStyle w:val="TableParagraph"/>
              <w:spacing w:line="266" w:lineRule="auto" w:before="146"/>
              <w:ind w:left="94" w:right="197"/>
              <w:jc w:val="both"/>
              <w:rPr>
                <w:sz w:val="21"/>
              </w:rPr>
            </w:pPr>
            <w:r>
              <w:rPr>
                <w:spacing w:val="-3"/>
                <w:sz w:val="21"/>
              </w:rPr>
              <w:t>原发性心肌病必须由专科医生确诊并须提供心脏超声等专科检查报告。病变必须已造成事实上心室功能障碍而出现明显的心功能衰竭，达到美</w:t>
            </w:r>
            <w:r>
              <w:rPr>
                <w:spacing w:val="-6"/>
                <w:sz w:val="21"/>
              </w:rPr>
              <w:t>国纽约心脏病协会心功能状态分级 </w:t>
            </w:r>
            <w:r>
              <w:rPr>
                <w:rFonts w:ascii="Times New Roman" w:eastAsia="Times New Roman"/>
                <w:sz w:val="21"/>
              </w:rPr>
              <w:t>III </w:t>
            </w:r>
            <w:r>
              <w:rPr>
                <w:spacing w:val="-53"/>
                <w:sz w:val="21"/>
              </w:rPr>
              <w:t>级</w:t>
            </w:r>
            <w:r>
              <w:rPr>
                <w:sz w:val="21"/>
              </w:rPr>
              <w:t>（</w:t>
            </w:r>
            <w:r>
              <w:rPr>
                <w:spacing w:val="-16"/>
                <w:sz w:val="21"/>
              </w:rPr>
              <w:t>甚至 </w:t>
            </w:r>
            <w:r>
              <w:rPr>
                <w:rFonts w:ascii="Times New Roman" w:eastAsia="Times New Roman"/>
                <w:sz w:val="21"/>
              </w:rPr>
              <w:t>IV </w:t>
            </w:r>
            <w:r>
              <w:rPr>
                <w:sz w:val="21"/>
              </w:rPr>
              <w:t>级</w:t>
            </w:r>
            <w:r>
              <w:rPr>
                <w:spacing w:val="-80"/>
                <w:sz w:val="21"/>
              </w:rPr>
              <w:t>）</w:t>
            </w:r>
            <w:r>
              <w:rPr>
                <w:spacing w:val="-13"/>
                <w:sz w:val="21"/>
              </w:rPr>
              <w:t>，且有相关医疗记</w:t>
            </w:r>
            <w:r>
              <w:rPr>
                <w:spacing w:val="-10"/>
                <w:sz w:val="21"/>
              </w:rPr>
              <w:t>录显示这种情况持续至少 </w:t>
            </w:r>
            <w:r>
              <w:rPr>
                <w:rFonts w:ascii="Times New Roman" w:eastAsia="Times New Roman"/>
                <w:sz w:val="21"/>
              </w:rPr>
              <w:t>3 </w:t>
            </w:r>
            <w:r>
              <w:rPr>
                <w:spacing w:val="-2"/>
                <w:sz w:val="21"/>
              </w:rPr>
              <w:t>个月。</w:t>
            </w:r>
          </w:p>
        </w:tc>
      </w:tr>
      <w:tr>
        <w:trPr>
          <w:trHeight w:val="2652" w:hRule="atLeast"/>
        </w:trPr>
        <w:tc>
          <w:tcPr>
            <w:tcW w:w="1796" w:type="dxa"/>
          </w:tcPr>
          <w:p>
            <w:pPr>
              <w:pStyle w:val="TableParagraph"/>
              <w:spacing w:line="256" w:lineRule="auto" w:before="138"/>
              <w:ind w:right="91"/>
              <w:rPr>
                <w:sz w:val="21"/>
              </w:rPr>
            </w:pPr>
            <w:r>
              <w:rPr>
                <w:rFonts w:ascii="Times New Roman" w:eastAsia="Times New Roman"/>
                <w:sz w:val="21"/>
              </w:rPr>
              <w:t>( </w:t>
            </w:r>
            <w:r>
              <w:rPr>
                <w:sz w:val="21"/>
              </w:rPr>
              <w:t>二十七</w:t>
            </w:r>
            <w:r>
              <w:rPr>
                <w:rFonts w:ascii="Times New Roman" w:eastAsia="Times New Roman"/>
                <w:sz w:val="21"/>
              </w:rPr>
              <w:t>) </w:t>
            </w:r>
            <w:r>
              <w:rPr>
                <w:sz w:val="21"/>
              </w:rPr>
              <w:t>多发性硬化</w:t>
            </w:r>
          </w:p>
        </w:tc>
        <w:tc>
          <w:tcPr>
            <w:tcW w:w="6822" w:type="dxa"/>
          </w:tcPr>
          <w:p>
            <w:pPr>
              <w:pStyle w:val="TableParagraph"/>
              <w:spacing w:line="266" w:lineRule="auto" w:before="138"/>
              <w:ind w:left="94" w:right="131"/>
              <w:rPr>
                <w:sz w:val="21"/>
              </w:rPr>
            </w:pPr>
            <w:r>
              <w:rPr>
                <w:sz w:val="21"/>
              </w:rPr>
              <w:t>多发性硬化症为中枢神经系统白质多灶性脱髓鞘病变，病变有时累及灰质。多发性硬化症必须由我们认可的医院的神经专科医生确诊。必须伴有典型的脱髓鞘症状和运动及感觉功能障碍的证据并有</w:t>
            </w:r>
            <w:r>
              <w:rPr>
                <w:rFonts w:ascii="Times New Roman" w:eastAsia="Times New Roman"/>
                <w:sz w:val="21"/>
              </w:rPr>
              <w:t>MRI</w:t>
            </w:r>
            <w:r>
              <w:rPr>
                <w:sz w:val="21"/>
              </w:rPr>
              <w:t>的典型改 变。</w:t>
            </w:r>
          </w:p>
          <w:p>
            <w:pPr>
              <w:pStyle w:val="TableParagraph"/>
              <w:spacing w:line="256" w:lineRule="auto" w:before="14"/>
              <w:ind w:left="94" w:right="198"/>
              <w:jc w:val="both"/>
              <w:rPr>
                <w:sz w:val="21"/>
              </w:rPr>
            </w:pPr>
            <w:r>
              <w:rPr>
                <w:spacing w:val="-10"/>
                <w:sz w:val="21"/>
              </w:rPr>
              <w:t>要确认多发性硬化症的诊断，被保险人必须提供至少</w:t>
            </w:r>
            <w:r>
              <w:rPr>
                <w:rFonts w:ascii="Times New Roman" w:eastAsia="Times New Roman"/>
                <w:sz w:val="21"/>
              </w:rPr>
              <w:t>6</w:t>
            </w:r>
            <w:r>
              <w:rPr>
                <w:spacing w:val="-3"/>
                <w:sz w:val="21"/>
              </w:rPr>
              <w:t>个月的持续神经系统损害的记录，或者间隔</w:t>
            </w:r>
            <w:r>
              <w:rPr>
                <w:rFonts w:ascii="Times New Roman" w:eastAsia="Times New Roman"/>
                <w:sz w:val="21"/>
              </w:rPr>
              <w:t>1</w:t>
            </w:r>
            <w:r>
              <w:rPr>
                <w:spacing w:val="-2"/>
                <w:sz w:val="21"/>
              </w:rPr>
              <w:t>个月以上至少</w:t>
            </w:r>
            <w:r>
              <w:rPr>
                <w:rFonts w:ascii="Times New Roman" w:eastAsia="Times New Roman"/>
                <w:spacing w:val="-3"/>
                <w:sz w:val="21"/>
              </w:rPr>
              <w:t>2</w:t>
            </w:r>
            <w:r>
              <w:rPr>
                <w:spacing w:val="-3"/>
                <w:sz w:val="21"/>
              </w:rPr>
              <w:t>次临床发作就诊记录，或者至</w:t>
            </w:r>
            <w:r>
              <w:rPr>
                <w:spacing w:val="-1"/>
                <w:sz w:val="21"/>
              </w:rPr>
              <w:t>少</w:t>
            </w:r>
            <w:r>
              <w:rPr>
                <w:rFonts w:ascii="Times New Roman" w:eastAsia="Times New Roman"/>
                <w:spacing w:val="-1"/>
                <w:sz w:val="21"/>
              </w:rPr>
              <w:t>1</w:t>
            </w:r>
            <w:r>
              <w:rPr>
                <w:spacing w:val="-3"/>
                <w:sz w:val="21"/>
              </w:rPr>
              <w:t>次临床发作就诊记录并同时提供脑脊液检查及脑部</w:t>
            </w:r>
            <w:r>
              <w:rPr>
                <w:rFonts w:ascii="Times New Roman" w:eastAsia="Times New Roman"/>
                <w:sz w:val="21"/>
              </w:rPr>
              <w:t>MRI</w:t>
            </w:r>
            <w:r>
              <w:rPr>
                <w:spacing w:val="-3"/>
                <w:sz w:val="21"/>
              </w:rPr>
              <w:t>典型改变。</w:t>
            </w:r>
          </w:p>
        </w:tc>
      </w:tr>
      <w:tr>
        <w:trPr>
          <w:trHeight w:val="2655" w:hRule="atLeast"/>
        </w:trPr>
        <w:tc>
          <w:tcPr>
            <w:tcW w:w="1796" w:type="dxa"/>
          </w:tcPr>
          <w:p>
            <w:pPr>
              <w:pStyle w:val="TableParagraph"/>
              <w:spacing w:before="6"/>
              <w:ind w:left="0"/>
              <w:rPr>
                <w:sz w:val="22"/>
              </w:rPr>
            </w:pPr>
          </w:p>
          <w:p>
            <w:pPr>
              <w:pStyle w:val="TableParagraph"/>
              <w:spacing w:line="273" w:lineRule="auto"/>
              <w:ind w:right="120"/>
              <w:jc w:val="both"/>
              <w:rPr>
                <w:sz w:val="21"/>
              </w:rPr>
            </w:pPr>
            <w:r>
              <w:rPr>
                <w:sz w:val="21"/>
              </w:rPr>
              <w:t>（二十八）经输血导致的艾滋病病毒感染</w:t>
            </w:r>
          </w:p>
        </w:tc>
        <w:tc>
          <w:tcPr>
            <w:tcW w:w="6822" w:type="dxa"/>
          </w:tcPr>
          <w:p>
            <w:pPr>
              <w:pStyle w:val="TableParagraph"/>
              <w:spacing w:before="6"/>
              <w:ind w:left="0"/>
              <w:rPr>
                <w:sz w:val="22"/>
              </w:rPr>
            </w:pPr>
          </w:p>
          <w:p>
            <w:pPr>
              <w:pStyle w:val="TableParagraph"/>
              <w:spacing w:line="256" w:lineRule="auto"/>
              <w:ind w:left="94" w:right="200"/>
              <w:rPr>
                <w:sz w:val="21"/>
              </w:rPr>
            </w:pPr>
            <w:r>
              <w:rPr>
                <w:sz w:val="21"/>
              </w:rPr>
              <w:t>被保险人由于输血感染上人类免疫缺陷病毒（</w:t>
            </w:r>
            <w:r>
              <w:rPr>
                <w:rFonts w:ascii="Times New Roman" w:eastAsia="Times New Roman"/>
                <w:sz w:val="21"/>
              </w:rPr>
              <w:t>HIV</w:t>
            </w:r>
            <w:r>
              <w:rPr>
                <w:sz w:val="21"/>
              </w:rPr>
              <w:t>）或诊断获得性免疫缺陷综合征（</w:t>
            </w:r>
            <w:r>
              <w:rPr>
                <w:rFonts w:ascii="Times New Roman" w:eastAsia="Times New Roman"/>
                <w:sz w:val="21"/>
              </w:rPr>
              <w:t>AIDS</w:t>
            </w:r>
            <w:r>
              <w:rPr>
                <w:sz w:val="21"/>
              </w:rPr>
              <w:t>）并且符合下列所有条件：</w:t>
            </w:r>
          </w:p>
          <w:p>
            <w:pPr>
              <w:pStyle w:val="TableParagraph"/>
              <w:spacing w:line="256" w:lineRule="auto" w:before="4"/>
              <w:ind w:left="94" w:right="203"/>
              <w:rPr>
                <w:sz w:val="21"/>
              </w:rPr>
            </w:pPr>
            <w:r>
              <w:rPr>
                <w:rFonts w:ascii="Times New Roman" w:eastAsia="Times New Roman"/>
                <w:sz w:val="21"/>
              </w:rPr>
              <w:t>1.</w:t>
            </w:r>
            <w:r>
              <w:rPr>
                <w:sz w:val="21"/>
              </w:rPr>
              <w:t>在保障起始日或复效日之后，被保险人因治疗必需而接受输血，并且因输血而感染</w:t>
            </w:r>
            <w:r>
              <w:rPr>
                <w:rFonts w:ascii="Times New Roman" w:eastAsia="Times New Roman"/>
                <w:sz w:val="21"/>
              </w:rPr>
              <w:t>HIV</w:t>
            </w:r>
            <w:r>
              <w:rPr>
                <w:sz w:val="21"/>
              </w:rPr>
              <w:t>；</w:t>
            </w:r>
          </w:p>
          <w:p>
            <w:pPr>
              <w:pStyle w:val="TableParagraph"/>
              <w:spacing w:line="256" w:lineRule="auto" w:before="4"/>
              <w:ind w:left="94" w:right="203"/>
              <w:rPr>
                <w:sz w:val="21"/>
              </w:rPr>
            </w:pPr>
            <w:r>
              <w:rPr>
                <w:rFonts w:ascii="Times New Roman" w:eastAsia="Times New Roman"/>
                <w:sz w:val="21"/>
              </w:rPr>
              <w:t>2.</w:t>
            </w:r>
            <w:r>
              <w:rPr>
                <w:sz w:val="21"/>
              </w:rPr>
              <w:t>提供输血治疗的输血中心或医院出具该项输血感染属医疗责任事故的报告，或者法院终审判决为医疗责任；</w:t>
            </w:r>
          </w:p>
          <w:p>
            <w:pPr>
              <w:pStyle w:val="TableParagraph"/>
              <w:spacing w:before="22"/>
              <w:ind w:left="94"/>
              <w:rPr>
                <w:sz w:val="21"/>
              </w:rPr>
            </w:pPr>
            <w:r>
              <w:rPr>
                <w:rFonts w:ascii="Times New Roman" w:eastAsia="Times New Roman"/>
                <w:sz w:val="21"/>
              </w:rPr>
              <w:t>3.</w:t>
            </w:r>
            <w:r>
              <w:rPr>
                <w:sz w:val="21"/>
              </w:rPr>
              <w:t>受感染的被保险人不是血友病患者。</w:t>
            </w:r>
          </w:p>
        </w:tc>
      </w:tr>
      <w:tr>
        <w:trPr>
          <w:trHeight w:val="721" w:hRule="atLeast"/>
        </w:trPr>
        <w:tc>
          <w:tcPr>
            <w:tcW w:w="1796" w:type="dxa"/>
          </w:tcPr>
          <w:p>
            <w:pPr>
              <w:pStyle w:val="TableParagraph"/>
              <w:spacing w:line="310" w:lineRule="atLeast" w:before="99"/>
              <w:ind w:right="120"/>
              <w:rPr>
                <w:sz w:val="21"/>
              </w:rPr>
            </w:pPr>
            <w:r>
              <w:rPr>
                <w:sz w:val="21"/>
              </w:rPr>
              <w:t>（二十九）系统性红斑狼疮并发</w:t>
            </w:r>
          </w:p>
        </w:tc>
        <w:tc>
          <w:tcPr>
            <w:tcW w:w="6822" w:type="dxa"/>
          </w:tcPr>
          <w:p>
            <w:pPr>
              <w:pStyle w:val="TableParagraph"/>
              <w:spacing w:before="3"/>
              <w:ind w:left="0"/>
              <w:rPr>
                <w:sz w:val="14"/>
              </w:rPr>
            </w:pPr>
          </w:p>
          <w:p>
            <w:pPr>
              <w:pStyle w:val="TableParagraph"/>
              <w:spacing w:line="274" w:lineRule="exact" w:before="1"/>
              <w:ind w:left="94" w:right="201"/>
              <w:rPr>
                <w:sz w:val="21"/>
              </w:rPr>
            </w:pPr>
            <w:r>
              <w:rPr>
                <w:sz w:val="21"/>
              </w:rPr>
              <w:t>红斑狼疮是指由于自身抗体和免疫复合物的沉积破坏了血管和细胞而导致的累及多系统损害的一种自体免疫性疾病。本保障仅限于被保险人因</w:t>
            </w:r>
          </w:p>
        </w:tc>
      </w:tr>
    </w:tbl>
    <w:p>
      <w:pPr>
        <w:spacing w:after="0" w:line="274" w:lineRule="exact"/>
        <w:rPr>
          <w:sz w:val="21"/>
        </w:rPr>
        <w:sectPr>
          <w:pgSz w:w="11910" w:h="16840"/>
          <w:pgMar w:header="0" w:footer="912" w:top="1160" w:bottom="1100" w:left="1680" w:right="13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787"/>
        <w:gridCol w:w="6989"/>
      </w:tblGrid>
      <w:tr>
        <w:trPr>
          <w:trHeight w:val="2869" w:hRule="atLeast"/>
        </w:trPr>
        <w:tc>
          <w:tcPr>
            <w:tcW w:w="876" w:type="dxa"/>
          </w:tcPr>
          <w:p>
            <w:pPr>
              <w:pStyle w:val="TableParagraph"/>
              <w:ind w:left="0"/>
              <w:rPr>
                <w:rFonts w:ascii="Times New Roman"/>
                <w:sz w:val="20"/>
              </w:rPr>
            </w:pPr>
          </w:p>
        </w:tc>
        <w:tc>
          <w:tcPr>
            <w:tcW w:w="1787" w:type="dxa"/>
          </w:tcPr>
          <w:p>
            <w:pPr>
              <w:pStyle w:val="TableParagraph"/>
              <w:spacing w:line="233" w:lineRule="exact"/>
              <w:ind w:left="253"/>
              <w:rPr>
                <w:sz w:val="21"/>
              </w:rPr>
            </w:pPr>
            <w:r>
              <w:rPr>
                <w:sz w:val="21"/>
              </w:rPr>
              <w:t>重度肾功能损害</w:t>
            </w:r>
          </w:p>
        </w:tc>
        <w:tc>
          <w:tcPr>
            <w:tcW w:w="6989" w:type="dxa"/>
          </w:tcPr>
          <w:p>
            <w:pPr>
              <w:pStyle w:val="TableParagraph"/>
              <w:spacing w:line="210" w:lineRule="exact"/>
              <w:ind w:left="156"/>
              <w:rPr>
                <w:sz w:val="21"/>
              </w:rPr>
            </w:pPr>
            <w:r>
              <w:rPr>
                <w:sz w:val="21"/>
              </w:rPr>
              <w:t>系统性红斑狼疮并发狼疮性肾炎并引起肾功能损害，且肾脏病理诊断符</w:t>
            </w:r>
          </w:p>
          <w:p>
            <w:pPr>
              <w:pStyle w:val="TableParagraph"/>
              <w:spacing w:line="281" w:lineRule="exact"/>
              <w:ind w:left="156"/>
              <w:rPr>
                <w:sz w:val="21"/>
              </w:rPr>
            </w:pPr>
            <w:r>
              <w:rPr>
                <w:spacing w:val="-10"/>
                <w:sz w:val="21"/>
              </w:rPr>
              <w:t>合以下列明的世界卫生组织</w:t>
            </w:r>
            <w:r>
              <w:rPr>
                <w:spacing w:val="-18"/>
                <w:sz w:val="21"/>
              </w:rPr>
              <w:t>（</w:t>
            </w:r>
            <w:r>
              <w:rPr>
                <w:rFonts w:ascii="Times New Roman" w:eastAsia="Times New Roman"/>
                <w:spacing w:val="-18"/>
                <w:sz w:val="21"/>
              </w:rPr>
              <w:t>WHO</w:t>
            </w:r>
            <w:r>
              <w:rPr>
                <w:spacing w:val="-18"/>
                <w:sz w:val="21"/>
              </w:rPr>
              <w:t>）</w:t>
            </w:r>
            <w:r>
              <w:rPr>
                <w:spacing w:val="-4"/>
                <w:sz w:val="21"/>
              </w:rPr>
              <w:t>对狼疮性肾炎所分类中的第 </w:t>
            </w:r>
            <w:r>
              <w:rPr>
                <w:rFonts w:ascii="Times New Roman" w:eastAsia="Times New Roman"/>
                <w:spacing w:val="-2"/>
                <w:sz w:val="21"/>
              </w:rPr>
              <w:t>III</w:t>
            </w:r>
            <w:r>
              <w:rPr>
                <w:spacing w:val="-80"/>
                <w:sz w:val="21"/>
              </w:rPr>
              <w:t>、</w:t>
            </w:r>
            <w:r>
              <w:rPr>
                <w:rFonts w:ascii="Times New Roman" w:eastAsia="Times New Roman"/>
                <w:sz w:val="21"/>
              </w:rPr>
              <w:t>IV</w:t>
            </w:r>
            <w:r>
              <w:rPr>
                <w:sz w:val="21"/>
              </w:rPr>
              <w:t>、</w:t>
            </w:r>
          </w:p>
          <w:p>
            <w:pPr>
              <w:pStyle w:val="TableParagraph"/>
              <w:spacing w:line="225" w:lineRule="auto" w:before="8"/>
              <w:ind w:left="156" w:right="1360"/>
              <w:rPr>
                <w:sz w:val="21"/>
              </w:rPr>
            </w:pPr>
            <w:r>
              <w:rPr>
                <w:rFonts w:ascii="Times New Roman" w:eastAsia="Times New Roman"/>
                <w:sz w:val="21"/>
              </w:rPr>
              <w:t>V</w:t>
            </w:r>
            <w:r>
              <w:rPr>
                <w:sz w:val="21"/>
              </w:rPr>
              <w:t>、</w:t>
            </w:r>
            <w:r>
              <w:rPr>
                <w:rFonts w:ascii="Times New Roman" w:eastAsia="Times New Roman"/>
                <w:sz w:val="21"/>
              </w:rPr>
              <w:t>VI </w:t>
            </w:r>
            <w:r>
              <w:rPr>
                <w:sz w:val="21"/>
              </w:rPr>
              <w:t>型。诊断须由有资格的风湿和免疫病专科医生确认。世界卫生组织（</w:t>
            </w:r>
            <w:r>
              <w:rPr>
                <w:rFonts w:ascii="Times New Roman" w:eastAsia="Times New Roman"/>
                <w:sz w:val="21"/>
              </w:rPr>
              <w:t>WHO</w:t>
            </w:r>
            <w:r>
              <w:rPr>
                <w:sz w:val="21"/>
              </w:rPr>
              <w:t>）对狼疮性肾炎的分类标准：</w:t>
            </w:r>
          </w:p>
          <w:p>
            <w:pPr>
              <w:pStyle w:val="TableParagraph"/>
              <w:numPr>
                <w:ilvl w:val="0"/>
                <w:numId w:val="7"/>
              </w:numPr>
              <w:tabs>
                <w:tab w:pos="330" w:val="left" w:leader="none"/>
              </w:tabs>
              <w:spacing w:line="263" w:lineRule="exact" w:before="0" w:after="0"/>
              <w:ind w:left="329" w:right="0" w:hanging="173"/>
              <w:jc w:val="left"/>
              <w:rPr>
                <w:sz w:val="21"/>
              </w:rPr>
            </w:pPr>
            <w:r>
              <w:rPr>
                <w:spacing w:val="-3"/>
                <w:sz w:val="21"/>
              </w:rPr>
              <w:t>型–正常肾小球型；</w:t>
            </w:r>
          </w:p>
          <w:p>
            <w:pPr>
              <w:pStyle w:val="TableParagraph"/>
              <w:numPr>
                <w:ilvl w:val="0"/>
                <w:numId w:val="7"/>
              </w:numPr>
              <w:tabs>
                <w:tab w:pos="346" w:val="left" w:leader="none"/>
              </w:tabs>
              <w:spacing w:line="272" w:lineRule="exact" w:before="0" w:after="0"/>
              <w:ind w:left="346" w:right="0" w:hanging="190"/>
              <w:jc w:val="left"/>
              <w:rPr>
                <w:sz w:val="21"/>
              </w:rPr>
            </w:pPr>
            <w:r>
              <w:rPr>
                <w:spacing w:val="-2"/>
                <w:sz w:val="21"/>
              </w:rPr>
              <w:t>型–系膜增生型；</w:t>
            </w:r>
          </w:p>
          <w:p>
            <w:pPr>
              <w:pStyle w:val="TableParagraph"/>
              <w:numPr>
                <w:ilvl w:val="0"/>
                <w:numId w:val="7"/>
              </w:numPr>
              <w:tabs>
                <w:tab w:pos="416" w:val="left" w:leader="none"/>
              </w:tabs>
              <w:spacing w:line="272" w:lineRule="exact" w:before="0" w:after="0"/>
              <w:ind w:left="415" w:right="0" w:hanging="259"/>
              <w:jc w:val="left"/>
              <w:rPr>
                <w:sz w:val="21"/>
              </w:rPr>
            </w:pPr>
            <w:r>
              <w:rPr>
                <w:spacing w:val="-3"/>
                <w:sz w:val="21"/>
              </w:rPr>
              <w:t>型–局灶及节段增生型；</w:t>
            </w:r>
          </w:p>
          <w:p>
            <w:pPr>
              <w:pStyle w:val="TableParagraph"/>
              <w:numPr>
                <w:ilvl w:val="0"/>
                <w:numId w:val="7"/>
              </w:numPr>
              <w:tabs>
                <w:tab w:pos="430" w:val="left" w:leader="none"/>
              </w:tabs>
              <w:spacing w:line="272" w:lineRule="exact" w:before="0" w:after="0"/>
              <w:ind w:left="430" w:right="0" w:hanging="274"/>
              <w:jc w:val="left"/>
              <w:rPr>
                <w:sz w:val="21"/>
              </w:rPr>
            </w:pPr>
            <w:r>
              <w:rPr>
                <w:spacing w:val="-3"/>
                <w:sz w:val="21"/>
              </w:rPr>
              <w:t>型–弥漫增生型；</w:t>
            </w:r>
          </w:p>
          <w:p>
            <w:pPr>
              <w:pStyle w:val="TableParagraph"/>
              <w:numPr>
                <w:ilvl w:val="0"/>
                <w:numId w:val="7"/>
              </w:numPr>
              <w:tabs>
                <w:tab w:pos="363" w:val="left" w:leader="none"/>
              </w:tabs>
              <w:spacing w:line="272" w:lineRule="exact" w:before="0" w:after="0"/>
              <w:ind w:left="362" w:right="0" w:hanging="206"/>
              <w:jc w:val="left"/>
              <w:rPr>
                <w:sz w:val="21"/>
              </w:rPr>
            </w:pPr>
            <w:r>
              <w:rPr>
                <w:spacing w:val="-3"/>
                <w:sz w:val="21"/>
              </w:rPr>
              <w:t>型–膜型；</w:t>
            </w:r>
          </w:p>
          <w:p>
            <w:pPr>
              <w:pStyle w:val="TableParagraph"/>
              <w:numPr>
                <w:ilvl w:val="0"/>
                <w:numId w:val="7"/>
              </w:numPr>
              <w:tabs>
                <w:tab w:pos="430" w:val="left" w:leader="none"/>
              </w:tabs>
              <w:spacing w:line="282" w:lineRule="exact" w:before="0" w:after="0"/>
              <w:ind w:left="430" w:right="0" w:hanging="274"/>
              <w:jc w:val="left"/>
              <w:rPr>
                <w:sz w:val="21"/>
              </w:rPr>
            </w:pPr>
            <w:r>
              <w:rPr>
                <w:spacing w:val="-3"/>
                <w:sz w:val="21"/>
              </w:rPr>
              <w:t>型–肾小球硬化型。</w:t>
            </w:r>
          </w:p>
        </w:tc>
      </w:tr>
      <w:tr>
        <w:trPr>
          <w:trHeight w:val="1862" w:hRule="atLeast"/>
        </w:trPr>
        <w:tc>
          <w:tcPr>
            <w:tcW w:w="876" w:type="dxa"/>
          </w:tcPr>
          <w:p>
            <w:pPr>
              <w:pStyle w:val="TableParagraph"/>
              <w:ind w:left="0"/>
              <w:rPr>
                <w:rFonts w:ascii="Times New Roman"/>
                <w:sz w:val="20"/>
              </w:rPr>
            </w:pPr>
          </w:p>
        </w:tc>
        <w:tc>
          <w:tcPr>
            <w:tcW w:w="1787" w:type="dxa"/>
          </w:tcPr>
          <w:p>
            <w:pPr>
              <w:pStyle w:val="TableParagraph"/>
              <w:spacing w:line="273" w:lineRule="auto" w:before="125"/>
              <w:ind w:left="253" w:right="58"/>
              <w:rPr>
                <w:sz w:val="21"/>
              </w:rPr>
            </w:pPr>
            <w:r>
              <w:rPr>
                <w:sz w:val="21"/>
              </w:rPr>
              <w:t>（三十）终末期肺病</w:t>
            </w:r>
          </w:p>
        </w:tc>
        <w:tc>
          <w:tcPr>
            <w:tcW w:w="6989" w:type="dxa"/>
          </w:tcPr>
          <w:p>
            <w:pPr>
              <w:pStyle w:val="TableParagraph"/>
              <w:spacing w:line="273" w:lineRule="auto" w:before="125"/>
              <w:ind w:left="156" w:right="313"/>
              <w:rPr>
                <w:sz w:val="21"/>
              </w:rPr>
            </w:pPr>
            <w:r>
              <w:rPr>
                <w:sz w:val="21"/>
              </w:rPr>
              <w:t>是指被保险人必须经本公司认可的医院的呼吸科专科医师确诊的严重并且永久性的呼吸系统功能损害，其诊断标准包括以下各项：</w:t>
            </w:r>
          </w:p>
          <w:p>
            <w:pPr>
              <w:pStyle w:val="TableParagraph"/>
              <w:spacing w:before="7"/>
              <w:ind w:left="156"/>
              <w:rPr>
                <w:sz w:val="21"/>
              </w:rPr>
            </w:pPr>
            <w:r>
              <w:rPr>
                <w:rFonts w:ascii="Times New Roman" w:eastAsia="Times New Roman"/>
                <w:sz w:val="21"/>
              </w:rPr>
              <w:t>a.</w:t>
            </w:r>
            <w:r>
              <w:rPr>
                <w:sz w:val="21"/>
              </w:rPr>
              <w:t>肺功能测试其 </w:t>
            </w:r>
            <w:r>
              <w:rPr>
                <w:rFonts w:ascii="Times New Roman" w:eastAsia="Times New Roman"/>
                <w:sz w:val="21"/>
              </w:rPr>
              <w:t>FEV1 </w:t>
            </w:r>
            <w:r>
              <w:rPr>
                <w:sz w:val="21"/>
              </w:rPr>
              <w:t>持续低于 </w:t>
            </w:r>
            <w:r>
              <w:rPr>
                <w:rFonts w:ascii="Times New Roman" w:eastAsia="Times New Roman"/>
                <w:sz w:val="21"/>
              </w:rPr>
              <w:t>1 </w:t>
            </w:r>
            <w:r>
              <w:rPr>
                <w:sz w:val="21"/>
              </w:rPr>
              <w:t>升；</w:t>
            </w:r>
          </w:p>
          <w:p>
            <w:pPr>
              <w:pStyle w:val="TableParagraph"/>
              <w:spacing w:before="21"/>
              <w:ind w:left="156"/>
              <w:rPr>
                <w:sz w:val="21"/>
              </w:rPr>
            </w:pPr>
            <w:r>
              <w:rPr>
                <w:rFonts w:ascii="Times New Roman" w:eastAsia="Times New Roman"/>
                <w:sz w:val="21"/>
              </w:rPr>
              <w:t>b.</w:t>
            </w:r>
            <w:r>
              <w:rPr>
                <w:sz w:val="21"/>
              </w:rPr>
              <w:t>动脉血气分析氧分压等于或低于 </w:t>
            </w:r>
            <w:r>
              <w:rPr>
                <w:rFonts w:ascii="Times New Roman" w:eastAsia="Times New Roman"/>
                <w:sz w:val="21"/>
              </w:rPr>
              <w:t>55mmHg</w:t>
            </w:r>
            <w:r>
              <w:rPr>
                <w:sz w:val="21"/>
              </w:rPr>
              <w:t>；</w:t>
            </w:r>
          </w:p>
          <w:p>
            <w:pPr>
              <w:pStyle w:val="TableParagraph"/>
              <w:spacing w:before="21"/>
              <w:ind w:left="156"/>
              <w:rPr>
                <w:sz w:val="21"/>
              </w:rPr>
            </w:pPr>
            <w:r>
              <w:rPr>
                <w:rFonts w:ascii="Times New Roman" w:eastAsia="Times New Roman"/>
                <w:sz w:val="21"/>
              </w:rPr>
              <w:t>c.</w:t>
            </w:r>
            <w:r>
              <w:rPr>
                <w:sz w:val="21"/>
              </w:rPr>
              <w:t>病人血氧不足必须持续地进行输氧治疗。</w:t>
            </w:r>
          </w:p>
        </w:tc>
      </w:tr>
      <w:tr>
        <w:trPr>
          <w:trHeight w:val="928" w:hRule="atLeast"/>
        </w:trPr>
        <w:tc>
          <w:tcPr>
            <w:tcW w:w="876" w:type="dxa"/>
          </w:tcPr>
          <w:p>
            <w:pPr>
              <w:pStyle w:val="TableParagraph"/>
              <w:spacing w:before="134"/>
              <w:rPr>
                <w:b/>
                <w:sz w:val="21"/>
              </w:rPr>
            </w:pPr>
            <w:r>
              <w:rPr>
                <w:b/>
                <w:sz w:val="21"/>
              </w:rPr>
              <w:t>6.5</w:t>
            </w:r>
          </w:p>
        </w:tc>
        <w:tc>
          <w:tcPr>
            <w:tcW w:w="1787" w:type="dxa"/>
          </w:tcPr>
          <w:p>
            <w:pPr>
              <w:pStyle w:val="TableParagraph"/>
              <w:spacing w:before="134"/>
              <w:ind w:left="253"/>
              <w:rPr>
                <w:b/>
                <w:sz w:val="21"/>
              </w:rPr>
            </w:pPr>
            <w:r>
              <w:rPr>
                <w:b/>
                <w:sz w:val="21"/>
              </w:rPr>
              <w:t>意外伤害</w:t>
            </w:r>
          </w:p>
        </w:tc>
        <w:tc>
          <w:tcPr>
            <w:tcW w:w="6989" w:type="dxa"/>
          </w:tcPr>
          <w:p>
            <w:pPr>
              <w:pStyle w:val="TableParagraph"/>
              <w:spacing w:line="273" w:lineRule="auto" w:before="134"/>
              <w:ind w:left="156" w:right="313"/>
              <w:rPr>
                <w:sz w:val="21"/>
              </w:rPr>
            </w:pPr>
            <w:r>
              <w:rPr>
                <w:sz w:val="21"/>
              </w:rPr>
              <w:t>指遭受外来的、突发的、非本意的、非疾病的使身体受到伤害的客观事件。</w:t>
            </w:r>
          </w:p>
        </w:tc>
      </w:tr>
      <w:tr>
        <w:trPr>
          <w:trHeight w:val="2496" w:hRule="atLeast"/>
        </w:trPr>
        <w:tc>
          <w:tcPr>
            <w:tcW w:w="876" w:type="dxa"/>
          </w:tcPr>
          <w:p>
            <w:pPr>
              <w:pStyle w:val="TableParagraph"/>
              <w:spacing w:before="142"/>
              <w:rPr>
                <w:b/>
                <w:sz w:val="21"/>
              </w:rPr>
            </w:pPr>
            <w:r>
              <w:rPr>
                <w:b/>
                <w:sz w:val="21"/>
              </w:rPr>
              <w:t>6.6</w:t>
            </w:r>
          </w:p>
        </w:tc>
        <w:tc>
          <w:tcPr>
            <w:tcW w:w="1787" w:type="dxa"/>
          </w:tcPr>
          <w:p>
            <w:pPr>
              <w:pStyle w:val="TableParagraph"/>
              <w:spacing w:before="142"/>
              <w:ind w:left="253"/>
              <w:rPr>
                <w:b/>
                <w:sz w:val="21"/>
              </w:rPr>
            </w:pPr>
            <w:r>
              <w:rPr>
                <w:b/>
                <w:sz w:val="21"/>
              </w:rPr>
              <w:t>专科医生</w:t>
            </w:r>
          </w:p>
        </w:tc>
        <w:tc>
          <w:tcPr>
            <w:tcW w:w="6989" w:type="dxa"/>
          </w:tcPr>
          <w:p>
            <w:pPr>
              <w:pStyle w:val="TableParagraph"/>
              <w:spacing w:before="142"/>
              <w:ind w:left="59"/>
              <w:rPr>
                <w:sz w:val="21"/>
              </w:rPr>
            </w:pPr>
            <w:r>
              <w:rPr>
                <w:sz w:val="21"/>
              </w:rPr>
              <w:t>专科医生应当同时满足以下四项资格条件：</w:t>
            </w:r>
          </w:p>
          <w:p>
            <w:pPr>
              <w:pStyle w:val="TableParagraph"/>
              <w:spacing w:before="36"/>
              <w:ind w:left="59"/>
              <w:rPr>
                <w:sz w:val="21"/>
              </w:rPr>
            </w:pPr>
            <w:r>
              <w:rPr>
                <w:sz w:val="21"/>
              </w:rPr>
              <w:t>（1）具有有效的中华人民共和国《医师资格证书》；</w:t>
            </w:r>
          </w:p>
          <w:p>
            <w:pPr>
              <w:pStyle w:val="TableParagraph"/>
              <w:spacing w:line="273" w:lineRule="auto" w:before="36"/>
              <w:ind w:left="598" w:right="304" w:hanging="539"/>
              <w:rPr>
                <w:sz w:val="21"/>
              </w:rPr>
            </w:pPr>
            <w:r>
              <w:rPr>
                <w:sz w:val="21"/>
              </w:rPr>
              <w:t>（2）具有有效的中华人民共和国《医师执业证书》，并按期到相关部门登记注册；</w:t>
            </w:r>
          </w:p>
          <w:p>
            <w:pPr>
              <w:pStyle w:val="TableParagraph"/>
              <w:spacing w:line="273" w:lineRule="auto" w:before="7"/>
              <w:ind w:left="598" w:right="304" w:hanging="539"/>
              <w:rPr>
                <w:sz w:val="21"/>
              </w:rPr>
            </w:pPr>
            <w:r>
              <w:rPr>
                <w:sz w:val="21"/>
              </w:rPr>
              <w:t>（3）具有有效的中华人民共和国主治医师或主治医师以上职称的《医师职称证书》；</w:t>
            </w:r>
          </w:p>
          <w:p>
            <w:pPr>
              <w:pStyle w:val="TableParagraph"/>
              <w:spacing w:before="7"/>
              <w:ind w:left="59"/>
              <w:rPr>
                <w:sz w:val="21"/>
              </w:rPr>
            </w:pPr>
            <w:r>
              <w:rPr>
                <w:sz w:val="21"/>
              </w:rPr>
              <w:t>（4）在二级或二级以上医院的相应科室从事临床工作三年以上。</w:t>
            </w:r>
          </w:p>
        </w:tc>
      </w:tr>
      <w:tr>
        <w:trPr>
          <w:trHeight w:val="1560" w:hRule="atLeast"/>
        </w:trPr>
        <w:tc>
          <w:tcPr>
            <w:tcW w:w="876" w:type="dxa"/>
          </w:tcPr>
          <w:p>
            <w:pPr>
              <w:pStyle w:val="TableParagraph"/>
              <w:spacing w:before="142"/>
              <w:rPr>
                <w:b/>
                <w:sz w:val="21"/>
              </w:rPr>
            </w:pPr>
            <w:r>
              <w:rPr>
                <w:b/>
                <w:sz w:val="21"/>
              </w:rPr>
              <w:t>6.7</w:t>
            </w:r>
          </w:p>
        </w:tc>
        <w:tc>
          <w:tcPr>
            <w:tcW w:w="1787" w:type="dxa"/>
          </w:tcPr>
          <w:p>
            <w:pPr>
              <w:pStyle w:val="TableParagraph"/>
              <w:spacing w:before="142"/>
              <w:ind w:left="253"/>
              <w:rPr>
                <w:b/>
                <w:sz w:val="21"/>
              </w:rPr>
            </w:pPr>
            <w:r>
              <w:rPr>
                <w:b/>
                <w:sz w:val="21"/>
              </w:rPr>
              <w:t>毒品</w:t>
            </w:r>
          </w:p>
        </w:tc>
        <w:tc>
          <w:tcPr>
            <w:tcW w:w="6989" w:type="dxa"/>
          </w:tcPr>
          <w:p>
            <w:pPr>
              <w:pStyle w:val="TableParagraph"/>
              <w:spacing w:line="273" w:lineRule="auto" w:before="142"/>
              <w:ind w:left="156"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3"/>
                <w:sz w:val="21"/>
              </w:rPr>
              <w:t>品成分的处方药品。</w:t>
            </w:r>
          </w:p>
        </w:tc>
      </w:tr>
      <w:tr>
        <w:trPr>
          <w:trHeight w:val="1248" w:hRule="atLeast"/>
        </w:trPr>
        <w:tc>
          <w:tcPr>
            <w:tcW w:w="876" w:type="dxa"/>
          </w:tcPr>
          <w:p>
            <w:pPr>
              <w:pStyle w:val="TableParagraph"/>
              <w:spacing w:before="142"/>
              <w:rPr>
                <w:b/>
                <w:sz w:val="21"/>
              </w:rPr>
            </w:pPr>
            <w:r>
              <w:rPr>
                <w:b/>
                <w:sz w:val="21"/>
              </w:rPr>
              <w:t>6.8</w:t>
            </w:r>
          </w:p>
        </w:tc>
        <w:tc>
          <w:tcPr>
            <w:tcW w:w="1787" w:type="dxa"/>
          </w:tcPr>
          <w:p>
            <w:pPr>
              <w:pStyle w:val="TableParagraph"/>
              <w:spacing w:before="142"/>
              <w:ind w:left="253"/>
              <w:rPr>
                <w:b/>
                <w:sz w:val="21"/>
              </w:rPr>
            </w:pPr>
            <w:r>
              <w:rPr>
                <w:b/>
                <w:sz w:val="21"/>
              </w:rPr>
              <w:t>酒后驾驶</w:t>
            </w:r>
          </w:p>
        </w:tc>
        <w:tc>
          <w:tcPr>
            <w:tcW w:w="6989" w:type="dxa"/>
          </w:tcPr>
          <w:p>
            <w:pPr>
              <w:pStyle w:val="TableParagraph"/>
              <w:spacing w:line="273" w:lineRule="auto" w:before="142"/>
              <w:ind w:left="156" w:right="198"/>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6" w:type="dxa"/>
          </w:tcPr>
          <w:p>
            <w:pPr>
              <w:pStyle w:val="TableParagraph"/>
              <w:spacing w:before="143"/>
              <w:rPr>
                <w:b/>
                <w:sz w:val="21"/>
              </w:rPr>
            </w:pPr>
            <w:r>
              <w:rPr>
                <w:b/>
                <w:sz w:val="21"/>
              </w:rPr>
              <w:t>6.9</w:t>
            </w:r>
          </w:p>
        </w:tc>
        <w:tc>
          <w:tcPr>
            <w:tcW w:w="1787" w:type="dxa"/>
          </w:tcPr>
          <w:p>
            <w:pPr>
              <w:pStyle w:val="TableParagraph"/>
              <w:spacing w:line="273" w:lineRule="auto" w:before="143"/>
              <w:ind w:left="253" w:right="264"/>
              <w:rPr>
                <w:b/>
                <w:sz w:val="21"/>
              </w:rPr>
            </w:pPr>
            <w:r>
              <w:rPr>
                <w:b/>
                <w:sz w:val="21"/>
              </w:rPr>
              <w:t>无合法有效驾驶证驾驶</w:t>
            </w:r>
          </w:p>
        </w:tc>
        <w:tc>
          <w:tcPr>
            <w:tcW w:w="6989" w:type="dxa"/>
          </w:tcPr>
          <w:p>
            <w:pPr>
              <w:pStyle w:val="TableParagraph"/>
              <w:spacing w:before="143"/>
              <w:ind w:left="156"/>
              <w:rPr>
                <w:sz w:val="21"/>
              </w:rPr>
            </w:pPr>
            <w:r>
              <w:rPr>
                <w:sz w:val="21"/>
              </w:rPr>
              <w:t>指下列情形之一：</w:t>
            </w:r>
          </w:p>
          <w:p>
            <w:pPr>
              <w:pStyle w:val="TableParagraph"/>
              <w:spacing w:before="37"/>
              <w:ind w:left="228"/>
              <w:rPr>
                <w:sz w:val="21"/>
              </w:rPr>
            </w:pPr>
            <w:r>
              <w:rPr>
                <w:sz w:val="21"/>
              </w:rPr>
              <w:t>（1）没有取得驾驶资格；</w:t>
            </w:r>
          </w:p>
          <w:p>
            <w:pPr>
              <w:pStyle w:val="TableParagraph"/>
              <w:spacing w:before="37"/>
              <w:ind w:left="228"/>
              <w:rPr>
                <w:sz w:val="21"/>
              </w:rPr>
            </w:pPr>
            <w:r>
              <w:rPr>
                <w:sz w:val="21"/>
              </w:rPr>
              <w:t>（2）驾驶与驾驶证准驾车型不相符合的车辆；</w:t>
            </w:r>
          </w:p>
          <w:p>
            <w:pPr>
              <w:pStyle w:val="TableParagraph"/>
              <w:spacing w:before="37"/>
              <w:ind w:left="228"/>
              <w:rPr>
                <w:sz w:val="21"/>
              </w:rPr>
            </w:pPr>
            <w:r>
              <w:rPr>
                <w:sz w:val="21"/>
              </w:rPr>
              <w:t>（3）持审验不合格的驾驶证驾驶；</w:t>
            </w:r>
          </w:p>
          <w:p>
            <w:pPr>
              <w:pStyle w:val="TableParagraph"/>
              <w:spacing w:line="273" w:lineRule="auto" w:before="37"/>
              <w:ind w:left="751" w:right="141" w:hanging="524"/>
              <w:rPr>
                <w:sz w:val="21"/>
              </w:rPr>
            </w:pPr>
            <w:r>
              <w:rPr>
                <w:sz w:val="21"/>
              </w:rPr>
              <w:t>（4）持学习驾驶证学习驾车时，无教练员随车指导，或不按指定时间、路线学习驾车。</w:t>
            </w:r>
          </w:p>
        </w:tc>
      </w:tr>
      <w:tr>
        <w:trPr>
          <w:trHeight w:val="1041" w:hRule="atLeast"/>
        </w:trPr>
        <w:tc>
          <w:tcPr>
            <w:tcW w:w="876" w:type="dxa"/>
          </w:tcPr>
          <w:p>
            <w:pPr>
              <w:pStyle w:val="TableParagraph"/>
              <w:spacing w:before="142"/>
              <w:rPr>
                <w:b/>
                <w:sz w:val="21"/>
              </w:rPr>
            </w:pPr>
            <w:r>
              <w:rPr>
                <w:b/>
                <w:sz w:val="21"/>
              </w:rPr>
              <w:t>6.10</w:t>
            </w:r>
          </w:p>
        </w:tc>
        <w:tc>
          <w:tcPr>
            <w:tcW w:w="1787" w:type="dxa"/>
          </w:tcPr>
          <w:p>
            <w:pPr>
              <w:pStyle w:val="TableParagraph"/>
              <w:spacing w:before="142"/>
              <w:ind w:left="253"/>
              <w:rPr>
                <w:b/>
                <w:sz w:val="21"/>
              </w:rPr>
            </w:pPr>
            <w:r>
              <w:rPr>
                <w:b/>
                <w:sz w:val="21"/>
              </w:rPr>
              <w:t>无有效行驶证</w:t>
            </w:r>
          </w:p>
        </w:tc>
        <w:tc>
          <w:tcPr>
            <w:tcW w:w="6989" w:type="dxa"/>
          </w:tcPr>
          <w:p>
            <w:pPr>
              <w:pStyle w:val="TableParagraph"/>
              <w:spacing w:before="142"/>
              <w:ind w:left="156"/>
              <w:rPr>
                <w:sz w:val="21"/>
              </w:rPr>
            </w:pPr>
            <w:r>
              <w:rPr>
                <w:sz w:val="21"/>
              </w:rPr>
              <w:t>指下列情形之一：</w:t>
            </w:r>
          </w:p>
          <w:p>
            <w:pPr>
              <w:pStyle w:val="TableParagraph"/>
              <w:spacing w:before="36"/>
              <w:ind w:left="156"/>
              <w:rPr>
                <w:sz w:val="21"/>
              </w:rPr>
            </w:pPr>
            <w:r>
              <w:rPr>
                <w:sz w:val="21"/>
              </w:rPr>
              <w:t>（1）机动车被依法注销登记的；</w:t>
            </w:r>
          </w:p>
          <w:p>
            <w:pPr>
              <w:pStyle w:val="TableParagraph"/>
              <w:spacing w:line="255" w:lineRule="exact" w:before="36"/>
              <w:ind w:left="156"/>
              <w:rPr>
                <w:sz w:val="21"/>
              </w:rPr>
            </w:pPr>
            <w:r>
              <w:rPr>
                <w:sz w:val="21"/>
              </w:rPr>
              <w:t>（2）未依法按时进行或通过机动车安全技术检验。</w:t>
            </w:r>
          </w:p>
        </w:tc>
      </w:tr>
    </w:tbl>
    <w:p>
      <w:pPr>
        <w:spacing w:after="0" w:line="255" w:lineRule="exact"/>
        <w:rPr>
          <w:sz w:val="21"/>
        </w:rPr>
        <w:sectPr>
          <w:pgSz w:w="11910" w:h="16840"/>
          <w:pgMar w:header="0" w:footer="912" w:top="114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1041" w:hRule="atLeast"/>
        </w:trPr>
        <w:tc>
          <w:tcPr>
            <w:tcW w:w="876" w:type="dxa"/>
          </w:tcPr>
          <w:p>
            <w:pPr>
              <w:pStyle w:val="TableParagraph"/>
              <w:spacing w:line="209" w:lineRule="exact"/>
              <w:rPr>
                <w:b/>
                <w:sz w:val="21"/>
              </w:rPr>
            </w:pPr>
            <w:r>
              <w:rPr>
                <w:b/>
                <w:sz w:val="21"/>
              </w:rPr>
              <w:t>6.11</w:t>
            </w:r>
          </w:p>
        </w:tc>
        <w:tc>
          <w:tcPr>
            <w:tcW w:w="1835" w:type="dxa"/>
          </w:tcPr>
          <w:p>
            <w:pPr>
              <w:pStyle w:val="TableParagraph"/>
              <w:spacing w:line="209" w:lineRule="exact"/>
              <w:ind w:left="253"/>
              <w:rPr>
                <w:b/>
                <w:sz w:val="21"/>
              </w:rPr>
            </w:pPr>
            <w:r>
              <w:rPr>
                <w:b/>
                <w:sz w:val="21"/>
              </w:rPr>
              <w:t>先天性畸形、变</w:t>
            </w:r>
          </w:p>
          <w:p>
            <w:pPr>
              <w:pStyle w:val="TableParagraph"/>
              <w:spacing w:line="273" w:lineRule="auto" w:before="37"/>
              <w:ind w:left="253" w:right="312"/>
              <w:rPr>
                <w:b/>
                <w:sz w:val="21"/>
              </w:rPr>
            </w:pPr>
            <w:r>
              <w:rPr>
                <w:b/>
                <w:sz w:val="21"/>
              </w:rPr>
              <w:t>形或染色体异常</w:t>
            </w:r>
          </w:p>
        </w:tc>
        <w:tc>
          <w:tcPr>
            <w:tcW w:w="6940" w:type="dxa"/>
          </w:tcPr>
          <w:p>
            <w:pPr>
              <w:pStyle w:val="TableParagraph"/>
              <w:spacing w:line="209" w:lineRule="exact"/>
              <w:ind w:left="108"/>
              <w:rPr>
                <w:sz w:val="21"/>
              </w:rPr>
            </w:pPr>
            <w:r>
              <w:rPr>
                <w:sz w:val="21"/>
              </w:rPr>
              <w:t>指被保险人出生时就具有的畸形、变形或染色体异常。先天性畸形、变</w:t>
            </w:r>
          </w:p>
          <w:p>
            <w:pPr>
              <w:pStyle w:val="TableParagraph"/>
              <w:spacing w:line="273" w:lineRule="auto" w:before="37"/>
              <w:ind w:left="108" w:right="312"/>
              <w:rPr>
                <w:sz w:val="21"/>
              </w:rPr>
            </w:pPr>
            <w:r>
              <w:rPr>
                <w:spacing w:val="-3"/>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76" w:type="dxa"/>
          </w:tcPr>
          <w:p>
            <w:pPr>
              <w:pStyle w:val="TableParagraph"/>
              <w:spacing w:before="140"/>
              <w:rPr>
                <w:b/>
                <w:sz w:val="21"/>
              </w:rPr>
            </w:pPr>
            <w:r>
              <w:rPr>
                <w:b/>
                <w:sz w:val="21"/>
              </w:rPr>
              <w:t>6.12</w:t>
            </w:r>
          </w:p>
        </w:tc>
        <w:tc>
          <w:tcPr>
            <w:tcW w:w="1835" w:type="dxa"/>
          </w:tcPr>
          <w:p>
            <w:pPr>
              <w:pStyle w:val="TableParagraph"/>
              <w:spacing w:before="140"/>
              <w:ind w:left="253"/>
              <w:rPr>
                <w:b/>
                <w:sz w:val="21"/>
              </w:rPr>
            </w:pPr>
            <w:r>
              <w:rPr>
                <w:b/>
                <w:sz w:val="21"/>
              </w:rPr>
              <w:t>潜水</w:t>
            </w:r>
          </w:p>
        </w:tc>
        <w:tc>
          <w:tcPr>
            <w:tcW w:w="6940" w:type="dxa"/>
          </w:tcPr>
          <w:p>
            <w:pPr>
              <w:pStyle w:val="TableParagraph"/>
              <w:spacing w:line="273" w:lineRule="auto" w:before="140"/>
              <w:ind w:left="108" w:right="312"/>
              <w:rPr>
                <w:sz w:val="21"/>
              </w:rPr>
            </w:pPr>
            <w:r>
              <w:rPr>
                <w:sz w:val="21"/>
              </w:rPr>
              <w:t>指以辅助呼吸器材在江、河、湖、海、水库、运河等水域进行的水下运动。</w:t>
            </w:r>
          </w:p>
        </w:tc>
      </w:tr>
      <w:tr>
        <w:trPr>
          <w:trHeight w:val="623" w:hRule="atLeast"/>
        </w:trPr>
        <w:tc>
          <w:tcPr>
            <w:tcW w:w="876" w:type="dxa"/>
          </w:tcPr>
          <w:p>
            <w:pPr>
              <w:pStyle w:val="TableParagraph"/>
              <w:spacing w:before="140"/>
              <w:rPr>
                <w:b/>
                <w:sz w:val="21"/>
              </w:rPr>
            </w:pPr>
            <w:r>
              <w:rPr>
                <w:b/>
                <w:sz w:val="21"/>
              </w:rPr>
              <w:t>6.13</w:t>
            </w:r>
          </w:p>
        </w:tc>
        <w:tc>
          <w:tcPr>
            <w:tcW w:w="1835" w:type="dxa"/>
          </w:tcPr>
          <w:p>
            <w:pPr>
              <w:pStyle w:val="TableParagraph"/>
              <w:spacing w:before="140"/>
              <w:ind w:left="253"/>
              <w:rPr>
                <w:b/>
                <w:sz w:val="21"/>
              </w:rPr>
            </w:pPr>
            <w:r>
              <w:rPr>
                <w:b/>
                <w:sz w:val="21"/>
              </w:rPr>
              <w:t>攀岩</w:t>
            </w:r>
          </w:p>
        </w:tc>
        <w:tc>
          <w:tcPr>
            <w:tcW w:w="6940" w:type="dxa"/>
          </w:tcPr>
          <w:p>
            <w:pPr>
              <w:pStyle w:val="TableParagraph"/>
              <w:spacing w:before="140"/>
              <w:ind w:left="108"/>
              <w:rPr>
                <w:sz w:val="21"/>
              </w:rPr>
            </w:pPr>
            <w:r>
              <w:rPr>
                <w:sz w:val="21"/>
              </w:rPr>
              <w:t>指攀登悬崖、建筑物外墙、人造悬崖、冰崖、冰ft等运动。</w:t>
            </w:r>
          </w:p>
        </w:tc>
      </w:tr>
      <w:tr>
        <w:trPr>
          <w:trHeight w:val="1248" w:hRule="atLeast"/>
        </w:trPr>
        <w:tc>
          <w:tcPr>
            <w:tcW w:w="876" w:type="dxa"/>
          </w:tcPr>
          <w:p>
            <w:pPr>
              <w:pStyle w:val="TableParagraph"/>
              <w:spacing w:before="140"/>
              <w:rPr>
                <w:b/>
                <w:sz w:val="21"/>
              </w:rPr>
            </w:pPr>
            <w:r>
              <w:rPr>
                <w:b/>
                <w:sz w:val="21"/>
              </w:rPr>
              <w:t>6.14</w:t>
            </w:r>
          </w:p>
        </w:tc>
        <w:tc>
          <w:tcPr>
            <w:tcW w:w="1835" w:type="dxa"/>
          </w:tcPr>
          <w:p>
            <w:pPr>
              <w:pStyle w:val="TableParagraph"/>
              <w:spacing w:before="140"/>
              <w:ind w:left="253"/>
              <w:rPr>
                <w:b/>
                <w:sz w:val="21"/>
              </w:rPr>
            </w:pPr>
            <w:r>
              <w:rPr>
                <w:b/>
                <w:sz w:val="21"/>
              </w:rPr>
              <w:t>探险活动</w:t>
            </w:r>
          </w:p>
        </w:tc>
        <w:tc>
          <w:tcPr>
            <w:tcW w:w="6940" w:type="dxa"/>
          </w:tcPr>
          <w:p>
            <w:pPr>
              <w:pStyle w:val="TableParagraph"/>
              <w:spacing w:line="273" w:lineRule="auto" w:before="140"/>
              <w:ind w:left="108" w:right="312"/>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6" w:hRule="atLeast"/>
        </w:trPr>
        <w:tc>
          <w:tcPr>
            <w:tcW w:w="876" w:type="dxa"/>
          </w:tcPr>
          <w:p>
            <w:pPr>
              <w:pStyle w:val="TableParagraph"/>
              <w:spacing w:before="140"/>
              <w:rPr>
                <w:b/>
                <w:sz w:val="21"/>
              </w:rPr>
            </w:pPr>
            <w:r>
              <w:rPr>
                <w:b/>
                <w:sz w:val="21"/>
              </w:rPr>
              <w:t>6.15</w:t>
            </w:r>
          </w:p>
        </w:tc>
        <w:tc>
          <w:tcPr>
            <w:tcW w:w="1835" w:type="dxa"/>
          </w:tcPr>
          <w:p>
            <w:pPr>
              <w:pStyle w:val="TableParagraph"/>
              <w:spacing w:before="140"/>
              <w:ind w:left="253"/>
              <w:rPr>
                <w:b/>
                <w:sz w:val="21"/>
              </w:rPr>
            </w:pPr>
            <w:r>
              <w:rPr>
                <w:b/>
                <w:sz w:val="21"/>
              </w:rPr>
              <w:t>武术比赛</w:t>
            </w:r>
          </w:p>
        </w:tc>
        <w:tc>
          <w:tcPr>
            <w:tcW w:w="6940" w:type="dxa"/>
          </w:tcPr>
          <w:p>
            <w:pPr>
              <w:pStyle w:val="TableParagraph"/>
              <w:spacing w:line="273" w:lineRule="auto" w:before="140"/>
              <w:ind w:left="108" w:right="312"/>
              <w:rPr>
                <w:sz w:val="21"/>
              </w:rPr>
            </w:pPr>
            <w:r>
              <w:rPr>
                <w:sz w:val="21"/>
              </w:rPr>
              <w:t>指两人或两人以上对抗柔道、空手道、跆拳道、散打、拳击等各种拳术及各种使用器械的对抗性比赛。</w:t>
            </w:r>
          </w:p>
        </w:tc>
      </w:tr>
      <w:tr>
        <w:trPr>
          <w:trHeight w:val="1248" w:hRule="atLeast"/>
        </w:trPr>
        <w:tc>
          <w:tcPr>
            <w:tcW w:w="876" w:type="dxa"/>
          </w:tcPr>
          <w:p>
            <w:pPr>
              <w:pStyle w:val="TableParagraph"/>
              <w:spacing w:before="140"/>
              <w:rPr>
                <w:b/>
                <w:sz w:val="21"/>
              </w:rPr>
            </w:pPr>
            <w:r>
              <w:rPr>
                <w:b/>
                <w:sz w:val="21"/>
              </w:rPr>
              <w:t>6.16</w:t>
            </w:r>
          </w:p>
        </w:tc>
        <w:tc>
          <w:tcPr>
            <w:tcW w:w="1835" w:type="dxa"/>
          </w:tcPr>
          <w:p>
            <w:pPr>
              <w:pStyle w:val="TableParagraph"/>
              <w:spacing w:line="273" w:lineRule="auto" w:before="140"/>
              <w:ind w:left="253" w:right="312"/>
              <w:rPr>
                <w:b/>
                <w:sz w:val="21"/>
              </w:rPr>
            </w:pPr>
            <w:r>
              <w:rPr>
                <w:b/>
                <w:sz w:val="21"/>
              </w:rPr>
              <w:t>本合同约定利率</w:t>
            </w:r>
          </w:p>
        </w:tc>
        <w:tc>
          <w:tcPr>
            <w:tcW w:w="6940" w:type="dxa"/>
          </w:tcPr>
          <w:p>
            <w:pPr>
              <w:pStyle w:val="TableParagraph"/>
              <w:spacing w:line="273" w:lineRule="auto" w:before="140"/>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876" w:type="dxa"/>
          </w:tcPr>
          <w:p>
            <w:pPr>
              <w:pStyle w:val="TableParagraph"/>
              <w:spacing w:before="140"/>
              <w:rPr>
                <w:b/>
                <w:sz w:val="21"/>
              </w:rPr>
            </w:pPr>
            <w:r>
              <w:rPr>
                <w:b/>
                <w:sz w:val="21"/>
              </w:rPr>
              <w:t>6.17</w:t>
            </w:r>
          </w:p>
        </w:tc>
        <w:tc>
          <w:tcPr>
            <w:tcW w:w="1835" w:type="dxa"/>
          </w:tcPr>
          <w:p>
            <w:pPr>
              <w:pStyle w:val="TableParagraph"/>
              <w:spacing w:line="273" w:lineRule="auto" w:before="140"/>
              <w:ind w:left="253" w:right="312"/>
              <w:rPr>
                <w:b/>
                <w:sz w:val="21"/>
              </w:rPr>
            </w:pPr>
            <w:r>
              <w:rPr>
                <w:b/>
                <w:sz w:val="21"/>
              </w:rPr>
              <w:t>肢体机能完全丧失</w:t>
            </w:r>
          </w:p>
        </w:tc>
        <w:tc>
          <w:tcPr>
            <w:tcW w:w="6940" w:type="dxa"/>
          </w:tcPr>
          <w:p>
            <w:pPr>
              <w:pStyle w:val="TableParagraph"/>
              <w:spacing w:line="273" w:lineRule="auto" w:before="140"/>
              <w:ind w:left="108" w:right="312"/>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spacing w:before="140"/>
              <w:rPr>
                <w:b/>
                <w:sz w:val="21"/>
              </w:rPr>
            </w:pPr>
            <w:r>
              <w:rPr>
                <w:b/>
                <w:sz w:val="21"/>
              </w:rPr>
              <w:t>6.18</w:t>
            </w:r>
          </w:p>
        </w:tc>
        <w:tc>
          <w:tcPr>
            <w:tcW w:w="1835" w:type="dxa"/>
          </w:tcPr>
          <w:p>
            <w:pPr>
              <w:pStyle w:val="TableParagraph"/>
              <w:spacing w:line="273" w:lineRule="auto" w:before="140"/>
              <w:ind w:left="253" w:right="312"/>
              <w:jc w:val="both"/>
              <w:rPr>
                <w:b/>
                <w:sz w:val="21"/>
              </w:rPr>
            </w:pPr>
            <w:r>
              <w:rPr>
                <w:b/>
                <w:sz w:val="21"/>
              </w:rPr>
              <w:t>语言能力或咀嚼吞咽能力完全丧失</w:t>
            </w:r>
          </w:p>
        </w:tc>
        <w:tc>
          <w:tcPr>
            <w:tcW w:w="6940" w:type="dxa"/>
          </w:tcPr>
          <w:p>
            <w:pPr>
              <w:pStyle w:val="TableParagraph"/>
              <w:spacing w:line="273" w:lineRule="auto" w:before="140"/>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spacing w:before="140"/>
              <w:rPr>
                <w:b/>
                <w:sz w:val="21"/>
              </w:rPr>
            </w:pPr>
            <w:r>
              <w:rPr>
                <w:b/>
                <w:sz w:val="21"/>
              </w:rPr>
              <w:t>6.19</w:t>
            </w:r>
          </w:p>
        </w:tc>
        <w:tc>
          <w:tcPr>
            <w:tcW w:w="1835" w:type="dxa"/>
          </w:tcPr>
          <w:p>
            <w:pPr>
              <w:pStyle w:val="TableParagraph"/>
              <w:spacing w:line="273" w:lineRule="auto" w:before="140"/>
              <w:ind w:left="253" w:right="312"/>
              <w:rPr>
                <w:b/>
                <w:sz w:val="21"/>
              </w:rPr>
            </w:pPr>
            <w:r>
              <w:rPr>
                <w:b/>
                <w:sz w:val="21"/>
              </w:rPr>
              <w:t>六项基本日常生活活动</w:t>
            </w:r>
          </w:p>
        </w:tc>
        <w:tc>
          <w:tcPr>
            <w:tcW w:w="6940" w:type="dxa"/>
          </w:tcPr>
          <w:p>
            <w:pPr>
              <w:pStyle w:val="TableParagraph"/>
              <w:spacing w:before="140"/>
              <w:ind w:left="108"/>
              <w:rPr>
                <w:sz w:val="21"/>
              </w:rPr>
            </w:pPr>
            <w:r>
              <w:rPr>
                <w:sz w:val="21"/>
              </w:rPr>
              <w:t>六项基本日常生活活动是指：</w:t>
            </w:r>
          </w:p>
          <w:p>
            <w:pPr>
              <w:pStyle w:val="TableParagraph"/>
              <w:spacing w:before="37"/>
              <w:ind w:left="108"/>
              <w:rPr>
                <w:sz w:val="21"/>
              </w:rPr>
            </w:pPr>
            <w:r>
              <w:rPr>
                <w:sz w:val="21"/>
              </w:rPr>
              <w:t>（1）穿衣：自己能够穿衣及脱衣；</w:t>
            </w:r>
          </w:p>
          <w:p>
            <w:pPr>
              <w:pStyle w:val="TableParagraph"/>
              <w:spacing w:before="37"/>
              <w:ind w:left="108"/>
              <w:rPr>
                <w:sz w:val="21"/>
              </w:rPr>
            </w:pPr>
            <w:r>
              <w:rPr>
                <w:sz w:val="21"/>
              </w:rPr>
              <w:t>（2）移动：自己从一个房间到另一个房间；</w:t>
            </w:r>
          </w:p>
          <w:p>
            <w:pPr>
              <w:pStyle w:val="TableParagraph"/>
              <w:spacing w:before="37"/>
              <w:ind w:left="108"/>
              <w:rPr>
                <w:sz w:val="21"/>
              </w:rPr>
            </w:pPr>
            <w:r>
              <w:rPr>
                <w:sz w:val="21"/>
              </w:rPr>
              <w:t>（3）行动：自己上下床或上下轮椅；</w:t>
            </w:r>
          </w:p>
          <w:p>
            <w:pPr>
              <w:pStyle w:val="TableParagraph"/>
              <w:spacing w:before="37"/>
              <w:ind w:left="108"/>
              <w:rPr>
                <w:sz w:val="21"/>
              </w:rPr>
            </w:pPr>
            <w:r>
              <w:rPr>
                <w:sz w:val="21"/>
              </w:rPr>
              <w:t>（4）如厕：自己控制进行大小便；</w:t>
            </w:r>
          </w:p>
          <w:p>
            <w:pPr>
              <w:pStyle w:val="TableParagraph"/>
              <w:spacing w:before="37"/>
              <w:ind w:left="108"/>
              <w:rPr>
                <w:sz w:val="21"/>
              </w:rPr>
            </w:pPr>
            <w:r>
              <w:rPr>
                <w:sz w:val="21"/>
              </w:rPr>
              <w:t>（5）进食：自己从已准备好的碗或碟中取食物放入口中；</w:t>
            </w:r>
          </w:p>
          <w:p>
            <w:pPr>
              <w:pStyle w:val="TableParagraph"/>
              <w:spacing w:before="36"/>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5"/>
              <w:rPr>
                <w:b/>
                <w:sz w:val="21"/>
              </w:rPr>
            </w:pPr>
            <w:r>
              <w:rPr>
                <w:b/>
                <w:sz w:val="21"/>
              </w:rPr>
              <w:t>6.20</w:t>
            </w:r>
          </w:p>
        </w:tc>
        <w:tc>
          <w:tcPr>
            <w:tcW w:w="1835" w:type="dxa"/>
          </w:tcPr>
          <w:p>
            <w:pPr>
              <w:pStyle w:val="TableParagraph"/>
              <w:spacing w:before="135"/>
              <w:ind w:left="253"/>
              <w:rPr>
                <w:b/>
                <w:sz w:val="21"/>
              </w:rPr>
            </w:pPr>
            <w:r>
              <w:rPr>
                <w:b/>
                <w:sz w:val="21"/>
              </w:rPr>
              <w:t>永久不可逆</w:t>
            </w:r>
          </w:p>
        </w:tc>
        <w:tc>
          <w:tcPr>
            <w:tcW w:w="6940" w:type="dxa"/>
          </w:tcPr>
          <w:p>
            <w:pPr>
              <w:pStyle w:val="TableParagraph"/>
              <w:spacing w:line="290" w:lineRule="atLeast" w:before="135"/>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8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29" w:hanging="173"/>
        <w:jc w:val="left"/>
      </w:pPr>
      <w:rPr>
        <w:rFonts w:hint="default" w:ascii="Times New Roman" w:hAnsi="Times New Roman" w:eastAsia="Times New Roman" w:cs="Times New Roman"/>
        <w:w w:val="100"/>
        <w:sz w:val="21"/>
        <w:szCs w:val="21"/>
      </w:rPr>
    </w:lvl>
    <w:lvl w:ilvl="1">
      <w:start w:val="0"/>
      <w:numFmt w:val="bullet"/>
      <w:lvlText w:val="•"/>
      <w:lvlJc w:val="left"/>
      <w:pPr>
        <w:ind w:left="986" w:hanging="173"/>
      </w:pPr>
      <w:rPr>
        <w:rFonts w:hint="default"/>
      </w:rPr>
    </w:lvl>
    <w:lvl w:ilvl="2">
      <w:start w:val="0"/>
      <w:numFmt w:val="bullet"/>
      <w:lvlText w:val="•"/>
      <w:lvlJc w:val="left"/>
      <w:pPr>
        <w:ind w:left="1653" w:hanging="173"/>
      </w:pPr>
      <w:rPr>
        <w:rFonts w:hint="default"/>
      </w:rPr>
    </w:lvl>
    <w:lvl w:ilvl="3">
      <w:start w:val="0"/>
      <w:numFmt w:val="bullet"/>
      <w:lvlText w:val="•"/>
      <w:lvlJc w:val="left"/>
      <w:pPr>
        <w:ind w:left="2320" w:hanging="173"/>
      </w:pPr>
      <w:rPr>
        <w:rFonts w:hint="default"/>
      </w:rPr>
    </w:lvl>
    <w:lvl w:ilvl="4">
      <w:start w:val="0"/>
      <w:numFmt w:val="bullet"/>
      <w:lvlText w:val="•"/>
      <w:lvlJc w:val="left"/>
      <w:pPr>
        <w:ind w:left="2987" w:hanging="173"/>
      </w:pPr>
      <w:rPr>
        <w:rFonts w:hint="default"/>
      </w:rPr>
    </w:lvl>
    <w:lvl w:ilvl="5">
      <w:start w:val="0"/>
      <w:numFmt w:val="bullet"/>
      <w:lvlText w:val="•"/>
      <w:lvlJc w:val="left"/>
      <w:pPr>
        <w:ind w:left="3654" w:hanging="173"/>
      </w:pPr>
      <w:rPr>
        <w:rFonts w:hint="default"/>
      </w:rPr>
    </w:lvl>
    <w:lvl w:ilvl="6">
      <w:start w:val="0"/>
      <w:numFmt w:val="bullet"/>
      <w:lvlText w:val="•"/>
      <w:lvlJc w:val="left"/>
      <w:pPr>
        <w:ind w:left="4321" w:hanging="173"/>
      </w:pPr>
      <w:rPr>
        <w:rFonts w:hint="default"/>
      </w:rPr>
    </w:lvl>
    <w:lvl w:ilvl="7">
      <w:start w:val="0"/>
      <w:numFmt w:val="bullet"/>
      <w:lvlText w:val="•"/>
      <w:lvlJc w:val="left"/>
      <w:pPr>
        <w:ind w:left="4988" w:hanging="173"/>
      </w:pPr>
      <w:rPr>
        <w:rFonts w:hint="default"/>
      </w:rPr>
    </w:lvl>
    <w:lvl w:ilvl="8">
      <w:start w:val="0"/>
      <w:numFmt w:val="bullet"/>
      <w:lvlText w:val="•"/>
      <w:lvlJc w:val="left"/>
      <w:pPr>
        <w:ind w:left="5655" w:hanging="173"/>
      </w:pPr>
      <w:rPr>
        <w:rFonts w:hint="default"/>
      </w:rPr>
    </w:lvl>
  </w:abstractNum>
  <w:abstractNum w:abstractNumId="5">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3" w:hanging="720"/>
      </w:pPr>
      <w:rPr>
        <w:rFonts w:hint="default"/>
      </w:rPr>
    </w:lvl>
    <w:lvl w:ilvl="7">
      <w:start w:val="0"/>
      <w:numFmt w:val="bullet"/>
      <w:lvlText w:val="•"/>
      <w:lvlJc w:val="left"/>
      <w:pPr>
        <w:ind w:left="5077" w:hanging="720"/>
      </w:pPr>
      <w:rPr>
        <w:rFonts w:hint="default"/>
      </w:rPr>
    </w:lvl>
    <w:lvl w:ilvl="8">
      <w:start w:val="0"/>
      <w:numFmt w:val="bullet"/>
      <w:lvlText w:val="•"/>
      <w:lvlJc w:val="left"/>
      <w:pPr>
        <w:ind w:left="5671" w:hanging="720"/>
      </w:pPr>
      <w:rPr>
        <w:rFonts w:hint="default"/>
      </w:rPr>
    </w:lvl>
  </w:abstractNum>
  <w:abstractNum w:abstractNumId="4">
    <w:multiLevelType w:val="hybridMultilevel"/>
    <w:lvl w:ilvl="0">
      <w:start w:val="6"/>
      <w:numFmt w:val="decimal"/>
      <w:lvlText w:val="%1"/>
      <w:lvlJc w:val="left"/>
      <w:pPr>
        <w:ind w:left="655" w:hanging="423"/>
        <w:jc w:val="left"/>
      </w:pPr>
      <w:rPr>
        <w:rFonts w:hint="default"/>
      </w:rPr>
    </w:lvl>
    <w:lvl w:ilvl="1">
      <w:start w:val="5"/>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3">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2">
    <w:multiLevelType w:val="hybridMultilevel"/>
    <w:lvl w:ilvl="0">
      <w:start w:val="3"/>
      <w:numFmt w:val="decimal"/>
      <w:lvlText w:val="%1"/>
      <w:lvlJc w:val="left"/>
      <w:pPr>
        <w:ind w:left="635" w:hanging="423"/>
        <w:jc w:val="left"/>
      </w:pPr>
      <w:rPr>
        <w:rFonts w:hint="default"/>
      </w:rPr>
    </w:lvl>
    <w:lvl w:ilvl="1">
      <w:start w:val="4"/>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8" w:hanging="399"/>
      </w:pPr>
      <w:rPr>
        <w:rFonts w:hint="default"/>
      </w:rPr>
    </w:lvl>
    <w:lvl w:ilvl="2">
      <w:start w:val="0"/>
      <w:numFmt w:val="bullet"/>
      <w:lvlText w:val="•"/>
      <w:lvlJc w:val="left"/>
      <w:pPr>
        <w:ind w:left="3217" w:hanging="399"/>
      </w:pPr>
      <w:rPr>
        <w:rFonts w:hint="default"/>
      </w:rPr>
    </w:lvl>
    <w:lvl w:ilvl="3">
      <w:start w:val="0"/>
      <w:numFmt w:val="bullet"/>
      <w:lvlText w:val="•"/>
      <w:lvlJc w:val="left"/>
      <w:pPr>
        <w:ind w:left="4195" w:hanging="399"/>
      </w:pPr>
      <w:rPr>
        <w:rFonts w:hint="default"/>
      </w:rPr>
    </w:lvl>
    <w:lvl w:ilvl="4">
      <w:start w:val="0"/>
      <w:numFmt w:val="bullet"/>
      <w:lvlText w:val="•"/>
      <w:lvlJc w:val="left"/>
      <w:pPr>
        <w:ind w:left="5174"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31" w:hanging="399"/>
      </w:pPr>
      <w:rPr>
        <w:rFonts w:hint="default"/>
      </w:rPr>
    </w:lvl>
    <w:lvl w:ilvl="7">
      <w:start w:val="0"/>
      <w:numFmt w:val="bullet"/>
      <w:lvlText w:val="•"/>
      <w:lvlJc w:val="left"/>
      <w:pPr>
        <w:ind w:left="8110" w:hanging="399"/>
      </w:pPr>
      <w:rPr>
        <w:rFonts w:hint="default"/>
      </w:rPr>
    </w:lvl>
    <w:lvl w:ilvl="8">
      <w:start w:val="0"/>
      <w:numFmt w:val="bullet"/>
      <w:lvlText w:val="•"/>
      <w:lvlJc w:val="left"/>
      <w:pPr>
        <w:ind w:left="908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7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2018-10-20T02:41:29Z</dcterms:created>
  <dcterms:modified xsi:type="dcterms:W3CDTF">2018-10-20T02:41:29Z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