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0" w:right="116" w:firstLine="0"/>
        <w:jc w:val="right"/>
        <w:rPr>
          <w:sz w:val="16"/>
        </w:rPr>
      </w:pPr>
      <w:r>
        <w:rPr/>
        <w:drawing>
          <wp:anchor distT="0" distB="0" distL="0" distR="0" allowOverlap="1" layoutInCell="1" locked="0" behindDoc="0" simplePos="0" relativeHeight="1048">
            <wp:simplePos x="0" y="0"/>
            <wp:positionH relativeFrom="page">
              <wp:posOffset>6172200</wp:posOffset>
            </wp:positionH>
            <wp:positionV relativeFrom="paragraph">
              <wp:posOffset>243633</wp:posOffset>
            </wp:positionV>
            <wp:extent cx="723900" cy="7239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w:t>
      </w:r>
      <w:r>
        <w:rPr>
          <w:rFonts w:ascii="Times New Roman" w:eastAsia="Times New Roman"/>
          <w:sz w:val="16"/>
        </w:rPr>
        <w:t>[2017]</w:t>
      </w:r>
      <w:r>
        <w:rPr>
          <w:sz w:val="16"/>
        </w:rPr>
        <w:t>疾病保险 </w:t>
      </w:r>
      <w:r>
        <w:rPr>
          <w:rFonts w:ascii="Times New Roman" w:eastAsia="Times New Roman"/>
          <w:sz w:val="16"/>
        </w:rPr>
        <w:t>016 </w:t>
      </w:r>
      <w:r>
        <w:rPr>
          <w:sz w:val="16"/>
        </w:rPr>
        <w:t>号</w:t>
      </w:r>
    </w:p>
    <w:p>
      <w:pPr>
        <w:pStyle w:val="BodyText"/>
        <w:rPr>
          <w:sz w:val="20"/>
        </w:rPr>
      </w:pPr>
    </w:p>
    <w:p>
      <w:pPr>
        <w:spacing w:after="0"/>
        <w:rPr>
          <w:sz w:val="20"/>
        </w:rPr>
        <w:sectPr>
          <w:type w:val="continuous"/>
          <w:pgSz w:w="11910" w:h="16840"/>
          <w:pgMar w:top="440" w:bottom="280" w:left="700" w:right="400"/>
        </w:sectPr>
      </w:pPr>
    </w:p>
    <w:p>
      <w:pPr>
        <w:spacing w:before="99"/>
        <w:ind w:left="2602" w:right="0" w:firstLine="0"/>
        <w:jc w:val="left"/>
        <w:rPr>
          <w:b/>
          <w:sz w:val="44"/>
        </w:rPr>
      </w:pPr>
      <w:r>
        <w:rPr>
          <w:b/>
          <w:w w:val="95"/>
          <w:sz w:val="44"/>
        </w:rPr>
        <w:t>华夏人寿保险股份有限公司</w:t>
      </w:r>
    </w:p>
    <w:p>
      <w:pPr>
        <w:spacing w:line="324" w:lineRule="auto" w:before="48"/>
        <w:ind w:left="1937" w:right="0" w:firstLine="0"/>
        <w:jc w:val="center"/>
        <w:rPr>
          <w:b/>
          <w:sz w:val="44"/>
        </w:rPr>
      </w:pPr>
      <w:r>
        <w:rPr>
          <w:b/>
          <w:w w:val="95"/>
          <w:sz w:val="44"/>
        </w:rPr>
        <w:t>常青树重大疾病保险（2015）条款阅读指引</w:t>
      </w:r>
    </w:p>
    <w:p>
      <w:pPr>
        <w:pStyle w:val="BodyText"/>
        <w:spacing w:before="86"/>
        <w:ind w:left="1995"/>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4"/>
        <w:rPr>
          <w:sz w:val="18"/>
        </w:rPr>
      </w:pPr>
    </w:p>
    <w:p>
      <w:pPr>
        <w:spacing w:before="0"/>
        <w:ind w:left="181" w:right="0" w:firstLine="0"/>
        <w:jc w:val="left"/>
        <w:rPr>
          <w:rFonts w:ascii="仿宋" w:eastAsia="仿宋" w:hint="eastAsia"/>
          <w:sz w:val="16"/>
        </w:rPr>
      </w:pPr>
      <w:r>
        <w:rPr>
          <w:rFonts w:ascii="仿宋" w:eastAsia="仿宋" w:hint="eastAsia"/>
          <w:sz w:val="16"/>
        </w:rPr>
        <w:t>请扫描以查询验证条款</w:t>
      </w:r>
    </w:p>
    <w:p>
      <w:pPr>
        <w:spacing w:after="0"/>
        <w:jc w:val="left"/>
        <w:rPr>
          <w:rFonts w:ascii="仿宋" w:eastAsia="仿宋" w:hint="eastAsia"/>
          <w:sz w:val="16"/>
        </w:rPr>
        <w:sectPr>
          <w:type w:val="continuous"/>
          <w:pgSz w:w="11910" w:h="16840"/>
          <w:pgMar w:top="440" w:bottom="280" w:left="700" w:right="400"/>
          <w:cols w:num="2" w:equalWidth="0">
            <w:col w:w="8571" w:space="40"/>
            <w:col w:w="2199"/>
          </w:cols>
        </w:sectPr>
      </w:pPr>
    </w:p>
    <w:p>
      <w:pPr>
        <w:pStyle w:val="BodyText"/>
        <w:rPr>
          <w:rFonts w:ascii="仿宋"/>
          <w:sz w:val="20"/>
        </w:rPr>
      </w:pPr>
    </w:p>
    <w:p>
      <w:pPr>
        <w:pStyle w:val="BodyText"/>
        <w:spacing w:before="3"/>
        <w:rPr>
          <w:rFonts w:ascii="仿宋"/>
          <w:sz w:val="18"/>
        </w:rPr>
      </w:pPr>
    </w:p>
    <w:p>
      <w:pPr>
        <w:tabs>
          <w:tab w:pos="1261" w:val="left" w:leader="none"/>
        </w:tabs>
        <w:spacing w:before="52"/>
        <w:ind w:left="247" w:right="0" w:firstLine="0"/>
        <w:jc w:val="left"/>
        <w:rPr>
          <w:b/>
          <w:sz w:val="21"/>
        </w:rPr>
      </w:pPr>
      <w:r>
        <w:rPr/>
        <w:drawing>
          <wp:anchor distT="0" distB="0" distL="0" distR="0" allowOverlap="1" layoutInCell="1" locked="0" behindDoc="1" simplePos="0" relativeHeight="268387007">
            <wp:simplePos x="0" y="0"/>
            <wp:positionH relativeFrom="page">
              <wp:posOffset>512063</wp:posOffset>
            </wp:positionH>
            <wp:positionV relativeFrom="paragraph">
              <wp:posOffset>-195228</wp:posOffset>
            </wp:positionV>
            <wp:extent cx="6534658" cy="708756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4658" cy="7087565"/>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554" w:val="left" w:leader="none"/>
        </w:tabs>
        <w:spacing w:line="240" w:lineRule="auto" w:before="26" w:after="0"/>
        <w:ind w:left="1554" w:right="0" w:hanging="334"/>
        <w:jc w:val="left"/>
        <w:rPr>
          <w:sz w:val="21"/>
        </w:rPr>
      </w:pPr>
      <w:r>
        <w:rPr>
          <w:spacing w:val="-3"/>
          <w:sz w:val="21"/>
        </w:rPr>
        <w:t>签收本合同之日起</w:t>
      </w:r>
      <w:r>
        <w:rPr>
          <w:spacing w:val="-1"/>
          <w:sz w:val="21"/>
        </w:rPr>
        <w:t>10</w:t>
      </w:r>
      <w:r>
        <w:rPr>
          <w:spacing w:val="-2"/>
          <w:sz w:val="21"/>
        </w:rPr>
        <w:t>日内</w:t>
      </w:r>
      <w:r>
        <w:rPr>
          <w:spacing w:val="-1"/>
          <w:sz w:val="21"/>
        </w:rPr>
        <w:t>（</w:t>
      </w:r>
      <w:r>
        <w:rPr>
          <w:spacing w:val="-2"/>
          <w:sz w:val="21"/>
        </w:rPr>
        <w:t>犹豫期</w:t>
      </w:r>
      <w:r>
        <w:rPr>
          <w:spacing w:val="-3"/>
          <w:sz w:val="21"/>
        </w:rPr>
        <w:t>）您可以要求退还扣除工本费外的全部保险费</w:t>
      </w:r>
      <w:r>
        <w:rPr>
          <w:rFonts w:ascii="宋体" w:hAnsi="宋体" w:eastAsia="宋体" w:hint="eastAsia"/>
          <w:sz w:val="21"/>
        </w:rPr>
        <w:t>………</w:t>
      </w:r>
      <w:r>
        <w:rPr>
          <w:sz w:val="21"/>
        </w:rPr>
        <w:t>1.4</w:t>
      </w:r>
    </w:p>
    <w:p>
      <w:pPr>
        <w:pStyle w:val="ListParagraph"/>
        <w:numPr>
          <w:ilvl w:val="0"/>
          <w:numId w:val="1"/>
        </w:numPr>
        <w:tabs>
          <w:tab w:pos="1554" w:val="left" w:leader="none"/>
          <w:tab w:pos="9857" w:val="right" w:leader="dot"/>
        </w:tabs>
        <w:spacing w:line="240" w:lineRule="auto" w:before="22" w:after="0"/>
        <w:ind w:left="1554" w:right="0" w:hanging="334"/>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2.1</w:t>
      </w:r>
    </w:p>
    <w:p>
      <w:pPr>
        <w:pStyle w:val="ListParagraph"/>
        <w:numPr>
          <w:ilvl w:val="0"/>
          <w:numId w:val="1"/>
        </w:numPr>
        <w:tabs>
          <w:tab w:pos="1554" w:val="left" w:leader="none"/>
          <w:tab w:pos="9857" w:val="right" w:leader="dot"/>
        </w:tabs>
        <w:spacing w:line="240" w:lineRule="auto" w:before="22" w:after="0"/>
        <w:ind w:left="1554" w:right="0" w:hanging="334"/>
        <w:jc w:val="left"/>
        <w:rPr>
          <w:sz w:val="21"/>
        </w:rPr>
      </w:pPr>
      <w:r>
        <w:rPr>
          <w:sz w:val="21"/>
        </w:rPr>
        <w:t>您有</w:t>
      </w:r>
      <w:r>
        <w:rPr>
          <w:spacing w:val="-3"/>
          <w:sz w:val="21"/>
        </w:rPr>
        <w:t>保</w:t>
      </w:r>
      <w:r>
        <w:rPr>
          <w:sz w:val="21"/>
        </w:rPr>
        <w:t>单</w:t>
      </w:r>
      <w:r>
        <w:rPr>
          <w:spacing w:val="-3"/>
          <w:sz w:val="21"/>
        </w:rPr>
        <w:t>质</w:t>
      </w:r>
      <w:r>
        <w:rPr>
          <w:sz w:val="21"/>
        </w:rPr>
        <w:t>押</w:t>
      </w:r>
      <w:r>
        <w:rPr>
          <w:spacing w:val="-3"/>
          <w:sz w:val="21"/>
        </w:rPr>
        <w:t>借</w:t>
      </w:r>
      <w:r>
        <w:rPr>
          <w:sz w:val="21"/>
        </w:rPr>
        <w:t>款</w:t>
      </w:r>
      <w:r>
        <w:rPr>
          <w:spacing w:val="-3"/>
          <w:sz w:val="21"/>
        </w:rPr>
        <w:t>的</w:t>
      </w:r>
      <w:r>
        <w:rPr>
          <w:sz w:val="21"/>
        </w:rPr>
        <w:t>权利</w:t>
        <w:tab/>
        <w:t>5.2</w:t>
      </w:r>
    </w:p>
    <w:p>
      <w:pPr>
        <w:pStyle w:val="ListParagraph"/>
        <w:numPr>
          <w:ilvl w:val="0"/>
          <w:numId w:val="1"/>
        </w:numPr>
        <w:tabs>
          <w:tab w:pos="1554" w:val="left" w:leader="none"/>
          <w:tab w:pos="9857" w:val="right" w:leader="dot"/>
        </w:tabs>
        <w:spacing w:line="240" w:lineRule="auto" w:before="22" w:after="0"/>
        <w:ind w:left="1554" w:right="0" w:hanging="334"/>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7.1</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554" w:val="left" w:leader="none"/>
        </w:tabs>
        <w:spacing w:line="240" w:lineRule="auto" w:before="25" w:after="0"/>
        <w:ind w:left="1554" w:right="0" w:hanging="334"/>
        <w:jc w:val="left"/>
        <w:rPr>
          <w:sz w:val="21"/>
        </w:rPr>
      </w:pPr>
      <w:r>
        <w:rPr>
          <w:spacing w:val="-3"/>
          <w:sz w:val="21"/>
        </w:rPr>
        <w:t>在某些情况下，我们不承担保险责任 </w:t>
      </w:r>
      <w:r>
        <w:rPr>
          <w:rFonts w:ascii="宋体" w:hAnsi="宋体" w:eastAsia="宋体" w:hint="eastAsia"/>
          <w:sz w:val="21"/>
        </w:rPr>
        <w:t>………………</w:t>
      </w:r>
      <w:r>
        <w:rPr>
          <w:sz w:val="21"/>
        </w:rPr>
        <w:t>1.4;2.2;3.2;6.1;8.2;10.7;10.8;10.9</w:t>
      </w:r>
    </w:p>
    <w:p>
      <w:pPr>
        <w:pStyle w:val="ListParagraph"/>
        <w:numPr>
          <w:ilvl w:val="0"/>
          <w:numId w:val="1"/>
        </w:numPr>
        <w:tabs>
          <w:tab w:pos="1554" w:val="left" w:leader="none"/>
          <w:tab w:pos="9857" w:val="right" w:leader="dot"/>
        </w:tabs>
        <w:spacing w:line="240" w:lineRule="auto" w:before="21" w:after="0"/>
        <w:ind w:left="1554" w:right="0" w:hanging="334"/>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我</w:t>
      </w:r>
      <w:r>
        <w:rPr>
          <w:sz w:val="21"/>
        </w:rPr>
        <w:t>们</w:t>
        <w:tab/>
        <w:t>3.2</w:t>
      </w:r>
    </w:p>
    <w:p>
      <w:pPr>
        <w:pStyle w:val="ListParagraph"/>
        <w:numPr>
          <w:ilvl w:val="0"/>
          <w:numId w:val="1"/>
        </w:numPr>
        <w:tabs>
          <w:tab w:pos="1554" w:val="left" w:leader="none"/>
          <w:tab w:pos="9857" w:val="right" w:leader="dot"/>
        </w:tabs>
        <w:spacing w:line="240" w:lineRule="auto" w:before="21" w:after="0"/>
        <w:ind w:left="1554" w:right="0" w:hanging="334"/>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554" w:val="left" w:leader="none"/>
          <w:tab w:pos="9857" w:val="right" w:leader="dot"/>
        </w:tabs>
        <w:spacing w:line="240" w:lineRule="auto" w:before="21" w:after="0"/>
        <w:ind w:left="1554" w:right="0" w:hanging="334"/>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554" w:val="left" w:leader="none"/>
          <w:tab w:pos="9857" w:val="right" w:leader="dot"/>
        </w:tabs>
        <w:spacing w:line="240" w:lineRule="auto" w:before="21" w:after="0"/>
        <w:ind w:left="1554" w:right="0" w:hanging="334"/>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8.2</w:t>
      </w:r>
    </w:p>
    <w:p>
      <w:pPr>
        <w:pStyle w:val="ListParagraph"/>
        <w:numPr>
          <w:ilvl w:val="0"/>
          <w:numId w:val="1"/>
        </w:numPr>
        <w:tabs>
          <w:tab w:pos="1554" w:val="left" w:leader="none"/>
          <w:tab w:pos="9854" w:val="right" w:leader="dot"/>
        </w:tabs>
        <w:spacing w:line="240" w:lineRule="auto" w:before="21" w:after="0"/>
        <w:ind w:left="1554" w:right="0" w:hanging="334"/>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10</w:t>
      </w:r>
    </w:p>
    <w:p>
      <w:pPr>
        <w:tabs>
          <w:tab w:pos="1258" w:val="left" w:leader="none"/>
        </w:tabs>
        <w:spacing w:before="21"/>
        <w:ind w:left="247"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8" w:val="left" w:leader="none"/>
        </w:tabs>
        <w:spacing w:before="26"/>
        <w:ind w:left="247" w:right="0" w:firstLine="0"/>
        <w:jc w:val="left"/>
        <w:rPr>
          <w:b/>
          <w:sz w:val="21"/>
        </w:rPr>
      </w:pPr>
      <w:r>
        <w:rPr>
          <w:rFonts w:ascii="Arial" w:hAnsi="Arial" w:eastAsia="Arial"/>
          <w:b/>
          <w:w w:val="110"/>
          <w:position w:val="-11"/>
          <w:sz w:val="52"/>
        </w:rPr>
        <w:t></w:t>
        <w:tab/>
      </w:r>
      <w:r>
        <w:rPr>
          <w:b/>
          <w:sz w:val="21"/>
        </w:rPr>
        <w:t>条款目录</w:t>
      </w:r>
    </w:p>
    <w:p>
      <w:pPr>
        <w:pStyle w:val="BodyText"/>
        <w:spacing w:before="8"/>
        <w:rPr>
          <w:b/>
          <w:sz w:val="4"/>
        </w:rPr>
      </w:pPr>
    </w:p>
    <w:tbl>
      <w:tblPr>
        <w:tblW w:w="0" w:type="auto"/>
        <w:jc w:val="left"/>
        <w:tblInd w:w="1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6"/>
        <w:gridCol w:w="2944"/>
        <w:gridCol w:w="3000"/>
      </w:tblGrid>
      <w:tr>
        <w:trPr>
          <w:trHeight w:val="261" w:hRule="atLeast"/>
        </w:trPr>
        <w:tc>
          <w:tcPr>
            <w:tcW w:w="2576" w:type="dxa"/>
          </w:tcPr>
          <w:p>
            <w:pPr>
              <w:pStyle w:val="TableParagraph"/>
              <w:spacing w:line="211" w:lineRule="exact"/>
              <w:ind w:left="50"/>
              <w:rPr>
                <w:rFonts w:ascii="仿宋" w:eastAsia="仿宋" w:hint="eastAsia"/>
                <w:b/>
                <w:sz w:val="21"/>
              </w:rPr>
            </w:pPr>
            <w:r>
              <w:rPr>
                <w:rFonts w:ascii="仿宋" w:eastAsia="仿宋" w:hint="eastAsia"/>
                <w:b/>
                <w:sz w:val="21"/>
              </w:rPr>
              <w:t>1.您与我们订立的合同</w:t>
            </w:r>
          </w:p>
        </w:tc>
        <w:tc>
          <w:tcPr>
            <w:tcW w:w="2944" w:type="dxa"/>
          </w:tcPr>
          <w:p>
            <w:pPr>
              <w:pStyle w:val="TableParagraph"/>
              <w:spacing w:line="211" w:lineRule="exact"/>
              <w:ind w:left="0" w:right="424"/>
              <w:jc w:val="right"/>
              <w:rPr>
                <w:rFonts w:ascii="仿宋" w:eastAsia="仿宋" w:hint="eastAsia"/>
                <w:sz w:val="21"/>
              </w:rPr>
            </w:pPr>
            <w:r>
              <w:rPr>
                <w:rFonts w:ascii="仿宋" w:eastAsia="仿宋" w:hint="eastAsia"/>
                <w:sz w:val="21"/>
              </w:rPr>
              <w:t>3.4 宣告死亡的处理</w:t>
            </w:r>
          </w:p>
        </w:tc>
        <w:tc>
          <w:tcPr>
            <w:tcW w:w="3000" w:type="dxa"/>
          </w:tcPr>
          <w:p>
            <w:pPr>
              <w:pStyle w:val="TableParagraph"/>
              <w:spacing w:line="211" w:lineRule="exact"/>
              <w:ind w:left="0" w:right="52"/>
              <w:jc w:val="right"/>
              <w:rPr>
                <w:rFonts w:ascii="仿宋" w:eastAsia="仿宋" w:hint="eastAsia"/>
                <w:sz w:val="21"/>
              </w:rPr>
            </w:pPr>
            <w:r>
              <w:rPr>
                <w:rFonts w:ascii="仿宋" w:eastAsia="仿宋" w:hint="eastAsia"/>
                <w:sz w:val="21"/>
              </w:rPr>
              <w:t>7.1 您解除合同的手续及</w:t>
            </w:r>
          </w:p>
        </w:tc>
      </w:tr>
      <w:tr>
        <w:trPr>
          <w:trHeight w:val="312"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1.1 合同构成</w:t>
            </w:r>
          </w:p>
        </w:tc>
        <w:tc>
          <w:tcPr>
            <w:tcW w:w="2944" w:type="dxa"/>
          </w:tcPr>
          <w:p>
            <w:pPr>
              <w:pStyle w:val="TableParagraph"/>
              <w:spacing w:line="261" w:lineRule="exact"/>
              <w:ind w:left="625"/>
              <w:rPr>
                <w:rFonts w:ascii="仿宋" w:eastAsia="仿宋" w:hint="eastAsia"/>
                <w:sz w:val="21"/>
              </w:rPr>
            </w:pPr>
            <w:r>
              <w:rPr>
                <w:rFonts w:ascii="仿宋" w:eastAsia="仿宋" w:hint="eastAsia"/>
                <w:sz w:val="21"/>
              </w:rPr>
              <w:t>3.5 保险金的给付</w:t>
            </w:r>
          </w:p>
        </w:tc>
        <w:tc>
          <w:tcPr>
            <w:tcW w:w="3000" w:type="dxa"/>
          </w:tcPr>
          <w:p>
            <w:pPr>
              <w:pStyle w:val="TableParagraph"/>
              <w:spacing w:line="261" w:lineRule="exact"/>
              <w:ind w:left="1039" w:right="1501"/>
              <w:jc w:val="center"/>
              <w:rPr>
                <w:rFonts w:ascii="仿宋" w:eastAsia="仿宋" w:hint="eastAsia"/>
                <w:sz w:val="21"/>
              </w:rPr>
            </w:pPr>
            <w:r>
              <w:rPr>
                <w:rFonts w:ascii="仿宋" w:eastAsia="仿宋" w:hint="eastAsia"/>
                <w:sz w:val="21"/>
              </w:rPr>
              <w:t>风险</w:t>
            </w:r>
          </w:p>
        </w:tc>
      </w:tr>
      <w:tr>
        <w:trPr>
          <w:trHeight w:val="311"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1.2 合同成立与生效</w:t>
            </w:r>
          </w:p>
        </w:tc>
        <w:tc>
          <w:tcPr>
            <w:tcW w:w="2944" w:type="dxa"/>
          </w:tcPr>
          <w:p>
            <w:pPr>
              <w:pStyle w:val="TableParagraph"/>
              <w:spacing w:line="261" w:lineRule="exact"/>
              <w:ind w:left="625"/>
              <w:rPr>
                <w:rFonts w:ascii="仿宋" w:eastAsia="仿宋" w:hint="eastAsia"/>
                <w:sz w:val="21"/>
              </w:rPr>
            </w:pPr>
            <w:r>
              <w:rPr>
                <w:rFonts w:ascii="仿宋" w:eastAsia="仿宋" w:hint="eastAsia"/>
                <w:sz w:val="21"/>
              </w:rPr>
              <w:t>3.6 诉讼时效</w:t>
            </w:r>
          </w:p>
        </w:tc>
        <w:tc>
          <w:tcPr>
            <w:tcW w:w="3000" w:type="dxa"/>
          </w:tcPr>
          <w:p>
            <w:pPr>
              <w:pStyle w:val="TableParagraph"/>
              <w:spacing w:line="261" w:lineRule="exact"/>
              <w:ind w:left="636"/>
              <w:rPr>
                <w:rFonts w:ascii="仿宋" w:eastAsia="仿宋" w:hint="eastAsia"/>
                <w:sz w:val="21"/>
              </w:rPr>
            </w:pPr>
            <w:r>
              <w:rPr>
                <w:rFonts w:ascii="仿宋" w:eastAsia="仿宋" w:hint="eastAsia"/>
                <w:sz w:val="21"/>
              </w:rPr>
              <w:t>7.2 合同变更</w:t>
            </w:r>
          </w:p>
        </w:tc>
      </w:tr>
      <w:tr>
        <w:trPr>
          <w:trHeight w:val="311"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1.3 投保年龄</w:t>
            </w:r>
          </w:p>
        </w:tc>
        <w:tc>
          <w:tcPr>
            <w:tcW w:w="2944" w:type="dxa"/>
          </w:tcPr>
          <w:p>
            <w:pPr>
              <w:pStyle w:val="TableParagraph"/>
              <w:spacing w:line="261" w:lineRule="exact"/>
              <w:ind w:left="414"/>
              <w:rPr>
                <w:rFonts w:ascii="仿宋" w:eastAsia="仿宋" w:hint="eastAsia"/>
                <w:b/>
                <w:sz w:val="21"/>
              </w:rPr>
            </w:pPr>
            <w:r>
              <w:rPr>
                <w:rFonts w:ascii="仿宋" w:eastAsia="仿宋" w:hint="eastAsia"/>
                <w:b/>
                <w:sz w:val="21"/>
              </w:rPr>
              <w:t>4.保险费的交纳</w:t>
            </w:r>
          </w:p>
        </w:tc>
        <w:tc>
          <w:tcPr>
            <w:tcW w:w="3000" w:type="dxa"/>
          </w:tcPr>
          <w:p>
            <w:pPr>
              <w:pStyle w:val="TableParagraph"/>
              <w:spacing w:line="261" w:lineRule="exact"/>
              <w:ind w:left="636"/>
              <w:rPr>
                <w:rFonts w:ascii="仿宋" w:eastAsia="仿宋" w:hint="eastAsia"/>
                <w:sz w:val="21"/>
              </w:rPr>
            </w:pPr>
            <w:r>
              <w:rPr>
                <w:rFonts w:ascii="仿宋" w:eastAsia="仿宋" w:hint="eastAsia"/>
                <w:sz w:val="21"/>
              </w:rPr>
              <w:t>7.3 联系方式变更</w:t>
            </w:r>
          </w:p>
        </w:tc>
      </w:tr>
      <w:tr>
        <w:trPr>
          <w:trHeight w:val="312"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1.4 犹豫期</w:t>
            </w:r>
          </w:p>
        </w:tc>
        <w:tc>
          <w:tcPr>
            <w:tcW w:w="2944" w:type="dxa"/>
          </w:tcPr>
          <w:p>
            <w:pPr>
              <w:pStyle w:val="TableParagraph"/>
              <w:spacing w:line="261" w:lineRule="exact"/>
              <w:ind w:left="625"/>
              <w:rPr>
                <w:rFonts w:ascii="仿宋" w:eastAsia="仿宋" w:hint="eastAsia"/>
                <w:sz w:val="21"/>
              </w:rPr>
            </w:pPr>
            <w:r>
              <w:rPr>
                <w:rFonts w:ascii="仿宋" w:eastAsia="仿宋" w:hint="eastAsia"/>
                <w:sz w:val="21"/>
              </w:rPr>
              <w:t>4.1 保险费的交纳</w:t>
            </w:r>
          </w:p>
        </w:tc>
        <w:tc>
          <w:tcPr>
            <w:tcW w:w="3000" w:type="dxa"/>
          </w:tcPr>
          <w:p>
            <w:pPr>
              <w:pStyle w:val="TableParagraph"/>
              <w:spacing w:line="261" w:lineRule="exact"/>
              <w:ind w:left="425"/>
              <w:rPr>
                <w:rFonts w:ascii="仿宋" w:eastAsia="仿宋" w:hint="eastAsia"/>
                <w:b/>
                <w:sz w:val="21"/>
              </w:rPr>
            </w:pPr>
            <w:r>
              <w:rPr>
                <w:b/>
                <w:sz w:val="21"/>
              </w:rPr>
              <w:t>8.</w:t>
            </w:r>
            <w:r>
              <w:rPr>
                <w:rFonts w:ascii="仿宋" w:eastAsia="仿宋" w:hint="eastAsia"/>
                <w:b/>
                <w:sz w:val="21"/>
              </w:rPr>
              <w:t>明确说明与如实告知</w:t>
            </w:r>
          </w:p>
        </w:tc>
      </w:tr>
      <w:tr>
        <w:trPr>
          <w:trHeight w:val="312" w:hRule="atLeast"/>
        </w:trPr>
        <w:tc>
          <w:tcPr>
            <w:tcW w:w="2576" w:type="dxa"/>
          </w:tcPr>
          <w:p>
            <w:pPr>
              <w:pStyle w:val="TableParagraph"/>
              <w:spacing w:line="261" w:lineRule="exact"/>
              <w:ind w:left="50"/>
              <w:rPr>
                <w:rFonts w:ascii="仿宋" w:eastAsia="仿宋" w:hint="eastAsia"/>
                <w:b/>
                <w:sz w:val="21"/>
              </w:rPr>
            </w:pPr>
            <w:r>
              <w:rPr>
                <w:rFonts w:ascii="仿宋" w:eastAsia="仿宋" w:hint="eastAsia"/>
                <w:b/>
                <w:sz w:val="21"/>
              </w:rPr>
              <w:t>2.我们提供的保障</w:t>
            </w:r>
          </w:p>
        </w:tc>
        <w:tc>
          <w:tcPr>
            <w:tcW w:w="2944" w:type="dxa"/>
          </w:tcPr>
          <w:p>
            <w:pPr>
              <w:pStyle w:val="TableParagraph"/>
              <w:spacing w:line="261" w:lineRule="exact"/>
              <w:ind w:left="625"/>
              <w:rPr>
                <w:rFonts w:ascii="仿宋" w:eastAsia="仿宋" w:hint="eastAsia"/>
                <w:sz w:val="21"/>
              </w:rPr>
            </w:pPr>
            <w:r>
              <w:rPr>
                <w:rFonts w:ascii="仿宋" w:eastAsia="仿宋" w:hint="eastAsia"/>
                <w:sz w:val="21"/>
              </w:rPr>
              <w:t>4.2 宽限期</w:t>
            </w:r>
          </w:p>
        </w:tc>
        <w:tc>
          <w:tcPr>
            <w:tcW w:w="3000" w:type="dxa"/>
          </w:tcPr>
          <w:p>
            <w:pPr>
              <w:pStyle w:val="TableParagraph"/>
              <w:spacing w:line="261" w:lineRule="exact"/>
              <w:ind w:left="636"/>
              <w:rPr>
                <w:rFonts w:ascii="仿宋" w:eastAsia="仿宋" w:hint="eastAsia"/>
                <w:sz w:val="21"/>
              </w:rPr>
            </w:pPr>
            <w:r>
              <w:rPr>
                <w:rFonts w:ascii="仿宋" w:eastAsia="仿宋" w:hint="eastAsia"/>
                <w:sz w:val="21"/>
              </w:rPr>
              <w:t>8.1 明确说明</w:t>
            </w:r>
          </w:p>
        </w:tc>
      </w:tr>
      <w:tr>
        <w:trPr>
          <w:trHeight w:val="311"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2.1 保险责任</w:t>
            </w:r>
          </w:p>
        </w:tc>
        <w:tc>
          <w:tcPr>
            <w:tcW w:w="2944" w:type="dxa"/>
          </w:tcPr>
          <w:p>
            <w:pPr>
              <w:pStyle w:val="TableParagraph"/>
              <w:spacing w:line="261" w:lineRule="exact"/>
              <w:ind w:left="414"/>
              <w:rPr>
                <w:rFonts w:ascii="仿宋" w:eastAsia="仿宋" w:hint="eastAsia"/>
                <w:b/>
                <w:sz w:val="21"/>
              </w:rPr>
            </w:pPr>
            <w:r>
              <w:rPr>
                <w:rFonts w:ascii="仿宋" w:eastAsia="仿宋" w:hint="eastAsia"/>
                <w:b/>
                <w:sz w:val="21"/>
              </w:rPr>
              <w:t>5.现金价值权益</w:t>
            </w:r>
          </w:p>
        </w:tc>
        <w:tc>
          <w:tcPr>
            <w:tcW w:w="3000" w:type="dxa"/>
          </w:tcPr>
          <w:p>
            <w:pPr>
              <w:pStyle w:val="TableParagraph"/>
              <w:spacing w:line="261" w:lineRule="exact"/>
              <w:ind w:left="636"/>
              <w:rPr>
                <w:rFonts w:ascii="仿宋" w:eastAsia="仿宋" w:hint="eastAsia"/>
                <w:sz w:val="21"/>
              </w:rPr>
            </w:pPr>
            <w:r>
              <w:rPr>
                <w:rFonts w:ascii="仿宋" w:eastAsia="仿宋" w:hint="eastAsia"/>
                <w:sz w:val="21"/>
              </w:rPr>
              <w:t>8.2 如实告知</w:t>
            </w:r>
          </w:p>
        </w:tc>
      </w:tr>
      <w:tr>
        <w:trPr>
          <w:trHeight w:val="312"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2.2 责任免除</w:t>
            </w:r>
          </w:p>
        </w:tc>
        <w:tc>
          <w:tcPr>
            <w:tcW w:w="2944" w:type="dxa"/>
          </w:tcPr>
          <w:p>
            <w:pPr>
              <w:pStyle w:val="TableParagraph"/>
              <w:spacing w:line="261" w:lineRule="exact"/>
              <w:ind w:left="0" w:right="424"/>
              <w:jc w:val="right"/>
              <w:rPr>
                <w:rFonts w:ascii="仿宋" w:eastAsia="仿宋" w:hint="eastAsia"/>
                <w:sz w:val="21"/>
              </w:rPr>
            </w:pPr>
            <w:r>
              <w:rPr>
                <w:rFonts w:ascii="仿宋" w:eastAsia="仿宋" w:hint="eastAsia"/>
                <w:sz w:val="21"/>
              </w:rPr>
              <w:t>5.1 本合同现金价值</w:t>
            </w:r>
          </w:p>
        </w:tc>
        <w:tc>
          <w:tcPr>
            <w:tcW w:w="3000" w:type="dxa"/>
          </w:tcPr>
          <w:p>
            <w:pPr>
              <w:pStyle w:val="TableParagraph"/>
              <w:spacing w:line="261" w:lineRule="exact"/>
              <w:ind w:left="0" w:right="47"/>
              <w:jc w:val="right"/>
              <w:rPr>
                <w:rFonts w:ascii="仿宋" w:eastAsia="仿宋" w:hint="eastAsia"/>
                <w:sz w:val="21"/>
              </w:rPr>
            </w:pPr>
            <w:r>
              <w:rPr>
                <w:rFonts w:ascii="仿宋" w:eastAsia="仿宋" w:hint="eastAsia"/>
                <w:sz w:val="21"/>
              </w:rPr>
              <w:t>8.3 本公司合同解除权的</w:t>
            </w:r>
          </w:p>
        </w:tc>
      </w:tr>
      <w:tr>
        <w:trPr>
          <w:trHeight w:val="312"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2.3 保险金额</w:t>
            </w:r>
          </w:p>
        </w:tc>
        <w:tc>
          <w:tcPr>
            <w:tcW w:w="2944" w:type="dxa"/>
          </w:tcPr>
          <w:p>
            <w:pPr>
              <w:pStyle w:val="TableParagraph"/>
              <w:spacing w:line="261" w:lineRule="exact"/>
              <w:ind w:left="625"/>
              <w:rPr>
                <w:rFonts w:ascii="仿宋" w:eastAsia="仿宋" w:hint="eastAsia"/>
                <w:sz w:val="21"/>
              </w:rPr>
            </w:pPr>
            <w:r>
              <w:rPr>
                <w:rFonts w:ascii="仿宋" w:eastAsia="仿宋" w:hint="eastAsia"/>
                <w:sz w:val="21"/>
              </w:rPr>
              <w:t>5.2 保单质押借款</w:t>
            </w:r>
          </w:p>
        </w:tc>
        <w:tc>
          <w:tcPr>
            <w:tcW w:w="3000" w:type="dxa"/>
          </w:tcPr>
          <w:p>
            <w:pPr>
              <w:pStyle w:val="TableParagraph"/>
              <w:spacing w:line="261" w:lineRule="exact"/>
              <w:ind w:left="1039" w:right="1501"/>
              <w:jc w:val="center"/>
              <w:rPr>
                <w:rFonts w:ascii="仿宋" w:eastAsia="仿宋" w:hint="eastAsia"/>
                <w:sz w:val="21"/>
              </w:rPr>
            </w:pPr>
            <w:r>
              <w:rPr>
                <w:rFonts w:ascii="仿宋" w:eastAsia="仿宋" w:hint="eastAsia"/>
                <w:sz w:val="21"/>
              </w:rPr>
              <w:t>限制</w:t>
            </w:r>
          </w:p>
        </w:tc>
      </w:tr>
      <w:tr>
        <w:trPr>
          <w:trHeight w:val="311"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2.4 保险期间</w:t>
            </w:r>
          </w:p>
        </w:tc>
        <w:tc>
          <w:tcPr>
            <w:tcW w:w="2944" w:type="dxa"/>
          </w:tcPr>
          <w:p>
            <w:pPr>
              <w:pStyle w:val="TableParagraph"/>
              <w:spacing w:line="261" w:lineRule="exact"/>
              <w:ind w:left="0" w:right="422"/>
              <w:jc w:val="right"/>
              <w:rPr>
                <w:rFonts w:ascii="仿宋" w:eastAsia="仿宋" w:hint="eastAsia"/>
                <w:sz w:val="21"/>
              </w:rPr>
            </w:pPr>
            <w:r>
              <w:rPr>
                <w:rFonts w:ascii="仿宋" w:eastAsia="仿宋" w:hint="eastAsia"/>
                <w:sz w:val="21"/>
              </w:rPr>
              <w:t>5.3 保险费自动垫交</w:t>
            </w:r>
          </w:p>
        </w:tc>
        <w:tc>
          <w:tcPr>
            <w:tcW w:w="3000" w:type="dxa"/>
          </w:tcPr>
          <w:p>
            <w:pPr>
              <w:pStyle w:val="TableParagraph"/>
              <w:spacing w:line="261" w:lineRule="exact"/>
              <w:ind w:left="425"/>
              <w:rPr>
                <w:rFonts w:ascii="仿宋" w:eastAsia="仿宋" w:hint="eastAsia"/>
                <w:b/>
                <w:sz w:val="21"/>
              </w:rPr>
            </w:pPr>
            <w:r>
              <w:rPr>
                <w:b/>
                <w:sz w:val="21"/>
              </w:rPr>
              <w:t>9.</w:t>
            </w:r>
            <w:r>
              <w:rPr>
                <w:rFonts w:ascii="仿宋" w:eastAsia="仿宋" w:hint="eastAsia"/>
                <w:b/>
                <w:sz w:val="21"/>
              </w:rPr>
              <w:t>其他需要关注的事项</w:t>
            </w:r>
          </w:p>
        </w:tc>
      </w:tr>
      <w:tr>
        <w:trPr>
          <w:trHeight w:val="312" w:hRule="atLeast"/>
        </w:trPr>
        <w:tc>
          <w:tcPr>
            <w:tcW w:w="2576" w:type="dxa"/>
          </w:tcPr>
          <w:p>
            <w:pPr>
              <w:pStyle w:val="TableParagraph"/>
              <w:spacing w:line="261" w:lineRule="exact"/>
              <w:ind w:left="50"/>
              <w:rPr>
                <w:rFonts w:ascii="仿宋" w:eastAsia="仿宋" w:hint="eastAsia"/>
                <w:b/>
                <w:sz w:val="21"/>
              </w:rPr>
            </w:pPr>
            <w:r>
              <w:rPr>
                <w:rFonts w:ascii="仿宋" w:eastAsia="仿宋" w:hint="eastAsia"/>
                <w:b/>
                <w:sz w:val="21"/>
              </w:rPr>
              <w:t>3.保险金的申请</w:t>
            </w:r>
          </w:p>
        </w:tc>
        <w:tc>
          <w:tcPr>
            <w:tcW w:w="2944" w:type="dxa"/>
          </w:tcPr>
          <w:p>
            <w:pPr>
              <w:pStyle w:val="TableParagraph"/>
              <w:spacing w:line="261" w:lineRule="exact"/>
              <w:ind w:left="414"/>
              <w:rPr>
                <w:rFonts w:ascii="仿宋" w:eastAsia="仿宋" w:hint="eastAsia"/>
                <w:b/>
                <w:sz w:val="21"/>
              </w:rPr>
            </w:pPr>
            <w:r>
              <w:rPr>
                <w:rFonts w:ascii="仿宋" w:eastAsia="仿宋" w:hint="eastAsia"/>
                <w:b/>
                <w:sz w:val="21"/>
              </w:rPr>
              <w:t>6.合同中止和复效</w:t>
            </w:r>
          </w:p>
        </w:tc>
        <w:tc>
          <w:tcPr>
            <w:tcW w:w="3000" w:type="dxa"/>
          </w:tcPr>
          <w:p>
            <w:pPr>
              <w:pStyle w:val="TableParagraph"/>
              <w:spacing w:line="261" w:lineRule="exact"/>
              <w:ind w:left="636"/>
              <w:rPr>
                <w:rFonts w:ascii="仿宋" w:eastAsia="仿宋" w:hint="eastAsia"/>
                <w:sz w:val="21"/>
              </w:rPr>
            </w:pPr>
            <w:r>
              <w:rPr>
                <w:rFonts w:ascii="仿宋" w:eastAsia="仿宋" w:hint="eastAsia"/>
                <w:sz w:val="21"/>
              </w:rPr>
              <w:t>9.1 年龄错误</w:t>
            </w:r>
          </w:p>
        </w:tc>
      </w:tr>
      <w:tr>
        <w:trPr>
          <w:trHeight w:val="312" w:hRule="atLeast"/>
        </w:trPr>
        <w:tc>
          <w:tcPr>
            <w:tcW w:w="2576" w:type="dxa"/>
          </w:tcPr>
          <w:p>
            <w:pPr>
              <w:pStyle w:val="TableParagraph"/>
              <w:spacing w:line="262" w:lineRule="exact"/>
              <w:ind w:left="261"/>
              <w:rPr>
                <w:rFonts w:ascii="仿宋" w:eastAsia="仿宋" w:hint="eastAsia"/>
                <w:sz w:val="21"/>
              </w:rPr>
            </w:pPr>
            <w:r>
              <w:rPr>
                <w:rFonts w:ascii="仿宋" w:eastAsia="仿宋" w:hint="eastAsia"/>
                <w:sz w:val="21"/>
              </w:rPr>
              <w:t>3.1 受益人</w:t>
            </w:r>
          </w:p>
        </w:tc>
        <w:tc>
          <w:tcPr>
            <w:tcW w:w="2944" w:type="dxa"/>
          </w:tcPr>
          <w:p>
            <w:pPr>
              <w:pStyle w:val="TableParagraph"/>
              <w:spacing w:line="262" w:lineRule="exact"/>
              <w:ind w:left="625"/>
              <w:rPr>
                <w:rFonts w:ascii="仿宋" w:eastAsia="仿宋" w:hint="eastAsia"/>
                <w:sz w:val="21"/>
              </w:rPr>
            </w:pPr>
            <w:r>
              <w:rPr>
                <w:rFonts w:ascii="仿宋" w:eastAsia="仿宋" w:hint="eastAsia"/>
                <w:sz w:val="21"/>
              </w:rPr>
              <w:t>6.1 合同中止</w:t>
            </w:r>
          </w:p>
        </w:tc>
        <w:tc>
          <w:tcPr>
            <w:tcW w:w="3000" w:type="dxa"/>
          </w:tcPr>
          <w:p>
            <w:pPr>
              <w:pStyle w:val="TableParagraph"/>
              <w:spacing w:line="262" w:lineRule="exact"/>
              <w:ind w:left="636"/>
              <w:rPr>
                <w:rFonts w:ascii="仿宋" w:eastAsia="仿宋" w:hint="eastAsia"/>
                <w:sz w:val="21"/>
              </w:rPr>
            </w:pPr>
            <w:r>
              <w:rPr>
                <w:rFonts w:ascii="仿宋" w:eastAsia="仿宋" w:hint="eastAsia"/>
                <w:sz w:val="21"/>
              </w:rPr>
              <w:t>9.2 未还款项</w:t>
            </w:r>
          </w:p>
        </w:tc>
      </w:tr>
      <w:tr>
        <w:trPr>
          <w:trHeight w:val="310"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3.2 保险事故通知</w:t>
            </w:r>
          </w:p>
        </w:tc>
        <w:tc>
          <w:tcPr>
            <w:tcW w:w="2944" w:type="dxa"/>
          </w:tcPr>
          <w:p>
            <w:pPr>
              <w:pStyle w:val="TableParagraph"/>
              <w:spacing w:line="261" w:lineRule="exact"/>
              <w:ind w:left="625"/>
              <w:rPr>
                <w:rFonts w:ascii="仿宋" w:eastAsia="仿宋" w:hint="eastAsia"/>
                <w:sz w:val="21"/>
              </w:rPr>
            </w:pPr>
            <w:r>
              <w:rPr>
                <w:rFonts w:ascii="仿宋" w:eastAsia="仿宋" w:hint="eastAsia"/>
                <w:sz w:val="21"/>
              </w:rPr>
              <w:t>6.2 合同复效</w:t>
            </w:r>
          </w:p>
        </w:tc>
        <w:tc>
          <w:tcPr>
            <w:tcW w:w="3000" w:type="dxa"/>
          </w:tcPr>
          <w:p>
            <w:pPr>
              <w:pStyle w:val="TableParagraph"/>
              <w:spacing w:line="261" w:lineRule="exact"/>
              <w:ind w:left="636"/>
              <w:rPr>
                <w:rFonts w:ascii="仿宋" w:eastAsia="仿宋" w:hint="eastAsia"/>
                <w:sz w:val="21"/>
              </w:rPr>
            </w:pPr>
            <w:r>
              <w:rPr>
                <w:rFonts w:ascii="仿宋" w:eastAsia="仿宋" w:hint="eastAsia"/>
                <w:sz w:val="21"/>
              </w:rPr>
              <w:t>9.3 争议处理</w:t>
            </w:r>
          </w:p>
        </w:tc>
      </w:tr>
      <w:tr>
        <w:trPr>
          <w:trHeight w:val="262" w:hRule="atLeast"/>
        </w:trPr>
        <w:tc>
          <w:tcPr>
            <w:tcW w:w="2576" w:type="dxa"/>
          </w:tcPr>
          <w:p>
            <w:pPr>
              <w:pStyle w:val="TableParagraph"/>
              <w:spacing w:line="243" w:lineRule="exact"/>
              <w:ind w:left="261"/>
              <w:rPr>
                <w:rFonts w:ascii="仿宋" w:eastAsia="仿宋" w:hint="eastAsia"/>
                <w:sz w:val="21"/>
              </w:rPr>
            </w:pPr>
            <w:r>
              <w:rPr>
                <w:rFonts w:ascii="仿宋" w:eastAsia="仿宋" w:hint="eastAsia"/>
                <w:sz w:val="21"/>
              </w:rPr>
              <w:t>3.3 保险金申请</w:t>
            </w:r>
          </w:p>
        </w:tc>
        <w:tc>
          <w:tcPr>
            <w:tcW w:w="2944" w:type="dxa"/>
          </w:tcPr>
          <w:p>
            <w:pPr>
              <w:pStyle w:val="TableParagraph"/>
              <w:spacing w:line="243" w:lineRule="exact"/>
              <w:ind w:left="414"/>
              <w:rPr>
                <w:rFonts w:ascii="仿宋" w:eastAsia="仿宋" w:hint="eastAsia"/>
                <w:b/>
                <w:sz w:val="21"/>
              </w:rPr>
            </w:pPr>
            <w:r>
              <w:rPr>
                <w:rFonts w:ascii="仿宋" w:eastAsia="仿宋" w:hint="eastAsia"/>
                <w:b/>
                <w:sz w:val="21"/>
              </w:rPr>
              <w:t>7.合同解除和变更</w:t>
            </w:r>
          </w:p>
        </w:tc>
        <w:tc>
          <w:tcPr>
            <w:tcW w:w="3000" w:type="dxa"/>
          </w:tcPr>
          <w:p>
            <w:pPr>
              <w:pStyle w:val="TableParagraph"/>
              <w:spacing w:line="243" w:lineRule="exact"/>
              <w:ind w:left="425"/>
              <w:rPr>
                <w:rFonts w:ascii="仿宋" w:eastAsia="仿宋" w:hint="eastAsia"/>
                <w:b/>
                <w:sz w:val="21"/>
              </w:rPr>
            </w:pPr>
            <w:r>
              <w:rPr>
                <w:rFonts w:ascii="仿宋" w:eastAsia="仿宋" w:hint="eastAsia"/>
                <w:b/>
                <w:sz w:val="21"/>
              </w:rPr>
              <w:t>10.释义</w:t>
            </w:r>
          </w:p>
        </w:tc>
      </w:tr>
    </w:tbl>
    <w:p>
      <w:pPr>
        <w:spacing w:after="0" w:line="243" w:lineRule="exact"/>
        <w:rPr>
          <w:rFonts w:ascii="仿宋" w:eastAsia="仿宋" w:hint="eastAsia"/>
          <w:sz w:val="21"/>
        </w:rPr>
        <w:sectPr>
          <w:type w:val="continuous"/>
          <w:pgSz w:w="11910" w:h="16840"/>
          <w:pgMar w:top="440" w:bottom="280" w:left="700" w:right="400"/>
        </w:sectPr>
      </w:pPr>
    </w:p>
    <w:p>
      <w:pPr>
        <w:spacing w:line="524" w:lineRule="exact" w:before="0"/>
        <w:ind w:left="2582" w:right="0" w:firstLine="0"/>
        <w:jc w:val="left"/>
        <w:rPr>
          <w:b/>
          <w:sz w:val="44"/>
        </w:rPr>
      </w:pPr>
      <w:r>
        <w:rPr>
          <w:b/>
          <w:w w:val="95"/>
          <w:sz w:val="44"/>
        </w:rPr>
        <w:t>华夏人寿保险股份有限公司</w:t>
      </w:r>
    </w:p>
    <w:p>
      <w:pPr>
        <w:spacing w:before="48"/>
        <w:ind w:left="1918" w:right="0" w:firstLine="0"/>
        <w:jc w:val="left"/>
        <w:rPr>
          <w:b/>
          <w:sz w:val="44"/>
        </w:rPr>
      </w:pPr>
      <w:r>
        <w:rPr>
          <w:b/>
          <w:w w:val="95"/>
          <w:sz w:val="44"/>
        </w:rPr>
        <w:t>常青树重大疾病保险（2015）条款</w:t>
      </w:r>
    </w:p>
    <w:p>
      <w:pPr>
        <w:pStyle w:val="BodyText"/>
        <w:spacing w:before="6"/>
        <w:rPr>
          <w:b/>
          <w:sz w:val="51"/>
        </w:rPr>
      </w:pPr>
    </w:p>
    <w:p>
      <w:pPr>
        <w:pStyle w:val="BodyText"/>
        <w:spacing w:line="273" w:lineRule="auto"/>
        <w:ind w:left="300" w:right="299"/>
      </w:pPr>
      <w:r>
        <w:rPr>
          <w:spacing w:val="-3"/>
          <w:w w:val="100"/>
        </w:rPr>
        <w:t>在本条款中，“您”指投保人，“我们”和“本公司”指华夏人寿保险股份有限公司，“本合同”指您与我</w:t>
      </w:r>
      <w:r>
        <w:rPr>
          <w:spacing w:val="-3"/>
        </w:rPr>
        <w:t>们之间订立的“华夏常青树重大疾病保险</w:t>
      </w:r>
      <w:r>
        <w:rPr/>
        <w:t>（2015）</w:t>
      </w:r>
      <w:r>
        <w:rPr>
          <w:spacing w:val="-54"/>
        </w:rPr>
        <w:t>合同”。</w:t>
      </w:r>
    </w:p>
    <w:p>
      <w:pPr>
        <w:pStyle w:val="BodyText"/>
        <w:rPr>
          <w:sz w:val="20"/>
        </w:rPr>
      </w:pPr>
    </w:p>
    <w:p>
      <w:pPr>
        <w:pStyle w:val="BodyText"/>
        <w:spacing w:before="1"/>
        <w:rPr>
          <w:sz w:val="1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1"/>
        <w:gridCol w:w="7547"/>
      </w:tblGrid>
      <w:tr>
        <w:trPr>
          <w:trHeight w:val="522" w:hRule="atLeast"/>
        </w:trPr>
        <w:tc>
          <w:tcPr>
            <w:tcW w:w="682"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568" w:type="dxa"/>
            <w:gridSpan w:val="2"/>
            <w:tcBorders>
              <w:bottom w:val="single" w:sz="8" w:space="0" w:color="000000"/>
            </w:tcBorders>
          </w:tcPr>
          <w:p>
            <w:pPr>
              <w:pStyle w:val="TableParagraph"/>
              <w:spacing w:before="14"/>
              <w:ind w:left="216"/>
              <w:rPr>
                <w:b/>
                <w:sz w:val="24"/>
              </w:rPr>
            </w:pPr>
            <w:r>
              <w:rPr>
                <w:b/>
                <w:w w:val="95"/>
                <w:sz w:val="24"/>
              </w:rPr>
              <w:t>您与我们订立的合同</w:t>
            </w:r>
          </w:p>
        </w:tc>
      </w:tr>
      <w:tr>
        <w:trPr>
          <w:trHeight w:val="1405" w:hRule="atLeast"/>
        </w:trPr>
        <w:tc>
          <w:tcPr>
            <w:tcW w:w="682"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1.1</w:t>
            </w:r>
          </w:p>
        </w:tc>
        <w:tc>
          <w:tcPr>
            <w:tcW w:w="2021" w:type="dxa"/>
            <w:tcBorders>
              <w:top w:val="single" w:sz="8" w:space="0" w:color="000000"/>
            </w:tcBorders>
          </w:tcPr>
          <w:p>
            <w:pPr>
              <w:pStyle w:val="TableParagraph"/>
              <w:spacing w:before="11"/>
              <w:ind w:left="0"/>
              <w:rPr>
                <w:sz w:val="22"/>
              </w:rPr>
            </w:pPr>
          </w:p>
          <w:p>
            <w:pPr>
              <w:pStyle w:val="TableParagraph"/>
              <w:ind w:left="216"/>
              <w:rPr>
                <w:b/>
                <w:sz w:val="21"/>
              </w:rPr>
            </w:pPr>
            <w:r>
              <w:rPr>
                <w:b/>
                <w:sz w:val="21"/>
              </w:rPr>
              <w:t>合同构成</w:t>
            </w:r>
          </w:p>
        </w:tc>
        <w:tc>
          <w:tcPr>
            <w:tcW w:w="7547" w:type="dxa"/>
            <w:tcBorders>
              <w:top w:val="single" w:sz="8" w:space="0" w:color="000000"/>
            </w:tcBorders>
          </w:tcPr>
          <w:p>
            <w:pPr>
              <w:pStyle w:val="TableParagraph"/>
              <w:spacing w:before="11"/>
              <w:ind w:left="0"/>
              <w:rPr>
                <w:sz w:val="22"/>
              </w:rPr>
            </w:pPr>
          </w:p>
          <w:p>
            <w:pPr>
              <w:pStyle w:val="TableParagraph"/>
              <w:spacing w:line="273" w:lineRule="auto"/>
              <w:ind w:left="122" w:right="103"/>
              <w:jc w:val="both"/>
              <w:rPr>
                <w:sz w:val="21"/>
              </w:rPr>
            </w:pPr>
            <w:r>
              <w:rPr>
                <w:spacing w:val="-5"/>
                <w:sz w:val="21"/>
              </w:rPr>
              <w:t>本合同是您与我们约定保险权利义务关系的协议，包括本保险条款、保险单或其</w:t>
            </w:r>
            <w:r>
              <w:rPr>
                <w:spacing w:val="-8"/>
                <w:sz w:val="21"/>
              </w:rPr>
              <w:t>他保险凭证、投保单、与保险合同有关的投保文件、合法有效的声明、健康告知</w:t>
            </w:r>
            <w:r>
              <w:rPr>
                <w:spacing w:val="-3"/>
                <w:sz w:val="21"/>
              </w:rPr>
              <w:t>书、变更申请书、批注、批单及其他您与我们共同认可的书面协议。</w:t>
            </w:r>
          </w:p>
        </w:tc>
      </w:tr>
      <w:tr>
        <w:trPr>
          <w:trHeight w:val="1248" w:hRule="atLeast"/>
        </w:trPr>
        <w:tc>
          <w:tcPr>
            <w:tcW w:w="682" w:type="dxa"/>
          </w:tcPr>
          <w:p>
            <w:pPr>
              <w:pStyle w:val="TableParagraph"/>
              <w:spacing w:before="142"/>
              <w:ind w:left="107"/>
              <w:rPr>
                <w:b/>
                <w:sz w:val="21"/>
              </w:rPr>
            </w:pPr>
            <w:r>
              <w:rPr>
                <w:b/>
                <w:sz w:val="21"/>
              </w:rPr>
              <w:t>1.2</w:t>
            </w:r>
          </w:p>
        </w:tc>
        <w:tc>
          <w:tcPr>
            <w:tcW w:w="2021" w:type="dxa"/>
          </w:tcPr>
          <w:p>
            <w:pPr>
              <w:pStyle w:val="TableParagraph"/>
              <w:spacing w:before="142"/>
              <w:ind w:left="216"/>
              <w:rPr>
                <w:b/>
                <w:sz w:val="21"/>
              </w:rPr>
            </w:pPr>
            <w:r>
              <w:rPr>
                <w:b/>
                <w:sz w:val="21"/>
              </w:rPr>
              <w:t>合同成立与生效</w:t>
            </w:r>
          </w:p>
        </w:tc>
        <w:tc>
          <w:tcPr>
            <w:tcW w:w="7547" w:type="dxa"/>
          </w:tcPr>
          <w:p>
            <w:pPr>
              <w:pStyle w:val="TableParagraph"/>
              <w:spacing w:before="142"/>
              <w:ind w:left="122"/>
              <w:rPr>
                <w:sz w:val="21"/>
              </w:rPr>
            </w:pPr>
            <w:r>
              <w:rPr>
                <w:sz w:val="21"/>
              </w:rPr>
              <w:t>一、您提出保险申请、我们同意承保，本合同成立。</w:t>
            </w:r>
          </w:p>
          <w:p>
            <w:pPr>
              <w:pStyle w:val="TableParagraph"/>
              <w:spacing w:line="273" w:lineRule="auto" w:before="36"/>
              <w:ind w:left="542" w:right="46" w:hanging="421"/>
              <w:rPr>
                <w:sz w:val="21"/>
              </w:rPr>
            </w:pPr>
            <w:r>
              <w:rPr>
                <w:sz w:val="21"/>
              </w:rPr>
              <w:t>二、本合同生效日在保险单上载明。</w:t>
            </w:r>
            <w:r>
              <w:rPr>
                <w:b/>
                <w:sz w:val="21"/>
              </w:rPr>
              <w:t>保单年度、保单周年日、保险费约定支付日</w:t>
            </w:r>
            <w:r>
              <w:rPr>
                <w:sz w:val="21"/>
              </w:rPr>
              <w:t>均以该日期计算。</w:t>
            </w:r>
          </w:p>
        </w:tc>
      </w:tr>
      <w:tr>
        <w:trPr>
          <w:trHeight w:val="936" w:hRule="atLeast"/>
        </w:trPr>
        <w:tc>
          <w:tcPr>
            <w:tcW w:w="682" w:type="dxa"/>
          </w:tcPr>
          <w:p>
            <w:pPr>
              <w:pStyle w:val="TableParagraph"/>
              <w:spacing w:before="142"/>
              <w:ind w:left="107"/>
              <w:rPr>
                <w:b/>
                <w:sz w:val="21"/>
              </w:rPr>
            </w:pPr>
            <w:r>
              <w:rPr>
                <w:b/>
                <w:sz w:val="21"/>
              </w:rPr>
              <w:t>1.3</w:t>
            </w:r>
          </w:p>
        </w:tc>
        <w:tc>
          <w:tcPr>
            <w:tcW w:w="2021" w:type="dxa"/>
          </w:tcPr>
          <w:p>
            <w:pPr>
              <w:pStyle w:val="TableParagraph"/>
              <w:spacing w:before="142"/>
              <w:ind w:left="216"/>
              <w:rPr>
                <w:b/>
                <w:sz w:val="21"/>
              </w:rPr>
            </w:pPr>
            <w:r>
              <w:rPr>
                <w:b/>
                <w:sz w:val="21"/>
              </w:rPr>
              <w:t>投保年龄</w:t>
            </w:r>
          </w:p>
        </w:tc>
        <w:tc>
          <w:tcPr>
            <w:tcW w:w="7547" w:type="dxa"/>
          </w:tcPr>
          <w:p>
            <w:pPr>
              <w:pStyle w:val="TableParagraph"/>
              <w:spacing w:before="142"/>
              <w:ind w:left="143"/>
              <w:rPr>
                <w:sz w:val="21"/>
              </w:rPr>
            </w:pPr>
            <w:r>
              <w:rPr>
                <w:spacing w:val="-6"/>
                <w:sz w:val="21"/>
              </w:rPr>
              <w:t>指投保时被保险人的年龄，投保年龄以</w:t>
            </w:r>
            <w:r>
              <w:rPr>
                <w:b/>
                <w:sz w:val="21"/>
              </w:rPr>
              <w:t>周岁</w:t>
            </w:r>
            <w:r>
              <w:rPr>
                <w:spacing w:val="-9"/>
                <w:sz w:val="21"/>
              </w:rPr>
              <w:t>计算，本合同接受的投保年龄为 </w:t>
            </w:r>
            <w:r>
              <w:rPr>
                <w:sz w:val="21"/>
              </w:rPr>
              <w:t>0</w:t>
            </w:r>
            <w:r>
              <w:rPr>
                <w:spacing w:val="-17"/>
                <w:sz w:val="21"/>
              </w:rPr>
              <w:t> 周</w:t>
            </w:r>
          </w:p>
          <w:p>
            <w:pPr>
              <w:pStyle w:val="TableParagraph"/>
              <w:spacing w:before="36"/>
              <w:ind w:left="143"/>
              <w:rPr>
                <w:sz w:val="21"/>
              </w:rPr>
            </w:pPr>
            <w:r>
              <w:rPr>
                <w:sz w:val="21"/>
              </w:rPr>
              <w:t>岁（</w:t>
            </w:r>
            <w:r>
              <w:rPr>
                <w:spacing w:val="-10"/>
                <w:sz w:val="21"/>
              </w:rPr>
              <w:t>出生且出院满 </w:t>
            </w:r>
            <w:r>
              <w:rPr>
                <w:sz w:val="21"/>
              </w:rPr>
              <w:t>28</w:t>
            </w:r>
            <w:r>
              <w:rPr>
                <w:spacing w:val="-27"/>
                <w:sz w:val="21"/>
              </w:rPr>
              <w:t> 日</w:t>
            </w:r>
            <w:r>
              <w:rPr>
                <w:spacing w:val="-3"/>
                <w:sz w:val="21"/>
              </w:rPr>
              <w:t>）</w:t>
            </w:r>
            <w:r>
              <w:rPr>
                <w:spacing w:val="-25"/>
                <w:sz w:val="21"/>
              </w:rPr>
              <w:t>至 </w:t>
            </w:r>
            <w:r>
              <w:rPr>
                <w:sz w:val="21"/>
              </w:rPr>
              <w:t>60</w:t>
            </w:r>
            <w:r>
              <w:rPr>
                <w:spacing w:val="-19"/>
                <w:sz w:val="21"/>
              </w:rPr>
              <w:t> 周岁</w:t>
            </w:r>
            <w:r>
              <w:rPr>
                <w:sz w:val="21"/>
              </w:rPr>
              <w:t>（</w:t>
            </w:r>
            <w:r>
              <w:rPr>
                <w:spacing w:val="-26"/>
                <w:sz w:val="21"/>
              </w:rPr>
              <w:t>含 </w:t>
            </w:r>
            <w:r>
              <w:rPr>
                <w:sz w:val="21"/>
              </w:rPr>
              <w:t>60</w:t>
            </w:r>
            <w:r>
              <w:rPr>
                <w:spacing w:val="-18"/>
                <w:sz w:val="21"/>
              </w:rPr>
              <w:t> 周岁</w:t>
            </w:r>
            <w:r>
              <w:rPr>
                <w:spacing w:val="-109"/>
                <w:sz w:val="21"/>
              </w:rPr>
              <w:t>）</w:t>
            </w:r>
            <w:r>
              <w:rPr>
                <w:sz w:val="21"/>
              </w:rPr>
              <w:t>。</w:t>
            </w:r>
          </w:p>
        </w:tc>
      </w:tr>
      <w:tr>
        <w:trPr>
          <w:trHeight w:val="2834" w:hRule="atLeast"/>
        </w:trPr>
        <w:tc>
          <w:tcPr>
            <w:tcW w:w="682" w:type="dxa"/>
          </w:tcPr>
          <w:p>
            <w:pPr>
              <w:pStyle w:val="TableParagraph"/>
              <w:spacing w:before="142"/>
              <w:ind w:left="107"/>
              <w:rPr>
                <w:b/>
                <w:sz w:val="21"/>
              </w:rPr>
            </w:pPr>
            <w:r>
              <w:rPr>
                <w:b/>
                <w:sz w:val="21"/>
              </w:rPr>
              <w:t>1.4</w:t>
            </w:r>
          </w:p>
        </w:tc>
        <w:tc>
          <w:tcPr>
            <w:tcW w:w="2021" w:type="dxa"/>
          </w:tcPr>
          <w:p>
            <w:pPr>
              <w:pStyle w:val="TableParagraph"/>
              <w:spacing w:before="142"/>
              <w:ind w:left="216"/>
              <w:rPr>
                <w:b/>
                <w:sz w:val="21"/>
              </w:rPr>
            </w:pPr>
            <w:r>
              <w:rPr>
                <w:b/>
                <w:sz w:val="21"/>
              </w:rPr>
              <w:t>犹豫期</w:t>
            </w:r>
          </w:p>
        </w:tc>
        <w:tc>
          <w:tcPr>
            <w:tcW w:w="7547" w:type="dxa"/>
          </w:tcPr>
          <w:p>
            <w:pPr>
              <w:pStyle w:val="TableParagraph"/>
              <w:spacing w:line="273" w:lineRule="auto" w:before="142"/>
              <w:ind w:left="542" w:right="67" w:hanging="421"/>
              <w:jc w:val="both"/>
              <w:rPr>
                <w:sz w:val="21"/>
              </w:rPr>
            </w:pPr>
            <w:r>
              <w:rPr>
                <w:spacing w:val="-6"/>
                <w:sz w:val="21"/>
              </w:rPr>
              <w:t>一、您收到本合同并书面签收之日起 </w:t>
            </w:r>
            <w:r>
              <w:rPr>
                <w:sz w:val="21"/>
              </w:rPr>
              <w:t>10</w:t>
            </w:r>
            <w:r>
              <w:rPr>
                <w:spacing w:val="-23"/>
                <w:sz w:val="21"/>
              </w:rPr>
              <w:t> 日内</w:t>
            </w:r>
            <w:r>
              <w:rPr>
                <w:spacing w:val="-3"/>
                <w:sz w:val="21"/>
              </w:rPr>
              <w:t>（</w:t>
            </w:r>
            <w:r>
              <w:rPr>
                <w:spacing w:val="-16"/>
                <w:sz w:val="21"/>
              </w:rPr>
              <w:t>含第 </w:t>
            </w:r>
            <w:r>
              <w:rPr>
                <w:sz w:val="21"/>
              </w:rPr>
              <w:t>10</w:t>
            </w:r>
            <w:r>
              <w:rPr>
                <w:spacing w:val="-10"/>
                <w:sz w:val="21"/>
              </w:rPr>
              <w:t> 日，保险监督管理机构对</w:t>
            </w:r>
            <w:r>
              <w:rPr>
                <w:spacing w:val="-6"/>
                <w:sz w:val="21"/>
              </w:rPr>
              <w:t>犹豫期天数另有规定的，从其规定</w:t>
            </w:r>
            <w:r>
              <w:rPr>
                <w:spacing w:val="-15"/>
                <w:sz w:val="21"/>
              </w:rPr>
              <w:t>）</w:t>
            </w:r>
            <w:r>
              <w:rPr>
                <w:spacing w:val="-5"/>
                <w:sz w:val="21"/>
              </w:rPr>
              <w:t>为犹豫期，在此期间请您仔细审阅本合</w:t>
            </w:r>
            <w:r>
              <w:rPr>
                <w:spacing w:val="-4"/>
                <w:sz w:val="21"/>
              </w:rPr>
              <w:t>同的各项内容，特别是责任免除条款、合同解除条款以及如实告知等内容。</w:t>
            </w:r>
            <w:r>
              <w:rPr>
                <w:spacing w:val="-6"/>
                <w:sz w:val="21"/>
              </w:rPr>
              <w:t>若您认为本合同与您的需求不相符，您可以在此期间提出解除本合同，我们</w:t>
            </w:r>
            <w:r>
              <w:rPr>
                <w:spacing w:val="-9"/>
                <w:sz w:val="21"/>
              </w:rPr>
              <w:t>将在扣除不超过 </w:t>
            </w:r>
            <w:r>
              <w:rPr>
                <w:sz w:val="21"/>
              </w:rPr>
              <w:t>10</w:t>
            </w:r>
            <w:r>
              <w:rPr>
                <w:spacing w:val="-8"/>
                <w:sz w:val="21"/>
              </w:rPr>
              <w:t> 元的工本费后无息退还您所交纳的保险费。</w:t>
            </w:r>
          </w:p>
          <w:p>
            <w:pPr>
              <w:pStyle w:val="TableParagraph"/>
              <w:spacing w:line="261" w:lineRule="auto" w:before="7"/>
              <w:ind w:left="542" w:right="103" w:hanging="421"/>
              <w:jc w:val="both"/>
              <w:rPr>
                <w:rFonts w:ascii="黑体" w:eastAsia="黑体" w:hint="eastAsia"/>
                <w:b/>
                <w:i/>
                <w:sz w:val="22"/>
              </w:rPr>
            </w:pPr>
            <w:r>
              <w:rPr>
                <w:spacing w:val="-5"/>
                <w:sz w:val="21"/>
              </w:rPr>
              <w:t>二、您在犹豫期内提出解除合同时需填写解除合同申请书，并提供保险合同及您</w:t>
            </w:r>
            <w:r>
              <w:rPr>
                <w:spacing w:val="-3"/>
                <w:w w:val="95"/>
                <w:sz w:val="21"/>
              </w:rPr>
              <w:t>的</w:t>
            </w:r>
            <w:r>
              <w:rPr>
                <w:b/>
                <w:w w:val="95"/>
                <w:sz w:val="21"/>
              </w:rPr>
              <w:t>有效身份证件</w:t>
            </w:r>
            <w:r>
              <w:rPr>
                <w:spacing w:val="-22"/>
                <w:w w:val="95"/>
                <w:sz w:val="21"/>
              </w:rPr>
              <w:t>。</w:t>
            </w:r>
            <w:r>
              <w:rPr>
                <w:rFonts w:ascii="黑体" w:eastAsia="黑体" w:hint="eastAsia"/>
                <w:b/>
                <w:i/>
                <w:spacing w:val="-6"/>
                <w:w w:val="95"/>
                <w:sz w:val="22"/>
              </w:rPr>
              <w:t>自我们收到解除合同申请书时起，本合同即被解除，对于合同解除前发Th</w:t>
            </w:r>
            <w:r>
              <w:rPr>
                <w:rFonts w:ascii="黑体" w:eastAsia="黑体" w:hint="eastAsia"/>
                <w:b/>
                <w:i/>
                <w:spacing w:val="-4"/>
                <w:w w:val="95"/>
                <w:sz w:val="22"/>
              </w:rPr>
              <w:t>的保险事故，我们不承担保险责任。</w:t>
            </w:r>
          </w:p>
        </w:tc>
      </w:tr>
      <w:tr>
        <w:trPr>
          <w:trHeight w:val="752" w:hRule="atLeast"/>
        </w:trPr>
        <w:tc>
          <w:tcPr>
            <w:tcW w:w="682" w:type="dxa"/>
            <w:tcBorders>
              <w:bottom w:val="single" w:sz="8" w:space="0" w:color="000000"/>
            </w:tcBorders>
          </w:tcPr>
          <w:p>
            <w:pPr>
              <w:pStyle w:val="TableParagraph"/>
              <w:spacing w:before="193"/>
              <w:ind w:left="107"/>
              <w:rPr>
                <w:rFonts w:ascii="Arial" w:hAnsi="Arial"/>
                <w:b/>
                <w:sz w:val="40"/>
              </w:rPr>
            </w:pPr>
            <w:r>
              <w:rPr>
                <w:rFonts w:ascii="Arial" w:hAnsi="Arial"/>
                <w:b/>
                <w:w w:val="119"/>
                <w:sz w:val="40"/>
              </w:rPr>
              <w:t></w:t>
            </w:r>
          </w:p>
        </w:tc>
        <w:tc>
          <w:tcPr>
            <w:tcW w:w="2021" w:type="dxa"/>
            <w:tcBorders>
              <w:bottom w:val="single" w:sz="8" w:space="0" w:color="000000"/>
            </w:tcBorders>
          </w:tcPr>
          <w:p>
            <w:pPr>
              <w:pStyle w:val="TableParagraph"/>
              <w:spacing w:before="9"/>
              <w:ind w:left="0"/>
              <w:rPr>
                <w:sz w:val="18"/>
              </w:rPr>
            </w:pPr>
          </w:p>
          <w:p>
            <w:pPr>
              <w:pStyle w:val="TableParagraph"/>
              <w:ind w:left="216"/>
              <w:rPr>
                <w:b/>
                <w:sz w:val="24"/>
              </w:rPr>
            </w:pPr>
            <w:r>
              <w:rPr>
                <w:b/>
                <w:w w:val="95"/>
                <w:sz w:val="24"/>
              </w:rPr>
              <w:t>我们提供的保障</w:t>
            </w:r>
          </w:p>
        </w:tc>
        <w:tc>
          <w:tcPr>
            <w:tcW w:w="7547" w:type="dxa"/>
            <w:tcBorders>
              <w:bottom w:val="single" w:sz="8" w:space="0" w:color="000000"/>
            </w:tcBorders>
          </w:tcPr>
          <w:p>
            <w:pPr>
              <w:pStyle w:val="TableParagraph"/>
              <w:ind w:left="0"/>
              <w:rPr>
                <w:rFonts w:ascii="Times New Roman"/>
                <w:sz w:val="20"/>
              </w:rPr>
            </w:pPr>
          </w:p>
        </w:tc>
      </w:tr>
      <w:tr>
        <w:trPr>
          <w:trHeight w:val="782" w:hRule="atLeast"/>
        </w:trPr>
        <w:tc>
          <w:tcPr>
            <w:tcW w:w="682" w:type="dxa"/>
            <w:tcBorders>
              <w:top w:val="single" w:sz="8" w:space="0" w:color="000000"/>
            </w:tcBorders>
          </w:tcPr>
          <w:p>
            <w:pPr>
              <w:pStyle w:val="TableParagraph"/>
              <w:ind w:left="0"/>
              <w:rPr>
                <w:sz w:val="23"/>
              </w:rPr>
            </w:pPr>
          </w:p>
          <w:p>
            <w:pPr>
              <w:pStyle w:val="TableParagraph"/>
              <w:ind w:left="107"/>
              <w:rPr>
                <w:b/>
                <w:sz w:val="21"/>
              </w:rPr>
            </w:pPr>
            <w:r>
              <w:rPr>
                <w:b/>
                <w:sz w:val="21"/>
              </w:rPr>
              <w:t>2.1</w:t>
            </w:r>
          </w:p>
        </w:tc>
        <w:tc>
          <w:tcPr>
            <w:tcW w:w="2021" w:type="dxa"/>
            <w:tcBorders>
              <w:top w:val="single" w:sz="8" w:space="0" w:color="000000"/>
            </w:tcBorders>
          </w:tcPr>
          <w:p>
            <w:pPr>
              <w:pStyle w:val="TableParagraph"/>
              <w:ind w:left="0"/>
              <w:rPr>
                <w:sz w:val="23"/>
              </w:rPr>
            </w:pPr>
          </w:p>
          <w:p>
            <w:pPr>
              <w:pStyle w:val="TableParagraph"/>
              <w:ind w:left="216"/>
              <w:rPr>
                <w:b/>
                <w:sz w:val="21"/>
              </w:rPr>
            </w:pPr>
            <w:r>
              <w:rPr>
                <w:b/>
                <w:sz w:val="21"/>
              </w:rPr>
              <w:t>保险责任</w:t>
            </w:r>
          </w:p>
        </w:tc>
        <w:tc>
          <w:tcPr>
            <w:tcW w:w="7547" w:type="dxa"/>
            <w:tcBorders>
              <w:top w:val="single" w:sz="8" w:space="0" w:color="000000"/>
            </w:tcBorders>
          </w:tcPr>
          <w:p>
            <w:pPr>
              <w:pStyle w:val="TableParagraph"/>
              <w:ind w:left="0"/>
              <w:rPr>
                <w:sz w:val="23"/>
              </w:rPr>
            </w:pPr>
          </w:p>
          <w:p>
            <w:pPr>
              <w:pStyle w:val="TableParagraph"/>
              <w:ind w:left="122"/>
              <w:rPr>
                <w:sz w:val="21"/>
              </w:rPr>
            </w:pPr>
            <w:r>
              <w:rPr>
                <w:sz w:val="21"/>
              </w:rPr>
              <w:t>在本合同有效期间内，我们按照以下约定承担保险责任：</w:t>
            </w:r>
          </w:p>
        </w:tc>
      </w:tr>
      <w:tr>
        <w:trPr>
          <w:trHeight w:val="1248" w:hRule="atLeast"/>
        </w:trPr>
        <w:tc>
          <w:tcPr>
            <w:tcW w:w="682" w:type="dxa"/>
          </w:tcPr>
          <w:p>
            <w:pPr>
              <w:pStyle w:val="TableParagraph"/>
              <w:ind w:left="0"/>
              <w:rPr>
                <w:rFonts w:ascii="Times New Roman"/>
                <w:sz w:val="20"/>
              </w:rPr>
            </w:pPr>
          </w:p>
        </w:tc>
        <w:tc>
          <w:tcPr>
            <w:tcW w:w="2021" w:type="dxa"/>
          </w:tcPr>
          <w:p>
            <w:pPr>
              <w:pStyle w:val="TableParagraph"/>
              <w:spacing w:before="55"/>
              <w:ind w:left="216"/>
              <w:rPr>
                <w:rFonts w:ascii="Microsoft JhengHei" w:eastAsia="Microsoft JhengHei" w:hint="eastAsia"/>
                <w:b/>
                <w:sz w:val="24"/>
              </w:rPr>
            </w:pPr>
            <w:r>
              <w:rPr>
                <w:rFonts w:ascii="Microsoft JhengHei" w:eastAsia="Microsoft JhengHei" w:hint="eastAsia"/>
                <w:b/>
                <w:sz w:val="24"/>
              </w:rPr>
              <w:t>轻症疾病保险金</w:t>
            </w:r>
          </w:p>
        </w:tc>
        <w:tc>
          <w:tcPr>
            <w:tcW w:w="7547" w:type="dxa"/>
          </w:tcPr>
          <w:p>
            <w:pPr>
              <w:pStyle w:val="TableParagraph"/>
              <w:spacing w:line="273" w:lineRule="auto" w:before="142"/>
              <w:ind w:left="122" w:right="103"/>
              <w:jc w:val="both"/>
              <w:rPr>
                <w:sz w:val="21"/>
              </w:rPr>
            </w:pPr>
            <w:r>
              <w:rPr>
                <w:spacing w:val="-2"/>
                <w:sz w:val="21"/>
              </w:rPr>
              <w:t>若被保险人因</w:t>
            </w:r>
            <w:r>
              <w:rPr>
                <w:b/>
                <w:sz w:val="21"/>
              </w:rPr>
              <w:t>意外伤害</w:t>
            </w:r>
            <w:r>
              <w:rPr>
                <w:spacing w:val="-4"/>
                <w:sz w:val="21"/>
              </w:rPr>
              <w:t>，或于本合同生效或最后一次复效之日起 </w:t>
            </w:r>
            <w:r>
              <w:rPr>
                <w:sz w:val="21"/>
              </w:rPr>
              <w:t>90</w:t>
            </w:r>
            <w:r>
              <w:rPr>
                <w:spacing w:val="-3"/>
                <w:sz w:val="21"/>
              </w:rPr>
              <w:t> 日后因意外</w:t>
            </w:r>
            <w:r>
              <w:rPr>
                <w:spacing w:val="-6"/>
                <w:sz w:val="21"/>
              </w:rPr>
              <w:t>伤害以外的原因，导致</w:t>
            </w:r>
            <w:r>
              <w:rPr>
                <w:b/>
                <w:spacing w:val="-2"/>
                <w:sz w:val="21"/>
              </w:rPr>
              <w:t>初次患本合同所列的轻症疾病</w:t>
            </w:r>
            <w:r>
              <w:rPr>
                <w:spacing w:val="-7"/>
                <w:sz w:val="21"/>
              </w:rPr>
              <w:t>，我们将额外按本合同基本</w:t>
            </w:r>
            <w:r>
              <w:rPr>
                <w:spacing w:val="-11"/>
                <w:sz w:val="21"/>
              </w:rPr>
              <w:t>保险金额的 </w:t>
            </w:r>
            <w:r>
              <w:rPr>
                <w:sz w:val="21"/>
              </w:rPr>
              <w:t>20</w:t>
            </w:r>
            <w:r>
              <w:rPr>
                <w:spacing w:val="-3"/>
                <w:sz w:val="21"/>
              </w:rPr>
              <w:t>%给付轻症疾病保险金。</w:t>
            </w:r>
          </w:p>
        </w:tc>
      </w:tr>
      <w:tr>
        <w:trPr>
          <w:trHeight w:val="935" w:hRule="atLeast"/>
        </w:trPr>
        <w:tc>
          <w:tcPr>
            <w:tcW w:w="682" w:type="dxa"/>
          </w:tcPr>
          <w:p>
            <w:pPr>
              <w:pStyle w:val="TableParagraph"/>
              <w:ind w:left="0"/>
              <w:rPr>
                <w:rFonts w:ascii="Times New Roman"/>
                <w:sz w:val="20"/>
              </w:rPr>
            </w:pPr>
          </w:p>
        </w:tc>
        <w:tc>
          <w:tcPr>
            <w:tcW w:w="2021" w:type="dxa"/>
          </w:tcPr>
          <w:p>
            <w:pPr>
              <w:pStyle w:val="TableParagraph"/>
              <w:ind w:left="0"/>
              <w:rPr>
                <w:rFonts w:ascii="Times New Roman"/>
                <w:sz w:val="20"/>
              </w:rPr>
            </w:pPr>
          </w:p>
        </w:tc>
        <w:tc>
          <w:tcPr>
            <w:tcW w:w="7547" w:type="dxa"/>
          </w:tcPr>
          <w:p>
            <w:pPr>
              <w:pStyle w:val="TableParagraph"/>
              <w:spacing w:line="273" w:lineRule="auto" w:before="142"/>
              <w:ind w:left="122" w:right="106"/>
              <w:rPr>
                <w:b/>
                <w:sz w:val="21"/>
              </w:rPr>
            </w:pPr>
            <w:r>
              <w:rPr>
                <w:b/>
                <w:sz w:val="21"/>
              </w:rPr>
              <w:t>每种轻症疾病只给付一次轻症疾病保险金，给付后该种轻症保险金保险责任终止，本合同的轻症疾病保险金累计给付以三次为限。</w:t>
            </w:r>
          </w:p>
        </w:tc>
      </w:tr>
      <w:tr>
        <w:trPr>
          <w:trHeight w:val="729" w:hRule="atLeast"/>
        </w:trPr>
        <w:tc>
          <w:tcPr>
            <w:tcW w:w="682" w:type="dxa"/>
          </w:tcPr>
          <w:p>
            <w:pPr>
              <w:pStyle w:val="TableParagraph"/>
              <w:ind w:left="0"/>
              <w:rPr>
                <w:rFonts w:ascii="Times New Roman"/>
                <w:sz w:val="20"/>
              </w:rPr>
            </w:pPr>
          </w:p>
        </w:tc>
        <w:tc>
          <w:tcPr>
            <w:tcW w:w="2021" w:type="dxa"/>
          </w:tcPr>
          <w:p>
            <w:pPr>
              <w:pStyle w:val="TableParagraph"/>
              <w:ind w:left="0"/>
              <w:rPr>
                <w:rFonts w:ascii="Times New Roman"/>
                <w:sz w:val="20"/>
              </w:rPr>
            </w:pPr>
          </w:p>
        </w:tc>
        <w:tc>
          <w:tcPr>
            <w:tcW w:w="7547" w:type="dxa"/>
          </w:tcPr>
          <w:p>
            <w:pPr>
              <w:pStyle w:val="TableParagraph"/>
              <w:spacing w:before="142"/>
              <w:ind w:left="122"/>
              <w:rPr>
                <w:sz w:val="21"/>
              </w:rPr>
            </w:pPr>
            <w:r>
              <w:rPr>
                <w:sz w:val="21"/>
              </w:rPr>
              <w:t>轻症疾病种类：</w:t>
            </w:r>
          </w:p>
          <w:p>
            <w:pPr>
              <w:pStyle w:val="TableParagraph"/>
              <w:spacing w:line="255" w:lineRule="exact" w:before="36"/>
              <w:ind w:left="1646"/>
              <w:rPr>
                <w:sz w:val="21"/>
              </w:rPr>
            </w:pPr>
            <w:r>
              <w:rPr>
                <w:sz w:val="21"/>
              </w:rPr>
              <w:t>1. 非危及生命的（极早期的）恶性病变</w:t>
            </w:r>
          </w:p>
        </w:tc>
      </w:tr>
    </w:tbl>
    <w:p>
      <w:pPr>
        <w:spacing w:after="0" w:line="255" w:lineRule="exact"/>
        <w:rPr>
          <w:sz w:val="21"/>
        </w:rPr>
        <w:sectPr>
          <w:footerReference w:type="default" r:id="rId7"/>
          <w:pgSz w:w="11910" w:h="16840"/>
          <w:pgMar w:footer="353" w:header="0" w:top="1120" w:bottom="540" w:left="720" w:right="720"/>
          <w:pgNumType w:start="2"/>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678"/>
      </w:tblGrid>
      <w:tr>
        <w:trPr>
          <w:trHeight w:val="4474" w:hRule="atLeast"/>
        </w:trPr>
        <w:tc>
          <w:tcPr>
            <w:tcW w:w="2005" w:type="dxa"/>
          </w:tcPr>
          <w:p>
            <w:pPr>
              <w:pStyle w:val="TableParagraph"/>
              <w:ind w:left="0"/>
              <w:rPr>
                <w:rFonts w:ascii="Times New Roman"/>
                <w:sz w:val="20"/>
              </w:rPr>
            </w:pPr>
          </w:p>
        </w:tc>
        <w:tc>
          <w:tcPr>
            <w:tcW w:w="7678" w:type="dxa"/>
          </w:tcPr>
          <w:p>
            <w:pPr>
              <w:pStyle w:val="TableParagraph"/>
              <w:numPr>
                <w:ilvl w:val="0"/>
                <w:numId w:val="2"/>
              </w:numPr>
              <w:tabs>
                <w:tab w:pos="1964" w:val="left" w:leader="none"/>
              </w:tabs>
              <w:spacing w:line="211" w:lineRule="exact" w:before="0" w:after="0"/>
              <w:ind w:left="1963" w:right="0" w:hanging="317"/>
              <w:jc w:val="left"/>
              <w:rPr>
                <w:sz w:val="21"/>
              </w:rPr>
            </w:pPr>
            <w:r>
              <w:rPr>
                <w:spacing w:val="-3"/>
                <w:sz w:val="21"/>
              </w:rPr>
              <w:t>冠状动脉介入手术</w:t>
            </w:r>
          </w:p>
          <w:p>
            <w:pPr>
              <w:pStyle w:val="TableParagraph"/>
              <w:numPr>
                <w:ilvl w:val="0"/>
                <w:numId w:val="2"/>
              </w:numPr>
              <w:tabs>
                <w:tab w:pos="1964" w:val="left" w:leader="none"/>
              </w:tabs>
              <w:spacing w:line="240" w:lineRule="auto" w:before="37" w:after="0"/>
              <w:ind w:left="1963" w:right="0" w:hanging="317"/>
              <w:jc w:val="left"/>
              <w:rPr>
                <w:sz w:val="21"/>
              </w:rPr>
            </w:pPr>
            <w:r>
              <w:rPr>
                <w:spacing w:val="-3"/>
                <w:sz w:val="21"/>
              </w:rPr>
              <w:t>轻微脑中风</w:t>
            </w:r>
          </w:p>
          <w:p>
            <w:pPr>
              <w:pStyle w:val="TableParagraph"/>
              <w:numPr>
                <w:ilvl w:val="0"/>
                <w:numId w:val="2"/>
              </w:numPr>
              <w:tabs>
                <w:tab w:pos="1964" w:val="left" w:leader="none"/>
              </w:tabs>
              <w:spacing w:line="240" w:lineRule="auto" w:before="37" w:after="0"/>
              <w:ind w:left="1963" w:right="0" w:hanging="317"/>
              <w:jc w:val="left"/>
              <w:rPr>
                <w:sz w:val="21"/>
              </w:rPr>
            </w:pPr>
            <w:r>
              <w:rPr>
                <w:spacing w:val="-3"/>
                <w:sz w:val="21"/>
              </w:rPr>
              <w:t>心脏瓣膜介入手术</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脑垂体瘤、脑囊肿、脑动脉瘤及脑血管瘤</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视力严重受损 – 三周岁始理赔</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主动脉内介入手术</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较小面积Ⅲ度烧伤</w:t>
            </w:r>
            <w:r>
              <w:rPr>
                <w:spacing w:val="-1"/>
                <w:sz w:val="21"/>
              </w:rPr>
              <w:t>（10%）</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慢性肾功能损害 – 肾功能衰竭期</w:t>
            </w:r>
          </w:p>
          <w:p>
            <w:pPr>
              <w:pStyle w:val="TableParagraph"/>
              <w:numPr>
                <w:ilvl w:val="0"/>
                <w:numId w:val="2"/>
              </w:numPr>
              <w:tabs>
                <w:tab w:pos="2070" w:val="left" w:leader="none"/>
              </w:tabs>
              <w:spacing w:line="240" w:lineRule="auto" w:before="36" w:after="0"/>
              <w:ind w:left="2069" w:right="0" w:hanging="423"/>
              <w:jc w:val="left"/>
              <w:rPr>
                <w:sz w:val="21"/>
              </w:rPr>
            </w:pPr>
            <w:r>
              <w:rPr>
                <w:spacing w:val="-3"/>
                <w:sz w:val="21"/>
              </w:rPr>
              <w:t>重症头部外伤</w:t>
            </w:r>
          </w:p>
          <w:p>
            <w:pPr>
              <w:pStyle w:val="TableParagraph"/>
              <w:numPr>
                <w:ilvl w:val="0"/>
                <w:numId w:val="2"/>
              </w:numPr>
              <w:tabs>
                <w:tab w:pos="2070" w:val="left" w:leader="none"/>
              </w:tabs>
              <w:spacing w:line="240" w:lineRule="auto" w:before="36" w:after="0"/>
              <w:ind w:left="2069" w:right="0" w:hanging="423"/>
              <w:jc w:val="left"/>
              <w:rPr>
                <w:sz w:val="21"/>
              </w:rPr>
            </w:pPr>
            <w:r>
              <w:rPr>
                <w:spacing w:val="-3"/>
                <w:sz w:val="21"/>
              </w:rPr>
              <w:t>单个肢体缺失</w:t>
            </w:r>
          </w:p>
          <w:p>
            <w:pPr>
              <w:pStyle w:val="TableParagraph"/>
              <w:numPr>
                <w:ilvl w:val="0"/>
                <w:numId w:val="2"/>
              </w:numPr>
              <w:tabs>
                <w:tab w:pos="2070" w:val="left" w:leader="none"/>
              </w:tabs>
              <w:spacing w:line="240" w:lineRule="auto" w:before="36" w:after="0"/>
              <w:ind w:left="2069" w:right="0" w:hanging="423"/>
              <w:jc w:val="left"/>
              <w:rPr>
                <w:sz w:val="21"/>
              </w:rPr>
            </w:pPr>
            <w:r>
              <w:rPr>
                <w:spacing w:val="-3"/>
                <w:sz w:val="21"/>
              </w:rPr>
              <w:t>单侧肺脏切除</w:t>
            </w:r>
          </w:p>
          <w:p>
            <w:pPr>
              <w:pStyle w:val="TableParagraph"/>
              <w:numPr>
                <w:ilvl w:val="0"/>
                <w:numId w:val="2"/>
              </w:numPr>
              <w:tabs>
                <w:tab w:pos="2084" w:val="left" w:leader="none"/>
              </w:tabs>
              <w:spacing w:line="240" w:lineRule="auto" w:before="36" w:after="0"/>
              <w:ind w:left="2083" w:right="0" w:hanging="437"/>
              <w:jc w:val="left"/>
              <w:rPr>
                <w:sz w:val="21"/>
              </w:rPr>
            </w:pPr>
            <w:r>
              <w:rPr>
                <w:spacing w:val="-3"/>
                <w:sz w:val="21"/>
              </w:rPr>
              <w:t>肝脏手术</w:t>
            </w:r>
          </w:p>
          <w:p>
            <w:pPr>
              <w:pStyle w:val="TableParagraph"/>
              <w:numPr>
                <w:ilvl w:val="0"/>
                <w:numId w:val="2"/>
              </w:numPr>
              <w:tabs>
                <w:tab w:pos="2084" w:val="left" w:leader="none"/>
              </w:tabs>
              <w:spacing w:line="240" w:lineRule="auto" w:before="36" w:after="0"/>
              <w:ind w:left="2083" w:right="0" w:hanging="437"/>
              <w:jc w:val="left"/>
              <w:rPr>
                <w:sz w:val="21"/>
              </w:rPr>
            </w:pPr>
            <w:r>
              <w:rPr>
                <w:spacing w:val="-3"/>
                <w:sz w:val="21"/>
              </w:rPr>
              <w:t>早期运动神经性疾病</w:t>
            </w:r>
          </w:p>
          <w:p>
            <w:pPr>
              <w:pStyle w:val="TableParagraph"/>
              <w:numPr>
                <w:ilvl w:val="0"/>
                <w:numId w:val="2"/>
              </w:numPr>
              <w:tabs>
                <w:tab w:pos="2084" w:val="left" w:leader="none"/>
              </w:tabs>
              <w:spacing w:line="240" w:lineRule="auto" w:before="36" w:after="0"/>
              <w:ind w:left="2083" w:right="0" w:hanging="437"/>
              <w:jc w:val="left"/>
              <w:rPr>
                <w:sz w:val="21"/>
              </w:rPr>
            </w:pPr>
            <w:r>
              <w:rPr>
                <w:spacing w:val="-3"/>
                <w:sz w:val="21"/>
              </w:rPr>
              <w:t>人工耳蜗植入术</w:t>
            </w:r>
          </w:p>
        </w:tc>
      </w:tr>
      <w:tr>
        <w:trPr>
          <w:trHeight w:val="2184" w:hRule="atLeast"/>
        </w:trPr>
        <w:tc>
          <w:tcPr>
            <w:tcW w:w="2005" w:type="dxa"/>
          </w:tcPr>
          <w:p>
            <w:pPr>
              <w:pStyle w:val="TableParagraph"/>
              <w:spacing w:before="175"/>
              <w:ind w:left="200"/>
              <w:rPr>
                <w:rFonts w:ascii="Microsoft JhengHei" w:eastAsia="Microsoft JhengHei" w:hint="eastAsia"/>
                <w:b/>
                <w:sz w:val="24"/>
              </w:rPr>
            </w:pPr>
            <w:r>
              <w:rPr>
                <w:rFonts w:ascii="Microsoft JhengHei" w:eastAsia="Microsoft JhengHei" w:hint="eastAsia"/>
                <w:b/>
                <w:sz w:val="24"/>
              </w:rPr>
              <w:t>重大疾病保险金</w:t>
            </w:r>
          </w:p>
        </w:tc>
        <w:tc>
          <w:tcPr>
            <w:tcW w:w="7678" w:type="dxa"/>
          </w:tcPr>
          <w:p>
            <w:pPr>
              <w:pStyle w:val="TableParagraph"/>
              <w:spacing w:line="273" w:lineRule="auto" w:before="143"/>
              <w:ind w:left="521" w:right="234" w:hanging="399"/>
              <w:jc w:val="both"/>
              <w:rPr>
                <w:sz w:val="21"/>
              </w:rPr>
            </w:pPr>
            <w:r>
              <w:rPr>
                <w:spacing w:val="-6"/>
                <w:sz w:val="21"/>
              </w:rPr>
              <w:t>一、若被保险人于本合同生效或最后一次复效之日起 </w:t>
            </w:r>
            <w:r>
              <w:rPr>
                <w:sz w:val="21"/>
              </w:rPr>
              <w:t>90</w:t>
            </w:r>
            <w:r>
              <w:rPr>
                <w:spacing w:val="-21"/>
                <w:sz w:val="21"/>
              </w:rPr>
              <w:t> 日内</w:t>
            </w:r>
            <w:r>
              <w:rPr>
                <w:sz w:val="21"/>
              </w:rPr>
              <w:t>（</w:t>
            </w:r>
            <w:r>
              <w:rPr>
                <w:spacing w:val="-16"/>
                <w:sz w:val="21"/>
              </w:rPr>
              <w:t>含第 </w:t>
            </w:r>
            <w:r>
              <w:rPr>
                <w:sz w:val="21"/>
              </w:rPr>
              <w:t>90</w:t>
            </w:r>
            <w:r>
              <w:rPr>
                <w:spacing w:val="-23"/>
                <w:sz w:val="21"/>
              </w:rPr>
              <w:t> 日</w:t>
            </w:r>
            <w:r>
              <w:rPr>
                <w:spacing w:val="-15"/>
                <w:sz w:val="21"/>
              </w:rPr>
              <w:t>）</w:t>
            </w:r>
            <w:r>
              <w:rPr>
                <w:spacing w:val="-2"/>
                <w:sz w:val="21"/>
              </w:rPr>
              <w:t>因意</w:t>
            </w:r>
            <w:r>
              <w:rPr>
                <w:spacing w:val="-3"/>
                <w:sz w:val="21"/>
              </w:rPr>
              <w:t>外伤害以外的原因导致</w:t>
            </w:r>
            <w:r>
              <w:rPr>
                <w:b/>
                <w:spacing w:val="-2"/>
                <w:sz w:val="21"/>
              </w:rPr>
              <w:t>初次患本合同所列的重大疾病</w:t>
            </w:r>
            <w:r>
              <w:rPr>
                <w:spacing w:val="-7"/>
                <w:sz w:val="21"/>
              </w:rPr>
              <w:t>的一种或多种，我们将</w:t>
            </w:r>
            <w:r>
              <w:rPr>
                <w:spacing w:val="-5"/>
                <w:sz w:val="21"/>
              </w:rPr>
              <w:t>按已交保险费给付重大疾病保险金，同时本合同终止。</w:t>
            </w:r>
          </w:p>
          <w:p>
            <w:pPr>
              <w:pStyle w:val="TableParagraph"/>
              <w:spacing w:line="273" w:lineRule="auto" w:before="8"/>
              <w:ind w:left="521" w:right="234" w:hanging="399"/>
              <w:jc w:val="both"/>
              <w:rPr>
                <w:sz w:val="21"/>
              </w:rPr>
            </w:pPr>
            <w:r>
              <w:rPr>
                <w:spacing w:val="-3"/>
                <w:sz w:val="21"/>
              </w:rPr>
              <w:t>二、若被保险人因意外伤害，或于本合同生效或最后一次复效之日起 </w:t>
            </w:r>
            <w:r>
              <w:rPr>
                <w:sz w:val="21"/>
              </w:rPr>
              <w:t>90</w:t>
            </w:r>
            <w:r>
              <w:rPr>
                <w:spacing w:val="-3"/>
                <w:sz w:val="21"/>
              </w:rPr>
              <w:t> 日后因</w:t>
            </w:r>
            <w:r>
              <w:rPr>
                <w:spacing w:val="-5"/>
                <w:sz w:val="21"/>
              </w:rPr>
              <w:t>意外伤害以外的原因，导致初次患本合同所列的重大疾病的一种或多种，我</w:t>
            </w:r>
            <w:r>
              <w:rPr>
                <w:spacing w:val="-4"/>
                <w:sz w:val="21"/>
              </w:rPr>
              <w:t>们将按本合同的基本保险金额给付重大疾病保险金，同时本合同终止。</w:t>
            </w:r>
          </w:p>
        </w:tc>
      </w:tr>
      <w:tr>
        <w:trPr>
          <w:trHeight w:val="2808" w:hRule="atLeast"/>
        </w:trPr>
        <w:tc>
          <w:tcPr>
            <w:tcW w:w="2005" w:type="dxa"/>
          </w:tcPr>
          <w:p>
            <w:pPr>
              <w:pStyle w:val="TableParagraph"/>
              <w:spacing w:before="55"/>
              <w:ind w:left="200"/>
              <w:rPr>
                <w:rFonts w:ascii="Microsoft JhengHei" w:eastAsia="Microsoft JhengHei" w:hint="eastAsia"/>
                <w:b/>
                <w:sz w:val="24"/>
              </w:rPr>
            </w:pPr>
            <w:r>
              <w:rPr>
                <w:rFonts w:ascii="Microsoft JhengHei" w:eastAsia="Microsoft JhengHei" w:hint="eastAsia"/>
                <w:b/>
                <w:sz w:val="24"/>
              </w:rPr>
              <w:t>身故保险金</w:t>
            </w:r>
          </w:p>
        </w:tc>
        <w:tc>
          <w:tcPr>
            <w:tcW w:w="7678" w:type="dxa"/>
          </w:tcPr>
          <w:p>
            <w:pPr>
              <w:pStyle w:val="TableParagraph"/>
              <w:spacing w:line="273" w:lineRule="auto" w:before="142"/>
              <w:ind w:left="542" w:right="180" w:hanging="421"/>
              <w:rPr>
                <w:sz w:val="21"/>
              </w:rPr>
            </w:pPr>
            <w:r>
              <w:rPr>
                <w:sz w:val="21"/>
              </w:rPr>
              <w:t>一、若被保险人身故时未满 18 周岁，我们将按已交保险费给付身故保险金，同时本合同终止。</w:t>
            </w:r>
          </w:p>
          <w:p>
            <w:pPr>
              <w:pStyle w:val="TableParagraph"/>
              <w:spacing w:before="7"/>
              <w:ind w:left="122"/>
              <w:rPr>
                <w:sz w:val="21"/>
              </w:rPr>
            </w:pPr>
            <w:r>
              <w:rPr>
                <w:sz w:val="21"/>
              </w:rPr>
              <w:t>二、若被保险人身故时已满 18 周岁，且于本合同生效或者最后一次复效之日起</w:t>
            </w:r>
          </w:p>
          <w:p>
            <w:pPr>
              <w:pStyle w:val="TableParagraph"/>
              <w:spacing w:line="273" w:lineRule="auto" w:before="37"/>
              <w:ind w:left="542" w:right="234"/>
              <w:rPr>
                <w:sz w:val="21"/>
              </w:rPr>
            </w:pPr>
            <w:r>
              <w:rPr>
                <w:sz w:val="21"/>
              </w:rPr>
              <w:t>90</w:t>
            </w:r>
            <w:r>
              <w:rPr>
                <w:spacing w:val="-14"/>
                <w:sz w:val="21"/>
              </w:rPr>
              <w:t> 日内</w:t>
            </w:r>
            <w:r>
              <w:rPr>
                <w:sz w:val="21"/>
              </w:rPr>
              <w:t>（</w:t>
            </w:r>
            <w:r>
              <w:rPr>
                <w:spacing w:val="-14"/>
                <w:sz w:val="21"/>
              </w:rPr>
              <w:t>含第 </w:t>
            </w:r>
            <w:r>
              <w:rPr>
                <w:sz w:val="21"/>
              </w:rPr>
              <w:t>90</w:t>
            </w:r>
            <w:r>
              <w:rPr>
                <w:spacing w:val="-20"/>
                <w:sz w:val="21"/>
              </w:rPr>
              <w:t> 日</w:t>
            </w:r>
            <w:r>
              <w:rPr>
                <w:sz w:val="21"/>
              </w:rPr>
              <w:t>）</w:t>
            </w:r>
            <w:r>
              <w:rPr>
                <w:spacing w:val="-3"/>
                <w:sz w:val="21"/>
              </w:rPr>
              <w:t>因意外伤害以外的原因导致身故，我们将按已交保险费给付身故保险金，同时本合同终止。</w:t>
            </w:r>
          </w:p>
          <w:p>
            <w:pPr>
              <w:pStyle w:val="TableParagraph"/>
              <w:spacing w:before="7"/>
              <w:ind w:left="122"/>
              <w:rPr>
                <w:sz w:val="21"/>
              </w:rPr>
            </w:pPr>
            <w:r>
              <w:rPr>
                <w:sz w:val="21"/>
              </w:rPr>
              <w:t>三、若被保险人身故时已满 18 周岁，且因意外伤害或于本合同生效或最后一次</w:t>
            </w:r>
          </w:p>
          <w:p>
            <w:pPr>
              <w:pStyle w:val="TableParagraph"/>
              <w:spacing w:line="273" w:lineRule="auto" w:before="36"/>
              <w:ind w:left="542" w:right="181"/>
              <w:rPr>
                <w:sz w:val="21"/>
              </w:rPr>
            </w:pPr>
            <w:r>
              <w:rPr>
                <w:sz w:val="21"/>
              </w:rPr>
              <w:t>复效之日起 90 日后因意外伤害以外的原因导致身故，我们将按本合同的基本保险金额给付身故保险金，同时本合同终止。</w:t>
            </w:r>
          </w:p>
        </w:tc>
      </w:tr>
      <w:tr>
        <w:trPr>
          <w:trHeight w:val="2808" w:hRule="atLeast"/>
        </w:trPr>
        <w:tc>
          <w:tcPr>
            <w:tcW w:w="2005" w:type="dxa"/>
          </w:tcPr>
          <w:p>
            <w:pPr>
              <w:pStyle w:val="TableParagraph"/>
              <w:spacing w:before="55"/>
              <w:ind w:left="200"/>
              <w:rPr>
                <w:rFonts w:ascii="Microsoft JhengHei" w:eastAsia="Microsoft JhengHei" w:hint="eastAsia"/>
                <w:b/>
                <w:sz w:val="24"/>
              </w:rPr>
            </w:pPr>
            <w:r>
              <w:rPr>
                <w:rFonts w:ascii="Microsoft JhengHei" w:eastAsia="Microsoft JhengHei" w:hint="eastAsia"/>
                <w:b/>
                <w:sz w:val="24"/>
              </w:rPr>
              <w:t>全残保险金</w:t>
            </w:r>
          </w:p>
        </w:tc>
        <w:tc>
          <w:tcPr>
            <w:tcW w:w="7678" w:type="dxa"/>
          </w:tcPr>
          <w:p>
            <w:pPr>
              <w:pStyle w:val="TableParagraph"/>
              <w:spacing w:line="273" w:lineRule="auto" w:before="142"/>
              <w:ind w:left="542" w:right="179" w:hanging="421"/>
              <w:rPr>
                <w:sz w:val="21"/>
              </w:rPr>
            </w:pPr>
            <w:r>
              <w:rPr>
                <w:sz w:val="21"/>
              </w:rPr>
              <w:t>一、若被保险人</w:t>
            </w:r>
            <w:r>
              <w:rPr>
                <w:b/>
                <w:sz w:val="21"/>
              </w:rPr>
              <w:t>全残</w:t>
            </w:r>
            <w:r>
              <w:rPr>
                <w:sz w:val="21"/>
              </w:rPr>
              <w:t>时未满 18 周岁，我们将按已交保险费给付全残保险金，同时本合同终止。</w:t>
            </w:r>
          </w:p>
          <w:p>
            <w:pPr>
              <w:pStyle w:val="TableParagraph"/>
              <w:spacing w:before="7"/>
              <w:ind w:left="122"/>
              <w:rPr>
                <w:sz w:val="21"/>
              </w:rPr>
            </w:pPr>
            <w:r>
              <w:rPr>
                <w:sz w:val="21"/>
              </w:rPr>
              <w:t>二、若被保险人全残时已满 18 周岁，且于本合同生效或者最后一次复效之日起</w:t>
            </w:r>
          </w:p>
          <w:p>
            <w:pPr>
              <w:pStyle w:val="TableParagraph"/>
              <w:spacing w:line="273" w:lineRule="auto" w:before="37"/>
              <w:ind w:left="542" w:right="234"/>
              <w:rPr>
                <w:sz w:val="21"/>
              </w:rPr>
            </w:pPr>
            <w:r>
              <w:rPr>
                <w:sz w:val="21"/>
              </w:rPr>
              <w:t>90</w:t>
            </w:r>
            <w:r>
              <w:rPr>
                <w:spacing w:val="-14"/>
                <w:sz w:val="21"/>
              </w:rPr>
              <w:t> 日内</w:t>
            </w:r>
            <w:r>
              <w:rPr>
                <w:sz w:val="21"/>
              </w:rPr>
              <w:t>（</w:t>
            </w:r>
            <w:r>
              <w:rPr>
                <w:spacing w:val="-14"/>
                <w:sz w:val="21"/>
              </w:rPr>
              <w:t>含第 </w:t>
            </w:r>
            <w:r>
              <w:rPr>
                <w:sz w:val="21"/>
              </w:rPr>
              <w:t>90</w:t>
            </w:r>
            <w:r>
              <w:rPr>
                <w:spacing w:val="-20"/>
                <w:sz w:val="21"/>
              </w:rPr>
              <w:t> 日</w:t>
            </w:r>
            <w:r>
              <w:rPr>
                <w:sz w:val="21"/>
              </w:rPr>
              <w:t>）</w:t>
            </w:r>
            <w:r>
              <w:rPr>
                <w:spacing w:val="-3"/>
                <w:sz w:val="21"/>
              </w:rPr>
              <w:t>因意外伤害以外的原因导致全残，我们将按已交保险费给付全残保险金，同时本合同终止。</w:t>
            </w:r>
          </w:p>
          <w:p>
            <w:pPr>
              <w:pStyle w:val="TableParagraph"/>
              <w:spacing w:before="7"/>
              <w:ind w:left="122"/>
              <w:rPr>
                <w:sz w:val="21"/>
              </w:rPr>
            </w:pPr>
            <w:r>
              <w:rPr>
                <w:sz w:val="21"/>
              </w:rPr>
              <w:t>三、若被保险人全残时已满 18 周岁，且因意外伤害或于本合同生效或最后一次</w:t>
            </w:r>
          </w:p>
          <w:p>
            <w:pPr>
              <w:pStyle w:val="TableParagraph"/>
              <w:spacing w:line="273" w:lineRule="auto" w:before="36"/>
              <w:ind w:left="542" w:right="181"/>
              <w:rPr>
                <w:sz w:val="21"/>
              </w:rPr>
            </w:pPr>
            <w:r>
              <w:rPr>
                <w:sz w:val="21"/>
              </w:rPr>
              <w:t>复效之日起 90 日后因意外伤害以外的原因导致全残，我们将按本合同的基本保险金额给付全残保险金，同时本合同终止。</w:t>
            </w:r>
          </w:p>
        </w:tc>
      </w:tr>
      <w:tr>
        <w:trPr>
          <w:trHeight w:val="1977" w:hRule="atLeast"/>
        </w:trPr>
        <w:tc>
          <w:tcPr>
            <w:tcW w:w="2005" w:type="dxa"/>
          </w:tcPr>
          <w:p>
            <w:pPr>
              <w:pStyle w:val="TableParagraph"/>
              <w:spacing w:line="184" w:lineRule="auto" w:before="151"/>
              <w:ind w:left="200" w:right="120"/>
              <w:rPr>
                <w:rFonts w:ascii="Microsoft JhengHei" w:eastAsia="Microsoft JhengHei" w:hint="eastAsia"/>
                <w:b/>
                <w:sz w:val="24"/>
              </w:rPr>
            </w:pPr>
            <w:r>
              <w:rPr>
                <w:rFonts w:ascii="Microsoft JhengHei" w:eastAsia="Microsoft JhengHei" w:hint="eastAsia"/>
                <w:b/>
                <w:sz w:val="24"/>
              </w:rPr>
              <w:t>疾病终末期保险金</w:t>
            </w:r>
          </w:p>
        </w:tc>
        <w:tc>
          <w:tcPr>
            <w:tcW w:w="7678" w:type="dxa"/>
          </w:tcPr>
          <w:p>
            <w:pPr>
              <w:pStyle w:val="TableParagraph"/>
              <w:spacing w:line="273" w:lineRule="auto" w:before="142"/>
              <w:ind w:left="542" w:right="175" w:hanging="421"/>
              <w:rPr>
                <w:sz w:val="21"/>
              </w:rPr>
            </w:pPr>
            <w:r>
              <w:rPr>
                <w:sz w:val="21"/>
              </w:rPr>
              <w:t>一、若被保险人初次被</w:t>
            </w:r>
            <w:r>
              <w:rPr>
                <w:b/>
                <w:sz w:val="21"/>
              </w:rPr>
              <w:t>专科医生</w:t>
            </w:r>
            <w:r>
              <w:rPr>
                <w:sz w:val="21"/>
              </w:rPr>
              <w:t>确诊达到</w:t>
            </w:r>
            <w:r>
              <w:rPr>
                <w:b/>
                <w:sz w:val="21"/>
              </w:rPr>
              <w:t>疾病终末期阶段</w:t>
            </w:r>
            <w:r>
              <w:rPr>
                <w:sz w:val="21"/>
              </w:rPr>
              <w:t>时未满 18 周岁，我们将按已交保险费给付疾病终末期保险金，同时本合同终止。</w:t>
            </w:r>
          </w:p>
          <w:p>
            <w:pPr>
              <w:pStyle w:val="TableParagraph"/>
              <w:spacing w:before="7"/>
              <w:ind w:left="122"/>
              <w:rPr>
                <w:sz w:val="21"/>
              </w:rPr>
            </w:pPr>
            <w:r>
              <w:rPr>
                <w:sz w:val="21"/>
              </w:rPr>
              <w:t>二、若被保险人初次被专科医生确诊达到疾病终末期阶段时已满 18 周岁，且于</w:t>
            </w:r>
          </w:p>
          <w:p>
            <w:pPr>
              <w:pStyle w:val="TableParagraph"/>
              <w:spacing w:line="310" w:lineRule="atLeast" w:before="2"/>
              <w:ind w:left="542" w:right="198"/>
              <w:jc w:val="both"/>
              <w:rPr>
                <w:sz w:val="21"/>
              </w:rPr>
            </w:pPr>
            <w:r>
              <w:rPr>
                <w:spacing w:val="-6"/>
                <w:sz w:val="21"/>
              </w:rPr>
              <w:t>本合同生效或者最后一次复效之日起 </w:t>
            </w:r>
            <w:r>
              <w:rPr>
                <w:sz w:val="21"/>
              </w:rPr>
              <w:t>90</w:t>
            </w:r>
            <w:r>
              <w:rPr>
                <w:spacing w:val="-23"/>
                <w:sz w:val="21"/>
              </w:rPr>
              <w:t> 日内</w:t>
            </w:r>
            <w:r>
              <w:rPr>
                <w:spacing w:val="-3"/>
                <w:sz w:val="21"/>
              </w:rPr>
              <w:t>（</w:t>
            </w:r>
            <w:r>
              <w:rPr>
                <w:spacing w:val="-16"/>
                <w:sz w:val="21"/>
              </w:rPr>
              <w:t>含第 </w:t>
            </w:r>
            <w:r>
              <w:rPr>
                <w:sz w:val="21"/>
              </w:rPr>
              <w:t>90</w:t>
            </w:r>
            <w:r>
              <w:rPr>
                <w:spacing w:val="-25"/>
                <w:sz w:val="21"/>
              </w:rPr>
              <w:t> 日</w:t>
            </w:r>
            <w:r>
              <w:rPr>
                <w:spacing w:val="-20"/>
                <w:sz w:val="21"/>
              </w:rPr>
              <w:t>）</w:t>
            </w:r>
            <w:r>
              <w:rPr>
                <w:spacing w:val="-3"/>
                <w:sz w:val="21"/>
              </w:rPr>
              <w:t>因意外伤害以外的原因导致达到疾病终末期，我们将按已交保险费给付疾病终末期保险金， 同时本合同终止。</w:t>
            </w:r>
          </w:p>
        </w:tc>
      </w:tr>
    </w:tbl>
    <w:p>
      <w:pPr>
        <w:spacing w:after="0" w:line="310" w:lineRule="atLeast"/>
        <w:jc w:val="both"/>
        <w:rPr>
          <w:sz w:val="21"/>
        </w:rPr>
        <w:sectPr>
          <w:pgSz w:w="11910" w:h="16840"/>
          <w:pgMar w:header="0" w:footer="353" w:top="1160" w:bottom="540" w:left="1420" w:right="5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2021"/>
        <w:gridCol w:w="7547"/>
      </w:tblGrid>
      <w:tr>
        <w:trPr>
          <w:trHeight w:val="1353" w:hRule="atLeast"/>
        </w:trPr>
        <w:tc>
          <w:tcPr>
            <w:tcW w:w="696" w:type="dxa"/>
          </w:tcPr>
          <w:p>
            <w:pPr>
              <w:pStyle w:val="TableParagraph"/>
              <w:ind w:left="0"/>
              <w:rPr>
                <w:rFonts w:ascii="Times New Roman"/>
                <w:sz w:val="20"/>
              </w:rPr>
            </w:pPr>
          </w:p>
        </w:tc>
        <w:tc>
          <w:tcPr>
            <w:tcW w:w="2021" w:type="dxa"/>
          </w:tcPr>
          <w:p>
            <w:pPr>
              <w:pStyle w:val="TableParagraph"/>
              <w:ind w:left="0"/>
              <w:rPr>
                <w:rFonts w:ascii="Times New Roman"/>
                <w:sz w:val="20"/>
              </w:rPr>
            </w:pPr>
          </w:p>
        </w:tc>
        <w:tc>
          <w:tcPr>
            <w:tcW w:w="7547" w:type="dxa"/>
          </w:tcPr>
          <w:p>
            <w:pPr>
              <w:pStyle w:val="TableParagraph"/>
              <w:spacing w:line="211" w:lineRule="exact"/>
              <w:ind w:left="122"/>
              <w:rPr>
                <w:sz w:val="21"/>
              </w:rPr>
            </w:pPr>
            <w:r>
              <w:rPr>
                <w:sz w:val="21"/>
              </w:rPr>
              <w:t>三、若被保险人初次被专科医生确诊达到疾病终末期阶段时已满 18 周岁，且因</w:t>
            </w:r>
          </w:p>
          <w:p>
            <w:pPr>
              <w:pStyle w:val="TableParagraph"/>
              <w:spacing w:line="273" w:lineRule="auto" w:before="37"/>
              <w:ind w:left="543" w:right="102"/>
              <w:jc w:val="both"/>
              <w:rPr>
                <w:sz w:val="21"/>
              </w:rPr>
            </w:pPr>
            <w:r>
              <w:rPr>
                <w:spacing w:val="-3"/>
                <w:sz w:val="21"/>
              </w:rPr>
              <w:t>意外伤害或于本合同生效或最后一次复效之日起 </w:t>
            </w:r>
            <w:r>
              <w:rPr>
                <w:sz w:val="21"/>
              </w:rPr>
              <w:t>90</w:t>
            </w:r>
            <w:r>
              <w:rPr>
                <w:spacing w:val="-3"/>
                <w:sz w:val="21"/>
              </w:rPr>
              <w:t> 日后因意外伤害以外的</w:t>
            </w:r>
            <w:r>
              <w:rPr>
                <w:spacing w:val="-6"/>
                <w:sz w:val="21"/>
              </w:rPr>
              <w:t>原因导致达到疾病终末期，我们将按本合同的基本保险金额给付疾病终末期</w:t>
            </w:r>
            <w:r>
              <w:rPr>
                <w:spacing w:val="-3"/>
                <w:sz w:val="21"/>
              </w:rPr>
              <w:t>保险金，同时本合同终止。</w:t>
            </w:r>
          </w:p>
        </w:tc>
      </w:tr>
      <w:tr>
        <w:trPr>
          <w:trHeight w:val="940" w:hRule="atLeast"/>
        </w:trPr>
        <w:tc>
          <w:tcPr>
            <w:tcW w:w="696" w:type="dxa"/>
          </w:tcPr>
          <w:p>
            <w:pPr>
              <w:pStyle w:val="TableParagraph"/>
              <w:ind w:left="0"/>
              <w:rPr>
                <w:rFonts w:ascii="Times New Roman"/>
                <w:sz w:val="20"/>
              </w:rPr>
            </w:pPr>
          </w:p>
        </w:tc>
        <w:tc>
          <w:tcPr>
            <w:tcW w:w="2021" w:type="dxa"/>
          </w:tcPr>
          <w:p>
            <w:pPr>
              <w:pStyle w:val="TableParagraph"/>
              <w:ind w:left="0"/>
              <w:rPr>
                <w:rFonts w:ascii="Times New Roman"/>
                <w:sz w:val="20"/>
              </w:rPr>
            </w:pPr>
          </w:p>
        </w:tc>
        <w:tc>
          <w:tcPr>
            <w:tcW w:w="7547" w:type="dxa"/>
          </w:tcPr>
          <w:p>
            <w:pPr>
              <w:pStyle w:val="TableParagraph"/>
              <w:spacing w:line="273" w:lineRule="auto" w:before="142"/>
              <w:ind w:left="122" w:right="107"/>
              <w:rPr>
                <w:b/>
                <w:sz w:val="21"/>
              </w:rPr>
            </w:pPr>
            <w:r>
              <w:rPr>
                <w:b/>
                <w:spacing w:val="-6"/>
                <w:sz w:val="21"/>
              </w:rPr>
              <w:t>重大疾病保险金、身故保险金、全残保险金与疾病终末期保险金，我们仅给付其中一项。</w:t>
            </w:r>
          </w:p>
        </w:tc>
      </w:tr>
      <w:tr>
        <w:trPr>
          <w:trHeight w:val="1252" w:hRule="atLeast"/>
        </w:trPr>
        <w:tc>
          <w:tcPr>
            <w:tcW w:w="696" w:type="dxa"/>
          </w:tcPr>
          <w:p>
            <w:pPr>
              <w:pStyle w:val="TableParagraph"/>
              <w:ind w:left="0"/>
              <w:rPr>
                <w:rFonts w:ascii="Times New Roman"/>
                <w:sz w:val="20"/>
              </w:rPr>
            </w:pPr>
          </w:p>
        </w:tc>
        <w:tc>
          <w:tcPr>
            <w:tcW w:w="2021" w:type="dxa"/>
          </w:tcPr>
          <w:p>
            <w:pPr>
              <w:pStyle w:val="TableParagraph"/>
              <w:spacing w:line="182" w:lineRule="auto" w:before="160"/>
              <w:ind w:left="216" w:right="120"/>
              <w:rPr>
                <w:rFonts w:ascii="Microsoft JhengHei" w:eastAsia="Microsoft JhengHei" w:hint="eastAsia"/>
                <w:b/>
                <w:sz w:val="24"/>
              </w:rPr>
            </w:pPr>
            <w:r>
              <w:rPr>
                <w:rFonts w:ascii="Microsoft JhengHei" w:eastAsia="Microsoft JhengHei" w:hint="eastAsia"/>
                <w:b/>
                <w:sz w:val="24"/>
              </w:rPr>
              <w:t>轻症疾病豁免保险费</w:t>
            </w:r>
          </w:p>
        </w:tc>
        <w:tc>
          <w:tcPr>
            <w:tcW w:w="7547" w:type="dxa"/>
          </w:tcPr>
          <w:p>
            <w:pPr>
              <w:pStyle w:val="TableParagraph"/>
              <w:spacing w:line="273" w:lineRule="auto" w:before="147"/>
              <w:ind w:left="122" w:right="102"/>
              <w:jc w:val="both"/>
              <w:rPr>
                <w:sz w:val="21"/>
              </w:rPr>
            </w:pPr>
            <w:r>
              <w:rPr>
                <w:spacing w:val="-3"/>
                <w:sz w:val="21"/>
              </w:rPr>
              <w:t>若被保险人因意外伤害，或于本合同生效或最后一次复效之日起 </w:t>
            </w:r>
            <w:r>
              <w:rPr>
                <w:sz w:val="21"/>
              </w:rPr>
              <w:t>90</w:t>
            </w:r>
            <w:r>
              <w:rPr>
                <w:spacing w:val="-3"/>
                <w:sz w:val="21"/>
              </w:rPr>
              <w:t> 日后因意外</w:t>
            </w:r>
            <w:r>
              <w:rPr>
                <w:spacing w:val="-5"/>
                <w:sz w:val="21"/>
              </w:rPr>
              <w:t>伤害以外的原因导致初次患本合同所列的轻症疾病，我们将豁免本合同自轻症疾</w:t>
            </w:r>
            <w:r>
              <w:rPr>
                <w:spacing w:val="-4"/>
                <w:sz w:val="21"/>
              </w:rPr>
              <w:t>病确诊之日以后的各期保险费。</w:t>
            </w:r>
          </w:p>
        </w:tc>
      </w:tr>
      <w:tr>
        <w:trPr>
          <w:trHeight w:val="613" w:hRule="atLeast"/>
        </w:trPr>
        <w:tc>
          <w:tcPr>
            <w:tcW w:w="696" w:type="dxa"/>
          </w:tcPr>
          <w:p>
            <w:pPr>
              <w:pStyle w:val="TableParagraph"/>
              <w:ind w:left="0"/>
              <w:rPr>
                <w:rFonts w:ascii="Times New Roman"/>
                <w:sz w:val="20"/>
              </w:rPr>
            </w:pPr>
          </w:p>
        </w:tc>
        <w:tc>
          <w:tcPr>
            <w:tcW w:w="2021" w:type="dxa"/>
          </w:tcPr>
          <w:p>
            <w:pPr>
              <w:pStyle w:val="TableParagraph"/>
              <w:ind w:left="0"/>
              <w:rPr>
                <w:rFonts w:ascii="Times New Roman"/>
                <w:sz w:val="20"/>
              </w:rPr>
            </w:pPr>
          </w:p>
        </w:tc>
        <w:tc>
          <w:tcPr>
            <w:tcW w:w="7547" w:type="dxa"/>
          </w:tcPr>
          <w:p>
            <w:pPr>
              <w:pStyle w:val="TableParagraph"/>
              <w:spacing w:before="142"/>
              <w:ind w:left="122"/>
              <w:rPr>
                <w:b/>
                <w:sz w:val="21"/>
              </w:rPr>
            </w:pPr>
            <w:r>
              <w:rPr>
                <w:b/>
                <w:sz w:val="21"/>
              </w:rPr>
              <w:t>被豁免的保险费视为已交纳，同时本合同继续有效。</w:t>
            </w:r>
          </w:p>
        </w:tc>
      </w:tr>
      <w:tr>
        <w:trPr>
          <w:trHeight w:val="7167" w:hRule="atLeast"/>
        </w:trPr>
        <w:tc>
          <w:tcPr>
            <w:tcW w:w="696" w:type="dxa"/>
          </w:tcPr>
          <w:p>
            <w:pPr>
              <w:pStyle w:val="TableParagraph"/>
              <w:spacing w:before="153"/>
              <w:ind w:left="122"/>
              <w:rPr>
                <w:rFonts w:ascii="黑体"/>
                <w:b/>
                <w:sz w:val="21"/>
              </w:rPr>
            </w:pPr>
            <w:r>
              <w:rPr>
                <w:rFonts w:ascii="黑体"/>
                <w:b/>
                <w:sz w:val="21"/>
              </w:rPr>
              <w:t>2.2</w:t>
            </w:r>
          </w:p>
        </w:tc>
        <w:tc>
          <w:tcPr>
            <w:tcW w:w="2021" w:type="dxa"/>
          </w:tcPr>
          <w:p>
            <w:pPr>
              <w:pStyle w:val="TableParagraph"/>
              <w:spacing w:before="132"/>
              <w:ind w:left="216"/>
              <w:rPr>
                <w:rFonts w:ascii="黑体" w:eastAsia="黑体" w:hint="eastAsia"/>
                <w:b/>
                <w:sz w:val="21"/>
              </w:rPr>
            </w:pPr>
            <w:r>
              <w:rPr>
                <w:rFonts w:ascii="黑体" w:eastAsia="黑体" w:hint="eastAsia"/>
                <w:b/>
                <w:sz w:val="21"/>
              </w:rPr>
              <w:t>责任免除</w:t>
            </w:r>
          </w:p>
        </w:tc>
        <w:tc>
          <w:tcPr>
            <w:tcW w:w="7547" w:type="dxa"/>
          </w:tcPr>
          <w:p>
            <w:pPr>
              <w:pStyle w:val="TableParagraph"/>
              <w:spacing w:line="259" w:lineRule="auto" w:before="142"/>
              <w:ind w:left="543" w:right="103" w:hanging="421"/>
              <w:jc w:val="both"/>
              <w:rPr>
                <w:rFonts w:ascii="黑体" w:eastAsia="黑体" w:hint="eastAsia"/>
                <w:i/>
                <w:sz w:val="22"/>
              </w:rPr>
            </w:pPr>
            <w:r>
              <w:rPr>
                <w:rFonts w:ascii="黑体" w:eastAsia="黑体" w:hint="eastAsia"/>
                <w:i/>
                <w:spacing w:val="-6"/>
                <w:w w:val="95"/>
                <w:sz w:val="22"/>
              </w:rPr>
              <w:t>一、因下列情形之一在本合同有效期间内导致被保险人身故、全残、进入疾病终</w:t>
            </w:r>
            <w:r>
              <w:rPr>
                <w:rFonts w:ascii="黑体" w:eastAsia="黑体" w:hint="eastAsia"/>
                <w:i/>
                <w:spacing w:val="-7"/>
                <w:w w:val="95"/>
                <w:sz w:val="22"/>
              </w:rPr>
              <w:t>末期阶段或患本合同所列的轻症疾病、重大疾病的，我们不承担给付各项保</w:t>
            </w:r>
            <w:r>
              <w:rPr>
                <w:rFonts w:ascii="黑体" w:eastAsia="黑体" w:hint="eastAsia"/>
                <w:i/>
                <w:spacing w:val="-5"/>
                <w:w w:val="95"/>
                <w:sz w:val="22"/>
              </w:rPr>
              <w:t>险金的责任：</w:t>
            </w:r>
          </w:p>
          <w:p>
            <w:pPr>
              <w:pStyle w:val="TableParagraph"/>
              <w:spacing w:before="6"/>
              <w:ind w:left="615"/>
              <w:rPr>
                <w:rFonts w:ascii="黑体" w:eastAsia="黑体" w:hint="eastAsia"/>
                <w:i/>
                <w:sz w:val="22"/>
              </w:rPr>
            </w:pPr>
            <w:r>
              <w:rPr>
                <w:rFonts w:ascii="黑体" w:eastAsia="黑体" w:hint="eastAsia"/>
                <w:i/>
                <w:w w:val="95"/>
                <w:sz w:val="22"/>
              </w:rPr>
              <w:t>(一) 投保人对被保险人的故意杀害、故意伤害；</w:t>
            </w:r>
          </w:p>
          <w:p>
            <w:pPr>
              <w:pStyle w:val="TableParagraph"/>
              <w:spacing w:before="23"/>
              <w:ind w:left="615"/>
              <w:rPr>
                <w:rFonts w:ascii="黑体" w:eastAsia="黑体" w:hint="eastAsia"/>
                <w:i/>
                <w:sz w:val="22"/>
              </w:rPr>
            </w:pPr>
            <w:r>
              <w:rPr>
                <w:rFonts w:ascii="黑体" w:eastAsia="黑体" w:hint="eastAsia"/>
                <w:i/>
                <w:w w:val="95"/>
                <w:sz w:val="22"/>
              </w:rPr>
              <w:t>(二) 被保险人故意犯罪或抗拒依法采取的刑事强制措施；</w:t>
            </w:r>
          </w:p>
          <w:p>
            <w:pPr>
              <w:pStyle w:val="TableParagraph"/>
              <w:spacing w:line="259" w:lineRule="auto" w:before="23"/>
              <w:ind w:left="1092" w:right="33" w:hanging="478"/>
              <w:rPr>
                <w:rFonts w:ascii="黑体" w:eastAsia="黑体" w:hint="eastAsia"/>
                <w:i/>
                <w:sz w:val="22"/>
              </w:rPr>
            </w:pPr>
            <w:r>
              <w:rPr>
                <w:rFonts w:ascii="黑体" w:eastAsia="黑体" w:hint="eastAsia"/>
                <w:i/>
                <w:w w:val="95"/>
                <w:sz w:val="22"/>
              </w:rPr>
              <w:t>(三) 被保险人自本合同成立或复效之日起 2 年内自杀，但被保险人自杀时为无民事行为能力人的除外；</w:t>
            </w:r>
          </w:p>
          <w:p>
            <w:pPr>
              <w:pStyle w:val="TableParagraph"/>
              <w:spacing w:before="6"/>
              <w:ind w:left="615"/>
              <w:rPr>
                <w:rFonts w:ascii="黑体" w:eastAsia="黑体" w:hint="eastAsia"/>
                <w:i/>
                <w:sz w:val="22"/>
              </w:rPr>
            </w:pPr>
            <w:r>
              <w:rPr>
                <w:rFonts w:ascii="黑体" w:eastAsia="黑体" w:hint="eastAsia"/>
                <w:i/>
                <w:w w:val="95"/>
                <w:sz w:val="22"/>
              </w:rPr>
              <w:t>(四) 被保险人主动吸食或注射</w:t>
            </w:r>
            <w:r>
              <w:rPr>
                <w:rFonts w:ascii="黑体" w:eastAsia="黑体" w:hint="eastAsia"/>
                <w:b/>
                <w:i/>
                <w:w w:val="95"/>
                <w:sz w:val="22"/>
              </w:rPr>
              <w:t>毒品</w:t>
            </w:r>
            <w:r>
              <w:rPr>
                <w:rFonts w:ascii="黑体" w:eastAsia="黑体" w:hint="eastAsia"/>
                <w:i/>
                <w:w w:val="95"/>
                <w:sz w:val="22"/>
              </w:rPr>
              <w:t>；</w:t>
            </w:r>
          </w:p>
          <w:p>
            <w:pPr>
              <w:pStyle w:val="TableParagraph"/>
              <w:spacing w:before="24"/>
              <w:ind w:left="615"/>
              <w:rPr>
                <w:rFonts w:ascii="黑体" w:eastAsia="黑体" w:hint="eastAsia"/>
                <w:i/>
                <w:sz w:val="22"/>
              </w:rPr>
            </w:pPr>
            <w:r>
              <w:rPr>
                <w:rFonts w:ascii="黑体" w:eastAsia="黑体" w:hint="eastAsia"/>
                <w:i/>
                <w:w w:val="95"/>
                <w:sz w:val="22"/>
              </w:rPr>
              <w:t>(五) 被保险人故意自伤；</w:t>
            </w:r>
          </w:p>
          <w:p>
            <w:pPr>
              <w:pStyle w:val="TableParagraph"/>
              <w:spacing w:line="259" w:lineRule="auto" w:before="24"/>
              <w:ind w:left="1092" w:right="103" w:hanging="478"/>
              <w:rPr>
                <w:rFonts w:ascii="黑体" w:eastAsia="黑体" w:hint="eastAsia"/>
                <w:i/>
                <w:sz w:val="22"/>
              </w:rPr>
            </w:pPr>
            <w:r>
              <w:rPr>
                <w:rFonts w:ascii="黑体" w:eastAsia="黑体" w:hint="eastAsia"/>
                <w:i/>
                <w:w w:val="95"/>
                <w:sz w:val="22"/>
              </w:rPr>
              <w:t>(六) 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的机动车；</w:t>
            </w:r>
          </w:p>
          <w:p>
            <w:pPr>
              <w:pStyle w:val="TableParagraph"/>
              <w:spacing w:line="261" w:lineRule="auto" w:before="6"/>
              <w:ind w:left="1092" w:right="103" w:hanging="478"/>
              <w:rPr>
                <w:rFonts w:ascii="黑体" w:eastAsia="黑体" w:hint="eastAsia"/>
                <w:i/>
                <w:sz w:val="22"/>
              </w:rPr>
            </w:pPr>
            <w:r>
              <w:rPr>
                <w:rFonts w:ascii="黑体" w:eastAsia="黑体" w:hint="eastAsia"/>
                <w:i/>
                <w:spacing w:val="-6"/>
                <w:w w:val="95"/>
                <w:sz w:val="22"/>
              </w:rPr>
              <w:t>(七) 被保险人</w:t>
            </w:r>
            <w:r>
              <w:rPr>
                <w:rFonts w:ascii="黑体" w:eastAsia="黑体" w:hint="eastAsia"/>
                <w:b/>
                <w:i/>
                <w:spacing w:val="-4"/>
                <w:w w:val="95"/>
                <w:sz w:val="22"/>
              </w:rPr>
              <w:t>感染艾滋病病毒或患艾滋病</w:t>
            </w:r>
            <w:r>
              <w:rPr>
                <w:rFonts w:ascii="黑体" w:eastAsia="黑体" w:hint="eastAsia"/>
                <w:i/>
                <w:spacing w:val="-3"/>
                <w:w w:val="95"/>
                <w:sz w:val="22"/>
              </w:rPr>
              <w:t>（</w:t>
            </w:r>
            <w:r>
              <w:rPr>
                <w:rFonts w:ascii="黑体" w:eastAsia="黑体" w:hint="eastAsia"/>
                <w:i/>
                <w:spacing w:val="-7"/>
                <w:w w:val="95"/>
                <w:sz w:val="22"/>
              </w:rPr>
              <w:t>本合同所列第 </w:t>
            </w:r>
            <w:r>
              <w:rPr>
                <w:rFonts w:ascii="黑体" w:eastAsia="黑体" w:hint="eastAsia"/>
                <w:i/>
                <w:w w:val="95"/>
                <w:sz w:val="22"/>
              </w:rPr>
              <w:t>27</w:t>
            </w:r>
            <w:r>
              <w:rPr>
                <w:rFonts w:ascii="黑体" w:eastAsia="黑体" w:hint="eastAsia"/>
                <w:i/>
                <w:spacing w:val="-39"/>
                <w:w w:val="95"/>
                <w:sz w:val="22"/>
              </w:rPr>
              <w:t>、</w:t>
            </w:r>
            <w:r>
              <w:rPr>
                <w:rFonts w:ascii="黑体" w:eastAsia="黑体" w:hint="eastAsia"/>
                <w:i/>
                <w:w w:val="95"/>
                <w:sz w:val="22"/>
              </w:rPr>
              <w:t>42</w:t>
            </w:r>
            <w:r>
              <w:rPr>
                <w:rFonts w:ascii="黑体" w:eastAsia="黑体" w:hint="eastAsia"/>
                <w:i/>
                <w:spacing w:val="-9"/>
                <w:w w:val="95"/>
                <w:sz w:val="22"/>
              </w:rPr>
              <w:t> 种重大疾</w:t>
            </w:r>
            <w:r>
              <w:rPr>
                <w:rFonts w:ascii="黑体" w:eastAsia="黑体" w:hint="eastAsia"/>
                <w:i/>
                <w:spacing w:val="-7"/>
                <w:w w:val="96"/>
                <w:sz w:val="22"/>
              </w:rPr>
              <w:t>病除外</w:t>
            </w:r>
            <w:r>
              <w:rPr>
                <w:rFonts w:ascii="黑体" w:eastAsia="黑体" w:hint="eastAsia"/>
                <w:i/>
                <w:spacing w:val="-106"/>
                <w:w w:val="96"/>
                <w:sz w:val="22"/>
              </w:rPr>
              <w:t>）</w:t>
            </w:r>
            <w:r>
              <w:rPr>
                <w:rFonts w:ascii="黑体" w:eastAsia="黑体" w:hint="eastAsia"/>
                <w:i/>
                <w:w w:val="96"/>
                <w:sz w:val="22"/>
              </w:rPr>
              <w:t>；</w:t>
            </w:r>
          </w:p>
          <w:p>
            <w:pPr>
              <w:pStyle w:val="TableParagraph"/>
              <w:spacing w:before="4"/>
              <w:ind w:left="615"/>
              <w:rPr>
                <w:rFonts w:ascii="黑体" w:eastAsia="黑体" w:hint="eastAsia"/>
                <w:i/>
                <w:sz w:val="22"/>
              </w:rPr>
            </w:pPr>
            <w:r>
              <w:rPr>
                <w:rFonts w:ascii="黑体" w:eastAsia="黑体" w:hint="eastAsia"/>
                <w:i/>
                <w:w w:val="95"/>
                <w:sz w:val="22"/>
              </w:rPr>
              <w:t>(八) 战争、军事冲突、暴乱或武装叛乱；</w:t>
            </w:r>
          </w:p>
          <w:p>
            <w:pPr>
              <w:pStyle w:val="TableParagraph"/>
              <w:spacing w:before="24"/>
              <w:ind w:left="615"/>
              <w:rPr>
                <w:rFonts w:ascii="黑体" w:eastAsia="黑体" w:hint="eastAsia"/>
                <w:i/>
                <w:sz w:val="22"/>
              </w:rPr>
            </w:pPr>
            <w:r>
              <w:rPr>
                <w:rFonts w:ascii="黑体" w:eastAsia="黑体" w:hint="eastAsia"/>
                <w:i/>
                <w:w w:val="95"/>
                <w:sz w:val="22"/>
              </w:rPr>
              <w:t>(九) 核爆炸、核辐射或核污染；</w:t>
            </w:r>
          </w:p>
          <w:p>
            <w:pPr>
              <w:pStyle w:val="TableParagraph"/>
              <w:spacing w:before="24"/>
              <w:ind w:left="615"/>
              <w:rPr>
                <w:rFonts w:ascii="黑体" w:eastAsia="黑体" w:hint="eastAsia"/>
                <w:i/>
                <w:sz w:val="22"/>
              </w:rPr>
            </w:pPr>
            <w:r>
              <w:rPr>
                <w:rFonts w:ascii="黑体" w:eastAsia="黑体" w:hint="eastAsia"/>
                <w:i/>
                <w:w w:val="95"/>
                <w:sz w:val="22"/>
              </w:rPr>
              <w:t>(十) </w:t>
            </w:r>
            <w:r>
              <w:rPr>
                <w:rFonts w:ascii="黑体" w:eastAsia="黑体" w:hint="eastAsia"/>
                <w:b/>
                <w:i/>
                <w:w w:val="95"/>
                <w:sz w:val="22"/>
              </w:rPr>
              <w:t>遗传性疾病</w:t>
            </w:r>
            <w:r>
              <w:rPr>
                <w:rFonts w:ascii="黑体" w:eastAsia="黑体" w:hint="eastAsia"/>
                <w:i/>
                <w:w w:val="95"/>
                <w:sz w:val="22"/>
              </w:rPr>
              <w:t>，</w:t>
            </w:r>
            <w:r>
              <w:rPr>
                <w:rFonts w:ascii="黑体" w:eastAsia="黑体" w:hint="eastAsia"/>
                <w:b/>
                <w:i/>
                <w:w w:val="95"/>
                <w:sz w:val="22"/>
              </w:rPr>
              <w:t>先天性畸形</w:t>
            </w:r>
            <w:r>
              <w:rPr>
                <w:rFonts w:ascii="黑体" w:eastAsia="黑体" w:hint="eastAsia"/>
                <w:i/>
                <w:w w:val="95"/>
                <w:sz w:val="22"/>
              </w:rPr>
              <w:t>、</w:t>
            </w:r>
            <w:r>
              <w:rPr>
                <w:rFonts w:ascii="黑体" w:eastAsia="黑体" w:hint="eastAsia"/>
                <w:b/>
                <w:i/>
                <w:w w:val="95"/>
                <w:sz w:val="22"/>
              </w:rPr>
              <w:t>变形或染色体异常</w:t>
            </w:r>
            <w:r>
              <w:rPr>
                <w:rFonts w:ascii="黑体" w:eastAsia="黑体" w:hint="eastAsia"/>
                <w:i/>
                <w:w w:val="95"/>
                <w:sz w:val="22"/>
              </w:rPr>
              <w:t>。</w:t>
            </w:r>
          </w:p>
          <w:p>
            <w:pPr>
              <w:pStyle w:val="TableParagraph"/>
              <w:spacing w:line="259" w:lineRule="auto" w:before="24"/>
              <w:ind w:left="543" w:right="103" w:hanging="421"/>
              <w:jc w:val="both"/>
              <w:rPr>
                <w:rFonts w:ascii="黑体" w:eastAsia="黑体" w:hint="eastAsia"/>
                <w:i/>
                <w:sz w:val="22"/>
              </w:rPr>
            </w:pPr>
            <w:r>
              <w:rPr>
                <w:rFonts w:ascii="黑体" w:eastAsia="黑体" w:hint="eastAsia"/>
                <w:i/>
                <w:spacing w:val="-4"/>
                <w:w w:val="95"/>
                <w:sz w:val="22"/>
              </w:rPr>
              <w:t>二、发</w:t>
            </w:r>
            <w:r>
              <w:rPr>
                <w:rFonts w:ascii="黑体" w:eastAsia="黑体" w:hint="eastAsia"/>
                <w:i/>
                <w:w w:val="95"/>
                <w:sz w:val="22"/>
              </w:rPr>
              <w:t>Th</w:t>
            </w:r>
            <w:r>
              <w:rPr>
                <w:rFonts w:ascii="黑体" w:eastAsia="黑体" w:hint="eastAsia"/>
                <w:i/>
                <w:spacing w:val="-5"/>
                <w:w w:val="95"/>
                <w:sz w:val="22"/>
              </w:rPr>
              <w:t>上述第</w:t>
            </w:r>
            <w:r>
              <w:rPr>
                <w:rFonts w:ascii="黑体" w:eastAsia="黑体" w:hint="eastAsia"/>
                <w:i/>
                <w:w w:val="95"/>
                <w:sz w:val="22"/>
              </w:rPr>
              <w:t>（</w:t>
            </w:r>
            <w:r>
              <w:rPr>
                <w:rFonts w:ascii="黑体" w:eastAsia="黑体" w:hint="eastAsia"/>
                <w:i/>
                <w:spacing w:val="-3"/>
                <w:w w:val="95"/>
                <w:sz w:val="22"/>
              </w:rPr>
              <w:t>一</w:t>
            </w:r>
            <w:r>
              <w:rPr>
                <w:rFonts w:ascii="黑体" w:eastAsia="黑体" w:hint="eastAsia"/>
                <w:i/>
                <w:spacing w:val="-8"/>
                <w:w w:val="95"/>
                <w:sz w:val="22"/>
              </w:rPr>
              <w:t>）</w:t>
            </w:r>
            <w:r>
              <w:rPr>
                <w:rFonts w:ascii="黑体" w:eastAsia="黑体" w:hint="eastAsia"/>
                <w:i/>
                <w:spacing w:val="-5"/>
                <w:w w:val="95"/>
                <w:sz w:val="22"/>
              </w:rPr>
              <w:t>种情形导致被保险人身故、全残、进入疾病终末期阶段或</w:t>
            </w:r>
            <w:r>
              <w:rPr>
                <w:rFonts w:ascii="黑体" w:eastAsia="黑体" w:hint="eastAsia"/>
                <w:i/>
                <w:spacing w:val="-8"/>
                <w:w w:val="95"/>
                <w:sz w:val="22"/>
              </w:rPr>
              <w:t>患本合同所列的轻症疾病、重大疾病的，本合同终止，您已交足 </w:t>
            </w:r>
            <w:r>
              <w:rPr>
                <w:rFonts w:ascii="黑体" w:eastAsia="黑体" w:hint="eastAsia"/>
                <w:i/>
                <w:w w:val="95"/>
                <w:sz w:val="22"/>
              </w:rPr>
              <w:t>2</w:t>
            </w:r>
            <w:r>
              <w:rPr>
                <w:rFonts w:ascii="黑体" w:eastAsia="黑体" w:hint="eastAsia"/>
                <w:i/>
                <w:spacing w:val="-7"/>
                <w:w w:val="95"/>
                <w:sz w:val="22"/>
              </w:rPr>
              <w:t> 年以上保</w:t>
            </w:r>
            <w:r>
              <w:rPr>
                <w:rFonts w:ascii="黑体" w:eastAsia="黑体" w:hint="eastAsia"/>
                <w:i/>
                <w:spacing w:val="-3"/>
                <w:w w:val="95"/>
                <w:sz w:val="22"/>
              </w:rPr>
              <w:t>费的，我们向其他权利人退还本合同的</w:t>
            </w:r>
            <w:r>
              <w:rPr>
                <w:rFonts w:ascii="黑体" w:eastAsia="黑体" w:hint="eastAsia"/>
                <w:b/>
                <w:i/>
                <w:w w:val="95"/>
                <w:sz w:val="22"/>
              </w:rPr>
              <w:t>现金价值</w:t>
            </w:r>
            <w:r>
              <w:rPr>
                <w:rFonts w:ascii="黑体" w:eastAsia="黑体" w:hint="eastAsia"/>
                <w:i/>
                <w:w w:val="95"/>
                <w:sz w:val="22"/>
              </w:rPr>
              <w:t>。</w:t>
            </w:r>
          </w:p>
          <w:p>
            <w:pPr>
              <w:pStyle w:val="TableParagraph"/>
              <w:spacing w:line="259" w:lineRule="auto" w:before="6"/>
              <w:ind w:left="543" w:right="103" w:hanging="421"/>
              <w:jc w:val="both"/>
              <w:rPr>
                <w:rFonts w:ascii="黑体" w:eastAsia="黑体" w:hint="eastAsia"/>
                <w:i/>
                <w:sz w:val="22"/>
              </w:rPr>
            </w:pPr>
            <w:r>
              <w:rPr>
                <w:rFonts w:ascii="黑体" w:eastAsia="黑体" w:hint="eastAsia"/>
                <w:i/>
                <w:spacing w:val="-5"/>
                <w:w w:val="95"/>
                <w:sz w:val="22"/>
              </w:rPr>
              <w:t>三、发</w:t>
            </w:r>
            <w:r>
              <w:rPr>
                <w:rFonts w:ascii="黑体" w:eastAsia="黑体" w:hint="eastAsia"/>
                <w:i/>
                <w:w w:val="95"/>
                <w:sz w:val="22"/>
              </w:rPr>
              <w:t>Th</w:t>
            </w:r>
            <w:r>
              <w:rPr>
                <w:rFonts w:ascii="黑体" w:eastAsia="黑体" w:hint="eastAsia"/>
                <w:i/>
                <w:spacing w:val="-5"/>
                <w:w w:val="95"/>
                <w:sz w:val="22"/>
              </w:rPr>
              <w:t>上述其他情形导致被保险人身故、全残、进入疾病终末期阶段或患本合</w:t>
            </w:r>
            <w:r>
              <w:rPr>
                <w:rFonts w:ascii="黑体" w:eastAsia="黑体" w:hint="eastAsia"/>
                <w:i/>
                <w:spacing w:val="-8"/>
                <w:w w:val="95"/>
                <w:sz w:val="22"/>
              </w:rPr>
              <w:t>同所列的轻症疾病、重大疾病的，本合同终止，我们向您退还本合同的现金价值。</w:t>
            </w:r>
          </w:p>
        </w:tc>
      </w:tr>
      <w:tr>
        <w:trPr>
          <w:trHeight w:val="1539" w:hRule="atLeast"/>
        </w:trPr>
        <w:tc>
          <w:tcPr>
            <w:tcW w:w="696" w:type="dxa"/>
          </w:tcPr>
          <w:p>
            <w:pPr>
              <w:pStyle w:val="TableParagraph"/>
              <w:spacing w:before="121"/>
              <w:ind w:left="122"/>
              <w:rPr>
                <w:b/>
                <w:sz w:val="21"/>
              </w:rPr>
            </w:pPr>
            <w:r>
              <w:rPr>
                <w:b/>
                <w:sz w:val="21"/>
              </w:rPr>
              <w:t>2.3</w:t>
            </w:r>
          </w:p>
        </w:tc>
        <w:tc>
          <w:tcPr>
            <w:tcW w:w="2021" w:type="dxa"/>
          </w:tcPr>
          <w:p>
            <w:pPr>
              <w:pStyle w:val="TableParagraph"/>
              <w:spacing w:before="121"/>
              <w:ind w:left="216"/>
              <w:rPr>
                <w:b/>
                <w:sz w:val="21"/>
              </w:rPr>
            </w:pPr>
            <w:r>
              <w:rPr>
                <w:b/>
                <w:sz w:val="21"/>
              </w:rPr>
              <w:t>保险金额</w:t>
            </w:r>
          </w:p>
        </w:tc>
        <w:tc>
          <w:tcPr>
            <w:tcW w:w="7547" w:type="dxa"/>
          </w:tcPr>
          <w:p>
            <w:pPr>
              <w:pStyle w:val="TableParagraph"/>
              <w:spacing w:line="273" w:lineRule="auto" w:before="121"/>
              <w:ind w:left="122" w:right="103"/>
              <w:jc w:val="both"/>
              <w:rPr>
                <w:sz w:val="21"/>
              </w:rPr>
            </w:pPr>
            <w:r>
              <w:rPr>
                <w:spacing w:val="-6"/>
                <w:sz w:val="21"/>
              </w:rPr>
              <w:t>本合同保险金额按本条款第 </w:t>
            </w:r>
            <w:r>
              <w:rPr>
                <w:sz w:val="21"/>
              </w:rPr>
              <w:t>2.1</w:t>
            </w:r>
            <w:r>
              <w:rPr>
                <w:spacing w:val="-10"/>
                <w:sz w:val="21"/>
              </w:rPr>
              <w:t> 条规定，根据基本保险金额进行计算确定。基本</w:t>
            </w:r>
            <w:r>
              <w:rPr>
                <w:spacing w:val="-7"/>
                <w:sz w:val="21"/>
              </w:rPr>
              <w:t>保险金额由您和本公司在投保时约定，但须符合本公司当时的投保规定，约定的</w:t>
            </w:r>
            <w:r>
              <w:rPr>
                <w:spacing w:val="-8"/>
                <w:sz w:val="21"/>
              </w:rPr>
              <w:t>基本保险金额将在保险单上载明，若基本保险金额发生变更，则以变更后金额为准。</w:t>
            </w:r>
          </w:p>
        </w:tc>
      </w:tr>
      <w:tr>
        <w:trPr>
          <w:trHeight w:val="648" w:hRule="atLeast"/>
        </w:trPr>
        <w:tc>
          <w:tcPr>
            <w:tcW w:w="696" w:type="dxa"/>
          </w:tcPr>
          <w:p>
            <w:pPr>
              <w:pStyle w:val="TableParagraph"/>
              <w:spacing w:before="142"/>
              <w:ind w:left="122"/>
              <w:rPr>
                <w:b/>
                <w:sz w:val="21"/>
              </w:rPr>
            </w:pPr>
            <w:r>
              <w:rPr>
                <w:b/>
                <w:sz w:val="21"/>
              </w:rPr>
              <w:t>2.4</w:t>
            </w:r>
          </w:p>
        </w:tc>
        <w:tc>
          <w:tcPr>
            <w:tcW w:w="2021" w:type="dxa"/>
          </w:tcPr>
          <w:p>
            <w:pPr>
              <w:pStyle w:val="TableParagraph"/>
              <w:spacing w:before="142"/>
              <w:ind w:left="216"/>
              <w:rPr>
                <w:b/>
                <w:sz w:val="21"/>
              </w:rPr>
            </w:pPr>
            <w:r>
              <w:rPr>
                <w:b/>
                <w:sz w:val="21"/>
              </w:rPr>
              <w:t>保险期间</w:t>
            </w:r>
          </w:p>
        </w:tc>
        <w:tc>
          <w:tcPr>
            <w:tcW w:w="7547" w:type="dxa"/>
          </w:tcPr>
          <w:p>
            <w:pPr>
              <w:pStyle w:val="TableParagraph"/>
              <w:spacing w:before="142"/>
              <w:ind w:left="122"/>
              <w:rPr>
                <w:sz w:val="21"/>
              </w:rPr>
            </w:pPr>
            <w:r>
              <w:rPr>
                <w:sz w:val="21"/>
              </w:rPr>
              <w:t>本合同的保险期间为终身，自本合同生效日零时起算。</w:t>
            </w:r>
          </w:p>
        </w:tc>
      </w:tr>
      <w:tr>
        <w:trPr>
          <w:trHeight w:val="756" w:hRule="atLeast"/>
        </w:trPr>
        <w:tc>
          <w:tcPr>
            <w:tcW w:w="696" w:type="dxa"/>
            <w:tcBorders>
              <w:bottom w:val="single" w:sz="8" w:space="0" w:color="000000"/>
            </w:tcBorders>
          </w:tcPr>
          <w:p>
            <w:pPr>
              <w:pStyle w:val="TableParagraph"/>
              <w:spacing w:before="194"/>
              <w:ind w:left="122"/>
              <w:rPr>
                <w:rFonts w:ascii="Arial" w:hAnsi="Arial"/>
                <w:b/>
                <w:sz w:val="40"/>
              </w:rPr>
            </w:pPr>
            <w:r>
              <w:rPr>
                <w:rFonts w:ascii="Arial" w:hAnsi="Arial"/>
                <w:b/>
                <w:w w:val="119"/>
                <w:sz w:val="40"/>
              </w:rPr>
              <w:t></w:t>
            </w:r>
          </w:p>
        </w:tc>
        <w:tc>
          <w:tcPr>
            <w:tcW w:w="2021" w:type="dxa"/>
            <w:tcBorders>
              <w:bottom w:val="single" w:sz="8" w:space="0" w:color="000000"/>
            </w:tcBorders>
          </w:tcPr>
          <w:p>
            <w:pPr>
              <w:pStyle w:val="TableParagraph"/>
              <w:spacing w:before="10"/>
              <w:ind w:left="0"/>
              <w:rPr>
                <w:sz w:val="18"/>
              </w:rPr>
            </w:pPr>
          </w:p>
          <w:p>
            <w:pPr>
              <w:pStyle w:val="TableParagraph"/>
              <w:ind w:left="216"/>
              <w:rPr>
                <w:b/>
                <w:sz w:val="24"/>
              </w:rPr>
            </w:pPr>
            <w:r>
              <w:rPr>
                <w:b/>
                <w:w w:val="95"/>
                <w:sz w:val="24"/>
              </w:rPr>
              <w:t>保险金的申请</w:t>
            </w:r>
          </w:p>
        </w:tc>
        <w:tc>
          <w:tcPr>
            <w:tcW w:w="7547" w:type="dxa"/>
            <w:tcBorders>
              <w:bottom w:val="single" w:sz="8" w:space="0" w:color="000000"/>
            </w:tcBorders>
          </w:tcPr>
          <w:p>
            <w:pPr>
              <w:pStyle w:val="TableParagraph"/>
              <w:ind w:left="0"/>
              <w:rPr>
                <w:rFonts w:ascii="Times New Roman"/>
                <w:sz w:val="20"/>
              </w:rPr>
            </w:pPr>
          </w:p>
        </w:tc>
      </w:tr>
    </w:tbl>
    <w:p>
      <w:pPr>
        <w:spacing w:after="0"/>
        <w:rPr>
          <w:rFonts w:ascii="Times New Roman"/>
          <w:sz w:val="20"/>
        </w:rPr>
        <w:sectPr>
          <w:pgSz w:w="11910" w:h="16840"/>
          <w:pgMar w:header="0" w:footer="353" w:top="1160" w:bottom="540" w:left="70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1"/>
        <w:gridCol w:w="2040"/>
        <w:gridCol w:w="7548"/>
      </w:tblGrid>
      <w:tr>
        <w:trPr>
          <w:trHeight w:val="6394" w:hRule="atLeast"/>
        </w:trPr>
        <w:tc>
          <w:tcPr>
            <w:tcW w:w="661" w:type="dxa"/>
            <w:tcBorders>
              <w:top w:val="single" w:sz="8" w:space="0" w:color="000000"/>
            </w:tcBorders>
          </w:tcPr>
          <w:p>
            <w:pPr>
              <w:pStyle w:val="TableParagraph"/>
              <w:spacing w:before="8"/>
              <w:ind w:left="0"/>
              <w:rPr>
                <w:sz w:val="22"/>
              </w:rPr>
            </w:pPr>
          </w:p>
          <w:p>
            <w:pPr>
              <w:pStyle w:val="TableParagraph"/>
              <w:ind w:left="107"/>
              <w:rPr>
                <w:b/>
                <w:sz w:val="21"/>
              </w:rPr>
            </w:pPr>
            <w:r>
              <w:rPr>
                <w:b/>
                <w:sz w:val="21"/>
              </w:rPr>
              <w:t>3.1</w:t>
            </w:r>
          </w:p>
        </w:tc>
        <w:tc>
          <w:tcPr>
            <w:tcW w:w="2040" w:type="dxa"/>
            <w:tcBorders>
              <w:top w:val="single" w:sz="8" w:space="0" w:color="000000"/>
            </w:tcBorders>
          </w:tcPr>
          <w:p>
            <w:pPr>
              <w:pStyle w:val="TableParagraph"/>
              <w:spacing w:before="8"/>
              <w:ind w:left="0"/>
              <w:rPr>
                <w:sz w:val="22"/>
              </w:rPr>
            </w:pPr>
          </w:p>
          <w:p>
            <w:pPr>
              <w:pStyle w:val="TableParagraph"/>
              <w:ind w:left="237"/>
              <w:rPr>
                <w:b/>
                <w:sz w:val="21"/>
              </w:rPr>
            </w:pPr>
            <w:r>
              <w:rPr>
                <w:b/>
                <w:sz w:val="21"/>
              </w:rPr>
              <w:t>受益人</w:t>
            </w:r>
          </w:p>
        </w:tc>
        <w:tc>
          <w:tcPr>
            <w:tcW w:w="7548" w:type="dxa"/>
            <w:tcBorders>
              <w:top w:val="single" w:sz="8" w:space="0" w:color="000000"/>
            </w:tcBorders>
          </w:tcPr>
          <w:p>
            <w:pPr>
              <w:pStyle w:val="TableParagraph"/>
              <w:spacing w:before="8"/>
              <w:ind w:left="0"/>
              <w:rPr>
                <w:sz w:val="22"/>
              </w:rPr>
            </w:pPr>
          </w:p>
          <w:p>
            <w:pPr>
              <w:pStyle w:val="TableParagraph"/>
              <w:spacing w:line="273" w:lineRule="auto"/>
              <w:ind w:left="544" w:right="66" w:hanging="421"/>
              <w:jc w:val="both"/>
              <w:rPr>
                <w:sz w:val="21"/>
              </w:rPr>
            </w:pPr>
            <w:r>
              <w:rPr>
                <w:sz w:val="21"/>
              </w:rPr>
              <w:t>一、您或被保险人可以指定一人或多人为身故保险金受益人。身故保险金受益人为多人时，可以确定受益顺序和受益份额；未确定受益顺序和受益份额的， 各受益人按照相同顺序和相等份额享有受益权。</w:t>
            </w:r>
          </w:p>
          <w:p>
            <w:pPr>
              <w:pStyle w:val="TableParagraph"/>
              <w:spacing w:line="273" w:lineRule="auto" w:before="7"/>
              <w:ind w:left="544" w:right="59" w:hanging="421"/>
              <w:rPr>
                <w:sz w:val="21"/>
              </w:rPr>
            </w:pPr>
            <w:r>
              <w:rPr>
                <w:sz w:val="21"/>
              </w:rPr>
              <w:t>二、被保险人为无民事行为能力人或限制民事行为能力人的，可以由其监护人指定受益人。</w:t>
            </w:r>
          </w:p>
          <w:p>
            <w:pPr>
              <w:pStyle w:val="TableParagraph"/>
              <w:spacing w:line="273" w:lineRule="auto" w:before="7"/>
              <w:ind w:left="544" w:right="59" w:hanging="421"/>
              <w:rPr>
                <w:sz w:val="21"/>
              </w:rPr>
            </w:pPr>
            <w:r>
              <w:rPr>
                <w:sz w:val="21"/>
              </w:rPr>
              <w:t>三、您或被保险人可以变更身故保险金受益人并书面通知我们。我们收到变更受益人的书面通知后，在保险合同上批注或附贴批单。</w:t>
            </w:r>
          </w:p>
          <w:p>
            <w:pPr>
              <w:pStyle w:val="TableParagraph"/>
              <w:spacing w:before="7"/>
              <w:ind w:left="124"/>
              <w:rPr>
                <w:sz w:val="21"/>
              </w:rPr>
            </w:pPr>
            <w:r>
              <w:rPr>
                <w:sz w:val="21"/>
              </w:rPr>
              <w:t>四、您在指定和变更身故保险金受益人时，必须经被保险人同意。</w:t>
            </w:r>
          </w:p>
          <w:p>
            <w:pPr>
              <w:pStyle w:val="TableParagraph"/>
              <w:spacing w:line="273" w:lineRule="auto" w:before="36"/>
              <w:ind w:left="544" w:right="102" w:hanging="421"/>
              <w:rPr>
                <w:sz w:val="21"/>
              </w:rPr>
            </w:pPr>
            <w:r>
              <w:rPr>
                <w:spacing w:val="-6"/>
                <w:sz w:val="21"/>
              </w:rPr>
              <w:t>五、被保险人身故后，遇有下列情形之一的，保险金作为被保险人的遗产，由我</w:t>
            </w:r>
            <w:r>
              <w:rPr>
                <w:spacing w:val="-4"/>
                <w:sz w:val="21"/>
              </w:rPr>
              <w:t>们依照《中华人民共和国继承法》的规定履行给付保险金的义务：</w:t>
            </w:r>
          </w:p>
          <w:p>
            <w:pPr>
              <w:pStyle w:val="TableParagraph"/>
              <w:spacing w:before="7"/>
              <w:ind w:left="544"/>
              <w:rPr>
                <w:sz w:val="21"/>
              </w:rPr>
            </w:pPr>
            <w:r>
              <w:rPr>
                <w:sz w:val="21"/>
              </w:rPr>
              <w:t>(一) 没有指定受益人，或者受益人指定不明无法确定的；</w:t>
            </w:r>
          </w:p>
          <w:p>
            <w:pPr>
              <w:pStyle w:val="TableParagraph"/>
              <w:spacing w:before="37"/>
              <w:ind w:left="544"/>
              <w:rPr>
                <w:sz w:val="21"/>
              </w:rPr>
            </w:pPr>
            <w:r>
              <w:rPr>
                <w:sz w:val="21"/>
              </w:rPr>
              <w:t>(二) 受益人先于被保险人身故，没有其他受益人的；</w:t>
            </w:r>
          </w:p>
          <w:p>
            <w:pPr>
              <w:pStyle w:val="TableParagraph"/>
              <w:spacing w:before="37"/>
              <w:ind w:left="544"/>
              <w:rPr>
                <w:sz w:val="21"/>
              </w:rPr>
            </w:pPr>
            <w:r>
              <w:rPr>
                <w:sz w:val="21"/>
              </w:rPr>
              <w:t>(三) 受益人依法丧失受益权或放弃受益权，没有其他受益人的。</w:t>
            </w:r>
          </w:p>
          <w:p>
            <w:pPr>
              <w:pStyle w:val="TableParagraph"/>
              <w:spacing w:line="273" w:lineRule="auto" w:before="37"/>
              <w:ind w:left="544" w:right="58" w:hanging="421"/>
              <w:rPr>
                <w:sz w:val="21"/>
              </w:rPr>
            </w:pPr>
            <w:r>
              <w:rPr>
                <w:sz w:val="21"/>
              </w:rPr>
              <w:t>六、受益人与被保险人在同一事件中身故，且无法确定身故先后顺序的，推定受益人先于被保险人身故。</w:t>
            </w:r>
          </w:p>
          <w:p>
            <w:pPr>
              <w:pStyle w:val="TableParagraph"/>
              <w:spacing w:line="273" w:lineRule="auto" w:before="7"/>
              <w:ind w:left="544" w:right="-15" w:hanging="421"/>
              <w:rPr>
                <w:sz w:val="21"/>
              </w:rPr>
            </w:pPr>
            <w:r>
              <w:rPr>
                <w:spacing w:val="-11"/>
                <w:sz w:val="21"/>
              </w:rPr>
              <w:t>七、受益人故意造成被保险人身故、伤残、疾病的，或故意杀害被保险人未遂的， </w:t>
            </w:r>
            <w:r>
              <w:rPr>
                <w:spacing w:val="-6"/>
                <w:sz w:val="21"/>
              </w:rPr>
              <w:t>该受益人丧失受益权。</w:t>
            </w:r>
          </w:p>
          <w:p>
            <w:pPr>
              <w:pStyle w:val="TableParagraph"/>
              <w:spacing w:line="273" w:lineRule="auto" w:before="7"/>
              <w:ind w:left="544" w:right="102" w:hanging="421"/>
              <w:rPr>
                <w:sz w:val="21"/>
              </w:rPr>
            </w:pPr>
            <w:r>
              <w:rPr>
                <w:spacing w:val="-7"/>
                <w:sz w:val="21"/>
              </w:rPr>
              <w:t>八、除另有约定外，轻症疾病保险金、重大疾病保险金、全残保险金、疾病终末</w:t>
            </w:r>
            <w:r>
              <w:rPr>
                <w:spacing w:val="-3"/>
                <w:sz w:val="21"/>
              </w:rPr>
              <w:t>期保险金、轻症疾病豁免保险费的受益人为被保险人本人。</w:t>
            </w:r>
          </w:p>
        </w:tc>
      </w:tr>
      <w:tr>
        <w:trPr>
          <w:trHeight w:val="1877" w:hRule="atLeast"/>
        </w:trPr>
        <w:tc>
          <w:tcPr>
            <w:tcW w:w="661" w:type="dxa"/>
          </w:tcPr>
          <w:p>
            <w:pPr>
              <w:pStyle w:val="TableParagraph"/>
              <w:spacing w:before="142"/>
              <w:ind w:left="107"/>
              <w:rPr>
                <w:b/>
                <w:sz w:val="21"/>
              </w:rPr>
            </w:pPr>
            <w:r>
              <w:rPr>
                <w:b/>
                <w:sz w:val="21"/>
              </w:rPr>
              <w:t>3.2</w:t>
            </w:r>
          </w:p>
        </w:tc>
        <w:tc>
          <w:tcPr>
            <w:tcW w:w="2040" w:type="dxa"/>
          </w:tcPr>
          <w:p>
            <w:pPr>
              <w:pStyle w:val="TableParagraph"/>
              <w:spacing w:before="142"/>
              <w:ind w:left="237"/>
              <w:rPr>
                <w:b/>
                <w:sz w:val="21"/>
              </w:rPr>
            </w:pPr>
            <w:r>
              <w:rPr>
                <w:b/>
                <w:sz w:val="21"/>
              </w:rPr>
              <w:t>保险事故通知</w:t>
            </w:r>
          </w:p>
        </w:tc>
        <w:tc>
          <w:tcPr>
            <w:tcW w:w="7548" w:type="dxa"/>
          </w:tcPr>
          <w:p>
            <w:pPr>
              <w:pStyle w:val="TableParagraph"/>
              <w:spacing w:line="266" w:lineRule="auto" w:before="130"/>
              <w:ind w:left="124"/>
              <w:rPr>
                <w:sz w:val="21"/>
              </w:rPr>
            </w:pPr>
            <w:r>
              <w:rPr>
                <w:spacing w:val="-4"/>
                <w:sz w:val="21"/>
              </w:rPr>
              <w:t>您、被保险人或受益人应于知道保险事故发生之日起 </w:t>
            </w:r>
            <w:r>
              <w:rPr>
                <w:sz w:val="21"/>
              </w:rPr>
              <w:t>10</w:t>
            </w:r>
            <w:r>
              <w:rPr>
                <w:spacing w:val="-6"/>
                <w:sz w:val="21"/>
              </w:rPr>
              <w:t> 日内通知我们。</w:t>
            </w:r>
            <w:r>
              <w:rPr>
                <w:rFonts w:ascii="黑体" w:eastAsia="黑体" w:hint="eastAsia"/>
                <w:b/>
                <w:i/>
                <w:sz w:val="22"/>
              </w:rPr>
              <w:t>若故意</w:t>
            </w:r>
            <w:r>
              <w:rPr>
                <w:rFonts w:ascii="黑体" w:eastAsia="黑体" w:hint="eastAsia"/>
                <w:b/>
                <w:i/>
                <w:spacing w:val="-12"/>
                <w:w w:val="95"/>
                <w:sz w:val="22"/>
              </w:rPr>
              <w:t>或因重大过失未及时通知，致使保险事故的性质、原因、损失程度等难以确定的， </w:t>
            </w:r>
            <w:r>
              <w:rPr>
                <w:rFonts w:ascii="黑体" w:eastAsia="黑体" w:hint="eastAsia"/>
                <w:b/>
                <w:i/>
                <w:spacing w:val="-11"/>
                <w:w w:val="95"/>
                <w:sz w:val="22"/>
              </w:rPr>
              <w:t>我们对无法确定的部分，不承担给付保险金的责任</w:t>
            </w:r>
            <w:r>
              <w:rPr>
                <w:spacing w:val="-7"/>
                <w:w w:val="95"/>
                <w:sz w:val="21"/>
              </w:rPr>
              <w:t>，但我们通过其他途径已经及 </w:t>
            </w:r>
            <w:r>
              <w:rPr>
                <w:sz w:val="21"/>
              </w:rPr>
              <w:t>时知道或应当及时知道保险事故发生或虽未及时通知但不影响我们确定保险事故</w:t>
            </w:r>
            <w:r>
              <w:rPr>
                <w:spacing w:val="-3"/>
                <w:sz w:val="21"/>
              </w:rPr>
              <w:t>的性质、原因、损失程度的除外。</w:t>
            </w:r>
          </w:p>
        </w:tc>
      </w:tr>
      <w:tr>
        <w:trPr>
          <w:trHeight w:val="1248" w:hRule="atLeast"/>
        </w:trPr>
        <w:tc>
          <w:tcPr>
            <w:tcW w:w="661" w:type="dxa"/>
          </w:tcPr>
          <w:p>
            <w:pPr>
              <w:pStyle w:val="TableParagraph"/>
              <w:spacing w:before="137"/>
              <w:ind w:left="107"/>
              <w:rPr>
                <w:b/>
                <w:sz w:val="21"/>
              </w:rPr>
            </w:pPr>
            <w:r>
              <w:rPr>
                <w:b/>
                <w:sz w:val="21"/>
              </w:rPr>
              <w:t>3.3</w:t>
            </w:r>
          </w:p>
        </w:tc>
        <w:tc>
          <w:tcPr>
            <w:tcW w:w="2040" w:type="dxa"/>
          </w:tcPr>
          <w:p>
            <w:pPr>
              <w:pStyle w:val="TableParagraph"/>
              <w:spacing w:before="137"/>
              <w:ind w:left="237"/>
              <w:rPr>
                <w:b/>
                <w:sz w:val="21"/>
              </w:rPr>
            </w:pPr>
            <w:r>
              <w:rPr>
                <w:b/>
                <w:sz w:val="21"/>
              </w:rPr>
              <w:t>保险金申请</w:t>
            </w:r>
          </w:p>
        </w:tc>
        <w:tc>
          <w:tcPr>
            <w:tcW w:w="7548" w:type="dxa"/>
          </w:tcPr>
          <w:p>
            <w:pPr>
              <w:pStyle w:val="TableParagraph"/>
              <w:spacing w:line="273" w:lineRule="auto" w:before="137"/>
              <w:ind w:left="544" w:right="102" w:hanging="421"/>
              <w:jc w:val="both"/>
              <w:rPr>
                <w:sz w:val="21"/>
              </w:rPr>
            </w:pPr>
            <w:r>
              <w:rPr>
                <w:spacing w:val="-6"/>
                <w:sz w:val="21"/>
              </w:rPr>
              <w:t>一、在本合同有效期间内，若发生符合本合同约定的保险金给付情形，受益人或被保险人的继承人可向我们申请给付保险金，但应当按照下列约定的程序和</w:t>
            </w:r>
            <w:r>
              <w:rPr>
                <w:spacing w:val="-2"/>
                <w:sz w:val="21"/>
              </w:rPr>
              <w:t>条件进行：</w:t>
            </w:r>
          </w:p>
        </w:tc>
      </w:tr>
      <w:tr>
        <w:trPr>
          <w:trHeight w:val="2496" w:hRule="atLeast"/>
        </w:trPr>
        <w:tc>
          <w:tcPr>
            <w:tcW w:w="661" w:type="dxa"/>
          </w:tcPr>
          <w:p>
            <w:pPr>
              <w:pStyle w:val="TableParagraph"/>
              <w:ind w:left="0"/>
              <w:rPr>
                <w:rFonts w:ascii="Times New Roman"/>
                <w:sz w:val="20"/>
              </w:rPr>
            </w:pPr>
          </w:p>
        </w:tc>
        <w:tc>
          <w:tcPr>
            <w:tcW w:w="2040" w:type="dxa"/>
          </w:tcPr>
          <w:p>
            <w:pPr>
              <w:pStyle w:val="TableParagraph"/>
              <w:spacing w:line="184" w:lineRule="auto" w:before="145"/>
              <w:ind w:left="237" w:right="118"/>
              <w:rPr>
                <w:rFonts w:ascii="Microsoft JhengHei" w:eastAsia="Microsoft JhengHei" w:hint="eastAsia"/>
                <w:b/>
                <w:sz w:val="24"/>
              </w:rPr>
            </w:pPr>
            <w:r>
              <w:rPr>
                <w:rFonts w:ascii="Microsoft JhengHei" w:eastAsia="Microsoft JhengHei" w:hint="eastAsia"/>
                <w:b/>
                <w:sz w:val="24"/>
              </w:rPr>
              <w:t>轻症疾病保险 金、重大疾病保险金、疾病终末期保险金、轻症疾病豁免保险费申请</w:t>
            </w:r>
          </w:p>
        </w:tc>
        <w:tc>
          <w:tcPr>
            <w:tcW w:w="7548" w:type="dxa"/>
          </w:tcPr>
          <w:p>
            <w:pPr>
              <w:pStyle w:val="TableParagraph"/>
              <w:spacing w:line="273" w:lineRule="auto" w:before="137"/>
              <w:ind w:right="102"/>
              <w:rPr>
                <w:sz w:val="21"/>
              </w:rPr>
            </w:pPr>
            <w:r>
              <w:rPr>
                <w:spacing w:val="-6"/>
                <w:sz w:val="21"/>
              </w:rPr>
              <w:t>申请轻症疾病保险金、重大疾病保险金、疾病终末期保险金、轻症疾病豁免保险</w:t>
            </w:r>
            <w:r>
              <w:rPr>
                <w:spacing w:val="-4"/>
                <w:sz w:val="21"/>
              </w:rPr>
              <w:t>费的，申请人须填写保险金给付申请书，并向我们提供下列资料：</w:t>
            </w:r>
          </w:p>
          <w:p>
            <w:pPr>
              <w:pStyle w:val="TableParagraph"/>
              <w:spacing w:before="7"/>
              <w:ind w:left="124"/>
              <w:rPr>
                <w:sz w:val="21"/>
              </w:rPr>
            </w:pPr>
            <w:r>
              <w:rPr>
                <w:sz w:val="21"/>
              </w:rPr>
              <w:t>(一) 保险合同；</w:t>
            </w:r>
          </w:p>
          <w:p>
            <w:pPr>
              <w:pStyle w:val="TableParagraph"/>
              <w:spacing w:before="36"/>
              <w:ind w:left="124"/>
              <w:rPr>
                <w:sz w:val="21"/>
              </w:rPr>
            </w:pPr>
            <w:r>
              <w:rPr>
                <w:sz w:val="21"/>
              </w:rPr>
              <w:t>(二) 申请人的有效身份证件；</w:t>
            </w:r>
          </w:p>
          <w:p>
            <w:pPr>
              <w:pStyle w:val="TableParagraph"/>
              <w:spacing w:line="273" w:lineRule="auto" w:before="36"/>
              <w:ind w:left="556" w:right="110" w:hanging="433"/>
              <w:rPr>
                <w:sz w:val="21"/>
              </w:rPr>
            </w:pPr>
            <w:r>
              <w:rPr>
                <w:sz w:val="21"/>
              </w:rPr>
              <w:t>(三) 由</w:t>
            </w:r>
            <w:r>
              <w:rPr>
                <w:b/>
                <w:sz w:val="21"/>
              </w:rPr>
              <w:t>医疗机构</w:t>
            </w:r>
            <w:r>
              <w:rPr>
                <w:sz w:val="21"/>
              </w:rPr>
              <w:t>出具的可证明被保险人所患疾病的诊断证明和诊断所患疾病必需的检查报告；</w:t>
            </w:r>
          </w:p>
          <w:p>
            <w:pPr>
              <w:pStyle w:val="TableParagraph"/>
              <w:spacing w:before="7"/>
              <w:ind w:left="124"/>
              <w:rPr>
                <w:sz w:val="21"/>
              </w:rPr>
            </w:pPr>
            <w:r>
              <w:rPr>
                <w:sz w:val="21"/>
              </w:rPr>
              <w:t>(四) 所能提供的与确认保险事故的性质、原因、伤害程度等有关的其他资料。</w:t>
            </w:r>
          </w:p>
        </w:tc>
      </w:tr>
      <w:tr>
        <w:trPr>
          <w:trHeight w:val="2289" w:hRule="atLeast"/>
        </w:trPr>
        <w:tc>
          <w:tcPr>
            <w:tcW w:w="661" w:type="dxa"/>
          </w:tcPr>
          <w:p>
            <w:pPr>
              <w:pStyle w:val="TableParagraph"/>
              <w:ind w:left="0"/>
              <w:rPr>
                <w:rFonts w:ascii="Times New Roman"/>
                <w:sz w:val="20"/>
              </w:rPr>
            </w:pPr>
          </w:p>
        </w:tc>
        <w:tc>
          <w:tcPr>
            <w:tcW w:w="2040" w:type="dxa"/>
          </w:tcPr>
          <w:p>
            <w:pPr>
              <w:pStyle w:val="TableParagraph"/>
              <w:spacing w:before="170"/>
              <w:ind w:left="237"/>
              <w:rPr>
                <w:rFonts w:ascii="Microsoft JhengHei" w:eastAsia="Microsoft JhengHei" w:hint="eastAsia"/>
                <w:b/>
                <w:sz w:val="24"/>
              </w:rPr>
            </w:pPr>
            <w:r>
              <w:rPr>
                <w:rFonts w:ascii="Microsoft JhengHei" w:eastAsia="Microsoft JhengHei" w:hint="eastAsia"/>
                <w:b/>
                <w:sz w:val="24"/>
              </w:rPr>
              <w:t>身故保险金申请</w:t>
            </w:r>
          </w:p>
        </w:tc>
        <w:tc>
          <w:tcPr>
            <w:tcW w:w="7548" w:type="dxa"/>
          </w:tcPr>
          <w:p>
            <w:pPr>
              <w:pStyle w:val="TableParagraph"/>
              <w:spacing w:before="137"/>
              <w:rPr>
                <w:sz w:val="21"/>
              </w:rPr>
            </w:pPr>
            <w:r>
              <w:rPr>
                <w:sz w:val="21"/>
              </w:rPr>
              <w:t>申请身故保险金的，申请人须填写保险金给付申请书，并向我们提供下列资料：</w:t>
            </w:r>
          </w:p>
          <w:p>
            <w:pPr>
              <w:pStyle w:val="TableParagraph"/>
              <w:spacing w:before="37"/>
              <w:ind w:left="124"/>
              <w:rPr>
                <w:sz w:val="21"/>
              </w:rPr>
            </w:pPr>
            <w:r>
              <w:rPr>
                <w:sz w:val="21"/>
              </w:rPr>
              <w:t>(一) 保险合同；</w:t>
            </w:r>
          </w:p>
          <w:p>
            <w:pPr>
              <w:pStyle w:val="TableParagraph"/>
              <w:spacing w:before="37"/>
              <w:ind w:left="124"/>
              <w:rPr>
                <w:sz w:val="21"/>
              </w:rPr>
            </w:pPr>
            <w:r>
              <w:rPr>
                <w:sz w:val="21"/>
              </w:rPr>
              <w:t>(二) 申请人的有效身份证件；</w:t>
            </w:r>
          </w:p>
          <w:p>
            <w:pPr>
              <w:pStyle w:val="TableParagraph"/>
              <w:spacing w:line="273" w:lineRule="auto" w:before="37"/>
              <w:ind w:left="590" w:right="102" w:hanging="467"/>
              <w:rPr>
                <w:sz w:val="21"/>
              </w:rPr>
            </w:pPr>
            <w:r>
              <w:rPr>
                <w:spacing w:val="-10"/>
                <w:sz w:val="21"/>
              </w:rPr>
              <w:t>(三) 国家卫生行政部门认定的医疗机构、公安部门或其他相关机构出具的被保险</w:t>
            </w:r>
            <w:r>
              <w:rPr>
                <w:spacing w:val="-5"/>
                <w:sz w:val="21"/>
              </w:rPr>
              <w:t>人死亡证明；</w:t>
            </w:r>
          </w:p>
          <w:p>
            <w:pPr>
              <w:pStyle w:val="TableParagraph"/>
              <w:spacing w:before="8"/>
              <w:ind w:left="124"/>
              <w:rPr>
                <w:sz w:val="21"/>
              </w:rPr>
            </w:pPr>
            <w:r>
              <w:rPr>
                <w:sz w:val="21"/>
              </w:rPr>
              <w:t>(四) 被保险人因意外伤害导致身故的，需提供相关意外伤害的证明和资料；</w:t>
            </w:r>
          </w:p>
          <w:p>
            <w:pPr>
              <w:pStyle w:val="TableParagraph"/>
              <w:spacing w:line="261" w:lineRule="exact" w:before="37"/>
              <w:ind w:left="124"/>
              <w:rPr>
                <w:sz w:val="21"/>
              </w:rPr>
            </w:pPr>
            <w:r>
              <w:rPr>
                <w:sz w:val="21"/>
              </w:rPr>
              <w:t>(五) 被保险人的户籍注销证明；</w:t>
            </w:r>
          </w:p>
        </w:tc>
      </w:tr>
    </w:tbl>
    <w:p>
      <w:pPr>
        <w:spacing w:after="0" w:line="261" w:lineRule="exact"/>
        <w:rPr>
          <w:sz w:val="21"/>
        </w:rPr>
        <w:sectPr>
          <w:pgSz w:w="11910" w:h="16840"/>
          <w:pgMar w:header="0" w:footer="353" w:top="112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0"/>
        <w:gridCol w:w="7549"/>
      </w:tblGrid>
      <w:tr>
        <w:trPr>
          <w:trHeight w:val="417" w:hRule="atLeast"/>
        </w:trPr>
        <w:tc>
          <w:tcPr>
            <w:tcW w:w="682" w:type="dxa"/>
          </w:tcPr>
          <w:p>
            <w:pPr>
              <w:pStyle w:val="TableParagraph"/>
              <w:ind w:left="0"/>
              <w:rPr>
                <w:rFonts w:ascii="Times New Roman"/>
                <w:sz w:val="20"/>
              </w:rPr>
            </w:pPr>
          </w:p>
        </w:tc>
        <w:tc>
          <w:tcPr>
            <w:tcW w:w="2020" w:type="dxa"/>
          </w:tcPr>
          <w:p>
            <w:pPr>
              <w:pStyle w:val="TableParagraph"/>
              <w:ind w:left="0"/>
              <w:rPr>
                <w:rFonts w:ascii="Times New Roman"/>
                <w:sz w:val="20"/>
              </w:rPr>
            </w:pPr>
          </w:p>
        </w:tc>
        <w:tc>
          <w:tcPr>
            <w:tcW w:w="7549" w:type="dxa"/>
          </w:tcPr>
          <w:p>
            <w:pPr>
              <w:pStyle w:val="TableParagraph"/>
              <w:spacing w:line="211" w:lineRule="exact"/>
              <w:ind w:left="123"/>
              <w:rPr>
                <w:sz w:val="21"/>
              </w:rPr>
            </w:pPr>
            <w:r>
              <w:rPr>
                <w:sz w:val="21"/>
              </w:rPr>
              <w:t>(六) 所能提供的与确认保险事故的性质、原因等有关的其他资料。</w:t>
            </w:r>
          </w:p>
        </w:tc>
      </w:tr>
      <w:tr>
        <w:trPr>
          <w:trHeight w:val="2496" w:hRule="atLeast"/>
        </w:trPr>
        <w:tc>
          <w:tcPr>
            <w:tcW w:w="682" w:type="dxa"/>
          </w:tcPr>
          <w:p>
            <w:pPr>
              <w:pStyle w:val="TableParagraph"/>
              <w:ind w:left="0"/>
              <w:rPr>
                <w:rFonts w:ascii="Times New Roman"/>
                <w:sz w:val="20"/>
              </w:rPr>
            </w:pPr>
          </w:p>
        </w:tc>
        <w:tc>
          <w:tcPr>
            <w:tcW w:w="2020" w:type="dxa"/>
          </w:tcPr>
          <w:p>
            <w:pPr>
              <w:pStyle w:val="TableParagraph"/>
              <w:spacing w:before="175"/>
              <w:ind w:left="216"/>
              <w:rPr>
                <w:rFonts w:ascii="Microsoft JhengHei" w:eastAsia="Microsoft JhengHei" w:hint="eastAsia"/>
                <w:b/>
                <w:sz w:val="24"/>
              </w:rPr>
            </w:pPr>
            <w:r>
              <w:rPr>
                <w:rFonts w:ascii="Microsoft JhengHei" w:eastAsia="Microsoft JhengHei" w:hint="eastAsia"/>
                <w:b/>
                <w:sz w:val="24"/>
              </w:rPr>
              <w:t>全残保险金申请</w:t>
            </w:r>
          </w:p>
        </w:tc>
        <w:tc>
          <w:tcPr>
            <w:tcW w:w="7549" w:type="dxa"/>
          </w:tcPr>
          <w:p>
            <w:pPr>
              <w:pStyle w:val="TableParagraph"/>
              <w:spacing w:before="143"/>
              <w:ind w:left="120"/>
              <w:rPr>
                <w:sz w:val="21"/>
              </w:rPr>
            </w:pPr>
            <w:r>
              <w:rPr>
                <w:sz w:val="21"/>
              </w:rPr>
              <w:t>申请全残保险金的，申请人须填写保险金给付申请书，并向我们提供下列资料：</w:t>
            </w:r>
          </w:p>
          <w:p>
            <w:pPr>
              <w:pStyle w:val="TableParagraph"/>
              <w:spacing w:before="37"/>
              <w:ind w:left="123"/>
              <w:rPr>
                <w:sz w:val="21"/>
              </w:rPr>
            </w:pPr>
            <w:r>
              <w:rPr>
                <w:sz w:val="21"/>
              </w:rPr>
              <w:t>(一)保险合同；</w:t>
            </w:r>
          </w:p>
          <w:p>
            <w:pPr>
              <w:pStyle w:val="TableParagraph"/>
              <w:spacing w:before="37"/>
              <w:ind w:left="123"/>
              <w:rPr>
                <w:sz w:val="21"/>
              </w:rPr>
            </w:pPr>
            <w:r>
              <w:rPr>
                <w:sz w:val="21"/>
              </w:rPr>
              <w:t>(二)申请人的有效身份证件；</w:t>
            </w:r>
          </w:p>
          <w:p>
            <w:pPr>
              <w:pStyle w:val="TableParagraph"/>
              <w:spacing w:line="273" w:lineRule="auto" w:before="37"/>
              <w:ind w:left="543" w:right="104" w:hanging="421"/>
              <w:rPr>
                <w:sz w:val="21"/>
              </w:rPr>
            </w:pPr>
            <w:r>
              <w:rPr>
                <w:sz w:val="21"/>
              </w:rPr>
              <w:t>(三)国家有关机关认可或具有合法资质的伤残鉴定机构出具的被保险人全残鉴定证明；</w:t>
            </w:r>
          </w:p>
          <w:p>
            <w:pPr>
              <w:pStyle w:val="TableParagraph"/>
              <w:spacing w:before="7"/>
              <w:ind w:left="123"/>
              <w:rPr>
                <w:sz w:val="21"/>
              </w:rPr>
            </w:pPr>
            <w:r>
              <w:rPr>
                <w:sz w:val="21"/>
              </w:rPr>
              <w:t>(四)被保险人因意外伤害导致全残的，需提供相关意外伤害的证明和资料；</w:t>
            </w:r>
          </w:p>
          <w:p>
            <w:pPr>
              <w:pStyle w:val="TableParagraph"/>
              <w:spacing w:before="36"/>
              <w:ind w:left="123"/>
              <w:rPr>
                <w:sz w:val="21"/>
              </w:rPr>
            </w:pPr>
            <w:r>
              <w:rPr>
                <w:sz w:val="21"/>
              </w:rPr>
              <w:t>(五)所能提供的与确认保险事故的性质、原因等有关的其他资料。</w:t>
            </w:r>
          </w:p>
        </w:tc>
      </w:tr>
      <w:tr>
        <w:trPr>
          <w:trHeight w:val="780" w:hRule="atLeast"/>
        </w:trPr>
        <w:tc>
          <w:tcPr>
            <w:tcW w:w="682" w:type="dxa"/>
          </w:tcPr>
          <w:p>
            <w:pPr>
              <w:pStyle w:val="TableParagraph"/>
              <w:ind w:left="0"/>
              <w:rPr>
                <w:rFonts w:ascii="Times New Roman"/>
                <w:sz w:val="20"/>
              </w:rPr>
            </w:pPr>
          </w:p>
        </w:tc>
        <w:tc>
          <w:tcPr>
            <w:tcW w:w="2020" w:type="dxa"/>
          </w:tcPr>
          <w:p>
            <w:pPr>
              <w:pStyle w:val="TableParagraph"/>
              <w:ind w:left="0"/>
              <w:rPr>
                <w:rFonts w:ascii="Times New Roman"/>
                <w:sz w:val="20"/>
              </w:rPr>
            </w:pPr>
          </w:p>
        </w:tc>
        <w:tc>
          <w:tcPr>
            <w:tcW w:w="7549" w:type="dxa"/>
          </w:tcPr>
          <w:p>
            <w:pPr>
              <w:pStyle w:val="TableParagraph"/>
              <w:spacing w:line="273" w:lineRule="auto" w:before="142"/>
              <w:ind w:left="543" w:right="104" w:hanging="421"/>
              <w:rPr>
                <w:sz w:val="21"/>
              </w:rPr>
            </w:pPr>
            <w:r>
              <w:rPr>
                <w:spacing w:val="-6"/>
                <w:sz w:val="21"/>
              </w:rPr>
              <w:t>二、保险金作为被保险人遗产时，申请人还须提供可证明合法继承权的相关权利文件。</w:t>
            </w:r>
          </w:p>
        </w:tc>
      </w:tr>
      <w:tr>
        <w:trPr>
          <w:trHeight w:val="473" w:hRule="atLeast"/>
        </w:trPr>
        <w:tc>
          <w:tcPr>
            <w:tcW w:w="682" w:type="dxa"/>
          </w:tcPr>
          <w:p>
            <w:pPr>
              <w:pStyle w:val="TableParagraph"/>
              <w:ind w:left="0"/>
              <w:rPr>
                <w:rFonts w:ascii="Times New Roman"/>
                <w:sz w:val="20"/>
              </w:rPr>
            </w:pPr>
          </w:p>
        </w:tc>
        <w:tc>
          <w:tcPr>
            <w:tcW w:w="2020" w:type="dxa"/>
          </w:tcPr>
          <w:p>
            <w:pPr>
              <w:pStyle w:val="TableParagraph"/>
              <w:ind w:left="0"/>
              <w:rPr>
                <w:rFonts w:ascii="Times New Roman"/>
                <w:sz w:val="20"/>
              </w:rPr>
            </w:pPr>
          </w:p>
        </w:tc>
        <w:tc>
          <w:tcPr>
            <w:tcW w:w="7549" w:type="dxa"/>
          </w:tcPr>
          <w:p>
            <w:pPr>
              <w:pStyle w:val="TableParagraph"/>
              <w:spacing w:line="261" w:lineRule="exact"/>
              <w:ind w:left="123"/>
              <w:rPr>
                <w:sz w:val="21"/>
              </w:rPr>
            </w:pPr>
            <w:r>
              <w:rPr>
                <w:sz w:val="21"/>
              </w:rPr>
              <w:t>三、上述申请资料不完整的，我们将及时一次性通知申请人补充提供有关资料。</w:t>
            </w:r>
          </w:p>
        </w:tc>
      </w:tr>
      <w:tr>
        <w:trPr>
          <w:trHeight w:val="3125" w:hRule="atLeast"/>
        </w:trPr>
        <w:tc>
          <w:tcPr>
            <w:tcW w:w="682" w:type="dxa"/>
          </w:tcPr>
          <w:p>
            <w:pPr>
              <w:pStyle w:val="TableParagraph"/>
              <w:spacing w:before="147"/>
              <w:ind w:left="107"/>
              <w:rPr>
                <w:b/>
                <w:sz w:val="21"/>
              </w:rPr>
            </w:pPr>
            <w:r>
              <w:rPr>
                <w:b/>
                <w:sz w:val="21"/>
              </w:rPr>
              <w:t>3.4</w:t>
            </w:r>
          </w:p>
        </w:tc>
        <w:tc>
          <w:tcPr>
            <w:tcW w:w="2020" w:type="dxa"/>
          </w:tcPr>
          <w:p>
            <w:pPr>
              <w:pStyle w:val="TableParagraph"/>
              <w:spacing w:before="147"/>
              <w:ind w:left="216"/>
              <w:rPr>
                <w:b/>
                <w:sz w:val="21"/>
              </w:rPr>
            </w:pPr>
            <w:r>
              <w:rPr>
                <w:b/>
                <w:sz w:val="21"/>
              </w:rPr>
              <w:t>宣告死亡的处理</w:t>
            </w:r>
          </w:p>
        </w:tc>
        <w:tc>
          <w:tcPr>
            <w:tcW w:w="7549" w:type="dxa"/>
          </w:tcPr>
          <w:p>
            <w:pPr>
              <w:pStyle w:val="TableParagraph"/>
              <w:spacing w:line="273" w:lineRule="auto" w:before="147"/>
              <w:ind w:left="543" w:right="107" w:hanging="423"/>
              <w:jc w:val="both"/>
              <w:rPr>
                <w:b/>
                <w:sz w:val="21"/>
              </w:rPr>
            </w:pPr>
            <w:r>
              <w:rPr>
                <w:b/>
                <w:spacing w:val="-7"/>
                <w:sz w:val="21"/>
              </w:rPr>
              <w:t>一、若被保险人在本合同有效期间内被人民法院宣告死亡，保险金申请人在申请</w:t>
            </w:r>
            <w:r>
              <w:rPr>
                <w:b/>
                <w:sz w:val="21"/>
              </w:rPr>
              <w:t>身故保险金时还须提供人民法院出具的具有最终法律效力的宣告死亡证明文件。</w:t>
            </w:r>
          </w:p>
          <w:p>
            <w:pPr>
              <w:pStyle w:val="TableParagraph"/>
              <w:spacing w:line="273" w:lineRule="auto" w:before="7"/>
              <w:ind w:left="543" w:right="107" w:hanging="423"/>
              <w:jc w:val="both"/>
              <w:rPr>
                <w:b/>
                <w:sz w:val="21"/>
              </w:rPr>
            </w:pPr>
            <w:r>
              <w:rPr>
                <w:b/>
                <w:spacing w:val="-7"/>
                <w:sz w:val="21"/>
              </w:rPr>
              <w:t>二、被保险人在本合同有效期间内被人民法院宣告死亡的，我们将以人民法院出</w:t>
            </w:r>
            <w:r>
              <w:rPr>
                <w:b/>
                <w:sz w:val="21"/>
              </w:rPr>
              <w:t>具的具有最终法律效力的宣告死亡证明文件所确定的死亡日期为被保险人身故日。</w:t>
            </w:r>
          </w:p>
          <w:p>
            <w:pPr>
              <w:pStyle w:val="TableParagraph"/>
              <w:spacing w:line="273" w:lineRule="auto" w:before="7"/>
              <w:ind w:left="469" w:right="107" w:hanging="347"/>
              <w:jc w:val="both"/>
              <w:rPr>
                <w:b/>
                <w:sz w:val="21"/>
              </w:rPr>
            </w:pPr>
            <w:r>
              <w:rPr>
                <w:b/>
                <w:spacing w:val="-8"/>
                <w:sz w:val="21"/>
              </w:rPr>
              <w:t>三、若被保险人在人民法院宣告死亡之后重新出现或确知其没有死亡，保险金申请人应于知道或应当知道被保险人生还消息之日起 </w:t>
            </w:r>
            <w:r>
              <w:rPr>
                <w:b/>
                <w:sz w:val="21"/>
              </w:rPr>
              <w:t>30 日内将已领取的身故</w:t>
            </w:r>
            <w:r>
              <w:rPr>
                <w:b/>
                <w:spacing w:val="-2"/>
                <w:sz w:val="21"/>
              </w:rPr>
              <w:t>保险金一次性返还给我们。</w:t>
            </w:r>
          </w:p>
        </w:tc>
      </w:tr>
      <w:tr>
        <w:trPr>
          <w:trHeight w:val="3432" w:hRule="atLeast"/>
        </w:trPr>
        <w:tc>
          <w:tcPr>
            <w:tcW w:w="682" w:type="dxa"/>
          </w:tcPr>
          <w:p>
            <w:pPr>
              <w:pStyle w:val="TableParagraph"/>
              <w:spacing w:before="142"/>
              <w:ind w:left="107"/>
              <w:rPr>
                <w:b/>
                <w:sz w:val="21"/>
              </w:rPr>
            </w:pPr>
            <w:r>
              <w:rPr>
                <w:b/>
                <w:sz w:val="21"/>
              </w:rPr>
              <w:t>3.5</w:t>
            </w:r>
          </w:p>
        </w:tc>
        <w:tc>
          <w:tcPr>
            <w:tcW w:w="2020" w:type="dxa"/>
          </w:tcPr>
          <w:p>
            <w:pPr>
              <w:pStyle w:val="TableParagraph"/>
              <w:spacing w:before="142"/>
              <w:ind w:left="216"/>
              <w:rPr>
                <w:b/>
                <w:sz w:val="21"/>
              </w:rPr>
            </w:pPr>
            <w:r>
              <w:rPr>
                <w:b/>
                <w:sz w:val="21"/>
              </w:rPr>
              <w:t>保险金的给付</w:t>
            </w:r>
          </w:p>
        </w:tc>
        <w:tc>
          <w:tcPr>
            <w:tcW w:w="7549" w:type="dxa"/>
          </w:tcPr>
          <w:p>
            <w:pPr>
              <w:pStyle w:val="TableParagraph"/>
              <w:spacing w:before="142"/>
              <w:ind w:left="123"/>
              <w:rPr>
                <w:sz w:val="21"/>
              </w:rPr>
            </w:pPr>
            <w:r>
              <w:rPr>
                <w:spacing w:val="-6"/>
                <w:sz w:val="21"/>
              </w:rPr>
              <w:t>一、我们在收到保险金给付申请书及本合同约定的资料后，将在</w:t>
            </w:r>
            <w:r>
              <w:rPr>
                <w:sz w:val="21"/>
              </w:rPr>
              <w:t>5</w:t>
            </w:r>
            <w:r>
              <w:rPr>
                <w:spacing w:val="-7"/>
                <w:sz w:val="21"/>
              </w:rPr>
              <w:t> 日内作出核定；</w:t>
            </w:r>
          </w:p>
          <w:p>
            <w:pPr>
              <w:pStyle w:val="TableParagraph"/>
              <w:spacing w:before="36"/>
              <w:ind w:left="543"/>
              <w:rPr>
                <w:sz w:val="21"/>
              </w:rPr>
            </w:pPr>
            <w:r>
              <w:rPr>
                <w:sz w:val="21"/>
              </w:rPr>
              <w:t>情形复杂的，在 30 日内作出核定。对属于保险责任的，我们在与受益人达</w:t>
            </w:r>
          </w:p>
          <w:p>
            <w:pPr>
              <w:pStyle w:val="TableParagraph"/>
              <w:spacing w:before="37"/>
              <w:ind w:left="543"/>
              <w:rPr>
                <w:sz w:val="21"/>
              </w:rPr>
            </w:pPr>
            <w:r>
              <w:rPr>
                <w:sz w:val="21"/>
              </w:rPr>
              <w:t>成给付保险金的协议后 10 日内，履行给付保险金义务。</w:t>
            </w:r>
          </w:p>
          <w:p>
            <w:pPr>
              <w:pStyle w:val="TableParagraph"/>
              <w:spacing w:line="273" w:lineRule="auto" w:before="37"/>
              <w:ind w:left="543" w:right="104" w:hanging="421"/>
              <w:jc w:val="both"/>
              <w:rPr>
                <w:sz w:val="21"/>
              </w:rPr>
            </w:pPr>
            <w:r>
              <w:rPr>
                <w:spacing w:val="-6"/>
                <w:sz w:val="21"/>
              </w:rPr>
              <w:t>二、我们未及时履行前款规定义务的，除支付保险金外，应当赔偿受益人因此受</w:t>
            </w:r>
            <w:r>
              <w:rPr>
                <w:spacing w:val="-4"/>
                <w:sz w:val="21"/>
              </w:rPr>
              <w:t>到的损失。</w:t>
            </w:r>
          </w:p>
          <w:p>
            <w:pPr>
              <w:pStyle w:val="TableParagraph"/>
              <w:spacing w:line="273" w:lineRule="auto" w:before="7"/>
              <w:ind w:left="543" w:right="104" w:hanging="421"/>
              <w:jc w:val="both"/>
              <w:rPr>
                <w:sz w:val="21"/>
              </w:rPr>
            </w:pPr>
            <w:r>
              <w:rPr>
                <w:spacing w:val="-9"/>
                <w:sz w:val="21"/>
              </w:rPr>
              <w:t>三、对不属于保险责任的，我们自作出核定之日起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273" w:lineRule="auto" w:before="7"/>
              <w:ind w:left="543" w:right="104" w:hanging="421"/>
              <w:jc w:val="both"/>
              <w:rPr>
                <w:sz w:val="21"/>
              </w:rPr>
            </w:pPr>
            <w:r>
              <w:rPr>
                <w:spacing w:val="-3"/>
                <w:sz w:val="21"/>
              </w:rPr>
              <w:t>四、我们在收到保险金给付申请书及本合同约定的资料之日起 </w:t>
            </w:r>
            <w:r>
              <w:rPr>
                <w:sz w:val="21"/>
              </w:rPr>
              <w:t>60</w:t>
            </w:r>
            <w:r>
              <w:rPr>
                <w:spacing w:val="-3"/>
                <w:sz w:val="21"/>
              </w:rPr>
              <w:t> 日内，对给付</w:t>
            </w:r>
            <w:r>
              <w:rPr>
                <w:spacing w:val="-6"/>
                <w:sz w:val="21"/>
              </w:rPr>
              <w:t>保险金的数额不能确定的，根据已有资料可以确定的数额先予支付；我们最</w:t>
            </w:r>
            <w:r>
              <w:rPr>
                <w:spacing w:val="-4"/>
                <w:sz w:val="21"/>
              </w:rPr>
              <w:t>终确定给付保险金的数额后，再给付相应的差额。</w:t>
            </w:r>
          </w:p>
        </w:tc>
      </w:tr>
      <w:tr>
        <w:trPr>
          <w:trHeight w:val="961" w:hRule="atLeast"/>
        </w:trPr>
        <w:tc>
          <w:tcPr>
            <w:tcW w:w="682" w:type="dxa"/>
          </w:tcPr>
          <w:p>
            <w:pPr>
              <w:pStyle w:val="TableParagraph"/>
              <w:spacing w:before="142"/>
              <w:ind w:left="107"/>
              <w:rPr>
                <w:b/>
                <w:sz w:val="21"/>
              </w:rPr>
            </w:pPr>
            <w:r>
              <w:rPr>
                <w:b/>
                <w:sz w:val="21"/>
              </w:rPr>
              <w:t>3.6</w:t>
            </w:r>
          </w:p>
        </w:tc>
        <w:tc>
          <w:tcPr>
            <w:tcW w:w="2020" w:type="dxa"/>
          </w:tcPr>
          <w:p>
            <w:pPr>
              <w:pStyle w:val="TableParagraph"/>
              <w:spacing w:before="142"/>
              <w:ind w:left="216"/>
              <w:rPr>
                <w:b/>
                <w:sz w:val="21"/>
              </w:rPr>
            </w:pPr>
            <w:r>
              <w:rPr>
                <w:b/>
                <w:sz w:val="21"/>
              </w:rPr>
              <w:t>诉讼时效</w:t>
            </w:r>
          </w:p>
        </w:tc>
        <w:tc>
          <w:tcPr>
            <w:tcW w:w="7549" w:type="dxa"/>
          </w:tcPr>
          <w:p>
            <w:pPr>
              <w:pStyle w:val="TableParagraph"/>
              <w:spacing w:line="273" w:lineRule="auto" w:before="142"/>
              <w:ind w:left="123" w:right="108"/>
              <w:rPr>
                <w:sz w:val="21"/>
              </w:rPr>
            </w:pPr>
            <w:r>
              <w:rPr>
                <w:spacing w:val="-5"/>
                <w:sz w:val="21"/>
              </w:rPr>
              <w:t>申请人向我们请求给付保险金的诉讼时效期间为 </w:t>
            </w:r>
            <w:r>
              <w:rPr>
                <w:sz w:val="21"/>
              </w:rPr>
              <w:t>2</w:t>
            </w:r>
            <w:r>
              <w:rPr>
                <w:spacing w:val="-10"/>
                <w:sz w:val="21"/>
              </w:rPr>
              <w:t> 年，自其知道或应当知道保险</w:t>
            </w:r>
            <w:r>
              <w:rPr>
                <w:spacing w:val="-3"/>
                <w:sz w:val="21"/>
              </w:rPr>
              <w:t>事故发生之日起计算。</w:t>
            </w:r>
          </w:p>
        </w:tc>
      </w:tr>
      <w:tr>
        <w:trPr>
          <w:trHeight w:val="754" w:hRule="atLeast"/>
        </w:trPr>
        <w:tc>
          <w:tcPr>
            <w:tcW w:w="682"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2020" w:type="dxa"/>
            <w:tcBorders>
              <w:bottom w:val="single" w:sz="8" w:space="0" w:color="000000"/>
            </w:tcBorders>
          </w:tcPr>
          <w:p>
            <w:pPr>
              <w:pStyle w:val="TableParagraph"/>
              <w:spacing w:before="10"/>
              <w:ind w:left="0"/>
              <w:rPr>
                <w:sz w:val="18"/>
              </w:rPr>
            </w:pPr>
          </w:p>
          <w:p>
            <w:pPr>
              <w:pStyle w:val="TableParagraph"/>
              <w:ind w:left="216"/>
              <w:rPr>
                <w:b/>
                <w:sz w:val="24"/>
              </w:rPr>
            </w:pPr>
            <w:r>
              <w:rPr>
                <w:b/>
                <w:w w:val="95"/>
                <w:sz w:val="24"/>
              </w:rPr>
              <w:t>保险费的交纳</w:t>
            </w:r>
          </w:p>
        </w:tc>
        <w:tc>
          <w:tcPr>
            <w:tcW w:w="7549" w:type="dxa"/>
            <w:tcBorders>
              <w:bottom w:val="single" w:sz="8" w:space="0" w:color="000000"/>
            </w:tcBorders>
          </w:tcPr>
          <w:p>
            <w:pPr>
              <w:pStyle w:val="TableParagraph"/>
              <w:ind w:left="0"/>
              <w:rPr>
                <w:rFonts w:ascii="Times New Roman"/>
                <w:sz w:val="20"/>
              </w:rPr>
            </w:pPr>
          </w:p>
        </w:tc>
      </w:tr>
      <w:tr>
        <w:trPr>
          <w:trHeight w:val="1404" w:hRule="atLeast"/>
        </w:trPr>
        <w:tc>
          <w:tcPr>
            <w:tcW w:w="682"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4.1</w:t>
            </w:r>
          </w:p>
        </w:tc>
        <w:tc>
          <w:tcPr>
            <w:tcW w:w="2020" w:type="dxa"/>
            <w:tcBorders>
              <w:top w:val="single" w:sz="8" w:space="0" w:color="000000"/>
            </w:tcBorders>
          </w:tcPr>
          <w:p>
            <w:pPr>
              <w:pStyle w:val="TableParagraph"/>
              <w:spacing w:before="11"/>
              <w:ind w:left="0"/>
              <w:rPr>
                <w:sz w:val="22"/>
              </w:rPr>
            </w:pPr>
          </w:p>
          <w:p>
            <w:pPr>
              <w:pStyle w:val="TableParagraph"/>
              <w:ind w:left="216"/>
              <w:rPr>
                <w:b/>
                <w:sz w:val="21"/>
              </w:rPr>
            </w:pPr>
            <w:r>
              <w:rPr>
                <w:b/>
                <w:sz w:val="21"/>
              </w:rPr>
              <w:t>保险费的交纳</w:t>
            </w:r>
          </w:p>
        </w:tc>
        <w:tc>
          <w:tcPr>
            <w:tcW w:w="7549" w:type="dxa"/>
            <w:tcBorders>
              <w:top w:val="single" w:sz="8" w:space="0" w:color="000000"/>
            </w:tcBorders>
          </w:tcPr>
          <w:p>
            <w:pPr>
              <w:pStyle w:val="TableParagraph"/>
              <w:spacing w:before="11"/>
              <w:ind w:left="0"/>
              <w:rPr>
                <w:sz w:val="22"/>
              </w:rPr>
            </w:pPr>
          </w:p>
          <w:p>
            <w:pPr>
              <w:pStyle w:val="TableParagraph"/>
              <w:ind w:left="123"/>
              <w:rPr>
                <w:sz w:val="21"/>
              </w:rPr>
            </w:pPr>
            <w:r>
              <w:rPr>
                <w:sz w:val="21"/>
              </w:rPr>
              <w:t>一、本合同的交费方式和交费期间由您和我们约定并在保险单上载明。</w:t>
            </w:r>
          </w:p>
          <w:p>
            <w:pPr>
              <w:pStyle w:val="TableParagraph"/>
              <w:spacing w:line="273" w:lineRule="auto" w:before="37"/>
              <w:ind w:left="529" w:right="104" w:hanging="407"/>
              <w:rPr>
                <w:sz w:val="21"/>
              </w:rPr>
            </w:pPr>
            <w:r>
              <w:rPr>
                <w:spacing w:val="-6"/>
                <w:sz w:val="21"/>
              </w:rPr>
              <w:t>二、分期支付保险费的，您在支付首期保险费后，应当在每个保险费约定支付日</w:t>
            </w:r>
            <w:r>
              <w:rPr>
                <w:spacing w:val="-4"/>
                <w:sz w:val="21"/>
              </w:rPr>
              <w:t>之前交纳当期保险费。</w:t>
            </w:r>
          </w:p>
        </w:tc>
      </w:tr>
      <w:tr>
        <w:trPr>
          <w:trHeight w:val="417" w:hRule="atLeast"/>
        </w:trPr>
        <w:tc>
          <w:tcPr>
            <w:tcW w:w="682" w:type="dxa"/>
          </w:tcPr>
          <w:p>
            <w:pPr>
              <w:pStyle w:val="TableParagraph"/>
              <w:spacing w:line="255" w:lineRule="exact" w:before="142"/>
              <w:ind w:left="107"/>
              <w:rPr>
                <w:b/>
                <w:sz w:val="21"/>
              </w:rPr>
            </w:pPr>
            <w:r>
              <w:rPr>
                <w:b/>
                <w:sz w:val="21"/>
              </w:rPr>
              <w:t>4.2</w:t>
            </w:r>
          </w:p>
        </w:tc>
        <w:tc>
          <w:tcPr>
            <w:tcW w:w="2020" w:type="dxa"/>
          </w:tcPr>
          <w:p>
            <w:pPr>
              <w:pStyle w:val="TableParagraph"/>
              <w:spacing w:line="255" w:lineRule="exact" w:before="142"/>
              <w:ind w:left="216"/>
              <w:rPr>
                <w:b/>
                <w:sz w:val="21"/>
              </w:rPr>
            </w:pPr>
            <w:r>
              <w:rPr>
                <w:b/>
                <w:sz w:val="21"/>
              </w:rPr>
              <w:t>宽限期</w:t>
            </w:r>
          </w:p>
        </w:tc>
        <w:tc>
          <w:tcPr>
            <w:tcW w:w="7549" w:type="dxa"/>
          </w:tcPr>
          <w:p>
            <w:pPr>
              <w:pStyle w:val="TableParagraph"/>
              <w:spacing w:line="255" w:lineRule="exact" w:before="142"/>
              <w:ind w:left="156"/>
              <w:rPr>
                <w:sz w:val="21"/>
              </w:rPr>
            </w:pPr>
            <w:r>
              <w:rPr>
                <w:sz w:val="21"/>
              </w:rPr>
              <w:t>一、分期支付保险费的，您在支付首期保险费后，除本合同另有约定外，若您到</w:t>
            </w:r>
          </w:p>
        </w:tc>
      </w:tr>
    </w:tbl>
    <w:p>
      <w:pPr>
        <w:spacing w:after="0" w:line="255" w:lineRule="exact"/>
        <w:rPr>
          <w:sz w:val="21"/>
        </w:rPr>
        <w:sectPr>
          <w:pgSz w:w="11910" w:h="16840"/>
          <w:pgMar w:header="0" w:footer="353"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19"/>
        <w:gridCol w:w="7649"/>
      </w:tblGrid>
      <w:tr>
        <w:trPr>
          <w:trHeight w:val="1690" w:hRule="atLeast"/>
        </w:trPr>
        <w:tc>
          <w:tcPr>
            <w:tcW w:w="682" w:type="dxa"/>
          </w:tcPr>
          <w:p>
            <w:pPr>
              <w:pStyle w:val="TableParagraph"/>
              <w:ind w:left="0"/>
              <w:rPr>
                <w:rFonts w:ascii="Times New Roman"/>
                <w:sz w:val="20"/>
              </w:rPr>
            </w:pPr>
          </w:p>
        </w:tc>
        <w:tc>
          <w:tcPr>
            <w:tcW w:w="1919" w:type="dxa"/>
          </w:tcPr>
          <w:p>
            <w:pPr>
              <w:pStyle w:val="TableParagraph"/>
              <w:ind w:left="0"/>
              <w:rPr>
                <w:rFonts w:ascii="Times New Roman"/>
                <w:sz w:val="20"/>
              </w:rPr>
            </w:pPr>
          </w:p>
        </w:tc>
        <w:tc>
          <w:tcPr>
            <w:tcW w:w="7649" w:type="dxa"/>
          </w:tcPr>
          <w:p>
            <w:pPr>
              <w:pStyle w:val="TableParagraph"/>
              <w:spacing w:line="211" w:lineRule="exact"/>
              <w:ind w:left="678"/>
              <w:rPr>
                <w:sz w:val="21"/>
              </w:rPr>
            </w:pPr>
            <w:r>
              <w:rPr>
                <w:sz w:val="21"/>
              </w:rPr>
              <w:t>期未支付保险费，自保险费约定支付日的次日零时起 60 日为宽限期。宽限</w:t>
            </w:r>
          </w:p>
          <w:p>
            <w:pPr>
              <w:pStyle w:val="TableParagraph"/>
              <w:spacing w:line="273" w:lineRule="auto" w:before="37"/>
              <w:ind w:left="678" w:right="103"/>
              <w:rPr>
                <w:sz w:val="21"/>
              </w:rPr>
            </w:pPr>
            <w:r>
              <w:rPr>
                <w:spacing w:val="-9"/>
                <w:sz w:val="21"/>
              </w:rPr>
              <w:t>期内发生的保险事故，我们仍会承担保险责任，但在给付保险金时会扣减您</w:t>
            </w:r>
            <w:r>
              <w:rPr>
                <w:spacing w:val="-5"/>
                <w:sz w:val="21"/>
              </w:rPr>
              <w:t>欠交的保险费。</w:t>
            </w:r>
          </w:p>
          <w:p>
            <w:pPr>
              <w:pStyle w:val="TableParagraph"/>
              <w:spacing w:line="273" w:lineRule="auto" w:before="7"/>
              <w:ind w:left="678" w:right="103" w:hanging="421"/>
              <w:rPr>
                <w:sz w:val="21"/>
              </w:rPr>
            </w:pPr>
            <w:r>
              <w:rPr>
                <w:spacing w:val="-7"/>
                <w:sz w:val="21"/>
              </w:rPr>
              <w:t>二、若您宽限期结束之后仍未支付保险费，则本合同自宽限期满的次日零时起中止。</w:t>
            </w:r>
          </w:p>
        </w:tc>
      </w:tr>
      <w:tr>
        <w:trPr>
          <w:trHeight w:val="753" w:hRule="atLeast"/>
        </w:trPr>
        <w:tc>
          <w:tcPr>
            <w:tcW w:w="682"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1919" w:type="dxa"/>
            <w:tcBorders>
              <w:bottom w:val="single" w:sz="8" w:space="0" w:color="000000"/>
            </w:tcBorders>
          </w:tcPr>
          <w:p>
            <w:pPr>
              <w:pStyle w:val="TableParagraph"/>
              <w:spacing w:before="10"/>
              <w:ind w:left="0"/>
              <w:rPr>
                <w:sz w:val="18"/>
              </w:rPr>
            </w:pPr>
          </w:p>
          <w:p>
            <w:pPr>
              <w:pStyle w:val="TableParagraph"/>
              <w:ind w:left="216"/>
              <w:rPr>
                <w:b/>
                <w:sz w:val="24"/>
              </w:rPr>
            </w:pPr>
            <w:r>
              <w:rPr>
                <w:b/>
                <w:w w:val="95"/>
                <w:sz w:val="24"/>
              </w:rPr>
              <w:t>现金价值权益</w:t>
            </w:r>
          </w:p>
        </w:tc>
        <w:tc>
          <w:tcPr>
            <w:tcW w:w="7649" w:type="dxa"/>
            <w:tcBorders>
              <w:bottom w:val="single" w:sz="8" w:space="0" w:color="000000"/>
            </w:tcBorders>
          </w:tcPr>
          <w:p>
            <w:pPr>
              <w:pStyle w:val="TableParagraph"/>
              <w:ind w:left="0"/>
              <w:rPr>
                <w:rFonts w:ascii="Times New Roman"/>
                <w:sz w:val="20"/>
              </w:rPr>
            </w:pPr>
          </w:p>
        </w:tc>
      </w:tr>
      <w:tr>
        <w:trPr>
          <w:trHeight w:val="1094" w:hRule="atLeast"/>
        </w:trPr>
        <w:tc>
          <w:tcPr>
            <w:tcW w:w="682" w:type="dxa"/>
            <w:tcBorders>
              <w:top w:val="single" w:sz="8" w:space="0" w:color="000000"/>
            </w:tcBorders>
          </w:tcPr>
          <w:p>
            <w:pPr>
              <w:pStyle w:val="TableParagraph"/>
              <w:ind w:left="0"/>
              <w:rPr>
                <w:sz w:val="23"/>
              </w:rPr>
            </w:pPr>
          </w:p>
          <w:p>
            <w:pPr>
              <w:pStyle w:val="TableParagraph"/>
              <w:ind w:left="107"/>
              <w:rPr>
                <w:b/>
                <w:sz w:val="21"/>
              </w:rPr>
            </w:pPr>
            <w:r>
              <w:rPr>
                <w:b/>
                <w:sz w:val="21"/>
              </w:rPr>
              <w:t>5.1</w:t>
            </w:r>
          </w:p>
        </w:tc>
        <w:tc>
          <w:tcPr>
            <w:tcW w:w="1919" w:type="dxa"/>
            <w:tcBorders>
              <w:top w:val="single" w:sz="8" w:space="0" w:color="000000"/>
            </w:tcBorders>
          </w:tcPr>
          <w:p>
            <w:pPr>
              <w:pStyle w:val="TableParagraph"/>
              <w:ind w:left="0"/>
              <w:rPr>
                <w:sz w:val="23"/>
              </w:rPr>
            </w:pPr>
          </w:p>
          <w:p>
            <w:pPr>
              <w:pStyle w:val="TableParagraph"/>
              <w:ind w:left="216"/>
              <w:rPr>
                <w:b/>
                <w:sz w:val="21"/>
              </w:rPr>
            </w:pPr>
            <w:r>
              <w:rPr>
                <w:b/>
                <w:sz w:val="21"/>
              </w:rPr>
              <w:t>本合同现金价值</w:t>
            </w:r>
          </w:p>
        </w:tc>
        <w:tc>
          <w:tcPr>
            <w:tcW w:w="7649" w:type="dxa"/>
            <w:tcBorders>
              <w:top w:val="single" w:sz="8" w:space="0" w:color="000000"/>
            </w:tcBorders>
          </w:tcPr>
          <w:p>
            <w:pPr>
              <w:pStyle w:val="TableParagraph"/>
              <w:ind w:left="0"/>
              <w:rPr>
                <w:sz w:val="23"/>
              </w:rPr>
            </w:pPr>
          </w:p>
          <w:p>
            <w:pPr>
              <w:pStyle w:val="TableParagraph"/>
              <w:spacing w:line="273" w:lineRule="auto"/>
              <w:ind w:left="224" w:right="59"/>
              <w:rPr>
                <w:sz w:val="21"/>
              </w:rPr>
            </w:pPr>
            <w:r>
              <w:rPr>
                <w:sz w:val="21"/>
              </w:rPr>
              <w:t>本合同保单年度末的现金价值会在保险合同中载明，保单年度之内的现金价值您可以向我们查询。</w:t>
            </w:r>
          </w:p>
        </w:tc>
      </w:tr>
      <w:tr>
        <w:trPr>
          <w:trHeight w:val="3432" w:hRule="atLeast"/>
        </w:trPr>
        <w:tc>
          <w:tcPr>
            <w:tcW w:w="682" w:type="dxa"/>
          </w:tcPr>
          <w:p>
            <w:pPr>
              <w:pStyle w:val="TableParagraph"/>
              <w:spacing w:before="142"/>
              <w:ind w:left="107"/>
              <w:rPr>
                <w:b/>
                <w:sz w:val="21"/>
              </w:rPr>
            </w:pPr>
            <w:r>
              <w:rPr>
                <w:b/>
                <w:sz w:val="21"/>
              </w:rPr>
              <w:t>5.2</w:t>
            </w:r>
          </w:p>
        </w:tc>
        <w:tc>
          <w:tcPr>
            <w:tcW w:w="1919" w:type="dxa"/>
          </w:tcPr>
          <w:p>
            <w:pPr>
              <w:pStyle w:val="TableParagraph"/>
              <w:spacing w:before="142"/>
              <w:ind w:left="216"/>
              <w:rPr>
                <w:b/>
                <w:sz w:val="21"/>
              </w:rPr>
            </w:pPr>
            <w:r>
              <w:rPr>
                <w:b/>
                <w:sz w:val="21"/>
              </w:rPr>
              <w:t>保单质押借款</w:t>
            </w:r>
          </w:p>
        </w:tc>
        <w:tc>
          <w:tcPr>
            <w:tcW w:w="7649" w:type="dxa"/>
          </w:tcPr>
          <w:p>
            <w:pPr>
              <w:pStyle w:val="TableParagraph"/>
              <w:spacing w:line="273" w:lineRule="auto" w:before="142"/>
              <w:ind w:left="678" w:right="35" w:hanging="455"/>
              <w:rPr>
                <w:sz w:val="21"/>
              </w:rPr>
            </w:pPr>
            <w:r>
              <w:rPr>
                <w:spacing w:val="-3"/>
                <w:sz w:val="21"/>
              </w:rPr>
              <w:t>一、在本合同有效期间内，若本合同具有现金价值且不存在包含保单质押借款、自动垫交的保险费在内的未还款项及其</w:t>
            </w:r>
            <w:r>
              <w:rPr>
                <w:b/>
                <w:sz w:val="21"/>
              </w:rPr>
              <w:t>利息</w:t>
            </w:r>
            <w:r>
              <w:rPr>
                <w:spacing w:val="-10"/>
                <w:sz w:val="21"/>
              </w:rPr>
              <w:t>，经您书面申请且我们审核同意后，您可在犹豫期后向我们办理保单质押借款。借款金额以借款时本合同现</w:t>
            </w:r>
            <w:r>
              <w:rPr>
                <w:spacing w:val="-14"/>
                <w:sz w:val="21"/>
              </w:rPr>
              <w:t>金价值的 </w:t>
            </w:r>
            <w:r>
              <w:rPr>
                <w:sz w:val="21"/>
              </w:rPr>
              <w:t>80%</w:t>
            </w:r>
            <w:r>
              <w:rPr>
                <w:spacing w:val="-6"/>
                <w:sz w:val="21"/>
              </w:rPr>
              <w:t>为最高限额，每次借款期限最长不超过 </w:t>
            </w:r>
            <w:r>
              <w:rPr>
                <w:sz w:val="21"/>
              </w:rPr>
              <w:t>180</w:t>
            </w:r>
            <w:r>
              <w:rPr>
                <w:spacing w:val="-16"/>
                <w:sz w:val="21"/>
              </w:rPr>
              <w:t> 日。</w:t>
            </w:r>
          </w:p>
          <w:p>
            <w:pPr>
              <w:pStyle w:val="TableParagraph"/>
              <w:spacing w:line="273" w:lineRule="auto" w:before="7"/>
              <w:ind w:left="678" w:right="36" w:hanging="455"/>
              <w:rPr>
                <w:sz w:val="21"/>
              </w:rPr>
            </w:pPr>
            <w:r>
              <w:rPr>
                <w:sz w:val="21"/>
              </w:rPr>
              <w:t>二、借款及利息应在借款到期时一并归还。若您到期未能足额偿还借款及利息， 则所欠的借款及利息将作为新的借款按我们最近一次宣布的利率计息。</w:t>
            </w:r>
          </w:p>
          <w:p>
            <w:pPr>
              <w:pStyle w:val="TableParagraph"/>
              <w:spacing w:line="273" w:lineRule="auto" w:before="7"/>
              <w:ind w:left="678" w:right="103" w:hanging="455"/>
              <w:rPr>
                <w:sz w:val="21"/>
              </w:rPr>
            </w:pPr>
            <w:r>
              <w:rPr>
                <w:spacing w:val="-7"/>
                <w:sz w:val="21"/>
              </w:rPr>
              <w:t>三、借款本息达到本合同现金价值时，本合同终止，本合同现金价值将全部用于</w:t>
            </w:r>
            <w:r>
              <w:rPr>
                <w:spacing w:val="-5"/>
                <w:sz w:val="21"/>
              </w:rPr>
              <w:t>偿还借款本息。</w:t>
            </w:r>
          </w:p>
          <w:p>
            <w:pPr>
              <w:pStyle w:val="TableParagraph"/>
              <w:spacing w:line="273" w:lineRule="auto" w:before="7"/>
              <w:ind w:left="678" w:right="103" w:hanging="455"/>
              <w:rPr>
                <w:sz w:val="21"/>
              </w:rPr>
            </w:pPr>
            <w:r>
              <w:rPr>
                <w:spacing w:val="-6"/>
                <w:sz w:val="21"/>
              </w:rPr>
              <w:t>四、您申请保单质押借款须填写申请书及其他相关文件，并凭保险合同原件、您</w:t>
            </w:r>
            <w:r>
              <w:rPr>
                <w:spacing w:val="-4"/>
                <w:sz w:val="21"/>
              </w:rPr>
              <w:t>的有效身份证件办理。</w:t>
            </w:r>
          </w:p>
        </w:tc>
      </w:tr>
      <w:tr>
        <w:trPr>
          <w:trHeight w:val="3769" w:hRule="atLeast"/>
        </w:trPr>
        <w:tc>
          <w:tcPr>
            <w:tcW w:w="682" w:type="dxa"/>
          </w:tcPr>
          <w:p>
            <w:pPr>
              <w:pStyle w:val="TableParagraph"/>
              <w:spacing w:before="142"/>
              <w:ind w:left="107"/>
              <w:rPr>
                <w:b/>
                <w:sz w:val="21"/>
              </w:rPr>
            </w:pPr>
            <w:r>
              <w:rPr>
                <w:b/>
                <w:sz w:val="21"/>
              </w:rPr>
              <w:t>5.3</w:t>
            </w:r>
          </w:p>
        </w:tc>
        <w:tc>
          <w:tcPr>
            <w:tcW w:w="1919" w:type="dxa"/>
          </w:tcPr>
          <w:p>
            <w:pPr>
              <w:pStyle w:val="TableParagraph"/>
              <w:spacing w:before="142"/>
              <w:ind w:left="216"/>
              <w:rPr>
                <w:b/>
                <w:sz w:val="21"/>
              </w:rPr>
            </w:pPr>
            <w:r>
              <w:rPr>
                <w:b/>
                <w:sz w:val="21"/>
              </w:rPr>
              <w:t>保险费自动垫交</w:t>
            </w:r>
          </w:p>
        </w:tc>
        <w:tc>
          <w:tcPr>
            <w:tcW w:w="7649" w:type="dxa"/>
          </w:tcPr>
          <w:p>
            <w:pPr>
              <w:pStyle w:val="TableParagraph"/>
              <w:spacing w:line="273" w:lineRule="auto" w:before="142"/>
              <w:ind w:left="644" w:right="67" w:hanging="421"/>
              <w:jc w:val="both"/>
              <w:rPr>
                <w:sz w:val="21"/>
              </w:rPr>
            </w:pPr>
            <w:r>
              <w:rPr>
                <w:spacing w:val="-5"/>
                <w:sz w:val="21"/>
              </w:rPr>
              <w:t>一、您在投保时选择保险费自动垫交方式的，若分期交付的保险费超过宽限期仍</w:t>
            </w:r>
            <w:r>
              <w:rPr>
                <w:spacing w:val="-8"/>
                <w:sz w:val="21"/>
              </w:rPr>
              <w:t>未交付，且此时本合同及保险单内其他保险合同的现金价值扣除未还款项及</w:t>
            </w:r>
            <w:r>
              <w:rPr>
                <w:spacing w:val="-5"/>
                <w:sz w:val="21"/>
              </w:rPr>
              <w:t>其利息后的余额足以垫交当期保险费，我们将以本合同及保险单内其他保险</w:t>
            </w:r>
            <w:r>
              <w:rPr>
                <w:spacing w:val="-4"/>
                <w:sz w:val="21"/>
              </w:rPr>
              <w:t>合同的现金价值扣除未还款项及其利息后的余额自动垫交应交付的保险费， </w:t>
            </w:r>
            <w:r>
              <w:rPr>
                <w:spacing w:val="-5"/>
                <w:sz w:val="21"/>
              </w:rPr>
              <w:t>本合同及保险单内其他保险合同继续有效。垫交的保险费视作您从本公司的</w:t>
            </w:r>
            <w:r>
              <w:rPr>
                <w:spacing w:val="-8"/>
                <w:sz w:val="21"/>
              </w:rPr>
              <w:t>保单质押借款。若本合同及保险单内其他保险合同的现金价值扣除未还款项</w:t>
            </w:r>
            <w:r>
              <w:rPr>
                <w:spacing w:val="-5"/>
                <w:sz w:val="21"/>
              </w:rPr>
              <w:t>及其利息后的余额不足以垫交当期保险费，本合同及保险单内其他保险合同</w:t>
            </w:r>
            <w:r>
              <w:rPr>
                <w:spacing w:val="-3"/>
                <w:sz w:val="21"/>
              </w:rPr>
              <w:t>自宽限期满的次日零时起中止。</w:t>
            </w:r>
          </w:p>
          <w:p>
            <w:pPr>
              <w:pStyle w:val="TableParagraph"/>
              <w:spacing w:line="273" w:lineRule="auto" w:before="7"/>
              <w:ind w:left="644" w:right="103" w:hanging="421"/>
              <w:jc w:val="both"/>
              <w:rPr>
                <w:sz w:val="21"/>
              </w:rPr>
            </w:pPr>
            <w:r>
              <w:rPr>
                <w:spacing w:val="-6"/>
                <w:sz w:val="21"/>
              </w:rPr>
              <w:t>二、在保险费自动垫交期间，若发生合同解除或保险金给付，我们将在您偿清垫</w:t>
            </w:r>
            <w:r>
              <w:rPr>
                <w:sz w:val="21"/>
              </w:rPr>
              <w:t>交的保险费及利息后给付本合同及保险单内其他保险合同的现金价值或保险金。</w:t>
            </w:r>
          </w:p>
        </w:tc>
      </w:tr>
      <w:tr>
        <w:trPr>
          <w:trHeight w:val="753" w:hRule="atLeast"/>
        </w:trPr>
        <w:tc>
          <w:tcPr>
            <w:tcW w:w="682"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1919" w:type="dxa"/>
            <w:tcBorders>
              <w:bottom w:val="single" w:sz="8" w:space="0" w:color="000000"/>
            </w:tcBorders>
          </w:tcPr>
          <w:p>
            <w:pPr>
              <w:pStyle w:val="TableParagraph"/>
              <w:spacing w:before="10"/>
              <w:ind w:left="0"/>
              <w:rPr>
                <w:sz w:val="18"/>
              </w:rPr>
            </w:pPr>
          </w:p>
          <w:p>
            <w:pPr>
              <w:pStyle w:val="TableParagraph"/>
              <w:ind w:left="216"/>
              <w:rPr>
                <w:b/>
                <w:sz w:val="24"/>
              </w:rPr>
            </w:pPr>
            <w:r>
              <w:rPr>
                <w:b/>
                <w:w w:val="95"/>
                <w:sz w:val="24"/>
              </w:rPr>
              <w:t>合同中止和复效</w:t>
            </w:r>
          </w:p>
        </w:tc>
        <w:tc>
          <w:tcPr>
            <w:tcW w:w="7649" w:type="dxa"/>
            <w:tcBorders>
              <w:bottom w:val="single" w:sz="8" w:space="0" w:color="000000"/>
            </w:tcBorders>
          </w:tcPr>
          <w:p>
            <w:pPr>
              <w:pStyle w:val="TableParagraph"/>
              <w:ind w:left="0"/>
              <w:rPr>
                <w:rFonts w:ascii="Times New Roman"/>
                <w:sz w:val="20"/>
              </w:rPr>
            </w:pPr>
          </w:p>
        </w:tc>
      </w:tr>
      <w:tr>
        <w:trPr>
          <w:trHeight w:val="781" w:hRule="atLeast"/>
        </w:trPr>
        <w:tc>
          <w:tcPr>
            <w:tcW w:w="682" w:type="dxa"/>
            <w:tcBorders>
              <w:top w:val="single" w:sz="8" w:space="0" w:color="000000"/>
            </w:tcBorders>
          </w:tcPr>
          <w:p>
            <w:pPr>
              <w:pStyle w:val="TableParagraph"/>
              <w:spacing w:before="11"/>
              <w:ind w:left="0"/>
              <w:rPr>
                <w:sz w:val="22"/>
              </w:rPr>
            </w:pPr>
          </w:p>
          <w:p>
            <w:pPr>
              <w:pStyle w:val="TableParagraph"/>
              <w:spacing w:before="1"/>
              <w:ind w:left="107"/>
              <w:rPr>
                <w:b/>
                <w:sz w:val="21"/>
              </w:rPr>
            </w:pPr>
            <w:r>
              <w:rPr>
                <w:b/>
                <w:sz w:val="21"/>
              </w:rPr>
              <w:t>6.1</w:t>
            </w:r>
          </w:p>
        </w:tc>
        <w:tc>
          <w:tcPr>
            <w:tcW w:w="1919" w:type="dxa"/>
            <w:tcBorders>
              <w:top w:val="single" w:sz="8" w:space="0" w:color="000000"/>
            </w:tcBorders>
          </w:tcPr>
          <w:p>
            <w:pPr>
              <w:pStyle w:val="TableParagraph"/>
              <w:spacing w:before="11"/>
              <w:ind w:left="0"/>
              <w:rPr>
                <w:sz w:val="22"/>
              </w:rPr>
            </w:pPr>
          </w:p>
          <w:p>
            <w:pPr>
              <w:pStyle w:val="TableParagraph"/>
              <w:spacing w:before="1"/>
              <w:ind w:left="216"/>
              <w:rPr>
                <w:b/>
                <w:sz w:val="21"/>
              </w:rPr>
            </w:pPr>
            <w:r>
              <w:rPr>
                <w:b/>
                <w:sz w:val="21"/>
              </w:rPr>
              <w:t>合同中止</w:t>
            </w:r>
          </w:p>
        </w:tc>
        <w:tc>
          <w:tcPr>
            <w:tcW w:w="7649" w:type="dxa"/>
            <w:tcBorders>
              <w:top w:val="single" w:sz="8" w:space="0" w:color="000000"/>
            </w:tcBorders>
          </w:tcPr>
          <w:p>
            <w:pPr>
              <w:pStyle w:val="TableParagraph"/>
              <w:ind w:left="0"/>
              <w:rPr>
                <w:sz w:val="22"/>
              </w:rPr>
            </w:pPr>
          </w:p>
          <w:p>
            <w:pPr>
              <w:pStyle w:val="TableParagraph"/>
              <w:ind w:left="224"/>
              <w:rPr>
                <w:sz w:val="21"/>
              </w:rPr>
            </w:pPr>
            <w:r>
              <w:rPr>
                <w:rFonts w:ascii="黑体" w:eastAsia="黑体" w:hint="eastAsia"/>
                <w:b/>
                <w:i/>
                <w:w w:val="95"/>
                <w:sz w:val="22"/>
              </w:rPr>
              <w:t>在本合同中止期间，我们不承担保险责任</w:t>
            </w:r>
            <w:r>
              <w:rPr>
                <w:w w:val="95"/>
                <w:sz w:val="21"/>
              </w:rPr>
              <w:t>。</w:t>
            </w:r>
          </w:p>
        </w:tc>
      </w:tr>
      <w:tr>
        <w:trPr>
          <w:trHeight w:val="1664" w:hRule="atLeast"/>
        </w:trPr>
        <w:tc>
          <w:tcPr>
            <w:tcW w:w="682" w:type="dxa"/>
          </w:tcPr>
          <w:p>
            <w:pPr>
              <w:pStyle w:val="TableParagraph"/>
              <w:spacing w:before="142"/>
              <w:ind w:left="107"/>
              <w:rPr>
                <w:b/>
                <w:sz w:val="21"/>
              </w:rPr>
            </w:pPr>
            <w:r>
              <w:rPr>
                <w:b/>
                <w:sz w:val="21"/>
              </w:rPr>
              <w:t>6.2</w:t>
            </w:r>
          </w:p>
        </w:tc>
        <w:tc>
          <w:tcPr>
            <w:tcW w:w="1919" w:type="dxa"/>
          </w:tcPr>
          <w:p>
            <w:pPr>
              <w:pStyle w:val="TableParagraph"/>
              <w:spacing w:before="142"/>
              <w:ind w:left="216"/>
              <w:rPr>
                <w:b/>
                <w:sz w:val="21"/>
              </w:rPr>
            </w:pPr>
            <w:r>
              <w:rPr>
                <w:b/>
                <w:sz w:val="21"/>
              </w:rPr>
              <w:t>合同复效</w:t>
            </w:r>
          </w:p>
        </w:tc>
        <w:tc>
          <w:tcPr>
            <w:tcW w:w="7649" w:type="dxa"/>
          </w:tcPr>
          <w:p>
            <w:pPr>
              <w:pStyle w:val="TableParagraph"/>
              <w:spacing w:line="273" w:lineRule="auto" w:before="142"/>
              <w:ind w:left="630" w:right="103" w:hanging="407"/>
              <w:jc w:val="both"/>
              <w:rPr>
                <w:sz w:val="21"/>
              </w:rPr>
            </w:pPr>
            <w:r>
              <w:rPr>
                <w:spacing w:val="-2"/>
                <w:sz w:val="21"/>
              </w:rPr>
              <w:t>一、本合同中止后 </w:t>
            </w:r>
            <w:r>
              <w:rPr>
                <w:sz w:val="21"/>
              </w:rPr>
              <w:t>2</w:t>
            </w:r>
            <w:r>
              <w:rPr>
                <w:spacing w:val="-3"/>
                <w:sz w:val="21"/>
              </w:rPr>
              <w:t> 年内，您可以申请恢复合同效力（</w:t>
            </w:r>
            <w:r>
              <w:rPr>
                <w:spacing w:val="-1"/>
                <w:sz w:val="21"/>
              </w:rPr>
              <w:t>即复效</w:t>
            </w:r>
            <w:r>
              <w:rPr>
                <w:spacing w:val="-106"/>
                <w:sz w:val="21"/>
              </w:rPr>
              <w:t>）</w:t>
            </w:r>
            <w:r>
              <w:rPr>
                <w:spacing w:val="-3"/>
                <w:sz w:val="21"/>
              </w:rPr>
              <w:t>。经我们与您协</w:t>
            </w:r>
            <w:r>
              <w:rPr>
                <w:spacing w:val="-5"/>
                <w:sz w:val="21"/>
              </w:rPr>
              <w:t>商并达成协议，自您补交复效时应交纳的全部保险费及其利息、借款本息和</w:t>
            </w:r>
            <w:r>
              <w:rPr>
                <w:spacing w:val="-4"/>
                <w:sz w:val="21"/>
              </w:rPr>
              <w:t>其他未还款项及其利息的次日零时起，本合同效力恢复。</w:t>
            </w:r>
          </w:p>
          <w:p>
            <w:pPr>
              <w:pStyle w:val="TableParagraph"/>
              <w:spacing w:line="312" w:lineRule="exact" w:before="3"/>
              <w:ind w:left="630" w:right="103" w:hanging="407"/>
              <w:jc w:val="both"/>
              <w:rPr>
                <w:sz w:val="21"/>
              </w:rPr>
            </w:pPr>
            <w:r>
              <w:rPr>
                <w:spacing w:val="-6"/>
                <w:sz w:val="21"/>
              </w:rPr>
              <w:t>二、自本合同中止之日起满 </w:t>
            </w:r>
            <w:r>
              <w:rPr>
                <w:sz w:val="21"/>
              </w:rPr>
              <w:t>2</w:t>
            </w:r>
            <w:r>
              <w:rPr>
                <w:spacing w:val="-11"/>
                <w:sz w:val="21"/>
              </w:rPr>
              <w:t> 年您和我们未达成协议的，我们有权解除合同。我</w:t>
            </w:r>
            <w:r>
              <w:rPr>
                <w:spacing w:val="-6"/>
                <w:sz w:val="21"/>
              </w:rPr>
              <w:t>们解除合同的，向您退还合同中止时的现金价值。</w:t>
            </w:r>
          </w:p>
        </w:tc>
      </w:tr>
    </w:tbl>
    <w:p>
      <w:pPr>
        <w:spacing w:after="0" w:line="312" w:lineRule="exact"/>
        <w:jc w:val="both"/>
        <w:rPr>
          <w:sz w:val="21"/>
        </w:rPr>
        <w:sectPr>
          <w:pgSz w:w="11910" w:h="16840"/>
          <w:pgMar w:header="0" w:footer="353"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
        <w:gridCol w:w="2032"/>
        <w:gridCol w:w="7524"/>
      </w:tblGrid>
      <w:tr>
        <w:trPr>
          <w:trHeight w:val="522" w:hRule="atLeast"/>
        </w:trPr>
        <w:tc>
          <w:tcPr>
            <w:tcW w:w="675" w:type="dxa"/>
            <w:tcBorders>
              <w:bottom w:val="single" w:sz="8" w:space="0" w:color="000000"/>
            </w:tcBorders>
          </w:tcPr>
          <w:p>
            <w:pPr>
              <w:pStyle w:val="TableParagraph"/>
              <w:spacing w:line="418" w:lineRule="exact"/>
              <w:ind w:left="107"/>
              <w:rPr>
                <w:rFonts w:ascii="Arial" w:hAnsi="Arial"/>
                <w:b/>
                <w:sz w:val="40"/>
              </w:rPr>
            </w:pPr>
            <w:r>
              <w:rPr>
                <w:rFonts w:ascii="Arial" w:hAnsi="Arial"/>
                <w:b/>
                <w:w w:val="119"/>
                <w:sz w:val="40"/>
              </w:rPr>
              <w:t></w:t>
            </w:r>
          </w:p>
        </w:tc>
        <w:tc>
          <w:tcPr>
            <w:tcW w:w="2032" w:type="dxa"/>
            <w:tcBorders>
              <w:bottom w:val="single" w:sz="8" w:space="0" w:color="000000"/>
            </w:tcBorders>
          </w:tcPr>
          <w:p>
            <w:pPr>
              <w:pStyle w:val="TableParagraph"/>
              <w:spacing w:before="10"/>
              <w:ind w:left="223"/>
              <w:rPr>
                <w:b/>
                <w:sz w:val="24"/>
              </w:rPr>
            </w:pPr>
            <w:r>
              <w:rPr>
                <w:b/>
                <w:w w:val="95"/>
                <w:sz w:val="24"/>
              </w:rPr>
              <w:t>合同解除和变更</w:t>
            </w:r>
          </w:p>
        </w:tc>
        <w:tc>
          <w:tcPr>
            <w:tcW w:w="7524" w:type="dxa"/>
            <w:tcBorders>
              <w:bottom w:val="single" w:sz="8" w:space="0" w:color="000000"/>
            </w:tcBorders>
          </w:tcPr>
          <w:p>
            <w:pPr>
              <w:pStyle w:val="TableParagraph"/>
              <w:ind w:left="0"/>
              <w:rPr>
                <w:rFonts w:ascii="Times New Roman"/>
                <w:sz w:val="20"/>
              </w:rPr>
            </w:pPr>
          </w:p>
        </w:tc>
      </w:tr>
      <w:tr>
        <w:trPr>
          <w:trHeight w:val="2655" w:hRule="atLeast"/>
        </w:trPr>
        <w:tc>
          <w:tcPr>
            <w:tcW w:w="675" w:type="dxa"/>
            <w:tcBorders>
              <w:top w:val="single" w:sz="8" w:space="0" w:color="000000"/>
            </w:tcBorders>
          </w:tcPr>
          <w:p>
            <w:pPr>
              <w:pStyle w:val="TableParagraph"/>
              <w:spacing w:before="9"/>
              <w:ind w:left="0"/>
              <w:rPr>
                <w:sz w:val="22"/>
              </w:rPr>
            </w:pPr>
          </w:p>
          <w:p>
            <w:pPr>
              <w:pStyle w:val="TableParagraph"/>
              <w:ind w:left="107"/>
              <w:rPr>
                <w:b/>
                <w:sz w:val="21"/>
              </w:rPr>
            </w:pPr>
            <w:r>
              <w:rPr>
                <w:b/>
                <w:sz w:val="21"/>
              </w:rPr>
              <w:t>7.1</w:t>
            </w:r>
          </w:p>
        </w:tc>
        <w:tc>
          <w:tcPr>
            <w:tcW w:w="2032" w:type="dxa"/>
            <w:tcBorders>
              <w:top w:val="single" w:sz="8" w:space="0" w:color="000000"/>
            </w:tcBorders>
          </w:tcPr>
          <w:p>
            <w:pPr>
              <w:pStyle w:val="TableParagraph"/>
              <w:spacing w:before="9"/>
              <w:ind w:left="0"/>
              <w:rPr>
                <w:sz w:val="22"/>
              </w:rPr>
            </w:pPr>
          </w:p>
          <w:p>
            <w:pPr>
              <w:pStyle w:val="TableParagraph"/>
              <w:spacing w:line="273" w:lineRule="auto"/>
              <w:ind w:left="223" w:right="117"/>
              <w:rPr>
                <w:b/>
                <w:sz w:val="21"/>
              </w:rPr>
            </w:pPr>
            <w:r>
              <w:rPr>
                <w:b/>
                <w:sz w:val="21"/>
              </w:rPr>
              <w:t>您解除合同的手续及风险</w:t>
            </w:r>
          </w:p>
        </w:tc>
        <w:tc>
          <w:tcPr>
            <w:tcW w:w="7524" w:type="dxa"/>
            <w:tcBorders>
              <w:top w:val="single" w:sz="8" w:space="0" w:color="000000"/>
            </w:tcBorders>
          </w:tcPr>
          <w:p>
            <w:pPr>
              <w:pStyle w:val="TableParagraph"/>
              <w:spacing w:before="9"/>
              <w:ind w:left="0"/>
              <w:rPr>
                <w:sz w:val="22"/>
              </w:rPr>
            </w:pPr>
          </w:p>
          <w:p>
            <w:pPr>
              <w:pStyle w:val="TableParagraph"/>
              <w:spacing w:line="273" w:lineRule="auto"/>
              <w:ind w:left="538" w:right="42" w:hanging="421"/>
              <w:rPr>
                <w:sz w:val="21"/>
              </w:rPr>
            </w:pPr>
            <w:r>
              <w:rPr>
                <w:sz w:val="21"/>
              </w:rPr>
              <w:t>一、若您在犹豫期后申请解除本合同，请填写解除合同申请书并向我们提供下列资料：</w:t>
            </w:r>
          </w:p>
          <w:p>
            <w:pPr>
              <w:pStyle w:val="TableParagraph"/>
              <w:spacing w:before="7"/>
              <w:ind w:left="466"/>
              <w:rPr>
                <w:sz w:val="21"/>
              </w:rPr>
            </w:pPr>
            <w:r>
              <w:rPr>
                <w:sz w:val="21"/>
              </w:rPr>
              <w:t>(一) 保险合同；</w:t>
            </w:r>
          </w:p>
          <w:p>
            <w:pPr>
              <w:pStyle w:val="TableParagraph"/>
              <w:spacing w:before="37"/>
              <w:ind w:left="466"/>
              <w:rPr>
                <w:sz w:val="21"/>
              </w:rPr>
            </w:pPr>
            <w:r>
              <w:rPr>
                <w:sz w:val="21"/>
              </w:rPr>
              <w:t>(二) 您的有效身份证件。</w:t>
            </w:r>
          </w:p>
          <w:p>
            <w:pPr>
              <w:pStyle w:val="TableParagraph"/>
              <w:spacing w:line="273" w:lineRule="auto" w:before="37"/>
              <w:ind w:left="538" w:right="84" w:hanging="421"/>
              <w:rPr>
                <w:sz w:val="21"/>
              </w:rPr>
            </w:pPr>
            <w:r>
              <w:rPr>
                <w:spacing w:val="-6"/>
                <w:sz w:val="21"/>
              </w:rPr>
              <w:t>二、自我们收到解除合同申请书时起，本合同终止。我们自收到解除合同申请书</w:t>
            </w:r>
            <w:r>
              <w:rPr>
                <w:spacing w:val="-14"/>
                <w:sz w:val="21"/>
              </w:rPr>
              <w:t>之日起 </w:t>
            </w:r>
            <w:r>
              <w:rPr>
                <w:sz w:val="21"/>
              </w:rPr>
              <w:t>30</w:t>
            </w:r>
            <w:r>
              <w:rPr>
                <w:spacing w:val="-8"/>
                <w:sz w:val="21"/>
              </w:rPr>
              <w:t> 日内退还本合同的现金价值。</w:t>
            </w:r>
          </w:p>
          <w:p>
            <w:pPr>
              <w:pStyle w:val="TableParagraph"/>
              <w:spacing w:before="7"/>
              <w:ind w:left="118"/>
              <w:rPr>
                <w:sz w:val="21"/>
              </w:rPr>
            </w:pPr>
            <w:r>
              <w:rPr>
                <w:sz w:val="21"/>
              </w:rPr>
              <w:t>三、您在犹豫期后解除合同会遭受一定损失。</w:t>
            </w:r>
          </w:p>
        </w:tc>
      </w:tr>
      <w:tr>
        <w:trPr>
          <w:trHeight w:val="1248" w:hRule="atLeast"/>
        </w:trPr>
        <w:tc>
          <w:tcPr>
            <w:tcW w:w="675" w:type="dxa"/>
          </w:tcPr>
          <w:p>
            <w:pPr>
              <w:pStyle w:val="TableParagraph"/>
              <w:spacing w:before="138"/>
              <w:ind w:left="107"/>
              <w:rPr>
                <w:b/>
                <w:sz w:val="21"/>
              </w:rPr>
            </w:pPr>
            <w:r>
              <w:rPr>
                <w:b/>
                <w:sz w:val="21"/>
              </w:rPr>
              <w:t>7.2</w:t>
            </w:r>
          </w:p>
        </w:tc>
        <w:tc>
          <w:tcPr>
            <w:tcW w:w="2032" w:type="dxa"/>
          </w:tcPr>
          <w:p>
            <w:pPr>
              <w:pStyle w:val="TableParagraph"/>
              <w:spacing w:before="138"/>
              <w:ind w:left="223"/>
              <w:rPr>
                <w:b/>
                <w:sz w:val="21"/>
              </w:rPr>
            </w:pPr>
            <w:r>
              <w:rPr>
                <w:b/>
                <w:sz w:val="21"/>
              </w:rPr>
              <w:t>合同变更</w:t>
            </w:r>
          </w:p>
        </w:tc>
        <w:tc>
          <w:tcPr>
            <w:tcW w:w="7524" w:type="dxa"/>
          </w:tcPr>
          <w:p>
            <w:pPr>
              <w:pStyle w:val="TableParagraph"/>
              <w:spacing w:line="273" w:lineRule="auto" w:before="138"/>
              <w:ind w:left="118" w:right="93"/>
              <w:jc w:val="both"/>
              <w:rPr>
                <w:sz w:val="21"/>
              </w:rPr>
            </w:pPr>
            <w:r>
              <w:rPr>
                <w:sz w:val="21"/>
              </w:rPr>
              <w:t>本合同生效后，您和我们可以协商变更本合同的内容。变更本合同时，您应当向我们提出变更合同的申请，经我们审核同意后，由我们在保险单或者其他保险凭证上批注或者附贴批单，或者由您和我们订立变更的书面协议。</w:t>
            </w:r>
          </w:p>
        </w:tc>
      </w:tr>
      <w:tr>
        <w:trPr>
          <w:trHeight w:val="1585" w:hRule="atLeast"/>
        </w:trPr>
        <w:tc>
          <w:tcPr>
            <w:tcW w:w="675" w:type="dxa"/>
          </w:tcPr>
          <w:p>
            <w:pPr>
              <w:pStyle w:val="TableParagraph"/>
              <w:spacing w:before="138"/>
              <w:ind w:left="107"/>
              <w:rPr>
                <w:b/>
                <w:sz w:val="21"/>
              </w:rPr>
            </w:pPr>
            <w:r>
              <w:rPr>
                <w:b/>
                <w:sz w:val="21"/>
              </w:rPr>
              <w:t>7.3</w:t>
            </w:r>
          </w:p>
        </w:tc>
        <w:tc>
          <w:tcPr>
            <w:tcW w:w="2032" w:type="dxa"/>
          </w:tcPr>
          <w:p>
            <w:pPr>
              <w:pStyle w:val="TableParagraph"/>
              <w:spacing w:before="138"/>
              <w:ind w:left="223"/>
              <w:rPr>
                <w:b/>
                <w:sz w:val="21"/>
              </w:rPr>
            </w:pPr>
            <w:r>
              <w:rPr>
                <w:b/>
                <w:sz w:val="21"/>
              </w:rPr>
              <w:t>联系方式变更</w:t>
            </w:r>
          </w:p>
        </w:tc>
        <w:tc>
          <w:tcPr>
            <w:tcW w:w="7524" w:type="dxa"/>
          </w:tcPr>
          <w:p>
            <w:pPr>
              <w:pStyle w:val="TableParagraph"/>
              <w:spacing w:line="273" w:lineRule="auto" w:before="138"/>
              <w:ind w:left="118" w:right="84"/>
              <w:jc w:val="both"/>
              <w:rPr>
                <w:sz w:val="21"/>
              </w:rPr>
            </w:pPr>
            <w:r>
              <w:rPr>
                <w:spacing w:val="-6"/>
                <w:sz w:val="21"/>
              </w:rPr>
              <w:t>为保障您的合法权益，您的住所、通讯地址或电话等联系方式变更时，请及时以书面形式或双方认可的其他形式通知我们。若您未以书面形式或双方认可的其他</w:t>
            </w:r>
            <w:r>
              <w:rPr>
                <w:spacing w:val="-8"/>
                <w:sz w:val="21"/>
              </w:rPr>
              <w:t>形式通知我们，我们按本合同载明的最后住所或通讯地址发送的有关通知，均视</w:t>
            </w:r>
            <w:r>
              <w:rPr>
                <w:spacing w:val="-5"/>
                <w:sz w:val="21"/>
              </w:rPr>
              <w:t>为已送达给您。</w:t>
            </w:r>
          </w:p>
        </w:tc>
      </w:tr>
      <w:tr>
        <w:trPr>
          <w:trHeight w:val="753" w:hRule="atLeast"/>
        </w:trPr>
        <w:tc>
          <w:tcPr>
            <w:tcW w:w="675" w:type="dxa"/>
            <w:tcBorders>
              <w:bottom w:val="single" w:sz="4" w:space="0" w:color="000000"/>
            </w:tcBorders>
          </w:tcPr>
          <w:p>
            <w:pPr>
              <w:pStyle w:val="TableParagraph"/>
              <w:spacing w:before="189"/>
              <w:ind w:left="107"/>
              <w:rPr>
                <w:rFonts w:ascii="Arial" w:hAnsi="Arial"/>
                <w:b/>
                <w:sz w:val="40"/>
              </w:rPr>
            </w:pPr>
            <w:r>
              <w:rPr>
                <w:rFonts w:ascii="Arial" w:hAnsi="Arial"/>
                <w:b/>
                <w:w w:val="119"/>
                <w:sz w:val="40"/>
              </w:rPr>
              <w:t></w:t>
            </w:r>
          </w:p>
        </w:tc>
        <w:tc>
          <w:tcPr>
            <w:tcW w:w="9556" w:type="dxa"/>
            <w:gridSpan w:val="2"/>
            <w:tcBorders>
              <w:bottom w:val="single" w:sz="4" w:space="0" w:color="000000"/>
            </w:tcBorders>
          </w:tcPr>
          <w:p>
            <w:pPr>
              <w:pStyle w:val="TableParagraph"/>
              <w:spacing w:before="5"/>
              <w:ind w:left="0"/>
              <w:rPr>
                <w:sz w:val="18"/>
              </w:rPr>
            </w:pPr>
          </w:p>
          <w:p>
            <w:pPr>
              <w:pStyle w:val="TableParagraph"/>
              <w:spacing w:before="1"/>
              <w:ind w:left="223"/>
              <w:rPr>
                <w:b/>
                <w:sz w:val="24"/>
              </w:rPr>
            </w:pPr>
            <w:r>
              <w:rPr>
                <w:b/>
                <w:w w:val="95"/>
                <w:sz w:val="24"/>
              </w:rPr>
              <w:t>明确说明与如实告知</w:t>
            </w:r>
          </w:p>
        </w:tc>
      </w:tr>
      <w:tr>
        <w:trPr>
          <w:trHeight w:val="1717" w:hRule="atLeast"/>
        </w:trPr>
        <w:tc>
          <w:tcPr>
            <w:tcW w:w="675" w:type="dxa"/>
            <w:tcBorders>
              <w:top w:val="single" w:sz="4" w:space="0" w:color="000000"/>
            </w:tcBorders>
          </w:tcPr>
          <w:p>
            <w:pPr>
              <w:pStyle w:val="TableParagraph"/>
              <w:spacing w:before="7"/>
              <w:ind w:left="0"/>
              <w:rPr>
                <w:sz w:val="22"/>
              </w:rPr>
            </w:pPr>
          </w:p>
          <w:p>
            <w:pPr>
              <w:pStyle w:val="TableParagraph"/>
              <w:ind w:left="107"/>
              <w:rPr>
                <w:b/>
                <w:sz w:val="21"/>
              </w:rPr>
            </w:pPr>
            <w:r>
              <w:rPr>
                <w:b/>
                <w:sz w:val="21"/>
              </w:rPr>
              <w:t>8.1</w:t>
            </w:r>
          </w:p>
        </w:tc>
        <w:tc>
          <w:tcPr>
            <w:tcW w:w="2032" w:type="dxa"/>
            <w:tcBorders>
              <w:top w:val="single" w:sz="4" w:space="0" w:color="000000"/>
            </w:tcBorders>
          </w:tcPr>
          <w:p>
            <w:pPr>
              <w:pStyle w:val="TableParagraph"/>
              <w:spacing w:before="7"/>
              <w:ind w:left="0"/>
              <w:rPr>
                <w:sz w:val="22"/>
              </w:rPr>
            </w:pPr>
          </w:p>
          <w:p>
            <w:pPr>
              <w:pStyle w:val="TableParagraph"/>
              <w:ind w:left="223"/>
              <w:rPr>
                <w:b/>
                <w:sz w:val="21"/>
              </w:rPr>
            </w:pPr>
            <w:r>
              <w:rPr>
                <w:b/>
                <w:sz w:val="21"/>
              </w:rPr>
              <w:t>明确说明</w:t>
            </w:r>
          </w:p>
        </w:tc>
        <w:tc>
          <w:tcPr>
            <w:tcW w:w="7524" w:type="dxa"/>
            <w:tcBorders>
              <w:top w:val="single" w:sz="4" w:space="0" w:color="000000"/>
            </w:tcBorders>
          </w:tcPr>
          <w:p>
            <w:pPr>
              <w:pStyle w:val="TableParagraph"/>
              <w:spacing w:before="7"/>
              <w:ind w:left="0"/>
              <w:rPr>
                <w:sz w:val="22"/>
              </w:rPr>
            </w:pPr>
          </w:p>
          <w:p>
            <w:pPr>
              <w:pStyle w:val="TableParagraph"/>
              <w:ind w:left="118"/>
              <w:rPr>
                <w:sz w:val="21"/>
              </w:rPr>
            </w:pPr>
            <w:r>
              <w:rPr>
                <w:sz w:val="21"/>
              </w:rPr>
              <w:t>一、订立本合同时，我们应向您说明本合同的内容。</w:t>
            </w:r>
          </w:p>
          <w:p>
            <w:pPr>
              <w:pStyle w:val="TableParagraph"/>
              <w:spacing w:line="273" w:lineRule="auto" w:before="37"/>
              <w:ind w:left="538" w:right="-29" w:hanging="421"/>
              <w:jc w:val="both"/>
              <w:rPr>
                <w:sz w:val="21"/>
              </w:rPr>
            </w:pPr>
            <w:r>
              <w:rPr>
                <w:spacing w:val="-5"/>
                <w:sz w:val="21"/>
              </w:rPr>
              <w:t>二、对保险条款中免除我们责任的条款，我们在订立合同时应当在投保单、保险</w:t>
            </w:r>
            <w:r>
              <w:rPr>
                <w:spacing w:val="-6"/>
                <w:sz w:val="21"/>
              </w:rPr>
              <w:t>单或其他保险凭证上作出足以引起您注意的提示，并对该条款的内容以书面</w:t>
            </w:r>
            <w:r>
              <w:rPr>
                <w:spacing w:val="-11"/>
                <w:sz w:val="21"/>
              </w:rPr>
              <w:t>或口头形式向您作出明确说明，未作提示或明确说明的，该条款不产生效力。</w:t>
            </w:r>
          </w:p>
        </w:tc>
      </w:tr>
      <w:tr>
        <w:trPr>
          <w:trHeight w:val="3432" w:hRule="atLeast"/>
        </w:trPr>
        <w:tc>
          <w:tcPr>
            <w:tcW w:w="675" w:type="dxa"/>
          </w:tcPr>
          <w:p>
            <w:pPr>
              <w:pStyle w:val="TableParagraph"/>
              <w:spacing w:before="138"/>
              <w:ind w:left="107"/>
              <w:rPr>
                <w:b/>
                <w:sz w:val="21"/>
              </w:rPr>
            </w:pPr>
            <w:r>
              <w:rPr>
                <w:b/>
                <w:sz w:val="21"/>
              </w:rPr>
              <w:t>8.2</w:t>
            </w:r>
          </w:p>
        </w:tc>
        <w:tc>
          <w:tcPr>
            <w:tcW w:w="2032" w:type="dxa"/>
          </w:tcPr>
          <w:p>
            <w:pPr>
              <w:pStyle w:val="TableParagraph"/>
              <w:spacing w:before="138"/>
              <w:ind w:left="223"/>
              <w:rPr>
                <w:b/>
                <w:sz w:val="21"/>
              </w:rPr>
            </w:pPr>
            <w:r>
              <w:rPr>
                <w:b/>
                <w:sz w:val="21"/>
              </w:rPr>
              <w:t>如实告知</w:t>
            </w:r>
          </w:p>
        </w:tc>
        <w:tc>
          <w:tcPr>
            <w:tcW w:w="7524" w:type="dxa"/>
          </w:tcPr>
          <w:p>
            <w:pPr>
              <w:pStyle w:val="TableParagraph"/>
              <w:spacing w:before="138"/>
              <w:ind w:left="118"/>
              <w:rPr>
                <w:sz w:val="21"/>
              </w:rPr>
            </w:pPr>
            <w:r>
              <w:rPr>
                <w:sz w:val="21"/>
              </w:rPr>
              <w:t>一、我们就您和被保险人的有关情况提出询问的，您应当如实告知。</w:t>
            </w:r>
          </w:p>
          <w:p>
            <w:pPr>
              <w:pStyle w:val="TableParagraph"/>
              <w:spacing w:line="273" w:lineRule="auto" w:before="37"/>
              <w:ind w:left="538" w:right="84" w:hanging="421"/>
              <w:jc w:val="both"/>
              <w:rPr>
                <w:sz w:val="21"/>
              </w:rPr>
            </w:pPr>
            <w:r>
              <w:rPr>
                <w:spacing w:val="-5"/>
                <w:sz w:val="21"/>
              </w:rPr>
              <w:t>二、若您故意或因重大过失未履行前款规定的如实告知义务，足以影响我们决定</w:t>
            </w:r>
            <w:r>
              <w:rPr>
                <w:spacing w:val="-4"/>
                <w:sz w:val="21"/>
              </w:rPr>
              <w:t>是否同意承保或提高保险费率的，我们有权解除本合同。</w:t>
            </w:r>
          </w:p>
          <w:p>
            <w:pPr>
              <w:pStyle w:val="TableParagraph"/>
              <w:spacing w:line="259" w:lineRule="auto"/>
              <w:ind w:left="538" w:right="87" w:hanging="421"/>
              <w:jc w:val="both"/>
              <w:rPr>
                <w:sz w:val="21"/>
              </w:rPr>
            </w:pPr>
            <w:r>
              <w:rPr>
                <w:w w:val="95"/>
                <w:sz w:val="21"/>
              </w:rPr>
              <w:t>三、</w:t>
            </w:r>
            <w:r>
              <w:rPr>
                <w:rFonts w:ascii="黑体" w:eastAsia="黑体" w:hint="eastAsia"/>
                <w:b/>
                <w:i/>
                <w:spacing w:val="-5"/>
                <w:w w:val="95"/>
                <w:sz w:val="22"/>
              </w:rPr>
              <w:t>若您故意不履行如实告知义务，对于本合同解除前发</w:t>
            </w:r>
            <w:r>
              <w:rPr>
                <w:rFonts w:ascii="黑体" w:eastAsia="黑体" w:hint="eastAsia"/>
                <w:b/>
                <w:i/>
                <w:w w:val="95"/>
                <w:sz w:val="22"/>
              </w:rPr>
              <w:t>Th</w:t>
            </w:r>
            <w:r>
              <w:rPr>
                <w:rFonts w:ascii="黑体" w:eastAsia="黑体" w:hint="eastAsia"/>
                <w:b/>
                <w:i/>
                <w:spacing w:val="-6"/>
                <w:w w:val="95"/>
                <w:sz w:val="22"/>
              </w:rPr>
              <w:t>的保险事故，我们不</w:t>
            </w:r>
            <w:r>
              <w:rPr>
                <w:rFonts w:ascii="黑体" w:eastAsia="黑体" w:hint="eastAsia"/>
                <w:b/>
                <w:i/>
                <w:spacing w:val="-2"/>
                <w:w w:val="95"/>
                <w:sz w:val="22"/>
              </w:rPr>
              <w:t>承担给付保险金的责任</w:t>
            </w:r>
            <w:r>
              <w:rPr>
                <w:spacing w:val="-3"/>
                <w:w w:val="95"/>
                <w:sz w:val="21"/>
              </w:rPr>
              <w:t>，并不退还保险费。</w:t>
            </w:r>
          </w:p>
          <w:p>
            <w:pPr>
              <w:pStyle w:val="TableParagraph"/>
              <w:spacing w:line="264" w:lineRule="auto" w:before="10"/>
              <w:ind w:left="538" w:right="86" w:hanging="421"/>
              <w:jc w:val="both"/>
              <w:rPr>
                <w:sz w:val="21"/>
              </w:rPr>
            </w:pPr>
            <w:r>
              <w:rPr>
                <w:w w:val="95"/>
                <w:sz w:val="21"/>
              </w:rPr>
              <w:t>四、</w:t>
            </w:r>
            <w:r>
              <w:rPr>
                <w:rFonts w:ascii="黑体" w:eastAsia="黑体" w:hint="eastAsia"/>
                <w:b/>
                <w:i/>
                <w:spacing w:val="-4"/>
                <w:w w:val="95"/>
                <w:sz w:val="22"/>
              </w:rPr>
              <w:t>若您因重大过失未履行如实告知义务，对保险事故的发</w:t>
            </w:r>
            <w:r>
              <w:rPr>
                <w:rFonts w:ascii="黑体" w:eastAsia="黑体" w:hint="eastAsia"/>
                <w:b/>
                <w:i/>
                <w:w w:val="95"/>
                <w:sz w:val="22"/>
              </w:rPr>
              <w:t>Th</w:t>
            </w:r>
            <w:r>
              <w:rPr>
                <w:rFonts w:ascii="黑体" w:eastAsia="黑体" w:hint="eastAsia"/>
                <w:b/>
                <w:i/>
                <w:spacing w:val="-6"/>
                <w:w w:val="95"/>
                <w:sz w:val="22"/>
              </w:rPr>
              <w:t>有严重影响的，对于本合同解除前发Th</w:t>
            </w:r>
            <w:r>
              <w:rPr>
                <w:rFonts w:ascii="黑体" w:eastAsia="黑体" w:hint="eastAsia"/>
                <w:b/>
                <w:i/>
                <w:spacing w:val="-7"/>
                <w:w w:val="95"/>
                <w:sz w:val="22"/>
              </w:rPr>
              <w:t>的保险事故，我们不承担给付保险金的责任</w:t>
            </w:r>
            <w:r>
              <w:rPr>
                <w:spacing w:val="-8"/>
                <w:w w:val="95"/>
                <w:sz w:val="21"/>
              </w:rPr>
              <w:t>，但应当退</w:t>
            </w:r>
            <w:r>
              <w:rPr>
                <w:spacing w:val="-5"/>
                <w:sz w:val="21"/>
              </w:rPr>
              <w:t>还保险费。</w:t>
            </w:r>
          </w:p>
          <w:p>
            <w:pPr>
              <w:pStyle w:val="TableParagraph"/>
              <w:spacing w:line="273" w:lineRule="auto" w:before="16"/>
              <w:ind w:left="538" w:right="84" w:hanging="421"/>
              <w:jc w:val="both"/>
              <w:rPr>
                <w:sz w:val="21"/>
              </w:rPr>
            </w:pPr>
            <w:r>
              <w:rPr>
                <w:spacing w:val="-5"/>
                <w:sz w:val="21"/>
              </w:rPr>
              <w:t>五、我们在合同订立时已经知道您未如实告知的情况的，我们不得解除合同；发</w:t>
            </w:r>
            <w:r>
              <w:rPr>
                <w:spacing w:val="-3"/>
                <w:sz w:val="21"/>
              </w:rPr>
              <w:t>生保险事故的，我们承担给付保险金的责任。</w:t>
            </w:r>
          </w:p>
        </w:tc>
      </w:tr>
      <w:tr>
        <w:trPr>
          <w:trHeight w:val="1273" w:hRule="atLeast"/>
        </w:trPr>
        <w:tc>
          <w:tcPr>
            <w:tcW w:w="675" w:type="dxa"/>
          </w:tcPr>
          <w:p>
            <w:pPr>
              <w:pStyle w:val="TableParagraph"/>
              <w:spacing w:before="138"/>
              <w:ind w:left="107"/>
              <w:rPr>
                <w:b/>
                <w:sz w:val="21"/>
              </w:rPr>
            </w:pPr>
            <w:r>
              <w:rPr>
                <w:b/>
                <w:sz w:val="21"/>
              </w:rPr>
              <w:t>8.3</w:t>
            </w:r>
          </w:p>
        </w:tc>
        <w:tc>
          <w:tcPr>
            <w:tcW w:w="2032" w:type="dxa"/>
          </w:tcPr>
          <w:p>
            <w:pPr>
              <w:pStyle w:val="TableParagraph"/>
              <w:spacing w:line="273" w:lineRule="auto" w:before="138"/>
              <w:ind w:left="223" w:right="117"/>
              <w:rPr>
                <w:b/>
                <w:sz w:val="21"/>
              </w:rPr>
            </w:pPr>
            <w:r>
              <w:rPr>
                <w:b/>
                <w:sz w:val="21"/>
              </w:rPr>
              <w:t>本公司合同解除权的限制</w:t>
            </w:r>
          </w:p>
        </w:tc>
        <w:tc>
          <w:tcPr>
            <w:tcW w:w="7524" w:type="dxa"/>
          </w:tcPr>
          <w:p>
            <w:pPr>
              <w:pStyle w:val="TableParagraph"/>
              <w:spacing w:before="138"/>
              <w:ind w:left="118"/>
              <w:rPr>
                <w:sz w:val="21"/>
              </w:rPr>
            </w:pPr>
            <w:r>
              <w:rPr>
                <w:sz w:val="21"/>
              </w:rPr>
              <w:t>前款约定的合同解除权，自我们知道有解除事由之日起，超过 30 日不行使而消</w:t>
            </w:r>
          </w:p>
          <w:p>
            <w:pPr>
              <w:pStyle w:val="TableParagraph"/>
              <w:spacing w:line="273" w:lineRule="auto" w:before="36"/>
              <w:ind w:left="118" w:right="84"/>
              <w:rPr>
                <w:sz w:val="21"/>
              </w:rPr>
            </w:pPr>
            <w:r>
              <w:rPr>
                <w:spacing w:val="-7"/>
                <w:sz w:val="21"/>
              </w:rPr>
              <w:t>灭。自本合同成立之日起超过 </w:t>
            </w:r>
            <w:r>
              <w:rPr>
                <w:sz w:val="21"/>
              </w:rPr>
              <w:t>2</w:t>
            </w:r>
            <w:r>
              <w:rPr>
                <w:spacing w:val="-10"/>
                <w:sz w:val="21"/>
              </w:rPr>
              <w:t> 年的，我们不得解除合同；发生保险事故的，我</w:t>
            </w:r>
            <w:r>
              <w:rPr>
                <w:spacing w:val="-5"/>
                <w:sz w:val="21"/>
              </w:rPr>
              <w:t>们承担给付保险金的责任。</w:t>
            </w:r>
          </w:p>
        </w:tc>
      </w:tr>
      <w:tr>
        <w:trPr>
          <w:trHeight w:val="753" w:hRule="atLeast"/>
        </w:trPr>
        <w:tc>
          <w:tcPr>
            <w:tcW w:w="675" w:type="dxa"/>
            <w:tcBorders>
              <w:bottom w:val="single" w:sz="4" w:space="0" w:color="000000"/>
            </w:tcBorders>
          </w:tcPr>
          <w:p>
            <w:pPr>
              <w:pStyle w:val="TableParagraph"/>
              <w:spacing w:before="189"/>
              <w:ind w:left="107"/>
              <w:rPr>
                <w:rFonts w:ascii="Arial" w:hAnsi="Arial"/>
                <w:b/>
                <w:sz w:val="40"/>
              </w:rPr>
            </w:pPr>
            <w:r>
              <w:rPr>
                <w:rFonts w:ascii="Arial" w:hAnsi="Arial"/>
                <w:b/>
                <w:w w:val="119"/>
                <w:sz w:val="40"/>
              </w:rPr>
              <w:t></w:t>
            </w:r>
          </w:p>
        </w:tc>
        <w:tc>
          <w:tcPr>
            <w:tcW w:w="9556" w:type="dxa"/>
            <w:gridSpan w:val="2"/>
            <w:tcBorders>
              <w:bottom w:val="single" w:sz="4" w:space="0" w:color="000000"/>
            </w:tcBorders>
          </w:tcPr>
          <w:p>
            <w:pPr>
              <w:pStyle w:val="TableParagraph"/>
              <w:spacing w:before="5"/>
              <w:ind w:left="0"/>
              <w:rPr>
                <w:sz w:val="18"/>
              </w:rPr>
            </w:pPr>
          </w:p>
          <w:p>
            <w:pPr>
              <w:pStyle w:val="TableParagraph"/>
              <w:spacing w:before="1"/>
              <w:ind w:left="208"/>
              <w:rPr>
                <w:b/>
                <w:sz w:val="24"/>
              </w:rPr>
            </w:pPr>
            <w:r>
              <w:rPr>
                <w:b/>
                <w:w w:val="95"/>
                <w:sz w:val="24"/>
              </w:rPr>
              <w:t>其他需要关注的事项</w:t>
            </w:r>
          </w:p>
        </w:tc>
      </w:tr>
    </w:tbl>
    <w:p>
      <w:pPr>
        <w:spacing w:after="0"/>
        <w:rPr>
          <w:sz w:val="24"/>
        </w:rPr>
        <w:sectPr>
          <w:pgSz w:w="11910" w:h="16840"/>
          <w:pgMar w:header="0" w:footer="353" w:top="1220" w:bottom="540" w:left="720" w:right="7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1987"/>
        <w:gridCol w:w="7555"/>
      </w:tblGrid>
      <w:tr>
        <w:trPr>
          <w:trHeight w:val="3226" w:hRule="atLeast"/>
        </w:trPr>
        <w:tc>
          <w:tcPr>
            <w:tcW w:w="707" w:type="dxa"/>
          </w:tcPr>
          <w:p>
            <w:pPr>
              <w:pStyle w:val="TableParagraph"/>
              <w:spacing w:line="211" w:lineRule="exact"/>
              <w:ind w:left="107"/>
              <w:rPr>
                <w:b/>
                <w:sz w:val="21"/>
              </w:rPr>
            </w:pPr>
            <w:r>
              <w:rPr>
                <w:b/>
                <w:sz w:val="21"/>
              </w:rPr>
              <w:t>9.1</w:t>
            </w:r>
          </w:p>
        </w:tc>
        <w:tc>
          <w:tcPr>
            <w:tcW w:w="1987" w:type="dxa"/>
          </w:tcPr>
          <w:p>
            <w:pPr>
              <w:pStyle w:val="TableParagraph"/>
              <w:spacing w:line="211" w:lineRule="exact"/>
              <w:ind w:left="176"/>
              <w:rPr>
                <w:b/>
                <w:sz w:val="21"/>
              </w:rPr>
            </w:pPr>
            <w:r>
              <w:rPr>
                <w:b/>
                <w:sz w:val="21"/>
              </w:rPr>
              <w:t>年龄错误</w:t>
            </w:r>
          </w:p>
        </w:tc>
        <w:tc>
          <w:tcPr>
            <w:tcW w:w="7555" w:type="dxa"/>
          </w:tcPr>
          <w:p>
            <w:pPr>
              <w:pStyle w:val="TableParagraph"/>
              <w:spacing w:line="211" w:lineRule="exact"/>
              <w:ind w:left="107"/>
              <w:rPr>
                <w:sz w:val="21"/>
              </w:rPr>
            </w:pPr>
            <w:r>
              <w:rPr>
                <w:sz w:val="21"/>
              </w:rPr>
              <w:t>您在申请投保时，应将与有效身份证件相符的被保险人的出生日期在投保单上填</w:t>
            </w:r>
          </w:p>
          <w:p>
            <w:pPr>
              <w:pStyle w:val="TableParagraph"/>
              <w:spacing w:before="37"/>
              <w:ind w:left="107"/>
              <w:rPr>
                <w:sz w:val="21"/>
              </w:rPr>
            </w:pPr>
            <w:r>
              <w:rPr>
                <w:sz w:val="21"/>
              </w:rPr>
              <w:t>明，若发生错误按照下列方式办理：</w:t>
            </w:r>
          </w:p>
          <w:p>
            <w:pPr>
              <w:pStyle w:val="TableParagraph"/>
              <w:spacing w:line="273" w:lineRule="auto" w:before="37"/>
              <w:ind w:left="563" w:right="138" w:hanging="457"/>
              <w:jc w:val="both"/>
              <w:rPr>
                <w:sz w:val="21"/>
              </w:rPr>
            </w:pPr>
            <w:r>
              <w:rPr>
                <w:spacing w:val="-12"/>
                <w:sz w:val="21"/>
              </w:rPr>
              <w:t>(一) 您申报的被保险人年龄不真实，并且其真实年龄不符合本合同约定的投保年龄限制的，在保险事故发生之前我们有权解除合同，并向您退还本合同的现</w:t>
            </w:r>
            <w:r>
              <w:rPr>
                <w:spacing w:val="-6"/>
                <w:sz w:val="21"/>
              </w:rPr>
              <w:t>金价值。我们行使合同解除权适用“本公司合同解除权的限制”的约定。</w:t>
            </w:r>
          </w:p>
          <w:p>
            <w:pPr>
              <w:pStyle w:val="TableParagraph"/>
              <w:spacing w:line="273" w:lineRule="auto" w:before="7"/>
              <w:ind w:left="563" w:right="138" w:hanging="457"/>
              <w:jc w:val="both"/>
              <w:rPr>
                <w:sz w:val="21"/>
              </w:rPr>
            </w:pPr>
            <w:r>
              <w:rPr>
                <w:spacing w:val="-10"/>
                <w:sz w:val="21"/>
              </w:rPr>
              <w:t>(二) 您申报的被保险人年龄不真实，致使您实交保险费少于应交保险费的，我们有权更正并要求您补交保险费。若已经发生保险事故，我们在给付保险金时</w:t>
            </w:r>
            <w:r>
              <w:rPr>
                <w:spacing w:val="-3"/>
                <w:sz w:val="21"/>
              </w:rPr>
              <w:t>按实交保险费与应交保险费的比例给付。</w:t>
            </w:r>
          </w:p>
          <w:p>
            <w:pPr>
              <w:pStyle w:val="TableParagraph"/>
              <w:spacing w:line="273" w:lineRule="auto" w:before="7"/>
              <w:ind w:left="563" w:right="138" w:hanging="457"/>
              <w:jc w:val="both"/>
              <w:rPr>
                <w:sz w:val="21"/>
              </w:rPr>
            </w:pPr>
            <w:r>
              <w:rPr>
                <w:spacing w:val="-10"/>
                <w:sz w:val="21"/>
              </w:rPr>
              <w:t>(三) 您申报的被保险人年龄不真实，致使您实交保险费多于应交保险费的，我们</w:t>
            </w:r>
            <w:r>
              <w:rPr>
                <w:spacing w:val="-5"/>
                <w:sz w:val="21"/>
              </w:rPr>
              <w:t>会将多收的保险费退还给您。</w:t>
            </w:r>
          </w:p>
        </w:tc>
      </w:tr>
      <w:tr>
        <w:trPr>
          <w:trHeight w:val="1560" w:hRule="atLeast"/>
        </w:trPr>
        <w:tc>
          <w:tcPr>
            <w:tcW w:w="707" w:type="dxa"/>
          </w:tcPr>
          <w:p>
            <w:pPr>
              <w:pStyle w:val="TableParagraph"/>
              <w:spacing w:before="142"/>
              <w:ind w:left="107"/>
              <w:rPr>
                <w:b/>
                <w:sz w:val="21"/>
              </w:rPr>
            </w:pPr>
            <w:r>
              <w:rPr>
                <w:b/>
                <w:sz w:val="21"/>
              </w:rPr>
              <w:t>9.2</w:t>
            </w:r>
          </w:p>
        </w:tc>
        <w:tc>
          <w:tcPr>
            <w:tcW w:w="1987" w:type="dxa"/>
          </w:tcPr>
          <w:p>
            <w:pPr>
              <w:pStyle w:val="TableParagraph"/>
              <w:spacing w:before="142"/>
              <w:ind w:left="176"/>
              <w:rPr>
                <w:b/>
                <w:sz w:val="21"/>
              </w:rPr>
            </w:pPr>
            <w:r>
              <w:rPr>
                <w:b/>
                <w:sz w:val="21"/>
              </w:rPr>
              <w:t>未还款项</w:t>
            </w:r>
          </w:p>
        </w:tc>
        <w:tc>
          <w:tcPr>
            <w:tcW w:w="7555" w:type="dxa"/>
          </w:tcPr>
          <w:p>
            <w:pPr>
              <w:pStyle w:val="TableParagraph"/>
              <w:spacing w:line="273" w:lineRule="auto" w:before="142"/>
              <w:ind w:left="107" w:right="136"/>
              <w:jc w:val="both"/>
              <w:rPr>
                <w:sz w:val="21"/>
              </w:rPr>
            </w:pPr>
            <w:r>
              <w:rPr>
                <w:spacing w:val="-18"/>
                <w:sz w:val="21"/>
              </w:rPr>
              <w:t>我们在给付各项保险金、退还现金价值或返还保险费时，若您有欠交的保险费</w:t>
            </w:r>
            <w:r>
              <w:rPr>
                <w:spacing w:val="-3"/>
                <w:sz w:val="21"/>
              </w:rPr>
              <w:t>（包含宽限期内欠交的保险费</w:t>
            </w:r>
            <w:r>
              <w:rPr>
                <w:spacing w:val="-24"/>
                <w:sz w:val="21"/>
              </w:rPr>
              <w:t>）</w:t>
            </w:r>
            <w:r>
              <w:rPr>
                <w:spacing w:val="-7"/>
                <w:sz w:val="21"/>
              </w:rPr>
              <w:t>及其利息、未偿还的保单质押借款及其利息或其他未</w:t>
            </w:r>
            <w:r>
              <w:rPr>
                <w:spacing w:val="-9"/>
                <w:sz w:val="21"/>
              </w:rPr>
              <w:t>还款项及其利息，我们将在您偿清上述款项及相关利息后支付保险金、退还现金</w:t>
            </w:r>
            <w:r>
              <w:rPr>
                <w:spacing w:val="-3"/>
                <w:sz w:val="21"/>
              </w:rPr>
              <w:t>价值和返还保险费。</w:t>
            </w:r>
          </w:p>
        </w:tc>
      </w:tr>
      <w:tr>
        <w:trPr>
          <w:trHeight w:val="2208" w:hRule="atLeast"/>
        </w:trPr>
        <w:tc>
          <w:tcPr>
            <w:tcW w:w="707" w:type="dxa"/>
          </w:tcPr>
          <w:p>
            <w:pPr>
              <w:pStyle w:val="TableParagraph"/>
              <w:spacing w:before="142"/>
              <w:ind w:left="107"/>
              <w:rPr>
                <w:b/>
                <w:sz w:val="21"/>
              </w:rPr>
            </w:pPr>
            <w:r>
              <w:rPr>
                <w:b/>
                <w:sz w:val="21"/>
              </w:rPr>
              <w:t>9.3</w:t>
            </w:r>
          </w:p>
        </w:tc>
        <w:tc>
          <w:tcPr>
            <w:tcW w:w="1987" w:type="dxa"/>
          </w:tcPr>
          <w:p>
            <w:pPr>
              <w:pStyle w:val="TableParagraph"/>
              <w:spacing w:before="142"/>
              <w:ind w:left="176"/>
              <w:rPr>
                <w:b/>
                <w:sz w:val="21"/>
              </w:rPr>
            </w:pPr>
            <w:r>
              <w:rPr>
                <w:b/>
                <w:sz w:val="21"/>
              </w:rPr>
              <w:t>争议处理</w:t>
            </w:r>
          </w:p>
        </w:tc>
        <w:tc>
          <w:tcPr>
            <w:tcW w:w="7555" w:type="dxa"/>
          </w:tcPr>
          <w:p>
            <w:pPr>
              <w:pStyle w:val="TableParagraph"/>
              <w:spacing w:line="273" w:lineRule="auto" w:before="142"/>
              <w:ind w:left="107" w:right="136"/>
              <w:rPr>
                <w:sz w:val="21"/>
              </w:rPr>
            </w:pPr>
            <w:r>
              <w:rPr>
                <w:spacing w:val="-6"/>
                <w:sz w:val="21"/>
              </w:rPr>
              <w:t>在本合同履行过程中发生任何争议，当事人应根据本合同约定选择下列两种方式</w:t>
            </w:r>
            <w:r>
              <w:rPr>
                <w:spacing w:val="-4"/>
                <w:sz w:val="21"/>
              </w:rPr>
              <w:t>之一予以解决：</w:t>
            </w:r>
          </w:p>
          <w:p>
            <w:pPr>
              <w:pStyle w:val="TableParagraph"/>
              <w:spacing w:line="273" w:lineRule="auto" w:before="7"/>
              <w:ind w:left="563" w:right="135" w:hanging="457"/>
              <w:rPr>
                <w:sz w:val="21"/>
              </w:rPr>
            </w:pPr>
            <w:r>
              <w:rPr>
                <w:spacing w:val="-11"/>
                <w:sz w:val="21"/>
              </w:rPr>
              <w:t>(一) 因履行本合同发生的争议，由当事人协商解决，协商不成的，提交双方共同</w:t>
            </w:r>
            <w:r>
              <w:rPr>
                <w:spacing w:val="-6"/>
                <w:sz w:val="21"/>
              </w:rPr>
              <w:t>选定的仲裁委员会，按其当时有效的仲裁规则仲裁解决。</w:t>
            </w:r>
          </w:p>
          <w:p>
            <w:pPr>
              <w:pStyle w:val="TableParagraph"/>
              <w:spacing w:line="273" w:lineRule="auto" w:before="7"/>
              <w:ind w:left="563" w:right="135" w:hanging="457"/>
              <w:rPr>
                <w:sz w:val="21"/>
              </w:rPr>
            </w:pPr>
            <w:r>
              <w:rPr>
                <w:spacing w:val="-11"/>
                <w:sz w:val="21"/>
              </w:rPr>
              <w:t>(二) 因履行本合同发生的争议，由当事人协商解决，协商不成的，依法向有管辖</w:t>
            </w:r>
            <w:r>
              <w:rPr>
                <w:spacing w:val="-6"/>
                <w:sz w:val="21"/>
              </w:rPr>
              <w:t>权的人民法院起诉。</w:t>
            </w:r>
          </w:p>
        </w:tc>
      </w:tr>
      <w:tr>
        <w:trPr>
          <w:trHeight w:val="753" w:hRule="atLeast"/>
        </w:trPr>
        <w:tc>
          <w:tcPr>
            <w:tcW w:w="707"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1987" w:type="dxa"/>
            <w:tcBorders>
              <w:bottom w:val="single" w:sz="8" w:space="0" w:color="000000"/>
            </w:tcBorders>
          </w:tcPr>
          <w:p>
            <w:pPr>
              <w:pStyle w:val="TableParagraph"/>
              <w:spacing w:before="10"/>
              <w:ind w:left="0"/>
              <w:rPr>
                <w:sz w:val="18"/>
              </w:rPr>
            </w:pPr>
          </w:p>
          <w:p>
            <w:pPr>
              <w:pStyle w:val="TableParagraph"/>
              <w:ind w:left="191"/>
              <w:rPr>
                <w:b/>
                <w:sz w:val="24"/>
              </w:rPr>
            </w:pPr>
            <w:r>
              <w:rPr>
                <w:b/>
                <w:sz w:val="24"/>
              </w:rPr>
              <w:t>释义</w:t>
            </w:r>
          </w:p>
        </w:tc>
        <w:tc>
          <w:tcPr>
            <w:tcW w:w="7555" w:type="dxa"/>
            <w:tcBorders>
              <w:bottom w:val="single" w:sz="8" w:space="0" w:color="000000"/>
            </w:tcBorders>
          </w:tcPr>
          <w:p>
            <w:pPr>
              <w:pStyle w:val="TableParagraph"/>
              <w:ind w:left="0"/>
              <w:rPr>
                <w:rFonts w:ascii="Times New Roman"/>
                <w:sz w:val="20"/>
              </w:rPr>
            </w:pPr>
          </w:p>
        </w:tc>
      </w:tr>
      <w:tr>
        <w:trPr>
          <w:trHeight w:val="1095" w:hRule="atLeast"/>
        </w:trPr>
        <w:tc>
          <w:tcPr>
            <w:tcW w:w="707" w:type="dxa"/>
            <w:tcBorders>
              <w:top w:val="single" w:sz="8" w:space="0" w:color="000000"/>
            </w:tcBorders>
          </w:tcPr>
          <w:p>
            <w:pPr>
              <w:pStyle w:val="TableParagraph"/>
              <w:ind w:left="0"/>
              <w:rPr>
                <w:sz w:val="23"/>
              </w:rPr>
            </w:pPr>
          </w:p>
          <w:p>
            <w:pPr>
              <w:pStyle w:val="TableParagraph"/>
              <w:spacing w:before="1"/>
              <w:ind w:left="107"/>
              <w:rPr>
                <w:b/>
                <w:sz w:val="21"/>
              </w:rPr>
            </w:pPr>
            <w:r>
              <w:rPr>
                <w:b/>
                <w:sz w:val="21"/>
              </w:rPr>
              <w:t>10.1</w:t>
            </w:r>
          </w:p>
        </w:tc>
        <w:tc>
          <w:tcPr>
            <w:tcW w:w="1987" w:type="dxa"/>
            <w:tcBorders>
              <w:top w:val="single" w:sz="8" w:space="0" w:color="000000"/>
            </w:tcBorders>
          </w:tcPr>
          <w:p>
            <w:pPr>
              <w:pStyle w:val="TableParagraph"/>
              <w:ind w:left="0"/>
              <w:rPr>
                <w:sz w:val="23"/>
              </w:rPr>
            </w:pPr>
          </w:p>
          <w:p>
            <w:pPr>
              <w:pStyle w:val="TableParagraph"/>
              <w:spacing w:before="1"/>
              <w:ind w:left="191"/>
              <w:rPr>
                <w:b/>
                <w:sz w:val="21"/>
              </w:rPr>
            </w:pPr>
            <w:r>
              <w:rPr>
                <w:b/>
                <w:sz w:val="21"/>
              </w:rPr>
              <w:t>保单年度</w:t>
            </w:r>
          </w:p>
        </w:tc>
        <w:tc>
          <w:tcPr>
            <w:tcW w:w="7555" w:type="dxa"/>
            <w:tcBorders>
              <w:top w:val="single" w:sz="8" w:space="0" w:color="000000"/>
            </w:tcBorders>
          </w:tcPr>
          <w:p>
            <w:pPr>
              <w:pStyle w:val="TableParagraph"/>
              <w:ind w:left="0"/>
              <w:rPr>
                <w:sz w:val="23"/>
              </w:rPr>
            </w:pPr>
          </w:p>
          <w:p>
            <w:pPr>
              <w:pStyle w:val="TableParagraph"/>
              <w:spacing w:line="273" w:lineRule="auto" w:before="1"/>
              <w:ind w:left="131" w:right="113"/>
              <w:rPr>
                <w:sz w:val="21"/>
              </w:rPr>
            </w:pPr>
            <w:r>
              <w:rPr>
                <w:sz w:val="21"/>
              </w:rPr>
              <w:t>从本合同生效日或保单周年日零时起至下一年度的保单周年日零时止为一个保单年度。</w:t>
            </w:r>
          </w:p>
        </w:tc>
      </w:tr>
      <w:tr>
        <w:trPr>
          <w:trHeight w:val="936" w:hRule="atLeast"/>
        </w:trPr>
        <w:tc>
          <w:tcPr>
            <w:tcW w:w="707" w:type="dxa"/>
          </w:tcPr>
          <w:p>
            <w:pPr>
              <w:pStyle w:val="TableParagraph"/>
              <w:spacing w:before="142"/>
              <w:ind w:left="107"/>
              <w:rPr>
                <w:b/>
                <w:sz w:val="21"/>
              </w:rPr>
            </w:pPr>
            <w:r>
              <w:rPr>
                <w:b/>
                <w:sz w:val="21"/>
              </w:rPr>
              <w:t>10.2</w:t>
            </w:r>
          </w:p>
        </w:tc>
        <w:tc>
          <w:tcPr>
            <w:tcW w:w="1987" w:type="dxa"/>
          </w:tcPr>
          <w:p>
            <w:pPr>
              <w:pStyle w:val="TableParagraph"/>
              <w:spacing w:before="142"/>
              <w:ind w:left="191"/>
              <w:rPr>
                <w:b/>
                <w:sz w:val="21"/>
              </w:rPr>
            </w:pPr>
            <w:r>
              <w:rPr>
                <w:b/>
                <w:sz w:val="21"/>
              </w:rPr>
              <w:t>保单周年日</w:t>
            </w:r>
          </w:p>
        </w:tc>
        <w:tc>
          <w:tcPr>
            <w:tcW w:w="7555" w:type="dxa"/>
          </w:tcPr>
          <w:p>
            <w:pPr>
              <w:pStyle w:val="TableParagraph"/>
              <w:spacing w:line="273" w:lineRule="auto" w:before="142"/>
              <w:ind w:left="131" w:right="58"/>
              <w:rPr>
                <w:sz w:val="21"/>
              </w:rPr>
            </w:pPr>
            <w:r>
              <w:rPr>
                <w:sz w:val="21"/>
              </w:rPr>
              <w:t>指本合同生效日在合同生效后每年的对应日，不含本合同生效日当日。若当月没有对应的同一日，则以该月最后一日为对应日。</w:t>
            </w:r>
          </w:p>
        </w:tc>
      </w:tr>
      <w:tr>
        <w:trPr>
          <w:trHeight w:val="936" w:hRule="atLeast"/>
        </w:trPr>
        <w:tc>
          <w:tcPr>
            <w:tcW w:w="707" w:type="dxa"/>
          </w:tcPr>
          <w:p>
            <w:pPr>
              <w:pStyle w:val="TableParagraph"/>
              <w:spacing w:before="142"/>
              <w:ind w:left="107"/>
              <w:rPr>
                <w:b/>
                <w:sz w:val="21"/>
              </w:rPr>
            </w:pPr>
            <w:r>
              <w:rPr>
                <w:b/>
                <w:sz w:val="21"/>
              </w:rPr>
              <w:t>10.3</w:t>
            </w:r>
          </w:p>
        </w:tc>
        <w:tc>
          <w:tcPr>
            <w:tcW w:w="1987" w:type="dxa"/>
          </w:tcPr>
          <w:p>
            <w:pPr>
              <w:pStyle w:val="TableParagraph"/>
              <w:spacing w:before="142"/>
              <w:ind w:left="191"/>
              <w:rPr>
                <w:b/>
                <w:sz w:val="21"/>
              </w:rPr>
            </w:pPr>
            <w:r>
              <w:rPr>
                <w:b/>
                <w:sz w:val="21"/>
              </w:rPr>
              <w:t>保险费约定支付日</w:t>
            </w:r>
          </w:p>
        </w:tc>
        <w:tc>
          <w:tcPr>
            <w:tcW w:w="7555" w:type="dxa"/>
          </w:tcPr>
          <w:p>
            <w:pPr>
              <w:pStyle w:val="TableParagraph"/>
              <w:spacing w:line="273" w:lineRule="auto" w:before="142"/>
              <w:ind w:left="131" w:right="66"/>
              <w:rPr>
                <w:sz w:val="21"/>
              </w:rPr>
            </w:pPr>
            <w:r>
              <w:rPr>
                <w:sz w:val="21"/>
              </w:rPr>
              <w:t>指本合同生效日在每月、每季、每半年或每年（根据交费方式确定）的对应日。若当月无对应的同一日，则以该月最后一日为对应日。</w:t>
            </w:r>
          </w:p>
        </w:tc>
      </w:tr>
      <w:tr>
        <w:trPr>
          <w:trHeight w:val="936" w:hRule="atLeast"/>
        </w:trPr>
        <w:tc>
          <w:tcPr>
            <w:tcW w:w="707" w:type="dxa"/>
          </w:tcPr>
          <w:p>
            <w:pPr>
              <w:pStyle w:val="TableParagraph"/>
              <w:spacing w:before="142"/>
              <w:ind w:left="107"/>
              <w:rPr>
                <w:b/>
                <w:sz w:val="21"/>
              </w:rPr>
            </w:pPr>
            <w:r>
              <w:rPr>
                <w:b/>
                <w:sz w:val="21"/>
              </w:rPr>
              <w:t>10.4</w:t>
            </w:r>
          </w:p>
        </w:tc>
        <w:tc>
          <w:tcPr>
            <w:tcW w:w="1987" w:type="dxa"/>
          </w:tcPr>
          <w:p>
            <w:pPr>
              <w:pStyle w:val="TableParagraph"/>
              <w:spacing w:before="142"/>
              <w:ind w:left="191"/>
              <w:rPr>
                <w:b/>
                <w:sz w:val="21"/>
              </w:rPr>
            </w:pPr>
            <w:r>
              <w:rPr>
                <w:b/>
                <w:sz w:val="21"/>
              </w:rPr>
              <w:t>周岁</w:t>
            </w:r>
          </w:p>
        </w:tc>
        <w:tc>
          <w:tcPr>
            <w:tcW w:w="7555" w:type="dxa"/>
          </w:tcPr>
          <w:p>
            <w:pPr>
              <w:pStyle w:val="TableParagraph"/>
              <w:spacing w:line="273" w:lineRule="auto" w:before="142"/>
              <w:ind w:left="131" w:right="66"/>
              <w:rPr>
                <w:sz w:val="21"/>
              </w:rPr>
            </w:pPr>
            <w:r>
              <w:rPr>
                <w:sz w:val="21"/>
              </w:rPr>
              <w:t>指按法定身份证明文件中记载的出生日期计算的年龄，自出生之日起为零周岁， 每经过一年增加一岁，不足一年的不计。</w:t>
            </w:r>
          </w:p>
        </w:tc>
      </w:tr>
      <w:tr>
        <w:trPr>
          <w:trHeight w:val="936" w:hRule="atLeast"/>
        </w:trPr>
        <w:tc>
          <w:tcPr>
            <w:tcW w:w="707" w:type="dxa"/>
          </w:tcPr>
          <w:p>
            <w:pPr>
              <w:pStyle w:val="TableParagraph"/>
              <w:spacing w:before="143"/>
              <w:ind w:left="107"/>
              <w:rPr>
                <w:b/>
                <w:sz w:val="21"/>
              </w:rPr>
            </w:pPr>
            <w:r>
              <w:rPr>
                <w:b/>
                <w:sz w:val="21"/>
              </w:rPr>
              <w:t>10.5</w:t>
            </w:r>
          </w:p>
        </w:tc>
        <w:tc>
          <w:tcPr>
            <w:tcW w:w="1987" w:type="dxa"/>
          </w:tcPr>
          <w:p>
            <w:pPr>
              <w:pStyle w:val="TableParagraph"/>
              <w:spacing w:before="143"/>
              <w:ind w:left="191"/>
              <w:rPr>
                <w:b/>
                <w:sz w:val="21"/>
              </w:rPr>
            </w:pPr>
            <w:r>
              <w:rPr>
                <w:b/>
                <w:sz w:val="21"/>
              </w:rPr>
              <w:t>有效身份证件</w:t>
            </w:r>
          </w:p>
        </w:tc>
        <w:tc>
          <w:tcPr>
            <w:tcW w:w="7555" w:type="dxa"/>
          </w:tcPr>
          <w:p>
            <w:pPr>
              <w:pStyle w:val="TableParagraph"/>
              <w:spacing w:line="273" w:lineRule="auto" w:before="143"/>
              <w:ind w:left="131" w:right="103"/>
              <w:rPr>
                <w:sz w:val="21"/>
              </w:rPr>
            </w:pPr>
            <w:r>
              <w:rPr>
                <w:spacing w:val="-6"/>
                <w:sz w:val="21"/>
              </w:rPr>
              <w:t>指由政府主管部门规定的证明其身份的证件，如：居民身份证、按规定可使用的</w:t>
            </w:r>
            <w:r>
              <w:rPr>
                <w:spacing w:val="-4"/>
                <w:sz w:val="21"/>
              </w:rPr>
              <w:t>有效护照、军官证、警官证、士兵证、户口簿等证件。</w:t>
            </w:r>
          </w:p>
        </w:tc>
      </w:tr>
      <w:tr>
        <w:trPr>
          <w:trHeight w:val="623" w:hRule="atLeast"/>
        </w:trPr>
        <w:tc>
          <w:tcPr>
            <w:tcW w:w="707" w:type="dxa"/>
          </w:tcPr>
          <w:p>
            <w:pPr>
              <w:pStyle w:val="TableParagraph"/>
              <w:spacing w:before="142"/>
              <w:ind w:left="107"/>
              <w:rPr>
                <w:b/>
                <w:sz w:val="21"/>
              </w:rPr>
            </w:pPr>
            <w:r>
              <w:rPr>
                <w:b/>
                <w:sz w:val="21"/>
              </w:rPr>
              <w:t>10.6</w:t>
            </w:r>
          </w:p>
        </w:tc>
        <w:tc>
          <w:tcPr>
            <w:tcW w:w="1987" w:type="dxa"/>
          </w:tcPr>
          <w:p>
            <w:pPr>
              <w:pStyle w:val="TableParagraph"/>
              <w:spacing w:before="142"/>
              <w:ind w:left="191"/>
              <w:rPr>
                <w:b/>
                <w:sz w:val="21"/>
              </w:rPr>
            </w:pPr>
            <w:r>
              <w:rPr>
                <w:b/>
                <w:sz w:val="21"/>
              </w:rPr>
              <w:t>意外伤害</w:t>
            </w:r>
          </w:p>
        </w:tc>
        <w:tc>
          <w:tcPr>
            <w:tcW w:w="7555" w:type="dxa"/>
          </w:tcPr>
          <w:p>
            <w:pPr>
              <w:pStyle w:val="TableParagraph"/>
              <w:spacing w:before="142"/>
              <w:ind w:left="131"/>
              <w:rPr>
                <w:sz w:val="21"/>
              </w:rPr>
            </w:pPr>
            <w:r>
              <w:rPr>
                <w:spacing w:val="-15"/>
                <w:sz w:val="21"/>
              </w:rPr>
              <w:t>指遭受外来的、突发的、非本意的、非疾病的客观事件直接致使身体受到的伤害。</w:t>
            </w:r>
          </w:p>
        </w:tc>
      </w:tr>
      <w:tr>
        <w:trPr>
          <w:trHeight w:val="1041" w:hRule="atLeast"/>
        </w:trPr>
        <w:tc>
          <w:tcPr>
            <w:tcW w:w="707" w:type="dxa"/>
          </w:tcPr>
          <w:p>
            <w:pPr>
              <w:pStyle w:val="TableParagraph"/>
              <w:spacing w:before="142"/>
              <w:ind w:left="107"/>
              <w:rPr>
                <w:b/>
                <w:sz w:val="21"/>
              </w:rPr>
            </w:pPr>
            <w:r>
              <w:rPr>
                <w:b/>
                <w:sz w:val="21"/>
              </w:rPr>
              <w:t>10.7</w:t>
            </w:r>
          </w:p>
        </w:tc>
        <w:tc>
          <w:tcPr>
            <w:tcW w:w="1987" w:type="dxa"/>
          </w:tcPr>
          <w:p>
            <w:pPr>
              <w:pStyle w:val="TableParagraph"/>
              <w:spacing w:line="310" w:lineRule="atLeast" w:before="107"/>
              <w:ind w:left="191" w:right="104"/>
              <w:jc w:val="both"/>
              <w:rPr>
                <w:b/>
                <w:sz w:val="21"/>
              </w:rPr>
            </w:pPr>
            <w:r>
              <w:rPr>
                <w:b/>
                <w:sz w:val="21"/>
              </w:rPr>
              <w:t>初次患本合同所列的轻症疾病、重大疾病</w:t>
            </w:r>
          </w:p>
        </w:tc>
        <w:tc>
          <w:tcPr>
            <w:tcW w:w="7555" w:type="dxa"/>
          </w:tcPr>
          <w:p>
            <w:pPr>
              <w:pStyle w:val="TableParagraph"/>
              <w:spacing w:before="142"/>
              <w:ind w:left="131"/>
              <w:rPr>
                <w:sz w:val="21"/>
              </w:rPr>
            </w:pPr>
            <w:r>
              <w:rPr>
                <w:sz w:val="21"/>
              </w:rPr>
              <w:t>指被保险人患同时符合以下条件的疾病：</w:t>
            </w:r>
          </w:p>
          <w:p>
            <w:pPr>
              <w:pStyle w:val="TableParagraph"/>
              <w:spacing w:before="36"/>
              <w:ind w:left="131"/>
              <w:rPr>
                <w:sz w:val="21"/>
              </w:rPr>
            </w:pPr>
            <w:r>
              <w:rPr>
                <w:sz w:val="21"/>
              </w:rPr>
              <w:t>（1）被保险人自出生后首次出现疾病之症状体征；</w:t>
            </w:r>
          </w:p>
          <w:p>
            <w:pPr>
              <w:pStyle w:val="TableParagraph"/>
              <w:spacing w:line="255" w:lineRule="exact" w:before="36"/>
              <w:ind w:left="131"/>
              <w:rPr>
                <w:sz w:val="21"/>
              </w:rPr>
            </w:pPr>
            <w:r>
              <w:rPr>
                <w:spacing w:val="-13"/>
                <w:sz w:val="21"/>
              </w:rPr>
              <w:t>（2）</w:t>
            </w:r>
            <w:r>
              <w:rPr>
                <w:spacing w:val="-3"/>
                <w:sz w:val="21"/>
              </w:rPr>
              <w:t>被保险人在本合同有效期间内首次出现疾病之症状体征并被确诊患该疾病；</w:t>
            </w:r>
          </w:p>
        </w:tc>
      </w:tr>
    </w:tbl>
    <w:p>
      <w:pPr>
        <w:spacing w:after="0" w:line="255" w:lineRule="exact"/>
        <w:rPr>
          <w:sz w:val="21"/>
        </w:rPr>
        <w:sectPr>
          <w:pgSz w:w="11910" w:h="16840"/>
          <w:pgMar w:header="0" w:footer="353" w:top="1160" w:bottom="540" w:left="72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2005"/>
        <w:gridCol w:w="7731"/>
      </w:tblGrid>
      <w:tr>
        <w:trPr>
          <w:trHeight w:val="1354" w:hRule="atLeast"/>
        </w:trPr>
        <w:tc>
          <w:tcPr>
            <w:tcW w:w="806" w:type="dxa"/>
          </w:tcPr>
          <w:p>
            <w:pPr>
              <w:pStyle w:val="TableParagraph"/>
              <w:ind w:left="0"/>
              <w:rPr>
                <w:rFonts w:ascii="Times New Roman"/>
                <w:sz w:val="20"/>
              </w:rPr>
            </w:pPr>
          </w:p>
        </w:tc>
        <w:tc>
          <w:tcPr>
            <w:tcW w:w="2005" w:type="dxa"/>
          </w:tcPr>
          <w:p>
            <w:pPr>
              <w:pStyle w:val="TableParagraph"/>
              <w:ind w:left="0"/>
              <w:rPr>
                <w:rFonts w:ascii="Times New Roman"/>
                <w:sz w:val="20"/>
              </w:rPr>
            </w:pPr>
          </w:p>
        </w:tc>
        <w:tc>
          <w:tcPr>
            <w:tcW w:w="7731" w:type="dxa"/>
          </w:tcPr>
          <w:p>
            <w:pPr>
              <w:pStyle w:val="TableParagraph"/>
              <w:spacing w:line="211" w:lineRule="exact"/>
              <w:ind w:left="106"/>
              <w:rPr>
                <w:sz w:val="21"/>
              </w:rPr>
            </w:pPr>
            <w:r>
              <w:rPr>
                <w:sz w:val="21"/>
              </w:rPr>
              <w:t>（3）该疾病之症状体征符合本合同的定义；</w:t>
            </w:r>
          </w:p>
          <w:p>
            <w:pPr>
              <w:pStyle w:val="TableParagraph"/>
              <w:spacing w:before="37"/>
              <w:ind w:left="106"/>
              <w:rPr>
                <w:sz w:val="21"/>
              </w:rPr>
            </w:pPr>
            <w:r>
              <w:rPr>
                <w:sz w:val="21"/>
              </w:rPr>
              <w:t>（4）该疾病已在本合同中列明。</w:t>
            </w:r>
          </w:p>
          <w:p>
            <w:pPr>
              <w:pStyle w:val="TableParagraph"/>
              <w:spacing w:line="259" w:lineRule="auto" w:before="25"/>
              <w:ind w:left="106" w:right="311"/>
              <w:rPr>
                <w:sz w:val="21"/>
              </w:rPr>
            </w:pPr>
            <w:r>
              <w:rPr>
                <w:rFonts w:ascii="黑体" w:eastAsia="黑体" w:hint="eastAsia"/>
                <w:b/>
                <w:i/>
                <w:w w:val="95"/>
                <w:sz w:val="22"/>
              </w:rPr>
              <w:t>对于被保险人在本合同Th效日前出现的本合同所列的疾病之症状体征或所患的疾病，我们不承担保险责任</w:t>
            </w:r>
            <w:r>
              <w:rPr>
                <w:w w:val="95"/>
                <w:sz w:val="21"/>
              </w:rPr>
              <w:t>。</w:t>
            </w:r>
          </w:p>
        </w:tc>
      </w:tr>
      <w:tr>
        <w:trPr>
          <w:trHeight w:val="931" w:hRule="atLeast"/>
        </w:trPr>
        <w:tc>
          <w:tcPr>
            <w:tcW w:w="806" w:type="dxa"/>
          </w:tcPr>
          <w:p>
            <w:pPr>
              <w:pStyle w:val="TableParagraph"/>
              <w:spacing w:before="142"/>
              <w:ind w:left="200"/>
              <w:rPr>
                <w:b/>
                <w:sz w:val="21"/>
              </w:rPr>
            </w:pPr>
            <w:r>
              <w:rPr>
                <w:b/>
                <w:sz w:val="21"/>
              </w:rPr>
              <w:t>10.8</w:t>
            </w:r>
          </w:p>
        </w:tc>
        <w:tc>
          <w:tcPr>
            <w:tcW w:w="2005" w:type="dxa"/>
          </w:tcPr>
          <w:p>
            <w:pPr>
              <w:pStyle w:val="TableParagraph"/>
              <w:spacing w:before="142"/>
              <w:ind w:left="184"/>
              <w:rPr>
                <w:b/>
                <w:sz w:val="21"/>
              </w:rPr>
            </w:pPr>
            <w:r>
              <w:rPr>
                <w:b/>
                <w:sz w:val="21"/>
              </w:rPr>
              <w:t>轻症疾病</w:t>
            </w:r>
          </w:p>
        </w:tc>
        <w:tc>
          <w:tcPr>
            <w:tcW w:w="7731" w:type="dxa"/>
          </w:tcPr>
          <w:p>
            <w:pPr>
              <w:pStyle w:val="TableParagraph"/>
              <w:spacing w:line="273" w:lineRule="auto" w:before="142"/>
              <w:ind w:left="106" w:right="303"/>
              <w:rPr>
                <w:sz w:val="21"/>
              </w:rPr>
            </w:pPr>
            <w:r>
              <w:rPr>
                <w:spacing w:val="-4"/>
                <w:w w:val="100"/>
                <w:sz w:val="21"/>
              </w:rPr>
              <w:t>指被保险人发生符合以下疾病定义所述条件的疾病</w:t>
            </w:r>
            <w:r>
              <w:rPr>
                <w:w w:val="100"/>
                <w:sz w:val="21"/>
              </w:rPr>
              <w:t>（共</w:t>
            </w:r>
            <w:r>
              <w:rPr>
                <w:spacing w:val="-53"/>
                <w:sz w:val="21"/>
              </w:rPr>
              <w:t> </w:t>
            </w:r>
            <w:r>
              <w:rPr>
                <w:w w:val="100"/>
                <w:sz w:val="21"/>
              </w:rPr>
              <w:t>15</w:t>
            </w:r>
            <w:r>
              <w:rPr>
                <w:spacing w:val="-55"/>
                <w:sz w:val="21"/>
              </w:rPr>
              <w:t> </w:t>
            </w:r>
            <w:r>
              <w:rPr>
                <w:w w:val="100"/>
                <w:sz w:val="21"/>
              </w:rPr>
              <w:t>种</w:t>
            </w:r>
            <w:r>
              <w:rPr>
                <w:spacing w:val="-108"/>
                <w:w w:val="100"/>
                <w:sz w:val="21"/>
              </w:rPr>
              <w:t>）</w:t>
            </w:r>
            <w:r>
              <w:rPr>
                <w:spacing w:val="-5"/>
                <w:w w:val="100"/>
                <w:sz w:val="21"/>
              </w:rPr>
              <w:t>，应当由专科医生</w:t>
            </w:r>
            <w:r>
              <w:rPr>
                <w:spacing w:val="-4"/>
                <w:sz w:val="21"/>
              </w:rPr>
              <w:t>明确诊断。</w:t>
            </w:r>
          </w:p>
        </w:tc>
      </w:tr>
      <w:tr>
        <w:trPr>
          <w:trHeight w:val="3744"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339" w:lineRule="exact" w:before="60"/>
              <w:ind w:left="184"/>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非危及生命的</w:t>
            </w:r>
          </w:p>
          <w:p>
            <w:pPr>
              <w:pStyle w:val="TableParagraph"/>
              <w:spacing w:line="204" w:lineRule="auto" w:before="28"/>
              <w:ind w:left="604" w:right="103"/>
              <w:rPr>
                <w:rFonts w:ascii="Microsoft JhengHei" w:eastAsia="Microsoft JhengHei" w:hint="eastAsia"/>
                <w:b/>
                <w:sz w:val="21"/>
              </w:rPr>
            </w:pPr>
            <w:r>
              <w:rPr>
                <w:rFonts w:ascii="Microsoft JhengHei" w:eastAsia="Microsoft JhengHei" w:hint="eastAsia"/>
                <w:b/>
                <w:sz w:val="21"/>
              </w:rPr>
              <w:t>（极早期的） 恶性病变</w:t>
            </w:r>
          </w:p>
        </w:tc>
        <w:tc>
          <w:tcPr>
            <w:tcW w:w="7731" w:type="dxa"/>
          </w:tcPr>
          <w:p>
            <w:pPr>
              <w:pStyle w:val="TableParagraph"/>
              <w:spacing w:line="273" w:lineRule="auto" w:before="146"/>
              <w:ind w:left="106" w:right="259"/>
              <w:rPr>
                <w:sz w:val="21"/>
              </w:rPr>
            </w:pPr>
            <w:r>
              <w:rPr>
                <w:sz w:val="21"/>
              </w:rPr>
              <w:t>指被保险人生前经组织病理学检查被明确诊断为下列恶性病变，并且接受了相应的治疗。</w:t>
            </w:r>
          </w:p>
          <w:p>
            <w:pPr>
              <w:pStyle w:val="TableParagraph"/>
              <w:spacing w:before="8"/>
              <w:ind w:left="106"/>
              <w:jc w:val="both"/>
              <w:rPr>
                <w:sz w:val="21"/>
              </w:rPr>
            </w:pPr>
            <w:r>
              <w:rPr>
                <w:sz w:val="21"/>
              </w:rPr>
              <w:t>（1）原位癌</w:t>
            </w:r>
            <w:r>
              <w:rPr>
                <w:position w:val="11"/>
                <w:sz w:val="11"/>
              </w:rPr>
              <w:t>*</w:t>
            </w:r>
            <w:r>
              <w:rPr>
                <w:sz w:val="21"/>
              </w:rPr>
              <w:t>；</w:t>
            </w:r>
          </w:p>
          <w:p>
            <w:pPr>
              <w:pStyle w:val="TableParagraph"/>
              <w:spacing w:before="37"/>
              <w:ind w:left="106"/>
              <w:jc w:val="both"/>
              <w:rPr>
                <w:sz w:val="21"/>
              </w:rPr>
            </w:pPr>
            <w:r>
              <w:rPr>
                <w:sz w:val="21"/>
              </w:rPr>
              <w:t>（2）相当于Binet分期方案A期程度的慢性淋巴细胞白血病；</w:t>
            </w:r>
          </w:p>
          <w:p>
            <w:pPr>
              <w:pStyle w:val="TableParagraph"/>
              <w:spacing w:before="37"/>
              <w:ind w:left="106"/>
              <w:jc w:val="both"/>
              <w:rPr>
                <w:sz w:val="21"/>
              </w:rPr>
            </w:pPr>
            <w:r>
              <w:rPr>
                <w:sz w:val="21"/>
              </w:rPr>
              <w:t>（3）相当于Ann Arbor分期方案I期程度的何杰金氏病；</w:t>
            </w:r>
          </w:p>
          <w:p>
            <w:pPr>
              <w:pStyle w:val="TableParagraph"/>
              <w:spacing w:before="37"/>
              <w:ind w:left="106"/>
              <w:jc w:val="both"/>
              <w:rPr>
                <w:sz w:val="21"/>
              </w:rPr>
            </w:pPr>
            <w:r>
              <w:rPr>
                <w:sz w:val="21"/>
              </w:rPr>
              <w:t>（4）皮肤癌（不包括恶性黑色素瘤及已发生转移的皮肤癌）；</w:t>
            </w:r>
          </w:p>
          <w:p>
            <w:pPr>
              <w:pStyle w:val="TableParagraph"/>
              <w:spacing w:before="37"/>
              <w:ind w:left="106"/>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6"/>
              <w:jc w:val="both"/>
              <w:rPr>
                <w:sz w:val="21"/>
              </w:rPr>
            </w:pPr>
            <w:r>
              <w:rPr>
                <w:position w:val="11"/>
                <w:sz w:val="11"/>
              </w:rPr>
              <w:t>*</w:t>
            </w:r>
            <w:r>
              <w:rPr>
                <w:sz w:val="21"/>
              </w:rPr>
              <w:t>原位癌</w:t>
            </w:r>
          </w:p>
          <w:p>
            <w:pPr>
              <w:pStyle w:val="TableParagraph"/>
              <w:spacing w:line="273" w:lineRule="auto" w:before="36"/>
              <w:ind w:left="106" w:right="303"/>
              <w:jc w:val="both"/>
              <w:rPr>
                <w:sz w:val="21"/>
              </w:rPr>
            </w:pPr>
            <w:r>
              <w:rPr>
                <w:spacing w:val="-5"/>
                <w:sz w:val="21"/>
              </w:rPr>
              <w:t>指恶性细胞局限于上皮内尚未穿破基底膜浸润周围正常组织的癌细胞新生物。原</w:t>
            </w:r>
            <w:r>
              <w:rPr>
                <w:spacing w:val="-6"/>
                <w:sz w:val="21"/>
              </w:rPr>
              <w:t>位癌必须经对固定活组织的组织病理学检查明确诊断。被保险人必须己经接受了</w:t>
            </w:r>
            <w:r>
              <w:rPr>
                <w:spacing w:val="-4"/>
                <w:sz w:val="21"/>
              </w:rPr>
              <w:t>针对原位癌病灶的积极治疗。</w:t>
            </w:r>
          </w:p>
        </w:tc>
      </w:tr>
      <w:tr>
        <w:trPr>
          <w:trHeight w:val="1248"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204" w:lineRule="auto" w:before="114"/>
              <w:ind w:left="604" w:right="103" w:hanging="420"/>
              <w:rPr>
                <w:rFonts w:ascii="Microsoft JhengHei" w:eastAsia="Microsoft JhengHei" w:hint="eastAsia"/>
                <w:b/>
                <w:sz w:val="21"/>
              </w:rPr>
            </w:pPr>
            <w:r>
              <w:rPr>
                <w:rFonts w:ascii="Microsoft JhengHei" w:eastAsia="Microsoft JhengHei" w:hint="eastAsia"/>
                <w:b/>
                <w:sz w:val="21"/>
              </w:rPr>
              <w:t>2.</w:t>
              <w:tab/>
            </w:r>
            <w:r>
              <w:rPr>
                <w:rFonts w:ascii="Microsoft JhengHei" w:eastAsia="Microsoft JhengHei" w:hint="eastAsia"/>
                <w:b/>
                <w:spacing w:val="1"/>
                <w:sz w:val="21"/>
              </w:rPr>
              <w:t>冠状动脉介入 手术</w:t>
            </w:r>
          </w:p>
        </w:tc>
        <w:tc>
          <w:tcPr>
            <w:tcW w:w="7731" w:type="dxa"/>
          </w:tcPr>
          <w:p>
            <w:pPr>
              <w:pStyle w:val="TableParagraph"/>
              <w:spacing w:line="273" w:lineRule="auto" w:before="146"/>
              <w:ind w:left="106" w:right="303"/>
              <w:jc w:val="both"/>
              <w:rPr>
                <w:sz w:val="21"/>
              </w:rPr>
            </w:pPr>
            <w:r>
              <w:rPr>
                <w:spacing w:val="-5"/>
                <w:sz w:val="21"/>
              </w:rPr>
              <w:t>指被保险人为了治疗明显的冠状动脉狭窄性疾病，首次实际实施了冠状动脉球囊</w:t>
            </w:r>
            <w:r>
              <w:rPr>
                <w:spacing w:val="-7"/>
                <w:sz w:val="21"/>
              </w:rPr>
              <w:t>扩张成形术、冠状动脉支架植入术、冠状动脉粥肿斑块切除术或激光冠状动脉成形术。</w:t>
            </w:r>
          </w:p>
        </w:tc>
      </w:tr>
      <w:tr>
        <w:trPr>
          <w:trHeight w:val="1560"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before="60"/>
              <w:ind w:left="184"/>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轻微脑中风</w:t>
            </w:r>
          </w:p>
        </w:tc>
        <w:tc>
          <w:tcPr>
            <w:tcW w:w="7731" w:type="dxa"/>
          </w:tcPr>
          <w:p>
            <w:pPr>
              <w:pStyle w:val="TableParagraph"/>
              <w:spacing w:line="273" w:lineRule="auto" w:before="146"/>
              <w:ind w:left="106" w:right="198"/>
              <w:rPr>
                <w:sz w:val="21"/>
              </w:rPr>
            </w:pPr>
            <w:r>
              <w:rPr>
                <w:sz w:val="21"/>
              </w:rPr>
              <w:t>指被保险人因非意外原因实际发生了脑血管的突发病变出现神经系统功能障碍 </w:t>
            </w:r>
            <w:r>
              <w:rPr>
                <w:spacing w:val="-4"/>
                <w:sz w:val="21"/>
              </w:rPr>
              <w:t>表现，头颅断层扫描</w:t>
            </w:r>
            <w:r>
              <w:rPr>
                <w:spacing w:val="-3"/>
                <w:sz w:val="21"/>
              </w:rPr>
              <w:t>（CT）</w:t>
            </w:r>
            <w:r>
              <w:rPr>
                <w:spacing w:val="-4"/>
                <w:sz w:val="21"/>
              </w:rPr>
              <w:t>、核磁共振</w:t>
            </w:r>
            <w:r>
              <w:rPr>
                <w:spacing w:val="-3"/>
                <w:sz w:val="21"/>
              </w:rPr>
              <w:t>（MRI）等影像学检查证实存在对应病灶， 确诊为脑出血、脑栓塞或脑梗塞，在确诊180天后仍然遗留一肢或一肢以上肢体</w:t>
            </w:r>
            <w:r>
              <w:rPr>
                <w:spacing w:val="-1"/>
                <w:sz w:val="21"/>
              </w:rPr>
              <w:t>肌力III</w:t>
            </w:r>
            <w:r>
              <w:rPr>
                <w:spacing w:val="-2"/>
                <w:sz w:val="21"/>
              </w:rPr>
              <w:t>级或</w:t>
            </w:r>
            <w:r>
              <w:rPr>
                <w:spacing w:val="-1"/>
                <w:sz w:val="21"/>
              </w:rPr>
              <w:t>III</w:t>
            </w:r>
            <w:r>
              <w:rPr>
                <w:spacing w:val="-3"/>
                <w:sz w:val="21"/>
              </w:rPr>
              <w:t>级以下的运动功能障碍。</w:t>
            </w:r>
          </w:p>
        </w:tc>
      </w:tr>
      <w:tr>
        <w:trPr>
          <w:trHeight w:val="936"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204" w:lineRule="auto" w:before="114"/>
              <w:ind w:left="604" w:right="103" w:hanging="420"/>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1"/>
                <w:sz w:val="21"/>
              </w:rPr>
              <w:t>心脏瓣膜介入 手术</w:t>
            </w:r>
          </w:p>
        </w:tc>
        <w:tc>
          <w:tcPr>
            <w:tcW w:w="7731" w:type="dxa"/>
          </w:tcPr>
          <w:p>
            <w:pPr>
              <w:pStyle w:val="TableParagraph"/>
              <w:spacing w:line="273" w:lineRule="auto" w:before="146"/>
              <w:ind w:left="106" w:right="303"/>
              <w:rPr>
                <w:sz w:val="21"/>
              </w:rPr>
            </w:pPr>
            <w:r>
              <w:rPr>
                <w:spacing w:val="-7"/>
                <w:sz w:val="21"/>
              </w:rPr>
              <w:t>为了治疗心脏瓣膜疾病，被保险人实际接受了非开胸的经胸壁打孔内镜手术或经</w:t>
            </w:r>
            <w:r>
              <w:rPr>
                <w:spacing w:val="-5"/>
                <w:sz w:val="21"/>
              </w:rPr>
              <w:t>皮经导管介入手术进行的心脏瓣膜置换或修复手术。</w:t>
            </w:r>
          </w:p>
        </w:tc>
      </w:tr>
      <w:tr>
        <w:trPr>
          <w:trHeight w:val="1871" w:hRule="atLeast"/>
        </w:trPr>
        <w:tc>
          <w:tcPr>
            <w:tcW w:w="806" w:type="dxa"/>
          </w:tcPr>
          <w:p>
            <w:pPr>
              <w:pStyle w:val="TableParagraph"/>
              <w:ind w:left="0"/>
              <w:rPr>
                <w:rFonts w:ascii="Times New Roman"/>
                <w:sz w:val="20"/>
              </w:rPr>
            </w:pPr>
          </w:p>
        </w:tc>
        <w:tc>
          <w:tcPr>
            <w:tcW w:w="2005" w:type="dxa"/>
          </w:tcPr>
          <w:p>
            <w:pPr>
              <w:pStyle w:val="TableParagraph"/>
              <w:spacing w:line="204" w:lineRule="auto" w:before="114"/>
              <w:ind w:left="604" w:right="103" w:hanging="420"/>
              <w:jc w:val="both"/>
              <w:rPr>
                <w:rFonts w:ascii="Microsoft JhengHei" w:eastAsia="Microsoft JhengHei" w:hint="eastAsia"/>
                <w:b/>
                <w:sz w:val="21"/>
              </w:rPr>
            </w:pPr>
            <w:r>
              <w:rPr>
                <w:rFonts w:ascii="Microsoft JhengHei" w:eastAsia="Microsoft JhengHei" w:hint="eastAsia"/>
                <w:b/>
                <w:sz w:val="21"/>
              </w:rPr>
              <w:t>5. 脑垂体瘤、脑囊肿、脑动脉瘤及脑血管瘤</w:t>
            </w:r>
          </w:p>
        </w:tc>
        <w:tc>
          <w:tcPr>
            <w:tcW w:w="7731" w:type="dxa"/>
          </w:tcPr>
          <w:p>
            <w:pPr>
              <w:pStyle w:val="TableParagraph"/>
              <w:spacing w:line="273" w:lineRule="auto" w:before="145"/>
              <w:ind w:left="106" w:right="307"/>
              <w:rPr>
                <w:sz w:val="21"/>
              </w:rPr>
            </w:pPr>
            <w:r>
              <w:rPr>
                <w:sz w:val="21"/>
              </w:rPr>
              <w:t>指被保险人经头颅断层扫描（CT）、核磁共振（MRI）或其他影像学检查被确诊为下列病变，并实际接受了手术或放射治疗。</w:t>
            </w:r>
          </w:p>
          <w:p>
            <w:pPr>
              <w:pStyle w:val="TableParagraph"/>
              <w:spacing w:before="7"/>
              <w:ind w:left="106"/>
              <w:rPr>
                <w:sz w:val="21"/>
              </w:rPr>
            </w:pPr>
            <w:r>
              <w:rPr>
                <w:sz w:val="21"/>
              </w:rPr>
              <w:t>（1）脑垂体瘤；</w:t>
            </w:r>
          </w:p>
          <w:p>
            <w:pPr>
              <w:pStyle w:val="TableParagraph"/>
              <w:spacing w:before="37"/>
              <w:ind w:left="106"/>
              <w:rPr>
                <w:sz w:val="21"/>
              </w:rPr>
            </w:pPr>
            <w:r>
              <w:rPr>
                <w:sz w:val="21"/>
              </w:rPr>
              <w:t>（2）脑囊肿；</w:t>
            </w:r>
          </w:p>
          <w:p>
            <w:pPr>
              <w:pStyle w:val="TableParagraph"/>
              <w:spacing w:before="37"/>
              <w:ind w:left="106"/>
              <w:rPr>
                <w:sz w:val="21"/>
              </w:rPr>
            </w:pPr>
            <w:r>
              <w:rPr>
                <w:sz w:val="21"/>
              </w:rPr>
              <w:t>（3）脑动脉瘤、脑血管瘤。</w:t>
            </w:r>
          </w:p>
        </w:tc>
      </w:tr>
      <w:tr>
        <w:trPr>
          <w:trHeight w:val="2294"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339" w:lineRule="exact" w:before="60"/>
              <w:ind w:left="184"/>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视力严重受损</w:t>
            </w:r>
          </w:p>
          <w:p>
            <w:pPr>
              <w:pStyle w:val="TableParagraph"/>
              <w:spacing w:line="204" w:lineRule="auto" w:before="28"/>
              <w:ind w:left="604" w:right="103"/>
              <w:rPr>
                <w:rFonts w:ascii="Microsoft JhengHei" w:eastAsia="Microsoft JhengHei" w:hint="eastAsia"/>
                <w:b/>
                <w:sz w:val="21"/>
              </w:rPr>
            </w:pPr>
            <w:r>
              <w:rPr>
                <w:rFonts w:ascii="Microsoft JhengHei" w:eastAsia="Microsoft JhengHei" w:hint="eastAsia"/>
                <w:b/>
                <w:sz w:val="21"/>
              </w:rPr>
              <w:t>－三周岁始理赔</w:t>
            </w:r>
          </w:p>
        </w:tc>
        <w:tc>
          <w:tcPr>
            <w:tcW w:w="7731" w:type="dxa"/>
          </w:tcPr>
          <w:p>
            <w:pPr>
              <w:pStyle w:val="TableParagraph"/>
              <w:spacing w:line="273" w:lineRule="auto" w:before="146"/>
              <w:ind w:left="106" w:right="246"/>
              <w:rPr>
                <w:sz w:val="21"/>
              </w:rPr>
            </w:pPr>
            <w:r>
              <w:rPr>
                <w:sz w:val="21"/>
              </w:rPr>
              <w:t>指被保险人因疾病或意外伤害导致双目视力</w:t>
            </w:r>
            <w:r>
              <w:rPr>
                <w:b/>
                <w:sz w:val="21"/>
              </w:rPr>
              <w:t>永久不可逆</w:t>
            </w:r>
            <w:r>
              <w:rPr>
                <w:sz w:val="21"/>
              </w:rPr>
              <w:t>性丧失，虽然未达到重大疾病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的给付标准，但满足下列条件之一：</w:t>
            </w:r>
          </w:p>
          <w:p>
            <w:pPr>
              <w:pStyle w:val="TableParagraph"/>
              <w:spacing w:line="273" w:lineRule="auto"/>
              <w:ind w:left="632" w:right="250" w:hanging="527"/>
              <w:rPr>
                <w:sz w:val="21"/>
              </w:rPr>
            </w:pPr>
            <w:r>
              <w:rPr>
                <w:sz w:val="21"/>
              </w:rPr>
              <w:t>（1）双眼中较好眼矫正视力低于0.1（采用国际标准视力表，如果使用其他视力表应进行换算）；</w:t>
            </w:r>
          </w:p>
          <w:p>
            <w:pPr>
              <w:pStyle w:val="TableParagraph"/>
              <w:spacing w:before="19"/>
              <w:ind w:left="106"/>
              <w:rPr>
                <w:sz w:val="21"/>
              </w:rPr>
            </w:pPr>
            <w:r>
              <w:rPr>
                <w:sz w:val="21"/>
              </w:rPr>
              <w:t>（2）双眼中较好眼视野半径小于20度。</w:t>
            </w:r>
          </w:p>
          <w:p>
            <w:pPr>
              <w:pStyle w:val="TableParagraph"/>
              <w:spacing w:line="310" w:lineRule="atLeast" w:before="3"/>
              <w:ind w:left="106" w:right="309"/>
              <w:rPr>
                <w:b/>
                <w:i/>
                <w:sz w:val="22"/>
              </w:rPr>
            </w:pPr>
            <w:r>
              <w:rPr>
                <w:b/>
                <w:i/>
                <w:spacing w:val="-6"/>
                <w:w w:val="95"/>
                <w:sz w:val="22"/>
              </w:rPr>
              <w:t>被保险人申请理赔时年龄必须在三周岁以上，并且提供理赔当时的视力丧失诊断及检查证据。</w:t>
            </w:r>
          </w:p>
        </w:tc>
      </w:tr>
    </w:tbl>
    <w:p>
      <w:pPr>
        <w:spacing w:after="0" w:line="310" w:lineRule="atLeast"/>
        <w:rPr>
          <w:sz w:val="22"/>
        </w:rPr>
        <w:sectPr>
          <w:pgSz w:w="11910" w:h="16840"/>
          <w:pgMar w:header="0" w:footer="353" w:top="116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2008"/>
        <w:gridCol w:w="7728"/>
      </w:tblGrid>
      <w:tr>
        <w:trPr>
          <w:trHeight w:val="733" w:hRule="atLeast"/>
        </w:trPr>
        <w:tc>
          <w:tcPr>
            <w:tcW w:w="806" w:type="dxa"/>
          </w:tcPr>
          <w:p>
            <w:pPr>
              <w:pStyle w:val="TableParagraph"/>
              <w:ind w:left="0"/>
              <w:rPr>
                <w:rFonts w:ascii="Times New Roman"/>
                <w:sz w:val="20"/>
              </w:rPr>
            </w:pPr>
          </w:p>
        </w:tc>
        <w:tc>
          <w:tcPr>
            <w:tcW w:w="2008" w:type="dxa"/>
          </w:tcPr>
          <w:p>
            <w:pPr>
              <w:pStyle w:val="TableParagraph"/>
              <w:tabs>
                <w:tab w:pos="603" w:val="left" w:leader="none"/>
              </w:tabs>
              <w:spacing w:line="196" w:lineRule="exact"/>
              <w:ind w:left="184"/>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主动脉内介入</w:t>
            </w:r>
          </w:p>
          <w:p>
            <w:pPr>
              <w:pStyle w:val="TableParagraph"/>
              <w:spacing w:line="339" w:lineRule="exact"/>
              <w:ind w:left="604"/>
              <w:rPr>
                <w:rFonts w:ascii="Microsoft JhengHei" w:eastAsia="Microsoft JhengHei" w:hint="eastAsia"/>
                <w:b/>
                <w:sz w:val="21"/>
              </w:rPr>
            </w:pPr>
            <w:r>
              <w:rPr>
                <w:rFonts w:ascii="Microsoft JhengHei" w:eastAsia="Microsoft JhengHei" w:hint="eastAsia"/>
                <w:b/>
                <w:sz w:val="21"/>
              </w:rPr>
              <w:t>手术</w:t>
            </w:r>
          </w:p>
        </w:tc>
        <w:tc>
          <w:tcPr>
            <w:tcW w:w="7728" w:type="dxa"/>
          </w:tcPr>
          <w:p>
            <w:pPr>
              <w:pStyle w:val="TableParagraph"/>
              <w:spacing w:line="218" w:lineRule="exact"/>
              <w:ind w:left="103"/>
              <w:rPr>
                <w:sz w:val="21"/>
              </w:rPr>
            </w:pPr>
            <w:r>
              <w:rPr>
                <w:sz w:val="21"/>
              </w:rPr>
              <w:t>指被保险人为了治疗主动脉疾病实际实施了经皮经导管进行的动脉内手术。主动</w:t>
            </w:r>
          </w:p>
          <w:p>
            <w:pPr>
              <w:pStyle w:val="TableParagraph"/>
              <w:spacing w:before="37"/>
              <w:ind w:left="103"/>
              <w:rPr>
                <w:sz w:val="21"/>
              </w:rPr>
            </w:pPr>
            <w:r>
              <w:rPr>
                <w:sz w:val="21"/>
              </w:rPr>
              <w:t>脉指胸主动脉和腹主动脉，不包括胸主动脉和腹主动脉的分支血管。</w:t>
            </w:r>
          </w:p>
        </w:tc>
      </w:tr>
      <w:tr>
        <w:trPr>
          <w:trHeight w:val="936" w:hRule="atLeast"/>
        </w:trPr>
        <w:tc>
          <w:tcPr>
            <w:tcW w:w="806" w:type="dxa"/>
          </w:tcPr>
          <w:p>
            <w:pPr>
              <w:pStyle w:val="TableParagraph"/>
              <w:ind w:left="0"/>
              <w:rPr>
                <w:rFonts w:ascii="Times New Roman"/>
                <w:sz w:val="20"/>
              </w:rPr>
            </w:pPr>
          </w:p>
        </w:tc>
        <w:tc>
          <w:tcPr>
            <w:tcW w:w="2008" w:type="dxa"/>
          </w:tcPr>
          <w:p>
            <w:pPr>
              <w:pStyle w:val="TableParagraph"/>
              <w:tabs>
                <w:tab w:pos="603" w:val="left" w:leader="none"/>
              </w:tabs>
              <w:spacing w:line="204" w:lineRule="auto" w:before="114"/>
              <w:ind w:left="604" w:right="107"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5"/>
                <w:sz w:val="21"/>
              </w:rPr>
              <w:t>较小面积</w:t>
            </w:r>
            <w:r>
              <w:rPr>
                <w:rFonts w:ascii="Microsoft JhengHei" w:eastAsia="Microsoft JhengHei" w:hint="eastAsia"/>
                <w:b/>
                <w:sz w:val="21"/>
              </w:rPr>
              <w:t>III</w:t>
            </w:r>
            <w:r>
              <w:rPr>
                <w:rFonts w:ascii="Microsoft JhengHei" w:eastAsia="Microsoft JhengHei" w:hint="eastAsia"/>
                <w:b/>
                <w:spacing w:val="-13"/>
                <w:sz w:val="21"/>
              </w:rPr>
              <w:t> 度</w:t>
            </w:r>
            <w:r>
              <w:rPr>
                <w:rFonts w:ascii="Microsoft JhengHei" w:eastAsia="Microsoft JhengHei" w:hint="eastAsia"/>
                <w:b/>
                <w:spacing w:val="-13"/>
                <w:w w:val="95"/>
                <w:sz w:val="21"/>
              </w:rPr>
              <w:t>烧伤（10%）</w:t>
            </w:r>
          </w:p>
        </w:tc>
        <w:tc>
          <w:tcPr>
            <w:tcW w:w="7728" w:type="dxa"/>
          </w:tcPr>
          <w:p>
            <w:pPr>
              <w:pStyle w:val="TableParagraph"/>
              <w:spacing w:line="273" w:lineRule="auto" w:before="145"/>
              <w:ind w:left="103" w:right="307"/>
              <w:rPr>
                <w:sz w:val="21"/>
              </w:rPr>
            </w:pPr>
            <w:r>
              <w:rPr>
                <w:sz w:val="21"/>
              </w:rPr>
              <w:t>指被保险人的烧伤程度为Ⅲ度，且Ⅲ度烧伤的面积大于全身体表面积的10%但小于20%。体表面积根据 《中国新九分法》计算。</w:t>
            </w:r>
          </w:p>
        </w:tc>
      </w:tr>
      <w:tr>
        <w:trPr>
          <w:trHeight w:val="1871" w:hRule="atLeast"/>
        </w:trPr>
        <w:tc>
          <w:tcPr>
            <w:tcW w:w="806" w:type="dxa"/>
          </w:tcPr>
          <w:p>
            <w:pPr>
              <w:pStyle w:val="TableParagraph"/>
              <w:ind w:left="0"/>
              <w:rPr>
                <w:rFonts w:ascii="Times New Roman"/>
                <w:sz w:val="20"/>
              </w:rPr>
            </w:pPr>
          </w:p>
        </w:tc>
        <w:tc>
          <w:tcPr>
            <w:tcW w:w="2008" w:type="dxa"/>
          </w:tcPr>
          <w:p>
            <w:pPr>
              <w:pStyle w:val="TableParagraph"/>
              <w:spacing w:line="204" w:lineRule="auto" w:before="114"/>
              <w:ind w:left="604" w:right="101" w:hanging="420"/>
              <w:jc w:val="both"/>
              <w:rPr>
                <w:rFonts w:ascii="Microsoft JhengHei" w:hAnsi="Microsoft JhengHei" w:eastAsia="Microsoft JhengHei" w:hint="eastAsia"/>
                <w:b/>
                <w:sz w:val="21"/>
              </w:rPr>
            </w:pPr>
            <w:r>
              <w:rPr>
                <w:rFonts w:ascii="Microsoft JhengHei" w:hAnsi="Microsoft JhengHei" w:eastAsia="Microsoft JhengHei" w:hint="eastAsia"/>
                <w:b/>
                <w:sz w:val="21"/>
              </w:rPr>
              <w:t>9. 慢性肾功能损害 </w:t>
            </w:r>
            <w:r>
              <w:rPr>
                <w:b/>
                <w:sz w:val="21"/>
              </w:rPr>
              <w:t>– </w:t>
            </w:r>
            <w:r>
              <w:rPr>
                <w:rFonts w:ascii="Microsoft JhengHei" w:hAnsi="Microsoft JhengHei" w:eastAsia="Microsoft JhengHei" w:hint="eastAsia"/>
                <w:b/>
                <w:sz w:val="21"/>
              </w:rPr>
              <w:t>肾功能衰竭期</w:t>
            </w:r>
          </w:p>
        </w:tc>
        <w:tc>
          <w:tcPr>
            <w:tcW w:w="7728" w:type="dxa"/>
          </w:tcPr>
          <w:p>
            <w:pPr>
              <w:pStyle w:val="TableParagraph"/>
              <w:spacing w:line="273" w:lineRule="auto" w:before="145"/>
              <w:ind w:left="103" w:right="259"/>
              <w:rPr>
                <w:sz w:val="21"/>
              </w:rPr>
            </w:pPr>
            <w:r>
              <w:rPr>
                <w:sz w:val="21"/>
              </w:rPr>
              <w:t>指被保险人因双肾功能慢性不可逆性损害达到肾功能衰竭期，诊断必须满足所有以下标准。</w:t>
            </w:r>
          </w:p>
          <w:p>
            <w:pPr>
              <w:pStyle w:val="TableParagraph"/>
              <w:spacing w:before="7"/>
              <w:ind w:left="103"/>
              <w:rPr>
                <w:sz w:val="21"/>
              </w:rPr>
            </w:pPr>
            <w:r>
              <w:rPr>
                <w:sz w:val="21"/>
              </w:rPr>
              <w:t>（1）GFR &lt; 25%</w:t>
            </w:r>
          </w:p>
          <w:p>
            <w:pPr>
              <w:pStyle w:val="TableParagraph"/>
              <w:spacing w:before="37"/>
              <w:ind w:left="103"/>
              <w:rPr>
                <w:sz w:val="21"/>
              </w:rPr>
            </w:pPr>
            <w:r>
              <w:rPr>
                <w:sz w:val="21"/>
              </w:rPr>
              <w:t>（2）Scr &gt; 5mg/dl或&gt;442umol/L</w:t>
            </w:r>
          </w:p>
          <w:p>
            <w:pPr>
              <w:pStyle w:val="TableParagraph"/>
              <w:spacing w:before="37"/>
              <w:ind w:left="103"/>
              <w:rPr>
                <w:sz w:val="21"/>
              </w:rPr>
            </w:pPr>
            <w:r>
              <w:rPr>
                <w:sz w:val="21"/>
              </w:rPr>
              <w:t>（3）持续180天</w:t>
            </w:r>
          </w:p>
        </w:tc>
      </w:tr>
      <w:tr>
        <w:trPr>
          <w:trHeight w:val="2496" w:hRule="atLeast"/>
        </w:trPr>
        <w:tc>
          <w:tcPr>
            <w:tcW w:w="806" w:type="dxa"/>
          </w:tcPr>
          <w:p>
            <w:pPr>
              <w:pStyle w:val="TableParagraph"/>
              <w:ind w:left="0"/>
              <w:rPr>
                <w:rFonts w:ascii="Times New Roman"/>
                <w:sz w:val="20"/>
              </w:rPr>
            </w:pPr>
          </w:p>
        </w:tc>
        <w:tc>
          <w:tcPr>
            <w:tcW w:w="2008" w:type="dxa"/>
          </w:tcPr>
          <w:p>
            <w:pPr>
              <w:pStyle w:val="TableParagraph"/>
              <w:spacing w:before="60"/>
              <w:ind w:left="184"/>
              <w:rPr>
                <w:rFonts w:ascii="Microsoft JhengHei" w:eastAsia="Microsoft JhengHei" w:hint="eastAsia"/>
                <w:b/>
                <w:sz w:val="21"/>
              </w:rPr>
            </w:pPr>
            <w:r>
              <w:rPr>
                <w:rFonts w:ascii="Microsoft JhengHei" w:eastAsia="Microsoft JhengHei" w:hint="eastAsia"/>
                <w:b/>
                <w:sz w:val="21"/>
              </w:rPr>
              <w:t>10.  重症头部外伤</w:t>
            </w:r>
          </w:p>
        </w:tc>
        <w:tc>
          <w:tcPr>
            <w:tcW w:w="7728" w:type="dxa"/>
          </w:tcPr>
          <w:p>
            <w:pPr>
              <w:pStyle w:val="TableParagraph"/>
              <w:spacing w:line="266" w:lineRule="auto" w:before="146"/>
              <w:ind w:left="103" w:right="291"/>
              <w:jc w:val="both"/>
              <w:rPr>
                <w:sz w:val="21"/>
              </w:rPr>
            </w:pPr>
            <w:r>
              <w:rPr>
                <w:spacing w:val="-17"/>
                <w:w w:val="100"/>
                <w:sz w:val="21"/>
              </w:rPr>
              <w:t>指因头部遭受机械性外力伤害，引起脑重要部位损伤，并且由头颅断层扫描</w:t>
            </w:r>
            <w:r>
              <w:rPr>
                <w:w w:val="100"/>
                <w:sz w:val="21"/>
              </w:rPr>
              <w:t>（C</w:t>
            </w:r>
            <w:r>
              <w:rPr>
                <w:spacing w:val="-3"/>
                <w:w w:val="100"/>
                <w:sz w:val="21"/>
              </w:rPr>
              <w:t>T</w:t>
            </w:r>
            <w:r>
              <w:rPr>
                <w:spacing w:val="-92"/>
                <w:w w:val="100"/>
                <w:sz w:val="21"/>
              </w:rPr>
              <w:t>）、</w:t>
            </w:r>
            <w:r>
              <w:rPr>
                <w:spacing w:val="-3"/>
                <w:sz w:val="21"/>
              </w:rPr>
              <w:t>核磁共振检查（MRI）</w:t>
            </w:r>
            <w:r>
              <w:rPr>
                <w:spacing w:val="-4"/>
                <w:sz w:val="21"/>
              </w:rPr>
              <w:t>或正电子发射断层扫描（PET）等影像学检查证实。头部外伤导致神经系统功能障碍，虽然未达到重大疾病</w:t>
            </w:r>
            <w:r>
              <w:rPr>
                <w:rFonts w:ascii="Times New Roman" w:hAnsi="Times New Roman" w:eastAsia="Times New Roman"/>
                <w:sz w:val="21"/>
              </w:rPr>
              <w:t>“</w:t>
            </w:r>
            <w:r>
              <w:rPr>
                <w:spacing w:val="-3"/>
                <w:sz w:val="21"/>
              </w:rPr>
              <w:t>严重脑损伤</w:t>
            </w:r>
            <w:r>
              <w:rPr>
                <w:rFonts w:ascii="Times New Roman" w:hAnsi="Times New Roman" w:eastAsia="Times New Roman"/>
                <w:sz w:val="21"/>
              </w:rPr>
              <w:t>”</w:t>
            </w:r>
            <w:r>
              <w:rPr>
                <w:spacing w:val="-5"/>
                <w:sz w:val="21"/>
              </w:rPr>
              <w:t>的给付标准，但是</w:t>
            </w:r>
            <w:r>
              <w:rPr>
                <w:spacing w:val="-4"/>
                <w:sz w:val="21"/>
              </w:rPr>
              <w:t>符合以下条件之一：</w:t>
            </w:r>
          </w:p>
          <w:p>
            <w:pPr>
              <w:pStyle w:val="TableParagraph"/>
              <w:spacing w:before="14"/>
              <w:ind w:left="103"/>
              <w:rPr>
                <w:sz w:val="21"/>
              </w:rPr>
            </w:pPr>
            <w:r>
              <w:rPr>
                <w:sz w:val="21"/>
              </w:rPr>
              <w:t>（1）被保险人接受了全麻下颅骨切开颅内血肿清除术（颅骨钻孔术除外）；</w:t>
            </w:r>
          </w:p>
          <w:p>
            <w:pPr>
              <w:pStyle w:val="TableParagraph"/>
              <w:spacing w:line="273" w:lineRule="auto" w:before="37"/>
              <w:ind w:left="629" w:right="249" w:hanging="527"/>
              <w:rPr>
                <w:sz w:val="21"/>
              </w:rPr>
            </w:pPr>
            <w:r>
              <w:rPr>
                <w:sz w:val="21"/>
              </w:rPr>
              <w:t>（2）在外伤 180 天后仍然遗留一肢或一肢以上肢体肌力Ⅲ级或Ⅲ级以下的运动功能障碍。</w:t>
            </w:r>
          </w:p>
        </w:tc>
      </w:tr>
      <w:tr>
        <w:trPr>
          <w:trHeight w:val="936" w:hRule="atLeast"/>
        </w:trPr>
        <w:tc>
          <w:tcPr>
            <w:tcW w:w="806" w:type="dxa"/>
          </w:tcPr>
          <w:p>
            <w:pPr>
              <w:pStyle w:val="TableParagraph"/>
              <w:ind w:left="0"/>
              <w:rPr>
                <w:rFonts w:ascii="Times New Roman"/>
                <w:sz w:val="20"/>
              </w:rPr>
            </w:pPr>
          </w:p>
        </w:tc>
        <w:tc>
          <w:tcPr>
            <w:tcW w:w="2008" w:type="dxa"/>
          </w:tcPr>
          <w:p>
            <w:pPr>
              <w:pStyle w:val="TableParagraph"/>
              <w:spacing w:before="60"/>
              <w:ind w:left="184"/>
              <w:rPr>
                <w:rFonts w:ascii="Microsoft JhengHei" w:eastAsia="Microsoft JhengHei" w:hint="eastAsia"/>
                <w:b/>
                <w:sz w:val="21"/>
              </w:rPr>
            </w:pPr>
            <w:r>
              <w:rPr>
                <w:rFonts w:ascii="Microsoft JhengHei" w:eastAsia="Microsoft JhengHei" w:hint="eastAsia"/>
                <w:b/>
                <w:sz w:val="21"/>
              </w:rPr>
              <w:t>11.  单个肢体缺失</w:t>
            </w:r>
          </w:p>
        </w:tc>
        <w:tc>
          <w:tcPr>
            <w:tcW w:w="7728" w:type="dxa"/>
          </w:tcPr>
          <w:p>
            <w:pPr>
              <w:pStyle w:val="TableParagraph"/>
              <w:spacing w:line="273" w:lineRule="auto" w:before="146"/>
              <w:ind w:left="103" w:right="249"/>
              <w:rPr>
                <w:sz w:val="21"/>
              </w:rPr>
            </w:pPr>
            <w:r>
              <w:rPr>
                <w:sz w:val="21"/>
              </w:rPr>
              <w:t>指因疾病或意外伤害导致一个肢体自腕关节或踝关节近端（靠近躯干端）以上完全性断离。</w:t>
            </w:r>
          </w:p>
        </w:tc>
      </w:tr>
      <w:tr>
        <w:trPr>
          <w:trHeight w:val="936" w:hRule="atLeast"/>
        </w:trPr>
        <w:tc>
          <w:tcPr>
            <w:tcW w:w="806" w:type="dxa"/>
          </w:tcPr>
          <w:p>
            <w:pPr>
              <w:pStyle w:val="TableParagraph"/>
              <w:ind w:left="0"/>
              <w:rPr>
                <w:rFonts w:ascii="Times New Roman"/>
                <w:sz w:val="20"/>
              </w:rPr>
            </w:pPr>
          </w:p>
        </w:tc>
        <w:tc>
          <w:tcPr>
            <w:tcW w:w="2008" w:type="dxa"/>
          </w:tcPr>
          <w:p>
            <w:pPr>
              <w:pStyle w:val="TableParagraph"/>
              <w:spacing w:before="60"/>
              <w:ind w:left="184"/>
              <w:rPr>
                <w:rFonts w:ascii="Microsoft JhengHei" w:eastAsia="Microsoft JhengHei" w:hint="eastAsia"/>
                <w:b/>
                <w:sz w:val="21"/>
              </w:rPr>
            </w:pPr>
            <w:r>
              <w:rPr>
                <w:rFonts w:ascii="Microsoft JhengHei" w:eastAsia="Microsoft JhengHei" w:hint="eastAsia"/>
                <w:b/>
                <w:sz w:val="21"/>
              </w:rPr>
              <w:t>12.  单侧肺脏切除</w:t>
            </w:r>
          </w:p>
        </w:tc>
        <w:tc>
          <w:tcPr>
            <w:tcW w:w="7728" w:type="dxa"/>
          </w:tcPr>
          <w:p>
            <w:pPr>
              <w:pStyle w:val="TableParagraph"/>
              <w:spacing w:line="273" w:lineRule="auto" w:before="146"/>
              <w:ind w:left="103" w:right="259"/>
              <w:rPr>
                <w:sz w:val="21"/>
              </w:rPr>
            </w:pPr>
            <w:r>
              <w:rPr>
                <w:sz w:val="21"/>
              </w:rPr>
              <w:t>因疾病或意外事故实际实施的一侧肺脏切除术，部分切除手术和肺脏捐献引起的手术不在保障范围内。</w:t>
            </w:r>
          </w:p>
        </w:tc>
      </w:tr>
      <w:tr>
        <w:trPr>
          <w:trHeight w:val="931" w:hRule="atLeast"/>
        </w:trPr>
        <w:tc>
          <w:tcPr>
            <w:tcW w:w="806" w:type="dxa"/>
          </w:tcPr>
          <w:p>
            <w:pPr>
              <w:pStyle w:val="TableParagraph"/>
              <w:ind w:left="0"/>
              <w:rPr>
                <w:rFonts w:ascii="Times New Roman"/>
                <w:sz w:val="20"/>
              </w:rPr>
            </w:pPr>
          </w:p>
        </w:tc>
        <w:tc>
          <w:tcPr>
            <w:tcW w:w="2008" w:type="dxa"/>
          </w:tcPr>
          <w:p>
            <w:pPr>
              <w:pStyle w:val="TableParagraph"/>
              <w:spacing w:before="60"/>
              <w:ind w:left="184"/>
              <w:rPr>
                <w:rFonts w:ascii="Microsoft JhengHei" w:eastAsia="Microsoft JhengHei" w:hint="eastAsia"/>
                <w:b/>
                <w:sz w:val="21"/>
              </w:rPr>
            </w:pPr>
            <w:r>
              <w:rPr>
                <w:rFonts w:ascii="Microsoft JhengHei" w:eastAsia="Microsoft JhengHei" w:hint="eastAsia"/>
                <w:b/>
                <w:sz w:val="21"/>
              </w:rPr>
              <w:t>13.  肝脏手术</w:t>
            </w:r>
          </w:p>
        </w:tc>
        <w:tc>
          <w:tcPr>
            <w:tcW w:w="7728" w:type="dxa"/>
          </w:tcPr>
          <w:p>
            <w:pPr>
              <w:pStyle w:val="TableParagraph"/>
              <w:spacing w:line="273" w:lineRule="auto" w:before="146"/>
              <w:ind w:left="103" w:right="260"/>
              <w:rPr>
                <w:sz w:val="21"/>
              </w:rPr>
            </w:pPr>
            <w:r>
              <w:rPr>
                <w:sz w:val="21"/>
              </w:rPr>
              <w:t>指因疾病或意外事故实际实施的肝脏部分切除术，手术须有至少一个完整的肝叶切除。</w:t>
            </w:r>
          </w:p>
        </w:tc>
      </w:tr>
      <w:tr>
        <w:trPr>
          <w:trHeight w:val="1252" w:hRule="atLeast"/>
        </w:trPr>
        <w:tc>
          <w:tcPr>
            <w:tcW w:w="806" w:type="dxa"/>
          </w:tcPr>
          <w:p>
            <w:pPr>
              <w:pStyle w:val="TableParagraph"/>
              <w:ind w:left="0"/>
              <w:rPr>
                <w:rFonts w:ascii="Times New Roman"/>
                <w:sz w:val="20"/>
              </w:rPr>
            </w:pPr>
          </w:p>
        </w:tc>
        <w:tc>
          <w:tcPr>
            <w:tcW w:w="2008" w:type="dxa"/>
          </w:tcPr>
          <w:p>
            <w:pPr>
              <w:pStyle w:val="TableParagraph"/>
              <w:spacing w:line="196" w:lineRule="auto" w:before="142"/>
              <w:ind w:left="604" w:right="88" w:hanging="420"/>
              <w:rPr>
                <w:rFonts w:ascii="Microsoft JhengHei" w:eastAsia="Microsoft JhengHei" w:hint="eastAsia"/>
                <w:b/>
                <w:sz w:val="21"/>
              </w:rPr>
            </w:pPr>
            <w:r>
              <w:rPr>
                <w:b/>
                <w:sz w:val="22"/>
              </w:rPr>
              <w:t>14. </w:t>
            </w:r>
            <w:r>
              <w:rPr>
                <w:rFonts w:ascii="Microsoft JhengHei" w:eastAsia="Microsoft JhengHei" w:hint="eastAsia"/>
                <w:b/>
                <w:sz w:val="21"/>
              </w:rPr>
              <w:t>早期运动神经性疾病</w:t>
            </w:r>
          </w:p>
        </w:tc>
        <w:tc>
          <w:tcPr>
            <w:tcW w:w="7728" w:type="dxa"/>
          </w:tcPr>
          <w:p>
            <w:pPr>
              <w:pStyle w:val="TableParagraph"/>
              <w:spacing w:line="273" w:lineRule="auto" w:before="150"/>
              <w:ind w:left="103" w:right="303"/>
              <w:jc w:val="both"/>
              <w:rPr>
                <w:sz w:val="21"/>
              </w:rPr>
            </w:pPr>
            <w:r>
              <w:rPr>
                <w:spacing w:val="-5"/>
                <w:sz w:val="21"/>
              </w:rPr>
              <w:t>是一组中枢神经系统运动神经元的进行性变性疾病，进行性脊肌萎缩症、进行性</w:t>
            </w:r>
            <w:r>
              <w:rPr>
                <w:spacing w:val="-8"/>
                <w:sz w:val="21"/>
              </w:rPr>
              <w:t>延髓麻痹症、原发性侧索硬化症、肌萎缩性侧索硬化症。须满足自主生活能力完</w:t>
            </w:r>
            <w:r>
              <w:rPr>
                <w:spacing w:val="-5"/>
                <w:sz w:val="21"/>
              </w:rPr>
              <w:t>全丧失，无法独立完成六项基本日常生活活动中的两项。</w:t>
            </w:r>
          </w:p>
        </w:tc>
      </w:tr>
      <w:tr>
        <w:trPr>
          <w:trHeight w:val="1563" w:hRule="atLeast"/>
        </w:trPr>
        <w:tc>
          <w:tcPr>
            <w:tcW w:w="806" w:type="dxa"/>
          </w:tcPr>
          <w:p>
            <w:pPr>
              <w:pStyle w:val="TableParagraph"/>
              <w:ind w:left="0"/>
              <w:rPr>
                <w:rFonts w:ascii="Times New Roman"/>
                <w:sz w:val="20"/>
              </w:rPr>
            </w:pPr>
          </w:p>
        </w:tc>
        <w:tc>
          <w:tcPr>
            <w:tcW w:w="2008" w:type="dxa"/>
          </w:tcPr>
          <w:p>
            <w:pPr>
              <w:pStyle w:val="TableParagraph"/>
              <w:spacing w:line="204" w:lineRule="auto" w:before="114"/>
              <w:ind w:left="604" w:right="106" w:hanging="420"/>
              <w:rPr>
                <w:rFonts w:ascii="Microsoft JhengHei" w:eastAsia="Microsoft JhengHei" w:hint="eastAsia"/>
                <w:b/>
                <w:sz w:val="21"/>
              </w:rPr>
            </w:pPr>
            <w:r>
              <w:rPr>
                <w:rFonts w:ascii="Microsoft JhengHei" w:eastAsia="Microsoft JhengHei" w:hint="eastAsia"/>
                <w:b/>
                <w:sz w:val="21"/>
              </w:rPr>
              <w:t>15. 人工耳蜗植入术</w:t>
            </w:r>
          </w:p>
        </w:tc>
        <w:tc>
          <w:tcPr>
            <w:tcW w:w="7728" w:type="dxa"/>
          </w:tcPr>
          <w:p>
            <w:pPr>
              <w:pStyle w:val="TableParagraph"/>
              <w:spacing w:line="273" w:lineRule="auto" w:before="146"/>
              <w:ind w:left="103" w:right="259"/>
              <w:rPr>
                <w:sz w:val="21"/>
              </w:rPr>
            </w:pPr>
            <w:r>
              <w:rPr>
                <w:sz w:val="21"/>
              </w:rPr>
              <w:t>指由于耳蜗的永久损害而实际实施了人工耳蜗植入手术。诊断须经专科医师确认在医学上是必要的，且在植入手术之前已经符合下列全部条件：</w:t>
            </w:r>
          </w:p>
          <w:p>
            <w:pPr>
              <w:pStyle w:val="TableParagraph"/>
              <w:spacing w:before="8"/>
              <w:ind w:left="103"/>
              <w:rPr>
                <w:sz w:val="21"/>
              </w:rPr>
            </w:pPr>
            <w:r>
              <w:rPr>
                <w:sz w:val="21"/>
              </w:rPr>
              <w:t>（1）双耳持续12个月以上重度感音神经性耳聋；</w:t>
            </w:r>
          </w:p>
          <w:p>
            <w:pPr>
              <w:pStyle w:val="TableParagraph"/>
              <w:spacing w:before="37"/>
              <w:ind w:left="103"/>
              <w:rPr>
                <w:sz w:val="21"/>
              </w:rPr>
            </w:pPr>
            <w:r>
              <w:rPr>
                <w:sz w:val="21"/>
              </w:rPr>
              <w:t>（2）使用相应的听力辅助设备效果不佳。</w:t>
            </w:r>
          </w:p>
        </w:tc>
      </w:tr>
      <w:tr>
        <w:trPr>
          <w:trHeight w:val="1560" w:hRule="atLeast"/>
        </w:trPr>
        <w:tc>
          <w:tcPr>
            <w:tcW w:w="806" w:type="dxa"/>
          </w:tcPr>
          <w:p>
            <w:pPr>
              <w:pStyle w:val="TableParagraph"/>
              <w:spacing w:before="143"/>
              <w:ind w:left="200"/>
              <w:rPr>
                <w:b/>
                <w:sz w:val="21"/>
              </w:rPr>
            </w:pPr>
            <w:r>
              <w:rPr>
                <w:b/>
                <w:sz w:val="21"/>
              </w:rPr>
              <w:t>10.9</w:t>
            </w:r>
          </w:p>
        </w:tc>
        <w:tc>
          <w:tcPr>
            <w:tcW w:w="2008" w:type="dxa"/>
          </w:tcPr>
          <w:p>
            <w:pPr>
              <w:pStyle w:val="TableParagraph"/>
              <w:spacing w:before="143"/>
              <w:ind w:left="184"/>
              <w:rPr>
                <w:b/>
                <w:sz w:val="21"/>
              </w:rPr>
            </w:pPr>
            <w:r>
              <w:rPr>
                <w:b/>
                <w:sz w:val="21"/>
              </w:rPr>
              <w:t>重大疾病</w:t>
            </w:r>
          </w:p>
        </w:tc>
        <w:tc>
          <w:tcPr>
            <w:tcW w:w="7728" w:type="dxa"/>
          </w:tcPr>
          <w:p>
            <w:pPr>
              <w:pStyle w:val="TableParagraph"/>
              <w:spacing w:line="273" w:lineRule="auto" w:before="143"/>
              <w:ind w:left="103" w:right="303"/>
              <w:rPr>
                <w:sz w:val="21"/>
              </w:rPr>
            </w:pPr>
            <w:r>
              <w:rPr>
                <w:spacing w:val="-4"/>
                <w:w w:val="100"/>
                <w:sz w:val="21"/>
              </w:rPr>
              <w:t>指被保险人发生符合以下疾病定义所述条件的疾病</w:t>
            </w:r>
            <w:r>
              <w:rPr>
                <w:w w:val="100"/>
                <w:sz w:val="21"/>
              </w:rPr>
              <w:t>（共</w:t>
            </w:r>
            <w:r>
              <w:rPr>
                <w:spacing w:val="-52"/>
                <w:sz w:val="21"/>
              </w:rPr>
              <w:t> </w:t>
            </w:r>
            <w:r>
              <w:rPr>
                <w:w w:val="100"/>
                <w:sz w:val="21"/>
              </w:rPr>
              <w:t>61</w:t>
            </w:r>
            <w:r>
              <w:rPr>
                <w:spacing w:val="-55"/>
                <w:sz w:val="21"/>
              </w:rPr>
              <w:t> </w:t>
            </w:r>
            <w:r>
              <w:rPr>
                <w:w w:val="100"/>
                <w:sz w:val="21"/>
              </w:rPr>
              <w:t>种</w:t>
            </w:r>
            <w:r>
              <w:rPr>
                <w:spacing w:val="-108"/>
                <w:w w:val="100"/>
                <w:sz w:val="21"/>
              </w:rPr>
              <w:t>）</w:t>
            </w:r>
            <w:r>
              <w:rPr>
                <w:spacing w:val="-5"/>
                <w:w w:val="100"/>
                <w:sz w:val="21"/>
              </w:rPr>
              <w:t>，应当由专科医生</w:t>
            </w:r>
            <w:r>
              <w:rPr>
                <w:spacing w:val="-4"/>
                <w:sz w:val="21"/>
              </w:rPr>
              <w:t>明确诊断。</w:t>
            </w:r>
          </w:p>
          <w:p>
            <w:pPr>
              <w:pStyle w:val="TableParagraph"/>
              <w:spacing w:before="8"/>
              <w:ind w:left="103"/>
              <w:rPr>
                <w:sz w:val="21"/>
              </w:rPr>
            </w:pPr>
            <w:r>
              <w:rPr>
                <w:sz w:val="21"/>
              </w:rPr>
              <w:t>第 1 至第 25 项为中国保险行业协会与中国医师协会共同制定的重大疾病保险的</w:t>
            </w:r>
          </w:p>
          <w:p>
            <w:pPr>
              <w:pStyle w:val="TableParagraph"/>
              <w:spacing w:before="37"/>
              <w:ind w:left="103"/>
              <w:rPr>
                <w:sz w:val="21"/>
              </w:rPr>
            </w:pPr>
            <w:r>
              <w:rPr>
                <w:sz w:val="21"/>
              </w:rPr>
              <w:t>疾病定义，第 26 至第 61 项为我们增加的疾病种类并自行制定的疾病定义。</w:t>
            </w:r>
          </w:p>
        </w:tc>
      </w:tr>
      <w:tr>
        <w:trPr>
          <w:trHeight w:val="1041" w:hRule="atLeast"/>
        </w:trPr>
        <w:tc>
          <w:tcPr>
            <w:tcW w:w="806" w:type="dxa"/>
          </w:tcPr>
          <w:p>
            <w:pPr>
              <w:pStyle w:val="TableParagraph"/>
              <w:ind w:left="0"/>
              <w:rPr>
                <w:rFonts w:ascii="Times New Roman"/>
                <w:sz w:val="20"/>
              </w:rPr>
            </w:pPr>
          </w:p>
        </w:tc>
        <w:tc>
          <w:tcPr>
            <w:tcW w:w="2008" w:type="dxa"/>
          </w:tcPr>
          <w:p>
            <w:pPr>
              <w:pStyle w:val="TableParagraph"/>
              <w:tabs>
                <w:tab w:pos="603" w:val="left" w:leader="none"/>
              </w:tabs>
              <w:spacing w:before="88"/>
              <w:ind w:left="184"/>
              <w:rPr>
                <w:rFonts w:ascii="Microsoft JhengHei" w:eastAsia="Microsoft JhengHei" w:hint="eastAsia"/>
                <w:b/>
                <w:sz w:val="21"/>
              </w:rPr>
            </w:pPr>
            <w:r>
              <w:rPr>
                <w:b/>
                <w:sz w:val="21"/>
              </w:rPr>
              <w:t>1.</w:t>
              <w:tab/>
            </w:r>
            <w:r>
              <w:rPr>
                <w:rFonts w:ascii="Microsoft JhengHei" w:eastAsia="Microsoft JhengHei" w:hint="eastAsia"/>
                <w:b/>
                <w:spacing w:val="-1"/>
                <w:sz w:val="21"/>
              </w:rPr>
              <w:t>恶性肿瘤</w:t>
            </w:r>
          </w:p>
        </w:tc>
        <w:tc>
          <w:tcPr>
            <w:tcW w:w="7728" w:type="dxa"/>
          </w:tcPr>
          <w:p>
            <w:pPr>
              <w:pStyle w:val="TableParagraph"/>
              <w:spacing w:line="310" w:lineRule="atLeast" w:before="107"/>
              <w:ind w:left="103" w:right="198"/>
              <w:rPr>
                <w:sz w:val="21"/>
              </w:rPr>
            </w:pPr>
            <w:r>
              <w:rPr>
                <w:spacing w:val="-5"/>
                <w:sz w:val="21"/>
              </w:rPr>
              <w:t>指恶性细胞不受控制的进行性增长和扩散，浸润和破坏周围正常组织，可以经血</w:t>
            </w:r>
            <w:r>
              <w:rPr>
                <w:spacing w:val="-13"/>
                <w:sz w:val="21"/>
              </w:rPr>
              <w:t>管、淋巴管和体腔扩散转移到身体其它部位的疾病。经病理学检查结果明确诊断， </w:t>
            </w:r>
            <w:r>
              <w:rPr>
                <w:spacing w:val="-17"/>
                <w:sz w:val="21"/>
              </w:rPr>
              <w:t>临床诊断属于世界卫生组织《疾病和有关健康问题的国际统计分类》</w:t>
            </w:r>
            <w:r>
              <w:rPr>
                <w:sz w:val="21"/>
              </w:rPr>
              <w:t>（ICD-10）</w:t>
            </w:r>
          </w:p>
        </w:tc>
      </w:tr>
    </w:tbl>
    <w:p>
      <w:pPr>
        <w:spacing w:after="0" w:line="310" w:lineRule="atLeast"/>
        <w:rPr>
          <w:sz w:val="21"/>
        </w:rPr>
        <w:sectPr>
          <w:pgSz w:w="11910" w:h="16840"/>
          <w:pgMar w:header="0" w:footer="353" w:top="1160" w:bottom="540" w:left="6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4"/>
      </w:tblGrid>
      <w:tr>
        <w:trPr>
          <w:trHeight w:val="2300" w:hRule="atLeast"/>
        </w:trPr>
        <w:tc>
          <w:tcPr>
            <w:tcW w:w="2006" w:type="dxa"/>
          </w:tcPr>
          <w:p>
            <w:pPr>
              <w:pStyle w:val="TableParagraph"/>
              <w:ind w:left="0"/>
              <w:rPr>
                <w:rFonts w:ascii="Times New Roman"/>
                <w:sz w:val="20"/>
              </w:rPr>
            </w:pPr>
          </w:p>
        </w:tc>
        <w:tc>
          <w:tcPr>
            <w:tcW w:w="7744" w:type="dxa"/>
          </w:tcPr>
          <w:p>
            <w:pPr>
              <w:pStyle w:val="TableParagraph"/>
              <w:spacing w:line="218" w:lineRule="exact"/>
              <w:rPr>
                <w:b/>
                <w:i/>
                <w:sz w:val="22"/>
              </w:rPr>
            </w:pPr>
            <w:r>
              <w:rPr>
                <w:w w:val="95"/>
                <w:sz w:val="21"/>
              </w:rPr>
              <w:t>的恶性肿瘤范畴。</w:t>
            </w:r>
            <w:r>
              <w:rPr>
                <w:b/>
                <w:i/>
                <w:w w:val="95"/>
                <w:sz w:val="22"/>
              </w:rPr>
              <w:t>下列疾病不在保障范围内：</w:t>
            </w:r>
          </w:p>
          <w:p>
            <w:pPr>
              <w:pStyle w:val="TableParagraph"/>
              <w:spacing w:before="24"/>
              <w:rPr>
                <w:b/>
                <w:i/>
                <w:sz w:val="22"/>
              </w:rPr>
            </w:pPr>
            <w:r>
              <w:rPr>
                <w:b/>
                <w:i/>
                <w:w w:val="95"/>
                <w:sz w:val="22"/>
              </w:rPr>
              <w:t>（1）原位癌；</w:t>
            </w:r>
          </w:p>
          <w:p>
            <w:pPr>
              <w:pStyle w:val="TableParagraph"/>
              <w:spacing w:before="24"/>
              <w:rPr>
                <w:b/>
                <w:i/>
                <w:sz w:val="22"/>
              </w:rPr>
            </w:pPr>
            <w:r>
              <w:rPr>
                <w:b/>
                <w:i/>
                <w:w w:val="95"/>
                <w:sz w:val="22"/>
              </w:rPr>
              <w:t>（2）相当于 Binet 分期方案 A 期程度的慢性淋巴细胞白血病；</w:t>
            </w:r>
          </w:p>
          <w:p>
            <w:pPr>
              <w:pStyle w:val="TableParagraph"/>
              <w:spacing w:before="23"/>
              <w:rPr>
                <w:b/>
                <w:i/>
                <w:sz w:val="22"/>
              </w:rPr>
            </w:pPr>
            <w:r>
              <w:rPr>
                <w:b/>
                <w:i/>
                <w:w w:val="95"/>
                <w:sz w:val="22"/>
              </w:rPr>
              <w:t>（3）相当于 Ann Arbor 分期方案 I 期程度的何杰金氏病；</w:t>
            </w:r>
          </w:p>
          <w:p>
            <w:pPr>
              <w:pStyle w:val="TableParagraph"/>
              <w:spacing w:before="23"/>
              <w:rPr>
                <w:b/>
                <w:i/>
                <w:sz w:val="22"/>
              </w:rPr>
            </w:pPr>
            <w:r>
              <w:rPr>
                <w:b/>
                <w:i/>
                <w:w w:val="95"/>
                <w:sz w:val="22"/>
              </w:rPr>
              <w:t>（</w:t>
            </w:r>
            <w:r>
              <w:rPr>
                <w:b/>
                <w:i/>
                <w:w w:val="95"/>
                <w:sz w:val="22"/>
              </w:rPr>
              <w:t>4</w:t>
            </w:r>
            <w:r>
              <w:rPr>
                <w:b/>
                <w:i/>
                <w:w w:val="95"/>
                <w:sz w:val="22"/>
              </w:rPr>
              <w:t>）皮肤癌（</w:t>
            </w:r>
            <w:r>
              <w:rPr>
                <w:b/>
                <w:i/>
                <w:spacing w:val="-3"/>
                <w:w w:val="95"/>
                <w:sz w:val="22"/>
              </w:rPr>
              <w:t>不包括恶性黑色素瘤及已发生转移的皮肤癌</w:t>
            </w:r>
            <w:r>
              <w:rPr>
                <w:b/>
                <w:i/>
                <w:spacing w:val="-106"/>
                <w:w w:val="95"/>
                <w:sz w:val="22"/>
              </w:rPr>
              <w:t>）</w:t>
            </w:r>
            <w:r>
              <w:rPr>
                <w:b/>
                <w:i/>
                <w:w w:val="95"/>
                <w:sz w:val="22"/>
              </w:rPr>
              <w:t>；</w:t>
            </w:r>
          </w:p>
          <w:p>
            <w:pPr>
              <w:pStyle w:val="TableParagraph"/>
              <w:spacing w:before="23"/>
              <w:rPr>
                <w:b/>
                <w:i/>
                <w:sz w:val="22"/>
              </w:rPr>
            </w:pPr>
            <w:r>
              <w:rPr>
                <w:b/>
                <w:i/>
                <w:w w:val="95"/>
                <w:position w:val="1"/>
                <w:sz w:val="22"/>
              </w:rPr>
              <w:t>（5）TNM 分期为 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pStyle w:val="TableParagraph"/>
              <w:spacing w:before="24"/>
              <w:rPr>
                <w:b/>
                <w:i/>
                <w:sz w:val="22"/>
              </w:rPr>
            </w:pPr>
            <w:r>
              <w:rPr>
                <w:b/>
                <w:i/>
                <w:w w:val="95"/>
                <w:sz w:val="22"/>
              </w:rPr>
              <w:t>（6）感染艾滋病病毒或患艾滋病期间所患恶性肿瘤。</w:t>
            </w:r>
          </w:p>
        </w:tc>
      </w:tr>
      <w:tr>
        <w:trPr>
          <w:trHeight w:val="2495" w:hRule="atLeast"/>
        </w:trPr>
        <w:tc>
          <w:tcPr>
            <w:tcW w:w="2006" w:type="dxa"/>
          </w:tcPr>
          <w:p>
            <w:pPr>
              <w:pStyle w:val="TableParagraph"/>
              <w:tabs>
                <w:tab w:pos="619" w:val="left" w:leader="none"/>
              </w:tabs>
              <w:spacing w:before="83"/>
              <w:ind w:left="200"/>
              <w:rPr>
                <w:rFonts w:ascii="Microsoft JhengHei" w:eastAsia="Microsoft JhengHei" w:hint="eastAsia"/>
                <w:b/>
                <w:sz w:val="21"/>
              </w:rPr>
            </w:pPr>
            <w:r>
              <w:rPr>
                <w:b/>
                <w:w w:val="105"/>
                <w:sz w:val="21"/>
              </w:rPr>
              <w:t>2.</w:t>
              <w:tab/>
            </w:r>
            <w:r>
              <w:rPr>
                <w:rFonts w:ascii="Microsoft JhengHei" w:eastAsia="Microsoft JhengHei" w:hint="eastAsia"/>
                <w:b/>
                <w:spacing w:val="-1"/>
                <w:sz w:val="21"/>
              </w:rPr>
              <w:t>急性心</w:t>
            </w:r>
            <w:r>
              <w:rPr>
                <w:rFonts w:ascii="Microsoft JhengHei" w:eastAsia="Microsoft JhengHei" w:hint="eastAsia"/>
                <w:b/>
                <w:sz w:val="21"/>
              </w:rPr>
              <w:t>ft梗塞</w:t>
            </w:r>
          </w:p>
        </w:tc>
        <w:tc>
          <w:tcPr>
            <w:tcW w:w="7744" w:type="dxa"/>
          </w:tcPr>
          <w:p>
            <w:pPr>
              <w:pStyle w:val="TableParagraph"/>
              <w:spacing w:line="273" w:lineRule="auto" w:before="137"/>
              <w:ind w:right="257"/>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left="647" w:right="308" w:hanging="527"/>
              <w:rPr>
                <w:sz w:val="21"/>
              </w:rPr>
            </w:pPr>
            <w:r>
              <w:rPr>
                <w:sz w:val="21"/>
              </w:rPr>
              <w:t>（3）心肌酶或肌钙蛋白有诊断意义的升高，或呈符合急性心肌梗塞的动态性变化；</w:t>
            </w:r>
          </w:p>
          <w:p>
            <w:pPr>
              <w:pStyle w:val="TableParagraph"/>
              <w:spacing w:before="8"/>
              <w:rPr>
                <w:sz w:val="21"/>
              </w:rPr>
            </w:pPr>
            <w:r>
              <w:rPr>
                <w:spacing w:val="-11"/>
                <w:sz w:val="21"/>
              </w:rPr>
              <w:t>（4）</w:t>
            </w:r>
            <w:r>
              <w:rPr>
                <w:spacing w:val="-15"/>
                <w:sz w:val="21"/>
              </w:rPr>
              <w:t>发病 </w:t>
            </w:r>
            <w:r>
              <w:rPr>
                <w:sz w:val="21"/>
              </w:rPr>
              <w:t>90</w:t>
            </w:r>
            <w:r>
              <w:rPr>
                <w:spacing w:val="-13"/>
                <w:sz w:val="21"/>
              </w:rPr>
              <w:t> 天后，经检查证实左心室功能降低的，如左心室射血分数低于 </w:t>
            </w:r>
            <w:r>
              <w:rPr>
                <w:sz w:val="21"/>
              </w:rPr>
              <w:t>50%。</w:t>
            </w:r>
          </w:p>
        </w:tc>
      </w:tr>
      <w:tr>
        <w:trPr>
          <w:trHeight w:val="2496" w:hRule="atLeast"/>
        </w:trPr>
        <w:tc>
          <w:tcPr>
            <w:tcW w:w="2006" w:type="dxa"/>
          </w:tcPr>
          <w:p>
            <w:pPr>
              <w:pStyle w:val="TableParagraph"/>
              <w:tabs>
                <w:tab w:pos="619" w:val="left" w:leader="none"/>
              </w:tabs>
              <w:spacing w:before="83"/>
              <w:ind w:left="200"/>
              <w:rPr>
                <w:rFonts w:ascii="Microsoft JhengHei" w:eastAsia="Microsoft JhengHei" w:hint="eastAsia"/>
                <w:b/>
                <w:sz w:val="21"/>
              </w:rPr>
            </w:pPr>
            <w:r>
              <w:rPr>
                <w:b/>
                <w:sz w:val="21"/>
              </w:rPr>
              <w:t>3.</w:t>
              <w:tab/>
            </w:r>
            <w:r>
              <w:rPr>
                <w:rFonts w:ascii="Microsoft JhengHei" w:eastAsia="Microsoft JhengHei" w:hint="eastAsia"/>
                <w:b/>
                <w:spacing w:val="-1"/>
                <w:sz w:val="21"/>
              </w:rPr>
              <w:t>脑中风后遗症</w:t>
            </w:r>
          </w:p>
        </w:tc>
        <w:tc>
          <w:tcPr>
            <w:tcW w:w="7744" w:type="dxa"/>
          </w:tcPr>
          <w:p>
            <w:pPr>
              <w:pStyle w:val="TableParagraph"/>
              <w:spacing w:line="273" w:lineRule="auto" w:before="138"/>
              <w:ind w:right="302"/>
              <w:jc w:val="both"/>
              <w:rPr>
                <w:sz w:val="21"/>
              </w:rPr>
            </w:pPr>
            <w:r>
              <w:rPr>
                <w:spacing w:val="-5"/>
                <w:sz w:val="21"/>
              </w:rPr>
              <w:t>指因脑血管的突发病变引起脑血管出血、栓塞或梗塞，并导致神经系统永久性功</w:t>
            </w:r>
            <w:r>
              <w:rPr>
                <w:spacing w:val="-9"/>
                <w:sz w:val="21"/>
              </w:rPr>
              <w:t>能障碍。神经系统永久性的功能障碍，指疾病确诊 </w:t>
            </w:r>
            <w:r>
              <w:rPr>
                <w:sz w:val="21"/>
              </w:rPr>
              <w:t>180</w:t>
            </w:r>
            <w:r>
              <w:rPr>
                <w:spacing w:val="-9"/>
                <w:sz w:val="21"/>
              </w:rPr>
              <w:t> 天后，仍遗留下列一种或</w:t>
            </w:r>
            <w:r>
              <w:rPr>
                <w:spacing w:val="-5"/>
                <w:sz w:val="21"/>
              </w:rPr>
              <w:t>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47" w:right="308" w:hanging="527"/>
              <w:rPr>
                <w:sz w:val="21"/>
              </w:rPr>
            </w:pPr>
            <w:r>
              <w:rPr>
                <w:sz w:val="21"/>
              </w:rPr>
              <w:t>（3）自主生活能力完全丧失，无法独立完成六项基本日常生活活动中的三项或三项以上。</w:t>
            </w:r>
          </w:p>
        </w:tc>
      </w:tr>
      <w:tr>
        <w:trPr>
          <w:trHeight w:val="1872" w:hRule="atLeast"/>
        </w:trPr>
        <w:tc>
          <w:tcPr>
            <w:tcW w:w="2006" w:type="dxa"/>
          </w:tcPr>
          <w:p>
            <w:pPr>
              <w:pStyle w:val="TableParagraph"/>
              <w:spacing w:line="232" w:lineRule="auto" w:before="94"/>
              <w:ind w:left="619" w:right="119" w:hanging="420"/>
              <w:jc w:val="both"/>
              <w:rPr>
                <w:rFonts w:ascii="Microsoft JhengHei" w:eastAsia="Microsoft JhengHei" w:hint="eastAsia"/>
                <w:b/>
                <w:sz w:val="21"/>
              </w:rPr>
            </w:pPr>
            <w:r>
              <w:rPr>
                <w:b/>
                <w:sz w:val="21"/>
              </w:rPr>
              <w:t>4. </w:t>
            </w:r>
            <w:r>
              <w:rPr>
                <w:rFonts w:ascii="Microsoft JhengHei" w:eastAsia="Microsoft JhengHei" w:hint="eastAsia"/>
                <w:b/>
                <w:sz w:val="21"/>
              </w:rPr>
              <w:t>重大器官移植术或造血干细胞移植术</w:t>
            </w:r>
          </w:p>
        </w:tc>
        <w:tc>
          <w:tcPr>
            <w:tcW w:w="7744" w:type="dxa"/>
          </w:tcPr>
          <w:p>
            <w:pPr>
              <w:pStyle w:val="TableParagraph"/>
              <w:spacing w:line="273" w:lineRule="auto" w:before="138"/>
              <w:ind w:right="302"/>
              <w:jc w:val="both"/>
              <w:rPr>
                <w:sz w:val="21"/>
              </w:rPr>
            </w:pPr>
            <w:r>
              <w:rPr>
                <w:spacing w:val="-7"/>
                <w:sz w:val="21"/>
              </w:rPr>
              <w:t>重大器官移植术，指因相应器官功能衰竭，已经实施了肾脏、肝脏、心脏或肺脏</w:t>
            </w:r>
            <w:r>
              <w:rPr>
                <w:spacing w:val="-5"/>
                <w:sz w:val="21"/>
              </w:rPr>
              <w:t>的异体移植手术。</w:t>
            </w:r>
          </w:p>
          <w:p>
            <w:pPr>
              <w:pStyle w:val="TableParagraph"/>
              <w:spacing w:line="273" w:lineRule="auto" w:before="7"/>
              <w:ind w:right="301"/>
              <w:jc w:val="both"/>
              <w:rPr>
                <w:sz w:val="21"/>
              </w:rPr>
            </w:pPr>
            <w:r>
              <w:rPr>
                <w:spacing w:val="-6"/>
                <w:sz w:val="21"/>
              </w:rPr>
              <w:t>造血干细胞移植术，指因造血功能损害或造血系统恶性肿瘤，已经实施了造血干</w:t>
            </w:r>
            <w:r>
              <w:rPr>
                <w:spacing w:val="-10"/>
                <w:sz w:val="21"/>
              </w:rPr>
              <w:t>细胞</w:t>
            </w:r>
            <w:r>
              <w:rPr>
                <w:spacing w:val="-3"/>
                <w:sz w:val="21"/>
              </w:rPr>
              <w:t>（</w:t>
            </w:r>
            <w:r>
              <w:rPr>
                <w:spacing w:val="-4"/>
                <w:sz w:val="21"/>
              </w:rPr>
              <w:t>包括骨髓造血干细胞、外周血造血干细胞和脐血造血干细胞</w:t>
            </w:r>
            <w:r>
              <w:rPr>
                <w:spacing w:val="-13"/>
                <w:sz w:val="21"/>
              </w:rPr>
              <w:t>）</w:t>
            </w:r>
            <w:r>
              <w:rPr>
                <w:spacing w:val="-3"/>
                <w:sz w:val="21"/>
              </w:rPr>
              <w:t>的异体移植手术。</w:t>
            </w:r>
          </w:p>
        </w:tc>
      </w:tr>
      <w:tr>
        <w:trPr>
          <w:trHeight w:val="1248" w:hRule="atLeast"/>
        </w:trPr>
        <w:tc>
          <w:tcPr>
            <w:tcW w:w="2006" w:type="dxa"/>
          </w:tcPr>
          <w:p>
            <w:pPr>
              <w:pStyle w:val="TableParagraph"/>
              <w:tabs>
                <w:tab w:pos="619" w:val="left" w:leader="none"/>
              </w:tabs>
              <w:spacing w:line="232" w:lineRule="auto" w:before="94"/>
              <w:ind w:left="619" w:right="119" w:hanging="420"/>
              <w:rPr>
                <w:rFonts w:ascii="Microsoft JhengHei" w:eastAsia="Microsoft JhengHei" w:hint="eastAsia"/>
                <w:b/>
                <w:sz w:val="21"/>
              </w:rPr>
            </w:pPr>
            <w:r>
              <w:rPr>
                <w:b/>
                <w:sz w:val="21"/>
              </w:rPr>
              <w:t>5.</w:t>
              <w:tab/>
            </w:r>
            <w:r>
              <w:rPr>
                <w:rFonts w:ascii="Microsoft JhengHei" w:eastAsia="Microsoft JhengHei" w:hint="eastAsia"/>
                <w:b/>
                <w:spacing w:val="-1"/>
                <w:sz w:val="21"/>
              </w:rPr>
              <w:t>冠状动脉搭桥 术</w:t>
            </w:r>
          </w:p>
        </w:tc>
        <w:tc>
          <w:tcPr>
            <w:tcW w:w="7744" w:type="dxa"/>
          </w:tcPr>
          <w:p>
            <w:pPr>
              <w:pStyle w:val="TableParagraph"/>
              <w:spacing w:line="261" w:lineRule="auto" w:before="138"/>
              <w:ind w:right="268"/>
              <w:jc w:val="both"/>
              <w:rPr>
                <w:b/>
                <w:i/>
                <w:sz w:val="22"/>
              </w:rPr>
            </w:pPr>
            <w:r>
              <w:rPr>
                <w:spacing w:val="-3"/>
                <w:sz w:val="21"/>
              </w:rPr>
              <w:t>指为治疗严重的冠心病，实际实施了开胸进行的冠状动脉血管旁路移植的手术。</w:t>
            </w:r>
            <w:r>
              <w:rPr>
                <w:b/>
                <w:i/>
                <w:spacing w:val="-8"/>
                <w:w w:val="95"/>
                <w:sz w:val="22"/>
              </w:rPr>
              <w:t>冠状动脉支架植入术、心导管球囊扩张术、激光射频技术及其他非开胸的介入手术、腔镜手术不在保障范围内。</w:t>
            </w:r>
          </w:p>
        </w:tc>
      </w:tr>
      <w:tr>
        <w:trPr>
          <w:trHeight w:val="935" w:hRule="atLeast"/>
        </w:trPr>
        <w:tc>
          <w:tcPr>
            <w:tcW w:w="2006" w:type="dxa"/>
          </w:tcPr>
          <w:p>
            <w:pPr>
              <w:pStyle w:val="TableParagraph"/>
              <w:tabs>
                <w:tab w:pos="619" w:val="left" w:leader="none"/>
              </w:tabs>
              <w:spacing w:before="83"/>
              <w:ind w:left="200"/>
              <w:rPr>
                <w:rFonts w:ascii="Microsoft JhengHei" w:eastAsia="Microsoft JhengHei" w:hint="eastAsia"/>
                <w:b/>
                <w:sz w:val="21"/>
              </w:rPr>
            </w:pPr>
            <w:r>
              <w:rPr>
                <w:b/>
                <w:sz w:val="21"/>
              </w:rPr>
              <w:t>6.</w:t>
              <w:tab/>
            </w:r>
            <w:r>
              <w:rPr>
                <w:rFonts w:ascii="Microsoft JhengHei" w:eastAsia="Microsoft JhengHei" w:hint="eastAsia"/>
                <w:b/>
                <w:spacing w:val="-1"/>
                <w:sz w:val="21"/>
              </w:rPr>
              <w:t>终末期肾病</w:t>
            </w:r>
          </w:p>
        </w:tc>
        <w:tc>
          <w:tcPr>
            <w:tcW w:w="7744" w:type="dxa"/>
          </w:tcPr>
          <w:p>
            <w:pPr>
              <w:pStyle w:val="TableParagraph"/>
              <w:spacing w:line="273" w:lineRule="auto" w:before="137"/>
              <w:ind w:right="371"/>
              <w:rPr>
                <w:sz w:val="21"/>
              </w:rPr>
            </w:pPr>
            <w:r>
              <w:rPr>
                <w:spacing w:val="-4"/>
                <w:sz w:val="21"/>
              </w:rPr>
              <w:t>指双肾功能慢性不可逆性衰竭，达到尿毒症期，经诊断后已经进行了至少 </w:t>
            </w:r>
            <w:r>
              <w:rPr>
                <w:sz w:val="21"/>
              </w:rPr>
              <w:t>90</w:t>
            </w:r>
            <w:r>
              <w:rPr>
                <w:spacing w:val="-20"/>
                <w:sz w:val="21"/>
              </w:rPr>
              <w:t> 天</w:t>
            </w:r>
            <w:r>
              <w:rPr>
                <w:spacing w:val="-8"/>
                <w:sz w:val="21"/>
              </w:rPr>
              <w:t>的规律性透析治疗或实施了肾脏移植手术。</w:t>
            </w:r>
          </w:p>
        </w:tc>
      </w:tr>
      <w:tr>
        <w:trPr>
          <w:trHeight w:val="936" w:hRule="atLeast"/>
        </w:trPr>
        <w:tc>
          <w:tcPr>
            <w:tcW w:w="2006" w:type="dxa"/>
          </w:tcPr>
          <w:p>
            <w:pPr>
              <w:pStyle w:val="TableParagraph"/>
              <w:tabs>
                <w:tab w:pos="619" w:val="left" w:leader="none"/>
              </w:tabs>
              <w:spacing w:before="83"/>
              <w:ind w:left="200"/>
              <w:rPr>
                <w:rFonts w:ascii="Microsoft JhengHei" w:eastAsia="Microsoft JhengHei" w:hint="eastAsia"/>
                <w:b/>
                <w:sz w:val="21"/>
              </w:rPr>
            </w:pPr>
            <w:r>
              <w:rPr>
                <w:b/>
                <w:sz w:val="21"/>
              </w:rPr>
              <w:t>7.</w:t>
              <w:tab/>
            </w:r>
            <w:r>
              <w:rPr>
                <w:rFonts w:ascii="Microsoft JhengHei" w:eastAsia="Microsoft JhengHei" w:hint="eastAsia"/>
                <w:b/>
                <w:spacing w:val="-1"/>
                <w:sz w:val="21"/>
              </w:rPr>
              <w:t>多个肢体缺失</w:t>
            </w:r>
          </w:p>
        </w:tc>
        <w:tc>
          <w:tcPr>
            <w:tcW w:w="7744" w:type="dxa"/>
          </w:tcPr>
          <w:p>
            <w:pPr>
              <w:pStyle w:val="TableParagraph"/>
              <w:spacing w:line="273" w:lineRule="auto" w:before="138"/>
              <w:ind w:right="251"/>
              <w:rPr>
                <w:sz w:val="21"/>
              </w:rPr>
            </w:pPr>
            <w:r>
              <w:rPr>
                <w:sz w:val="21"/>
              </w:rPr>
              <w:t>指因疾病或意外伤害导致两个或两个以上肢体自腕关节或踝关节近端（靠近躯干端）以上完全性断离。</w:t>
            </w:r>
          </w:p>
        </w:tc>
      </w:tr>
      <w:tr>
        <w:trPr>
          <w:trHeight w:val="1977" w:hRule="atLeast"/>
        </w:trPr>
        <w:tc>
          <w:tcPr>
            <w:tcW w:w="2006" w:type="dxa"/>
          </w:tcPr>
          <w:p>
            <w:pPr>
              <w:pStyle w:val="TableParagraph"/>
              <w:tabs>
                <w:tab w:pos="619" w:val="left" w:leader="none"/>
              </w:tabs>
              <w:spacing w:line="232" w:lineRule="auto" w:before="94"/>
              <w:ind w:left="619" w:right="119" w:hanging="420"/>
              <w:rPr>
                <w:rFonts w:ascii="Microsoft JhengHei" w:eastAsia="Microsoft JhengHei" w:hint="eastAsia"/>
                <w:b/>
                <w:sz w:val="21"/>
              </w:rPr>
            </w:pPr>
            <w:r>
              <w:rPr>
                <w:b/>
                <w:sz w:val="21"/>
              </w:rPr>
              <w:t>8.</w:t>
              <w:tab/>
            </w:r>
            <w:r>
              <w:rPr>
                <w:rFonts w:ascii="Microsoft JhengHei" w:eastAsia="Microsoft JhengHei" w:hint="eastAsia"/>
                <w:b/>
                <w:spacing w:val="-1"/>
                <w:sz w:val="21"/>
              </w:rPr>
              <w:t>急性或亚急性 </w:t>
            </w:r>
            <w:r>
              <w:rPr>
                <w:rFonts w:ascii="Microsoft JhengHei" w:eastAsia="Microsoft JhengHei" w:hint="eastAsia"/>
                <w:b/>
                <w:spacing w:val="-2"/>
                <w:sz w:val="21"/>
              </w:rPr>
              <w:t>重症肝炎</w:t>
            </w:r>
          </w:p>
        </w:tc>
        <w:tc>
          <w:tcPr>
            <w:tcW w:w="7744" w:type="dxa"/>
          </w:tcPr>
          <w:p>
            <w:pPr>
              <w:pStyle w:val="TableParagraph"/>
              <w:spacing w:line="273" w:lineRule="auto" w:before="138"/>
              <w:ind w:right="257"/>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超或其他影像学检查显示肝脏体积急速萎缩；</w:t>
            </w:r>
          </w:p>
          <w:p>
            <w:pPr>
              <w:pStyle w:val="TableParagraph"/>
              <w:spacing w:line="259" w:lineRule="exact" w:before="37"/>
              <w:rPr>
                <w:sz w:val="21"/>
              </w:rPr>
            </w:pPr>
            <w:r>
              <w:rPr>
                <w:sz w:val="21"/>
              </w:rPr>
              <w:t>（4）肝功能指标进行性恶化。</w:t>
            </w:r>
          </w:p>
        </w:tc>
      </w:tr>
    </w:tbl>
    <w:p>
      <w:pPr>
        <w:spacing w:after="0" w:line="259" w:lineRule="exact"/>
        <w:rPr>
          <w:sz w:val="21"/>
        </w:rPr>
        <w:sectPr>
          <w:pgSz w:w="11910" w:h="16840"/>
          <w:pgMar w:header="0" w:footer="353"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5"/>
      </w:tblGrid>
      <w:tr>
        <w:trPr>
          <w:trHeight w:val="2290" w:hRule="atLeast"/>
        </w:trPr>
        <w:tc>
          <w:tcPr>
            <w:tcW w:w="2006" w:type="dxa"/>
          </w:tcPr>
          <w:p>
            <w:pPr>
              <w:pStyle w:val="TableParagraph"/>
              <w:tabs>
                <w:tab w:pos="619" w:val="left" w:leader="none"/>
              </w:tabs>
              <w:spacing w:line="245" w:lineRule="exact"/>
              <w:ind w:left="200"/>
              <w:rPr>
                <w:rFonts w:ascii="Microsoft JhengHei" w:eastAsia="Microsoft JhengHei" w:hint="eastAsia"/>
                <w:b/>
                <w:sz w:val="21"/>
              </w:rPr>
            </w:pPr>
            <w:r>
              <w:rPr>
                <w:b/>
                <w:sz w:val="21"/>
              </w:rPr>
              <w:t>9.</w:t>
              <w:tab/>
            </w:r>
            <w:r>
              <w:rPr>
                <w:rFonts w:ascii="Microsoft JhengHei" w:eastAsia="Microsoft JhengHei" w:hint="eastAsia"/>
                <w:b/>
                <w:spacing w:val="-1"/>
                <w:sz w:val="21"/>
              </w:rPr>
              <w:t>良性脑肿瘤</w:t>
            </w:r>
          </w:p>
        </w:tc>
        <w:tc>
          <w:tcPr>
            <w:tcW w:w="7745" w:type="dxa"/>
          </w:tcPr>
          <w:p>
            <w:pPr>
              <w:pStyle w:val="TableParagraph"/>
              <w:spacing w:line="209" w:lineRule="exact"/>
              <w:rPr>
                <w:sz w:val="21"/>
              </w:rPr>
            </w:pPr>
            <w:r>
              <w:rPr>
                <w:sz w:val="21"/>
              </w:rPr>
              <w:t>指脑的良性肿瘤，已经引起颅内压增高，临床表现为视神经乳头水肿、精神症状、</w:t>
            </w:r>
          </w:p>
          <w:p>
            <w:pPr>
              <w:pStyle w:val="TableParagraph"/>
              <w:spacing w:before="37"/>
              <w:rPr>
                <w:sz w:val="21"/>
              </w:rPr>
            </w:pPr>
            <w:r>
              <w:rPr>
                <w:w w:val="100"/>
                <w:sz w:val="21"/>
              </w:rPr>
              <w:t>癫痫及运动感觉障碍等，并危及生命。须由头颅断层扫描</w:t>
            </w:r>
            <w:r>
              <w:rPr>
                <w:spacing w:val="5"/>
                <w:w w:val="100"/>
                <w:sz w:val="21"/>
              </w:rPr>
              <w:t>（</w:t>
            </w:r>
            <w:r>
              <w:rPr>
                <w:w w:val="100"/>
                <w:sz w:val="21"/>
              </w:rPr>
              <w:t>CT</w:t>
            </w:r>
            <w:r>
              <w:rPr>
                <w:spacing w:val="-104"/>
                <w:w w:val="100"/>
                <w:sz w:val="21"/>
              </w:rPr>
              <w:t>）</w:t>
            </w:r>
            <w:r>
              <w:rPr>
                <w:w w:val="100"/>
                <w:sz w:val="21"/>
              </w:rPr>
              <w:t>、核磁共振检查</w:t>
            </w:r>
          </w:p>
          <w:p>
            <w:pPr>
              <w:pStyle w:val="TableParagraph"/>
              <w:spacing w:line="273" w:lineRule="auto" w:before="36"/>
              <w:ind w:right="252"/>
              <w:rPr>
                <w:sz w:val="21"/>
              </w:rPr>
            </w:pPr>
            <w:r>
              <w:rPr>
                <w:sz w:val="21"/>
              </w:rPr>
              <w:t>（MRI）或正电子发射断层扫描（PET）等影像学检查证实，并须满足下列至少一项条件：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25"/>
              <w:rPr>
                <w:b/>
                <w:i/>
                <w:sz w:val="22"/>
              </w:rPr>
            </w:pPr>
            <w:r>
              <w:rPr>
                <w:b/>
                <w:i/>
                <w:w w:val="95"/>
                <w:sz w:val="22"/>
              </w:rPr>
              <w:t>脑垂体瘤、脑囊肿、脑血管性疾病不在保障范围内。</w:t>
            </w:r>
          </w:p>
        </w:tc>
      </w:tr>
      <w:tr>
        <w:trPr>
          <w:trHeight w:val="2184" w:hRule="atLeast"/>
        </w:trPr>
        <w:tc>
          <w:tcPr>
            <w:tcW w:w="2006" w:type="dxa"/>
          </w:tcPr>
          <w:p>
            <w:pPr>
              <w:pStyle w:val="TableParagraph"/>
              <w:spacing w:line="232" w:lineRule="auto" w:before="95"/>
              <w:ind w:left="619" w:right="119" w:hanging="420"/>
              <w:rPr>
                <w:rFonts w:ascii="Microsoft JhengHei" w:eastAsia="Microsoft JhengHei" w:hint="eastAsia"/>
                <w:b/>
                <w:sz w:val="21"/>
              </w:rPr>
            </w:pPr>
            <w:r>
              <w:rPr>
                <w:b/>
                <w:sz w:val="21"/>
              </w:rPr>
              <w:t>10. </w:t>
            </w:r>
            <w:r>
              <w:rPr>
                <w:rFonts w:ascii="Microsoft JhengHei" w:eastAsia="Microsoft JhengHei" w:hint="eastAsia"/>
                <w:b/>
                <w:sz w:val="21"/>
              </w:rPr>
              <w:t>慢性肝功能衰竭失代偿期</w:t>
            </w:r>
          </w:p>
        </w:tc>
        <w:tc>
          <w:tcPr>
            <w:tcW w:w="7745" w:type="dxa"/>
          </w:tcPr>
          <w:p>
            <w:pPr>
              <w:pStyle w:val="TableParagraph"/>
              <w:spacing w:before="139"/>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before="25"/>
              <w:rPr>
                <w:b/>
                <w:i/>
                <w:sz w:val="22"/>
              </w:rPr>
            </w:pPr>
            <w:r>
              <w:rPr>
                <w:b/>
                <w:i/>
                <w:w w:val="95"/>
                <w:sz w:val="22"/>
              </w:rPr>
              <w:t>因酗酒或药物滥用导致的肝功能衰竭不在保障范围内。</w:t>
            </w:r>
          </w:p>
        </w:tc>
      </w:tr>
      <w:tr>
        <w:trPr>
          <w:trHeight w:val="2183" w:hRule="atLeast"/>
        </w:trPr>
        <w:tc>
          <w:tcPr>
            <w:tcW w:w="2006" w:type="dxa"/>
          </w:tcPr>
          <w:p>
            <w:pPr>
              <w:pStyle w:val="TableParagraph"/>
              <w:spacing w:line="232" w:lineRule="auto" w:before="95"/>
              <w:ind w:left="619" w:right="119" w:hanging="420"/>
              <w:rPr>
                <w:rFonts w:ascii="Microsoft JhengHei" w:eastAsia="Microsoft JhengHei" w:hint="eastAsia"/>
                <w:b/>
                <w:sz w:val="21"/>
              </w:rPr>
            </w:pPr>
            <w:r>
              <w:rPr>
                <w:b/>
                <w:sz w:val="21"/>
              </w:rPr>
              <w:t>11. </w:t>
            </w:r>
            <w:r>
              <w:rPr>
                <w:rFonts w:ascii="Microsoft JhengHei" w:eastAsia="Microsoft JhengHei" w:hint="eastAsia"/>
                <w:b/>
                <w:sz w:val="21"/>
              </w:rPr>
              <w:t>脑炎后遗症或脑膜炎后遗症</w:t>
            </w:r>
          </w:p>
        </w:tc>
        <w:tc>
          <w:tcPr>
            <w:tcW w:w="7745" w:type="dxa"/>
          </w:tcPr>
          <w:p>
            <w:pPr>
              <w:pStyle w:val="TableParagraph"/>
              <w:spacing w:line="273" w:lineRule="auto" w:before="139"/>
              <w:ind w:right="260"/>
              <w:rPr>
                <w:sz w:val="21"/>
              </w:rPr>
            </w:pPr>
            <w:r>
              <w:rPr>
                <w:sz w:val="21"/>
              </w:rPr>
              <w:t>指因患脑炎或脑膜炎导致的神经系统永久性的功能障碍。神经系统永久性的功能障碍，指疾病确诊 180 天后，仍残留下列一种或一种以上障碍：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47" w:right="309" w:hanging="527"/>
              <w:rPr>
                <w:sz w:val="21"/>
              </w:rPr>
            </w:pPr>
            <w:r>
              <w:rPr>
                <w:sz w:val="21"/>
              </w:rPr>
              <w:t>（3）自主生活能力完全丧失，无法独立完成六项基本日常生活活动中的三项或三项以上。</w:t>
            </w:r>
          </w:p>
        </w:tc>
      </w:tr>
      <w:tr>
        <w:trPr>
          <w:trHeight w:val="1561" w:hRule="atLeast"/>
        </w:trPr>
        <w:tc>
          <w:tcPr>
            <w:tcW w:w="2006" w:type="dxa"/>
          </w:tcPr>
          <w:p>
            <w:pPr>
              <w:pStyle w:val="TableParagraph"/>
              <w:spacing w:before="85"/>
              <w:ind w:left="200"/>
              <w:rPr>
                <w:rFonts w:ascii="Microsoft JhengHei" w:eastAsia="Microsoft JhengHei" w:hint="eastAsia"/>
                <w:b/>
                <w:sz w:val="21"/>
              </w:rPr>
            </w:pPr>
            <w:r>
              <w:rPr>
                <w:b/>
                <w:sz w:val="21"/>
              </w:rPr>
              <w:t>12. </w:t>
            </w:r>
            <w:r>
              <w:rPr>
                <w:rFonts w:ascii="Microsoft JhengHei" w:eastAsia="Microsoft JhengHei" w:hint="eastAsia"/>
                <w:b/>
                <w:sz w:val="21"/>
              </w:rPr>
              <w:t>深度昏迷</w:t>
            </w:r>
          </w:p>
        </w:tc>
        <w:tc>
          <w:tcPr>
            <w:tcW w:w="7745" w:type="dxa"/>
          </w:tcPr>
          <w:p>
            <w:pPr>
              <w:pStyle w:val="TableParagraph"/>
              <w:spacing w:line="273" w:lineRule="auto" w:before="140"/>
              <w:ind w:right="304"/>
              <w:jc w:val="both"/>
              <w:rPr>
                <w:sz w:val="21"/>
              </w:rPr>
            </w:pPr>
            <w:r>
              <w:rPr>
                <w:sz w:val="21"/>
              </w:rPr>
              <w:t>指因疾病或意外伤害导致意识丧失,对外界刺激和体内需求均无反应,昏迷程度</w:t>
            </w:r>
            <w:r>
              <w:rPr>
                <w:spacing w:val="-3"/>
                <w:sz w:val="21"/>
              </w:rPr>
              <w:t>按照格拉斯哥昏迷分级</w:t>
            </w:r>
            <w:r>
              <w:rPr>
                <w:sz w:val="21"/>
              </w:rPr>
              <w:t>（Glasgow coma scale）</w:t>
            </w:r>
            <w:r>
              <w:rPr>
                <w:spacing w:val="-2"/>
                <w:sz w:val="21"/>
              </w:rPr>
              <w:t>结果为</w:t>
            </w:r>
            <w:r>
              <w:rPr>
                <w:sz w:val="21"/>
              </w:rPr>
              <w:t>5</w:t>
            </w:r>
            <w:r>
              <w:rPr>
                <w:spacing w:val="-2"/>
                <w:sz w:val="21"/>
              </w:rPr>
              <w:t>分或</w:t>
            </w:r>
            <w:r>
              <w:rPr>
                <w:sz w:val="21"/>
              </w:rPr>
              <w:t>5</w:t>
            </w:r>
            <w:r>
              <w:rPr>
                <w:spacing w:val="-3"/>
                <w:sz w:val="21"/>
              </w:rPr>
              <w:t>分以下，且已经持续使用呼吸机及其它生命维持系统</w:t>
            </w:r>
            <w:r>
              <w:rPr>
                <w:sz w:val="21"/>
              </w:rPr>
              <w:t>96</w:t>
            </w:r>
            <w:r>
              <w:rPr>
                <w:spacing w:val="-3"/>
                <w:sz w:val="21"/>
              </w:rPr>
              <w:t>小时以上。</w:t>
            </w:r>
          </w:p>
          <w:p>
            <w:pPr>
              <w:pStyle w:val="TableParagraph"/>
              <w:spacing w:line="284" w:lineRule="exact"/>
              <w:jc w:val="both"/>
              <w:rPr>
                <w:b/>
                <w:i/>
                <w:sz w:val="22"/>
              </w:rPr>
            </w:pPr>
            <w:r>
              <w:rPr>
                <w:b/>
                <w:i/>
                <w:w w:val="95"/>
                <w:sz w:val="22"/>
              </w:rPr>
              <w:t>因酗酒或药物滥用导致的深度昏迷不在保障范围内。</w:t>
            </w:r>
          </w:p>
        </w:tc>
      </w:tr>
      <w:tr>
        <w:trPr>
          <w:trHeight w:val="1872" w:hRule="atLeast"/>
        </w:trPr>
        <w:tc>
          <w:tcPr>
            <w:tcW w:w="2006" w:type="dxa"/>
          </w:tcPr>
          <w:p>
            <w:pPr>
              <w:pStyle w:val="TableParagraph"/>
              <w:spacing w:line="232" w:lineRule="auto" w:before="95"/>
              <w:ind w:left="619" w:right="119" w:hanging="420"/>
              <w:rPr>
                <w:rFonts w:ascii="Microsoft JhengHei" w:eastAsia="Microsoft JhengHei" w:hint="eastAsia"/>
                <w:b/>
                <w:sz w:val="21"/>
              </w:rPr>
            </w:pPr>
            <w:r>
              <w:rPr>
                <w:b/>
                <w:sz w:val="21"/>
              </w:rPr>
              <w:t>13. </w:t>
            </w:r>
            <w:r>
              <w:rPr>
                <w:rFonts w:ascii="Microsoft JhengHei" w:eastAsia="Microsoft JhengHei" w:hint="eastAsia"/>
                <w:b/>
                <w:sz w:val="21"/>
              </w:rPr>
              <w:t>双耳失聪－三周岁始理赔</w:t>
            </w:r>
          </w:p>
        </w:tc>
        <w:tc>
          <w:tcPr>
            <w:tcW w:w="7745" w:type="dxa"/>
          </w:tcPr>
          <w:p>
            <w:pPr>
              <w:pStyle w:val="TableParagraph"/>
              <w:spacing w:before="139"/>
              <w:rPr>
                <w:sz w:val="21"/>
              </w:rPr>
            </w:pPr>
            <w:r>
              <w:rPr>
                <w:sz w:val="21"/>
              </w:rPr>
              <w:t>指因疾病或意外伤害导致双耳听力永久不可逆性丧失，在 500 赫兹、1000 赫兹和</w:t>
            </w:r>
          </w:p>
          <w:p>
            <w:pPr>
              <w:pStyle w:val="TableParagraph"/>
              <w:spacing w:line="273" w:lineRule="auto" w:before="36"/>
              <w:ind w:right="304"/>
              <w:rPr>
                <w:sz w:val="21"/>
              </w:rPr>
            </w:pPr>
            <w:r>
              <w:rPr>
                <w:sz w:val="21"/>
              </w:rPr>
              <w:t>2000</w:t>
            </w:r>
            <w:r>
              <w:rPr>
                <w:spacing w:val="-9"/>
                <w:sz w:val="21"/>
              </w:rPr>
              <w:t> 赫兹语音频率下，平均听阈大于 </w:t>
            </w:r>
            <w:r>
              <w:rPr>
                <w:sz w:val="21"/>
              </w:rPr>
              <w:t>90</w:t>
            </w:r>
            <w:r>
              <w:rPr>
                <w:spacing w:val="-7"/>
                <w:sz w:val="21"/>
              </w:rPr>
              <w:t> 分贝，且经纯音听力测试、声导抗检测</w:t>
            </w:r>
            <w:r>
              <w:rPr>
                <w:spacing w:val="-5"/>
                <w:sz w:val="21"/>
              </w:rPr>
              <w:t>或听觉诱发电位检测等证实。</w:t>
            </w:r>
          </w:p>
          <w:p>
            <w:pPr>
              <w:pStyle w:val="TableParagraph"/>
              <w:spacing w:line="259" w:lineRule="auto"/>
              <w:ind w:right="308"/>
              <w:rPr>
                <w:b/>
                <w:i/>
                <w:sz w:val="22"/>
              </w:rPr>
            </w:pPr>
            <w:r>
              <w:rPr>
                <w:b/>
                <w:i/>
                <w:spacing w:val="-6"/>
                <w:w w:val="95"/>
                <w:sz w:val="22"/>
              </w:rPr>
              <w:t>被保险人申请理赔时年龄必须在三周岁以上，并且提供理赔当时的听力丧失诊断及检查证据。</w:t>
            </w:r>
          </w:p>
        </w:tc>
      </w:tr>
      <w:tr>
        <w:trPr>
          <w:trHeight w:val="2808" w:hRule="atLeast"/>
        </w:trPr>
        <w:tc>
          <w:tcPr>
            <w:tcW w:w="2006" w:type="dxa"/>
          </w:tcPr>
          <w:p>
            <w:pPr>
              <w:pStyle w:val="TableParagraph"/>
              <w:spacing w:line="232" w:lineRule="auto" w:before="95"/>
              <w:ind w:left="619" w:right="119" w:hanging="420"/>
              <w:rPr>
                <w:rFonts w:ascii="Microsoft JhengHei" w:eastAsia="Microsoft JhengHei" w:hint="eastAsia"/>
                <w:b/>
                <w:sz w:val="21"/>
              </w:rPr>
            </w:pPr>
            <w:r>
              <w:rPr>
                <w:b/>
                <w:sz w:val="21"/>
              </w:rPr>
              <w:t>14. </w:t>
            </w:r>
            <w:r>
              <w:rPr>
                <w:rFonts w:ascii="Microsoft JhengHei" w:eastAsia="Microsoft JhengHei" w:hint="eastAsia"/>
                <w:b/>
                <w:sz w:val="21"/>
              </w:rPr>
              <w:t>双目失明－三周岁始理赔</w:t>
            </w:r>
          </w:p>
        </w:tc>
        <w:tc>
          <w:tcPr>
            <w:tcW w:w="7745" w:type="dxa"/>
          </w:tcPr>
          <w:p>
            <w:pPr>
              <w:pStyle w:val="TableParagraph"/>
              <w:spacing w:line="273" w:lineRule="auto" w:before="139"/>
              <w:ind w:right="258"/>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left="647" w:right="302" w:hanging="527"/>
              <w:rPr>
                <w:sz w:val="21"/>
              </w:rPr>
            </w:pPr>
            <w:r>
              <w:rPr>
                <w:sz w:val="21"/>
              </w:rPr>
              <w:t>（2）</w:t>
            </w:r>
            <w:r>
              <w:rPr>
                <w:spacing w:val="-4"/>
                <w:sz w:val="21"/>
              </w:rPr>
              <w:t>矫正视力低于 </w:t>
            </w:r>
            <w:r>
              <w:rPr>
                <w:sz w:val="21"/>
              </w:rPr>
              <w:t>0.02（</w:t>
            </w:r>
            <w:r>
              <w:rPr>
                <w:spacing w:val="-3"/>
                <w:sz w:val="21"/>
              </w:rPr>
              <w:t>采用国际标准视力表，如果使用其他视力表应进行换</w:t>
            </w:r>
            <w:r>
              <w:rPr>
                <w:spacing w:val="-3"/>
                <w:w w:val="100"/>
                <w:sz w:val="21"/>
              </w:rPr>
              <w:t>算</w:t>
            </w:r>
            <w:r>
              <w:rPr>
                <w:spacing w:val="-106"/>
                <w:w w:val="100"/>
                <w:sz w:val="21"/>
              </w:rPr>
              <w:t>）</w:t>
            </w:r>
            <w:r>
              <w:rPr>
                <w:w w:val="100"/>
                <w:sz w:val="21"/>
              </w:rPr>
              <w:t>；</w:t>
            </w:r>
          </w:p>
          <w:p>
            <w:pPr>
              <w:pStyle w:val="TableParagraph"/>
              <w:spacing w:before="8"/>
              <w:rPr>
                <w:sz w:val="21"/>
              </w:rPr>
            </w:pPr>
            <w:r>
              <w:rPr>
                <w:sz w:val="21"/>
              </w:rPr>
              <w:t>（3）视野半径小于 5 度。</w:t>
            </w:r>
          </w:p>
          <w:p>
            <w:pPr>
              <w:pStyle w:val="TableParagraph"/>
              <w:spacing w:line="259" w:lineRule="auto" w:before="25"/>
              <w:ind w:right="308"/>
              <w:rPr>
                <w:b/>
                <w:i/>
                <w:sz w:val="22"/>
              </w:rPr>
            </w:pPr>
            <w:r>
              <w:rPr>
                <w:b/>
                <w:i/>
                <w:spacing w:val="-6"/>
                <w:w w:val="95"/>
                <w:sz w:val="22"/>
              </w:rPr>
              <w:t>被保险人申请理赔时年龄必须在三周岁以上，并且提供理赔当时的视力丧失诊断及检查证据。</w:t>
            </w:r>
          </w:p>
        </w:tc>
      </w:tr>
      <w:tr>
        <w:trPr>
          <w:trHeight w:val="1040" w:hRule="atLeast"/>
        </w:trPr>
        <w:tc>
          <w:tcPr>
            <w:tcW w:w="2006" w:type="dxa"/>
          </w:tcPr>
          <w:p>
            <w:pPr>
              <w:pStyle w:val="TableParagraph"/>
              <w:spacing w:before="84"/>
              <w:ind w:left="200"/>
              <w:rPr>
                <w:rFonts w:ascii="Microsoft JhengHei" w:eastAsia="Microsoft JhengHei" w:hint="eastAsia"/>
                <w:b/>
                <w:sz w:val="21"/>
              </w:rPr>
            </w:pPr>
            <w:r>
              <w:rPr>
                <w:b/>
                <w:sz w:val="21"/>
              </w:rPr>
              <w:t>15.</w:t>
            </w:r>
            <w:r>
              <w:rPr>
                <w:b/>
                <w:spacing w:val="-54"/>
                <w:sz w:val="21"/>
              </w:rPr>
              <w:t> </w:t>
            </w:r>
            <w:r>
              <w:rPr>
                <w:rFonts w:ascii="Microsoft JhengHei" w:eastAsia="Microsoft JhengHei" w:hint="eastAsia"/>
                <w:b/>
                <w:sz w:val="21"/>
              </w:rPr>
              <w:t>瘫 痪</w:t>
            </w:r>
          </w:p>
        </w:tc>
        <w:tc>
          <w:tcPr>
            <w:tcW w:w="7745" w:type="dxa"/>
          </w:tcPr>
          <w:p>
            <w:pPr>
              <w:pStyle w:val="TableParagraph"/>
              <w:spacing w:line="310" w:lineRule="atLeast" w:before="104"/>
              <w:ind w:right="303"/>
              <w:jc w:val="both"/>
              <w:rPr>
                <w:sz w:val="21"/>
              </w:rPr>
            </w:pPr>
            <w:r>
              <w:rPr>
                <w:spacing w:val="-5"/>
                <w:sz w:val="21"/>
              </w:rPr>
              <w:t>指因疾病或意外伤害导致两肢或两肢以上肢体机能永久完全丧失。肢体机能永久</w:t>
            </w:r>
            <w:r>
              <w:rPr>
                <w:spacing w:val="-11"/>
                <w:sz w:val="21"/>
              </w:rPr>
              <w:t>完全丧失，指疾病确诊 </w:t>
            </w:r>
            <w:r>
              <w:rPr>
                <w:sz w:val="21"/>
              </w:rPr>
              <w:t>180</w:t>
            </w:r>
            <w:r>
              <w:rPr>
                <w:spacing w:val="-12"/>
                <w:sz w:val="21"/>
              </w:rPr>
              <w:t> 天后或意外伤害发生 </w:t>
            </w:r>
            <w:r>
              <w:rPr>
                <w:sz w:val="21"/>
              </w:rPr>
              <w:t>180</w:t>
            </w:r>
            <w:r>
              <w:rPr>
                <w:spacing w:val="-10"/>
                <w:sz w:val="21"/>
              </w:rPr>
              <w:t> 天后，每肢三大关节中的两</w:t>
            </w:r>
            <w:r>
              <w:rPr>
                <w:spacing w:val="-5"/>
                <w:sz w:val="21"/>
              </w:rPr>
              <w:t>大关节仍然完全僵硬，或不能随意识活动。</w:t>
            </w:r>
          </w:p>
        </w:tc>
      </w:tr>
    </w:tbl>
    <w:p>
      <w:pPr>
        <w:spacing w:after="0" w:line="310" w:lineRule="atLeast"/>
        <w:jc w:val="both"/>
        <w:rPr>
          <w:sz w:val="21"/>
        </w:rPr>
        <w:sectPr>
          <w:pgSz w:w="11910" w:h="16840"/>
          <w:pgMar w:header="0" w:footer="353" w:top="148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728"/>
      </w:tblGrid>
      <w:tr>
        <w:trPr>
          <w:trHeight w:val="433" w:hRule="atLeast"/>
        </w:trPr>
        <w:tc>
          <w:tcPr>
            <w:tcW w:w="2022" w:type="dxa"/>
          </w:tcPr>
          <w:p>
            <w:pPr>
              <w:pStyle w:val="TableParagraph"/>
              <w:spacing w:line="235" w:lineRule="exact"/>
              <w:ind w:left="200"/>
              <w:rPr>
                <w:rFonts w:ascii="Microsoft JhengHei" w:eastAsia="Microsoft JhengHei" w:hint="eastAsia"/>
                <w:b/>
                <w:sz w:val="21"/>
              </w:rPr>
            </w:pPr>
            <w:r>
              <w:rPr>
                <w:b/>
                <w:sz w:val="21"/>
              </w:rPr>
              <w:t>16. </w:t>
            </w:r>
            <w:r>
              <w:rPr>
                <w:rFonts w:ascii="Microsoft JhengHei" w:eastAsia="Microsoft JhengHei" w:hint="eastAsia"/>
                <w:b/>
                <w:sz w:val="21"/>
              </w:rPr>
              <w:t>心脏瓣膜手术</w:t>
            </w:r>
          </w:p>
        </w:tc>
        <w:tc>
          <w:tcPr>
            <w:tcW w:w="7728" w:type="dxa"/>
          </w:tcPr>
          <w:p>
            <w:pPr>
              <w:pStyle w:val="TableParagraph"/>
              <w:spacing w:line="223" w:lineRule="exact"/>
              <w:ind w:left="105"/>
              <w:rPr>
                <w:sz w:val="21"/>
              </w:rPr>
            </w:pPr>
            <w:r>
              <w:rPr>
                <w:sz w:val="21"/>
              </w:rPr>
              <w:t>指为治疗心脏瓣膜疾病，实际实施了开胸进行的心脏瓣膜置换或修复的手术。</w:t>
            </w:r>
          </w:p>
        </w:tc>
      </w:tr>
      <w:tr>
        <w:trPr>
          <w:trHeight w:val="2180" w:hRule="atLeast"/>
        </w:trPr>
        <w:tc>
          <w:tcPr>
            <w:tcW w:w="2022" w:type="dxa"/>
          </w:tcPr>
          <w:p>
            <w:pPr>
              <w:pStyle w:val="TableParagraph"/>
              <w:spacing w:line="232" w:lineRule="auto" w:before="95"/>
              <w:ind w:left="619" w:right="135" w:hanging="420"/>
              <w:rPr>
                <w:rFonts w:ascii="Microsoft JhengHei" w:eastAsia="Microsoft JhengHei" w:hint="eastAsia"/>
                <w:b/>
                <w:sz w:val="21"/>
              </w:rPr>
            </w:pPr>
            <w:r>
              <w:rPr>
                <w:b/>
                <w:sz w:val="21"/>
              </w:rPr>
              <w:t>17. </w:t>
            </w:r>
            <w:r>
              <w:rPr>
                <w:rFonts w:ascii="Microsoft JhengHei" w:eastAsia="Microsoft JhengHei" w:hint="eastAsia"/>
                <w:b/>
                <w:sz w:val="21"/>
              </w:rPr>
              <w:t>严重阿尔茨海默病</w:t>
            </w:r>
          </w:p>
        </w:tc>
        <w:tc>
          <w:tcPr>
            <w:tcW w:w="7728" w:type="dxa"/>
          </w:tcPr>
          <w:p>
            <w:pPr>
              <w:pStyle w:val="TableParagraph"/>
              <w:spacing w:line="273" w:lineRule="auto" w:before="138"/>
              <w:ind w:left="105" w:right="301"/>
              <w:jc w:val="both"/>
              <w:rPr>
                <w:sz w:val="21"/>
              </w:rPr>
            </w:pPr>
            <w:r>
              <w:rPr>
                <w:spacing w:val="-6"/>
                <w:sz w:val="21"/>
              </w:rPr>
              <w:t>指因大脑进行性、不可逆性改变导致智能严重衰退或丧失，临床表现为明显的认</w:t>
            </w:r>
            <w:r>
              <w:rPr>
                <w:spacing w:val="-8"/>
                <w:sz w:val="21"/>
              </w:rPr>
              <w:t>知能力障碍、行为异常和社交能力减退，其日常生活必须持续受到他人监护。须</w:t>
            </w:r>
            <w:r>
              <w:rPr>
                <w:w w:val="100"/>
                <w:sz w:val="21"/>
              </w:rPr>
              <w:t>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r>
              <w:rPr>
                <w:spacing w:val="3"/>
                <w:w w:val="100"/>
                <w:sz w:val="21"/>
              </w:rPr>
              <w:t>（</w:t>
            </w:r>
            <w:r>
              <w:rPr>
                <w:w w:val="100"/>
                <w:sz w:val="21"/>
              </w:rPr>
              <w:t>P</w:t>
            </w:r>
            <w:r>
              <w:rPr>
                <w:spacing w:val="-3"/>
                <w:w w:val="100"/>
                <w:sz w:val="21"/>
              </w:rPr>
              <w:t>E</w:t>
            </w:r>
            <w:r>
              <w:rPr>
                <w:spacing w:val="1"/>
                <w:w w:val="100"/>
                <w:sz w:val="21"/>
              </w:rPr>
              <w:t>T</w:t>
            </w:r>
            <w:r>
              <w:rPr>
                <w:w w:val="100"/>
                <w:sz w:val="21"/>
              </w:rPr>
              <w:t>）等</w:t>
            </w:r>
            <w:r>
              <w:rPr>
                <w:spacing w:val="-6"/>
                <w:sz w:val="21"/>
              </w:rPr>
              <w:t>影像学检查证实，且自主生活能力完全丧失，无法独立完成六项基本日常生活活</w:t>
            </w:r>
            <w:r>
              <w:rPr>
                <w:spacing w:val="-4"/>
                <w:sz w:val="21"/>
              </w:rPr>
              <w:t>动中的三项或三项以上。</w:t>
            </w:r>
          </w:p>
          <w:p>
            <w:pPr>
              <w:pStyle w:val="TableParagraph"/>
              <w:spacing w:line="284" w:lineRule="exact"/>
              <w:ind w:left="105"/>
              <w:jc w:val="both"/>
              <w:rPr>
                <w:b/>
                <w:i/>
                <w:sz w:val="22"/>
              </w:rPr>
            </w:pPr>
            <w:r>
              <w:rPr>
                <w:b/>
                <w:i/>
                <w:w w:val="95"/>
                <w:sz w:val="22"/>
              </w:rPr>
              <w:t>神经官能症和精神疾病不在保障范围内。</w:t>
            </w:r>
          </w:p>
        </w:tc>
      </w:tr>
      <w:tr>
        <w:trPr>
          <w:trHeight w:val="2807" w:hRule="atLeast"/>
        </w:trPr>
        <w:tc>
          <w:tcPr>
            <w:tcW w:w="2022" w:type="dxa"/>
          </w:tcPr>
          <w:p>
            <w:pPr>
              <w:pStyle w:val="TableParagraph"/>
              <w:spacing w:before="87"/>
              <w:ind w:left="200"/>
              <w:rPr>
                <w:rFonts w:ascii="Microsoft JhengHei" w:eastAsia="Microsoft JhengHei" w:hint="eastAsia"/>
                <w:b/>
                <w:sz w:val="21"/>
              </w:rPr>
            </w:pPr>
            <w:r>
              <w:rPr>
                <w:b/>
                <w:sz w:val="21"/>
              </w:rPr>
              <w:t>18. </w:t>
            </w:r>
            <w:r>
              <w:rPr>
                <w:rFonts w:ascii="Microsoft JhengHei" w:eastAsia="Microsoft JhengHei" w:hint="eastAsia"/>
                <w:b/>
                <w:sz w:val="21"/>
              </w:rPr>
              <w:t>严重脑损伤</w:t>
            </w:r>
          </w:p>
        </w:tc>
        <w:tc>
          <w:tcPr>
            <w:tcW w:w="7728" w:type="dxa"/>
          </w:tcPr>
          <w:p>
            <w:pPr>
              <w:pStyle w:val="TableParagraph"/>
              <w:spacing w:line="273" w:lineRule="auto" w:before="142"/>
              <w:ind w:left="105" w:right="198"/>
              <w:rPr>
                <w:sz w:val="21"/>
              </w:rPr>
            </w:pPr>
            <w:r>
              <w:rPr>
                <w:spacing w:val="-6"/>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4"/>
                <w:w w:val="100"/>
                <w:sz w:val="21"/>
              </w:rPr>
              <w:t>、核磁共振检查</w:t>
            </w:r>
            <w:r>
              <w:rPr>
                <w:spacing w:val="-3"/>
                <w:w w:val="100"/>
                <w:sz w:val="21"/>
              </w:rPr>
              <w:t>（</w:t>
            </w:r>
            <w:r>
              <w:rPr>
                <w:w w:val="100"/>
                <w:sz w:val="21"/>
              </w:rPr>
              <w:t>MR</w:t>
            </w:r>
            <w:r>
              <w:rPr>
                <w:spacing w:val="-3"/>
                <w:w w:val="100"/>
                <w:sz w:val="21"/>
              </w:rPr>
              <w:t>I</w:t>
            </w:r>
            <w:r>
              <w:rPr>
                <w:spacing w:val="-41"/>
                <w:w w:val="100"/>
                <w:sz w:val="21"/>
              </w:rPr>
              <w:t>）</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8"/>
                <w:sz w:val="21"/>
              </w:rPr>
              <w:t>等影像学检查证实。神经系统永久性的功能障碍，指脑损伤 </w:t>
            </w:r>
            <w:r>
              <w:rPr>
                <w:sz w:val="21"/>
              </w:rPr>
              <w:t>180</w:t>
            </w:r>
            <w:r>
              <w:rPr>
                <w:spacing w:val="-10"/>
                <w:sz w:val="21"/>
              </w:rPr>
              <w:t> 天后，仍遗留下</w:t>
            </w:r>
            <w:r>
              <w:rPr>
                <w:spacing w:val="-5"/>
                <w:sz w:val="21"/>
              </w:rPr>
              <w:t>列一种或一种以上障碍：</w:t>
            </w:r>
          </w:p>
          <w:p>
            <w:pPr>
              <w:pStyle w:val="TableParagraph"/>
              <w:spacing w:before="8"/>
              <w:ind w:left="105"/>
              <w:rPr>
                <w:sz w:val="21"/>
              </w:rPr>
            </w:pPr>
            <w:r>
              <w:rPr>
                <w:sz w:val="21"/>
              </w:rPr>
              <w:t>（1）一肢或一肢以上肢体机能完全丧失；</w:t>
            </w:r>
          </w:p>
          <w:p>
            <w:pPr>
              <w:pStyle w:val="TableParagraph"/>
              <w:spacing w:before="36"/>
              <w:ind w:left="105"/>
              <w:rPr>
                <w:sz w:val="21"/>
              </w:rPr>
            </w:pPr>
            <w:r>
              <w:rPr>
                <w:sz w:val="21"/>
              </w:rPr>
              <w:t>（2）语言能力或咀嚼吞咽能力完全丧失；</w:t>
            </w:r>
          </w:p>
          <w:p>
            <w:pPr>
              <w:pStyle w:val="TableParagraph"/>
              <w:spacing w:line="273" w:lineRule="auto" w:before="36"/>
              <w:ind w:left="631" w:right="371" w:hanging="527"/>
              <w:rPr>
                <w:sz w:val="21"/>
              </w:rPr>
            </w:pPr>
            <w:r>
              <w:rPr>
                <w:sz w:val="21"/>
              </w:rPr>
              <w:t>（3）自主生活能力完全丧失，无法独立完成六项基本日常生活活动中的三项或三项以上。</w:t>
            </w:r>
          </w:p>
        </w:tc>
      </w:tr>
      <w:tr>
        <w:trPr>
          <w:trHeight w:val="2185" w:hRule="atLeast"/>
        </w:trPr>
        <w:tc>
          <w:tcPr>
            <w:tcW w:w="2022" w:type="dxa"/>
          </w:tcPr>
          <w:p>
            <w:pPr>
              <w:pStyle w:val="TableParagraph"/>
              <w:spacing w:before="88"/>
              <w:ind w:left="200"/>
              <w:rPr>
                <w:rFonts w:ascii="Microsoft JhengHei" w:eastAsia="Microsoft JhengHei" w:hint="eastAsia"/>
                <w:b/>
                <w:sz w:val="21"/>
              </w:rPr>
            </w:pPr>
            <w:r>
              <w:rPr>
                <w:b/>
                <w:sz w:val="21"/>
              </w:rPr>
              <w:t>19. </w:t>
            </w:r>
            <w:r>
              <w:rPr>
                <w:rFonts w:ascii="Microsoft JhengHei" w:eastAsia="Microsoft JhengHei" w:hint="eastAsia"/>
                <w:b/>
                <w:sz w:val="21"/>
              </w:rPr>
              <w:t>严重帕金森病</w:t>
            </w:r>
          </w:p>
        </w:tc>
        <w:tc>
          <w:tcPr>
            <w:tcW w:w="7728" w:type="dxa"/>
          </w:tcPr>
          <w:p>
            <w:pPr>
              <w:pStyle w:val="TableParagraph"/>
              <w:spacing w:line="273" w:lineRule="auto" w:before="142"/>
              <w:ind w:left="105" w:right="302"/>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ind w:left="105"/>
              <w:rPr>
                <w:sz w:val="21"/>
              </w:rPr>
            </w:pPr>
            <w:r>
              <w:rPr>
                <w:sz w:val="21"/>
              </w:rPr>
              <w:t>（1）药物治疗无法控制病情；</w:t>
            </w:r>
          </w:p>
          <w:p>
            <w:pPr>
              <w:pStyle w:val="TableParagraph"/>
              <w:spacing w:line="273" w:lineRule="auto" w:before="37"/>
              <w:ind w:left="631" w:right="308" w:hanging="527"/>
              <w:rPr>
                <w:sz w:val="21"/>
              </w:rPr>
            </w:pPr>
            <w:r>
              <w:rPr>
                <w:sz w:val="21"/>
              </w:rPr>
              <w:t>（2）自主生活能力完全丧失，无法独立完成六项基本日常生活活动中的三项或三项以上。</w:t>
            </w:r>
          </w:p>
          <w:p>
            <w:pPr>
              <w:pStyle w:val="TableParagraph"/>
              <w:spacing w:line="284" w:lineRule="exact"/>
              <w:ind w:left="105"/>
              <w:rPr>
                <w:b/>
                <w:i/>
                <w:sz w:val="22"/>
              </w:rPr>
            </w:pPr>
            <w:r>
              <w:rPr>
                <w:b/>
                <w:i/>
                <w:w w:val="95"/>
                <w:sz w:val="22"/>
              </w:rPr>
              <w:t>继发性帕金森综合征不在保障范围内。</w:t>
            </w:r>
          </w:p>
        </w:tc>
      </w:tr>
      <w:tr>
        <w:trPr>
          <w:trHeight w:val="935" w:hRule="atLeast"/>
        </w:trPr>
        <w:tc>
          <w:tcPr>
            <w:tcW w:w="2022" w:type="dxa"/>
          </w:tcPr>
          <w:p>
            <w:pPr>
              <w:pStyle w:val="TableParagraph"/>
              <w:spacing w:before="87"/>
              <w:ind w:left="200"/>
              <w:rPr>
                <w:rFonts w:ascii="Microsoft JhengHei" w:eastAsia="Microsoft JhengHei" w:hint="eastAsia"/>
                <w:b/>
                <w:sz w:val="21"/>
              </w:rPr>
            </w:pPr>
            <w:r>
              <w:rPr>
                <w:b/>
                <w:sz w:val="21"/>
              </w:rPr>
              <w:t>20. </w:t>
            </w:r>
            <w:r>
              <w:rPr>
                <w:rFonts w:ascii="Microsoft JhengHei" w:eastAsia="Microsoft JhengHei" w:hint="eastAsia"/>
                <w:b/>
                <w:sz w:val="21"/>
              </w:rPr>
              <w:t>严重III 度烧伤</w:t>
            </w:r>
          </w:p>
        </w:tc>
        <w:tc>
          <w:tcPr>
            <w:tcW w:w="7728" w:type="dxa"/>
          </w:tcPr>
          <w:p>
            <w:pPr>
              <w:pStyle w:val="TableParagraph"/>
              <w:spacing w:line="273" w:lineRule="auto" w:before="142"/>
              <w:ind w:left="105" w:right="371"/>
              <w:rPr>
                <w:sz w:val="21"/>
              </w:rPr>
            </w:pPr>
            <w:r>
              <w:rPr>
                <w:spacing w:val="-5"/>
                <w:sz w:val="21"/>
              </w:rPr>
              <w:t>指烧伤程度为Ⅲ度，且Ⅲ度烧伤面积达到全身体表面积的 </w:t>
            </w:r>
            <w:r>
              <w:rPr>
                <w:sz w:val="21"/>
              </w:rPr>
              <w:t>20</w:t>
            </w:r>
            <w:r>
              <w:rPr>
                <w:spacing w:val="-13"/>
                <w:sz w:val="21"/>
              </w:rPr>
              <w:t>%或 </w:t>
            </w:r>
            <w:r>
              <w:rPr>
                <w:sz w:val="21"/>
              </w:rPr>
              <w:t>20</w:t>
            </w:r>
            <w:r>
              <w:rPr>
                <w:spacing w:val="-3"/>
                <w:sz w:val="21"/>
              </w:rPr>
              <w:t>%以上。体表面积根据《中国新九分法》计算。</w:t>
            </w:r>
          </w:p>
        </w:tc>
      </w:tr>
      <w:tr>
        <w:trPr>
          <w:trHeight w:val="1248" w:hRule="atLeast"/>
        </w:trPr>
        <w:tc>
          <w:tcPr>
            <w:tcW w:w="2022" w:type="dxa"/>
          </w:tcPr>
          <w:p>
            <w:pPr>
              <w:pStyle w:val="TableParagraph"/>
              <w:spacing w:line="232" w:lineRule="auto" w:before="98"/>
              <w:ind w:left="619" w:right="135" w:hanging="420"/>
              <w:rPr>
                <w:rFonts w:ascii="Microsoft JhengHei" w:eastAsia="Microsoft JhengHei" w:hint="eastAsia"/>
                <w:b/>
                <w:sz w:val="21"/>
              </w:rPr>
            </w:pPr>
            <w:r>
              <w:rPr>
                <w:b/>
                <w:sz w:val="21"/>
              </w:rPr>
              <w:t>21. </w:t>
            </w:r>
            <w:r>
              <w:rPr>
                <w:rFonts w:ascii="Microsoft JhengHei" w:eastAsia="Microsoft JhengHei" w:hint="eastAsia"/>
                <w:b/>
                <w:sz w:val="21"/>
              </w:rPr>
              <w:t>严重原发性肺动脉高压</w:t>
            </w:r>
          </w:p>
        </w:tc>
        <w:tc>
          <w:tcPr>
            <w:tcW w:w="7728" w:type="dxa"/>
          </w:tcPr>
          <w:p>
            <w:pPr>
              <w:pStyle w:val="TableParagraph"/>
              <w:spacing w:line="273" w:lineRule="auto" w:before="142"/>
              <w:ind w:left="105" w:right="302"/>
              <w:jc w:val="both"/>
              <w:rPr>
                <w:sz w:val="21"/>
              </w:rPr>
            </w:pPr>
            <w:r>
              <w:rPr>
                <w:spacing w:val="-6"/>
                <w:sz w:val="21"/>
              </w:rPr>
              <w:t>指不明原因的肺动脉压力持续性增高，进行性发展而导致的慢性疾病，已经造成</w:t>
            </w:r>
            <w:r>
              <w:rPr>
                <w:spacing w:val="-11"/>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247" w:hRule="atLeast"/>
        </w:trPr>
        <w:tc>
          <w:tcPr>
            <w:tcW w:w="2022" w:type="dxa"/>
          </w:tcPr>
          <w:p>
            <w:pPr>
              <w:pStyle w:val="TableParagraph"/>
              <w:spacing w:line="232" w:lineRule="auto" w:before="98"/>
              <w:ind w:left="619" w:right="135" w:hanging="420"/>
              <w:rPr>
                <w:rFonts w:ascii="Microsoft JhengHei" w:eastAsia="Microsoft JhengHei" w:hint="eastAsia"/>
                <w:b/>
                <w:sz w:val="21"/>
              </w:rPr>
            </w:pPr>
            <w:r>
              <w:rPr>
                <w:b/>
                <w:sz w:val="21"/>
              </w:rPr>
              <w:t>22. </w:t>
            </w:r>
            <w:r>
              <w:rPr>
                <w:rFonts w:ascii="Microsoft JhengHei" w:eastAsia="Microsoft JhengHei" w:hint="eastAsia"/>
                <w:b/>
                <w:sz w:val="21"/>
              </w:rPr>
              <w:t>严重运动神经元病</w:t>
            </w:r>
          </w:p>
        </w:tc>
        <w:tc>
          <w:tcPr>
            <w:tcW w:w="7728" w:type="dxa"/>
          </w:tcPr>
          <w:p>
            <w:pPr>
              <w:pStyle w:val="TableParagraph"/>
              <w:spacing w:line="273" w:lineRule="auto" w:before="142"/>
              <w:ind w:left="105" w:right="268"/>
              <w:jc w:val="both"/>
              <w:rPr>
                <w:sz w:val="21"/>
              </w:rPr>
            </w:pPr>
            <w:r>
              <w:rPr>
                <w:spacing w:val="-5"/>
                <w:sz w:val="21"/>
              </w:rPr>
              <w:t>是一组中枢神经系统运动神经元的进行性变性疾病，包括进行性脊肌萎缩症、进</w:t>
            </w:r>
            <w:r>
              <w:rPr>
                <w:spacing w:val="-8"/>
                <w:sz w:val="21"/>
              </w:rPr>
              <w:t>行性延髓麻痹症、原发性侧索硬化症、肌萎缩性侧索硬化症。须满足自主生活能</w:t>
            </w:r>
            <w:r>
              <w:rPr>
                <w:spacing w:val="-3"/>
                <w:sz w:val="21"/>
              </w:rPr>
              <w:t>力完全丧失，无法独立完成六项基本日常生活活动中的三项或三项以上的条件。</w:t>
            </w:r>
          </w:p>
        </w:tc>
      </w:tr>
      <w:tr>
        <w:trPr>
          <w:trHeight w:val="1873" w:hRule="atLeast"/>
        </w:trPr>
        <w:tc>
          <w:tcPr>
            <w:tcW w:w="2022" w:type="dxa"/>
          </w:tcPr>
          <w:p>
            <w:pPr>
              <w:pStyle w:val="TableParagraph"/>
              <w:spacing w:line="359" w:lineRule="exact" w:before="88"/>
              <w:ind w:left="200"/>
              <w:rPr>
                <w:rFonts w:ascii="Microsoft JhengHei" w:eastAsia="Microsoft JhengHei" w:hint="eastAsia"/>
                <w:b/>
                <w:sz w:val="21"/>
              </w:rPr>
            </w:pPr>
            <w:r>
              <w:rPr>
                <w:b/>
                <w:sz w:val="21"/>
              </w:rPr>
              <w:t>23. </w:t>
            </w:r>
            <w:r>
              <w:rPr>
                <w:rFonts w:ascii="Microsoft JhengHei" w:eastAsia="Microsoft JhengHei" w:hint="eastAsia"/>
                <w:b/>
                <w:sz w:val="21"/>
              </w:rPr>
              <w:t>语言能力丧失</w:t>
            </w:r>
          </w:p>
          <w:p>
            <w:pPr>
              <w:pStyle w:val="TableParagraph"/>
              <w:spacing w:line="359" w:lineRule="exact"/>
              <w:ind w:left="619"/>
              <w:rPr>
                <w:rFonts w:ascii="Microsoft JhengHei" w:eastAsia="Microsoft JhengHei" w:hint="eastAsia"/>
                <w:b/>
                <w:sz w:val="21"/>
              </w:rPr>
            </w:pPr>
            <w:r>
              <w:rPr>
                <w:rFonts w:ascii="Microsoft JhengHei" w:eastAsia="Microsoft JhengHei" w:hint="eastAsia"/>
                <w:b/>
                <w:sz w:val="21"/>
              </w:rPr>
              <w:t>－三岁始理赔</w:t>
            </w:r>
          </w:p>
        </w:tc>
        <w:tc>
          <w:tcPr>
            <w:tcW w:w="7728" w:type="dxa"/>
          </w:tcPr>
          <w:p>
            <w:pPr>
              <w:pStyle w:val="TableParagraph"/>
              <w:spacing w:line="273" w:lineRule="auto" w:before="142"/>
              <w:ind w:left="105" w:right="301"/>
              <w:rPr>
                <w:sz w:val="21"/>
              </w:rPr>
            </w:pPr>
            <w:r>
              <w:rPr>
                <w:spacing w:val="-3"/>
                <w:sz w:val="21"/>
              </w:rPr>
              <w:t>指因疾病或意外伤害导致完全丧失语言能力，经过积极治疗至少 </w:t>
            </w:r>
            <w:r>
              <w:rPr>
                <w:sz w:val="21"/>
              </w:rPr>
              <w:t>12</w:t>
            </w:r>
            <w:r>
              <w:rPr>
                <w:spacing w:val="-2"/>
                <w:sz w:val="21"/>
              </w:rPr>
              <w:t> 个月</w:t>
            </w:r>
            <w:r>
              <w:rPr>
                <w:spacing w:val="-3"/>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284" w:lineRule="exact"/>
              <w:ind w:left="105"/>
              <w:rPr>
                <w:b/>
                <w:i/>
                <w:sz w:val="22"/>
              </w:rPr>
            </w:pPr>
            <w:r>
              <w:rPr>
                <w:b/>
                <w:i/>
                <w:w w:val="95"/>
                <w:sz w:val="22"/>
              </w:rPr>
              <w:t>精神心理因素所致的语言能力丧失不在保障范围内。</w:t>
            </w:r>
          </w:p>
          <w:p>
            <w:pPr>
              <w:pStyle w:val="TableParagraph"/>
              <w:spacing w:line="259" w:lineRule="auto" w:before="24"/>
              <w:ind w:left="105" w:right="307"/>
              <w:rPr>
                <w:b/>
                <w:i/>
                <w:sz w:val="22"/>
              </w:rPr>
            </w:pPr>
            <w:r>
              <w:rPr>
                <w:b/>
                <w:i/>
                <w:spacing w:val="-6"/>
                <w:w w:val="95"/>
                <w:sz w:val="22"/>
              </w:rPr>
              <w:t>被保险人申请理赔时年龄必须在三周岁以上，并且提供理赔当时的语言能力丧失诊断及检查证据。</w:t>
            </w:r>
          </w:p>
        </w:tc>
      </w:tr>
      <w:tr>
        <w:trPr>
          <w:trHeight w:val="1040" w:hRule="atLeast"/>
        </w:trPr>
        <w:tc>
          <w:tcPr>
            <w:tcW w:w="2022" w:type="dxa"/>
          </w:tcPr>
          <w:p>
            <w:pPr>
              <w:pStyle w:val="TableParagraph"/>
              <w:spacing w:line="232" w:lineRule="auto" w:before="98"/>
              <w:ind w:left="619" w:right="135" w:hanging="420"/>
              <w:rPr>
                <w:rFonts w:ascii="Microsoft JhengHei" w:eastAsia="Microsoft JhengHei" w:hint="eastAsia"/>
                <w:b/>
                <w:sz w:val="21"/>
              </w:rPr>
            </w:pPr>
            <w:r>
              <w:rPr>
                <w:b/>
                <w:sz w:val="21"/>
              </w:rPr>
              <w:t>24. </w:t>
            </w:r>
            <w:r>
              <w:rPr>
                <w:rFonts w:ascii="Microsoft JhengHei" w:eastAsia="Microsoft JhengHei" w:hint="eastAsia"/>
                <w:b/>
                <w:sz w:val="21"/>
              </w:rPr>
              <w:t>重型再生障碍性贫血</w:t>
            </w:r>
          </w:p>
        </w:tc>
        <w:tc>
          <w:tcPr>
            <w:tcW w:w="7728" w:type="dxa"/>
          </w:tcPr>
          <w:p>
            <w:pPr>
              <w:pStyle w:val="TableParagraph"/>
              <w:spacing w:line="273" w:lineRule="auto" w:before="142"/>
              <w:ind w:left="105" w:right="266"/>
              <w:rPr>
                <w:sz w:val="21"/>
              </w:rPr>
            </w:pPr>
            <w:r>
              <w:rPr>
                <w:sz w:val="21"/>
              </w:rPr>
              <w:t>指因骨髓造血功能慢性持续性衰竭导致的贫血、中性粒细胞减少及血小板减少。须满足下列全部条件：</w:t>
            </w:r>
          </w:p>
          <w:p>
            <w:pPr>
              <w:pStyle w:val="TableParagraph"/>
              <w:spacing w:line="255" w:lineRule="exact" w:before="8"/>
              <w:ind w:left="105"/>
              <w:rPr>
                <w:sz w:val="21"/>
              </w:rPr>
            </w:pPr>
            <w:r>
              <w:rPr>
                <w:sz w:val="21"/>
              </w:rPr>
              <w:t>（1）骨髓穿刺检查或骨髓活检结果支持诊断；</w:t>
            </w:r>
          </w:p>
        </w:tc>
      </w:tr>
    </w:tbl>
    <w:p>
      <w:pPr>
        <w:spacing w:after="0" w:line="255" w:lineRule="exact"/>
        <w:rPr>
          <w:sz w:val="21"/>
        </w:rPr>
        <w:sectPr>
          <w:pgSz w:w="11910" w:h="16840"/>
          <w:pgMar w:header="0" w:footer="353" w:top="14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6"/>
      </w:tblGrid>
      <w:tr>
        <w:trPr>
          <w:trHeight w:val="1353" w:hRule="atLeast"/>
        </w:trPr>
        <w:tc>
          <w:tcPr>
            <w:tcW w:w="2006" w:type="dxa"/>
          </w:tcPr>
          <w:p>
            <w:pPr>
              <w:pStyle w:val="TableParagraph"/>
              <w:ind w:left="0"/>
              <w:rPr>
                <w:rFonts w:ascii="Times New Roman"/>
                <w:sz w:val="20"/>
              </w:rPr>
            </w:pPr>
          </w:p>
        </w:tc>
        <w:tc>
          <w:tcPr>
            <w:tcW w:w="7746" w:type="dxa"/>
          </w:tcPr>
          <w:p>
            <w:pPr>
              <w:pStyle w:val="TableParagraph"/>
              <w:spacing w:line="211" w:lineRule="exact"/>
              <w:ind w:left="103" w:right="3927"/>
              <w:jc w:val="center"/>
              <w:rPr>
                <w:sz w:val="21"/>
              </w:rPr>
            </w:pPr>
            <w:r>
              <w:rPr>
                <w:sz w:val="21"/>
              </w:rPr>
              <w:t>（2）外周血象必须具备以下三项条件：</w:t>
            </w:r>
          </w:p>
          <w:p>
            <w:pPr>
              <w:pStyle w:val="TableParagraph"/>
              <w:spacing w:before="37"/>
              <w:ind w:left="606"/>
              <w:rPr>
                <w:sz w:val="21"/>
              </w:rPr>
            </w:pPr>
            <w:r>
              <w:rPr>
                <w:sz w:val="21"/>
              </w:rPr>
              <w:t>①中性粒细胞绝对值≤0.5×10</w:t>
            </w:r>
            <w:r>
              <w:rPr>
                <w:position w:val="11"/>
                <w:sz w:val="11"/>
              </w:rPr>
              <w:t>9</w:t>
            </w:r>
            <w:r>
              <w:rPr>
                <w:sz w:val="21"/>
              </w:rPr>
              <w:t>/L；</w:t>
            </w:r>
          </w:p>
          <w:p>
            <w:pPr>
              <w:pStyle w:val="TableParagraph"/>
              <w:spacing w:before="37"/>
              <w:ind w:left="606"/>
              <w:rPr>
                <w:sz w:val="21"/>
              </w:rPr>
            </w:pPr>
            <w:r>
              <w:rPr>
                <w:sz w:val="21"/>
              </w:rPr>
              <w:t>②网织红细胞＜1%；</w:t>
            </w:r>
          </w:p>
          <w:p>
            <w:pPr>
              <w:pStyle w:val="TableParagraph"/>
              <w:spacing w:before="36"/>
              <w:ind w:left="606"/>
              <w:rPr>
                <w:sz w:val="21"/>
              </w:rPr>
            </w:pPr>
            <w:r>
              <w:rPr>
                <w:sz w:val="21"/>
              </w:rPr>
              <w:t>③血小板绝对值≤20×10</w:t>
            </w:r>
            <w:r>
              <w:rPr>
                <w:position w:val="11"/>
                <w:sz w:val="11"/>
              </w:rPr>
              <w:t>9</w:t>
            </w:r>
            <w:r>
              <w:rPr>
                <w:sz w:val="21"/>
              </w:rPr>
              <w:t>/L。</w:t>
            </w:r>
          </w:p>
        </w:tc>
      </w:tr>
      <w:tr>
        <w:trPr>
          <w:trHeight w:val="1560" w:hRule="atLeast"/>
        </w:trPr>
        <w:tc>
          <w:tcPr>
            <w:tcW w:w="2006" w:type="dxa"/>
          </w:tcPr>
          <w:p>
            <w:pPr>
              <w:pStyle w:val="TableParagraph"/>
              <w:spacing w:before="88"/>
              <w:ind w:left="200"/>
              <w:rPr>
                <w:rFonts w:ascii="Microsoft JhengHei" w:eastAsia="Microsoft JhengHei" w:hint="eastAsia"/>
                <w:b/>
                <w:sz w:val="21"/>
              </w:rPr>
            </w:pPr>
            <w:r>
              <w:rPr>
                <w:b/>
                <w:sz w:val="21"/>
              </w:rPr>
              <w:t>25. </w:t>
            </w:r>
            <w:r>
              <w:rPr>
                <w:rFonts w:ascii="Microsoft JhengHei" w:eastAsia="Microsoft JhengHei" w:hint="eastAsia"/>
                <w:b/>
                <w:sz w:val="21"/>
              </w:rPr>
              <w:t>主动脉手术</w:t>
            </w:r>
          </w:p>
        </w:tc>
        <w:tc>
          <w:tcPr>
            <w:tcW w:w="7746" w:type="dxa"/>
          </w:tcPr>
          <w:p>
            <w:pPr>
              <w:pStyle w:val="TableParagraph"/>
              <w:spacing w:line="273" w:lineRule="auto" w:before="142"/>
              <w:ind w:right="304"/>
              <w:jc w:val="both"/>
              <w:rPr>
                <w:sz w:val="21"/>
              </w:rPr>
            </w:pPr>
            <w:r>
              <w:rPr>
                <w:spacing w:val="-6"/>
                <w:sz w:val="21"/>
              </w:rPr>
              <w:t>指为治疗主动脉疾病，实际实施了开胸或开腹进行的切除、置换、修补病损主动</w:t>
            </w:r>
            <w:r>
              <w:rPr>
                <w:spacing w:val="-8"/>
                <w:sz w:val="21"/>
              </w:rPr>
              <w:t>脉血管的手术。主动脉指胸主动脉和腹主动脉，不包括胸主动脉和腹主动脉的分</w:t>
            </w:r>
            <w:r>
              <w:rPr>
                <w:spacing w:val="-6"/>
                <w:sz w:val="21"/>
              </w:rPr>
              <w:t>支血管。</w:t>
            </w:r>
          </w:p>
          <w:p>
            <w:pPr>
              <w:pStyle w:val="TableParagraph"/>
              <w:spacing w:line="284" w:lineRule="exact"/>
              <w:jc w:val="both"/>
              <w:rPr>
                <w:b/>
                <w:i/>
                <w:sz w:val="22"/>
              </w:rPr>
            </w:pPr>
            <w:r>
              <w:rPr>
                <w:b/>
                <w:i/>
                <w:w w:val="95"/>
                <w:sz w:val="22"/>
              </w:rPr>
              <w:t>动脉内血管成形术不在保障范围内。</w:t>
            </w:r>
          </w:p>
        </w:tc>
      </w:tr>
      <w:tr>
        <w:trPr>
          <w:trHeight w:val="1247" w:hRule="atLeast"/>
        </w:trPr>
        <w:tc>
          <w:tcPr>
            <w:tcW w:w="2006" w:type="dxa"/>
          </w:tcPr>
          <w:p>
            <w:pPr>
              <w:pStyle w:val="TableParagraph"/>
              <w:spacing w:before="87"/>
              <w:ind w:left="200"/>
              <w:rPr>
                <w:rFonts w:ascii="Microsoft JhengHei" w:eastAsia="Microsoft JhengHei" w:hint="eastAsia"/>
                <w:b/>
                <w:sz w:val="21"/>
              </w:rPr>
            </w:pPr>
            <w:r>
              <w:rPr>
                <w:b/>
                <w:sz w:val="21"/>
              </w:rPr>
              <w:t>26. </w:t>
            </w:r>
            <w:r>
              <w:rPr>
                <w:rFonts w:ascii="Microsoft JhengHei" w:eastAsia="Microsoft JhengHei" w:hint="eastAsia"/>
                <w:b/>
                <w:sz w:val="21"/>
              </w:rPr>
              <w:t>多发性硬化症</w:t>
            </w:r>
          </w:p>
        </w:tc>
        <w:tc>
          <w:tcPr>
            <w:tcW w:w="7746" w:type="dxa"/>
          </w:tcPr>
          <w:p>
            <w:pPr>
              <w:pStyle w:val="TableParagraph"/>
              <w:spacing w:line="273" w:lineRule="auto" w:before="142"/>
              <w:ind w:right="304"/>
              <w:jc w:val="both"/>
              <w:rPr>
                <w:sz w:val="21"/>
              </w:rPr>
            </w:pPr>
            <w:r>
              <w:rPr>
                <w:spacing w:val="-5"/>
                <w:sz w:val="21"/>
              </w:rPr>
              <w:t>指因中枢神经系统脱髓鞘所致的不可逆的神经系统功能障碍，已经造成自主生活</w:t>
            </w:r>
            <w:r>
              <w:rPr>
                <w:spacing w:val="-8"/>
                <w:sz w:val="21"/>
              </w:rPr>
              <w:t>能力完全丧失，无法独立完成六项基本日常生活活动中的三项或三项以上，且持</w:t>
            </w:r>
            <w:r>
              <w:rPr>
                <w:spacing w:val="-15"/>
                <w:sz w:val="21"/>
              </w:rPr>
              <w:t>续至少 </w:t>
            </w:r>
            <w:r>
              <w:rPr>
                <w:sz w:val="21"/>
              </w:rPr>
              <w:t>180</w:t>
            </w:r>
            <w:r>
              <w:rPr>
                <w:spacing w:val="-18"/>
                <w:sz w:val="21"/>
              </w:rPr>
              <w:t> 天。</w:t>
            </w:r>
          </w:p>
        </w:tc>
      </w:tr>
      <w:tr>
        <w:trPr>
          <w:trHeight w:val="4368" w:hRule="atLeast"/>
        </w:trPr>
        <w:tc>
          <w:tcPr>
            <w:tcW w:w="2006" w:type="dxa"/>
          </w:tcPr>
          <w:p>
            <w:pPr>
              <w:pStyle w:val="TableParagraph"/>
              <w:spacing w:line="232" w:lineRule="auto" w:before="99"/>
              <w:ind w:left="619" w:right="119" w:hanging="420"/>
              <w:jc w:val="both"/>
              <w:rPr>
                <w:rFonts w:ascii="Microsoft JhengHei" w:eastAsia="Microsoft JhengHei" w:hint="eastAsia"/>
                <w:b/>
                <w:sz w:val="21"/>
              </w:rPr>
            </w:pPr>
            <w:r>
              <w:rPr>
                <w:b/>
                <w:sz w:val="21"/>
              </w:rPr>
              <w:t>27. </w:t>
            </w:r>
            <w:r>
              <w:rPr>
                <w:rFonts w:ascii="Microsoft JhengHei" w:eastAsia="Microsoft JhengHei" w:hint="eastAsia"/>
                <w:b/>
                <w:sz w:val="21"/>
              </w:rPr>
              <w:t>经输血导致的人类免疫缺陷病毒感染</w:t>
            </w:r>
          </w:p>
        </w:tc>
        <w:tc>
          <w:tcPr>
            <w:tcW w:w="7746" w:type="dxa"/>
          </w:tcPr>
          <w:p>
            <w:pPr>
              <w:pStyle w:val="TableParagraph"/>
              <w:spacing w:before="143"/>
              <w:rPr>
                <w:sz w:val="21"/>
              </w:rPr>
            </w:pPr>
            <w:r>
              <w:rPr>
                <w:sz w:val="21"/>
              </w:rPr>
              <w:t>是指被保险人感染上人类免疫缺陷病毒并且符合下列所有条件：</w:t>
            </w:r>
          </w:p>
          <w:p>
            <w:pPr>
              <w:pStyle w:val="TableParagraph"/>
              <w:spacing w:line="273" w:lineRule="auto" w:before="37"/>
              <w:ind w:left="647" w:right="310" w:hanging="527"/>
              <w:rPr>
                <w:sz w:val="21"/>
              </w:rPr>
            </w:pPr>
            <w:r>
              <w:rPr>
                <w:sz w:val="21"/>
              </w:rPr>
              <w:t>（1）在保障起始日或复效日之后，被保险人因治疗必需而接受输血，并且因输血而感染人类免疫缺陷病毒；</w:t>
            </w:r>
          </w:p>
          <w:p>
            <w:pPr>
              <w:pStyle w:val="TableParagraph"/>
              <w:spacing w:line="273" w:lineRule="auto" w:before="7"/>
              <w:ind w:left="647" w:right="144" w:hanging="527"/>
              <w:rPr>
                <w:sz w:val="21"/>
              </w:rPr>
            </w:pPr>
            <w:r>
              <w:rPr>
                <w:sz w:val="21"/>
              </w:rPr>
              <w:t>（2）提供输血治疗的输血中心或医院出具该项输血感染属医疗责任事故的报告， 或者法院终审裁定为医疗责任并且不准上诉；</w:t>
            </w:r>
          </w:p>
          <w:p>
            <w:pPr>
              <w:pStyle w:val="TableParagraph"/>
              <w:spacing w:before="7"/>
              <w:rPr>
                <w:sz w:val="21"/>
              </w:rPr>
            </w:pPr>
            <w:r>
              <w:rPr>
                <w:sz w:val="21"/>
              </w:rPr>
              <w:t>（3）提供输血治疗的输血中心或医院必须拥有合法经营执照；</w:t>
            </w:r>
          </w:p>
          <w:p>
            <w:pPr>
              <w:pStyle w:val="TableParagraph"/>
              <w:spacing w:before="37"/>
              <w:rPr>
                <w:sz w:val="21"/>
              </w:rPr>
            </w:pPr>
            <w:r>
              <w:rPr>
                <w:sz w:val="21"/>
              </w:rPr>
              <w:t>（4）受感染的被保险人不是血友病患者。</w:t>
            </w:r>
          </w:p>
          <w:p>
            <w:pPr>
              <w:pStyle w:val="TableParagraph"/>
              <w:spacing w:line="273" w:lineRule="auto" w:before="37"/>
              <w:ind w:right="259"/>
              <w:rPr>
                <w:sz w:val="21"/>
              </w:rPr>
            </w:pPr>
            <w:r>
              <w:rPr>
                <w:sz w:val="21"/>
              </w:rPr>
              <w:t>在任何治愈艾滋病或阻止人类免疫缺陷病毒作用的疗法被发现以后，或能防止艾滋病发生的医疗方法被研究出来以后，本保障将不再予以赔付。</w:t>
            </w:r>
          </w:p>
          <w:p>
            <w:pPr>
              <w:pStyle w:val="TableParagraph"/>
              <w:spacing w:line="259" w:lineRule="auto"/>
              <w:ind w:right="254"/>
              <w:rPr>
                <w:b/>
                <w:i/>
                <w:sz w:val="22"/>
              </w:rPr>
            </w:pPr>
            <w:r>
              <w:rPr>
                <w:b/>
                <w:i/>
                <w:w w:val="95"/>
                <w:sz w:val="22"/>
              </w:rPr>
              <w:t>任何因其他传播方式（包括：性传播或静脉注射毒品）导致的人类免疫缺陷病毒感染不在本合同保障范围内。</w:t>
            </w:r>
          </w:p>
          <w:p>
            <w:pPr>
              <w:pStyle w:val="TableParagraph"/>
              <w:spacing w:line="273" w:lineRule="auto" w:before="22"/>
              <w:ind w:right="314"/>
              <w:rPr>
                <w:sz w:val="21"/>
              </w:rPr>
            </w:pPr>
            <w:r>
              <w:rPr>
                <w:sz w:val="21"/>
              </w:rPr>
              <w:t>我们拥有获得使用被保险人的血液样本的权利和能够对这些样本进行独立检验的权利。</w:t>
            </w:r>
          </w:p>
        </w:tc>
      </w:tr>
      <w:tr>
        <w:trPr>
          <w:trHeight w:val="1872" w:hRule="atLeast"/>
        </w:trPr>
        <w:tc>
          <w:tcPr>
            <w:tcW w:w="2006" w:type="dxa"/>
          </w:tcPr>
          <w:p>
            <w:pPr>
              <w:pStyle w:val="TableParagraph"/>
              <w:spacing w:before="88"/>
              <w:ind w:left="200"/>
              <w:rPr>
                <w:rFonts w:ascii="Microsoft JhengHei" w:eastAsia="Microsoft JhengHei" w:hint="eastAsia"/>
                <w:b/>
                <w:sz w:val="21"/>
              </w:rPr>
            </w:pPr>
            <w:r>
              <w:rPr>
                <w:b/>
                <w:sz w:val="21"/>
              </w:rPr>
              <w:t>28. </w:t>
            </w:r>
            <w:r>
              <w:rPr>
                <w:rFonts w:ascii="Microsoft JhengHei" w:eastAsia="Microsoft JhengHei" w:hint="eastAsia"/>
                <w:b/>
                <w:sz w:val="21"/>
              </w:rPr>
              <w:t>植物人状态</w:t>
            </w:r>
          </w:p>
        </w:tc>
        <w:tc>
          <w:tcPr>
            <w:tcW w:w="7746" w:type="dxa"/>
          </w:tcPr>
          <w:p>
            <w:pPr>
              <w:pStyle w:val="TableParagraph"/>
              <w:spacing w:line="273" w:lineRule="auto" w:before="142"/>
              <w:ind w:right="306"/>
              <w:rPr>
                <w:sz w:val="21"/>
              </w:rPr>
            </w:pPr>
            <w:r>
              <w:rPr>
                <w:sz w:val="21"/>
              </w:rPr>
              <w:t>指脑皮质广泛性坏死而导致对自身及周边的认知能力完全丧失,但脑干功能依然</w:t>
            </w:r>
            <w:r>
              <w:rPr>
                <w:w w:val="100"/>
                <w:sz w:val="21"/>
              </w:rPr>
              <w:t>存在。必须由神经专科医生明确诊断,并有头颅断层扫描</w:t>
            </w:r>
            <w:r>
              <w:rPr>
                <w:spacing w:val="3"/>
                <w:w w:val="100"/>
                <w:sz w:val="21"/>
              </w:rPr>
              <w:t>（</w:t>
            </w:r>
            <w:r>
              <w:rPr>
                <w:w w:val="100"/>
                <w:sz w:val="21"/>
              </w:rPr>
              <w:t>C</w:t>
            </w:r>
            <w:r>
              <w:rPr>
                <w:spacing w:val="5"/>
                <w:w w:val="100"/>
                <w:sz w:val="21"/>
              </w:rPr>
              <w:t>T</w:t>
            </w:r>
            <w:r>
              <w:rPr>
                <w:spacing w:val="-101"/>
                <w:w w:val="100"/>
                <w:sz w:val="21"/>
              </w:rPr>
              <w:t>）</w:t>
            </w:r>
            <w:r>
              <w:rPr>
                <w:w w:val="100"/>
                <w:sz w:val="21"/>
              </w:rPr>
              <w:t>，核磁共振检查</w:t>
            </w:r>
          </w:p>
          <w:p>
            <w:pPr>
              <w:pStyle w:val="TableParagraph"/>
              <w:spacing w:line="273" w:lineRule="auto" w:before="7"/>
              <w:ind w:right="253"/>
              <w:rPr>
                <w:sz w:val="21"/>
              </w:rPr>
            </w:pPr>
            <w:r>
              <w:rPr>
                <w:sz w:val="21"/>
              </w:rPr>
              <w:t>（MRI）或正电子发射断层扫描（PET）等影像学检查证实。上述情况必须有至少一个月的病历记录加以证实。</w:t>
            </w:r>
          </w:p>
          <w:p>
            <w:pPr>
              <w:pStyle w:val="TableParagraph"/>
              <w:spacing w:line="284" w:lineRule="exact"/>
              <w:rPr>
                <w:b/>
                <w:i/>
                <w:sz w:val="22"/>
              </w:rPr>
            </w:pPr>
            <w:r>
              <w:rPr>
                <w:b/>
                <w:i/>
                <w:w w:val="95"/>
                <w:sz w:val="22"/>
              </w:rPr>
              <w:t>由于酗酒或滥用药物所致的植物人状态不在保障范围内。</w:t>
            </w:r>
          </w:p>
        </w:tc>
      </w:tr>
      <w:tr>
        <w:trPr>
          <w:trHeight w:val="3849" w:hRule="atLeast"/>
        </w:trPr>
        <w:tc>
          <w:tcPr>
            <w:tcW w:w="2006" w:type="dxa"/>
          </w:tcPr>
          <w:p>
            <w:pPr>
              <w:pStyle w:val="TableParagraph"/>
              <w:spacing w:line="232" w:lineRule="auto" w:before="98"/>
              <w:ind w:left="619" w:right="119" w:hanging="420"/>
              <w:rPr>
                <w:rFonts w:ascii="Microsoft JhengHei" w:eastAsia="Microsoft JhengHei" w:hint="eastAsia"/>
                <w:b/>
                <w:sz w:val="21"/>
              </w:rPr>
            </w:pPr>
            <w:r>
              <w:rPr>
                <w:b/>
                <w:sz w:val="21"/>
              </w:rPr>
              <w:t>29. </w:t>
            </w:r>
            <w:r>
              <w:rPr>
                <w:rFonts w:ascii="Microsoft JhengHei" w:eastAsia="Microsoft JhengHei" w:hint="eastAsia"/>
                <w:b/>
                <w:sz w:val="21"/>
              </w:rPr>
              <w:t>系统性红斑狼疮</w:t>
            </w:r>
          </w:p>
        </w:tc>
        <w:tc>
          <w:tcPr>
            <w:tcW w:w="7746" w:type="dxa"/>
          </w:tcPr>
          <w:p>
            <w:pPr>
              <w:pStyle w:val="TableParagraph"/>
              <w:spacing w:line="273" w:lineRule="auto" w:before="142"/>
              <w:ind w:right="304"/>
              <w:rPr>
                <w:sz w:val="21"/>
              </w:rPr>
            </w:pPr>
            <w:r>
              <w:rPr>
                <w:spacing w:val="-6"/>
                <w:sz w:val="21"/>
              </w:rPr>
              <w:t>是一种自身免疫性结缔组织病，于体内有大量致病性自身抗体和免疫复合物，造</w:t>
            </w:r>
            <w:r>
              <w:rPr>
                <w:spacing w:val="-4"/>
                <w:sz w:val="21"/>
              </w:rPr>
              <w:t>成组织损伤。理赔须经专科医生确认并同时具备下列情况：</w:t>
            </w:r>
          </w:p>
          <w:p>
            <w:pPr>
              <w:pStyle w:val="TableParagraph"/>
              <w:spacing w:before="8"/>
              <w:rPr>
                <w:sz w:val="21"/>
              </w:rPr>
            </w:pPr>
            <w:r>
              <w:rPr>
                <w:sz w:val="21"/>
              </w:rPr>
              <w:t>（1）临床表现至少具备如下条件的四个：</w:t>
            </w:r>
          </w:p>
          <w:p>
            <w:pPr>
              <w:pStyle w:val="TableParagraph"/>
              <w:numPr>
                <w:ilvl w:val="0"/>
                <w:numId w:val="3"/>
              </w:numPr>
              <w:tabs>
                <w:tab w:pos="962" w:val="left" w:leader="none"/>
              </w:tabs>
              <w:spacing w:line="240" w:lineRule="auto" w:before="37" w:after="0"/>
              <w:ind w:left="961" w:right="0" w:hanging="350"/>
              <w:jc w:val="left"/>
              <w:rPr>
                <w:sz w:val="21"/>
              </w:rPr>
            </w:pPr>
            <w:r>
              <w:rPr>
                <w:spacing w:val="-3"/>
                <w:sz w:val="21"/>
              </w:rPr>
              <w:t>蝶形红斑或盘形红斑；</w:t>
            </w:r>
          </w:p>
          <w:p>
            <w:pPr>
              <w:pStyle w:val="TableParagraph"/>
              <w:numPr>
                <w:ilvl w:val="0"/>
                <w:numId w:val="3"/>
              </w:numPr>
              <w:tabs>
                <w:tab w:pos="962" w:val="left" w:leader="none"/>
              </w:tabs>
              <w:spacing w:line="240" w:lineRule="auto" w:before="37" w:after="0"/>
              <w:ind w:left="961" w:right="0" w:hanging="350"/>
              <w:jc w:val="left"/>
              <w:rPr>
                <w:sz w:val="21"/>
              </w:rPr>
            </w:pPr>
            <w:r>
              <w:rPr>
                <w:spacing w:val="-1"/>
                <w:sz w:val="21"/>
              </w:rPr>
              <w:t>光敏感；</w:t>
            </w:r>
          </w:p>
          <w:p>
            <w:pPr>
              <w:pStyle w:val="TableParagraph"/>
              <w:numPr>
                <w:ilvl w:val="0"/>
                <w:numId w:val="3"/>
              </w:numPr>
              <w:tabs>
                <w:tab w:pos="962" w:val="left" w:leader="none"/>
              </w:tabs>
              <w:spacing w:line="240" w:lineRule="auto" w:before="36" w:after="0"/>
              <w:ind w:left="961" w:right="0" w:hanging="350"/>
              <w:jc w:val="left"/>
              <w:rPr>
                <w:sz w:val="21"/>
              </w:rPr>
            </w:pPr>
            <w:r>
              <w:rPr>
                <w:spacing w:val="-1"/>
                <w:sz w:val="21"/>
              </w:rPr>
              <w:t>口腔溃疡；</w:t>
            </w:r>
          </w:p>
          <w:p>
            <w:pPr>
              <w:pStyle w:val="TableParagraph"/>
              <w:numPr>
                <w:ilvl w:val="0"/>
                <w:numId w:val="3"/>
              </w:numPr>
              <w:tabs>
                <w:tab w:pos="962" w:val="left" w:leader="none"/>
              </w:tabs>
              <w:spacing w:line="240" w:lineRule="auto" w:before="36" w:after="0"/>
              <w:ind w:left="961" w:right="0" w:hanging="350"/>
              <w:jc w:val="left"/>
              <w:rPr>
                <w:sz w:val="21"/>
              </w:rPr>
            </w:pPr>
            <w:r>
              <w:rPr>
                <w:spacing w:val="-3"/>
                <w:sz w:val="21"/>
              </w:rPr>
              <w:t>非畸形关节炎或关节痛；</w:t>
            </w:r>
          </w:p>
          <w:p>
            <w:pPr>
              <w:pStyle w:val="TableParagraph"/>
              <w:numPr>
                <w:ilvl w:val="0"/>
                <w:numId w:val="3"/>
              </w:numPr>
              <w:tabs>
                <w:tab w:pos="962" w:val="left" w:leader="none"/>
              </w:tabs>
              <w:spacing w:line="240" w:lineRule="auto" w:before="36" w:after="0"/>
              <w:ind w:left="961" w:right="0" w:hanging="350"/>
              <w:jc w:val="left"/>
              <w:rPr>
                <w:sz w:val="21"/>
              </w:rPr>
            </w:pPr>
            <w:r>
              <w:rPr>
                <w:spacing w:val="-3"/>
                <w:sz w:val="21"/>
              </w:rPr>
              <w:t>浆膜炎、胸膜炎或心包炎；</w:t>
            </w:r>
          </w:p>
          <w:p>
            <w:pPr>
              <w:pStyle w:val="TableParagraph"/>
              <w:numPr>
                <w:ilvl w:val="0"/>
                <w:numId w:val="3"/>
              </w:numPr>
              <w:tabs>
                <w:tab w:pos="962" w:val="left" w:leader="none"/>
              </w:tabs>
              <w:spacing w:line="240" w:lineRule="auto" w:before="36" w:after="0"/>
              <w:ind w:left="961" w:right="0" w:hanging="350"/>
              <w:jc w:val="left"/>
              <w:rPr>
                <w:sz w:val="21"/>
              </w:rPr>
            </w:pPr>
            <w:r>
              <w:rPr>
                <w:spacing w:val="-2"/>
                <w:w w:val="100"/>
                <w:sz w:val="21"/>
              </w:rPr>
              <w:t>神经系统损伤</w:t>
            </w:r>
            <w:r>
              <w:rPr>
                <w:spacing w:val="-3"/>
                <w:w w:val="100"/>
                <w:sz w:val="21"/>
              </w:rPr>
              <w:t>（抽搐或精神症状</w:t>
            </w:r>
            <w:r>
              <w:rPr>
                <w:spacing w:val="-106"/>
                <w:w w:val="100"/>
                <w:sz w:val="21"/>
              </w:rPr>
              <w:t>）</w:t>
            </w:r>
            <w:r>
              <w:rPr>
                <w:w w:val="100"/>
                <w:sz w:val="21"/>
              </w:rPr>
              <w:t>；</w:t>
            </w:r>
          </w:p>
          <w:p>
            <w:pPr>
              <w:pStyle w:val="TableParagraph"/>
              <w:numPr>
                <w:ilvl w:val="0"/>
                <w:numId w:val="3"/>
              </w:numPr>
              <w:tabs>
                <w:tab w:pos="962" w:val="left" w:leader="none"/>
              </w:tabs>
              <w:spacing w:line="240" w:lineRule="auto" w:before="36" w:after="0"/>
              <w:ind w:left="961" w:right="0" w:hanging="350"/>
              <w:jc w:val="left"/>
              <w:rPr>
                <w:sz w:val="21"/>
              </w:rPr>
            </w:pPr>
            <w:r>
              <w:rPr>
                <w:spacing w:val="-1"/>
                <w:sz w:val="21"/>
              </w:rPr>
              <w:t>血象异常</w:t>
            </w:r>
            <w:r>
              <w:rPr>
                <w:sz w:val="21"/>
              </w:rPr>
              <w:t>（WBC&lt;4000/μl</w:t>
            </w:r>
            <w:r>
              <w:rPr>
                <w:spacing w:val="-10"/>
                <w:sz w:val="21"/>
              </w:rPr>
              <w:t> 或血小板&lt;</w:t>
            </w:r>
            <w:r>
              <w:rPr>
                <w:sz w:val="21"/>
              </w:rPr>
              <w:t>100000/μl</w:t>
            </w:r>
            <w:r>
              <w:rPr>
                <w:spacing w:val="-9"/>
                <w:sz w:val="21"/>
              </w:rPr>
              <w:t> 或溶血性贫血</w:t>
            </w:r>
            <w:r>
              <w:rPr>
                <w:spacing w:val="-106"/>
                <w:sz w:val="21"/>
              </w:rPr>
              <w:t>）</w:t>
            </w:r>
            <w:r>
              <w:rPr>
                <w:sz w:val="21"/>
              </w:rPr>
              <w:t>。</w:t>
            </w:r>
          </w:p>
          <w:p>
            <w:pPr>
              <w:pStyle w:val="TableParagraph"/>
              <w:spacing w:before="36"/>
              <w:rPr>
                <w:sz w:val="21"/>
              </w:rPr>
            </w:pPr>
            <w:r>
              <w:rPr>
                <w:sz w:val="21"/>
              </w:rPr>
              <w:t>（2）检测结果至少具备如下条件的两个：</w:t>
            </w:r>
          </w:p>
          <w:p>
            <w:pPr>
              <w:pStyle w:val="TableParagraph"/>
              <w:spacing w:line="255" w:lineRule="exact" w:before="36"/>
              <w:ind w:left="611"/>
              <w:rPr>
                <w:sz w:val="21"/>
              </w:rPr>
            </w:pPr>
            <w:r>
              <w:rPr>
                <w:sz w:val="21"/>
              </w:rPr>
              <w:t>1. 狼疮细胞或抗双链 DNA 抗体阳性；</w:t>
            </w:r>
          </w:p>
        </w:tc>
      </w:tr>
    </w:tbl>
    <w:p>
      <w:pPr>
        <w:spacing w:after="0" w:line="255" w:lineRule="exact"/>
        <w:rPr>
          <w:sz w:val="21"/>
        </w:rPr>
        <w:sectPr>
          <w:pgSz w:w="11910" w:h="16840"/>
          <w:pgMar w:header="0" w:footer="353"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3"/>
      </w:tblGrid>
      <w:tr>
        <w:trPr>
          <w:trHeight w:val="1666" w:hRule="atLeast"/>
        </w:trPr>
        <w:tc>
          <w:tcPr>
            <w:tcW w:w="2006" w:type="dxa"/>
          </w:tcPr>
          <w:p>
            <w:pPr>
              <w:pStyle w:val="TableParagraph"/>
              <w:ind w:left="0"/>
              <w:rPr>
                <w:rFonts w:ascii="Times New Roman"/>
                <w:sz w:val="20"/>
              </w:rPr>
            </w:pPr>
          </w:p>
        </w:tc>
        <w:tc>
          <w:tcPr>
            <w:tcW w:w="7743" w:type="dxa"/>
          </w:tcPr>
          <w:p>
            <w:pPr>
              <w:pStyle w:val="TableParagraph"/>
              <w:numPr>
                <w:ilvl w:val="0"/>
                <w:numId w:val="4"/>
              </w:numPr>
              <w:tabs>
                <w:tab w:pos="962" w:val="left" w:leader="none"/>
              </w:tabs>
              <w:spacing w:line="211" w:lineRule="exact" w:before="0" w:after="0"/>
              <w:ind w:left="961" w:right="0" w:hanging="350"/>
              <w:jc w:val="left"/>
              <w:rPr>
                <w:sz w:val="21"/>
              </w:rPr>
            </w:pPr>
            <w:r>
              <w:rPr>
                <w:spacing w:val="-25"/>
                <w:sz w:val="21"/>
              </w:rPr>
              <w:t>抗 </w:t>
            </w:r>
            <w:r>
              <w:rPr>
                <w:sz w:val="21"/>
              </w:rPr>
              <w:t>Sm</w:t>
            </w:r>
            <w:r>
              <w:rPr>
                <w:spacing w:val="-11"/>
                <w:sz w:val="21"/>
              </w:rPr>
              <w:t> 抗体阳性；</w:t>
            </w:r>
          </w:p>
          <w:p>
            <w:pPr>
              <w:pStyle w:val="TableParagraph"/>
              <w:numPr>
                <w:ilvl w:val="0"/>
                <w:numId w:val="4"/>
              </w:numPr>
              <w:tabs>
                <w:tab w:pos="962" w:val="left" w:leader="none"/>
              </w:tabs>
              <w:spacing w:line="240" w:lineRule="auto" w:before="37" w:after="0"/>
              <w:ind w:left="961" w:right="0" w:hanging="350"/>
              <w:jc w:val="left"/>
              <w:rPr>
                <w:sz w:val="21"/>
              </w:rPr>
            </w:pPr>
            <w:r>
              <w:rPr>
                <w:spacing w:val="-2"/>
                <w:sz w:val="21"/>
              </w:rPr>
              <w:t>抗核抗体阳性；</w:t>
            </w:r>
          </w:p>
          <w:p>
            <w:pPr>
              <w:pStyle w:val="TableParagraph"/>
              <w:numPr>
                <w:ilvl w:val="0"/>
                <w:numId w:val="4"/>
              </w:numPr>
              <w:tabs>
                <w:tab w:pos="962" w:val="left" w:leader="none"/>
              </w:tabs>
              <w:spacing w:line="240" w:lineRule="auto" w:before="37" w:after="0"/>
              <w:ind w:left="961" w:right="0" w:hanging="350"/>
              <w:jc w:val="left"/>
              <w:rPr>
                <w:sz w:val="21"/>
              </w:rPr>
            </w:pPr>
            <w:r>
              <w:rPr>
                <w:spacing w:val="-3"/>
                <w:sz w:val="21"/>
              </w:rPr>
              <w:t>狼疮带试验阳性；</w:t>
            </w:r>
          </w:p>
          <w:p>
            <w:pPr>
              <w:pStyle w:val="TableParagraph"/>
              <w:numPr>
                <w:ilvl w:val="0"/>
                <w:numId w:val="4"/>
              </w:numPr>
              <w:tabs>
                <w:tab w:pos="962" w:val="left" w:leader="none"/>
              </w:tabs>
              <w:spacing w:line="240" w:lineRule="auto" w:before="36" w:after="0"/>
              <w:ind w:left="961" w:right="0" w:hanging="350"/>
              <w:jc w:val="left"/>
              <w:rPr>
                <w:sz w:val="21"/>
              </w:rPr>
            </w:pPr>
            <w:r>
              <w:rPr>
                <w:sz w:val="21"/>
              </w:rPr>
              <w:t>C3</w:t>
            </w:r>
            <w:r>
              <w:rPr>
                <w:spacing w:val="-8"/>
                <w:sz w:val="21"/>
              </w:rPr>
              <w:t> 补体低于正常；</w:t>
            </w:r>
          </w:p>
          <w:p>
            <w:pPr>
              <w:pStyle w:val="TableParagraph"/>
              <w:numPr>
                <w:ilvl w:val="0"/>
                <w:numId w:val="4"/>
              </w:numPr>
              <w:tabs>
                <w:tab w:pos="962" w:val="left" w:leader="none"/>
              </w:tabs>
              <w:spacing w:line="240" w:lineRule="auto" w:before="36" w:after="0"/>
              <w:ind w:left="961" w:right="0" w:hanging="350"/>
              <w:jc w:val="left"/>
              <w:rPr>
                <w:sz w:val="21"/>
              </w:rPr>
            </w:pPr>
            <w:r>
              <w:rPr>
                <w:spacing w:val="-4"/>
                <w:sz w:val="21"/>
              </w:rPr>
              <w:t>狼疮肾炎致使肾功能减弱，血肌酐的清除率低于每分钟 </w:t>
            </w:r>
            <w:r>
              <w:rPr>
                <w:sz w:val="21"/>
              </w:rPr>
              <w:t>30ml。</w:t>
            </w:r>
          </w:p>
        </w:tc>
      </w:tr>
      <w:tr>
        <w:trPr>
          <w:trHeight w:val="2496" w:hRule="atLeast"/>
        </w:trPr>
        <w:tc>
          <w:tcPr>
            <w:tcW w:w="2006" w:type="dxa"/>
          </w:tcPr>
          <w:p>
            <w:pPr>
              <w:pStyle w:val="TableParagraph"/>
              <w:spacing w:line="232" w:lineRule="auto" w:before="98"/>
              <w:ind w:left="619" w:right="119" w:hanging="420"/>
              <w:jc w:val="both"/>
              <w:rPr>
                <w:rFonts w:ascii="Microsoft JhengHei" w:eastAsia="Microsoft JhengHei" w:hint="eastAsia"/>
                <w:b/>
                <w:sz w:val="21"/>
              </w:rPr>
            </w:pPr>
            <w:r>
              <w:rPr>
                <w:b/>
                <w:sz w:val="21"/>
              </w:rPr>
              <w:t>30. </w:t>
            </w:r>
            <w:r>
              <w:rPr>
                <w:rFonts w:ascii="Microsoft JhengHei" w:eastAsia="Microsoft JhengHei" w:hint="eastAsia"/>
                <w:b/>
                <w:sz w:val="21"/>
              </w:rPr>
              <w:t>胰岛素依赖型糖尿病（Ｉ型糖尿病）</w:t>
            </w:r>
          </w:p>
        </w:tc>
        <w:tc>
          <w:tcPr>
            <w:tcW w:w="7743" w:type="dxa"/>
          </w:tcPr>
          <w:p>
            <w:pPr>
              <w:pStyle w:val="TableParagraph"/>
              <w:spacing w:before="142"/>
              <w:rPr>
                <w:sz w:val="21"/>
              </w:rPr>
            </w:pPr>
            <w:r>
              <w:rPr>
                <w:sz w:val="21"/>
              </w:rPr>
              <w:t>经内分泌专科医生明确诊断为Ｉ型糖尿病，且须同时满足下列条件：</w:t>
            </w:r>
          </w:p>
          <w:p>
            <w:pPr>
              <w:pStyle w:val="TableParagraph"/>
              <w:spacing w:before="36"/>
              <w:rPr>
                <w:sz w:val="21"/>
              </w:rPr>
            </w:pPr>
            <w:r>
              <w:rPr>
                <w:sz w:val="21"/>
              </w:rPr>
              <w:t>（1）必须持续性地依赖外源性胰岛素维持生命至少 180 天以上。</w:t>
            </w:r>
          </w:p>
          <w:p>
            <w:pPr>
              <w:pStyle w:val="TableParagraph"/>
              <w:spacing w:before="36"/>
              <w:rPr>
                <w:sz w:val="21"/>
              </w:rPr>
            </w:pPr>
            <w:r>
              <w:rPr>
                <w:sz w:val="21"/>
              </w:rPr>
              <w:t>（2）血胰岛素测定、血 C 肽测定或尿 C 肽测定结果异常。</w:t>
            </w:r>
          </w:p>
          <w:p>
            <w:pPr>
              <w:pStyle w:val="TableParagraph"/>
              <w:spacing w:before="36"/>
              <w:rPr>
                <w:sz w:val="21"/>
              </w:rPr>
            </w:pPr>
            <w:r>
              <w:rPr>
                <w:sz w:val="21"/>
              </w:rPr>
              <w:t>（3）出现下述三种并发症之一或一种以上：</w:t>
            </w:r>
          </w:p>
          <w:p>
            <w:pPr>
              <w:pStyle w:val="TableParagraph"/>
              <w:numPr>
                <w:ilvl w:val="0"/>
                <w:numId w:val="5"/>
              </w:numPr>
              <w:tabs>
                <w:tab w:pos="962" w:val="left" w:leader="none"/>
              </w:tabs>
              <w:spacing w:line="240" w:lineRule="auto" w:before="36" w:after="0"/>
              <w:ind w:left="961" w:right="0" w:hanging="350"/>
              <w:jc w:val="left"/>
              <w:rPr>
                <w:sz w:val="21"/>
              </w:rPr>
            </w:pPr>
            <w:r>
              <w:rPr>
                <w:spacing w:val="-3"/>
                <w:sz w:val="21"/>
              </w:rPr>
              <w:t>并发增殖性视网膜病变；</w:t>
            </w:r>
          </w:p>
          <w:p>
            <w:pPr>
              <w:pStyle w:val="TableParagraph"/>
              <w:numPr>
                <w:ilvl w:val="0"/>
                <w:numId w:val="5"/>
              </w:numPr>
              <w:tabs>
                <w:tab w:pos="962" w:val="left" w:leader="none"/>
              </w:tabs>
              <w:spacing w:line="240" w:lineRule="auto" w:before="36" w:after="0"/>
              <w:ind w:left="961" w:right="0" w:hanging="350"/>
              <w:jc w:val="left"/>
              <w:rPr>
                <w:sz w:val="21"/>
              </w:rPr>
            </w:pPr>
            <w:r>
              <w:rPr>
                <w:spacing w:val="-3"/>
                <w:sz w:val="21"/>
              </w:rPr>
              <w:t>并发心脏病变，并须植入心脏起搏器进行治疗；</w:t>
            </w:r>
          </w:p>
          <w:p>
            <w:pPr>
              <w:pStyle w:val="TableParagraph"/>
              <w:numPr>
                <w:ilvl w:val="0"/>
                <w:numId w:val="5"/>
              </w:numPr>
              <w:tabs>
                <w:tab w:pos="962" w:val="left" w:leader="none"/>
              </w:tabs>
              <w:spacing w:line="240" w:lineRule="auto" w:before="36" w:after="0"/>
              <w:ind w:left="961" w:right="0" w:hanging="350"/>
              <w:jc w:val="left"/>
              <w:rPr>
                <w:sz w:val="21"/>
              </w:rPr>
            </w:pPr>
            <w:r>
              <w:rPr>
                <w:spacing w:val="-3"/>
                <w:sz w:val="21"/>
              </w:rPr>
              <w:t>至少一个脚趾发生坏疽并已达到手术切除指征。</w:t>
            </w:r>
          </w:p>
        </w:tc>
      </w:tr>
      <w:tr>
        <w:trPr>
          <w:trHeight w:val="2808" w:hRule="atLeast"/>
        </w:trPr>
        <w:tc>
          <w:tcPr>
            <w:tcW w:w="2006" w:type="dxa"/>
          </w:tcPr>
          <w:p>
            <w:pPr>
              <w:pStyle w:val="TableParagraph"/>
              <w:spacing w:before="88"/>
              <w:ind w:left="200"/>
              <w:rPr>
                <w:rFonts w:ascii="Microsoft JhengHei" w:eastAsia="Microsoft JhengHei" w:hint="eastAsia"/>
                <w:b/>
                <w:sz w:val="21"/>
              </w:rPr>
            </w:pPr>
            <w:r>
              <w:rPr>
                <w:b/>
                <w:w w:val="105"/>
                <w:sz w:val="21"/>
              </w:rPr>
              <w:t>31. </w:t>
            </w:r>
            <w:r>
              <w:rPr>
                <w:rFonts w:ascii="Microsoft JhengHei" w:eastAsia="Microsoft JhengHei" w:hint="eastAsia"/>
                <w:b/>
                <w:w w:val="105"/>
                <w:sz w:val="21"/>
              </w:rPr>
              <w:t>原发性心ft病</w:t>
            </w:r>
          </w:p>
        </w:tc>
        <w:tc>
          <w:tcPr>
            <w:tcW w:w="7743" w:type="dxa"/>
          </w:tcPr>
          <w:p>
            <w:pPr>
              <w:pStyle w:val="TableParagraph"/>
              <w:spacing w:line="273" w:lineRule="auto" w:before="143"/>
              <w:ind w:right="301"/>
              <w:jc w:val="both"/>
              <w:rPr>
                <w:sz w:val="21"/>
              </w:rPr>
            </w:pPr>
            <w:r>
              <w:rPr>
                <w:spacing w:val="-6"/>
                <w:sz w:val="21"/>
              </w:rPr>
              <w:t>指不明原因引起的一类心肌病变，包括原发性扩张型心肌病、原发性肥厚型心肌</w:t>
            </w:r>
            <w:r>
              <w:rPr>
                <w:spacing w:val="-7"/>
                <w:sz w:val="21"/>
              </w:rPr>
              <w:t>病及原发性限制型心肌病三种，病变必须已造成事实上心室功能障碍而出现明显</w:t>
            </w:r>
            <w:r>
              <w:rPr>
                <w:w w:val="100"/>
                <w:sz w:val="21"/>
              </w:rPr>
              <w:t>的心功能衰竭</w:t>
            </w:r>
            <w:r>
              <w:rPr>
                <w:spacing w:val="1"/>
                <w:w w:val="100"/>
                <w:sz w:val="21"/>
              </w:rPr>
              <w:t>（</w:t>
            </w:r>
            <w:r>
              <w:rPr>
                <w:w w:val="100"/>
                <w:sz w:val="21"/>
              </w:rPr>
              <w:t>美国纽约心脏协会心功能分类标准心功能达四级</w:t>
            </w:r>
            <w:r>
              <w:rPr>
                <w:spacing w:val="-106"/>
                <w:w w:val="100"/>
                <w:sz w:val="21"/>
              </w:rPr>
              <w:t>）</w:t>
            </w:r>
            <w:r>
              <w:rPr>
                <w:w w:val="100"/>
                <w:sz w:val="21"/>
              </w:rPr>
              <w:t>，且有相关住</w:t>
            </w:r>
            <w:r>
              <w:rPr>
                <w:spacing w:val="-3"/>
                <w:sz w:val="21"/>
              </w:rPr>
              <w:t>院医疗记录显示四级心功能衰竭状态持续至少一百八十天。</w:t>
            </w:r>
          </w:p>
          <w:p>
            <w:pPr>
              <w:pStyle w:val="TableParagraph"/>
              <w:spacing w:line="273" w:lineRule="auto" w:before="8"/>
              <w:ind w:right="300"/>
              <w:jc w:val="both"/>
              <w:rPr>
                <w:sz w:val="21"/>
              </w:rPr>
            </w:pPr>
            <w:r>
              <w:rPr>
                <w:spacing w:val="-6"/>
                <w:sz w:val="21"/>
              </w:rPr>
              <w:t>本病须经专科医生明确诊断。继发于全身性疾病或其它器官系统疾病造成的心肌</w:t>
            </w:r>
            <w:r>
              <w:rPr>
                <w:spacing w:val="-4"/>
                <w:sz w:val="21"/>
              </w:rPr>
              <w:t>病变除外。</w:t>
            </w:r>
          </w:p>
          <w:p>
            <w:pPr>
              <w:pStyle w:val="TableParagraph"/>
              <w:spacing w:line="273" w:lineRule="auto" w:before="8"/>
              <w:ind w:right="311"/>
              <w:jc w:val="both"/>
              <w:rPr>
                <w:sz w:val="21"/>
              </w:rPr>
            </w:pPr>
            <w:r>
              <w:rPr>
                <w:sz w:val="21"/>
              </w:rPr>
              <w:t>美国纽约心脏协会分类标准心功能四级是指有医院的医疗记录显示病人不能进行任何活动，休息时仍有心悸、呼吸困难等心力衰竭表现。</w:t>
            </w:r>
          </w:p>
        </w:tc>
      </w:tr>
      <w:tr>
        <w:trPr>
          <w:trHeight w:val="3120" w:hRule="atLeast"/>
        </w:trPr>
        <w:tc>
          <w:tcPr>
            <w:tcW w:w="2006" w:type="dxa"/>
          </w:tcPr>
          <w:p>
            <w:pPr>
              <w:pStyle w:val="TableParagraph"/>
              <w:spacing w:before="88"/>
              <w:ind w:left="200"/>
              <w:rPr>
                <w:rFonts w:ascii="Microsoft JhengHei" w:eastAsia="Microsoft JhengHei" w:hint="eastAsia"/>
                <w:b/>
                <w:sz w:val="21"/>
              </w:rPr>
            </w:pPr>
            <w:r>
              <w:rPr>
                <w:b/>
                <w:w w:val="105"/>
                <w:sz w:val="21"/>
              </w:rPr>
              <w:t>32. </w:t>
            </w:r>
            <w:r>
              <w:rPr>
                <w:rFonts w:ascii="Microsoft JhengHei" w:eastAsia="Microsoft JhengHei" w:hint="eastAsia"/>
                <w:b/>
                <w:w w:val="105"/>
                <w:sz w:val="21"/>
              </w:rPr>
              <w:t>重症ft无力</w:t>
            </w:r>
          </w:p>
        </w:tc>
        <w:tc>
          <w:tcPr>
            <w:tcW w:w="7743" w:type="dxa"/>
          </w:tcPr>
          <w:p>
            <w:pPr>
              <w:pStyle w:val="TableParagraph"/>
              <w:spacing w:line="273" w:lineRule="auto" w:before="142"/>
              <w:ind w:right="300"/>
              <w:jc w:val="both"/>
              <w:rPr>
                <w:sz w:val="21"/>
              </w:rPr>
            </w:pPr>
            <w:r>
              <w:rPr>
                <w:spacing w:val="-5"/>
                <w:sz w:val="21"/>
              </w:rPr>
              <w:t>是指一种神经与肌肉接头部位传递障碍的自身免疫性疾病，临床特征是局部或全</w:t>
            </w:r>
            <w:r>
              <w:rPr>
                <w:spacing w:val="-7"/>
                <w:sz w:val="21"/>
              </w:rPr>
              <w:t>身横纹肌于活动时易于疲劳无力，颅神经眼外肌最易累及，也可涉及呼吸肌、下</w:t>
            </w:r>
            <w:r>
              <w:rPr>
                <w:spacing w:val="-5"/>
                <w:sz w:val="21"/>
              </w:rPr>
              <w:t>肢近端肌群乃至全身肌肉，须经神经专科医生确诊。</w:t>
            </w:r>
          </w:p>
          <w:p>
            <w:pPr>
              <w:pStyle w:val="TableParagraph"/>
              <w:spacing w:before="7"/>
              <w:rPr>
                <w:sz w:val="21"/>
              </w:rPr>
            </w:pPr>
            <w:r>
              <w:rPr>
                <w:sz w:val="21"/>
              </w:rPr>
              <w:t>其诊断必须同时具有下列情况：</w:t>
            </w:r>
          </w:p>
          <w:p>
            <w:pPr>
              <w:pStyle w:val="TableParagraph"/>
              <w:spacing w:before="36"/>
              <w:rPr>
                <w:sz w:val="21"/>
              </w:rPr>
            </w:pPr>
            <w:r>
              <w:rPr>
                <w:sz w:val="21"/>
              </w:rPr>
              <w:t>（1）经药物、胸腺手术治疗一年以上无法控制病情，丧失正常工作能力；</w:t>
            </w:r>
          </w:p>
          <w:p>
            <w:pPr>
              <w:pStyle w:val="TableParagraph"/>
              <w:spacing w:line="273" w:lineRule="auto" w:before="36"/>
              <w:ind w:left="647" w:right="307" w:hanging="527"/>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273" w:lineRule="auto" w:before="7"/>
              <w:ind w:left="647" w:right="307" w:hanging="527"/>
              <w:rPr>
                <w:sz w:val="21"/>
              </w:rPr>
            </w:pPr>
            <w:r>
              <w:rPr>
                <w:sz w:val="21"/>
              </w:rPr>
              <w:t>（3）症状缓解、复发及恶化交替出现，临床接受新斯的明等抗胆碱酯酶药物治疗的病史。</w:t>
            </w:r>
          </w:p>
        </w:tc>
      </w:tr>
      <w:tr>
        <w:trPr>
          <w:trHeight w:val="1019" w:hRule="atLeast"/>
        </w:trPr>
        <w:tc>
          <w:tcPr>
            <w:tcW w:w="2006" w:type="dxa"/>
          </w:tcPr>
          <w:p>
            <w:pPr>
              <w:pStyle w:val="TableParagraph"/>
              <w:spacing w:line="232" w:lineRule="auto" w:before="98"/>
              <w:ind w:left="619" w:right="119" w:hanging="420"/>
              <w:rPr>
                <w:rFonts w:ascii="Microsoft JhengHei" w:eastAsia="Microsoft JhengHei" w:hint="eastAsia"/>
                <w:b/>
                <w:sz w:val="21"/>
              </w:rPr>
            </w:pPr>
            <w:r>
              <w:rPr>
                <w:b/>
                <w:sz w:val="21"/>
              </w:rPr>
              <w:t>33. </w:t>
            </w:r>
            <w:r>
              <w:rPr>
                <w:rFonts w:ascii="Microsoft JhengHei" w:eastAsia="Microsoft JhengHei" w:hint="eastAsia"/>
                <w:b/>
                <w:sz w:val="21"/>
              </w:rPr>
              <w:t>急性坏死性胰腺炎</w:t>
            </w:r>
          </w:p>
        </w:tc>
        <w:tc>
          <w:tcPr>
            <w:tcW w:w="7743" w:type="dxa"/>
          </w:tcPr>
          <w:p>
            <w:pPr>
              <w:pStyle w:val="TableParagraph"/>
              <w:spacing w:line="261" w:lineRule="auto" w:before="142"/>
              <w:ind w:right="301"/>
              <w:rPr>
                <w:b/>
                <w:i/>
                <w:sz w:val="22"/>
              </w:rPr>
            </w:pPr>
            <w:r>
              <w:rPr>
                <w:spacing w:val="-6"/>
                <w:sz w:val="21"/>
              </w:rPr>
              <w:t>由专科医生确诊为急性坏死性胰腺炎，并需进行手术治疗，以进行组织清除、病</w:t>
            </w:r>
            <w:r>
              <w:rPr>
                <w:spacing w:val="-4"/>
                <w:w w:val="95"/>
                <w:sz w:val="21"/>
              </w:rPr>
              <w:t>灶切除或胰腺部分切除。</w:t>
            </w:r>
            <w:r>
              <w:rPr>
                <w:b/>
                <w:i/>
                <w:spacing w:val="-2"/>
                <w:w w:val="95"/>
                <w:sz w:val="22"/>
              </w:rPr>
              <w:t>但因酒精中毒所致的急性坏死性胰腺炎除外。</w:t>
            </w:r>
          </w:p>
        </w:tc>
      </w:tr>
      <w:tr>
        <w:trPr>
          <w:trHeight w:val="1882" w:hRule="atLeast"/>
        </w:trPr>
        <w:tc>
          <w:tcPr>
            <w:tcW w:w="2006" w:type="dxa"/>
          </w:tcPr>
          <w:p>
            <w:pPr>
              <w:pStyle w:val="TableParagraph"/>
              <w:spacing w:before="98"/>
              <w:ind w:left="200"/>
              <w:rPr>
                <w:rFonts w:ascii="Microsoft JhengHei" w:eastAsia="Microsoft JhengHei" w:hint="eastAsia"/>
                <w:b/>
                <w:sz w:val="21"/>
              </w:rPr>
            </w:pPr>
            <w:r>
              <w:rPr>
                <w:b/>
                <w:sz w:val="21"/>
              </w:rPr>
              <w:t>34. </w:t>
            </w:r>
            <w:r>
              <w:rPr>
                <w:rFonts w:ascii="Microsoft JhengHei" w:eastAsia="Microsoft JhengHei" w:hint="eastAsia"/>
                <w:b/>
                <w:sz w:val="21"/>
              </w:rPr>
              <w:t>坏死性筋膜炎</w:t>
            </w:r>
          </w:p>
        </w:tc>
        <w:tc>
          <w:tcPr>
            <w:tcW w:w="7743" w:type="dxa"/>
          </w:tcPr>
          <w:p>
            <w:pPr>
              <w:pStyle w:val="TableParagraph"/>
              <w:spacing w:before="153"/>
              <w:rPr>
                <w:sz w:val="21"/>
              </w:rPr>
            </w:pPr>
            <w:r>
              <w:rPr>
                <w:sz w:val="21"/>
              </w:rPr>
              <w:t>坏死性筋膜炎的诊断须同时符合下列要求：</w:t>
            </w:r>
          </w:p>
          <w:p>
            <w:pPr>
              <w:pStyle w:val="TableParagraph"/>
              <w:spacing w:before="37"/>
              <w:rPr>
                <w:sz w:val="21"/>
              </w:rPr>
            </w:pPr>
            <w:r>
              <w:rPr>
                <w:sz w:val="21"/>
              </w:rPr>
              <w:t>（1）符合坏死性筋膜炎的一般临床表现；</w:t>
            </w:r>
          </w:p>
          <w:p>
            <w:pPr>
              <w:pStyle w:val="TableParagraph"/>
              <w:spacing w:before="37"/>
              <w:rPr>
                <w:sz w:val="21"/>
              </w:rPr>
            </w:pPr>
            <w:r>
              <w:rPr>
                <w:sz w:val="21"/>
              </w:rPr>
              <w:t>（2）细菌培养检出致病菌；</w:t>
            </w:r>
          </w:p>
          <w:p>
            <w:pPr>
              <w:pStyle w:val="TableParagraph"/>
              <w:spacing w:line="273" w:lineRule="auto" w:before="36"/>
              <w:ind w:right="141"/>
              <w:rPr>
                <w:sz w:val="21"/>
              </w:rPr>
            </w:pPr>
            <w:r>
              <w:rPr>
                <w:sz w:val="21"/>
              </w:rPr>
              <w:t>（3）出现广泛性肌肉及软组织坏死，并导致身体受影响部位永久完全失去功能。所谓永久完全失去功能是指受影响部位的功能丧失超过六个月者。</w:t>
            </w:r>
          </w:p>
        </w:tc>
      </w:tr>
      <w:tr>
        <w:trPr>
          <w:trHeight w:val="1353" w:hRule="atLeast"/>
        </w:trPr>
        <w:tc>
          <w:tcPr>
            <w:tcW w:w="2006" w:type="dxa"/>
          </w:tcPr>
          <w:p>
            <w:pPr>
              <w:pStyle w:val="TableParagraph"/>
              <w:spacing w:before="88"/>
              <w:ind w:left="200"/>
              <w:rPr>
                <w:rFonts w:ascii="Microsoft JhengHei" w:eastAsia="Microsoft JhengHei" w:hint="eastAsia"/>
                <w:b/>
                <w:sz w:val="21"/>
              </w:rPr>
            </w:pPr>
            <w:r>
              <w:rPr>
                <w:b/>
                <w:sz w:val="21"/>
              </w:rPr>
              <w:t>35. </w:t>
            </w:r>
            <w:r>
              <w:rPr>
                <w:rFonts w:ascii="Microsoft JhengHei" w:eastAsia="Microsoft JhengHei" w:hint="eastAsia"/>
                <w:b/>
                <w:sz w:val="21"/>
              </w:rPr>
              <w:t>终末期肺病</w:t>
            </w:r>
          </w:p>
        </w:tc>
        <w:tc>
          <w:tcPr>
            <w:tcW w:w="7743" w:type="dxa"/>
          </w:tcPr>
          <w:p>
            <w:pPr>
              <w:pStyle w:val="TableParagraph"/>
              <w:spacing w:line="273" w:lineRule="auto" w:before="142"/>
              <w:ind w:right="256"/>
              <w:rPr>
                <w:sz w:val="21"/>
              </w:rPr>
            </w:pPr>
            <w:r>
              <w:rPr>
                <w:sz w:val="21"/>
              </w:rPr>
              <w:t>由呼吸专科医生确诊被保险人患有终末期肺病而出现慢性呼吸功能衰竭，其诊断标准包括以下各项：</w:t>
            </w:r>
          </w:p>
          <w:p>
            <w:pPr>
              <w:pStyle w:val="TableParagraph"/>
              <w:spacing w:before="7"/>
              <w:rPr>
                <w:sz w:val="21"/>
              </w:rPr>
            </w:pPr>
            <w:r>
              <w:rPr>
                <w:sz w:val="21"/>
              </w:rPr>
              <w:t>（1）肺功能测试其 FEVl 持续低于 0.75 升；</w:t>
            </w:r>
          </w:p>
          <w:p>
            <w:pPr>
              <w:pStyle w:val="TableParagraph"/>
              <w:spacing w:line="255" w:lineRule="exact" w:before="37"/>
              <w:rPr>
                <w:sz w:val="21"/>
              </w:rPr>
            </w:pPr>
            <w:r>
              <w:rPr>
                <w:sz w:val="21"/>
              </w:rPr>
              <w:t>（2）病人缺氧必须广泛而持续地进行输氧治疗；</w:t>
            </w:r>
          </w:p>
        </w:tc>
      </w:tr>
    </w:tbl>
    <w:p>
      <w:pPr>
        <w:spacing w:after="0" w:line="255" w:lineRule="exact"/>
        <w:rPr>
          <w:sz w:val="21"/>
        </w:rPr>
        <w:sectPr>
          <w:pgSz w:w="11910" w:h="16840"/>
          <w:pgMar w:header="0" w:footer="353"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676"/>
      </w:tblGrid>
      <w:tr>
        <w:trPr>
          <w:trHeight w:val="729" w:hRule="atLeast"/>
        </w:trPr>
        <w:tc>
          <w:tcPr>
            <w:tcW w:w="2006" w:type="dxa"/>
          </w:tcPr>
          <w:p>
            <w:pPr>
              <w:pStyle w:val="TableParagraph"/>
              <w:ind w:left="0"/>
              <w:rPr>
                <w:rFonts w:ascii="Times New Roman"/>
                <w:sz w:val="20"/>
              </w:rPr>
            </w:pPr>
          </w:p>
        </w:tc>
        <w:tc>
          <w:tcPr>
            <w:tcW w:w="7676" w:type="dxa"/>
          </w:tcPr>
          <w:p>
            <w:pPr>
              <w:pStyle w:val="TableParagraph"/>
              <w:spacing w:line="211" w:lineRule="exact"/>
              <w:rPr>
                <w:sz w:val="21"/>
              </w:rPr>
            </w:pPr>
            <w:r>
              <w:rPr>
                <w:sz w:val="21"/>
              </w:rPr>
              <w:t>（3）动脉血气分析氧分压低于 55mmHg。</w:t>
            </w:r>
          </w:p>
          <w:p>
            <w:pPr>
              <w:pStyle w:val="TableParagraph"/>
              <w:spacing w:before="37"/>
              <w:rPr>
                <w:sz w:val="21"/>
              </w:rPr>
            </w:pPr>
            <w:r>
              <w:rPr>
                <w:sz w:val="21"/>
              </w:rPr>
              <w:t>理赔时必须提供以上各项中相应的医院证明文件或检查报告。</w:t>
            </w:r>
          </w:p>
        </w:tc>
      </w:tr>
      <w:tr>
        <w:trPr>
          <w:trHeight w:val="3120" w:hRule="atLeast"/>
        </w:trPr>
        <w:tc>
          <w:tcPr>
            <w:tcW w:w="2006" w:type="dxa"/>
          </w:tcPr>
          <w:p>
            <w:pPr>
              <w:pStyle w:val="TableParagraph"/>
              <w:spacing w:line="232" w:lineRule="auto" w:before="99"/>
              <w:ind w:left="619" w:right="119" w:hanging="420"/>
              <w:rPr>
                <w:rFonts w:ascii="Microsoft JhengHei" w:eastAsia="Microsoft JhengHei" w:hint="eastAsia"/>
                <w:b/>
                <w:sz w:val="21"/>
              </w:rPr>
            </w:pPr>
            <w:r>
              <w:rPr>
                <w:b/>
                <w:sz w:val="21"/>
              </w:rPr>
              <w:t>36. </w:t>
            </w:r>
            <w:r>
              <w:rPr>
                <w:rFonts w:ascii="Microsoft JhengHei" w:eastAsia="Microsoft JhengHei" w:hint="eastAsia"/>
                <w:b/>
                <w:sz w:val="21"/>
              </w:rPr>
              <w:t>严重类风湿性关节炎</w:t>
            </w:r>
          </w:p>
        </w:tc>
        <w:tc>
          <w:tcPr>
            <w:tcW w:w="7676" w:type="dxa"/>
          </w:tcPr>
          <w:p>
            <w:pPr>
              <w:pStyle w:val="TableParagraph"/>
              <w:spacing w:before="143"/>
              <w:rPr>
                <w:sz w:val="21"/>
              </w:rPr>
            </w:pPr>
            <w:r>
              <w:rPr>
                <w:sz w:val="21"/>
              </w:rPr>
              <w:t>是指类风湿性关节炎患者符合以下三项标准的：</w:t>
            </w:r>
          </w:p>
          <w:p>
            <w:pPr>
              <w:pStyle w:val="TableParagraph"/>
              <w:spacing w:line="273" w:lineRule="auto" w:before="37"/>
              <w:ind w:left="647" w:right="180" w:hanging="527"/>
              <w:rPr>
                <w:sz w:val="21"/>
              </w:rPr>
            </w:pPr>
            <w:r>
              <w:rPr>
                <w:sz w:val="21"/>
              </w:rPr>
              <w:t>（1）至少包括下列关节中的三组或以上有广泛受损和畸形改变:手指关节、腕关节、肘关节、膝关节、髋关节、踝关节、脊椎或脚趾关节；</w:t>
            </w:r>
          </w:p>
          <w:p>
            <w:pPr>
              <w:pStyle w:val="TableParagraph"/>
              <w:spacing w:line="273" w:lineRule="auto" w:before="7"/>
              <w:ind w:left="647" w:right="180" w:hanging="527"/>
              <w:rPr>
                <w:sz w:val="21"/>
              </w:rPr>
            </w:pPr>
            <w:r>
              <w:rPr>
                <w:sz w:val="21"/>
              </w:rPr>
              <w:t>（2）手和腕的后前位 X 线拍片检查可见类风湿性关节炎的典型变化，包括骨质侵蚀或钙流失，位于受累关节及其邻近部位尤其明显；</w:t>
            </w:r>
          </w:p>
          <w:p>
            <w:pPr>
              <w:pStyle w:val="TableParagraph"/>
              <w:spacing w:before="7"/>
              <w:rPr>
                <w:sz w:val="21"/>
              </w:rPr>
            </w:pPr>
            <w:r>
              <w:rPr>
                <w:sz w:val="21"/>
              </w:rPr>
              <w:t>（3）关节的畸形改变至少持续 6 个月。</w:t>
            </w:r>
          </w:p>
          <w:p>
            <w:pPr>
              <w:pStyle w:val="TableParagraph"/>
              <w:spacing w:line="273" w:lineRule="auto" w:before="37"/>
              <w:ind w:right="189"/>
              <w:rPr>
                <w:sz w:val="21"/>
              </w:rPr>
            </w:pPr>
            <w:r>
              <w:rPr>
                <w:sz w:val="21"/>
              </w:rPr>
              <w:t>类风湿性关节炎系指以关节滑膜炎为特征的慢性全身性自身免疫性疾病，诊断必须符合国际认可的该疾病的诊断标准。</w:t>
            </w:r>
          </w:p>
          <w:p>
            <w:pPr>
              <w:pStyle w:val="TableParagraph"/>
              <w:spacing w:before="8"/>
              <w:rPr>
                <w:sz w:val="21"/>
              </w:rPr>
            </w:pPr>
            <w:r>
              <w:rPr>
                <w:sz w:val="21"/>
              </w:rPr>
              <w:t>只有被保险人已接受膝关节或髋关节置换手术，我们才承担赔偿责任。</w:t>
            </w:r>
          </w:p>
        </w:tc>
      </w:tr>
      <w:tr>
        <w:trPr>
          <w:trHeight w:val="2185" w:hRule="atLeast"/>
        </w:trPr>
        <w:tc>
          <w:tcPr>
            <w:tcW w:w="2006" w:type="dxa"/>
          </w:tcPr>
          <w:p>
            <w:pPr>
              <w:pStyle w:val="TableParagraph"/>
              <w:spacing w:line="232" w:lineRule="auto" w:before="98"/>
              <w:ind w:left="619" w:right="119" w:hanging="420"/>
              <w:jc w:val="both"/>
              <w:rPr>
                <w:rFonts w:ascii="Microsoft JhengHei" w:eastAsia="Microsoft JhengHei" w:hint="eastAsia"/>
                <w:b/>
                <w:sz w:val="21"/>
              </w:rPr>
            </w:pPr>
            <w:r>
              <w:rPr>
                <w:b/>
                <w:sz w:val="21"/>
              </w:rPr>
              <w:t>37. </w:t>
            </w:r>
            <w:r>
              <w:rPr>
                <w:rFonts w:ascii="Microsoft JhengHei" w:eastAsia="Microsoft JhengHei" w:hint="eastAsia"/>
                <w:b/>
                <w:sz w:val="21"/>
              </w:rPr>
              <w:t>非阿尔茨海默病所致严重痴呆</w:t>
            </w:r>
          </w:p>
        </w:tc>
        <w:tc>
          <w:tcPr>
            <w:tcW w:w="7676" w:type="dxa"/>
          </w:tcPr>
          <w:p>
            <w:pPr>
              <w:pStyle w:val="TableParagraph"/>
              <w:spacing w:line="273" w:lineRule="auto" w:before="142"/>
              <w:ind w:right="233"/>
              <w:jc w:val="both"/>
              <w:rPr>
                <w:sz w:val="21"/>
              </w:rPr>
            </w:pPr>
            <w:r>
              <w:rPr>
                <w:sz w:val="21"/>
              </w:rPr>
              <w:t>指因阿尔茨海默病以外的脑的器质性疾病造成脑功能衰竭导致永久不可逆性的</w:t>
            </w:r>
            <w:r>
              <w:rPr>
                <w:spacing w:val="-6"/>
                <w:sz w:val="21"/>
              </w:rPr>
              <w:t>严重痴呆，临床表现为明显的认知能力障碍、行为异常和社交能力减退。被保险</w:t>
            </w:r>
            <w:r>
              <w:rPr>
                <w:spacing w:val="-7"/>
                <w:sz w:val="21"/>
              </w:rPr>
              <w:t>人自主生活能力完全丧失，无法独立完成六项基本日常生活活动中的三项或三项</w:t>
            </w:r>
            <w:r>
              <w:rPr>
                <w:spacing w:val="-8"/>
                <w:sz w:val="21"/>
              </w:rPr>
              <w:t>以上，日常生活必须持续受到他人监护。导致痴呆的疾病必须明确诊断，并且由</w:t>
            </w:r>
            <w:r>
              <w:rPr>
                <w:spacing w:val="-5"/>
                <w:sz w:val="21"/>
              </w:rPr>
              <w:t>完整的临床、实验室和影像学检查结果证实。</w:t>
            </w:r>
          </w:p>
          <w:p>
            <w:pPr>
              <w:pStyle w:val="TableParagraph"/>
              <w:spacing w:line="284" w:lineRule="exact"/>
              <w:jc w:val="both"/>
              <w:rPr>
                <w:b/>
                <w:i/>
                <w:sz w:val="22"/>
              </w:rPr>
            </w:pPr>
            <w:r>
              <w:rPr>
                <w:b/>
                <w:i/>
                <w:w w:val="95"/>
                <w:sz w:val="22"/>
              </w:rPr>
              <w:t>神经官能症和精神疾病不在保障范围内。</w:t>
            </w:r>
          </w:p>
        </w:tc>
      </w:tr>
      <w:tr>
        <w:trPr>
          <w:trHeight w:val="2496" w:hRule="atLeast"/>
        </w:trPr>
        <w:tc>
          <w:tcPr>
            <w:tcW w:w="2006" w:type="dxa"/>
          </w:tcPr>
          <w:p>
            <w:pPr>
              <w:pStyle w:val="TableParagraph"/>
              <w:spacing w:before="87"/>
              <w:ind w:left="200"/>
              <w:rPr>
                <w:rFonts w:ascii="Microsoft JhengHei" w:eastAsia="Microsoft JhengHei" w:hint="eastAsia"/>
                <w:b/>
                <w:sz w:val="21"/>
              </w:rPr>
            </w:pPr>
            <w:r>
              <w:rPr>
                <w:b/>
                <w:sz w:val="21"/>
              </w:rPr>
              <w:t>38. </w:t>
            </w:r>
            <w:r>
              <w:rPr>
                <w:rFonts w:ascii="Microsoft JhengHei" w:eastAsia="Microsoft JhengHei" w:hint="eastAsia"/>
                <w:b/>
                <w:sz w:val="21"/>
              </w:rPr>
              <w:t>系统性硬化</w:t>
            </w:r>
          </w:p>
        </w:tc>
        <w:tc>
          <w:tcPr>
            <w:tcW w:w="7676" w:type="dxa"/>
          </w:tcPr>
          <w:p>
            <w:pPr>
              <w:pStyle w:val="TableParagraph"/>
              <w:spacing w:line="273" w:lineRule="auto" w:before="142"/>
              <w:ind w:right="198"/>
              <w:jc w:val="both"/>
              <w:rPr>
                <w:sz w:val="21"/>
              </w:rPr>
            </w:pPr>
            <w:r>
              <w:rPr>
                <w:spacing w:val="-3"/>
                <w:sz w:val="21"/>
              </w:rPr>
              <w:t>系统性硬化病又称硬皮病，是以弥漫性皮肤、血管及内脏器官结缔组织纤维化、</w:t>
            </w:r>
            <w:r>
              <w:rPr>
                <w:spacing w:val="-6"/>
                <w:sz w:val="21"/>
              </w:rPr>
              <w:t>硬化及萎缩为特点的结缔组织病。必须由风湿免疫专科医生确诊。必须有活体组</w:t>
            </w:r>
            <w:r>
              <w:rPr>
                <w:spacing w:val="-4"/>
                <w:sz w:val="21"/>
              </w:rPr>
              <w:t>织检查和血清学的检查作为确诊依据。病变需累及心脏，肺脏或肾脏。</w:t>
            </w:r>
          </w:p>
          <w:p>
            <w:pPr>
              <w:pStyle w:val="TableParagraph"/>
              <w:spacing w:line="284" w:lineRule="exact"/>
              <w:jc w:val="both"/>
              <w:rPr>
                <w:b/>
                <w:i/>
                <w:sz w:val="22"/>
              </w:rPr>
            </w:pPr>
            <w:r>
              <w:rPr>
                <w:b/>
                <w:i/>
                <w:w w:val="95"/>
                <w:sz w:val="22"/>
              </w:rPr>
              <w:t>下列疾病不在保障范围内：</w:t>
            </w:r>
          </w:p>
          <w:p>
            <w:pPr>
              <w:pStyle w:val="TableParagraph"/>
              <w:numPr>
                <w:ilvl w:val="0"/>
                <w:numId w:val="6"/>
              </w:numPr>
              <w:tabs>
                <w:tab w:pos="545" w:val="left" w:leader="none"/>
              </w:tabs>
              <w:spacing w:line="240" w:lineRule="auto" w:before="24" w:after="0"/>
              <w:ind w:left="544" w:right="0" w:hanging="423"/>
              <w:jc w:val="both"/>
              <w:rPr>
                <w:b/>
                <w:i/>
                <w:sz w:val="22"/>
              </w:rPr>
            </w:pPr>
            <w:r>
              <w:rPr>
                <w:b/>
                <w:i/>
                <w:w w:val="95"/>
                <w:sz w:val="22"/>
              </w:rPr>
              <w:t>局限性硬皮病（</w:t>
            </w:r>
            <w:r>
              <w:rPr>
                <w:b/>
                <w:i/>
                <w:spacing w:val="-2"/>
                <w:w w:val="95"/>
                <w:sz w:val="22"/>
              </w:rPr>
              <w:t>包括带状硬皮病、硬斑病</w:t>
            </w:r>
            <w:r>
              <w:rPr>
                <w:b/>
                <w:i/>
                <w:spacing w:val="-108"/>
                <w:w w:val="95"/>
                <w:sz w:val="22"/>
              </w:rPr>
              <w:t>）</w:t>
            </w:r>
            <w:r>
              <w:rPr>
                <w:b/>
                <w:i/>
                <w:w w:val="95"/>
                <w:sz w:val="22"/>
              </w:rPr>
              <w:t>；</w:t>
            </w:r>
          </w:p>
          <w:p>
            <w:pPr>
              <w:pStyle w:val="TableParagraph"/>
              <w:numPr>
                <w:ilvl w:val="0"/>
                <w:numId w:val="6"/>
              </w:numPr>
              <w:tabs>
                <w:tab w:pos="545" w:val="left" w:leader="none"/>
              </w:tabs>
              <w:spacing w:line="240" w:lineRule="auto" w:before="24" w:after="0"/>
              <w:ind w:left="544" w:right="0" w:hanging="423"/>
              <w:jc w:val="both"/>
              <w:rPr>
                <w:b/>
                <w:i/>
                <w:sz w:val="22"/>
              </w:rPr>
            </w:pPr>
            <w:r>
              <w:rPr>
                <w:b/>
                <w:i/>
                <w:w w:val="95"/>
                <w:sz w:val="22"/>
              </w:rPr>
              <w:t>嗜酸细胞性筋膜炎；</w:t>
            </w:r>
          </w:p>
          <w:p>
            <w:pPr>
              <w:pStyle w:val="TableParagraph"/>
              <w:numPr>
                <w:ilvl w:val="0"/>
                <w:numId w:val="6"/>
              </w:numPr>
              <w:tabs>
                <w:tab w:pos="544" w:val="left" w:leader="none"/>
              </w:tabs>
              <w:spacing w:line="240" w:lineRule="auto" w:before="24" w:after="0"/>
              <w:ind w:left="543" w:right="0" w:hanging="422"/>
              <w:jc w:val="both"/>
              <w:rPr>
                <w:b/>
                <w:i/>
                <w:sz w:val="22"/>
              </w:rPr>
            </w:pPr>
            <w:r>
              <w:rPr>
                <w:b/>
                <w:i/>
                <w:w w:val="95"/>
                <w:sz w:val="22"/>
              </w:rPr>
              <w:t>CREST综合征。</w:t>
            </w:r>
          </w:p>
        </w:tc>
      </w:tr>
      <w:tr>
        <w:trPr>
          <w:trHeight w:val="1871" w:hRule="atLeast"/>
        </w:trPr>
        <w:tc>
          <w:tcPr>
            <w:tcW w:w="2006" w:type="dxa"/>
          </w:tcPr>
          <w:p>
            <w:pPr>
              <w:pStyle w:val="TableParagraph"/>
              <w:spacing w:before="87"/>
              <w:ind w:left="200"/>
              <w:rPr>
                <w:rFonts w:ascii="Microsoft JhengHei" w:eastAsia="Microsoft JhengHei" w:hint="eastAsia"/>
                <w:b/>
                <w:sz w:val="21"/>
              </w:rPr>
            </w:pPr>
            <w:r>
              <w:rPr>
                <w:b/>
                <w:sz w:val="21"/>
              </w:rPr>
              <w:t>39. </w:t>
            </w:r>
            <w:r>
              <w:rPr>
                <w:rFonts w:ascii="Microsoft JhengHei" w:eastAsia="Microsoft JhengHei" w:hint="eastAsia"/>
                <w:b/>
                <w:sz w:val="21"/>
              </w:rPr>
              <w:t>脊髓灰质炎</w:t>
            </w:r>
          </w:p>
        </w:tc>
        <w:tc>
          <w:tcPr>
            <w:tcW w:w="7676" w:type="dxa"/>
          </w:tcPr>
          <w:p>
            <w:pPr>
              <w:pStyle w:val="TableParagraph"/>
              <w:spacing w:line="273" w:lineRule="auto" w:before="142"/>
              <w:ind w:right="233"/>
              <w:jc w:val="both"/>
              <w:rPr>
                <w:sz w:val="21"/>
              </w:rPr>
            </w:pPr>
            <w:r>
              <w:rPr>
                <w:spacing w:val="-5"/>
                <w:sz w:val="21"/>
              </w:rPr>
              <w:t>脊髓灰质炎是由于脊髓灰质炎病毒感染所致的瘫痪性疾病，临床表现为运动功能</w:t>
            </w:r>
            <w:r>
              <w:rPr>
                <w:spacing w:val="-8"/>
                <w:sz w:val="21"/>
              </w:rPr>
              <w:t>损害或呼吸无力。脊髓灰质炎必须明确诊断。我们仅对脊髓灰质炎造成的神经系</w:t>
            </w:r>
            <w:r>
              <w:rPr>
                <w:sz w:val="21"/>
              </w:rPr>
              <w:t>统功能损害导致被保险人一肢或一肢以上肢体机能永久完全丧失的情况予以理</w:t>
            </w:r>
            <w:r>
              <w:rPr>
                <w:spacing w:val="-8"/>
                <w:sz w:val="21"/>
              </w:rPr>
              <w:t>赔。肢体机能永久完全丧失，指疾病确诊 </w:t>
            </w:r>
            <w:r>
              <w:rPr>
                <w:sz w:val="21"/>
              </w:rPr>
              <w:t>180</w:t>
            </w:r>
            <w:r>
              <w:rPr>
                <w:spacing w:val="-9"/>
                <w:sz w:val="21"/>
              </w:rPr>
              <w:t> 天后，每肢三大关节中的两大关节</w:t>
            </w:r>
            <w:r>
              <w:rPr>
                <w:spacing w:val="-5"/>
                <w:sz w:val="21"/>
              </w:rPr>
              <w:t>仍然完全僵硬，或不能随意识活动。</w:t>
            </w:r>
          </w:p>
        </w:tc>
      </w:tr>
      <w:tr>
        <w:trPr>
          <w:trHeight w:val="1248" w:hRule="atLeast"/>
        </w:trPr>
        <w:tc>
          <w:tcPr>
            <w:tcW w:w="2006" w:type="dxa"/>
          </w:tcPr>
          <w:p>
            <w:pPr>
              <w:pStyle w:val="TableParagraph"/>
              <w:spacing w:before="88"/>
              <w:ind w:left="200"/>
              <w:rPr>
                <w:rFonts w:ascii="Microsoft JhengHei" w:eastAsia="Microsoft JhengHei" w:hint="eastAsia"/>
                <w:b/>
                <w:sz w:val="21"/>
              </w:rPr>
            </w:pPr>
            <w:r>
              <w:rPr>
                <w:b/>
                <w:sz w:val="21"/>
              </w:rPr>
              <w:t>40. </w:t>
            </w:r>
            <w:r>
              <w:rPr>
                <w:rFonts w:ascii="Microsoft JhengHei" w:eastAsia="Microsoft JhengHei" w:hint="eastAsia"/>
                <w:b/>
                <w:sz w:val="21"/>
              </w:rPr>
              <w:t>严重克隆病</w:t>
            </w:r>
          </w:p>
        </w:tc>
        <w:tc>
          <w:tcPr>
            <w:tcW w:w="7676" w:type="dxa"/>
          </w:tcPr>
          <w:p>
            <w:pPr>
              <w:pStyle w:val="TableParagraph"/>
              <w:spacing w:line="273" w:lineRule="auto" w:before="142"/>
              <w:ind w:right="234"/>
              <w:jc w:val="both"/>
              <w:rPr>
                <w:sz w:val="21"/>
              </w:rPr>
            </w:pPr>
            <w:r>
              <w:rPr>
                <w:spacing w:val="-6"/>
                <w:sz w:val="21"/>
              </w:rPr>
              <w:t>克隆病是一种慢性肉芽肿性肠炎，具有特征性的克隆病病理组织学变化。诊断必</w:t>
            </w:r>
            <w:r>
              <w:rPr>
                <w:spacing w:val="-8"/>
                <w:sz w:val="21"/>
              </w:rPr>
              <w:t>须由病理检查结果证实。被保险人所患的克隆病必须已经造成瘘管形成并伴有肠</w:t>
            </w:r>
            <w:r>
              <w:rPr>
                <w:spacing w:val="-5"/>
                <w:sz w:val="21"/>
              </w:rPr>
              <w:t>梗阻或肠穿孔。</w:t>
            </w:r>
          </w:p>
        </w:tc>
      </w:tr>
      <w:tr>
        <w:trPr>
          <w:trHeight w:val="1560" w:hRule="atLeast"/>
        </w:trPr>
        <w:tc>
          <w:tcPr>
            <w:tcW w:w="2006" w:type="dxa"/>
          </w:tcPr>
          <w:p>
            <w:pPr>
              <w:pStyle w:val="TableParagraph"/>
              <w:spacing w:line="232" w:lineRule="auto" w:before="99"/>
              <w:ind w:left="619" w:right="119" w:hanging="420"/>
              <w:rPr>
                <w:rFonts w:ascii="Microsoft JhengHei" w:eastAsia="Microsoft JhengHei" w:hint="eastAsia"/>
                <w:b/>
                <w:sz w:val="21"/>
              </w:rPr>
            </w:pPr>
            <w:r>
              <w:rPr>
                <w:b/>
                <w:sz w:val="21"/>
              </w:rPr>
              <w:t>41. </w:t>
            </w:r>
            <w:r>
              <w:rPr>
                <w:rFonts w:ascii="Microsoft JhengHei" w:eastAsia="Microsoft JhengHei" w:hint="eastAsia"/>
                <w:b/>
                <w:sz w:val="21"/>
              </w:rPr>
              <w:t>严重溃疡性结肠炎</w:t>
            </w:r>
          </w:p>
        </w:tc>
        <w:tc>
          <w:tcPr>
            <w:tcW w:w="7676" w:type="dxa"/>
          </w:tcPr>
          <w:p>
            <w:pPr>
              <w:pStyle w:val="TableParagraph"/>
              <w:spacing w:line="273" w:lineRule="auto" w:before="143"/>
              <w:ind w:right="234"/>
              <w:jc w:val="both"/>
              <w:rPr>
                <w:sz w:val="21"/>
              </w:rPr>
            </w:pPr>
            <w:r>
              <w:rPr>
                <w:sz w:val="21"/>
              </w:rPr>
              <w:t>我们所保障的溃疡性结肠炎是指伴有致命性电解质紊乱的急性暴发性溃疡性结</w:t>
            </w:r>
            <w:r>
              <w:rPr>
                <w:spacing w:val="-6"/>
                <w:sz w:val="21"/>
              </w:rPr>
              <w:t>肠炎，病变累及全结肠，表现为严重的血便和系统性症状体征，治疗通常采取全</w:t>
            </w:r>
            <w:r>
              <w:rPr>
                <w:spacing w:val="-7"/>
                <w:sz w:val="21"/>
              </w:rPr>
              <w:t>结肠切除和回肠造瘘术。溃疡性结肠炎必须根据组织病理学特点诊断，并且被保</w:t>
            </w:r>
            <w:r>
              <w:rPr>
                <w:spacing w:val="-5"/>
                <w:sz w:val="21"/>
              </w:rPr>
              <w:t>险人已经接受了结肠切除和回肠造瘘术。</w:t>
            </w:r>
          </w:p>
        </w:tc>
      </w:tr>
      <w:tr>
        <w:trPr>
          <w:trHeight w:val="1041" w:hRule="atLeast"/>
        </w:trPr>
        <w:tc>
          <w:tcPr>
            <w:tcW w:w="2006" w:type="dxa"/>
          </w:tcPr>
          <w:p>
            <w:pPr>
              <w:pStyle w:val="TableParagraph"/>
              <w:spacing w:line="232" w:lineRule="auto" w:before="98"/>
              <w:ind w:left="619" w:right="119" w:hanging="420"/>
              <w:rPr>
                <w:rFonts w:ascii="Microsoft JhengHei" w:eastAsia="Microsoft JhengHei" w:hint="eastAsia"/>
                <w:b/>
                <w:sz w:val="21"/>
              </w:rPr>
            </w:pPr>
            <w:r>
              <w:rPr>
                <w:b/>
                <w:sz w:val="21"/>
              </w:rPr>
              <w:t>42. </w:t>
            </w:r>
            <w:r>
              <w:rPr>
                <w:rFonts w:ascii="Microsoft JhengHei" w:eastAsia="Microsoft JhengHei" w:hint="eastAsia"/>
                <w:b/>
                <w:sz w:val="21"/>
              </w:rPr>
              <w:t>因职业关系导致的人类免疫</w:t>
            </w:r>
          </w:p>
        </w:tc>
        <w:tc>
          <w:tcPr>
            <w:tcW w:w="7676" w:type="dxa"/>
          </w:tcPr>
          <w:p>
            <w:pPr>
              <w:pStyle w:val="TableParagraph"/>
              <w:spacing w:line="273" w:lineRule="auto" w:before="142"/>
              <w:ind w:right="233"/>
              <w:rPr>
                <w:sz w:val="21"/>
              </w:rPr>
            </w:pPr>
            <w:r>
              <w:rPr>
                <w:spacing w:val="-5"/>
                <w:sz w:val="21"/>
              </w:rPr>
              <w:t>指被保险人在其常规职业工作过程中遭遇外伤，或者职业需要处理血液或者其他</w:t>
            </w:r>
            <w:r>
              <w:rPr>
                <w:spacing w:val="-4"/>
                <w:w w:val="100"/>
                <w:sz w:val="21"/>
              </w:rPr>
              <w:t>体液时感染上人类免疫缺陷病毒</w:t>
            </w:r>
            <w:r>
              <w:rPr>
                <w:w w:val="100"/>
                <w:sz w:val="21"/>
              </w:rPr>
              <w:t>（H</w:t>
            </w:r>
            <w:r>
              <w:rPr>
                <w:spacing w:val="-3"/>
                <w:w w:val="100"/>
                <w:sz w:val="21"/>
              </w:rPr>
              <w:t>I</w:t>
            </w:r>
            <w:r>
              <w:rPr>
                <w:spacing w:val="-1"/>
                <w:w w:val="100"/>
                <w:sz w:val="21"/>
              </w:rPr>
              <w:t>V</w:t>
            </w:r>
            <w:r>
              <w:rPr>
                <w:spacing w:val="-106"/>
                <w:w w:val="100"/>
                <w:sz w:val="21"/>
              </w:rPr>
              <w:t>）。</w:t>
            </w:r>
          </w:p>
          <w:p>
            <w:pPr>
              <w:pStyle w:val="TableParagraph"/>
              <w:spacing w:line="255" w:lineRule="exact" w:before="7"/>
              <w:rPr>
                <w:sz w:val="21"/>
              </w:rPr>
            </w:pPr>
            <w:r>
              <w:rPr>
                <w:sz w:val="21"/>
              </w:rPr>
              <w:t>必须满足下列全部条件：</w:t>
            </w:r>
          </w:p>
        </w:tc>
      </w:tr>
    </w:tbl>
    <w:p>
      <w:pPr>
        <w:spacing w:after="0" w:line="255" w:lineRule="exact"/>
        <w:rPr>
          <w:sz w:val="21"/>
        </w:rPr>
        <w:sectPr>
          <w:pgSz w:w="11910" w:h="16840"/>
          <w:pgMar w:header="0" w:footer="353" w:top="1160" w:bottom="540" w:left="1420" w:right="5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6"/>
      </w:tblGrid>
      <w:tr>
        <w:trPr>
          <w:trHeight w:val="2602" w:hRule="atLeast"/>
        </w:trPr>
        <w:tc>
          <w:tcPr>
            <w:tcW w:w="2006" w:type="dxa"/>
          </w:tcPr>
          <w:p>
            <w:pPr>
              <w:pStyle w:val="TableParagraph"/>
              <w:spacing w:line="240" w:lineRule="exact"/>
              <w:ind w:left="0" w:right="119"/>
              <w:jc w:val="right"/>
              <w:rPr>
                <w:rFonts w:ascii="Microsoft JhengHei" w:eastAsia="Microsoft JhengHei" w:hint="eastAsia"/>
                <w:b/>
                <w:sz w:val="21"/>
              </w:rPr>
            </w:pPr>
            <w:r>
              <w:rPr>
                <w:rFonts w:ascii="Microsoft JhengHei" w:eastAsia="Microsoft JhengHei" w:hint="eastAsia"/>
                <w:b/>
                <w:sz w:val="21"/>
              </w:rPr>
              <w:t>缺陷病毒感染</w:t>
            </w:r>
          </w:p>
        </w:tc>
        <w:tc>
          <w:tcPr>
            <w:tcW w:w="7746" w:type="dxa"/>
          </w:tcPr>
          <w:p>
            <w:pPr>
              <w:pStyle w:val="TableParagraph"/>
              <w:spacing w:line="211" w:lineRule="exact"/>
              <w:rPr>
                <w:sz w:val="21"/>
              </w:rPr>
            </w:pPr>
            <w:r>
              <w:rPr>
                <w:sz w:val="21"/>
              </w:rPr>
              <w:t>（1）感染必须是在被保险人正在从事其职业工作中发生，该职业必须属于以下</w:t>
            </w:r>
          </w:p>
          <w:p>
            <w:pPr>
              <w:pStyle w:val="TableParagraph"/>
              <w:spacing w:line="273" w:lineRule="auto" w:before="37"/>
              <w:ind w:left="647" w:right="308"/>
              <w:rPr>
                <w:sz w:val="21"/>
              </w:rPr>
            </w:pPr>
            <w:r>
              <w:rPr>
                <w:sz w:val="21"/>
              </w:rPr>
              <w:t>职业之一：医生和牙科医生、护士、医院化验室工作人员、医院护工、医生助理和牙医助理、救护车工作人员、助产士、消防队员、警察、狱警；</w:t>
            </w:r>
          </w:p>
          <w:p>
            <w:pPr>
              <w:pStyle w:val="TableParagraph"/>
              <w:spacing w:before="7"/>
              <w:rPr>
                <w:sz w:val="21"/>
              </w:rPr>
            </w:pPr>
            <w:r>
              <w:rPr>
                <w:sz w:val="21"/>
              </w:rPr>
              <w:t>（2）血清转化必须出现在事故发生后的 6 个月内；</w:t>
            </w:r>
          </w:p>
          <w:p>
            <w:pPr>
              <w:pStyle w:val="TableParagraph"/>
              <w:spacing w:line="273" w:lineRule="auto" w:before="36"/>
              <w:ind w:left="647" w:right="250" w:hanging="527"/>
              <w:rPr>
                <w:sz w:val="21"/>
              </w:rPr>
            </w:pPr>
            <w:r>
              <w:rPr>
                <w:sz w:val="21"/>
              </w:rPr>
              <w:t>（3）必须提供被保险人在所报告事故发生后的 5 天内进行的检验报告，该报告必须显示被保险人血液 HIV 病毒阴性和/或 HIV 抗体阴性；</w:t>
            </w:r>
          </w:p>
          <w:p>
            <w:pPr>
              <w:pStyle w:val="TableParagraph"/>
              <w:spacing w:line="273" w:lineRule="auto" w:before="7"/>
              <w:ind w:left="647" w:right="306" w:hanging="527"/>
              <w:rPr>
                <w:sz w:val="21"/>
              </w:rPr>
            </w:pPr>
            <w:r>
              <w:rPr>
                <w:spacing w:val="-13"/>
                <w:sz w:val="21"/>
              </w:rPr>
              <w:t>（4）</w:t>
            </w:r>
            <w:r>
              <w:rPr>
                <w:spacing w:val="-8"/>
                <w:sz w:val="21"/>
              </w:rPr>
              <w:t>必须在事故发生后的 </w:t>
            </w:r>
            <w:r>
              <w:rPr>
                <w:sz w:val="21"/>
              </w:rPr>
              <w:t>12</w:t>
            </w:r>
            <w:r>
              <w:rPr>
                <w:spacing w:val="-12"/>
                <w:sz w:val="21"/>
              </w:rPr>
              <w:t> 个月内证实被保险人体内存在 </w:t>
            </w:r>
            <w:r>
              <w:rPr>
                <w:sz w:val="21"/>
              </w:rPr>
              <w:t>HIV</w:t>
            </w:r>
            <w:r>
              <w:rPr>
                <w:spacing w:val="-18"/>
                <w:sz w:val="21"/>
              </w:rPr>
              <w:t> 病毒或者 </w:t>
            </w:r>
            <w:r>
              <w:rPr>
                <w:sz w:val="21"/>
              </w:rPr>
              <w:t>HIV</w:t>
            </w:r>
            <w:r>
              <w:rPr>
                <w:spacing w:val="-25"/>
                <w:sz w:val="21"/>
              </w:rPr>
              <w:t> 抗体。</w:t>
            </w:r>
          </w:p>
        </w:tc>
      </w:tr>
      <w:tr>
        <w:trPr>
          <w:trHeight w:val="1872" w:hRule="atLeast"/>
        </w:trPr>
        <w:tc>
          <w:tcPr>
            <w:tcW w:w="2006" w:type="dxa"/>
          </w:tcPr>
          <w:p>
            <w:pPr>
              <w:pStyle w:val="TableParagraph"/>
              <w:spacing w:before="88"/>
              <w:ind w:left="200"/>
              <w:rPr>
                <w:rFonts w:ascii="Microsoft JhengHei" w:eastAsia="Microsoft JhengHei" w:hint="eastAsia"/>
                <w:b/>
                <w:sz w:val="21"/>
              </w:rPr>
            </w:pPr>
            <w:r>
              <w:rPr>
                <w:b/>
                <w:sz w:val="21"/>
              </w:rPr>
              <w:t>43. </w:t>
            </w:r>
            <w:r>
              <w:rPr>
                <w:rFonts w:ascii="Microsoft JhengHei" w:eastAsia="Microsoft JhengHei" w:hint="eastAsia"/>
                <w:b/>
                <w:sz w:val="21"/>
              </w:rPr>
              <w:t>川崎病</w:t>
            </w:r>
          </w:p>
        </w:tc>
        <w:tc>
          <w:tcPr>
            <w:tcW w:w="7746" w:type="dxa"/>
          </w:tcPr>
          <w:p>
            <w:pPr>
              <w:pStyle w:val="TableParagraph"/>
              <w:spacing w:line="273" w:lineRule="auto" w:before="142"/>
              <w:ind w:right="198"/>
              <w:rPr>
                <w:sz w:val="21"/>
              </w:rPr>
            </w:pPr>
            <w:r>
              <w:rPr>
                <w:spacing w:val="-6"/>
                <w:sz w:val="21"/>
              </w:rPr>
              <w:t>指一种原因未明的血管炎综合征，临床表现为急性发热，皮肤粘膜病损和淋巴结</w:t>
            </w:r>
            <w:r>
              <w:rPr>
                <w:spacing w:val="-14"/>
                <w:sz w:val="21"/>
              </w:rPr>
              <w:t>肿大。本病必须经专科医生明确诊断，且必须由血管造影或超声心动图检查证实， </w:t>
            </w:r>
            <w:r>
              <w:rPr>
                <w:spacing w:val="-7"/>
                <w:sz w:val="21"/>
              </w:rPr>
              <w:t>满足下列至少一项条件：</w:t>
            </w:r>
          </w:p>
          <w:p>
            <w:pPr>
              <w:pStyle w:val="TableParagraph"/>
              <w:spacing w:before="7"/>
              <w:rPr>
                <w:sz w:val="21"/>
              </w:rPr>
            </w:pPr>
            <w:r>
              <w:rPr>
                <w:sz w:val="21"/>
              </w:rPr>
              <w:t>（1）伴有冠状动脉瘤，且冠状动脉瘤于最初急性发病后持续至少一百八十天；</w:t>
            </w:r>
          </w:p>
          <w:p>
            <w:pPr>
              <w:pStyle w:val="TableParagraph"/>
              <w:spacing w:before="37"/>
              <w:rPr>
                <w:sz w:val="21"/>
              </w:rPr>
            </w:pPr>
            <w:r>
              <w:rPr>
                <w:sz w:val="21"/>
              </w:rPr>
              <w:t>（2）伴有冠状动脉瘤，且实际接受了对冠状动脉瘤进行的手术治疗。</w:t>
            </w:r>
          </w:p>
        </w:tc>
      </w:tr>
      <w:tr>
        <w:trPr>
          <w:trHeight w:val="2809" w:hRule="atLeast"/>
        </w:trPr>
        <w:tc>
          <w:tcPr>
            <w:tcW w:w="2006" w:type="dxa"/>
          </w:tcPr>
          <w:p>
            <w:pPr>
              <w:pStyle w:val="TableParagraph"/>
              <w:spacing w:line="232" w:lineRule="auto" w:before="99"/>
              <w:ind w:left="619" w:right="119" w:hanging="420"/>
              <w:rPr>
                <w:rFonts w:ascii="Microsoft JhengHei" w:eastAsia="Microsoft JhengHei" w:hint="eastAsia"/>
                <w:b/>
                <w:sz w:val="21"/>
              </w:rPr>
            </w:pPr>
            <w:r>
              <w:rPr>
                <w:b/>
                <w:sz w:val="21"/>
              </w:rPr>
              <w:t>44. </w:t>
            </w:r>
            <w:r>
              <w:rPr>
                <w:rFonts w:ascii="Microsoft JhengHei" w:eastAsia="Microsoft JhengHei" w:hint="eastAsia"/>
                <w:b/>
                <w:sz w:val="21"/>
              </w:rPr>
              <w:t>慢性肾上腺皮质功能衰竭</w:t>
            </w:r>
          </w:p>
        </w:tc>
        <w:tc>
          <w:tcPr>
            <w:tcW w:w="7746" w:type="dxa"/>
          </w:tcPr>
          <w:p>
            <w:pPr>
              <w:pStyle w:val="TableParagraph"/>
              <w:spacing w:line="273" w:lineRule="auto" w:before="143"/>
              <w:ind w:right="304"/>
              <w:jc w:val="both"/>
              <w:rPr>
                <w:sz w:val="21"/>
              </w:rPr>
            </w:pPr>
            <w:r>
              <w:rPr>
                <w:spacing w:val="-6"/>
                <w:sz w:val="21"/>
              </w:rPr>
              <w:t>因为自身免疫功能紊乱，使肾上腺组织逐渐受损，而需要长期接受糖皮质激素及</w:t>
            </w:r>
            <w:r>
              <w:rPr>
                <w:spacing w:val="-7"/>
                <w:sz w:val="21"/>
              </w:rPr>
              <w:t>肾上腺皮质激素替代疗法。该病必须经内分泌专科医生确诊，并有以下报告作为证据：</w:t>
            </w:r>
          </w:p>
          <w:p>
            <w:pPr>
              <w:pStyle w:val="TableParagraph"/>
              <w:spacing w:before="8"/>
              <w:jc w:val="both"/>
              <w:rPr>
                <w:sz w:val="21"/>
              </w:rPr>
            </w:pPr>
            <w:r>
              <w:rPr>
                <w:sz w:val="21"/>
              </w:rPr>
              <w:t>（1）促肾上腺皮质激素(ACTH)刺激试验；</w:t>
            </w:r>
          </w:p>
          <w:p>
            <w:pPr>
              <w:pStyle w:val="TableParagraph"/>
              <w:spacing w:before="37"/>
              <w:jc w:val="both"/>
              <w:rPr>
                <w:sz w:val="21"/>
              </w:rPr>
            </w:pPr>
            <w:r>
              <w:rPr>
                <w:sz w:val="21"/>
              </w:rPr>
              <w:t>（2）胰岛素血糖减少测试；</w:t>
            </w:r>
          </w:p>
          <w:p>
            <w:pPr>
              <w:pStyle w:val="TableParagraph"/>
              <w:spacing w:before="37"/>
              <w:jc w:val="both"/>
              <w:rPr>
                <w:sz w:val="21"/>
              </w:rPr>
            </w:pPr>
            <w:r>
              <w:rPr>
                <w:sz w:val="21"/>
              </w:rPr>
              <w:t>（3）血浆促肾上腺皮质激素(ACTH)水平测定；</w:t>
            </w:r>
          </w:p>
          <w:p>
            <w:pPr>
              <w:pStyle w:val="TableParagraph"/>
              <w:spacing w:before="37"/>
              <w:jc w:val="both"/>
              <w:rPr>
                <w:sz w:val="21"/>
              </w:rPr>
            </w:pPr>
            <w:r>
              <w:rPr>
                <w:sz w:val="21"/>
              </w:rPr>
              <w:t>（4）血浆肾素活性(PRA)测定。</w:t>
            </w:r>
          </w:p>
          <w:p>
            <w:pPr>
              <w:pStyle w:val="TableParagraph"/>
              <w:spacing w:before="25"/>
              <w:jc w:val="both"/>
              <w:rPr>
                <w:b/>
                <w:i/>
                <w:sz w:val="22"/>
              </w:rPr>
            </w:pPr>
            <w:r>
              <w:rPr>
                <w:b/>
                <w:i/>
                <w:w w:val="95"/>
                <w:sz w:val="22"/>
              </w:rPr>
              <w:t>非由自身免疫功能紊乱引起的慢性肾上腺皮质功能衰竭不在保障范围内。</w:t>
            </w:r>
          </w:p>
        </w:tc>
      </w:tr>
      <w:tr>
        <w:trPr>
          <w:trHeight w:val="1247" w:hRule="atLeast"/>
        </w:trPr>
        <w:tc>
          <w:tcPr>
            <w:tcW w:w="2006" w:type="dxa"/>
          </w:tcPr>
          <w:p>
            <w:pPr>
              <w:pStyle w:val="TableParagraph"/>
              <w:spacing w:line="232" w:lineRule="auto" w:before="98"/>
              <w:ind w:left="619" w:right="119" w:hanging="420"/>
              <w:rPr>
                <w:rFonts w:ascii="Microsoft JhengHei" w:eastAsia="Microsoft JhengHei" w:hint="eastAsia"/>
                <w:b/>
                <w:sz w:val="21"/>
              </w:rPr>
            </w:pPr>
            <w:r>
              <w:rPr>
                <w:b/>
                <w:sz w:val="21"/>
              </w:rPr>
              <w:t>45. </w:t>
            </w:r>
            <w:r>
              <w:rPr>
                <w:rFonts w:ascii="Microsoft JhengHei" w:eastAsia="Microsoft JhengHei" w:hint="eastAsia"/>
                <w:b/>
                <w:sz w:val="21"/>
              </w:rPr>
              <w:t>埃博拉病毒感染</w:t>
            </w:r>
          </w:p>
        </w:tc>
        <w:tc>
          <w:tcPr>
            <w:tcW w:w="7746" w:type="dxa"/>
          </w:tcPr>
          <w:p>
            <w:pPr>
              <w:pStyle w:val="TableParagraph"/>
              <w:spacing w:line="273" w:lineRule="auto" w:before="142"/>
              <w:ind w:right="304"/>
              <w:jc w:val="both"/>
              <w:rPr>
                <w:sz w:val="21"/>
              </w:rPr>
            </w:pPr>
            <w:r>
              <w:rPr>
                <w:spacing w:val="-6"/>
                <w:sz w:val="21"/>
              </w:rPr>
              <w:t>受埃博拉病毒感染导致出血性发热。埃博拉病必须经传染病专科医生确诊，并且埃博拉病毒的存在必须经过实验室检查证实。该病必须从症状开始后三十天后持</w:t>
            </w:r>
            <w:r>
              <w:rPr>
                <w:spacing w:val="-4"/>
                <w:sz w:val="21"/>
              </w:rPr>
              <w:t>续出现并发症。</w:t>
            </w:r>
          </w:p>
        </w:tc>
      </w:tr>
      <w:tr>
        <w:trPr>
          <w:trHeight w:val="1247" w:hRule="atLeast"/>
        </w:trPr>
        <w:tc>
          <w:tcPr>
            <w:tcW w:w="2006" w:type="dxa"/>
          </w:tcPr>
          <w:p>
            <w:pPr>
              <w:pStyle w:val="TableParagraph"/>
              <w:spacing w:before="88"/>
              <w:ind w:left="200"/>
              <w:rPr>
                <w:rFonts w:ascii="Microsoft JhengHei" w:eastAsia="Microsoft JhengHei" w:hint="eastAsia"/>
                <w:b/>
                <w:sz w:val="21"/>
              </w:rPr>
            </w:pPr>
            <w:r>
              <w:rPr>
                <w:b/>
                <w:sz w:val="21"/>
              </w:rPr>
              <w:t>46. </w:t>
            </w:r>
            <w:r>
              <w:rPr>
                <w:rFonts w:ascii="Microsoft JhengHei" w:eastAsia="Microsoft JhengHei" w:hint="eastAsia"/>
                <w:b/>
                <w:sz w:val="21"/>
              </w:rPr>
              <w:t>象皮病</w:t>
            </w:r>
          </w:p>
        </w:tc>
        <w:tc>
          <w:tcPr>
            <w:tcW w:w="7746" w:type="dxa"/>
          </w:tcPr>
          <w:p>
            <w:pPr>
              <w:pStyle w:val="TableParagraph"/>
              <w:spacing w:line="273" w:lineRule="auto" w:before="142"/>
              <w:ind w:right="304"/>
              <w:jc w:val="both"/>
              <w:rPr>
                <w:sz w:val="21"/>
              </w:rPr>
            </w:pPr>
            <w:r>
              <w:rPr>
                <w:spacing w:val="-6"/>
                <w:sz w:val="21"/>
              </w:rPr>
              <w:t>指末期丝虫病，按国际淋巴学会分级为三度淋巴液肿，其临床表现为肢体非凹陷</w:t>
            </w:r>
            <w:r>
              <w:rPr>
                <w:spacing w:val="-7"/>
                <w:sz w:val="21"/>
              </w:rPr>
              <w:t>性水肿伴畸形增大、硬皮症和疣状增生。此病症须经专科医生根据临床表现和微</w:t>
            </w:r>
            <w:r>
              <w:rPr>
                <w:spacing w:val="-3"/>
                <w:sz w:val="21"/>
              </w:rPr>
              <w:t>丝蚴的化验结果确诊。</w:t>
            </w:r>
          </w:p>
        </w:tc>
      </w:tr>
      <w:tr>
        <w:trPr>
          <w:trHeight w:val="2809" w:hRule="atLeast"/>
        </w:trPr>
        <w:tc>
          <w:tcPr>
            <w:tcW w:w="2006" w:type="dxa"/>
          </w:tcPr>
          <w:p>
            <w:pPr>
              <w:pStyle w:val="TableParagraph"/>
              <w:spacing w:before="88"/>
              <w:ind w:left="0" w:right="119"/>
              <w:jc w:val="right"/>
              <w:rPr>
                <w:rFonts w:ascii="Microsoft JhengHei" w:eastAsia="Microsoft JhengHei" w:hint="eastAsia"/>
                <w:b/>
                <w:sz w:val="21"/>
              </w:rPr>
            </w:pPr>
            <w:r>
              <w:rPr>
                <w:b/>
                <w:sz w:val="21"/>
              </w:rPr>
              <w:t>47. </w:t>
            </w:r>
            <w:r>
              <w:rPr>
                <w:rFonts w:ascii="Microsoft JhengHei" w:eastAsia="Microsoft JhengHei" w:hint="eastAsia"/>
                <w:b/>
                <w:sz w:val="21"/>
              </w:rPr>
              <w:t>肺源性心脏病</w:t>
            </w:r>
          </w:p>
        </w:tc>
        <w:tc>
          <w:tcPr>
            <w:tcW w:w="7746" w:type="dxa"/>
          </w:tcPr>
          <w:p>
            <w:pPr>
              <w:pStyle w:val="TableParagraph"/>
              <w:spacing w:before="142"/>
              <w:rPr>
                <w:sz w:val="21"/>
              </w:rPr>
            </w:pPr>
            <w:r>
              <w:rPr>
                <w:sz w:val="21"/>
              </w:rPr>
              <w:t>由呼吸专科医生或心内科专科医生确诊为肺源性心脏病。诊断必须基于右心导管</w:t>
            </w:r>
          </w:p>
          <w:p>
            <w:pPr>
              <w:pStyle w:val="TableParagraph"/>
              <w:spacing w:before="36"/>
              <w:rPr>
                <w:sz w:val="21"/>
              </w:rPr>
            </w:pPr>
            <w:r>
              <w:rPr>
                <w:sz w:val="21"/>
              </w:rPr>
              <w:t>（心血管造影）的检查结果，且必须同时满足如下诊断标准：</w:t>
            </w:r>
          </w:p>
          <w:p>
            <w:pPr>
              <w:pStyle w:val="TableParagraph"/>
              <w:spacing w:before="36"/>
              <w:rPr>
                <w:sz w:val="21"/>
              </w:rPr>
            </w:pPr>
            <w:r>
              <w:rPr>
                <w:sz w:val="21"/>
              </w:rPr>
              <w:t>（1）肺血管阻力高于 3 个伍德单位；</w:t>
            </w:r>
          </w:p>
          <w:p>
            <w:pPr>
              <w:pStyle w:val="TableParagraph"/>
              <w:spacing w:before="36"/>
              <w:rPr>
                <w:sz w:val="21"/>
              </w:rPr>
            </w:pPr>
            <w:r>
              <w:rPr>
                <w:sz w:val="21"/>
              </w:rPr>
              <w:t>（2）平均肺动脉血压不低于 40 毫米汞柱；</w:t>
            </w:r>
          </w:p>
          <w:p>
            <w:pPr>
              <w:pStyle w:val="TableParagraph"/>
              <w:spacing w:before="36"/>
              <w:rPr>
                <w:sz w:val="21"/>
              </w:rPr>
            </w:pPr>
            <w:r>
              <w:rPr>
                <w:sz w:val="21"/>
              </w:rPr>
              <w:t>（3）肺楔压不高于 15 毫米汞柱；</w:t>
            </w:r>
          </w:p>
          <w:p>
            <w:pPr>
              <w:pStyle w:val="TableParagraph"/>
              <w:spacing w:before="36"/>
              <w:rPr>
                <w:sz w:val="21"/>
              </w:rPr>
            </w:pPr>
            <w:r>
              <w:rPr>
                <w:sz w:val="21"/>
              </w:rPr>
              <w:t>（4）右心室过度肥大和扩张，出现右心衰竭和呼吸困难。</w:t>
            </w:r>
          </w:p>
          <w:p>
            <w:pPr>
              <w:pStyle w:val="TableParagraph"/>
              <w:spacing w:line="259" w:lineRule="auto" w:before="25"/>
              <w:ind w:right="311"/>
              <w:rPr>
                <w:b/>
                <w:i/>
                <w:sz w:val="22"/>
              </w:rPr>
            </w:pPr>
            <w:r>
              <w:rPr>
                <w:b/>
                <w:i/>
                <w:w w:val="95"/>
                <w:sz w:val="22"/>
              </w:rPr>
              <w:t>因左心病变或者先天性心脏病引起的右心衰竭或者肺动脉高压不在保障范围之内。</w:t>
            </w:r>
          </w:p>
        </w:tc>
      </w:tr>
      <w:tr>
        <w:trPr>
          <w:trHeight w:val="1664" w:hRule="atLeast"/>
        </w:trPr>
        <w:tc>
          <w:tcPr>
            <w:tcW w:w="2006" w:type="dxa"/>
          </w:tcPr>
          <w:p>
            <w:pPr>
              <w:pStyle w:val="TableParagraph"/>
              <w:spacing w:line="232" w:lineRule="auto" w:before="98"/>
              <w:ind w:left="619" w:right="119" w:hanging="420"/>
              <w:rPr>
                <w:rFonts w:ascii="Microsoft JhengHei" w:eastAsia="Microsoft JhengHei" w:hint="eastAsia"/>
                <w:b/>
                <w:sz w:val="21"/>
              </w:rPr>
            </w:pPr>
            <w:r>
              <w:rPr>
                <w:b/>
                <w:sz w:val="21"/>
              </w:rPr>
              <w:t>48. </w:t>
            </w:r>
            <w:r>
              <w:rPr>
                <w:rFonts w:ascii="Microsoft JhengHei" w:eastAsia="Microsoft JhengHei" w:hint="eastAsia"/>
                <w:b/>
                <w:sz w:val="21"/>
              </w:rPr>
              <w:t>原发性硬化性胆管炎</w:t>
            </w:r>
          </w:p>
        </w:tc>
        <w:tc>
          <w:tcPr>
            <w:tcW w:w="7746" w:type="dxa"/>
          </w:tcPr>
          <w:p>
            <w:pPr>
              <w:pStyle w:val="TableParagraph"/>
              <w:spacing w:line="273" w:lineRule="auto" w:before="142"/>
              <w:ind w:right="303"/>
              <w:jc w:val="both"/>
              <w:rPr>
                <w:sz w:val="21"/>
              </w:rPr>
            </w:pPr>
            <w:r>
              <w:rPr>
                <w:spacing w:val="-7"/>
                <w:sz w:val="21"/>
              </w:rPr>
              <w:t>指一种胆汁淤积综合征，其特征是肝内、肝外胆道因纤维化性炎症逐渐狭窄，并</w:t>
            </w:r>
            <w:r>
              <w:rPr>
                <w:spacing w:val="-8"/>
                <w:sz w:val="21"/>
              </w:rPr>
              <w:t>最终导致完全阻塞而发展为肝硬化。本病须经内镜逆行胰胆管造影等影像学检查</w:t>
            </w:r>
            <w:r>
              <w:rPr>
                <w:spacing w:val="-5"/>
                <w:sz w:val="21"/>
              </w:rPr>
              <w:t>证实，并须满足下列全部条件：</w:t>
            </w:r>
          </w:p>
          <w:p>
            <w:pPr>
              <w:pStyle w:val="TableParagraph"/>
              <w:spacing w:before="8"/>
              <w:jc w:val="both"/>
              <w:rPr>
                <w:sz w:val="21"/>
              </w:rPr>
            </w:pPr>
            <w:r>
              <w:rPr>
                <w:sz w:val="21"/>
              </w:rPr>
              <w:t>（1）总胆红素和直接胆红素同时升高，血清 ALP&gt;200U/L；</w:t>
            </w:r>
          </w:p>
          <w:p>
            <w:pPr>
              <w:pStyle w:val="TableParagraph"/>
              <w:spacing w:line="255" w:lineRule="exact" w:before="37"/>
              <w:jc w:val="both"/>
              <w:rPr>
                <w:sz w:val="21"/>
              </w:rPr>
            </w:pPr>
            <w:r>
              <w:rPr>
                <w:sz w:val="21"/>
              </w:rPr>
              <w:t>（2）持续性黄疸病史；</w:t>
            </w:r>
          </w:p>
        </w:tc>
      </w:tr>
    </w:tbl>
    <w:p>
      <w:pPr>
        <w:spacing w:after="0" w:line="255" w:lineRule="exact"/>
        <w:jc w:val="both"/>
        <w:rPr>
          <w:sz w:val="21"/>
        </w:rPr>
        <w:sectPr>
          <w:pgSz w:w="11910" w:h="16840"/>
          <w:pgMar w:header="0" w:footer="353"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730"/>
      </w:tblGrid>
      <w:tr>
        <w:trPr>
          <w:trHeight w:val="730" w:hRule="atLeast"/>
        </w:trPr>
        <w:tc>
          <w:tcPr>
            <w:tcW w:w="2022" w:type="dxa"/>
          </w:tcPr>
          <w:p>
            <w:pPr>
              <w:pStyle w:val="TableParagraph"/>
              <w:ind w:left="0"/>
              <w:rPr>
                <w:rFonts w:ascii="Times New Roman"/>
                <w:sz w:val="20"/>
              </w:rPr>
            </w:pPr>
          </w:p>
        </w:tc>
        <w:tc>
          <w:tcPr>
            <w:tcW w:w="7730" w:type="dxa"/>
          </w:tcPr>
          <w:p>
            <w:pPr>
              <w:pStyle w:val="TableParagraph"/>
              <w:spacing w:line="211" w:lineRule="exact"/>
              <w:ind w:left="105"/>
              <w:rPr>
                <w:sz w:val="21"/>
              </w:rPr>
            </w:pPr>
            <w:r>
              <w:rPr>
                <w:sz w:val="21"/>
              </w:rPr>
              <w:t>（3）出现胆汁性肝硬化或门脉高压。</w:t>
            </w:r>
          </w:p>
          <w:p>
            <w:pPr>
              <w:pStyle w:val="TableParagraph"/>
              <w:spacing w:before="25"/>
              <w:ind w:left="105"/>
              <w:rPr>
                <w:b/>
                <w:i/>
                <w:sz w:val="22"/>
              </w:rPr>
            </w:pPr>
            <w:r>
              <w:rPr>
                <w:b/>
                <w:i/>
                <w:w w:val="95"/>
                <w:sz w:val="22"/>
              </w:rPr>
              <w:t>因肿瘤或胆管损伤等继发性的硬化性胆管炎不在保障范围内。</w:t>
            </w:r>
          </w:p>
        </w:tc>
      </w:tr>
      <w:tr>
        <w:trPr>
          <w:trHeight w:val="2495" w:hRule="atLeast"/>
        </w:trPr>
        <w:tc>
          <w:tcPr>
            <w:tcW w:w="2022" w:type="dxa"/>
          </w:tcPr>
          <w:p>
            <w:pPr>
              <w:pStyle w:val="TableParagraph"/>
              <w:spacing w:before="87"/>
              <w:ind w:left="200"/>
              <w:rPr>
                <w:rFonts w:ascii="Microsoft JhengHei" w:eastAsia="Microsoft JhengHei" w:hint="eastAsia"/>
                <w:b/>
                <w:sz w:val="21"/>
              </w:rPr>
            </w:pPr>
            <w:r>
              <w:rPr>
                <w:b/>
                <w:sz w:val="21"/>
              </w:rPr>
              <w:t>49. </w:t>
            </w:r>
            <w:r>
              <w:rPr>
                <w:rFonts w:ascii="Microsoft JhengHei" w:eastAsia="Microsoft JhengHei" w:hint="eastAsia"/>
                <w:b/>
                <w:sz w:val="21"/>
              </w:rPr>
              <w:t>疯牛病</w:t>
            </w:r>
          </w:p>
        </w:tc>
        <w:tc>
          <w:tcPr>
            <w:tcW w:w="7730" w:type="dxa"/>
          </w:tcPr>
          <w:p>
            <w:pPr>
              <w:pStyle w:val="TableParagraph"/>
              <w:spacing w:before="142"/>
              <w:ind w:left="105"/>
              <w:rPr>
                <w:sz w:val="21"/>
              </w:rPr>
            </w:pPr>
            <w:r>
              <w:rPr>
                <w:sz w:val="21"/>
              </w:rPr>
              <w:t>神经系统疾病及致命的成胶质状脑病，并有以下症状：</w:t>
            </w:r>
          </w:p>
          <w:p>
            <w:pPr>
              <w:pStyle w:val="TableParagraph"/>
              <w:spacing w:before="37"/>
              <w:ind w:left="105"/>
              <w:rPr>
                <w:sz w:val="21"/>
              </w:rPr>
            </w:pPr>
            <w:r>
              <w:rPr>
                <w:sz w:val="21"/>
              </w:rPr>
              <w:t>（1）不能控制的肌肉痉挛及震颤；</w:t>
            </w:r>
          </w:p>
          <w:p>
            <w:pPr>
              <w:pStyle w:val="TableParagraph"/>
              <w:spacing w:before="37"/>
              <w:ind w:left="105"/>
              <w:rPr>
                <w:sz w:val="21"/>
              </w:rPr>
            </w:pPr>
            <w:r>
              <w:rPr>
                <w:sz w:val="21"/>
              </w:rPr>
              <w:t>（2）逐渐痴呆；</w:t>
            </w:r>
          </w:p>
          <w:p>
            <w:pPr>
              <w:pStyle w:val="TableParagraph"/>
              <w:spacing w:before="37"/>
              <w:ind w:left="105"/>
              <w:rPr>
                <w:sz w:val="21"/>
              </w:rPr>
            </w:pPr>
            <w:r>
              <w:rPr>
                <w:sz w:val="21"/>
              </w:rPr>
              <w:t>（3）小脑功能不良，共济失调；</w:t>
            </w:r>
          </w:p>
          <w:p>
            <w:pPr>
              <w:pStyle w:val="TableParagraph"/>
              <w:spacing w:before="37"/>
              <w:ind w:left="105"/>
              <w:rPr>
                <w:sz w:val="21"/>
              </w:rPr>
            </w:pPr>
            <w:r>
              <w:rPr>
                <w:sz w:val="21"/>
              </w:rPr>
              <w:t>（4）手足徐动症；</w:t>
            </w:r>
          </w:p>
          <w:p>
            <w:pPr>
              <w:pStyle w:val="TableParagraph"/>
              <w:spacing w:line="273" w:lineRule="auto" w:before="37"/>
              <w:ind w:left="105" w:right="303"/>
              <w:rPr>
                <w:sz w:val="21"/>
              </w:rPr>
            </w:pPr>
            <w:r>
              <w:rPr>
                <w:spacing w:val="-6"/>
                <w:sz w:val="21"/>
              </w:rPr>
              <w:t>诊断必须经神经专科医生基于以下检查报告作出：脑电图、脑脊液报告、电脑断</w:t>
            </w:r>
            <w:r>
              <w:rPr>
                <w:spacing w:val="-1"/>
                <w:sz w:val="21"/>
              </w:rPr>
              <w:t>层扫描(CT</w:t>
            </w:r>
            <w:r>
              <w:rPr>
                <w:spacing w:val="-3"/>
                <w:sz w:val="21"/>
              </w:rPr>
              <w:t>)及核磁共振(</w:t>
            </w:r>
            <w:r>
              <w:rPr>
                <w:spacing w:val="-1"/>
                <w:sz w:val="21"/>
              </w:rPr>
              <w:t>MRI)。</w:t>
            </w:r>
          </w:p>
        </w:tc>
      </w:tr>
      <w:tr>
        <w:trPr>
          <w:trHeight w:val="936" w:hRule="atLeast"/>
        </w:trPr>
        <w:tc>
          <w:tcPr>
            <w:tcW w:w="2022" w:type="dxa"/>
          </w:tcPr>
          <w:p>
            <w:pPr>
              <w:pStyle w:val="TableParagraph"/>
              <w:spacing w:before="88"/>
              <w:ind w:left="200"/>
              <w:rPr>
                <w:rFonts w:ascii="Microsoft JhengHei" w:eastAsia="Microsoft JhengHei" w:hint="eastAsia"/>
                <w:b/>
                <w:sz w:val="21"/>
              </w:rPr>
            </w:pPr>
            <w:r>
              <w:rPr>
                <w:b/>
                <w:w w:val="105"/>
                <w:sz w:val="21"/>
              </w:rPr>
              <w:t>50. </w:t>
            </w:r>
            <w:r>
              <w:rPr>
                <w:rFonts w:ascii="Microsoft JhengHei" w:eastAsia="Microsoft JhengHei" w:hint="eastAsia"/>
                <w:b/>
                <w:w w:val="105"/>
                <w:sz w:val="21"/>
              </w:rPr>
              <w:t>严重心ft炎</w:t>
            </w:r>
          </w:p>
        </w:tc>
        <w:tc>
          <w:tcPr>
            <w:tcW w:w="7730" w:type="dxa"/>
          </w:tcPr>
          <w:p>
            <w:pPr>
              <w:pStyle w:val="TableParagraph"/>
              <w:spacing w:line="273" w:lineRule="auto" w:before="142"/>
              <w:ind w:left="105" w:right="260"/>
              <w:rPr>
                <w:sz w:val="21"/>
              </w:rPr>
            </w:pPr>
            <w:r>
              <w:rPr>
                <w:sz w:val="21"/>
              </w:rPr>
              <w:t>指心肌局限性或弥漫性的急性或慢性炎症病变，导致心脏功能障碍，达到美国纽约心脏病学会心功能状态分级四级，且持续至少 90 天。</w:t>
            </w:r>
          </w:p>
        </w:tc>
      </w:tr>
      <w:tr>
        <w:trPr>
          <w:trHeight w:val="1560" w:hRule="atLeast"/>
        </w:trPr>
        <w:tc>
          <w:tcPr>
            <w:tcW w:w="2022" w:type="dxa"/>
          </w:tcPr>
          <w:p>
            <w:pPr>
              <w:pStyle w:val="TableParagraph"/>
              <w:spacing w:before="88"/>
              <w:ind w:left="200"/>
              <w:rPr>
                <w:rFonts w:ascii="Microsoft JhengHei" w:eastAsia="Microsoft JhengHei" w:hint="eastAsia"/>
                <w:b/>
                <w:sz w:val="21"/>
              </w:rPr>
            </w:pPr>
            <w:r>
              <w:rPr>
                <w:b/>
                <w:sz w:val="21"/>
              </w:rPr>
              <w:t>51. </w:t>
            </w:r>
            <w:r>
              <w:rPr>
                <w:rFonts w:ascii="Microsoft JhengHei" w:eastAsia="Microsoft JhengHei" w:hint="eastAsia"/>
                <w:b/>
                <w:sz w:val="21"/>
              </w:rPr>
              <w:t>肾髓质囊性病</w:t>
            </w:r>
          </w:p>
        </w:tc>
        <w:tc>
          <w:tcPr>
            <w:tcW w:w="7730" w:type="dxa"/>
          </w:tcPr>
          <w:p>
            <w:pPr>
              <w:pStyle w:val="TableParagraph"/>
              <w:spacing w:before="143"/>
              <w:ind w:left="105"/>
              <w:rPr>
                <w:sz w:val="21"/>
              </w:rPr>
            </w:pPr>
            <w:r>
              <w:rPr>
                <w:sz w:val="21"/>
              </w:rPr>
              <w:t>指经肾脏内科专科医生明确诊断为肾髓质囊性病，且须同时满足下列条件：</w:t>
            </w:r>
          </w:p>
          <w:p>
            <w:pPr>
              <w:pStyle w:val="TableParagraph"/>
              <w:spacing w:before="37"/>
              <w:ind w:left="105"/>
              <w:rPr>
                <w:sz w:val="21"/>
              </w:rPr>
            </w:pPr>
            <w:r>
              <w:rPr>
                <w:sz w:val="21"/>
              </w:rPr>
              <w:t>（1）肾髓质有囊肿、肾小管萎缩及间质纤维化等病理改变；</w:t>
            </w:r>
          </w:p>
          <w:p>
            <w:pPr>
              <w:pStyle w:val="TableParagraph"/>
              <w:spacing w:before="37"/>
              <w:ind w:left="105"/>
              <w:rPr>
                <w:sz w:val="21"/>
              </w:rPr>
            </w:pPr>
            <w:r>
              <w:rPr>
                <w:sz w:val="21"/>
              </w:rPr>
              <w:t>（2）贫血、多尿及肾功能衰竭等临床表现；</w:t>
            </w:r>
          </w:p>
          <w:p>
            <w:pPr>
              <w:pStyle w:val="TableParagraph"/>
              <w:spacing w:before="37"/>
              <w:ind w:left="105"/>
              <w:rPr>
                <w:sz w:val="21"/>
              </w:rPr>
            </w:pPr>
            <w:r>
              <w:rPr>
                <w:sz w:val="21"/>
              </w:rPr>
              <w:t>（3）诊断须由肾组织活检确定。</w:t>
            </w:r>
          </w:p>
        </w:tc>
      </w:tr>
      <w:tr>
        <w:trPr>
          <w:trHeight w:val="1560" w:hRule="atLeast"/>
        </w:trPr>
        <w:tc>
          <w:tcPr>
            <w:tcW w:w="2022" w:type="dxa"/>
          </w:tcPr>
          <w:p>
            <w:pPr>
              <w:pStyle w:val="TableParagraph"/>
              <w:spacing w:before="88"/>
              <w:ind w:left="200"/>
              <w:rPr>
                <w:rFonts w:ascii="Microsoft JhengHei" w:eastAsia="Microsoft JhengHei" w:hint="eastAsia"/>
                <w:b/>
                <w:sz w:val="21"/>
              </w:rPr>
            </w:pPr>
            <w:r>
              <w:rPr>
                <w:b/>
                <w:sz w:val="21"/>
              </w:rPr>
              <w:t>52. </w:t>
            </w:r>
            <w:r>
              <w:rPr>
                <w:rFonts w:ascii="Microsoft JhengHei" w:eastAsia="Microsoft JhengHei" w:hint="eastAsia"/>
                <w:b/>
                <w:sz w:val="21"/>
              </w:rPr>
              <w:t>严重冠心病</w:t>
            </w:r>
          </w:p>
        </w:tc>
        <w:tc>
          <w:tcPr>
            <w:tcW w:w="7730" w:type="dxa"/>
          </w:tcPr>
          <w:p>
            <w:pPr>
              <w:pStyle w:val="TableParagraph"/>
              <w:spacing w:line="273" w:lineRule="auto" w:before="142"/>
              <w:ind w:left="105" w:right="304"/>
              <w:jc w:val="both"/>
              <w:rPr>
                <w:sz w:val="21"/>
              </w:rPr>
            </w:pPr>
            <w:r>
              <w:rPr>
                <w:spacing w:val="-3"/>
                <w:sz w:val="21"/>
              </w:rPr>
              <w:t>指根据冠状动脉造影检查结果确诊的三支主要血管(左冠状动脉主干和右冠状动</w:t>
            </w:r>
            <w:r>
              <w:rPr>
                <w:spacing w:val="-7"/>
                <w:sz w:val="21"/>
              </w:rPr>
              <w:t>脉，或前降支、左旋支和右冠状动脉)严重狭窄性病变(至少一支血管管腔直径减</w:t>
            </w:r>
            <w:r>
              <w:rPr>
                <w:spacing w:val="-22"/>
                <w:sz w:val="21"/>
              </w:rPr>
              <w:t>少 </w:t>
            </w:r>
            <w:r>
              <w:rPr>
                <w:sz w:val="21"/>
              </w:rPr>
              <w:t>75</w:t>
            </w:r>
            <w:r>
              <w:rPr>
                <w:spacing w:val="-5"/>
                <w:sz w:val="21"/>
              </w:rPr>
              <w:t>%以上和其他两支血管管腔直径减少 </w:t>
            </w:r>
            <w:r>
              <w:rPr>
                <w:sz w:val="21"/>
              </w:rPr>
              <w:t>60</w:t>
            </w:r>
            <w:r>
              <w:rPr>
                <w:spacing w:val="-7"/>
                <w:sz w:val="21"/>
              </w:rPr>
              <w:t>%以上)。前降支、左旋支及右冠状动</w:t>
            </w:r>
            <w:r>
              <w:rPr>
                <w:spacing w:val="-5"/>
                <w:sz w:val="21"/>
              </w:rPr>
              <w:t>脉的分支血管的狭窄不作为本保障的衡量指标。</w:t>
            </w:r>
          </w:p>
        </w:tc>
      </w:tr>
      <w:tr>
        <w:trPr>
          <w:trHeight w:val="1872" w:hRule="atLeast"/>
        </w:trPr>
        <w:tc>
          <w:tcPr>
            <w:tcW w:w="2022" w:type="dxa"/>
          </w:tcPr>
          <w:p>
            <w:pPr>
              <w:pStyle w:val="TableParagraph"/>
              <w:spacing w:line="232" w:lineRule="auto" w:before="98"/>
              <w:ind w:left="619" w:right="135" w:hanging="420"/>
              <w:rPr>
                <w:rFonts w:ascii="Microsoft JhengHei" w:eastAsia="Microsoft JhengHei" w:hint="eastAsia"/>
                <w:b/>
                <w:sz w:val="21"/>
              </w:rPr>
            </w:pPr>
            <w:r>
              <w:rPr>
                <w:b/>
                <w:sz w:val="21"/>
              </w:rPr>
              <w:t>53. </w:t>
            </w:r>
            <w:r>
              <w:rPr>
                <w:rFonts w:ascii="Microsoft JhengHei" w:eastAsia="Microsoft JhengHei" w:hint="eastAsia"/>
                <w:b/>
                <w:sz w:val="21"/>
              </w:rPr>
              <w:t>严重ft营养不良症</w:t>
            </w:r>
          </w:p>
        </w:tc>
        <w:tc>
          <w:tcPr>
            <w:tcW w:w="7730" w:type="dxa"/>
          </w:tcPr>
          <w:p>
            <w:pPr>
              <w:pStyle w:val="TableParagraph"/>
              <w:spacing w:line="273" w:lineRule="auto" w:before="142"/>
              <w:ind w:left="105" w:right="303"/>
              <w:rPr>
                <w:sz w:val="21"/>
              </w:rPr>
            </w:pPr>
            <w:r>
              <w:rPr>
                <w:spacing w:val="-6"/>
                <w:sz w:val="21"/>
              </w:rPr>
              <w:t>指一组原发于肌肉的遗传性疾病，临床表现为与神经系统无关的肌肉无力和肌肉</w:t>
            </w:r>
            <w:r>
              <w:rPr>
                <w:spacing w:val="-4"/>
                <w:sz w:val="21"/>
              </w:rPr>
              <w:t>萎缩。且须满足下列全部条件：</w:t>
            </w:r>
          </w:p>
          <w:p>
            <w:pPr>
              <w:pStyle w:val="TableParagraph"/>
              <w:spacing w:before="7"/>
              <w:ind w:left="105"/>
              <w:rPr>
                <w:sz w:val="21"/>
              </w:rPr>
            </w:pPr>
            <w:r>
              <w:rPr>
                <w:sz w:val="21"/>
              </w:rPr>
              <w:t>（1）肌肉组织活检结果满足肌营养不良症的肌肉细胞变性、坏死等阳性改变；</w:t>
            </w:r>
          </w:p>
          <w:p>
            <w:pPr>
              <w:pStyle w:val="TableParagraph"/>
              <w:spacing w:line="273" w:lineRule="auto" w:before="36"/>
              <w:ind w:left="631" w:right="373" w:hanging="527"/>
              <w:rPr>
                <w:sz w:val="21"/>
              </w:rPr>
            </w:pPr>
            <w:r>
              <w:rPr>
                <w:sz w:val="21"/>
              </w:rPr>
              <w:t>（2）自主生活能力完全丧失，无法独立完成六项基本日常生活活动中的三项或三项以上。</w:t>
            </w:r>
          </w:p>
        </w:tc>
      </w:tr>
      <w:tr>
        <w:trPr>
          <w:trHeight w:val="1248" w:hRule="atLeast"/>
        </w:trPr>
        <w:tc>
          <w:tcPr>
            <w:tcW w:w="2022" w:type="dxa"/>
          </w:tcPr>
          <w:p>
            <w:pPr>
              <w:pStyle w:val="TableParagraph"/>
              <w:spacing w:line="232" w:lineRule="auto" w:before="98"/>
              <w:ind w:left="619" w:right="135" w:hanging="420"/>
              <w:rPr>
                <w:rFonts w:ascii="Microsoft JhengHei" w:eastAsia="Microsoft JhengHei" w:hint="eastAsia"/>
                <w:b/>
                <w:sz w:val="21"/>
              </w:rPr>
            </w:pPr>
            <w:r>
              <w:rPr>
                <w:b/>
                <w:sz w:val="21"/>
              </w:rPr>
              <w:t>54. </w:t>
            </w:r>
            <w:r>
              <w:rPr>
                <w:rFonts w:ascii="Microsoft JhengHei" w:eastAsia="Microsoft JhengHei" w:hint="eastAsia"/>
                <w:b/>
                <w:sz w:val="21"/>
              </w:rPr>
              <w:t>慢性复发性胰腺炎</w:t>
            </w:r>
          </w:p>
        </w:tc>
        <w:tc>
          <w:tcPr>
            <w:tcW w:w="7730" w:type="dxa"/>
          </w:tcPr>
          <w:p>
            <w:pPr>
              <w:pStyle w:val="TableParagraph"/>
              <w:spacing w:line="266" w:lineRule="auto" w:before="142"/>
              <w:ind w:left="105" w:right="303"/>
              <w:rPr>
                <w:b/>
                <w:i/>
                <w:sz w:val="22"/>
              </w:rPr>
            </w:pPr>
            <w:r>
              <w:rPr>
                <w:spacing w:val="-5"/>
                <w:sz w:val="21"/>
              </w:rPr>
              <w:t>胰腺炎反复发作超过三次以上并导致胰腺功能紊乱和营养不良，需要接受酶替代</w:t>
            </w:r>
            <w:r>
              <w:rPr>
                <w:spacing w:val="-4"/>
                <w:sz w:val="21"/>
              </w:rPr>
              <w:t>治疗。诊断必须有消化科专科医生确认并且有内窥镜逆行胰胆管造影所证实。 </w:t>
            </w:r>
            <w:r>
              <w:rPr>
                <w:b/>
                <w:i/>
                <w:spacing w:val="-4"/>
                <w:w w:val="95"/>
                <w:sz w:val="22"/>
              </w:rPr>
              <w:t>因酒精所致的慢性复发性胰腺炎除外。</w:t>
            </w:r>
          </w:p>
        </w:tc>
      </w:tr>
      <w:tr>
        <w:trPr>
          <w:trHeight w:val="1871" w:hRule="atLeast"/>
        </w:trPr>
        <w:tc>
          <w:tcPr>
            <w:tcW w:w="2022" w:type="dxa"/>
          </w:tcPr>
          <w:p>
            <w:pPr>
              <w:pStyle w:val="TableParagraph"/>
              <w:spacing w:line="232" w:lineRule="auto" w:before="98"/>
              <w:ind w:left="619" w:right="135" w:hanging="420"/>
              <w:rPr>
                <w:rFonts w:ascii="Microsoft JhengHei" w:eastAsia="Microsoft JhengHei" w:hint="eastAsia"/>
                <w:b/>
                <w:sz w:val="21"/>
              </w:rPr>
            </w:pPr>
            <w:r>
              <w:rPr>
                <w:b/>
                <w:sz w:val="21"/>
              </w:rPr>
              <w:t>55. </w:t>
            </w:r>
            <w:r>
              <w:rPr>
                <w:rFonts w:ascii="Microsoft JhengHei" w:eastAsia="Microsoft JhengHei" w:hint="eastAsia"/>
                <w:b/>
                <w:sz w:val="21"/>
              </w:rPr>
              <w:t>进行性核上性麻痹</w:t>
            </w:r>
          </w:p>
        </w:tc>
        <w:tc>
          <w:tcPr>
            <w:tcW w:w="7730" w:type="dxa"/>
          </w:tcPr>
          <w:p>
            <w:pPr>
              <w:pStyle w:val="TableParagraph"/>
              <w:spacing w:line="273" w:lineRule="auto" w:before="142"/>
              <w:ind w:left="105" w:right="303"/>
              <w:rPr>
                <w:sz w:val="21"/>
              </w:rPr>
            </w:pPr>
            <w:r>
              <w:rPr>
                <w:spacing w:val="-3"/>
                <w:sz w:val="21"/>
              </w:rPr>
              <w:t>进行性核上性麻痹</w:t>
            </w:r>
            <w:r>
              <w:rPr>
                <w:sz w:val="21"/>
              </w:rPr>
              <w:t>（PSP）</w:t>
            </w:r>
            <w:r>
              <w:rPr>
                <w:spacing w:val="-17"/>
                <w:sz w:val="21"/>
              </w:rPr>
              <w:t>又称 </w:t>
            </w:r>
            <w:r>
              <w:rPr>
                <w:sz w:val="21"/>
              </w:rPr>
              <w:t>Steele-Rchardson—Olszewski</w:t>
            </w:r>
            <w:r>
              <w:rPr>
                <w:spacing w:val="-9"/>
                <w:sz w:val="21"/>
              </w:rPr>
              <w:t> 综合征，是一种</w:t>
            </w:r>
            <w:r>
              <w:rPr>
                <w:spacing w:val="-8"/>
                <w:sz w:val="21"/>
              </w:rPr>
              <w:t>少见的神经系统变性疾病，以假球麻痹、垂直性核上性眼肌麻痹、锥体外系肌僵</w:t>
            </w:r>
            <w:r>
              <w:rPr>
                <w:spacing w:val="-5"/>
                <w:sz w:val="21"/>
              </w:rPr>
              <w:t>直、步态共济失调和轻度痴呆为主要临床特征。</w:t>
            </w:r>
            <w:r>
              <w:rPr>
                <w:sz w:val="21"/>
              </w:rPr>
              <w:t>PSP</w:t>
            </w:r>
            <w:r>
              <w:rPr>
                <w:spacing w:val="-7"/>
                <w:sz w:val="21"/>
              </w:rPr>
              <w:t> 必须由三级甲等医院的神经</w:t>
            </w:r>
            <w:r>
              <w:rPr>
                <w:spacing w:val="-8"/>
                <w:sz w:val="21"/>
              </w:rPr>
              <w:t>内科专科医生确诊，并且被保险人自主生活能力完全丧失，无法独立完成六项基</w:t>
            </w:r>
            <w:r>
              <w:rPr>
                <w:spacing w:val="-5"/>
                <w:sz w:val="21"/>
              </w:rPr>
              <w:t>本日常生活活动中的三项或三项以上。</w:t>
            </w:r>
          </w:p>
        </w:tc>
      </w:tr>
      <w:tr>
        <w:trPr>
          <w:trHeight w:val="936" w:hRule="atLeast"/>
        </w:trPr>
        <w:tc>
          <w:tcPr>
            <w:tcW w:w="2022" w:type="dxa"/>
          </w:tcPr>
          <w:p>
            <w:pPr>
              <w:pStyle w:val="TableParagraph"/>
              <w:spacing w:before="88"/>
              <w:ind w:left="200"/>
              <w:rPr>
                <w:rFonts w:ascii="Microsoft JhengHei" w:eastAsia="Microsoft JhengHei" w:hint="eastAsia"/>
                <w:b/>
                <w:sz w:val="21"/>
              </w:rPr>
            </w:pPr>
            <w:r>
              <w:rPr>
                <w:b/>
                <w:sz w:val="21"/>
              </w:rPr>
              <w:t>56. </w:t>
            </w:r>
            <w:r>
              <w:rPr>
                <w:rFonts w:ascii="Microsoft JhengHei" w:eastAsia="Microsoft JhengHei" w:hint="eastAsia"/>
                <w:b/>
                <w:sz w:val="21"/>
              </w:rPr>
              <w:t>胰腺移植</w:t>
            </w:r>
          </w:p>
        </w:tc>
        <w:tc>
          <w:tcPr>
            <w:tcW w:w="7730" w:type="dxa"/>
          </w:tcPr>
          <w:p>
            <w:pPr>
              <w:pStyle w:val="TableParagraph"/>
              <w:spacing w:before="142"/>
              <w:ind w:left="105"/>
              <w:rPr>
                <w:sz w:val="21"/>
              </w:rPr>
            </w:pPr>
            <w:r>
              <w:rPr>
                <w:sz w:val="21"/>
              </w:rPr>
              <w:t>指因胰腺功能衰竭，已经实施了在全身麻醉下进行的胰腺的异体器官移植手术。</w:t>
            </w:r>
          </w:p>
          <w:p>
            <w:pPr>
              <w:pStyle w:val="TableParagraph"/>
              <w:spacing w:before="25"/>
              <w:ind w:left="105"/>
              <w:rPr>
                <w:b/>
                <w:i/>
                <w:sz w:val="22"/>
              </w:rPr>
            </w:pPr>
            <w:r>
              <w:rPr>
                <w:b/>
                <w:i/>
                <w:w w:val="95"/>
                <w:sz w:val="22"/>
              </w:rPr>
              <w:t>单纯胰岛移植、部分胰腺组织或细胞的移植不再本保障范围内。</w:t>
            </w:r>
          </w:p>
        </w:tc>
      </w:tr>
      <w:tr>
        <w:trPr>
          <w:trHeight w:val="1159" w:hRule="atLeast"/>
        </w:trPr>
        <w:tc>
          <w:tcPr>
            <w:tcW w:w="2022" w:type="dxa"/>
          </w:tcPr>
          <w:p>
            <w:pPr>
              <w:pStyle w:val="TableParagraph"/>
              <w:spacing w:line="232" w:lineRule="auto" w:before="98"/>
              <w:ind w:left="619" w:right="104" w:hanging="420"/>
              <w:rPr>
                <w:rFonts w:ascii="Microsoft JhengHei" w:eastAsia="Microsoft JhengHei" w:hint="eastAsia"/>
                <w:b/>
                <w:sz w:val="21"/>
              </w:rPr>
            </w:pPr>
            <w:r>
              <w:rPr>
                <w:b/>
                <w:sz w:val="21"/>
              </w:rPr>
              <w:t>57. </w:t>
            </w:r>
            <w:r>
              <w:rPr>
                <w:rFonts w:ascii="Microsoft JhengHei" w:eastAsia="Microsoft JhengHei" w:hint="eastAsia"/>
                <w:b/>
                <w:spacing w:val="-1"/>
                <w:sz w:val="21"/>
              </w:rPr>
              <w:t>严重瑞氏综合</w:t>
            </w:r>
            <w:r>
              <w:rPr>
                <w:rFonts w:ascii="Microsoft JhengHei" w:eastAsia="Microsoft JhengHei" w:hint="eastAsia"/>
                <w:b/>
                <w:spacing w:val="-51"/>
                <w:w w:val="95"/>
                <w:sz w:val="21"/>
              </w:rPr>
              <w:t>症</w:t>
            </w:r>
            <w:r>
              <w:rPr>
                <w:rFonts w:ascii="Microsoft JhengHei" w:eastAsia="Microsoft JhengHei" w:hint="eastAsia"/>
                <w:b/>
                <w:w w:val="95"/>
                <w:sz w:val="21"/>
              </w:rPr>
              <w:t>（Reye</w:t>
            </w:r>
            <w:r>
              <w:rPr>
                <w:rFonts w:ascii="Microsoft JhengHei" w:eastAsia="Microsoft JhengHei" w:hint="eastAsia"/>
                <w:b/>
                <w:spacing w:val="-6"/>
                <w:w w:val="95"/>
                <w:sz w:val="21"/>
              </w:rPr>
              <w:t> 综 合</w:t>
            </w:r>
          </w:p>
          <w:p>
            <w:pPr>
              <w:pStyle w:val="TableParagraph"/>
              <w:spacing w:line="334" w:lineRule="exact"/>
              <w:ind w:left="619"/>
              <w:rPr>
                <w:rFonts w:ascii="Microsoft JhengHei" w:eastAsia="Microsoft JhengHei" w:hint="eastAsia"/>
                <w:b/>
                <w:sz w:val="21"/>
              </w:rPr>
            </w:pPr>
            <w:r>
              <w:rPr>
                <w:rFonts w:ascii="Microsoft JhengHei" w:eastAsia="Microsoft JhengHei" w:hint="eastAsia"/>
                <w:b/>
                <w:sz w:val="21"/>
              </w:rPr>
              <w:t>征，也称赖氏</w:t>
            </w:r>
          </w:p>
        </w:tc>
        <w:tc>
          <w:tcPr>
            <w:tcW w:w="7730" w:type="dxa"/>
          </w:tcPr>
          <w:p>
            <w:pPr>
              <w:pStyle w:val="TableParagraph"/>
              <w:spacing w:line="273" w:lineRule="auto" w:before="142"/>
              <w:ind w:left="105" w:right="198"/>
              <w:jc w:val="both"/>
              <w:rPr>
                <w:sz w:val="21"/>
              </w:rPr>
            </w:pPr>
            <w:r>
              <w:rPr>
                <w:spacing w:val="-6"/>
                <w:sz w:val="21"/>
              </w:rPr>
              <w:t>瑞氏综合征是线粒体功能障碍性疾病。导致脂肪代谢障碍，引起短链脂肪酸、血</w:t>
            </w:r>
            <w:r>
              <w:rPr>
                <w:spacing w:val="-9"/>
                <w:sz w:val="21"/>
              </w:rPr>
              <w:t>氨升高，造成脑水肿。主要临床表现为急性发热、反复呕吐、惊厥及意识障碍等</w:t>
            </w:r>
            <w:r>
              <w:rPr>
                <w:spacing w:val="-15"/>
                <w:sz w:val="21"/>
              </w:rPr>
              <w:t>等。肝脏活检是确诊的重要手段。瑞氏综合征需由三级医院的儿科专科医生确诊，</w:t>
            </w:r>
          </w:p>
        </w:tc>
      </w:tr>
    </w:tbl>
    <w:p>
      <w:pPr>
        <w:spacing w:after="0" w:line="273" w:lineRule="auto"/>
        <w:jc w:val="both"/>
        <w:rPr>
          <w:sz w:val="21"/>
        </w:rPr>
        <w:sectPr>
          <w:pgSz w:w="11910" w:h="16840"/>
          <w:pgMar w:header="0" w:footer="353"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0"/>
        <w:gridCol w:w="7626"/>
      </w:tblGrid>
      <w:tr>
        <w:trPr>
          <w:trHeight w:val="1353" w:hRule="atLeast"/>
        </w:trPr>
        <w:tc>
          <w:tcPr>
            <w:tcW w:w="2020" w:type="dxa"/>
          </w:tcPr>
          <w:p>
            <w:pPr>
              <w:pStyle w:val="TableParagraph"/>
              <w:spacing w:line="237" w:lineRule="exact"/>
              <w:ind w:left="619"/>
              <w:rPr>
                <w:rFonts w:ascii="Microsoft JhengHei" w:eastAsia="Microsoft JhengHei" w:hint="eastAsia"/>
                <w:b/>
                <w:sz w:val="21"/>
              </w:rPr>
            </w:pPr>
            <w:r>
              <w:rPr>
                <w:rFonts w:ascii="Microsoft JhengHei" w:eastAsia="Microsoft JhengHei" w:hint="eastAsia"/>
                <w:b/>
                <w:sz w:val="21"/>
              </w:rPr>
              <w:t>综合征、雷氏</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综合征）</w:t>
            </w:r>
          </w:p>
        </w:tc>
        <w:tc>
          <w:tcPr>
            <w:tcW w:w="7626" w:type="dxa"/>
          </w:tcPr>
          <w:p>
            <w:pPr>
              <w:pStyle w:val="TableParagraph"/>
              <w:spacing w:line="211" w:lineRule="exact"/>
              <w:ind w:left="107"/>
              <w:rPr>
                <w:sz w:val="21"/>
              </w:rPr>
            </w:pPr>
            <w:r>
              <w:rPr>
                <w:sz w:val="21"/>
              </w:rPr>
              <w:t>并符合下列所有条件：</w:t>
            </w:r>
          </w:p>
          <w:p>
            <w:pPr>
              <w:pStyle w:val="TableParagraph"/>
              <w:spacing w:before="37"/>
              <w:ind w:left="107"/>
              <w:rPr>
                <w:sz w:val="21"/>
              </w:rPr>
            </w:pPr>
            <w:r>
              <w:rPr>
                <w:sz w:val="21"/>
              </w:rPr>
              <w:t>（1）有脑水肿和颅内压升高的脑脊液检查和影像学检查证据；</w:t>
            </w:r>
          </w:p>
          <w:p>
            <w:pPr>
              <w:pStyle w:val="TableParagraph"/>
              <w:spacing w:before="37"/>
              <w:ind w:left="107"/>
              <w:rPr>
                <w:sz w:val="21"/>
              </w:rPr>
            </w:pPr>
            <w:r>
              <w:rPr>
                <w:sz w:val="21"/>
              </w:rPr>
              <w:t>（2）血氨超过正常值的 3 倍；</w:t>
            </w:r>
          </w:p>
          <w:p>
            <w:pPr>
              <w:pStyle w:val="TableParagraph"/>
              <w:spacing w:before="36"/>
              <w:ind w:left="107"/>
              <w:rPr>
                <w:sz w:val="21"/>
              </w:rPr>
            </w:pPr>
            <w:r>
              <w:rPr>
                <w:sz w:val="21"/>
              </w:rPr>
              <w:t>（3）临床出现昏迷，病程至少达到疾病分期第 3 期。</w:t>
            </w:r>
          </w:p>
        </w:tc>
      </w:tr>
      <w:tr>
        <w:trPr>
          <w:trHeight w:val="2808" w:hRule="atLeast"/>
        </w:trPr>
        <w:tc>
          <w:tcPr>
            <w:tcW w:w="2020" w:type="dxa"/>
          </w:tcPr>
          <w:p>
            <w:pPr>
              <w:pStyle w:val="TableParagraph"/>
              <w:spacing w:line="232" w:lineRule="auto" w:before="98"/>
              <w:ind w:left="619" w:right="133" w:hanging="420"/>
              <w:rPr>
                <w:rFonts w:ascii="Microsoft JhengHei" w:eastAsia="Microsoft JhengHei" w:hint="eastAsia"/>
                <w:b/>
                <w:sz w:val="21"/>
              </w:rPr>
            </w:pPr>
            <w:r>
              <w:rPr>
                <w:b/>
                <w:sz w:val="21"/>
              </w:rPr>
              <w:t>58. </w:t>
            </w:r>
            <w:r>
              <w:rPr>
                <w:rFonts w:ascii="Microsoft JhengHei" w:eastAsia="Microsoft JhengHei" w:hint="eastAsia"/>
                <w:b/>
                <w:sz w:val="21"/>
              </w:rPr>
              <w:t>严重自身免疫性肝炎</w:t>
            </w:r>
          </w:p>
        </w:tc>
        <w:tc>
          <w:tcPr>
            <w:tcW w:w="7626" w:type="dxa"/>
          </w:tcPr>
          <w:p>
            <w:pPr>
              <w:pStyle w:val="TableParagraph"/>
              <w:spacing w:line="273" w:lineRule="auto" w:before="142"/>
              <w:ind w:left="107" w:right="197"/>
              <w:jc w:val="both"/>
              <w:rPr>
                <w:sz w:val="21"/>
              </w:rPr>
            </w:pPr>
            <w:r>
              <w:rPr>
                <w:spacing w:val="-5"/>
                <w:sz w:val="21"/>
              </w:rPr>
              <w:t>自身免疫性肝炎是一种原因不明的慢性肝脏的坏死性炎性疾病，机体免疫机制被</w:t>
            </w:r>
            <w:r>
              <w:rPr>
                <w:spacing w:val="-8"/>
                <w:sz w:val="21"/>
              </w:rPr>
              <w:t>破坏，产生针对肝脏自身抗原的抗体导致自身免疫反应，从而破坏肝细胞造成肝</w:t>
            </w:r>
            <w:r>
              <w:rPr>
                <w:spacing w:val="-5"/>
                <w:sz w:val="21"/>
              </w:rPr>
              <w:t>脏炎症坏死，进而发展为肝硬化。必须满足所有以下条件：</w:t>
            </w:r>
          </w:p>
          <w:p>
            <w:pPr>
              <w:pStyle w:val="TableParagraph"/>
              <w:spacing w:before="7"/>
              <w:ind w:left="107"/>
              <w:rPr>
                <w:sz w:val="21"/>
              </w:rPr>
            </w:pPr>
            <w:r>
              <w:rPr>
                <w:sz w:val="21"/>
              </w:rPr>
              <w:t>（1）高γ球蛋白血症；</w:t>
            </w:r>
          </w:p>
          <w:p>
            <w:pPr>
              <w:pStyle w:val="TableParagraph"/>
              <w:spacing w:line="273" w:lineRule="auto" w:before="37"/>
              <w:ind w:left="633" w:right="199" w:hanging="527"/>
              <w:rPr>
                <w:sz w:val="21"/>
              </w:rPr>
            </w:pPr>
            <w:r>
              <w:rPr>
                <w:spacing w:val="-7"/>
                <w:sz w:val="21"/>
              </w:rPr>
              <w:t>（2）</w:t>
            </w:r>
            <w:r>
              <w:rPr>
                <w:spacing w:val="-5"/>
                <w:sz w:val="21"/>
              </w:rPr>
              <w:t>血液中存在高水平的自身免疫抗体，如 </w:t>
            </w:r>
            <w:r>
              <w:rPr>
                <w:spacing w:val="-6"/>
                <w:sz w:val="21"/>
              </w:rPr>
              <w:t>ANA（</w:t>
            </w:r>
            <w:r>
              <w:rPr>
                <w:spacing w:val="-3"/>
                <w:sz w:val="21"/>
              </w:rPr>
              <w:t>抗核抗体</w:t>
            </w:r>
            <w:r>
              <w:rPr>
                <w:spacing w:val="-108"/>
                <w:sz w:val="21"/>
              </w:rPr>
              <w:t>）</w:t>
            </w:r>
            <w:r>
              <w:rPr>
                <w:spacing w:val="-17"/>
                <w:sz w:val="21"/>
              </w:rPr>
              <w:t>、</w:t>
            </w:r>
            <w:r>
              <w:rPr>
                <w:spacing w:val="-6"/>
                <w:sz w:val="21"/>
              </w:rPr>
              <w:t>SMA（</w:t>
            </w:r>
            <w:r>
              <w:rPr>
                <w:spacing w:val="-3"/>
                <w:sz w:val="21"/>
              </w:rPr>
              <w:t>抗平滑肌抗体</w:t>
            </w:r>
            <w:r>
              <w:rPr>
                <w:spacing w:val="-106"/>
                <w:sz w:val="21"/>
              </w:rPr>
              <w:t>）</w:t>
            </w:r>
            <w:r>
              <w:rPr>
                <w:spacing w:val="-18"/>
                <w:sz w:val="21"/>
              </w:rPr>
              <w:t>、抗 </w:t>
            </w:r>
            <w:r>
              <w:rPr>
                <w:sz w:val="21"/>
              </w:rPr>
              <w:t>LKM1</w:t>
            </w:r>
            <w:r>
              <w:rPr>
                <w:spacing w:val="-10"/>
                <w:sz w:val="21"/>
              </w:rPr>
              <w:t> 抗体或抗-</w:t>
            </w:r>
            <w:r>
              <w:rPr>
                <w:sz w:val="21"/>
              </w:rPr>
              <w:t>SLA/LP</w:t>
            </w:r>
            <w:r>
              <w:rPr>
                <w:spacing w:val="-15"/>
                <w:sz w:val="21"/>
              </w:rPr>
              <w:t> 抗体；</w:t>
            </w:r>
          </w:p>
          <w:p>
            <w:pPr>
              <w:pStyle w:val="TableParagraph"/>
              <w:spacing w:before="7"/>
              <w:ind w:left="107"/>
              <w:jc w:val="both"/>
              <w:rPr>
                <w:sz w:val="21"/>
              </w:rPr>
            </w:pPr>
            <w:r>
              <w:rPr>
                <w:sz w:val="21"/>
              </w:rPr>
              <w:t>（3）肝脏活检证实免疫性肝炎；</w:t>
            </w:r>
          </w:p>
          <w:p>
            <w:pPr>
              <w:pStyle w:val="TableParagraph"/>
              <w:spacing w:before="36"/>
              <w:ind w:left="107"/>
              <w:jc w:val="both"/>
              <w:rPr>
                <w:sz w:val="21"/>
              </w:rPr>
            </w:pPr>
            <w:r>
              <w:rPr>
                <w:sz w:val="21"/>
              </w:rPr>
              <w:t>（4）临床已经出现腹水、食道静脉曲张和脾肿大等肝硬化表现。</w:t>
            </w:r>
          </w:p>
        </w:tc>
      </w:tr>
      <w:tr>
        <w:trPr>
          <w:trHeight w:val="4056" w:hRule="atLeast"/>
        </w:trPr>
        <w:tc>
          <w:tcPr>
            <w:tcW w:w="2020" w:type="dxa"/>
          </w:tcPr>
          <w:p>
            <w:pPr>
              <w:pStyle w:val="TableParagraph"/>
              <w:spacing w:line="232" w:lineRule="auto" w:before="99"/>
              <w:ind w:left="619" w:right="133" w:hanging="420"/>
              <w:jc w:val="both"/>
              <w:rPr>
                <w:rFonts w:ascii="Microsoft JhengHei" w:eastAsia="Microsoft JhengHei" w:hint="eastAsia"/>
                <w:b/>
                <w:sz w:val="21"/>
              </w:rPr>
            </w:pPr>
            <w:r>
              <w:rPr>
                <w:b/>
                <w:sz w:val="21"/>
              </w:rPr>
              <w:t>59.</w:t>
            </w:r>
            <w:r>
              <w:rPr>
                <w:b/>
                <w:spacing w:val="52"/>
                <w:sz w:val="21"/>
              </w:rPr>
              <w:t> </w:t>
            </w:r>
            <w:r>
              <w:rPr>
                <w:rFonts w:ascii="Microsoft JhengHei" w:eastAsia="Microsoft JhengHei" w:hint="eastAsia"/>
                <w:b/>
                <w:sz w:val="21"/>
              </w:rPr>
              <w:t>ft</w:t>
            </w:r>
            <w:r>
              <w:rPr>
                <w:rFonts w:ascii="Microsoft JhengHei" w:eastAsia="Microsoft JhengHei" w:hint="eastAsia"/>
                <w:b/>
                <w:spacing w:val="-2"/>
                <w:sz w:val="21"/>
              </w:rPr>
              <w:t>萎缩性</w:t>
            </w:r>
            <w:r>
              <w:rPr>
                <w:rFonts w:ascii="Microsoft JhengHei" w:eastAsia="Microsoft JhengHei" w:hint="eastAsia"/>
                <w:b/>
                <w:sz w:val="21"/>
              </w:rPr>
              <w:t>（脊髓）</w:t>
            </w:r>
            <w:r>
              <w:rPr>
                <w:rFonts w:ascii="Microsoft JhengHei" w:eastAsia="Microsoft JhengHei" w:hint="eastAsia"/>
                <w:b/>
                <w:spacing w:val="-2"/>
                <w:sz w:val="21"/>
              </w:rPr>
              <w:t>侧索硬化症</w:t>
            </w:r>
          </w:p>
        </w:tc>
        <w:tc>
          <w:tcPr>
            <w:tcW w:w="7626" w:type="dxa"/>
          </w:tcPr>
          <w:p>
            <w:pPr>
              <w:pStyle w:val="TableParagraph"/>
              <w:spacing w:line="273" w:lineRule="auto" w:before="143"/>
              <w:ind w:left="107" w:right="198"/>
              <w:jc w:val="both"/>
              <w:rPr>
                <w:sz w:val="21"/>
              </w:rPr>
            </w:pPr>
            <w:r>
              <w:rPr>
                <w:spacing w:val="-6"/>
                <w:sz w:val="21"/>
              </w:rPr>
              <w:t>是指持续的神经变性累及脊髓神经及脑干运动神经元，出现肌肉无力、挛缩、肌</w:t>
            </w:r>
            <w:r>
              <w:rPr>
                <w:spacing w:val="-7"/>
                <w:sz w:val="21"/>
              </w:rPr>
              <w:t>束颤动及萎缩症状和体征。须经神经专科医师做出明确诊断，且疾病进行性发展</w:t>
            </w:r>
            <w:r>
              <w:rPr>
                <w:spacing w:val="-5"/>
                <w:sz w:val="21"/>
              </w:rPr>
              <w:t>已导致不可逆转的永久性神经系统功能障碍。</w:t>
            </w:r>
          </w:p>
          <w:p>
            <w:pPr>
              <w:pStyle w:val="TableParagraph"/>
              <w:spacing w:before="8"/>
              <w:ind w:left="107"/>
              <w:jc w:val="both"/>
              <w:rPr>
                <w:sz w:val="21"/>
              </w:rPr>
            </w:pPr>
            <w:r>
              <w:rPr>
                <w:sz w:val="21"/>
              </w:rPr>
              <w:t>永久性神经系统功能障碍是指以下六项条件中的一项或一项以上：</w:t>
            </w:r>
          </w:p>
          <w:p>
            <w:pPr>
              <w:pStyle w:val="TableParagraph"/>
              <w:spacing w:before="37"/>
              <w:ind w:left="107"/>
              <w:jc w:val="both"/>
              <w:rPr>
                <w:sz w:val="21"/>
              </w:rPr>
            </w:pPr>
            <w:r>
              <w:rPr>
                <w:sz w:val="21"/>
              </w:rPr>
              <w:t>（1）一上肢或双上肢手腕以上部分的完全及永久瘫痪；</w:t>
            </w:r>
          </w:p>
          <w:p>
            <w:pPr>
              <w:pStyle w:val="TableParagraph"/>
              <w:spacing w:before="37"/>
              <w:ind w:left="107"/>
              <w:jc w:val="both"/>
              <w:rPr>
                <w:sz w:val="21"/>
              </w:rPr>
            </w:pPr>
            <w:r>
              <w:rPr>
                <w:sz w:val="21"/>
              </w:rPr>
              <w:t>（2）一下肢或双下肢足踝以上部分的完全及永久瘫痪；</w:t>
            </w:r>
          </w:p>
          <w:p>
            <w:pPr>
              <w:pStyle w:val="TableParagraph"/>
              <w:spacing w:before="37"/>
              <w:ind w:left="107"/>
              <w:jc w:val="both"/>
              <w:rPr>
                <w:sz w:val="21"/>
              </w:rPr>
            </w:pPr>
            <w:r>
              <w:rPr>
                <w:sz w:val="21"/>
              </w:rPr>
              <w:t>（3）四肢机能完全及永久丧失；</w:t>
            </w:r>
          </w:p>
          <w:p>
            <w:pPr>
              <w:pStyle w:val="TableParagraph"/>
              <w:spacing w:before="37"/>
              <w:ind w:left="107"/>
              <w:jc w:val="both"/>
              <w:rPr>
                <w:sz w:val="21"/>
              </w:rPr>
            </w:pPr>
            <w:r>
              <w:rPr>
                <w:sz w:val="21"/>
              </w:rPr>
              <w:t>（4）完全及永久丧失语言能力；</w:t>
            </w:r>
          </w:p>
          <w:p>
            <w:pPr>
              <w:pStyle w:val="TableParagraph"/>
              <w:spacing w:before="37"/>
              <w:ind w:left="107"/>
              <w:jc w:val="both"/>
              <w:rPr>
                <w:sz w:val="21"/>
              </w:rPr>
            </w:pPr>
            <w:r>
              <w:rPr>
                <w:w w:val="100"/>
                <w:sz w:val="21"/>
              </w:rPr>
              <w:t>（5</w:t>
            </w:r>
            <w:r>
              <w:rPr>
                <w:spacing w:val="-3"/>
                <w:w w:val="100"/>
                <w:sz w:val="21"/>
              </w:rPr>
              <w:t>）完全及永久丧失吞咽能力（吞咽困难</w:t>
            </w:r>
            <w:r>
              <w:rPr>
                <w:spacing w:val="-106"/>
                <w:w w:val="100"/>
                <w:sz w:val="21"/>
              </w:rPr>
              <w:t>）</w:t>
            </w:r>
            <w:r>
              <w:rPr>
                <w:spacing w:val="-3"/>
                <w:w w:val="100"/>
                <w:sz w:val="21"/>
              </w:rPr>
              <w:t>，必须永久使用喂饲管；</w:t>
            </w:r>
          </w:p>
          <w:p>
            <w:pPr>
              <w:pStyle w:val="TableParagraph"/>
              <w:spacing w:line="273" w:lineRule="auto" w:before="37"/>
              <w:ind w:left="633" w:right="264" w:hanging="527"/>
              <w:jc w:val="both"/>
              <w:rPr>
                <w:sz w:val="21"/>
              </w:rPr>
            </w:pPr>
            <w:r>
              <w:rPr>
                <w:sz w:val="21"/>
              </w:rPr>
              <w:t>（6）无法独立进行六项日常生活活动即穿衣、移动、行动、卫生、进食、洗澡中三项或三项以上，且上述日常生活活动经过三个月的持续治疗后仍无法完成。</w:t>
            </w:r>
          </w:p>
        </w:tc>
      </w:tr>
      <w:tr>
        <w:trPr>
          <w:trHeight w:val="2808" w:hRule="atLeast"/>
        </w:trPr>
        <w:tc>
          <w:tcPr>
            <w:tcW w:w="2020" w:type="dxa"/>
          </w:tcPr>
          <w:p>
            <w:pPr>
              <w:pStyle w:val="TableParagraph"/>
              <w:spacing w:line="359" w:lineRule="exact" w:before="88"/>
              <w:ind w:left="200"/>
              <w:rPr>
                <w:rFonts w:ascii="Microsoft JhengHei" w:eastAsia="Microsoft JhengHei" w:hint="eastAsia"/>
                <w:b/>
                <w:sz w:val="21"/>
              </w:rPr>
            </w:pPr>
            <w:r>
              <w:rPr>
                <w:b/>
                <w:sz w:val="21"/>
              </w:rPr>
              <w:t>60. </w:t>
            </w:r>
            <w:r>
              <w:rPr>
                <w:rFonts w:ascii="Microsoft JhengHei" w:eastAsia="Microsoft JhengHei" w:hint="eastAsia"/>
                <w:b/>
                <w:sz w:val="21"/>
              </w:rPr>
              <w:t>肝豆状核变性</w:t>
            </w:r>
          </w:p>
          <w:p>
            <w:pPr>
              <w:pStyle w:val="TableParagraph"/>
              <w:spacing w:line="359" w:lineRule="exact"/>
              <w:ind w:left="619"/>
              <w:rPr>
                <w:rFonts w:ascii="Microsoft JhengHei" w:eastAsia="Microsoft JhengHei" w:hint="eastAsia"/>
                <w:b/>
                <w:sz w:val="21"/>
              </w:rPr>
            </w:pPr>
            <w:r>
              <w:rPr>
                <w:rFonts w:ascii="Microsoft JhengHei" w:eastAsia="Microsoft JhengHei" w:hint="eastAsia"/>
                <w:b/>
                <w:w w:val="95"/>
                <w:sz w:val="21"/>
              </w:rPr>
              <w:t>(Wilson 病)</w:t>
            </w:r>
          </w:p>
        </w:tc>
        <w:tc>
          <w:tcPr>
            <w:tcW w:w="7626" w:type="dxa"/>
          </w:tcPr>
          <w:p>
            <w:pPr>
              <w:pStyle w:val="TableParagraph"/>
              <w:spacing w:line="273" w:lineRule="auto" w:before="143"/>
              <w:ind w:left="107" w:right="153"/>
              <w:rPr>
                <w:sz w:val="21"/>
              </w:rPr>
            </w:pPr>
            <w:r>
              <w:rPr>
                <w:sz w:val="21"/>
              </w:rPr>
              <w:t>指由于先天性铜代谢障碍所引起的一种疾病，其特点为肝硬化与双侧脑基底神经节变性同时存在，且须经专科医生明确诊断，并同时必须具备下列情况：</w:t>
            </w:r>
          </w:p>
          <w:p>
            <w:pPr>
              <w:pStyle w:val="TableParagraph"/>
              <w:spacing w:line="273" w:lineRule="auto" w:before="8"/>
              <w:ind w:left="633" w:right="267" w:hanging="527"/>
              <w:rPr>
                <w:sz w:val="21"/>
              </w:rPr>
            </w:pPr>
            <w:r>
              <w:rPr>
                <w:sz w:val="21"/>
              </w:rPr>
              <w:t>（1）临床表现包括：进行性加剧的肢体震颤，肌强直，吞咽及发音困难，精神异常；</w:t>
            </w:r>
          </w:p>
          <w:p>
            <w:pPr>
              <w:pStyle w:val="TableParagraph"/>
              <w:spacing w:before="8"/>
              <w:ind w:left="107"/>
              <w:rPr>
                <w:sz w:val="21"/>
              </w:rPr>
            </w:pPr>
            <w:r>
              <w:rPr>
                <w:w w:val="100"/>
                <w:sz w:val="21"/>
              </w:rPr>
              <w:t>（2</w:t>
            </w:r>
            <w:r>
              <w:rPr>
                <w:spacing w:val="-3"/>
                <w:w w:val="100"/>
                <w:sz w:val="21"/>
              </w:rPr>
              <w:t>）角膜色素环</w:t>
            </w:r>
            <w:r>
              <w:rPr>
                <w:w w:val="100"/>
                <w:sz w:val="21"/>
              </w:rPr>
              <w:t>（</w:t>
            </w:r>
            <w:r>
              <w:rPr>
                <w:spacing w:val="-3"/>
                <w:w w:val="100"/>
                <w:sz w:val="21"/>
              </w:rPr>
              <w:t>K</w:t>
            </w:r>
            <w:r>
              <w:rPr>
                <w:w w:val="100"/>
                <w:sz w:val="21"/>
              </w:rPr>
              <w:t>-F</w:t>
            </w:r>
            <w:r>
              <w:rPr>
                <w:spacing w:val="-55"/>
                <w:sz w:val="21"/>
              </w:rPr>
              <w:t> </w:t>
            </w:r>
            <w:r>
              <w:rPr>
                <w:spacing w:val="-3"/>
                <w:w w:val="100"/>
                <w:sz w:val="21"/>
              </w:rPr>
              <w:t>环</w:t>
            </w:r>
            <w:r>
              <w:rPr>
                <w:spacing w:val="-106"/>
                <w:w w:val="100"/>
                <w:sz w:val="21"/>
              </w:rPr>
              <w:t>）</w:t>
            </w:r>
            <w:r>
              <w:rPr>
                <w:w w:val="100"/>
                <w:sz w:val="21"/>
              </w:rPr>
              <w:t>；</w:t>
            </w:r>
          </w:p>
          <w:p>
            <w:pPr>
              <w:pStyle w:val="TableParagraph"/>
              <w:spacing w:before="37"/>
              <w:ind w:left="107"/>
              <w:rPr>
                <w:sz w:val="21"/>
              </w:rPr>
            </w:pPr>
            <w:r>
              <w:rPr>
                <w:sz w:val="21"/>
              </w:rPr>
              <w:t>（3）血清铜和血清铜蓝蛋白降低，尿铜增加；</w:t>
            </w:r>
          </w:p>
          <w:p>
            <w:pPr>
              <w:pStyle w:val="TableParagraph"/>
              <w:spacing w:before="37"/>
              <w:ind w:left="107"/>
              <w:rPr>
                <w:sz w:val="21"/>
              </w:rPr>
            </w:pPr>
            <w:r>
              <w:rPr>
                <w:sz w:val="21"/>
              </w:rPr>
              <w:t>（4）食管静脉曲张；</w:t>
            </w:r>
          </w:p>
          <w:p>
            <w:pPr>
              <w:pStyle w:val="TableParagraph"/>
              <w:spacing w:before="37"/>
              <w:ind w:left="107"/>
              <w:rPr>
                <w:sz w:val="21"/>
              </w:rPr>
            </w:pPr>
            <w:r>
              <w:rPr>
                <w:sz w:val="21"/>
              </w:rPr>
              <w:t>（5）腹水。</w:t>
            </w:r>
          </w:p>
        </w:tc>
      </w:tr>
      <w:tr>
        <w:trPr>
          <w:trHeight w:val="2184" w:hRule="atLeast"/>
        </w:trPr>
        <w:tc>
          <w:tcPr>
            <w:tcW w:w="2020" w:type="dxa"/>
          </w:tcPr>
          <w:p>
            <w:pPr>
              <w:pStyle w:val="TableParagraph"/>
              <w:spacing w:before="88"/>
              <w:ind w:left="200"/>
              <w:rPr>
                <w:rFonts w:ascii="Microsoft JhengHei" w:eastAsia="Microsoft JhengHei" w:hint="eastAsia"/>
                <w:b/>
                <w:sz w:val="21"/>
              </w:rPr>
            </w:pPr>
            <w:r>
              <w:rPr>
                <w:b/>
                <w:sz w:val="21"/>
              </w:rPr>
              <w:t>61. </w:t>
            </w:r>
            <w:r>
              <w:rPr>
                <w:rFonts w:ascii="Microsoft JhengHei" w:eastAsia="Microsoft JhengHei" w:hint="eastAsia"/>
                <w:b/>
                <w:sz w:val="21"/>
              </w:rPr>
              <w:t>严重哮喘</w:t>
            </w:r>
          </w:p>
        </w:tc>
        <w:tc>
          <w:tcPr>
            <w:tcW w:w="7626" w:type="dxa"/>
          </w:tcPr>
          <w:p>
            <w:pPr>
              <w:pStyle w:val="TableParagraph"/>
              <w:spacing w:line="273" w:lineRule="auto" w:before="142"/>
              <w:ind w:left="107" w:right="153"/>
              <w:rPr>
                <w:sz w:val="21"/>
              </w:rPr>
            </w:pPr>
            <w:r>
              <w:rPr>
                <w:sz w:val="21"/>
              </w:rPr>
              <w:t>被保险人必须在过去两年内曾发生哮喘持续状态，并符合以下其中两项标准，本公司才承担保险责任：</w:t>
            </w:r>
          </w:p>
          <w:p>
            <w:pPr>
              <w:pStyle w:val="TableParagraph"/>
              <w:spacing w:before="7"/>
              <w:ind w:left="107"/>
              <w:rPr>
                <w:sz w:val="21"/>
              </w:rPr>
            </w:pPr>
            <w:r>
              <w:rPr>
                <w:sz w:val="21"/>
              </w:rPr>
              <w:t>（1）运动耐受力永久并持续地减少并却轻微的运动能引起气促；</w:t>
            </w:r>
          </w:p>
          <w:p>
            <w:pPr>
              <w:pStyle w:val="TableParagraph"/>
              <w:spacing w:before="36"/>
              <w:ind w:left="107"/>
              <w:rPr>
                <w:sz w:val="21"/>
              </w:rPr>
            </w:pPr>
            <w:r>
              <w:rPr>
                <w:sz w:val="21"/>
              </w:rPr>
              <w:t>（2）长期胸腔过渡膨胀而导致胸腔畸形；</w:t>
            </w:r>
          </w:p>
          <w:p>
            <w:pPr>
              <w:pStyle w:val="TableParagraph"/>
              <w:spacing w:before="36"/>
              <w:ind w:left="107"/>
              <w:rPr>
                <w:sz w:val="21"/>
              </w:rPr>
            </w:pPr>
            <w:r>
              <w:rPr>
                <w:sz w:val="21"/>
              </w:rPr>
              <w:t>（3）在家及在静息状态下需要吸氧；</w:t>
            </w:r>
          </w:p>
          <w:p>
            <w:pPr>
              <w:pStyle w:val="TableParagraph"/>
              <w:spacing w:before="36"/>
              <w:ind w:left="107"/>
              <w:rPr>
                <w:sz w:val="21"/>
              </w:rPr>
            </w:pPr>
            <w:r>
              <w:rPr>
                <w:sz w:val="21"/>
              </w:rPr>
              <w:t>（4）持续的每天服用类固醇药物(至少持续六个月以上)。</w:t>
            </w:r>
          </w:p>
        </w:tc>
      </w:tr>
      <w:tr>
        <w:trPr>
          <w:trHeight w:val="1041" w:hRule="atLeast"/>
        </w:trPr>
        <w:tc>
          <w:tcPr>
            <w:tcW w:w="2020" w:type="dxa"/>
          </w:tcPr>
          <w:p>
            <w:pPr>
              <w:pStyle w:val="TableParagraph"/>
              <w:spacing w:before="142"/>
              <w:ind w:left="0" w:right="104"/>
              <w:jc w:val="right"/>
              <w:rPr>
                <w:b/>
                <w:sz w:val="21"/>
              </w:rPr>
            </w:pPr>
            <w:r>
              <w:rPr>
                <w:b/>
                <w:sz w:val="21"/>
              </w:rPr>
              <w:t>注：</w:t>
            </w:r>
          </w:p>
        </w:tc>
        <w:tc>
          <w:tcPr>
            <w:tcW w:w="7626" w:type="dxa"/>
          </w:tcPr>
          <w:p>
            <w:pPr>
              <w:pStyle w:val="TableParagraph"/>
              <w:spacing w:before="142"/>
              <w:ind w:left="107"/>
              <w:rPr>
                <w:sz w:val="21"/>
              </w:rPr>
            </w:pPr>
            <w:r>
              <w:rPr>
                <w:sz w:val="21"/>
              </w:rPr>
              <w:t>1、六项基本日常生活活动</w:t>
            </w:r>
          </w:p>
          <w:p>
            <w:pPr>
              <w:pStyle w:val="TableParagraph"/>
              <w:spacing w:line="310" w:lineRule="atLeast" w:before="1"/>
              <w:ind w:left="107" w:right="197"/>
              <w:rPr>
                <w:sz w:val="21"/>
              </w:rPr>
            </w:pPr>
            <w:r>
              <w:rPr>
                <w:spacing w:val="-12"/>
                <w:w w:val="100"/>
                <w:sz w:val="21"/>
              </w:rPr>
              <w:t>六项基本日常生活活动是指：</w:t>
            </w:r>
            <w:r>
              <w:rPr>
                <w:w w:val="100"/>
                <w:sz w:val="21"/>
              </w:rPr>
              <w:t>（1</w:t>
            </w:r>
            <w:r>
              <w:rPr>
                <w:spacing w:val="-8"/>
                <w:w w:val="100"/>
                <w:sz w:val="21"/>
              </w:rPr>
              <w:t>）</w:t>
            </w:r>
            <w:r>
              <w:rPr>
                <w:spacing w:val="-13"/>
                <w:w w:val="100"/>
                <w:sz w:val="21"/>
              </w:rPr>
              <w:t>穿衣：自己能够穿衣及脱衣；</w:t>
            </w:r>
            <w:r>
              <w:rPr>
                <w:w w:val="100"/>
                <w:sz w:val="21"/>
              </w:rPr>
              <w:t>（2</w:t>
            </w:r>
            <w:r>
              <w:rPr>
                <w:spacing w:val="-8"/>
                <w:w w:val="100"/>
                <w:sz w:val="21"/>
              </w:rPr>
              <w:t>）</w:t>
            </w:r>
            <w:r>
              <w:rPr>
                <w:spacing w:val="-4"/>
                <w:w w:val="100"/>
                <w:sz w:val="21"/>
              </w:rPr>
              <w:t>移动：自己</w:t>
            </w:r>
            <w:r>
              <w:rPr>
                <w:spacing w:val="-13"/>
                <w:w w:val="100"/>
                <w:sz w:val="21"/>
              </w:rPr>
              <w:t>从一个房间到另一个房间；</w:t>
            </w:r>
            <w:r>
              <w:rPr>
                <w:w w:val="100"/>
                <w:sz w:val="21"/>
              </w:rPr>
              <w:t>（3</w:t>
            </w:r>
            <w:r>
              <w:rPr>
                <w:spacing w:val="-8"/>
                <w:w w:val="100"/>
                <w:sz w:val="21"/>
              </w:rPr>
              <w:t>）</w:t>
            </w:r>
            <w:r>
              <w:rPr>
                <w:spacing w:val="-11"/>
                <w:w w:val="100"/>
                <w:sz w:val="21"/>
              </w:rPr>
              <w:t>行动：自己上下床或上下轮椅；</w:t>
            </w:r>
            <w:r>
              <w:rPr>
                <w:w w:val="100"/>
                <w:sz w:val="21"/>
              </w:rPr>
              <w:t>（4</w:t>
            </w:r>
            <w:r>
              <w:rPr>
                <w:spacing w:val="-10"/>
                <w:w w:val="100"/>
                <w:sz w:val="21"/>
              </w:rPr>
              <w:t>）</w:t>
            </w:r>
            <w:r>
              <w:rPr>
                <w:spacing w:val="-4"/>
                <w:w w:val="100"/>
                <w:sz w:val="21"/>
              </w:rPr>
              <w:t>如厕：自己</w:t>
            </w:r>
          </w:p>
        </w:tc>
      </w:tr>
    </w:tbl>
    <w:p>
      <w:pPr>
        <w:spacing w:after="0" w:line="310" w:lineRule="atLeast"/>
        <w:rPr>
          <w:sz w:val="21"/>
        </w:rPr>
        <w:sectPr>
          <w:pgSz w:w="11910" w:h="16840"/>
          <w:pgMar w:header="0" w:footer="353" w:top="1160" w:bottom="540" w:left="1420" w:right="6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26"/>
        <w:gridCol w:w="7757"/>
      </w:tblGrid>
      <w:tr>
        <w:trPr>
          <w:trHeight w:val="3226" w:hRule="atLeast"/>
        </w:trPr>
        <w:tc>
          <w:tcPr>
            <w:tcW w:w="859" w:type="dxa"/>
          </w:tcPr>
          <w:p>
            <w:pPr>
              <w:pStyle w:val="TableParagraph"/>
              <w:ind w:left="0"/>
              <w:rPr>
                <w:rFonts w:ascii="Times New Roman"/>
                <w:sz w:val="20"/>
              </w:rPr>
            </w:pPr>
          </w:p>
        </w:tc>
        <w:tc>
          <w:tcPr>
            <w:tcW w:w="1926" w:type="dxa"/>
          </w:tcPr>
          <w:p>
            <w:pPr>
              <w:pStyle w:val="TableParagraph"/>
              <w:ind w:left="0"/>
              <w:rPr>
                <w:rFonts w:ascii="Times New Roman"/>
                <w:sz w:val="20"/>
              </w:rPr>
            </w:pPr>
          </w:p>
        </w:tc>
        <w:tc>
          <w:tcPr>
            <w:tcW w:w="7757" w:type="dxa"/>
          </w:tcPr>
          <w:p>
            <w:pPr>
              <w:pStyle w:val="TableParagraph"/>
              <w:spacing w:line="211" w:lineRule="exact"/>
              <w:ind w:left="132"/>
              <w:rPr>
                <w:sz w:val="21"/>
              </w:rPr>
            </w:pPr>
            <w:r>
              <w:rPr>
                <w:spacing w:val="-16"/>
                <w:w w:val="100"/>
                <w:sz w:val="21"/>
              </w:rPr>
              <w:t>控制进行大小便；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p>
          <w:p>
            <w:pPr>
              <w:pStyle w:val="TableParagraph"/>
              <w:spacing w:before="37"/>
              <w:ind w:left="132"/>
              <w:rPr>
                <w:sz w:val="21"/>
              </w:rPr>
            </w:pPr>
            <w:r>
              <w:rPr>
                <w:sz w:val="21"/>
              </w:rPr>
              <w:t>洗澡：自己进行淋浴或盆浴。</w:t>
            </w:r>
          </w:p>
          <w:p>
            <w:pPr>
              <w:pStyle w:val="TableParagraph"/>
              <w:spacing w:before="37"/>
              <w:ind w:left="132"/>
              <w:rPr>
                <w:sz w:val="21"/>
              </w:rPr>
            </w:pPr>
            <w:r>
              <w:rPr>
                <w:sz w:val="21"/>
              </w:rPr>
              <w:t>2、肢体机能完全丧失</w:t>
            </w:r>
          </w:p>
          <w:p>
            <w:pPr>
              <w:pStyle w:val="TableParagraph"/>
              <w:spacing w:line="273" w:lineRule="auto" w:before="36"/>
              <w:ind w:left="132" w:right="304"/>
              <w:rPr>
                <w:sz w:val="21"/>
              </w:rPr>
            </w:pPr>
            <w:r>
              <w:rPr>
                <w:spacing w:val="-6"/>
                <w:sz w:val="21"/>
              </w:rPr>
              <w:t>指肢体的三大关节中的两大关节僵硬，或不能随意识活动。肢体是指包括肩关节</w:t>
            </w:r>
            <w:r>
              <w:rPr>
                <w:spacing w:val="-4"/>
                <w:sz w:val="21"/>
              </w:rPr>
              <w:t>的整个上肢或包括髋关节的整个下肢。</w:t>
            </w:r>
          </w:p>
          <w:p>
            <w:pPr>
              <w:pStyle w:val="TableParagraph"/>
              <w:spacing w:before="7"/>
              <w:ind w:left="132"/>
              <w:rPr>
                <w:sz w:val="21"/>
              </w:rPr>
            </w:pPr>
            <w:r>
              <w:rPr>
                <w:sz w:val="21"/>
              </w:rPr>
              <w:t>3、语言能力或咀嚼吞咽能力完全丧失</w:t>
            </w:r>
          </w:p>
          <w:p>
            <w:pPr>
              <w:pStyle w:val="TableParagraph"/>
              <w:spacing w:line="273" w:lineRule="auto" w:before="37"/>
              <w:ind w:left="132" w:right="303"/>
              <w:jc w:val="both"/>
              <w:rPr>
                <w:sz w:val="21"/>
              </w:rPr>
            </w:pPr>
            <w:r>
              <w:rPr>
                <w:spacing w:val="-6"/>
                <w:sz w:val="21"/>
              </w:rPr>
              <w:t>语言能力完全丧失，指无法发出四种语音</w:t>
            </w:r>
            <w:r>
              <w:rPr>
                <w:sz w:val="21"/>
              </w:rPr>
              <w:t>（</w:t>
            </w:r>
            <w:r>
              <w:rPr>
                <w:spacing w:val="-6"/>
                <w:sz w:val="21"/>
              </w:rPr>
              <w:t>包括口唇音、齿舌音、口盖音和喉头音</w:t>
            </w:r>
            <w:r>
              <w:rPr>
                <w:spacing w:val="-36"/>
                <w:sz w:val="21"/>
              </w:rPr>
              <w:t>）</w:t>
            </w:r>
            <w:r>
              <w:rPr>
                <w:spacing w:val="-11"/>
                <w:sz w:val="21"/>
              </w:rPr>
              <w:t>中的任何三种、或声带全部切除，或因大脑语言中枢受伤害而患失语症。 咀</w:t>
            </w:r>
            <w:r>
              <w:rPr>
                <w:spacing w:val="-9"/>
                <w:sz w:val="21"/>
              </w:rPr>
              <w:t>嚼吞咽能力完全丧失，指因牙齿以外的原因导致器质障碍或机能障碍，以致不能</w:t>
            </w:r>
            <w:r>
              <w:rPr>
                <w:spacing w:val="-5"/>
                <w:sz w:val="21"/>
              </w:rPr>
              <w:t>作咀嚼吞咽运动，除流质食物外不能摄取或吞咽的状态。</w:t>
            </w:r>
          </w:p>
        </w:tc>
      </w:tr>
      <w:tr>
        <w:trPr>
          <w:trHeight w:val="3432" w:hRule="atLeast"/>
        </w:trPr>
        <w:tc>
          <w:tcPr>
            <w:tcW w:w="859" w:type="dxa"/>
          </w:tcPr>
          <w:p>
            <w:pPr>
              <w:pStyle w:val="TableParagraph"/>
              <w:spacing w:before="142"/>
              <w:ind w:left="0" w:right="130"/>
              <w:jc w:val="right"/>
              <w:rPr>
                <w:b/>
                <w:sz w:val="21"/>
              </w:rPr>
            </w:pPr>
            <w:r>
              <w:rPr>
                <w:b/>
                <w:sz w:val="21"/>
              </w:rPr>
              <w:t>10.10</w:t>
            </w:r>
          </w:p>
        </w:tc>
        <w:tc>
          <w:tcPr>
            <w:tcW w:w="1926" w:type="dxa"/>
          </w:tcPr>
          <w:p>
            <w:pPr>
              <w:pStyle w:val="TableParagraph"/>
              <w:spacing w:before="142"/>
              <w:ind w:left="131"/>
              <w:rPr>
                <w:b/>
                <w:sz w:val="21"/>
              </w:rPr>
            </w:pPr>
            <w:r>
              <w:rPr>
                <w:b/>
                <w:sz w:val="21"/>
              </w:rPr>
              <w:t>全残</w:t>
            </w:r>
          </w:p>
        </w:tc>
        <w:tc>
          <w:tcPr>
            <w:tcW w:w="7757" w:type="dxa"/>
          </w:tcPr>
          <w:p>
            <w:pPr>
              <w:pStyle w:val="TableParagraph"/>
              <w:spacing w:before="142"/>
              <w:ind w:left="132"/>
              <w:rPr>
                <w:sz w:val="21"/>
              </w:rPr>
            </w:pPr>
            <w:r>
              <w:rPr>
                <w:sz w:val="21"/>
              </w:rPr>
              <w:t>本合同所定义的全残是指至少满足下列情形之一者：</w:t>
            </w:r>
          </w:p>
          <w:p>
            <w:pPr>
              <w:pStyle w:val="TableParagraph"/>
              <w:spacing w:before="36"/>
              <w:ind w:left="132"/>
              <w:rPr>
                <w:sz w:val="21"/>
              </w:rPr>
            </w:pPr>
            <w:r>
              <w:rPr>
                <w:w w:val="100"/>
                <w:sz w:val="21"/>
              </w:rPr>
              <w:t>（1</w:t>
            </w:r>
            <w:r>
              <w:rPr>
                <w:spacing w:val="-3"/>
                <w:w w:val="100"/>
                <w:sz w:val="21"/>
              </w:rPr>
              <w:t>）双目永久完全</w:t>
            </w:r>
            <w:r>
              <w:rPr>
                <w:w w:val="100"/>
                <w:sz w:val="21"/>
              </w:rPr>
              <w:t>（</w:t>
            </w:r>
            <w:r>
              <w:rPr>
                <w:spacing w:val="-3"/>
                <w:w w:val="100"/>
                <w:sz w:val="21"/>
              </w:rPr>
              <w:t>注①</w:t>
            </w:r>
            <w:r>
              <w:rPr>
                <w:w w:val="100"/>
                <w:sz w:val="21"/>
              </w:rPr>
              <w:t>）</w:t>
            </w:r>
            <w:r>
              <w:rPr>
                <w:spacing w:val="-2"/>
                <w:w w:val="100"/>
                <w:sz w:val="21"/>
              </w:rPr>
              <w:t>失明</w:t>
            </w:r>
            <w:r>
              <w:rPr>
                <w:w w:val="100"/>
                <w:sz w:val="21"/>
              </w:rPr>
              <w:t>（</w:t>
            </w:r>
            <w:r>
              <w:rPr>
                <w:spacing w:val="-2"/>
                <w:w w:val="100"/>
                <w:sz w:val="21"/>
              </w:rPr>
              <w:t>注②</w:t>
            </w:r>
            <w:r>
              <w:rPr>
                <w:spacing w:val="-108"/>
                <w:w w:val="100"/>
                <w:sz w:val="21"/>
              </w:rPr>
              <w:t>）</w:t>
            </w:r>
            <w:r>
              <w:rPr>
                <w:w w:val="100"/>
                <w:sz w:val="21"/>
              </w:rPr>
              <w:t>；</w:t>
            </w:r>
          </w:p>
          <w:p>
            <w:pPr>
              <w:pStyle w:val="TableParagraph"/>
              <w:spacing w:before="36"/>
              <w:ind w:left="132"/>
              <w:rPr>
                <w:sz w:val="21"/>
              </w:rPr>
            </w:pPr>
            <w:r>
              <w:rPr>
                <w:sz w:val="21"/>
              </w:rPr>
              <w:t>（2）两上肢腕关节以上或两下肢踝关节以上缺失；</w:t>
            </w:r>
          </w:p>
          <w:p>
            <w:pPr>
              <w:pStyle w:val="TableParagraph"/>
              <w:spacing w:before="37"/>
              <w:ind w:left="132"/>
              <w:rPr>
                <w:sz w:val="21"/>
              </w:rPr>
            </w:pPr>
            <w:r>
              <w:rPr>
                <w:sz w:val="21"/>
              </w:rPr>
              <w:t>（3）一上肢腕关节以上及一下肢踝关节以上缺失；</w:t>
            </w:r>
          </w:p>
          <w:p>
            <w:pPr>
              <w:pStyle w:val="TableParagraph"/>
              <w:spacing w:before="37"/>
              <w:ind w:left="132"/>
              <w:rPr>
                <w:sz w:val="21"/>
              </w:rPr>
            </w:pPr>
            <w:r>
              <w:rPr>
                <w:sz w:val="21"/>
              </w:rPr>
              <w:t>（4）一目永久完全失明及一上肢腕关节以上缺失；</w:t>
            </w:r>
          </w:p>
          <w:p>
            <w:pPr>
              <w:pStyle w:val="TableParagraph"/>
              <w:spacing w:before="37"/>
              <w:ind w:left="132"/>
              <w:rPr>
                <w:sz w:val="21"/>
              </w:rPr>
            </w:pPr>
            <w:r>
              <w:rPr>
                <w:sz w:val="21"/>
              </w:rPr>
              <w:t>（5）一目永久完全失明及一下肢踝关节以上缺失；</w:t>
            </w:r>
          </w:p>
          <w:p>
            <w:pPr>
              <w:pStyle w:val="TableParagraph"/>
              <w:spacing w:before="37"/>
              <w:ind w:left="132"/>
              <w:rPr>
                <w:sz w:val="21"/>
              </w:rPr>
            </w:pPr>
            <w:r>
              <w:rPr>
                <w:w w:val="100"/>
                <w:sz w:val="21"/>
              </w:rPr>
              <w:t>（6</w:t>
            </w:r>
            <w:r>
              <w:rPr>
                <w:spacing w:val="-3"/>
                <w:w w:val="100"/>
                <w:sz w:val="21"/>
              </w:rPr>
              <w:t>）四肢关节机能永久完全丧失</w:t>
            </w:r>
            <w:r>
              <w:rPr>
                <w:w w:val="100"/>
                <w:sz w:val="21"/>
              </w:rPr>
              <w:t>（</w:t>
            </w:r>
            <w:r>
              <w:rPr>
                <w:spacing w:val="-2"/>
                <w:w w:val="100"/>
                <w:sz w:val="21"/>
              </w:rPr>
              <w:t>注③</w:t>
            </w:r>
            <w:r>
              <w:rPr>
                <w:spacing w:val="-108"/>
                <w:w w:val="100"/>
                <w:sz w:val="21"/>
              </w:rPr>
              <w:t>）</w:t>
            </w:r>
            <w:r>
              <w:rPr>
                <w:w w:val="100"/>
                <w:sz w:val="21"/>
              </w:rPr>
              <w:t>；</w:t>
            </w:r>
          </w:p>
          <w:p>
            <w:pPr>
              <w:pStyle w:val="TableParagraph"/>
              <w:spacing w:before="37"/>
              <w:ind w:left="132"/>
              <w:rPr>
                <w:sz w:val="21"/>
              </w:rPr>
            </w:pPr>
            <w:r>
              <w:rPr>
                <w:w w:val="100"/>
                <w:sz w:val="21"/>
              </w:rPr>
              <w:t>（7</w:t>
            </w:r>
            <w:r>
              <w:rPr>
                <w:spacing w:val="-3"/>
                <w:w w:val="100"/>
                <w:sz w:val="21"/>
              </w:rPr>
              <w:t>）咀嚼、吞咽机能永久完全丧失（</w:t>
            </w:r>
            <w:r>
              <w:rPr>
                <w:spacing w:val="-2"/>
                <w:w w:val="100"/>
                <w:sz w:val="21"/>
              </w:rPr>
              <w:t>注④</w:t>
            </w:r>
            <w:r>
              <w:rPr>
                <w:spacing w:val="-106"/>
                <w:w w:val="100"/>
                <w:sz w:val="21"/>
              </w:rPr>
              <w:t>）</w:t>
            </w:r>
            <w:r>
              <w:rPr>
                <w:w w:val="100"/>
                <w:sz w:val="21"/>
              </w:rPr>
              <w:t>；</w:t>
            </w:r>
          </w:p>
          <w:p>
            <w:pPr>
              <w:pStyle w:val="TableParagraph"/>
              <w:spacing w:line="273" w:lineRule="auto" w:before="37"/>
              <w:ind w:left="658" w:right="198" w:hanging="527"/>
              <w:rPr>
                <w:sz w:val="21"/>
              </w:rPr>
            </w:pPr>
            <w:r>
              <w:rPr>
                <w:spacing w:val="-5"/>
                <w:sz w:val="21"/>
              </w:rPr>
              <w:t>（8）中枢神经系统机能或胸、腹部脏器机能极度障碍，终身不能从事任何工作， </w:t>
            </w:r>
            <w:r>
              <w:rPr>
                <w:spacing w:val="-4"/>
                <w:w w:val="100"/>
                <w:sz w:val="21"/>
              </w:rPr>
              <w:t>为维持生命必要的日常生活活动，全需他人扶助</w:t>
            </w:r>
            <w:r>
              <w:rPr>
                <w:spacing w:val="-3"/>
                <w:w w:val="100"/>
                <w:sz w:val="21"/>
              </w:rPr>
              <w:t>（</w:t>
            </w:r>
            <w:r>
              <w:rPr>
                <w:w w:val="100"/>
                <w:sz w:val="21"/>
              </w:rPr>
              <w:t>注⑤</w:t>
            </w:r>
            <w:r>
              <w:rPr>
                <w:spacing w:val="-108"/>
                <w:w w:val="100"/>
                <w:sz w:val="21"/>
              </w:rPr>
              <w:t>）</w:t>
            </w:r>
            <w:r>
              <w:rPr>
                <w:w w:val="100"/>
                <w:sz w:val="21"/>
              </w:rPr>
              <w:t>。</w:t>
            </w:r>
          </w:p>
        </w:tc>
      </w:tr>
      <w:tr>
        <w:trPr>
          <w:trHeight w:val="935" w:hRule="atLeast"/>
        </w:trPr>
        <w:tc>
          <w:tcPr>
            <w:tcW w:w="859" w:type="dxa"/>
          </w:tcPr>
          <w:p>
            <w:pPr>
              <w:pStyle w:val="TableParagraph"/>
              <w:ind w:left="0"/>
              <w:rPr>
                <w:rFonts w:ascii="Times New Roman"/>
                <w:sz w:val="20"/>
              </w:rPr>
            </w:pPr>
          </w:p>
        </w:tc>
        <w:tc>
          <w:tcPr>
            <w:tcW w:w="1926" w:type="dxa"/>
          </w:tcPr>
          <w:p>
            <w:pPr>
              <w:pStyle w:val="TableParagraph"/>
              <w:ind w:left="0"/>
              <w:rPr>
                <w:rFonts w:ascii="Times New Roman"/>
                <w:sz w:val="20"/>
              </w:rPr>
            </w:pPr>
          </w:p>
        </w:tc>
        <w:tc>
          <w:tcPr>
            <w:tcW w:w="7757" w:type="dxa"/>
          </w:tcPr>
          <w:p>
            <w:pPr>
              <w:pStyle w:val="TableParagraph"/>
              <w:spacing w:line="273" w:lineRule="auto" w:before="142"/>
              <w:ind w:left="132" w:right="249"/>
              <w:rPr>
                <w:sz w:val="21"/>
              </w:rPr>
            </w:pPr>
            <w:r>
              <w:rPr>
                <w:sz w:val="21"/>
              </w:rPr>
              <w:t>全残的鉴定应在治疗结束之后由医疗机构（或鉴定机构）进行。若自被保险人遭受意外伤害之日起 180 日后治疗仍未结束，按第 180 日的身体情况进行鉴定。</w:t>
            </w:r>
          </w:p>
        </w:tc>
      </w:tr>
      <w:tr>
        <w:trPr>
          <w:trHeight w:val="3432" w:hRule="atLeast"/>
        </w:trPr>
        <w:tc>
          <w:tcPr>
            <w:tcW w:w="859" w:type="dxa"/>
          </w:tcPr>
          <w:p>
            <w:pPr>
              <w:pStyle w:val="TableParagraph"/>
              <w:ind w:left="0"/>
              <w:rPr>
                <w:rFonts w:ascii="Times New Roman"/>
                <w:sz w:val="20"/>
              </w:rPr>
            </w:pPr>
          </w:p>
        </w:tc>
        <w:tc>
          <w:tcPr>
            <w:tcW w:w="1926" w:type="dxa"/>
          </w:tcPr>
          <w:p>
            <w:pPr>
              <w:pStyle w:val="TableParagraph"/>
              <w:spacing w:before="142"/>
              <w:ind w:left="0" w:right="129"/>
              <w:jc w:val="right"/>
              <w:rPr>
                <w:b/>
                <w:sz w:val="21"/>
              </w:rPr>
            </w:pPr>
            <w:r>
              <w:rPr>
                <w:b/>
                <w:sz w:val="21"/>
              </w:rPr>
              <w:t>注：</w:t>
            </w:r>
          </w:p>
        </w:tc>
        <w:tc>
          <w:tcPr>
            <w:tcW w:w="7757" w:type="dxa"/>
          </w:tcPr>
          <w:p>
            <w:pPr>
              <w:pStyle w:val="TableParagraph"/>
              <w:spacing w:line="273" w:lineRule="auto" w:before="142"/>
              <w:ind w:left="446" w:right="371" w:hanging="209"/>
              <w:rPr>
                <w:sz w:val="21"/>
              </w:rPr>
            </w:pPr>
            <w:r>
              <w:rPr>
                <w:spacing w:val="-5"/>
                <w:sz w:val="21"/>
              </w:rPr>
              <w:t>①永久完全系指自上述“全残”情形发生之日起经过 </w:t>
            </w:r>
            <w:r>
              <w:rPr>
                <w:sz w:val="21"/>
              </w:rPr>
              <w:t>180</w:t>
            </w:r>
            <w:r>
              <w:rPr>
                <w:spacing w:val="-8"/>
                <w:sz w:val="21"/>
              </w:rPr>
              <w:t> 日的治疗机能仍完全</w:t>
            </w:r>
            <w:r>
              <w:rPr>
                <w:spacing w:val="-5"/>
                <w:sz w:val="21"/>
              </w:rPr>
              <w:t>丧失，但眼球摘除等明显无法复原的情况，不在此限。</w:t>
            </w:r>
          </w:p>
          <w:p>
            <w:pPr>
              <w:pStyle w:val="TableParagraph"/>
              <w:spacing w:line="273" w:lineRule="auto" w:before="7"/>
              <w:ind w:left="446" w:right="320" w:hanging="209"/>
              <w:jc w:val="both"/>
              <w:rPr>
                <w:sz w:val="21"/>
              </w:rPr>
            </w:pPr>
            <w:r>
              <w:rPr>
                <w:spacing w:val="-3"/>
                <w:sz w:val="21"/>
              </w:rPr>
              <w:t>②失明包括眼球缺失或摘除、或不能辨别明暗、或仅能辨别眼前手动者，最佳</w:t>
            </w:r>
            <w:r>
              <w:rPr>
                <w:spacing w:val="-6"/>
                <w:sz w:val="21"/>
              </w:rPr>
              <w:t>矫正视力低于国际标准视力表 </w:t>
            </w:r>
            <w:r>
              <w:rPr>
                <w:sz w:val="21"/>
              </w:rPr>
              <w:t>0.02</w:t>
            </w:r>
            <w:r>
              <w:rPr>
                <w:spacing w:val="-8"/>
                <w:sz w:val="21"/>
              </w:rPr>
              <w:t>，或视野半径小于 </w:t>
            </w:r>
            <w:r>
              <w:rPr>
                <w:sz w:val="21"/>
              </w:rPr>
              <w:t>5</w:t>
            </w:r>
            <w:r>
              <w:rPr>
                <w:spacing w:val="-8"/>
                <w:sz w:val="21"/>
              </w:rPr>
              <w:t> 度，并由我们确定的</w:t>
            </w:r>
            <w:r>
              <w:rPr>
                <w:spacing w:val="-5"/>
                <w:sz w:val="21"/>
              </w:rPr>
              <w:t>有资格的眼科医师出具医疗诊断证明。</w:t>
            </w:r>
          </w:p>
          <w:p>
            <w:pPr>
              <w:pStyle w:val="TableParagraph"/>
              <w:spacing w:before="7"/>
              <w:ind w:left="237"/>
              <w:rPr>
                <w:sz w:val="21"/>
              </w:rPr>
            </w:pPr>
            <w:r>
              <w:rPr>
                <w:sz w:val="21"/>
              </w:rPr>
              <w:t>③关节机能的丧失系指关节永久完全僵硬、或麻痹、或关节不能随意识活动。</w:t>
            </w:r>
          </w:p>
          <w:p>
            <w:pPr>
              <w:pStyle w:val="TableParagraph"/>
              <w:spacing w:line="273" w:lineRule="auto" w:before="36"/>
              <w:ind w:left="446" w:right="371" w:hanging="209"/>
              <w:rPr>
                <w:sz w:val="21"/>
              </w:rPr>
            </w:pPr>
            <w:r>
              <w:rPr>
                <w:sz w:val="21"/>
              </w:rPr>
              <w:t>④咀嚼、吞咽机能丧失系指由于牙齿以外的原因引起器质障碍或机能障碍，以至不能作咀嚼、吞咽运动，除流质食物外不能摄取或吞咽的状态。</w:t>
            </w:r>
          </w:p>
          <w:p>
            <w:pPr>
              <w:pStyle w:val="TableParagraph"/>
              <w:spacing w:line="273" w:lineRule="auto" w:before="7"/>
              <w:ind w:left="446" w:right="198" w:hanging="209"/>
              <w:rPr>
                <w:sz w:val="21"/>
              </w:rPr>
            </w:pPr>
            <w:r>
              <w:rPr>
                <w:spacing w:val="-6"/>
                <w:sz w:val="21"/>
              </w:rPr>
              <w:t>⑤为维持生命必要的日常生活活动，全需他人扶助系指食物摄取、大小便始末、</w:t>
            </w:r>
            <w:r>
              <w:rPr>
                <w:spacing w:val="-4"/>
                <w:sz w:val="21"/>
              </w:rPr>
              <w:t>穿脱衣服、起居、步行、入浴等，皆不能自己为之，需要他人帮助。</w:t>
            </w:r>
          </w:p>
        </w:tc>
      </w:tr>
      <w:tr>
        <w:trPr>
          <w:trHeight w:val="2184" w:hRule="atLeast"/>
        </w:trPr>
        <w:tc>
          <w:tcPr>
            <w:tcW w:w="859" w:type="dxa"/>
          </w:tcPr>
          <w:p>
            <w:pPr>
              <w:pStyle w:val="TableParagraph"/>
              <w:spacing w:before="142"/>
              <w:ind w:left="0" w:right="130"/>
              <w:jc w:val="right"/>
              <w:rPr>
                <w:b/>
                <w:sz w:val="21"/>
              </w:rPr>
            </w:pPr>
            <w:r>
              <w:rPr>
                <w:b/>
                <w:sz w:val="21"/>
              </w:rPr>
              <w:t>10.11</w:t>
            </w:r>
          </w:p>
        </w:tc>
        <w:tc>
          <w:tcPr>
            <w:tcW w:w="1926" w:type="dxa"/>
          </w:tcPr>
          <w:p>
            <w:pPr>
              <w:pStyle w:val="TableParagraph"/>
              <w:spacing w:before="142"/>
              <w:ind w:left="131"/>
              <w:rPr>
                <w:b/>
                <w:sz w:val="21"/>
              </w:rPr>
            </w:pPr>
            <w:r>
              <w:rPr>
                <w:b/>
                <w:sz w:val="21"/>
              </w:rPr>
              <w:t>专科医生</w:t>
            </w:r>
          </w:p>
        </w:tc>
        <w:tc>
          <w:tcPr>
            <w:tcW w:w="7757" w:type="dxa"/>
          </w:tcPr>
          <w:p>
            <w:pPr>
              <w:pStyle w:val="TableParagraph"/>
              <w:spacing w:before="142"/>
              <w:ind w:left="132"/>
              <w:rPr>
                <w:sz w:val="21"/>
              </w:rPr>
            </w:pPr>
            <w:r>
              <w:rPr>
                <w:sz w:val="21"/>
              </w:rPr>
              <w:t>专科医生应当同时满足以下四项资格条件：</w:t>
            </w:r>
          </w:p>
          <w:p>
            <w:pPr>
              <w:pStyle w:val="TableParagraph"/>
              <w:spacing w:before="36"/>
              <w:ind w:left="132"/>
              <w:rPr>
                <w:sz w:val="21"/>
              </w:rPr>
            </w:pPr>
            <w:r>
              <w:rPr>
                <w:sz w:val="21"/>
              </w:rPr>
              <w:t>（1）具有有效的中华人民共和国《医师资格证书》；</w:t>
            </w:r>
          </w:p>
          <w:p>
            <w:pPr>
              <w:pStyle w:val="TableParagraph"/>
              <w:spacing w:before="37"/>
              <w:ind w:left="132"/>
              <w:rPr>
                <w:sz w:val="21"/>
              </w:rPr>
            </w:pPr>
            <w:r>
              <w:rPr>
                <w:spacing w:val="-16"/>
                <w:sz w:val="21"/>
              </w:rPr>
              <w:t>（2）</w:t>
            </w:r>
            <w:r>
              <w:rPr>
                <w:spacing w:val="-14"/>
                <w:sz w:val="21"/>
              </w:rPr>
              <w:t>具有有效的中华人民共和国《医师执业证书》，并按期到相关部门登记注册；</w:t>
            </w:r>
          </w:p>
          <w:p>
            <w:pPr>
              <w:pStyle w:val="TableParagraph"/>
              <w:spacing w:line="273" w:lineRule="auto" w:before="37"/>
              <w:ind w:left="658" w:right="310" w:hanging="527"/>
              <w:rPr>
                <w:sz w:val="21"/>
              </w:rPr>
            </w:pPr>
            <w:r>
              <w:rPr>
                <w:sz w:val="21"/>
              </w:rPr>
              <w:t>（3）具有有效的中华人民共和国主治医师或主治医师以上职称的《医师职称证书》；</w:t>
            </w:r>
          </w:p>
          <w:p>
            <w:pPr>
              <w:pStyle w:val="TableParagraph"/>
              <w:spacing w:before="8"/>
              <w:ind w:left="132"/>
              <w:rPr>
                <w:sz w:val="21"/>
              </w:rPr>
            </w:pPr>
            <w:r>
              <w:rPr>
                <w:sz w:val="21"/>
              </w:rPr>
              <w:t>（4）在二级或二级以上医院的相应科室从事临床工作三年以上。</w:t>
            </w:r>
          </w:p>
        </w:tc>
      </w:tr>
      <w:tr>
        <w:trPr>
          <w:trHeight w:val="1041" w:hRule="atLeast"/>
        </w:trPr>
        <w:tc>
          <w:tcPr>
            <w:tcW w:w="859" w:type="dxa"/>
          </w:tcPr>
          <w:p>
            <w:pPr>
              <w:pStyle w:val="TableParagraph"/>
              <w:spacing w:before="142"/>
              <w:ind w:left="0" w:right="128"/>
              <w:jc w:val="right"/>
              <w:rPr>
                <w:b/>
                <w:sz w:val="21"/>
              </w:rPr>
            </w:pPr>
            <w:r>
              <w:rPr>
                <w:b/>
                <w:sz w:val="21"/>
              </w:rPr>
              <w:t>10.12</w:t>
            </w:r>
          </w:p>
        </w:tc>
        <w:tc>
          <w:tcPr>
            <w:tcW w:w="1926" w:type="dxa"/>
          </w:tcPr>
          <w:p>
            <w:pPr>
              <w:pStyle w:val="TableParagraph"/>
              <w:spacing w:before="142"/>
              <w:ind w:left="131"/>
              <w:rPr>
                <w:b/>
                <w:sz w:val="21"/>
              </w:rPr>
            </w:pPr>
            <w:r>
              <w:rPr>
                <w:b/>
                <w:sz w:val="21"/>
              </w:rPr>
              <w:t>疾病终末期阶段</w:t>
            </w:r>
          </w:p>
        </w:tc>
        <w:tc>
          <w:tcPr>
            <w:tcW w:w="7757" w:type="dxa"/>
          </w:tcPr>
          <w:p>
            <w:pPr>
              <w:pStyle w:val="TableParagraph"/>
              <w:spacing w:line="273" w:lineRule="auto" w:before="142"/>
              <w:ind w:left="132" w:right="259"/>
              <w:rPr>
                <w:sz w:val="21"/>
              </w:rPr>
            </w:pPr>
            <w:r>
              <w:rPr>
                <w:sz w:val="21"/>
              </w:rPr>
              <w:t>疾病终末期阶段需由专科医生出具诊断证明和提交临床检查证据，证明被保险人所患疾病同时满足以下两个条件：</w:t>
            </w:r>
          </w:p>
          <w:p>
            <w:pPr>
              <w:pStyle w:val="TableParagraph"/>
              <w:spacing w:line="255" w:lineRule="exact" w:before="7"/>
              <w:ind w:left="132"/>
              <w:rPr>
                <w:sz w:val="21"/>
              </w:rPr>
            </w:pPr>
            <w:r>
              <w:rPr>
                <w:sz w:val="21"/>
              </w:rPr>
              <w:t>（1）依现有医疗技术无法缓解；</w:t>
            </w:r>
          </w:p>
        </w:tc>
      </w:tr>
    </w:tbl>
    <w:p>
      <w:pPr>
        <w:spacing w:after="0" w:line="255" w:lineRule="exact"/>
        <w:rPr>
          <w:sz w:val="21"/>
        </w:rPr>
        <w:sectPr>
          <w:pgSz w:w="11910" w:h="16840"/>
          <w:pgMar w:header="0" w:footer="353" w:top="116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1"/>
      </w:tblGrid>
      <w:tr>
        <w:trPr>
          <w:trHeight w:val="417"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1" w:type="dxa"/>
          </w:tcPr>
          <w:p>
            <w:pPr>
              <w:pStyle w:val="TableParagraph"/>
              <w:spacing w:line="211" w:lineRule="exact"/>
              <w:ind w:left="107"/>
              <w:rPr>
                <w:sz w:val="21"/>
              </w:rPr>
            </w:pPr>
            <w:r>
              <w:rPr>
                <w:sz w:val="21"/>
              </w:rPr>
              <w:t>（2）根据临床医学经验判断被保险人存活期低于六个月。</w:t>
            </w:r>
          </w:p>
        </w:tc>
      </w:tr>
      <w:tr>
        <w:trPr>
          <w:trHeight w:val="1248" w:hRule="atLeast"/>
        </w:trPr>
        <w:tc>
          <w:tcPr>
            <w:tcW w:w="859" w:type="dxa"/>
          </w:tcPr>
          <w:p>
            <w:pPr>
              <w:pStyle w:val="TableParagraph"/>
              <w:spacing w:before="143"/>
              <w:ind w:left="0" w:right="128"/>
              <w:jc w:val="right"/>
              <w:rPr>
                <w:b/>
                <w:sz w:val="21"/>
              </w:rPr>
            </w:pPr>
            <w:r>
              <w:rPr>
                <w:b/>
                <w:sz w:val="21"/>
              </w:rPr>
              <w:t>10.13</w:t>
            </w:r>
          </w:p>
        </w:tc>
        <w:tc>
          <w:tcPr>
            <w:tcW w:w="1951" w:type="dxa"/>
          </w:tcPr>
          <w:p>
            <w:pPr>
              <w:pStyle w:val="TableParagraph"/>
              <w:spacing w:before="143"/>
              <w:ind w:left="131"/>
              <w:rPr>
                <w:b/>
                <w:sz w:val="21"/>
              </w:rPr>
            </w:pPr>
            <w:r>
              <w:rPr>
                <w:b/>
                <w:sz w:val="21"/>
              </w:rPr>
              <w:t>毒品</w:t>
            </w:r>
          </w:p>
        </w:tc>
        <w:tc>
          <w:tcPr>
            <w:tcW w:w="7731" w:type="dxa"/>
          </w:tcPr>
          <w:p>
            <w:pPr>
              <w:pStyle w:val="TableParagraph"/>
              <w:spacing w:line="273" w:lineRule="auto" w:before="143"/>
              <w:ind w:left="107" w:right="197"/>
              <w:rPr>
                <w:sz w:val="21"/>
              </w:rPr>
            </w:pPr>
            <w:r>
              <w:rPr>
                <w:spacing w:val="-6"/>
                <w:sz w:val="21"/>
              </w:rPr>
              <w:t>指中华人民共和国刑法规定的鸦片、海洛因、甲基苯丙胺</w:t>
            </w:r>
            <w:r>
              <w:rPr>
                <w:sz w:val="21"/>
              </w:rPr>
              <w:t>（</w:t>
            </w:r>
            <w:r>
              <w:rPr>
                <w:spacing w:val="-2"/>
                <w:sz w:val="21"/>
              </w:rPr>
              <w:t>冰毒</w:t>
            </w:r>
            <w:r>
              <w:rPr>
                <w:spacing w:val="-108"/>
                <w:sz w:val="21"/>
              </w:rPr>
              <w:t>）</w:t>
            </w:r>
            <w:r>
              <w:rPr>
                <w:spacing w:val="-5"/>
                <w:sz w:val="21"/>
              </w:rPr>
              <w:t>、吗啡、大麻、</w:t>
            </w:r>
            <w:r>
              <w:rPr>
                <w:spacing w:val="-6"/>
                <w:sz w:val="21"/>
              </w:rPr>
              <w:t>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1247" w:hRule="atLeast"/>
        </w:trPr>
        <w:tc>
          <w:tcPr>
            <w:tcW w:w="859" w:type="dxa"/>
          </w:tcPr>
          <w:p>
            <w:pPr>
              <w:pStyle w:val="TableParagraph"/>
              <w:spacing w:before="142"/>
              <w:ind w:left="0" w:right="128"/>
              <w:jc w:val="right"/>
              <w:rPr>
                <w:b/>
                <w:sz w:val="21"/>
              </w:rPr>
            </w:pPr>
            <w:r>
              <w:rPr>
                <w:b/>
                <w:sz w:val="21"/>
              </w:rPr>
              <w:t>10.14</w:t>
            </w:r>
          </w:p>
        </w:tc>
        <w:tc>
          <w:tcPr>
            <w:tcW w:w="1951" w:type="dxa"/>
          </w:tcPr>
          <w:p>
            <w:pPr>
              <w:pStyle w:val="TableParagraph"/>
              <w:spacing w:before="142"/>
              <w:ind w:left="131"/>
              <w:rPr>
                <w:b/>
                <w:sz w:val="21"/>
              </w:rPr>
            </w:pPr>
            <w:r>
              <w:rPr>
                <w:b/>
                <w:sz w:val="21"/>
              </w:rPr>
              <w:t>酒后驾驶</w:t>
            </w:r>
          </w:p>
        </w:tc>
        <w:tc>
          <w:tcPr>
            <w:tcW w:w="7731" w:type="dxa"/>
          </w:tcPr>
          <w:p>
            <w:pPr>
              <w:pStyle w:val="TableParagraph"/>
              <w:spacing w:line="273" w:lineRule="auto" w:before="142"/>
              <w:ind w:left="107" w:right="302"/>
              <w:jc w:val="both"/>
              <w:rPr>
                <w:sz w:val="21"/>
              </w:rPr>
            </w:pPr>
            <w:r>
              <w:rPr>
                <w:spacing w:val="-8"/>
                <w:sz w:val="21"/>
              </w:rPr>
              <w:t>指经检测或鉴定，发生事故时车辆驾驶人员每百毫升血液中的酒精含量达到或超</w:t>
            </w:r>
            <w:r>
              <w:rPr>
                <w:spacing w:val="-9"/>
                <w:sz w:val="21"/>
              </w:rPr>
              <w:t>过一定的标准，公安机关交通管理部门依据《道路交通安全法》的规定认定为饮</w:t>
            </w:r>
            <w:r>
              <w:rPr>
                <w:spacing w:val="-5"/>
                <w:sz w:val="21"/>
              </w:rPr>
              <w:t>酒后驾驶或醉酒后驾驶。</w:t>
            </w:r>
          </w:p>
        </w:tc>
      </w:tr>
      <w:tr>
        <w:trPr>
          <w:trHeight w:val="2184" w:hRule="atLeast"/>
        </w:trPr>
        <w:tc>
          <w:tcPr>
            <w:tcW w:w="859" w:type="dxa"/>
          </w:tcPr>
          <w:p>
            <w:pPr>
              <w:pStyle w:val="TableParagraph"/>
              <w:spacing w:before="142"/>
              <w:ind w:left="0" w:right="128"/>
              <w:jc w:val="right"/>
              <w:rPr>
                <w:b/>
                <w:sz w:val="21"/>
              </w:rPr>
            </w:pPr>
            <w:r>
              <w:rPr>
                <w:b/>
                <w:sz w:val="21"/>
              </w:rPr>
              <w:t>10.15</w:t>
            </w:r>
          </w:p>
        </w:tc>
        <w:tc>
          <w:tcPr>
            <w:tcW w:w="1951" w:type="dxa"/>
          </w:tcPr>
          <w:p>
            <w:pPr>
              <w:pStyle w:val="TableParagraph"/>
              <w:spacing w:line="273" w:lineRule="auto" w:before="142"/>
              <w:ind w:left="131" w:right="103"/>
              <w:rPr>
                <w:b/>
                <w:sz w:val="21"/>
              </w:rPr>
            </w:pPr>
            <w:r>
              <w:rPr>
                <w:b/>
                <w:sz w:val="21"/>
              </w:rPr>
              <w:t>无合法有效驾驶证驾驶</w:t>
            </w:r>
          </w:p>
        </w:tc>
        <w:tc>
          <w:tcPr>
            <w:tcW w:w="7731" w:type="dxa"/>
          </w:tcPr>
          <w:p>
            <w:pPr>
              <w:pStyle w:val="TableParagraph"/>
              <w:spacing w:before="142"/>
              <w:ind w:left="107"/>
              <w:rPr>
                <w:sz w:val="21"/>
              </w:rPr>
            </w:pPr>
            <w:r>
              <w:rPr>
                <w:sz w:val="21"/>
              </w:rPr>
              <w:t>指下列情形之一：</w:t>
            </w:r>
          </w:p>
          <w:p>
            <w:pPr>
              <w:pStyle w:val="TableParagraph"/>
              <w:spacing w:before="36"/>
              <w:ind w:left="107"/>
              <w:rPr>
                <w:sz w:val="21"/>
              </w:rPr>
            </w:pPr>
            <w:r>
              <w:rPr>
                <w:sz w:val="21"/>
              </w:rPr>
              <w:t>（1）没有驾驶证驾驶；</w:t>
            </w:r>
          </w:p>
          <w:p>
            <w:pPr>
              <w:pStyle w:val="TableParagraph"/>
              <w:spacing w:before="36"/>
              <w:ind w:left="107"/>
              <w:rPr>
                <w:sz w:val="21"/>
              </w:rPr>
            </w:pPr>
            <w:r>
              <w:rPr>
                <w:sz w:val="21"/>
              </w:rPr>
              <w:t>（2）驾驶与驾驶证准驾车型不相符合的车辆；</w:t>
            </w:r>
          </w:p>
          <w:p>
            <w:pPr>
              <w:pStyle w:val="TableParagraph"/>
              <w:spacing w:before="36"/>
              <w:ind w:left="107"/>
              <w:rPr>
                <w:sz w:val="21"/>
              </w:rPr>
            </w:pPr>
            <w:r>
              <w:rPr>
                <w:sz w:val="21"/>
              </w:rPr>
              <w:t>（3）持审验不合格的驾驶证驾驶；</w:t>
            </w:r>
          </w:p>
          <w:p>
            <w:pPr>
              <w:pStyle w:val="TableParagraph"/>
              <w:spacing w:line="273" w:lineRule="auto" w:before="37"/>
              <w:ind w:left="633" w:right="309" w:hanging="527"/>
              <w:rPr>
                <w:sz w:val="21"/>
              </w:rPr>
            </w:pPr>
            <w:r>
              <w:rPr>
                <w:sz w:val="21"/>
              </w:rPr>
              <w:t>（4）持学习驾驶证学习驾车时，无教练员随车指导，或不按指定时间、路线学习驾车。</w:t>
            </w:r>
          </w:p>
        </w:tc>
      </w:tr>
      <w:tr>
        <w:trPr>
          <w:trHeight w:val="1248" w:hRule="atLeast"/>
        </w:trPr>
        <w:tc>
          <w:tcPr>
            <w:tcW w:w="859" w:type="dxa"/>
          </w:tcPr>
          <w:p>
            <w:pPr>
              <w:pStyle w:val="TableParagraph"/>
              <w:spacing w:before="142"/>
              <w:ind w:left="0" w:right="128"/>
              <w:jc w:val="right"/>
              <w:rPr>
                <w:b/>
                <w:sz w:val="21"/>
              </w:rPr>
            </w:pPr>
            <w:r>
              <w:rPr>
                <w:b/>
                <w:sz w:val="21"/>
              </w:rPr>
              <w:t>10.16</w:t>
            </w:r>
          </w:p>
        </w:tc>
        <w:tc>
          <w:tcPr>
            <w:tcW w:w="1951" w:type="dxa"/>
          </w:tcPr>
          <w:p>
            <w:pPr>
              <w:pStyle w:val="TableParagraph"/>
              <w:spacing w:before="142"/>
              <w:ind w:left="131"/>
              <w:rPr>
                <w:b/>
                <w:sz w:val="21"/>
              </w:rPr>
            </w:pPr>
            <w:r>
              <w:rPr>
                <w:b/>
                <w:sz w:val="21"/>
              </w:rPr>
              <w:t>无有效行驶证</w:t>
            </w:r>
          </w:p>
        </w:tc>
        <w:tc>
          <w:tcPr>
            <w:tcW w:w="7731" w:type="dxa"/>
          </w:tcPr>
          <w:p>
            <w:pPr>
              <w:pStyle w:val="TableParagraph"/>
              <w:spacing w:before="142"/>
              <w:ind w:left="107"/>
              <w:rPr>
                <w:sz w:val="21"/>
              </w:rPr>
            </w:pPr>
            <w:r>
              <w:rPr>
                <w:sz w:val="21"/>
              </w:rPr>
              <w:t>指下列情形之一：</w:t>
            </w:r>
          </w:p>
          <w:p>
            <w:pPr>
              <w:pStyle w:val="TableParagraph"/>
              <w:spacing w:before="36"/>
              <w:ind w:left="107"/>
              <w:rPr>
                <w:sz w:val="21"/>
              </w:rPr>
            </w:pPr>
            <w:r>
              <w:rPr>
                <w:sz w:val="21"/>
              </w:rPr>
              <w:t>（1）机动车被依法注销登记的；</w:t>
            </w:r>
          </w:p>
          <w:p>
            <w:pPr>
              <w:pStyle w:val="TableParagraph"/>
              <w:spacing w:before="36"/>
              <w:ind w:left="107"/>
              <w:rPr>
                <w:sz w:val="21"/>
              </w:rPr>
            </w:pPr>
            <w:r>
              <w:rPr>
                <w:sz w:val="21"/>
              </w:rPr>
              <w:t>（2）未依法按时进行或通过机动车安全技术检验。</w:t>
            </w:r>
          </w:p>
        </w:tc>
      </w:tr>
      <w:tr>
        <w:trPr>
          <w:trHeight w:val="936" w:hRule="atLeast"/>
        </w:trPr>
        <w:tc>
          <w:tcPr>
            <w:tcW w:w="859" w:type="dxa"/>
          </w:tcPr>
          <w:p>
            <w:pPr>
              <w:pStyle w:val="TableParagraph"/>
              <w:spacing w:before="142"/>
              <w:ind w:left="0" w:right="128"/>
              <w:jc w:val="right"/>
              <w:rPr>
                <w:b/>
                <w:sz w:val="21"/>
              </w:rPr>
            </w:pPr>
            <w:r>
              <w:rPr>
                <w:b/>
                <w:sz w:val="21"/>
              </w:rPr>
              <w:t>10.17</w:t>
            </w:r>
          </w:p>
        </w:tc>
        <w:tc>
          <w:tcPr>
            <w:tcW w:w="1951" w:type="dxa"/>
          </w:tcPr>
          <w:p>
            <w:pPr>
              <w:pStyle w:val="TableParagraph"/>
              <w:spacing w:before="142"/>
              <w:ind w:left="131"/>
              <w:rPr>
                <w:b/>
                <w:sz w:val="21"/>
              </w:rPr>
            </w:pPr>
            <w:r>
              <w:rPr>
                <w:b/>
                <w:sz w:val="21"/>
              </w:rPr>
              <w:t>机动车</w:t>
            </w:r>
          </w:p>
        </w:tc>
        <w:tc>
          <w:tcPr>
            <w:tcW w:w="7731" w:type="dxa"/>
          </w:tcPr>
          <w:p>
            <w:pPr>
              <w:pStyle w:val="TableParagraph"/>
              <w:spacing w:line="273" w:lineRule="auto" w:before="142"/>
              <w:ind w:left="107" w:right="302"/>
              <w:rPr>
                <w:sz w:val="21"/>
              </w:rPr>
            </w:pPr>
            <w:r>
              <w:rPr>
                <w:spacing w:val="-6"/>
                <w:sz w:val="21"/>
              </w:rPr>
              <w:t>指以动力装置驱动或牵引，上道路行驶的供人员乘用或用于运送物品以及进行工</w:t>
            </w:r>
            <w:r>
              <w:rPr>
                <w:spacing w:val="-4"/>
                <w:sz w:val="21"/>
              </w:rPr>
              <w:t>程专项作业的轮式车辆。</w:t>
            </w:r>
          </w:p>
        </w:tc>
      </w:tr>
      <w:tr>
        <w:trPr>
          <w:trHeight w:val="1560" w:hRule="atLeast"/>
        </w:trPr>
        <w:tc>
          <w:tcPr>
            <w:tcW w:w="859" w:type="dxa"/>
          </w:tcPr>
          <w:p>
            <w:pPr>
              <w:pStyle w:val="TableParagraph"/>
              <w:spacing w:before="142"/>
              <w:ind w:left="0" w:right="128"/>
              <w:jc w:val="right"/>
              <w:rPr>
                <w:b/>
                <w:sz w:val="21"/>
              </w:rPr>
            </w:pPr>
            <w:r>
              <w:rPr>
                <w:b/>
                <w:sz w:val="21"/>
              </w:rPr>
              <w:t>10.18</w:t>
            </w:r>
          </w:p>
        </w:tc>
        <w:tc>
          <w:tcPr>
            <w:tcW w:w="1951" w:type="dxa"/>
          </w:tcPr>
          <w:p>
            <w:pPr>
              <w:pStyle w:val="TableParagraph"/>
              <w:spacing w:line="273" w:lineRule="auto" w:before="142"/>
              <w:ind w:left="131" w:right="103"/>
              <w:rPr>
                <w:b/>
                <w:sz w:val="21"/>
              </w:rPr>
            </w:pPr>
            <w:r>
              <w:rPr>
                <w:b/>
                <w:sz w:val="21"/>
              </w:rPr>
              <w:t>感染艾滋病病毒或患艾滋病</w:t>
            </w:r>
          </w:p>
        </w:tc>
        <w:tc>
          <w:tcPr>
            <w:tcW w:w="7731" w:type="dxa"/>
          </w:tcPr>
          <w:p>
            <w:pPr>
              <w:pStyle w:val="TableParagraph"/>
              <w:spacing w:line="273" w:lineRule="auto" w:before="142"/>
              <w:ind w:left="107" w:right="199"/>
              <w:rPr>
                <w:sz w:val="21"/>
              </w:rPr>
            </w:pPr>
            <w:r>
              <w:rPr>
                <w:spacing w:val="-4"/>
                <w:sz w:val="21"/>
              </w:rPr>
              <w:t>艾滋病病毒指人类免疫缺陷病毒，英文缩写为 </w:t>
            </w:r>
            <w:r>
              <w:rPr>
                <w:sz w:val="21"/>
              </w:rPr>
              <w:t>HIV</w:t>
            </w:r>
            <w:r>
              <w:rPr>
                <w:spacing w:val="-3"/>
                <w:sz w:val="21"/>
              </w:rPr>
              <w:t>。艾滋病指人类免疫缺陷病毒</w:t>
            </w:r>
            <w:r>
              <w:rPr>
                <w:spacing w:val="-8"/>
                <w:sz w:val="21"/>
              </w:rPr>
              <w:t>引起的获得性免疫缺陷综合征，英文缩写为 </w:t>
            </w:r>
            <w:r>
              <w:rPr>
                <w:sz w:val="21"/>
              </w:rPr>
              <w:t>AIDS</w:t>
            </w:r>
            <w:r>
              <w:rPr>
                <w:spacing w:val="-8"/>
                <w:sz w:val="21"/>
              </w:rPr>
              <w:t>。在人体血液或其他样本中检测</w:t>
            </w:r>
            <w:r>
              <w:rPr>
                <w:spacing w:val="-13"/>
                <w:sz w:val="21"/>
              </w:rPr>
              <w:t>到艾滋病病毒或其抗体呈阳性，没有出现临床症状或体征的，为感染艾滋病病毒； </w:t>
            </w:r>
            <w:r>
              <w:rPr>
                <w:spacing w:val="-6"/>
                <w:sz w:val="21"/>
              </w:rPr>
              <w:t>如果同时出现了明显临床症状或体征的，为患艾滋病。</w:t>
            </w:r>
          </w:p>
        </w:tc>
      </w:tr>
      <w:tr>
        <w:trPr>
          <w:trHeight w:val="936" w:hRule="atLeast"/>
        </w:trPr>
        <w:tc>
          <w:tcPr>
            <w:tcW w:w="859" w:type="dxa"/>
          </w:tcPr>
          <w:p>
            <w:pPr>
              <w:pStyle w:val="TableParagraph"/>
              <w:spacing w:before="142"/>
              <w:ind w:left="0" w:right="128"/>
              <w:jc w:val="right"/>
              <w:rPr>
                <w:b/>
                <w:sz w:val="21"/>
              </w:rPr>
            </w:pPr>
            <w:r>
              <w:rPr>
                <w:b/>
                <w:sz w:val="21"/>
              </w:rPr>
              <w:t>10.19</w:t>
            </w:r>
          </w:p>
        </w:tc>
        <w:tc>
          <w:tcPr>
            <w:tcW w:w="1951" w:type="dxa"/>
          </w:tcPr>
          <w:p>
            <w:pPr>
              <w:pStyle w:val="TableParagraph"/>
              <w:spacing w:before="142"/>
              <w:ind w:left="131"/>
              <w:rPr>
                <w:b/>
                <w:sz w:val="21"/>
              </w:rPr>
            </w:pPr>
            <w:r>
              <w:rPr>
                <w:b/>
                <w:sz w:val="21"/>
              </w:rPr>
              <w:t>遗传性疾病</w:t>
            </w:r>
          </w:p>
        </w:tc>
        <w:tc>
          <w:tcPr>
            <w:tcW w:w="7731" w:type="dxa"/>
          </w:tcPr>
          <w:p>
            <w:pPr>
              <w:pStyle w:val="TableParagraph"/>
              <w:spacing w:line="273" w:lineRule="auto" w:before="142"/>
              <w:ind w:left="107" w:right="196"/>
              <w:rPr>
                <w:sz w:val="21"/>
              </w:rPr>
            </w:pPr>
            <w:r>
              <w:rPr>
                <w:spacing w:val="-8"/>
                <w:sz w:val="21"/>
              </w:rPr>
              <w:t>指生殖细胞或受精卵的遗传物质</w:t>
            </w:r>
            <w:r>
              <w:rPr>
                <w:sz w:val="21"/>
              </w:rPr>
              <w:t>（</w:t>
            </w:r>
            <w:r>
              <w:rPr>
                <w:spacing w:val="-3"/>
                <w:sz w:val="21"/>
              </w:rPr>
              <w:t>染色体和基因</w:t>
            </w:r>
            <w:r>
              <w:rPr>
                <w:spacing w:val="-73"/>
                <w:sz w:val="21"/>
              </w:rPr>
              <w:t>）</w:t>
            </w:r>
            <w:r>
              <w:rPr>
                <w:spacing w:val="-3"/>
                <w:sz w:val="21"/>
              </w:rPr>
              <w:t>发生突变或畸变所引起的疾病， 通常具有由亲代传至后代的垂直传递的特征。</w:t>
            </w:r>
          </w:p>
        </w:tc>
      </w:tr>
      <w:tr>
        <w:trPr>
          <w:trHeight w:val="1248" w:hRule="atLeast"/>
        </w:trPr>
        <w:tc>
          <w:tcPr>
            <w:tcW w:w="859" w:type="dxa"/>
          </w:tcPr>
          <w:p>
            <w:pPr>
              <w:pStyle w:val="TableParagraph"/>
              <w:spacing w:before="142"/>
              <w:ind w:left="0" w:right="130"/>
              <w:jc w:val="right"/>
              <w:rPr>
                <w:b/>
                <w:sz w:val="21"/>
              </w:rPr>
            </w:pPr>
            <w:r>
              <w:rPr>
                <w:b/>
                <w:sz w:val="21"/>
              </w:rPr>
              <w:t>10.20</w:t>
            </w:r>
          </w:p>
        </w:tc>
        <w:tc>
          <w:tcPr>
            <w:tcW w:w="1951" w:type="dxa"/>
          </w:tcPr>
          <w:p>
            <w:pPr>
              <w:pStyle w:val="TableParagraph"/>
              <w:spacing w:line="273" w:lineRule="auto" w:before="142"/>
              <w:ind w:left="131" w:right="103"/>
              <w:rPr>
                <w:b/>
                <w:sz w:val="21"/>
              </w:rPr>
            </w:pPr>
            <w:r>
              <w:rPr>
                <w:b/>
                <w:sz w:val="21"/>
              </w:rPr>
              <w:t>先天性畸形、变形或染色体异常</w:t>
            </w:r>
          </w:p>
        </w:tc>
        <w:tc>
          <w:tcPr>
            <w:tcW w:w="7731" w:type="dxa"/>
          </w:tcPr>
          <w:p>
            <w:pPr>
              <w:pStyle w:val="TableParagraph"/>
              <w:spacing w:line="264" w:lineRule="auto" w:before="142"/>
              <w:ind w:left="107" w:right="303"/>
              <w:jc w:val="both"/>
              <w:rPr>
                <w:sz w:val="21"/>
              </w:rPr>
            </w:pPr>
            <w:r>
              <w:rPr>
                <w:spacing w:val="-6"/>
                <w:sz w:val="21"/>
              </w:rPr>
              <w:t>指被保险人出生时就具有的畸形、变形或染色体异常。先天性畸形、变形和染色体异常依照世界卫生组织《疾病和有关健康问题的国际统计分类》</w:t>
            </w:r>
            <w:r>
              <w:rPr>
                <w:spacing w:val="-3"/>
                <w:sz w:val="21"/>
              </w:rPr>
              <w:t>（</w:t>
            </w:r>
            <w:r>
              <w:rPr>
                <w:rFonts w:ascii="Times New Roman" w:eastAsia="Times New Roman"/>
                <w:spacing w:val="-3"/>
                <w:sz w:val="21"/>
              </w:rPr>
              <w:t>ICD-10</w:t>
            </w:r>
            <w:r>
              <w:rPr>
                <w:spacing w:val="-3"/>
                <w:sz w:val="21"/>
              </w:rPr>
              <w:t>）</w:t>
            </w:r>
            <w:r>
              <w:rPr>
                <w:spacing w:val="-12"/>
                <w:sz w:val="21"/>
              </w:rPr>
              <w:t>确</w:t>
            </w:r>
            <w:r>
              <w:rPr>
                <w:sz w:val="21"/>
              </w:rPr>
              <w:t>定。</w:t>
            </w:r>
          </w:p>
        </w:tc>
      </w:tr>
      <w:tr>
        <w:trPr>
          <w:trHeight w:val="936" w:hRule="atLeast"/>
        </w:trPr>
        <w:tc>
          <w:tcPr>
            <w:tcW w:w="859" w:type="dxa"/>
          </w:tcPr>
          <w:p>
            <w:pPr>
              <w:pStyle w:val="TableParagraph"/>
              <w:spacing w:before="142"/>
              <w:ind w:left="0" w:right="130"/>
              <w:jc w:val="right"/>
              <w:rPr>
                <w:b/>
                <w:sz w:val="21"/>
              </w:rPr>
            </w:pPr>
            <w:r>
              <w:rPr>
                <w:b/>
                <w:sz w:val="21"/>
              </w:rPr>
              <w:t>10.21</w:t>
            </w:r>
          </w:p>
        </w:tc>
        <w:tc>
          <w:tcPr>
            <w:tcW w:w="1951" w:type="dxa"/>
          </w:tcPr>
          <w:p>
            <w:pPr>
              <w:pStyle w:val="TableParagraph"/>
              <w:spacing w:before="142"/>
              <w:ind w:left="131"/>
              <w:rPr>
                <w:b/>
                <w:sz w:val="21"/>
              </w:rPr>
            </w:pPr>
            <w:r>
              <w:rPr>
                <w:b/>
                <w:sz w:val="21"/>
              </w:rPr>
              <w:t>现金价值</w:t>
            </w:r>
          </w:p>
        </w:tc>
        <w:tc>
          <w:tcPr>
            <w:tcW w:w="7731" w:type="dxa"/>
          </w:tcPr>
          <w:p>
            <w:pPr>
              <w:pStyle w:val="TableParagraph"/>
              <w:spacing w:line="273" w:lineRule="auto" w:before="142"/>
              <w:ind w:left="107" w:right="303"/>
              <w:rPr>
                <w:sz w:val="21"/>
              </w:rPr>
            </w:pPr>
            <w:r>
              <w:rPr>
                <w:spacing w:val="-6"/>
                <w:sz w:val="21"/>
              </w:rPr>
              <w:t>指保险合同所具有的价值，通常体现为解除合同时，根据精算原理计算的，由我</w:t>
            </w:r>
            <w:r>
              <w:rPr>
                <w:spacing w:val="-4"/>
                <w:sz w:val="21"/>
              </w:rPr>
              <w:t>们退还的那部分金额。</w:t>
            </w:r>
          </w:p>
        </w:tc>
      </w:tr>
      <w:tr>
        <w:trPr>
          <w:trHeight w:val="1248" w:hRule="atLeast"/>
        </w:trPr>
        <w:tc>
          <w:tcPr>
            <w:tcW w:w="859" w:type="dxa"/>
          </w:tcPr>
          <w:p>
            <w:pPr>
              <w:pStyle w:val="TableParagraph"/>
              <w:spacing w:before="143"/>
              <w:ind w:left="0" w:right="130"/>
              <w:jc w:val="right"/>
              <w:rPr>
                <w:b/>
                <w:sz w:val="21"/>
              </w:rPr>
            </w:pPr>
            <w:r>
              <w:rPr>
                <w:b/>
                <w:sz w:val="21"/>
              </w:rPr>
              <w:t>10.22</w:t>
            </w:r>
          </w:p>
        </w:tc>
        <w:tc>
          <w:tcPr>
            <w:tcW w:w="1951" w:type="dxa"/>
          </w:tcPr>
          <w:p>
            <w:pPr>
              <w:pStyle w:val="TableParagraph"/>
              <w:spacing w:before="143"/>
              <w:ind w:left="131"/>
              <w:rPr>
                <w:b/>
                <w:sz w:val="21"/>
              </w:rPr>
            </w:pPr>
            <w:r>
              <w:rPr>
                <w:b/>
                <w:sz w:val="21"/>
              </w:rPr>
              <w:t>医疗机构</w:t>
            </w:r>
          </w:p>
        </w:tc>
        <w:tc>
          <w:tcPr>
            <w:tcW w:w="7731" w:type="dxa"/>
          </w:tcPr>
          <w:p>
            <w:pPr>
              <w:pStyle w:val="TableParagraph"/>
              <w:spacing w:line="273" w:lineRule="auto" w:before="143"/>
              <w:ind w:left="107" w:right="266"/>
              <w:jc w:val="both"/>
              <w:rPr>
                <w:sz w:val="21"/>
              </w:rPr>
            </w:pPr>
            <w:r>
              <w:rPr>
                <w:sz w:val="21"/>
              </w:rPr>
              <w:t>指经中华人民共和国卫生部门正式评定的二级或以上之公立医院，但不包括上述医院的分院、联合病房或联合病床，精神病院，专供康复、休养、戒毒、戒酒、护理、养老等非以直接诊治病人为目的的医疗机构。</w:t>
            </w:r>
          </w:p>
        </w:tc>
      </w:tr>
      <w:tr>
        <w:trPr>
          <w:trHeight w:val="1041" w:hRule="atLeast"/>
        </w:trPr>
        <w:tc>
          <w:tcPr>
            <w:tcW w:w="859" w:type="dxa"/>
          </w:tcPr>
          <w:p>
            <w:pPr>
              <w:pStyle w:val="TableParagraph"/>
              <w:spacing w:before="142"/>
              <w:ind w:left="0" w:right="128"/>
              <w:jc w:val="right"/>
              <w:rPr>
                <w:b/>
                <w:sz w:val="21"/>
              </w:rPr>
            </w:pPr>
            <w:r>
              <w:rPr>
                <w:b/>
                <w:sz w:val="21"/>
              </w:rPr>
              <w:t>10.23</w:t>
            </w:r>
          </w:p>
        </w:tc>
        <w:tc>
          <w:tcPr>
            <w:tcW w:w="1951" w:type="dxa"/>
          </w:tcPr>
          <w:p>
            <w:pPr>
              <w:pStyle w:val="TableParagraph"/>
              <w:spacing w:before="142"/>
              <w:ind w:left="131"/>
              <w:rPr>
                <w:b/>
                <w:sz w:val="21"/>
              </w:rPr>
            </w:pPr>
            <w:r>
              <w:rPr>
                <w:b/>
                <w:sz w:val="21"/>
              </w:rPr>
              <w:t>利息</w:t>
            </w:r>
          </w:p>
        </w:tc>
        <w:tc>
          <w:tcPr>
            <w:tcW w:w="7731" w:type="dxa"/>
          </w:tcPr>
          <w:p>
            <w:pPr>
              <w:pStyle w:val="TableParagraph"/>
              <w:spacing w:line="310" w:lineRule="atLeast" w:before="107"/>
              <w:ind w:left="107" w:right="302"/>
              <w:jc w:val="both"/>
              <w:rPr>
                <w:sz w:val="21"/>
              </w:rPr>
            </w:pPr>
            <w:r>
              <w:rPr>
                <w:sz w:val="21"/>
              </w:rPr>
              <w:t>本合同保单质押借款的利息按我们收到保单质押借款申请书时已宣布的借款利</w:t>
            </w:r>
            <w:r>
              <w:rPr>
                <w:spacing w:val="-11"/>
                <w:sz w:val="21"/>
              </w:rPr>
              <w:t>率计算，我们在每年的 </w:t>
            </w:r>
            <w:r>
              <w:rPr>
                <w:sz w:val="21"/>
              </w:rPr>
              <w:t>1</w:t>
            </w:r>
            <w:r>
              <w:rPr>
                <w:spacing w:val="-34"/>
                <w:sz w:val="21"/>
              </w:rPr>
              <w:t> 月 </w:t>
            </w:r>
            <w:r>
              <w:rPr>
                <w:sz w:val="21"/>
              </w:rPr>
              <w:t>1</w:t>
            </w:r>
            <w:r>
              <w:rPr>
                <w:spacing w:val="-26"/>
                <w:sz w:val="21"/>
              </w:rPr>
              <w:t> 日和 </w:t>
            </w:r>
            <w:r>
              <w:rPr>
                <w:sz w:val="21"/>
              </w:rPr>
              <w:t>7</w:t>
            </w:r>
            <w:r>
              <w:rPr>
                <w:spacing w:val="-34"/>
                <w:sz w:val="21"/>
              </w:rPr>
              <w:t> 月 </w:t>
            </w:r>
            <w:r>
              <w:rPr>
                <w:sz w:val="21"/>
              </w:rPr>
              <w:t>1</w:t>
            </w:r>
            <w:r>
              <w:rPr>
                <w:spacing w:val="-9"/>
                <w:sz w:val="21"/>
              </w:rPr>
              <w:t> 日根据监管规定和市场情况宣布两次借</w:t>
            </w:r>
            <w:r>
              <w:rPr>
                <w:spacing w:val="-6"/>
                <w:sz w:val="21"/>
              </w:rPr>
              <w:t>款利率。</w:t>
            </w:r>
          </w:p>
        </w:tc>
      </w:tr>
    </w:tbl>
    <w:p>
      <w:pPr>
        <w:spacing w:after="0" w:line="310" w:lineRule="atLeast"/>
        <w:jc w:val="both"/>
        <w:rPr>
          <w:sz w:val="21"/>
        </w:rPr>
        <w:sectPr>
          <w:pgSz w:w="11910" w:h="16840"/>
          <w:pgMar w:header="0" w:footer="353" w:top="116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622"/>
        <w:gridCol w:w="7952"/>
      </w:tblGrid>
      <w:tr>
        <w:trPr>
          <w:trHeight w:val="417" w:hRule="atLeast"/>
        </w:trPr>
        <w:tc>
          <w:tcPr>
            <w:tcW w:w="859" w:type="dxa"/>
          </w:tcPr>
          <w:p>
            <w:pPr>
              <w:pStyle w:val="TableParagraph"/>
              <w:ind w:left="0"/>
              <w:rPr>
                <w:rFonts w:ascii="Times New Roman"/>
                <w:sz w:val="20"/>
              </w:rPr>
            </w:pPr>
          </w:p>
        </w:tc>
        <w:tc>
          <w:tcPr>
            <w:tcW w:w="1622" w:type="dxa"/>
          </w:tcPr>
          <w:p>
            <w:pPr>
              <w:pStyle w:val="TableParagraph"/>
              <w:ind w:left="0"/>
              <w:rPr>
                <w:rFonts w:ascii="Times New Roman"/>
                <w:sz w:val="20"/>
              </w:rPr>
            </w:pPr>
          </w:p>
        </w:tc>
        <w:tc>
          <w:tcPr>
            <w:tcW w:w="7952" w:type="dxa"/>
          </w:tcPr>
          <w:p>
            <w:pPr>
              <w:pStyle w:val="TableParagraph"/>
              <w:spacing w:line="209" w:lineRule="exact"/>
              <w:ind w:left="436"/>
              <w:rPr>
                <w:sz w:val="21"/>
              </w:rPr>
            </w:pPr>
            <w:r>
              <w:rPr>
                <w:sz w:val="21"/>
              </w:rPr>
              <w:t>借款利率适用于本合同自动垫交的保险费和补交保险费的利息计算。</w:t>
            </w:r>
          </w:p>
        </w:tc>
      </w:tr>
      <w:tr>
        <w:trPr>
          <w:trHeight w:val="729" w:hRule="atLeast"/>
        </w:trPr>
        <w:tc>
          <w:tcPr>
            <w:tcW w:w="859" w:type="dxa"/>
          </w:tcPr>
          <w:p>
            <w:pPr>
              <w:pStyle w:val="TableParagraph"/>
              <w:spacing w:before="140"/>
              <w:ind w:left="200"/>
              <w:rPr>
                <w:b/>
                <w:sz w:val="21"/>
              </w:rPr>
            </w:pPr>
            <w:r>
              <w:rPr>
                <w:b/>
                <w:sz w:val="21"/>
              </w:rPr>
              <w:t>10.24</w:t>
            </w:r>
          </w:p>
        </w:tc>
        <w:tc>
          <w:tcPr>
            <w:tcW w:w="1622" w:type="dxa"/>
          </w:tcPr>
          <w:p>
            <w:pPr>
              <w:pStyle w:val="TableParagraph"/>
              <w:spacing w:before="140"/>
              <w:ind w:left="131"/>
              <w:rPr>
                <w:b/>
                <w:sz w:val="21"/>
              </w:rPr>
            </w:pPr>
            <w:r>
              <w:rPr>
                <w:b/>
                <w:sz w:val="21"/>
              </w:rPr>
              <w:t>永久不可逆</w:t>
            </w:r>
          </w:p>
        </w:tc>
        <w:tc>
          <w:tcPr>
            <w:tcW w:w="7952" w:type="dxa"/>
          </w:tcPr>
          <w:p>
            <w:pPr>
              <w:pStyle w:val="TableParagraph"/>
              <w:spacing w:line="310" w:lineRule="atLeast" w:before="105"/>
              <w:ind w:left="436" w:right="197"/>
              <w:rPr>
                <w:sz w:val="21"/>
              </w:rPr>
            </w:pPr>
            <w:r>
              <w:rPr>
                <w:spacing w:val="-7"/>
                <w:sz w:val="21"/>
              </w:rPr>
              <w:t>指自疾病确诊或意外发生之日起，经过积极治疗 </w:t>
            </w:r>
            <w:r>
              <w:rPr>
                <w:sz w:val="21"/>
              </w:rPr>
              <w:t>180</w:t>
            </w:r>
            <w:r>
              <w:rPr>
                <w:spacing w:val="-9"/>
                <w:sz w:val="21"/>
              </w:rPr>
              <w:t> 天后，仍无法通过现有医疗</w:t>
            </w:r>
            <w:r>
              <w:rPr>
                <w:spacing w:val="-5"/>
                <w:sz w:val="21"/>
              </w:rPr>
              <w:t>手段恢复。</w:t>
            </w:r>
          </w:p>
        </w:tc>
      </w:tr>
    </w:tbl>
    <w:sectPr>
      <w:pgSz w:w="11910" w:h="16840"/>
      <w:pgMar w:header="0" w:footer="353" w:top="1480" w:bottom="54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仿宋">
    <w:altName w:val="仿宋"/>
    <w:charset w:val="86"/>
    <w:family w:val="modern"/>
    <w:pitch w:val="fixed"/>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0.649994pt;margin-top:809.281616pt;width:74.150pt;height:11pt;mso-position-horizontal-relative:page;mso-position-vertical-relative:page;z-index:-48448" type="#_x0000_t202" filled="false" stroked="false">
          <v:textbox inset="0,0,0,0">
            <w:txbxContent>
              <w:p>
                <w:pPr>
                  <w:spacing w:line="200" w:lineRule="exact" w:before="0"/>
                  <w:ind w:left="20" w:right="0" w:firstLine="0"/>
                  <w:jc w:val="left"/>
                  <w:rPr>
                    <w:sz w:val="18"/>
                  </w:rPr>
                </w:pPr>
                <w:r>
                  <w:rPr>
                    <w:spacing w:val="-23"/>
                    <w:sz w:val="18"/>
                  </w:rPr>
                  <w:t>第 </w:t>
                </w:r>
                <w:r>
                  <w:rPr/>
                  <w:fldChar w:fldCharType="begin"/>
                </w:r>
                <w:r>
                  <w:rPr>
                    <w:sz w:val="18"/>
                  </w:rPr>
                  <w:instrText> PAGE </w:instrText>
                </w:r>
                <w:r>
                  <w:rPr/>
                  <w:fldChar w:fldCharType="separate"/>
                </w:r>
                <w:r>
                  <w:rPr/>
                  <w:t>10</w:t>
                </w:r>
                <w:r>
                  <w:rPr/>
                  <w:fldChar w:fldCharType="end"/>
                </w:r>
                <w:r>
                  <w:rPr>
                    <w:spacing w:val="-20"/>
                    <w:sz w:val="18"/>
                  </w:rPr>
                  <w:t> 页，共 </w:t>
                </w:r>
                <w:r>
                  <w:rPr>
                    <w:sz w:val="18"/>
                  </w:rPr>
                  <w:t>23</w:t>
                </w:r>
                <w:r>
                  <w:rPr>
                    <w:spacing w:val="-23"/>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44" w:hanging="423"/>
        <w:jc w:val="left"/>
      </w:pPr>
      <w:rPr>
        <w:rFonts w:hint="default" w:ascii="宋体" w:hAnsi="宋体" w:eastAsia="宋体" w:cs="宋体"/>
        <w:b/>
        <w:bCs/>
        <w:i/>
        <w:w w:val="95"/>
        <w:sz w:val="22"/>
        <w:szCs w:val="22"/>
      </w:rPr>
    </w:lvl>
    <w:lvl w:ilvl="1">
      <w:start w:val="0"/>
      <w:numFmt w:val="bullet"/>
      <w:lvlText w:val="•"/>
      <w:lvlJc w:val="left"/>
      <w:pPr>
        <w:ind w:left="1253" w:hanging="423"/>
      </w:pPr>
      <w:rPr>
        <w:rFonts w:hint="default"/>
      </w:rPr>
    </w:lvl>
    <w:lvl w:ilvl="2">
      <w:start w:val="0"/>
      <w:numFmt w:val="bullet"/>
      <w:lvlText w:val="•"/>
      <w:lvlJc w:val="left"/>
      <w:pPr>
        <w:ind w:left="1967" w:hanging="423"/>
      </w:pPr>
      <w:rPr>
        <w:rFonts w:hint="default"/>
      </w:rPr>
    </w:lvl>
    <w:lvl w:ilvl="3">
      <w:start w:val="0"/>
      <w:numFmt w:val="bullet"/>
      <w:lvlText w:val="•"/>
      <w:lvlJc w:val="left"/>
      <w:pPr>
        <w:ind w:left="2680" w:hanging="423"/>
      </w:pPr>
      <w:rPr>
        <w:rFonts w:hint="default"/>
      </w:rPr>
    </w:lvl>
    <w:lvl w:ilvl="4">
      <w:start w:val="0"/>
      <w:numFmt w:val="bullet"/>
      <w:lvlText w:val="•"/>
      <w:lvlJc w:val="left"/>
      <w:pPr>
        <w:ind w:left="3394" w:hanging="423"/>
      </w:pPr>
      <w:rPr>
        <w:rFonts w:hint="default"/>
      </w:rPr>
    </w:lvl>
    <w:lvl w:ilvl="5">
      <w:start w:val="0"/>
      <w:numFmt w:val="bullet"/>
      <w:lvlText w:val="•"/>
      <w:lvlJc w:val="left"/>
      <w:pPr>
        <w:ind w:left="4108" w:hanging="423"/>
      </w:pPr>
      <w:rPr>
        <w:rFonts w:hint="default"/>
      </w:rPr>
    </w:lvl>
    <w:lvl w:ilvl="6">
      <w:start w:val="0"/>
      <w:numFmt w:val="bullet"/>
      <w:lvlText w:val="•"/>
      <w:lvlJc w:val="left"/>
      <w:pPr>
        <w:ind w:left="4821" w:hanging="423"/>
      </w:pPr>
      <w:rPr>
        <w:rFonts w:hint="default"/>
      </w:rPr>
    </w:lvl>
    <w:lvl w:ilvl="7">
      <w:start w:val="0"/>
      <w:numFmt w:val="bullet"/>
      <w:lvlText w:val="•"/>
      <w:lvlJc w:val="left"/>
      <w:pPr>
        <w:ind w:left="5535" w:hanging="423"/>
      </w:pPr>
      <w:rPr>
        <w:rFonts w:hint="default"/>
      </w:rPr>
    </w:lvl>
    <w:lvl w:ilvl="8">
      <w:start w:val="0"/>
      <w:numFmt w:val="bullet"/>
      <w:lvlText w:val="•"/>
      <w:lvlJc w:val="left"/>
      <w:pPr>
        <w:ind w:left="6248" w:hanging="423"/>
      </w:pPr>
      <w:rPr>
        <w:rFonts w:hint="default"/>
      </w:rPr>
    </w:lvl>
  </w:abstractNum>
  <w:abstractNum w:abstractNumId="4">
    <w:multiLevelType w:val="hybridMultilevel"/>
    <w:lvl w:ilvl="0">
      <w:start w:val="1"/>
      <w:numFmt w:val="decimal"/>
      <w:lvlText w:val="%1."/>
      <w:lvlJc w:val="left"/>
      <w:pPr>
        <w:ind w:left="961" w:hanging="351"/>
        <w:jc w:val="left"/>
      </w:pPr>
      <w:rPr>
        <w:rFonts w:hint="default" w:ascii="宋体" w:hAnsi="宋体" w:eastAsia="宋体" w:cs="宋体"/>
        <w:w w:val="100"/>
        <w:sz w:val="21"/>
        <w:szCs w:val="21"/>
      </w:rPr>
    </w:lvl>
    <w:lvl w:ilvl="1">
      <w:start w:val="0"/>
      <w:numFmt w:val="bullet"/>
      <w:lvlText w:val="•"/>
      <w:lvlJc w:val="left"/>
      <w:pPr>
        <w:ind w:left="1638" w:hanging="351"/>
      </w:pPr>
      <w:rPr>
        <w:rFonts w:hint="default"/>
      </w:rPr>
    </w:lvl>
    <w:lvl w:ilvl="2">
      <w:start w:val="0"/>
      <w:numFmt w:val="bullet"/>
      <w:lvlText w:val="•"/>
      <w:lvlJc w:val="left"/>
      <w:pPr>
        <w:ind w:left="2316" w:hanging="351"/>
      </w:pPr>
      <w:rPr>
        <w:rFonts w:hint="default"/>
      </w:rPr>
    </w:lvl>
    <w:lvl w:ilvl="3">
      <w:start w:val="0"/>
      <w:numFmt w:val="bullet"/>
      <w:lvlText w:val="•"/>
      <w:lvlJc w:val="left"/>
      <w:pPr>
        <w:ind w:left="2994" w:hanging="351"/>
      </w:pPr>
      <w:rPr>
        <w:rFonts w:hint="default"/>
      </w:rPr>
    </w:lvl>
    <w:lvl w:ilvl="4">
      <w:start w:val="0"/>
      <w:numFmt w:val="bullet"/>
      <w:lvlText w:val="•"/>
      <w:lvlJc w:val="left"/>
      <w:pPr>
        <w:ind w:left="3673" w:hanging="351"/>
      </w:pPr>
      <w:rPr>
        <w:rFonts w:hint="default"/>
      </w:rPr>
    </w:lvl>
    <w:lvl w:ilvl="5">
      <w:start w:val="0"/>
      <w:numFmt w:val="bullet"/>
      <w:lvlText w:val="•"/>
      <w:lvlJc w:val="left"/>
      <w:pPr>
        <w:ind w:left="4351" w:hanging="351"/>
      </w:pPr>
      <w:rPr>
        <w:rFonts w:hint="default"/>
      </w:rPr>
    </w:lvl>
    <w:lvl w:ilvl="6">
      <w:start w:val="0"/>
      <w:numFmt w:val="bullet"/>
      <w:lvlText w:val="•"/>
      <w:lvlJc w:val="left"/>
      <w:pPr>
        <w:ind w:left="5029" w:hanging="351"/>
      </w:pPr>
      <w:rPr>
        <w:rFonts w:hint="default"/>
      </w:rPr>
    </w:lvl>
    <w:lvl w:ilvl="7">
      <w:start w:val="0"/>
      <w:numFmt w:val="bullet"/>
      <w:lvlText w:val="•"/>
      <w:lvlJc w:val="left"/>
      <w:pPr>
        <w:ind w:left="5708" w:hanging="351"/>
      </w:pPr>
      <w:rPr>
        <w:rFonts w:hint="default"/>
      </w:rPr>
    </w:lvl>
    <w:lvl w:ilvl="8">
      <w:start w:val="0"/>
      <w:numFmt w:val="bullet"/>
      <w:lvlText w:val="•"/>
      <w:lvlJc w:val="left"/>
      <w:pPr>
        <w:ind w:left="6386" w:hanging="351"/>
      </w:pPr>
      <w:rPr>
        <w:rFonts w:hint="default"/>
      </w:rPr>
    </w:lvl>
  </w:abstractNum>
  <w:abstractNum w:abstractNumId="3">
    <w:multiLevelType w:val="hybridMultilevel"/>
    <w:lvl w:ilvl="0">
      <w:start w:val="2"/>
      <w:numFmt w:val="decimal"/>
      <w:lvlText w:val="%1."/>
      <w:lvlJc w:val="left"/>
      <w:pPr>
        <w:ind w:left="961" w:hanging="351"/>
        <w:jc w:val="left"/>
      </w:pPr>
      <w:rPr>
        <w:rFonts w:hint="default" w:ascii="宋体" w:hAnsi="宋体" w:eastAsia="宋体" w:cs="宋体"/>
        <w:w w:val="100"/>
        <w:sz w:val="21"/>
        <w:szCs w:val="21"/>
      </w:rPr>
    </w:lvl>
    <w:lvl w:ilvl="1">
      <w:start w:val="0"/>
      <w:numFmt w:val="bullet"/>
      <w:lvlText w:val="•"/>
      <w:lvlJc w:val="left"/>
      <w:pPr>
        <w:ind w:left="1638" w:hanging="351"/>
      </w:pPr>
      <w:rPr>
        <w:rFonts w:hint="default"/>
      </w:rPr>
    </w:lvl>
    <w:lvl w:ilvl="2">
      <w:start w:val="0"/>
      <w:numFmt w:val="bullet"/>
      <w:lvlText w:val="•"/>
      <w:lvlJc w:val="left"/>
      <w:pPr>
        <w:ind w:left="2316" w:hanging="351"/>
      </w:pPr>
      <w:rPr>
        <w:rFonts w:hint="default"/>
      </w:rPr>
    </w:lvl>
    <w:lvl w:ilvl="3">
      <w:start w:val="0"/>
      <w:numFmt w:val="bullet"/>
      <w:lvlText w:val="•"/>
      <w:lvlJc w:val="left"/>
      <w:pPr>
        <w:ind w:left="2994" w:hanging="351"/>
      </w:pPr>
      <w:rPr>
        <w:rFonts w:hint="default"/>
      </w:rPr>
    </w:lvl>
    <w:lvl w:ilvl="4">
      <w:start w:val="0"/>
      <w:numFmt w:val="bullet"/>
      <w:lvlText w:val="•"/>
      <w:lvlJc w:val="left"/>
      <w:pPr>
        <w:ind w:left="3673" w:hanging="351"/>
      </w:pPr>
      <w:rPr>
        <w:rFonts w:hint="default"/>
      </w:rPr>
    </w:lvl>
    <w:lvl w:ilvl="5">
      <w:start w:val="0"/>
      <w:numFmt w:val="bullet"/>
      <w:lvlText w:val="•"/>
      <w:lvlJc w:val="left"/>
      <w:pPr>
        <w:ind w:left="4351" w:hanging="351"/>
      </w:pPr>
      <w:rPr>
        <w:rFonts w:hint="default"/>
      </w:rPr>
    </w:lvl>
    <w:lvl w:ilvl="6">
      <w:start w:val="0"/>
      <w:numFmt w:val="bullet"/>
      <w:lvlText w:val="•"/>
      <w:lvlJc w:val="left"/>
      <w:pPr>
        <w:ind w:left="5029" w:hanging="351"/>
      </w:pPr>
      <w:rPr>
        <w:rFonts w:hint="default"/>
      </w:rPr>
    </w:lvl>
    <w:lvl w:ilvl="7">
      <w:start w:val="0"/>
      <w:numFmt w:val="bullet"/>
      <w:lvlText w:val="•"/>
      <w:lvlJc w:val="left"/>
      <w:pPr>
        <w:ind w:left="5708" w:hanging="351"/>
      </w:pPr>
      <w:rPr>
        <w:rFonts w:hint="default"/>
      </w:rPr>
    </w:lvl>
    <w:lvl w:ilvl="8">
      <w:start w:val="0"/>
      <w:numFmt w:val="bullet"/>
      <w:lvlText w:val="•"/>
      <w:lvlJc w:val="left"/>
      <w:pPr>
        <w:ind w:left="6386" w:hanging="351"/>
      </w:pPr>
      <w:rPr>
        <w:rFonts w:hint="default"/>
      </w:rPr>
    </w:lvl>
  </w:abstractNum>
  <w:abstractNum w:abstractNumId="2">
    <w:multiLevelType w:val="hybridMultilevel"/>
    <w:lvl w:ilvl="0">
      <w:start w:val="1"/>
      <w:numFmt w:val="decimal"/>
      <w:lvlText w:val="%1."/>
      <w:lvlJc w:val="left"/>
      <w:pPr>
        <w:ind w:left="961" w:hanging="351"/>
        <w:jc w:val="left"/>
      </w:pPr>
      <w:rPr>
        <w:rFonts w:hint="default" w:ascii="宋体" w:hAnsi="宋体" w:eastAsia="宋体" w:cs="宋体"/>
        <w:w w:val="100"/>
        <w:sz w:val="21"/>
        <w:szCs w:val="21"/>
      </w:rPr>
    </w:lvl>
    <w:lvl w:ilvl="1">
      <w:start w:val="0"/>
      <w:numFmt w:val="bullet"/>
      <w:lvlText w:val="•"/>
      <w:lvlJc w:val="left"/>
      <w:pPr>
        <w:ind w:left="1638" w:hanging="351"/>
      </w:pPr>
      <w:rPr>
        <w:rFonts w:hint="default"/>
      </w:rPr>
    </w:lvl>
    <w:lvl w:ilvl="2">
      <w:start w:val="0"/>
      <w:numFmt w:val="bullet"/>
      <w:lvlText w:val="•"/>
      <w:lvlJc w:val="left"/>
      <w:pPr>
        <w:ind w:left="2317" w:hanging="351"/>
      </w:pPr>
      <w:rPr>
        <w:rFonts w:hint="default"/>
      </w:rPr>
    </w:lvl>
    <w:lvl w:ilvl="3">
      <w:start w:val="0"/>
      <w:numFmt w:val="bullet"/>
      <w:lvlText w:val="•"/>
      <w:lvlJc w:val="left"/>
      <w:pPr>
        <w:ind w:left="2995" w:hanging="351"/>
      </w:pPr>
      <w:rPr>
        <w:rFonts w:hint="default"/>
      </w:rPr>
    </w:lvl>
    <w:lvl w:ilvl="4">
      <w:start w:val="0"/>
      <w:numFmt w:val="bullet"/>
      <w:lvlText w:val="•"/>
      <w:lvlJc w:val="left"/>
      <w:pPr>
        <w:ind w:left="3674" w:hanging="351"/>
      </w:pPr>
      <w:rPr>
        <w:rFonts w:hint="default"/>
      </w:rPr>
    </w:lvl>
    <w:lvl w:ilvl="5">
      <w:start w:val="0"/>
      <w:numFmt w:val="bullet"/>
      <w:lvlText w:val="•"/>
      <w:lvlJc w:val="left"/>
      <w:pPr>
        <w:ind w:left="4353" w:hanging="351"/>
      </w:pPr>
      <w:rPr>
        <w:rFonts w:hint="default"/>
      </w:rPr>
    </w:lvl>
    <w:lvl w:ilvl="6">
      <w:start w:val="0"/>
      <w:numFmt w:val="bullet"/>
      <w:lvlText w:val="•"/>
      <w:lvlJc w:val="left"/>
      <w:pPr>
        <w:ind w:left="5031" w:hanging="351"/>
      </w:pPr>
      <w:rPr>
        <w:rFonts w:hint="default"/>
      </w:rPr>
    </w:lvl>
    <w:lvl w:ilvl="7">
      <w:start w:val="0"/>
      <w:numFmt w:val="bullet"/>
      <w:lvlText w:val="•"/>
      <w:lvlJc w:val="left"/>
      <w:pPr>
        <w:ind w:left="5710" w:hanging="351"/>
      </w:pPr>
      <w:rPr>
        <w:rFonts w:hint="default"/>
      </w:rPr>
    </w:lvl>
    <w:lvl w:ilvl="8">
      <w:start w:val="0"/>
      <w:numFmt w:val="bullet"/>
      <w:lvlText w:val="•"/>
      <w:lvlJc w:val="left"/>
      <w:pPr>
        <w:ind w:left="6388" w:hanging="351"/>
      </w:pPr>
      <w:rPr>
        <w:rFonts w:hint="default"/>
      </w:rPr>
    </w:lvl>
  </w:abstractNum>
  <w:abstractNum w:abstractNumId="1">
    <w:multiLevelType w:val="hybridMultilevel"/>
    <w:lvl w:ilvl="0">
      <w:start w:val="2"/>
      <w:numFmt w:val="decimal"/>
      <w:lvlText w:val="%1."/>
      <w:lvlJc w:val="left"/>
      <w:pPr>
        <w:ind w:left="1963" w:hanging="317"/>
        <w:jc w:val="left"/>
      </w:pPr>
      <w:rPr>
        <w:rFonts w:hint="default" w:ascii="宋体" w:hAnsi="宋体" w:eastAsia="宋体" w:cs="宋体"/>
        <w:w w:val="100"/>
        <w:sz w:val="21"/>
        <w:szCs w:val="21"/>
      </w:rPr>
    </w:lvl>
    <w:lvl w:ilvl="1">
      <w:start w:val="0"/>
      <w:numFmt w:val="bullet"/>
      <w:lvlText w:val="•"/>
      <w:lvlJc w:val="left"/>
      <w:pPr>
        <w:ind w:left="2531" w:hanging="317"/>
      </w:pPr>
      <w:rPr>
        <w:rFonts w:hint="default"/>
      </w:rPr>
    </w:lvl>
    <w:lvl w:ilvl="2">
      <w:start w:val="0"/>
      <w:numFmt w:val="bullet"/>
      <w:lvlText w:val="•"/>
      <w:lvlJc w:val="left"/>
      <w:pPr>
        <w:ind w:left="3103" w:hanging="317"/>
      </w:pPr>
      <w:rPr>
        <w:rFonts w:hint="default"/>
      </w:rPr>
    </w:lvl>
    <w:lvl w:ilvl="3">
      <w:start w:val="0"/>
      <w:numFmt w:val="bullet"/>
      <w:lvlText w:val="•"/>
      <w:lvlJc w:val="left"/>
      <w:pPr>
        <w:ind w:left="3675" w:hanging="317"/>
      </w:pPr>
      <w:rPr>
        <w:rFonts w:hint="default"/>
      </w:rPr>
    </w:lvl>
    <w:lvl w:ilvl="4">
      <w:start w:val="0"/>
      <w:numFmt w:val="bullet"/>
      <w:lvlText w:val="•"/>
      <w:lvlJc w:val="left"/>
      <w:pPr>
        <w:ind w:left="4247" w:hanging="317"/>
      </w:pPr>
      <w:rPr>
        <w:rFonts w:hint="default"/>
      </w:rPr>
    </w:lvl>
    <w:lvl w:ilvl="5">
      <w:start w:val="0"/>
      <w:numFmt w:val="bullet"/>
      <w:lvlText w:val="•"/>
      <w:lvlJc w:val="left"/>
      <w:pPr>
        <w:ind w:left="4819" w:hanging="317"/>
      </w:pPr>
      <w:rPr>
        <w:rFonts w:hint="default"/>
      </w:rPr>
    </w:lvl>
    <w:lvl w:ilvl="6">
      <w:start w:val="0"/>
      <w:numFmt w:val="bullet"/>
      <w:lvlText w:val="•"/>
      <w:lvlJc w:val="left"/>
      <w:pPr>
        <w:ind w:left="5390" w:hanging="317"/>
      </w:pPr>
      <w:rPr>
        <w:rFonts w:hint="default"/>
      </w:rPr>
    </w:lvl>
    <w:lvl w:ilvl="7">
      <w:start w:val="0"/>
      <w:numFmt w:val="bullet"/>
      <w:lvlText w:val="•"/>
      <w:lvlJc w:val="left"/>
      <w:pPr>
        <w:ind w:left="5962" w:hanging="317"/>
      </w:pPr>
      <w:rPr>
        <w:rFonts w:hint="default"/>
      </w:rPr>
    </w:lvl>
    <w:lvl w:ilvl="8">
      <w:start w:val="0"/>
      <w:numFmt w:val="bullet"/>
      <w:lvlText w:val="•"/>
      <w:lvlJc w:val="left"/>
      <w:pPr>
        <w:ind w:left="6534" w:hanging="317"/>
      </w:pPr>
      <w:rPr>
        <w:rFonts w:hint="default"/>
      </w:rPr>
    </w:lvl>
  </w:abstractNum>
  <w:abstractNum w:abstractNumId="0">
    <w:multiLevelType w:val="hybridMultilevel"/>
    <w:lvl w:ilvl="0">
      <w:start w:val="0"/>
      <w:numFmt w:val="bullet"/>
      <w:lvlText w:val=""/>
      <w:lvlJc w:val="left"/>
      <w:pPr>
        <w:ind w:left="1554" w:hanging="334"/>
      </w:pPr>
      <w:rPr>
        <w:rFonts w:hint="default" w:ascii="Wingdings" w:hAnsi="Wingdings" w:eastAsia="Wingdings" w:cs="Wingdings"/>
        <w:w w:val="100"/>
        <w:sz w:val="21"/>
        <w:szCs w:val="21"/>
      </w:rPr>
    </w:lvl>
    <w:lvl w:ilvl="1">
      <w:start w:val="0"/>
      <w:numFmt w:val="bullet"/>
      <w:lvlText w:val="•"/>
      <w:lvlJc w:val="left"/>
      <w:pPr>
        <w:ind w:left="2484" w:hanging="334"/>
      </w:pPr>
      <w:rPr>
        <w:rFonts w:hint="default"/>
      </w:rPr>
    </w:lvl>
    <w:lvl w:ilvl="2">
      <w:start w:val="0"/>
      <w:numFmt w:val="bullet"/>
      <w:lvlText w:val="•"/>
      <w:lvlJc w:val="left"/>
      <w:pPr>
        <w:ind w:left="3409" w:hanging="334"/>
      </w:pPr>
      <w:rPr>
        <w:rFonts w:hint="default"/>
      </w:rPr>
    </w:lvl>
    <w:lvl w:ilvl="3">
      <w:start w:val="0"/>
      <w:numFmt w:val="bullet"/>
      <w:lvlText w:val="•"/>
      <w:lvlJc w:val="left"/>
      <w:pPr>
        <w:ind w:left="4333" w:hanging="334"/>
      </w:pPr>
      <w:rPr>
        <w:rFonts w:hint="default"/>
      </w:rPr>
    </w:lvl>
    <w:lvl w:ilvl="4">
      <w:start w:val="0"/>
      <w:numFmt w:val="bullet"/>
      <w:lvlText w:val="•"/>
      <w:lvlJc w:val="left"/>
      <w:pPr>
        <w:ind w:left="5258" w:hanging="334"/>
      </w:pPr>
      <w:rPr>
        <w:rFonts w:hint="default"/>
      </w:rPr>
    </w:lvl>
    <w:lvl w:ilvl="5">
      <w:start w:val="0"/>
      <w:numFmt w:val="bullet"/>
      <w:lvlText w:val="•"/>
      <w:lvlJc w:val="left"/>
      <w:pPr>
        <w:ind w:left="6183" w:hanging="334"/>
      </w:pPr>
      <w:rPr>
        <w:rFonts w:hint="default"/>
      </w:rPr>
    </w:lvl>
    <w:lvl w:ilvl="6">
      <w:start w:val="0"/>
      <w:numFmt w:val="bullet"/>
      <w:lvlText w:val="•"/>
      <w:lvlJc w:val="left"/>
      <w:pPr>
        <w:ind w:left="7107" w:hanging="334"/>
      </w:pPr>
      <w:rPr>
        <w:rFonts w:hint="default"/>
      </w:rPr>
    </w:lvl>
    <w:lvl w:ilvl="7">
      <w:start w:val="0"/>
      <w:numFmt w:val="bullet"/>
      <w:lvlText w:val="•"/>
      <w:lvlJc w:val="left"/>
      <w:pPr>
        <w:ind w:left="8032" w:hanging="334"/>
      </w:pPr>
      <w:rPr>
        <w:rFonts w:hint="default"/>
      </w:rPr>
    </w:lvl>
    <w:lvl w:ilvl="8">
      <w:start w:val="0"/>
      <w:numFmt w:val="bullet"/>
      <w:lvlText w:val="•"/>
      <w:lvlJc w:val="left"/>
      <w:pPr>
        <w:ind w:left="8957" w:hanging="334"/>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1"/>
      <w:ind w:left="1554" w:hanging="334"/>
    </w:pPr>
    <w:rPr>
      <w:rFonts w:ascii="仿宋" w:hAnsi="仿宋" w:eastAsia="仿宋" w:cs="仿宋"/>
    </w:rPr>
  </w:style>
  <w:style w:styleId="TableParagraph" w:type="paragraph">
    <w:name w:val="Table Paragraph"/>
    <w:basedOn w:val="Normal"/>
    <w:uiPriority w:val="1"/>
    <w:qFormat/>
    <w:pPr>
      <w:ind w:left="12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wenxuan</dc:creator>
  <dc:title>鸿运两全保险（分红型，C款）条款</dc:title>
  <dcterms:created xsi:type="dcterms:W3CDTF">2018-10-20T01:05:42Z</dcterms:created>
  <dcterms:modified xsi:type="dcterms:W3CDTF">2018-10-20T01:05:42Z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2017-06-12T00:00:00Z</vt:filetime>
  </property>
  <property fmtid="{D5CDD505-2E9C-101B-9397-08002B2CF9AE}" pid="3" name="Creator">
    <vt:lpwstr>Microsoft® Word 2010</vt:lpwstr>
  </property>
  <property fmtid="{D5CDD505-2E9C-101B-9397-08002B2CF9AE}" pid="4" name="LastSaved">
    <vt:filetime>2018-10-19T00:00:00Z</vt:filetime>
  </property>
</Properties>
</file>