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27"/>
        </w:rPr>
      </w:pPr>
    </w:p>
    <w:p>
      <w:pPr>
        <w:spacing w:before="0"/>
        <w:ind w:left="243" w:right="0" w:firstLine="0"/>
        <w:jc w:val="left"/>
        <w:rPr>
          <w:rFonts w:ascii="Microsoft JhengHei" w:eastAsia="Microsoft JhengHei" w:hint="eastAsia"/>
          <w:sz w:val="24"/>
        </w:rPr>
      </w:pPr>
      <w:r>
        <w:rPr>
          <w:spacing w:val="-16"/>
          <w:w w:val="95"/>
          <w:sz w:val="24"/>
        </w:rPr>
        <w:t>附件 </w:t>
      </w:r>
      <w:r>
        <w:rPr>
          <w:rFonts w:ascii="Microsoft JhengHei" w:eastAsia="Microsoft JhengHei" w:hint="eastAsia"/>
          <w:w w:val="95"/>
          <w:sz w:val="24"/>
        </w:rPr>
        <w:t>12-3</w:t>
      </w:r>
    </w:p>
    <w:p>
      <w:pPr>
        <w:pStyle w:val="BodyText"/>
        <w:spacing w:before="15"/>
        <w:ind w:left="5332"/>
        <w:rPr>
          <w:rFonts w:ascii="仿宋" w:eastAsia="仿宋" w:hint="eastAsia"/>
        </w:rPr>
      </w:pPr>
      <w:r>
        <w:rPr/>
        <w:br w:type="column"/>
      </w:r>
      <w:r>
        <w:rPr>
          <w:rFonts w:ascii="仿宋" w:eastAsia="仿宋" w:hint="eastAsia"/>
        </w:rPr>
        <w:t>长城人寿[2009]疾病保险 022 号</w:t>
      </w:r>
    </w:p>
    <w:p>
      <w:pPr>
        <w:tabs>
          <w:tab w:pos="6230" w:val="left" w:leader="none"/>
        </w:tabs>
        <w:spacing w:before="101"/>
        <w:ind w:left="243" w:right="0" w:firstLine="0"/>
        <w:jc w:val="left"/>
        <w:rPr>
          <w:rFonts w:ascii="微软雅黑" w:eastAsia="微软雅黑" w:hint="eastAsia"/>
          <w:b/>
          <w:sz w:val="32"/>
        </w:rPr>
      </w:pPr>
      <w:r>
        <w:rPr>
          <w:rFonts w:ascii="微软雅黑" w:eastAsia="微软雅黑" w:hint="eastAsia"/>
          <w:b/>
          <w:sz w:val="32"/>
        </w:rPr>
        <w:t>长城爱心宝贝少儿终身重大疾病保险条款</w:t>
        <w:tab/>
      </w:r>
      <w:r>
        <w:rPr>
          <w:rFonts w:ascii="微软雅黑" w:eastAsia="微软雅黑" w:hint="eastAsia"/>
          <w:b/>
          <w:position w:val="-8"/>
          <w:sz w:val="32"/>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微软雅黑" w:eastAsia="微软雅黑" w:hint="eastAsia"/>
          <w:b/>
          <w:position w:val="-8"/>
          <w:sz w:val="32"/>
        </w:rPr>
      </w:r>
    </w:p>
    <w:p>
      <w:pPr>
        <w:spacing w:after="0"/>
        <w:jc w:val="left"/>
        <w:rPr>
          <w:rFonts w:ascii="微软雅黑" w:eastAsia="微软雅黑" w:hint="eastAsia"/>
          <w:sz w:val="32"/>
        </w:rPr>
        <w:sectPr>
          <w:footerReference w:type="default" r:id="rId5"/>
          <w:type w:val="continuous"/>
          <w:pgSz w:w="11910" w:h="16840"/>
          <w:pgMar w:footer="992" w:top="460" w:bottom="1180" w:left="1060" w:right="580"/>
          <w:pgNumType w:start="1"/>
          <w:cols w:num="2" w:equalWidth="0">
            <w:col w:w="1266" w:space="614"/>
            <w:col w:w="8390"/>
          </w:cols>
        </w:sectPr>
      </w:pPr>
    </w:p>
    <w:p>
      <w:pPr>
        <w:spacing w:line="49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40"/>
        <w:ind w:left="1704"/>
        <w:rPr>
          <w:rFonts w:ascii="仿宋" w:eastAsia="仿宋" w:hint="eastAsia"/>
        </w:rPr>
      </w:pPr>
      <w:r>
        <w:rPr/>
        <w:br w:type="column"/>
      </w:r>
      <w:r>
        <w:rPr>
          <w:rFonts w:ascii="仿宋" w:eastAsia="仿宋" w:hint="eastAsia"/>
        </w:rPr>
        <w:t>请扫描以查询验证条款</w:t>
      </w:r>
    </w:p>
    <w:p>
      <w:pPr>
        <w:spacing w:after="0"/>
        <w:rPr>
          <w:rFonts w:ascii="仿宋" w:eastAsia="仿宋" w:hint="eastAsia"/>
        </w:rPr>
        <w:sectPr>
          <w:type w:val="continuous"/>
          <w:pgSz w:w="11910" w:h="16840"/>
          <w:pgMar w:top="460" w:bottom="1180" w:left="1060" w:right="580"/>
          <w:cols w:num="2" w:equalWidth="0">
            <w:col w:w="5888" w:space="40"/>
            <w:col w:w="4342"/>
          </w:cols>
        </w:sectPr>
      </w:pPr>
    </w:p>
    <w:p>
      <w:pPr>
        <w:pStyle w:val="BodyText"/>
        <w:spacing w:before="8"/>
        <w:rPr>
          <w:rFonts w:ascii="仿宋"/>
          <w:sz w:val="14"/>
        </w:rPr>
      </w:pPr>
    </w:p>
    <w:p>
      <w:pPr>
        <w:pStyle w:val="BodyText"/>
        <w:spacing w:before="36"/>
        <w:ind w:left="1743" w:right="1993"/>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主</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spacing w:before="63"/>
        <w:ind w:left="243" w:right="0" w:firstLine="0"/>
        <w:jc w:val="left"/>
        <w:rPr>
          <w:b/>
          <w:sz w:val="21"/>
        </w:rPr>
      </w:pPr>
      <w:r>
        <w:rPr/>
        <w:pict>
          <v:group style="position:absolute;margin-left:58.200001pt;margin-top:1.69282pt;width:490.2pt;height:602.65pt;mso-position-horizontal-relative:page;mso-position-vertical-relative:paragraph;z-index:-48928" coordorigin="1164,34" coordsize="9804,12053">
            <v:shape style="position:absolute;left:1322;top:5941;width:10;height:10" type="#_x0000_t75" stroked="false">
              <v:imagedata r:id="rId7" o:title=""/>
            </v:shape>
            <v:shape style="position:absolute;left:1322;top:5941;width:10;height:10" type="#_x0000_t75" stroked="false">
              <v:imagedata r:id="rId7" o:title=""/>
            </v:shape>
            <v:shape style="position:absolute;left:1332;top:5941;width:39;height:10" type="#_x0000_t75" stroked="false">
              <v:imagedata r:id="rId8" o:title=""/>
            </v:shape>
            <v:shape style="position:absolute;left:1370;top:5941;width:39;height:10" type="#_x0000_t75" stroked="false">
              <v:imagedata r:id="rId8" o:title=""/>
            </v:shape>
            <v:shape style="position:absolute;left:1409;top:5941;width:20;height:10" type="#_x0000_t75" stroked="false">
              <v:imagedata r:id="rId7" o:title=""/>
            </v:shape>
            <v:shape style="position:absolute;left:1428;top:5941;width:20;height:10" type="#_x0000_t75" stroked="false">
              <v:imagedata r:id="rId9" o:title=""/>
            </v:shape>
            <v:shape style="position:absolute;left:1447;top:5941;width:20;height:10" type="#_x0000_t75" stroked="false">
              <v:imagedata r:id="rId9" o:title=""/>
            </v:shape>
            <v:shape style="position:absolute;left:1466;top:5941;width:39;height:10" type="#_x0000_t75" stroked="false">
              <v:imagedata r:id="rId8" o:title=""/>
            </v:shape>
            <v:shape style="position:absolute;left:1505;top:5941;width:39;height:10" type="#_x0000_t75" stroked="false">
              <v:imagedata r:id="rId8" o:title=""/>
            </v:shape>
            <v:shape style="position:absolute;left:1543;top:5941;width:39;height:10" type="#_x0000_t75" stroked="false">
              <v:imagedata r:id="rId8" o:title=""/>
            </v:shape>
            <v:shape style="position:absolute;left:1582;top:5941;width:20;height:10" type="#_x0000_t75" stroked="false">
              <v:imagedata r:id="rId9" o:title=""/>
            </v:shape>
            <v:shape style="position:absolute;left:1601;top:5941;width:39;height:10" type="#_x0000_t75" stroked="false">
              <v:imagedata r:id="rId8" o:title=""/>
            </v:shape>
            <v:shape style="position:absolute;left:1639;top:5941;width:39;height:10" type="#_x0000_t75" stroked="false">
              <v:imagedata r:id="rId8" o:title=""/>
            </v:shape>
            <v:shape style="position:absolute;left:1678;top:5941;width:39;height:10" type="#_x0000_t75" stroked="false">
              <v:imagedata r:id="rId8" o:title=""/>
            </v:shape>
            <v:shape style="position:absolute;left:1716;top:5941;width:39;height:10" type="#_x0000_t75" stroked="false">
              <v:imagedata r:id="rId8" o:title=""/>
            </v:shape>
            <v:shape style="position:absolute;left:1754;top:5941;width:20;height:10" type="#_x0000_t75" stroked="false">
              <v:imagedata r:id="rId9" o:title=""/>
            </v:shape>
            <v:shape style="position:absolute;left:1774;top:5941;width:39;height:10" type="#_x0000_t75" stroked="false">
              <v:imagedata r:id="rId8" o:title=""/>
            </v:shape>
            <v:shape style="position:absolute;left:1812;top:5941;width:39;height:10" type="#_x0000_t75" stroked="false">
              <v:imagedata r:id="rId8" o:title=""/>
            </v:shape>
            <v:shape style="position:absolute;left:1850;top:5941;width:39;height:10" type="#_x0000_t75" stroked="false">
              <v:imagedata r:id="rId8" o:title=""/>
            </v:shape>
            <v:shape style="position:absolute;left:1889;top:5941;width:20;height:10" type="#_x0000_t75" stroked="false">
              <v:imagedata r:id="rId7" o:title=""/>
            </v:shape>
            <v:shape style="position:absolute;left:1908;top:5941;width:20;height:10" type="#_x0000_t75" stroked="false">
              <v:imagedata r:id="rId9" o:title=""/>
            </v:shape>
            <v:shape style="position:absolute;left:1927;top:5941;width:20;height:10" type="#_x0000_t75" stroked="false">
              <v:imagedata r:id="rId9" o:title=""/>
            </v:shape>
            <v:shape style="position:absolute;left:1946;top:5941;width:39;height:10" type="#_x0000_t75" stroked="false">
              <v:imagedata r:id="rId8" o:title=""/>
            </v:shape>
            <v:shape style="position:absolute;left:1985;top:5941;width:20;height:10" type="#_x0000_t75" stroked="false">
              <v:imagedata r:id="rId7" o:title=""/>
            </v:shape>
            <v:shape style="position:absolute;left:2004;top:5941;width:39;height:10" type="#_x0000_t75" stroked="false">
              <v:imagedata r:id="rId8" o:title=""/>
            </v:shape>
            <v:shape style="position:absolute;left:2042;top:5941;width:20;height:10" type="#_x0000_t75" stroked="false">
              <v:imagedata r:id="rId9" o:title=""/>
            </v:shape>
            <v:shape style="position:absolute;left:2062;top:5941;width:20;height:10" type="#_x0000_t75" stroked="false">
              <v:imagedata r:id="rId7" o:title=""/>
            </v:shape>
            <v:shape style="position:absolute;left:2081;top:5941;width:20;height:10" type="#_x0000_t75" stroked="false">
              <v:imagedata r:id="rId9" o:title=""/>
            </v:shape>
            <v:shape style="position:absolute;left:2100;top:5941;width:39;height:10" type="#_x0000_t75" stroked="false">
              <v:imagedata r:id="rId8" o:title=""/>
            </v:shape>
            <v:shape style="position:absolute;left:2138;top:5941;width:39;height:10" type="#_x0000_t75" stroked="false">
              <v:imagedata r:id="rId8" o:title=""/>
            </v:shape>
            <v:shape style="position:absolute;left:2177;top:5941;width:20;height:10" type="#_x0000_t75" stroked="false">
              <v:imagedata r:id="rId9" o:title=""/>
            </v:shape>
            <v:shape style="position:absolute;left:2196;top:5941;width:39;height:10" type="#_x0000_t75" stroked="false">
              <v:imagedata r:id="rId8" o:title=""/>
            </v:shape>
            <v:shape style="position:absolute;left:2234;top:5941;width:39;height:10" type="#_x0000_t75" stroked="false">
              <v:imagedata r:id="rId8" o:title=""/>
            </v:shape>
            <v:shape style="position:absolute;left:2273;top:5941;width:39;height:10" type="#_x0000_t75" stroked="false">
              <v:imagedata r:id="rId8" o:title=""/>
            </v:shape>
            <v:shape style="position:absolute;left:2311;top:5941;width:39;height:10" type="#_x0000_t75" stroked="false">
              <v:imagedata r:id="rId8" o:title=""/>
            </v:shape>
            <v:shape style="position:absolute;left:2350;top:5941;width:20;height:10" type="#_x0000_t75" stroked="false">
              <v:imagedata r:id="rId9" o:title=""/>
            </v:shape>
            <v:shape style="position:absolute;left:2369;top:5941;width:20;height:10" type="#_x0000_t75" stroked="false">
              <v:imagedata r:id="rId7" o:title=""/>
            </v:shape>
            <v:shape style="position:absolute;left:2388;top:5941;width:20;height:10" type="#_x0000_t75" stroked="false">
              <v:imagedata r:id="rId9" o:title=""/>
            </v:shape>
            <v:shape style="position:absolute;left:2407;top:5941;width:39;height:10" type="#_x0000_t75" stroked="false">
              <v:imagedata r:id="rId8" o:title=""/>
            </v:shape>
            <v:shape style="position:absolute;left:2446;top:5941;width:39;height:10" type="#_x0000_t75" stroked="false">
              <v:imagedata r:id="rId8" o:title=""/>
            </v:shape>
            <v:shape style="position:absolute;left:2484;top:5941;width:39;height:10" type="#_x0000_t75" stroked="false">
              <v:imagedata r:id="rId8" o:title=""/>
            </v:shape>
            <v:shape style="position:absolute;left:2522;top:5941;width:20;height:10" type="#_x0000_t75" stroked="false">
              <v:imagedata r:id="rId9" o:title=""/>
            </v:shape>
            <v:shape style="position:absolute;left:2542;top:5941;width:20;height:10" type="#_x0000_t75" stroked="false">
              <v:imagedata r:id="rId7" o:title=""/>
            </v:shape>
            <v:shape style="position:absolute;left:2561;top:5941;width:20;height:10" type="#_x0000_t75" stroked="false">
              <v:imagedata r:id="rId9" o:title=""/>
            </v:shape>
            <v:shape style="position:absolute;left:2580;top:5941;width:39;height:10" type="#_x0000_t75" stroked="false">
              <v:imagedata r:id="rId8" o:title=""/>
            </v:shape>
            <v:shape style="position:absolute;left:2618;top:5941;width:20;height:10" type="#_x0000_t75" stroked="false">
              <v:imagedata r:id="rId9" o:title=""/>
            </v:shape>
            <v:shape style="position:absolute;left:2638;top:5941;width:39;height:10" type="#_x0000_t75" stroked="false">
              <v:imagedata r:id="rId8" o:title=""/>
            </v:shape>
            <v:shape style="position:absolute;left:2676;top:5941;width:39;height:10" type="#_x0000_t75" stroked="false">
              <v:imagedata r:id="rId8" o:title=""/>
            </v:shape>
            <v:shape style="position:absolute;left:2714;top:5941;width:39;height:10" type="#_x0000_t75" stroked="false">
              <v:imagedata r:id="rId8" o:title=""/>
            </v:shape>
            <v:shape style="position:absolute;left:2753;top:5941;width:39;height:10" type="#_x0000_t75" stroked="false">
              <v:imagedata r:id="rId8" o:title=""/>
            </v:shape>
            <v:shape style="position:absolute;left:2791;top:5941;width:20;height:10" type="#_x0000_t75" stroked="false">
              <v:imagedata r:id="rId9" o:title=""/>
            </v:shape>
            <v:shape style="position:absolute;left:2810;top:5941;width:39;height:10" type="#_x0000_t75" stroked="false">
              <v:imagedata r:id="rId8" o:title=""/>
            </v:shape>
            <v:shape style="position:absolute;left:2849;top:5941;width:39;height:10" type="#_x0000_t75" stroked="false">
              <v:imagedata r:id="rId8" o:title=""/>
            </v:shape>
            <v:shape style="position:absolute;left:2887;top:5941;width:39;height:10" type="#_x0000_t75" stroked="false">
              <v:imagedata r:id="rId8" o:title=""/>
            </v:shape>
            <v:shape style="position:absolute;left:2926;top:5941;width:20;height:10" type="#_x0000_t75" stroked="false">
              <v:imagedata r:id="rId9" o:title=""/>
            </v:shape>
            <v:shape style="position:absolute;left:2945;top:5941;width:39;height:10" type="#_x0000_t75" stroked="false">
              <v:imagedata r:id="rId8" o:title=""/>
            </v:shape>
            <v:shape style="position:absolute;left:2983;top:5941;width:39;height:10" type="#_x0000_t75" stroked="false">
              <v:imagedata r:id="rId8" o:title=""/>
            </v:shape>
            <v:shape style="position:absolute;left:3022;top:5941;width:39;height:10" type="#_x0000_t75" stroked="false">
              <v:imagedata r:id="rId8" o:title=""/>
            </v:shape>
            <v:shape style="position:absolute;left:3060;top:5941;width:39;height:10" type="#_x0000_t75" stroked="false">
              <v:imagedata r:id="rId8" o:title=""/>
            </v:shape>
            <v:shape style="position:absolute;left:3098;top:5941;width:20;height:10" type="#_x0000_t75" stroked="false">
              <v:imagedata r:id="rId9" o:title=""/>
            </v:shape>
            <v:shape style="position:absolute;left:3118;top:5941;width:39;height:10" type="#_x0000_t75" stroked="false">
              <v:imagedata r:id="rId8" o:title=""/>
            </v:shape>
            <v:shape style="position:absolute;left:3156;top:5941;width:39;height:10" type="#_x0000_t75" stroked="false">
              <v:imagedata r:id="rId8" o:title=""/>
            </v:shape>
            <v:shape style="position:absolute;left:3194;top:5941;width:39;height:10" type="#_x0000_t75" stroked="false">
              <v:imagedata r:id="rId8" o:title=""/>
            </v:shape>
            <v:shape style="position:absolute;left:3233;top:5941;width:39;height:10" type="#_x0000_t75" stroked="false">
              <v:imagedata r:id="rId8" o:title=""/>
            </v:shape>
            <v:shape style="position:absolute;left:3271;top:5941;width:20;height:10" type="#_x0000_t75" stroked="false">
              <v:imagedata r:id="rId9" o:title=""/>
            </v:shape>
            <v:shape style="position:absolute;left:3290;top:5941;width:39;height:10" type="#_x0000_t75" stroked="false">
              <v:imagedata r:id="rId8" o:title=""/>
            </v:shape>
            <v:shape style="position:absolute;left:3329;top:5941;width:39;height:10" type="#_x0000_t75" stroked="false">
              <v:imagedata r:id="rId8" o:title=""/>
            </v:shape>
            <v:shape style="position:absolute;left:3367;top:5941;width:39;height:10" type="#_x0000_t75" stroked="false">
              <v:imagedata r:id="rId8" o:title=""/>
            </v:shape>
            <v:shape style="position:absolute;left:3406;top:5941;width:20;height:10" type="#_x0000_t75" stroked="false">
              <v:imagedata r:id="rId9" o:title=""/>
            </v:shape>
            <v:shape style="position:absolute;left:3425;top:5941;width:39;height:10" type="#_x0000_t75" stroked="false">
              <v:imagedata r:id="rId8" o:title=""/>
            </v:shape>
            <v:shape style="position:absolute;left:3463;top:5941;width:39;height:10" type="#_x0000_t75" stroked="false">
              <v:imagedata r:id="rId8" o:title=""/>
            </v:shape>
            <v:shape style="position:absolute;left:3502;top:5941;width:39;height:10" type="#_x0000_t75" stroked="false">
              <v:imagedata r:id="rId8" o:title=""/>
            </v:shape>
            <v:shape style="position:absolute;left:3540;top:5941;width:39;height:10" type="#_x0000_t75" stroked="false">
              <v:imagedata r:id="rId8" o:title=""/>
            </v:shape>
            <v:shape style="position:absolute;left:3578;top:5941;width:20;height:10" type="#_x0000_t75" stroked="false">
              <v:imagedata r:id="rId9" o:title=""/>
            </v:shape>
            <v:shape style="position:absolute;left:3598;top:5941;width:39;height:10" type="#_x0000_t75" stroked="false">
              <v:imagedata r:id="rId8" o:title=""/>
            </v:shape>
            <v:shape style="position:absolute;left:3636;top:5941;width:39;height:10" type="#_x0000_t75" stroked="false">
              <v:imagedata r:id="rId8" o:title=""/>
            </v:shape>
            <v:shape style="position:absolute;left:3674;top:5941;width:39;height:10" type="#_x0000_t75" stroked="false">
              <v:imagedata r:id="rId8" o:title=""/>
            </v:shape>
            <v:shape style="position:absolute;left:3713;top:5941;width:39;height:10" type="#_x0000_t75" stroked="false">
              <v:imagedata r:id="rId8" o:title=""/>
            </v:shape>
            <v:shape style="position:absolute;left:3751;top:5941;width:8;height:10" type="#_x0000_t75" stroked="false">
              <v:imagedata r:id="rId10" o:title=""/>
            </v:shape>
            <v:shape style="position:absolute;left:3758;top:5941;width:10;height:10" type="#_x0000_t75" stroked="false">
              <v:imagedata r:id="rId11" o:title=""/>
            </v:shape>
            <v:shape style="position:absolute;left:3768;top:5941;width:20;height:10" type="#_x0000_t75" stroked="false">
              <v:imagedata r:id="rId9" o:title=""/>
            </v:shape>
            <v:shape style="position:absolute;left:3787;top:5941;width:39;height:10" type="#_x0000_t75" stroked="false">
              <v:imagedata r:id="rId12" o:title=""/>
            </v:shape>
            <v:shape style="position:absolute;left:3826;top:5941;width:39;height:10" type="#_x0000_t75" stroked="false">
              <v:imagedata r:id="rId12" o:title=""/>
            </v:shape>
            <v:shape style="position:absolute;left:3865;top:5941;width:39;height:10" type="#_x0000_t75" stroked="false">
              <v:imagedata r:id="rId12" o:title=""/>
            </v:shape>
            <v:shape style="position:absolute;left:3903;top:5941;width:20;height:10" type="#_x0000_t75" stroked="false">
              <v:imagedata r:id="rId9" o:title=""/>
            </v:shape>
            <v:shape style="position:absolute;left:3922;top:5941;width:39;height:10" type="#_x0000_t75" stroked="false">
              <v:imagedata r:id="rId12" o:title=""/>
            </v:shape>
            <v:shape style="position:absolute;left:3961;top:5941;width:39;height:10" type="#_x0000_t75" stroked="false">
              <v:imagedata r:id="rId12" o:title=""/>
            </v:shape>
            <v:shape style="position:absolute;left:3999;top:5941;width:39;height:10" type="#_x0000_t75" stroked="false">
              <v:imagedata r:id="rId12" o:title=""/>
            </v:shape>
            <v:shape style="position:absolute;left:4037;top:5941;width:20;height:10" type="#_x0000_t75" stroked="false">
              <v:imagedata r:id="rId9" o:title=""/>
            </v:shape>
            <v:shape style="position:absolute;left:4057;top:5941;width:39;height:10" type="#_x0000_t75" stroked="false">
              <v:imagedata r:id="rId12" o:title=""/>
            </v:shape>
            <v:shape style="position:absolute;left:4095;top:5941;width:39;height:10" type="#_x0000_t75" stroked="false">
              <v:imagedata r:id="rId12" o:title=""/>
            </v:shape>
            <v:shape style="position:absolute;left:4133;top:5941;width:39;height:10" type="#_x0000_t75" stroked="false">
              <v:imagedata r:id="rId12" o:title=""/>
            </v:shape>
            <v:shape style="position:absolute;left:4172;top:5941;width:39;height:10" type="#_x0000_t75" stroked="false">
              <v:imagedata r:id="rId12" o:title=""/>
            </v:shape>
            <v:shape style="position:absolute;left:4210;top:5941;width:20;height:10" type="#_x0000_t75" stroked="false">
              <v:imagedata r:id="rId9" o:title=""/>
            </v:shape>
            <v:shape style="position:absolute;left:4229;top:5941;width:39;height:10" type="#_x0000_t75" stroked="false">
              <v:imagedata r:id="rId12" o:title=""/>
            </v:shape>
            <v:shape style="position:absolute;left:4268;top:5941;width:39;height:10" type="#_x0000_t75" stroked="false">
              <v:imagedata r:id="rId12" o:title=""/>
            </v:shape>
            <v:shape style="position:absolute;left:4306;top:5941;width:39;height:10" type="#_x0000_t75" stroked="false">
              <v:imagedata r:id="rId12" o:title=""/>
            </v:shape>
            <v:shape style="position:absolute;left:4345;top:5941;width:39;height:10" type="#_x0000_t75" stroked="false">
              <v:imagedata r:id="rId12" o:title=""/>
            </v:shape>
            <v:shape style="position:absolute;left:4383;top:5941;width:20;height:10" type="#_x0000_t75" stroked="false">
              <v:imagedata r:id="rId9" o:title=""/>
            </v:shape>
            <v:shape style="position:absolute;left:4402;top:5941;width:39;height:10" type="#_x0000_t75" stroked="false">
              <v:imagedata r:id="rId12" o:title=""/>
            </v:shape>
            <v:shape style="position:absolute;left:4441;top:5941;width:39;height:10" type="#_x0000_t75" stroked="false">
              <v:imagedata r:id="rId12" o:title=""/>
            </v:shape>
            <v:shape style="position:absolute;left:4479;top:5941;width:39;height:10" type="#_x0000_t75" stroked="false">
              <v:imagedata r:id="rId12" o:title=""/>
            </v:shape>
            <v:shape style="position:absolute;left:4517;top:5941;width:20;height:10" type="#_x0000_t75" stroked="false">
              <v:imagedata r:id="rId9" o:title=""/>
            </v:shape>
            <v:shape style="position:absolute;left:4537;top:5941;width:39;height:10" type="#_x0000_t75" stroked="false">
              <v:imagedata r:id="rId12" o:title=""/>
            </v:shape>
            <v:shape style="position:absolute;left:4575;top:5941;width:39;height:10" type="#_x0000_t75" stroked="false">
              <v:imagedata r:id="rId12" o:title=""/>
            </v:shape>
            <v:shape style="position:absolute;left:4613;top:5941;width:39;height:10" type="#_x0000_t75" stroked="false">
              <v:imagedata r:id="rId12" o:title=""/>
            </v:shape>
            <v:shape style="position:absolute;left:4652;top:5941;width:39;height:10" type="#_x0000_t75" stroked="false">
              <v:imagedata r:id="rId12" o:title=""/>
            </v:shape>
            <v:shape style="position:absolute;left:4690;top:5941;width:20;height:10" type="#_x0000_t75" stroked="false">
              <v:imagedata r:id="rId9" o:title=""/>
            </v:shape>
            <v:shape style="position:absolute;left:4709;top:5941;width:39;height:10" type="#_x0000_t75" stroked="false">
              <v:imagedata r:id="rId12" o:title=""/>
            </v:shape>
            <v:shape style="position:absolute;left:4748;top:5941;width:39;height:10" type="#_x0000_t75" stroked="false">
              <v:imagedata r:id="rId12" o:title=""/>
            </v:shape>
            <v:shape style="position:absolute;left:4786;top:5941;width:39;height:10" type="#_x0000_t75" stroked="false">
              <v:imagedata r:id="rId12" o:title=""/>
            </v:shape>
            <v:shape style="position:absolute;left:4825;top:5941;width:39;height:10" type="#_x0000_t75" stroked="false">
              <v:imagedata r:id="rId12" o:title=""/>
            </v:shape>
            <v:shape style="position:absolute;left:4863;top:5941;width:20;height:10" type="#_x0000_t75" stroked="false">
              <v:imagedata r:id="rId9" o:title=""/>
            </v:shape>
            <v:shape style="position:absolute;left:4882;top:5941;width:39;height:10" type="#_x0000_t75" stroked="false">
              <v:imagedata r:id="rId12" o:title=""/>
            </v:shape>
            <v:shape style="position:absolute;left:4921;top:5941;width:39;height:10" type="#_x0000_t75" stroked="false">
              <v:imagedata r:id="rId12" o:title=""/>
            </v:shape>
            <v:shape style="position:absolute;left:4959;top:5941;width:39;height:10" type="#_x0000_t75" stroked="false">
              <v:imagedata r:id="rId12" o:title=""/>
            </v:shape>
            <v:shape style="position:absolute;left:4997;top:5941;width:20;height:10" type="#_x0000_t75" stroked="false">
              <v:imagedata r:id="rId9" o:title=""/>
            </v:shape>
            <v:shape style="position:absolute;left:5017;top:5941;width:39;height:10" type="#_x0000_t75" stroked="false">
              <v:imagedata r:id="rId12" o:title=""/>
            </v:shape>
            <v:shape style="position:absolute;left:5055;top:5941;width:39;height:10" type="#_x0000_t75" stroked="false">
              <v:imagedata r:id="rId12" o:title=""/>
            </v:shape>
            <v:shape style="position:absolute;left:5093;top:5941;width:39;height:10" type="#_x0000_t75" stroked="false">
              <v:imagedata r:id="rId12" o:title=""/>
            </v:shape>
            <v:shape style="position:absolute;left:5132;top:5941;width:39;height:10" type="#_x0000_t75" stroked="false">
              <v:imagedata r:id="rId12" o:title=""/>
            </v:shape>
            <v:shape style="position:absolute;left:5170;top:5941;width:77;height:10" type="#_x0000_t75" stroked="false">
              <v:imagedata r:id="rId13" o:title=""/>
            </v:shape>
            <v:shape style="position:absolute;left:5247;top:5941;width:77;height:10" type="#_x0000_t75" stroked="false">
              <v:imagedata r:id="rId14" o:title=""/>
            </v:shape>
            <v:shape style="position:absolute;left:5324;top:5941;width:58;height:10" type="#_x0000_t75" stroked="false">
              <v:imagedata r:id="rId15" o:title=""/>
            </v:shape>
            <v:shape style="position:absolute;left:5381;top:5941;width:77;height:10" type="#_x0000_t75" stroked="false">
              <v:imagedata r:id="rId14" o:title=""/>
            </v:shape>
            <v:shape style="position:absolute;left:5458;top:5941;width:58;height:10" type="#_x0000_t75" stroked="false">
              <v:imagedata r:id="rId16" o:title=""/>
            </v:shape>
            <v:shape style="position:absolute;left:5516;top:5941;width:77;height:10" type="#_x0000_t75" stroked="false">
              <v:imagedata r:id="rId13" o:title=""/>
            </v:shape>
            <v:shape style="position:absolute;left:5593;top:5941;width:58;height:10" type="#_x0000_t75" stroked="false">
              <v:imagedata r:id="rId16" o:title=""/>
            </v:shape>
            <v:shape style="position:absolute;left:5650;top:5941;width:77;height:10" type="#_x0000_t75" stroked="false">
              <v:imagedata r:id="rId13" o:title=""/>
            </v:shape>
            <v:shape style="position:absolute;left:5727;top:5941;width:77;height:10" type="#_x0000_t75" stroked="false">
              <v:imagedata r:id="rId14" o:title=""/>
            </v:shape>
            <v:shape style="position:absolute;left:5804;top:5941;width:58;height:10" type="#_x0000_t75" stroked="false">
              <v:imagedata r:id="rId15" o:title=""/>
            </v:shape>
            <v:shape style="position:absolute;left:5861;top:5941;width:77;height:10" type="#_x0000_t75" stroked="false">
              <v:imagedata r:id="rId14" o:title=""/>
            </v:shape>
            <v:shape style="position:absolute;left:5938;top:5941;width:58;height:10" type="#_x0000_t75" stroked="false">
              <v:imagedata r:id="rId16" o:title=""/>
            </v:shape>
            <v:shape style="position:absolute;left:5996;top:5941;width:77;height:10" type="#_x0000_t75" stroked="false">
              <v:imagedata r:id="rId13" o:title=""/>
            </v:shape>
            <v:shape style="position:absolute;left:6073;top:5941;width:58;height:10" type="#_x0000_t75" stroked="false">
              <v:imagedata r:id="rId16" o:title=""/>
            </v:shape>
            <v:shape style="position:absolute;left:6130;top:5941;width:77;height:10" type="#_x0000_t75" stroked="false">
              <v:imagedata r:id="rId13" o:title=""/>
            </v:shape>
            <v:shape style="position:absolute;left:6207;top:5941;width:77;height:10" type="#_x0000_t75" stroked="false">
              <v:imagedata r:id="rId14" o:title=""/>
            </v:shape>
            <v:shape style="position:absolute;left:6284;top:5941;width:59;height:10" type="#_x0000_t75" stroked="false">
              <v:imagedata r:id="rId15" o:title=""/>
            </v:shape>
            <v:shape style="position:absolute;left:6342;top:5941;width:39;height:10" type="#_x0000_t75" stroked="false">
              <v:imagedata r:id="rId12" o:title=""/>
            </v:shape>
            <v:shape style="position:absolute;left:6380;top:5941;width:77;height:10" type="#_x0000_t75" stroked="false">
              <v:imagedata r:id="rId14" o:title=""/>
            </v:shape>
            <v:shape style="position:absolute;left:6457;top:5941;width:58;height:10" type="#_x0000_t75" stroked="false">
              <v:imagedata r:id="rId15" o:title=""/>
            </v:shape>
            <v:shape style="position:absolute;left:6515;top:5941;width:77;height:10" type="#_x0000_t75" stroked="false">
              <v:imagedata r:id="rId14" o:title=""/>
            </v:shape>
            <v:shape style="position:absolute;left:6591;top:5941;width:77;height:10" type="#_x0000_t75" stroked="false">
              <v:imagedata r:id="rId14" o:title=""/>
            </v:shape>
            <v:shape style="position:absolute;left:6668;top:5941;width:58;height:10" type="#_x0000_t75" stroked="false">
              <v:imagedata r:id="rId15" o:title=""/>
            </v:shape>
            <v:shape style="position:absolute;left:6726;top:5941;width:77;height:10" type="#_x0000_t75" stroked="false">
              <v:imagedata r:id="rId14" o:title=""/>
            </v:shape>
            <v:shape style="position:absolute;left:6803;top:5941;width:58;height:10" type="#_x0000_t75" stroked="false">
              <v:imagedata r:id="rId15" o:title=""/>
            </v:shape>
            <v:shape style="position:absolute;left:6860;top:5941;width:65;height:10" type="#_x0000_t75" stroked="false">
              <v:imagedata r:id="rId15" o:title=""/>
            </v:shape>
            <v:shape style="position:absolute;left:6925;top:5941;width:58;height:10" type="#_x0000_t75" stroked="false">
              <v:imagedata r:id="rId17" o:title=""/>
            </v:shape>
            <v:shape style="position:absolute;left:6983;top:5941;width:58;height:10" type="#_x0000_t75" stroked="false">
              <v:imagedata r:id="rId17" o:title=""/>
            </v:shape>
            <v:shape style="position:absolute;left:7040;top:5941;width:77;height:10" type="#_x0000_t75" stroked="false">
              <v:imagedata r:id="rId18" o:title=""/>
            </v:shape>
            <v:shape style="position:absolute;left:7117;top:5941;width:58;height:10" type="#_x0000_t75" stroked="false">
              <v:imagedata r:id="rId17" o:title=""/>
            </v:shape>
            <v:shape style="position:absolute;left:7175;top:5941;width:77;height:10" type="#_x0000_t75" stroked="false">
              <v:imagedata r:id="rId18" o:title=""/>
            </v:shape>
            <v:shape style="position:absolute;left:7251;top:5941;width:77;height:10" type="#_x0000_t75" stroked="false">
              <v:imagedata r:id="rId18" o:title=""/>
            </v:shape>
            <v:shape style="position:absolute;left:7328;top:5941;width:58;height:10" type="#_x0000_t75" stroked="false">
              <v:imagedata r:id="rId17" o:title=""/>
            </v:shape>
            <v:shape style="position:absolute;left:7386;top:5941;width:77;height:10" type="#_x0000_t75" stroked="false">
              <v:imagedata r:id="rId18" o:title=""/>
            </v:shape>
            <v:shape style="position:absolute;left:7463;top:5941;width:58;height:10" type="#_x0000_t75" stroked="false">
              <v:imagedata r:id="rId17" o:title=""/>
            </v:shape>
            <v:shape style="position:absolute;left:7520;top:5941;width:77;height:10" type="#_x0000_t75" stroked="false">
              <v:imagedata r:id="rId18" o:title=""/>
            </v:shape>
            <v:shape style="position:absolute;left:7597;top:5941;width:58;height:10" type="#_x0000_t75" stroked="false">
              <v:imagedata r:id="rId17" o:title=""/>
            </v:shape>
            <v:shape style="position:absolute;left:7655;top:5941;width:77;height:10" type="#_x0000_t75" stroked="false">
              <v:imagedata r:id="rId18" o:title=""/>
            </v:shape>
            <v:shape style="position:absolute;left:7731;top:5941;width:77;height:10" type="#_x0000_t75" stroked="false">
              <v:imagedata r:id="rId18" o:title=""/>
            </v:shape>
            <v:shape style="position:absolute;left:7808;top:5941;width:58;height:10" type="#_x0000_t75" stroked="false">
              <v:imagedata r:id="rId17" o:title=""/>
            </v:shape>
            <v:shape style="position:absolute;left:7866;top:5941;width:77;height:10" type="#_x0000_t75" stroked="false">
              <v:imagedata r:id="rId18" o:title=""/>
            </v:shape>
            <v:shape style="position:absolute;left:7943;top:5941;width:58;height:10" type="#_x0000_t75" stroked="false">
              <v:imagedata r:id="rId17" o:title=""/>
            </v:shape>
            <v:shape style="position:absolute;left:8000;top:5941;width:77;height:10" type="#_x0000_t75" stroked="false">
              <v:imagedata r:id="rId18" o:title=""/>
            </v:shape>
            <v:shape style="position:absolute;left:8077;top:5941;width:58;height:10" type="#_x0000_t75" stroked="false">
              <v:imagedata r:id="rId17" o:title=""/>
            </v:shape>
            <v:shape style="position:absolute;left:8135;top:5941;width:77;height:10" type="#_x0000_t75" stroked="false">
              <v:imagedata r:id="rId18" o:title=""/>
            </v:shape>
            <v:shape style="position:absolute;left:8211;top:5941;width:77;height:10" type="#_x0000_t75" stroked="false">
              <v:imagedata r:id="rId18" o:title=""/>
            </v:shape>
            <v:shape style="position:absolute;left:8288;top:5941;width:58;height:10" type="#_x0000_t75" stroked="false">
              <v:imagedata r:id="rId17" o:title=""/>
            </v:shape>
            <v:shape style="position:absolute;left:8346;top:5941;width:77;height:10" type="#_x0000_t75" stroked="false">
              <v:imagedata r:id="rId18" o:title=""/>
            </v:shape>
            <v:shape style="position:absolute;left:8423;top:5941;width:58;height:10" type="#_x0000_t75" stroked="false">
              <v:imagedata r:id="rId17" o:title=""/>
            </v:shape>
            <v:shape style="position:absolute;left:8480;top:5941;width:77;height:10" type="#_x0000_t75" stroked="false">
              <v:imagedata r:id="rId18" o:title=""/>
            </v:shape>
            <v:shape style="position:absolute;left:8557;top:5941;width:58;height:10" type="#_x0000_t75" stroked="false">
              <v:imagedata r:id="rId17" o:title=""/>
            </v:shape>
            <v:shape style="position:absolute;left:8615;top:5941;width:77;height:10" type="#_x0000_t75" stroked="false">
              <v:imagedata r:id="rId18" o:title=""/>
            </v:shape>
            <v:shape style="position:absolute;left:8691;top:5941;width:77;height:10" type="#_x0000_t75" stroked="false">
              <v:imagedata r:id="rId18" o:title=""/>
            </v:shape>
            <v:shape style="position:absolute;left:8768;top:5941;width:58;height:10" type="#_x0000_t75" stroked="false">
              <v:imagedata r:id="rId17" o:title=""/>
            </v:shape>
            <v:shape style="position:absolute;left:8826;top:5941;width:116;height:10" type="#_x0000_t75" stroked="false">
              <v:imagedata r:id="rId19" o:title=""/>
            </v:shape>
            <v:shape style="position:absolute;left:8942;top:5941;width:58;height:10" type="#_x0000_t75" stroked="false">
              <v:imagedata r:id="rId17" o:title=""/>
            </v:shape>
            <v:shape style="position:absolute;left:8999;top:5941;width:77;height:10" type="#_x0000_t75" stroked="false">
              <v:imagedata r:id="rId18" o:title=""/>
            </v:shape>
            <v:shape style="position:absolute;left:9076;top:5941;width:58;height:10" type="#_x0000_t75" stroked="false">
              <v:imagedata r:id="rId17" o:title=""/>
            </v:shape>
            <v:shape style="position:absolute;left:9134;top:5941;width:77;height:10" type="#_x0000_t75" stroked="false">
              <v:imagedata r:id="rId18" o:title=""/>
            </v:shape>
            <v:shape style="position:absolute;left:9210;top:5941;width:77;height:10" type="#_x0000_t75" stroked="false">
              <v:imagedata r:id="rId18" o:title=""/>
            </v:shape>
            <v:shape style="position:absolute;left:9287;top:5941;width:58;height:10" type="#_x0000_t75" stroked="false">
              <v:imagedata r:id="rId17" o:title=""/>
            </v:shape>
            <v:shape style="position:absolute;left:9345;top:5941;width:77;height:10" type="#_x0000_t75" stroked="false">
              <v:imagedata r:id="rId18" o:title=""/>
            </v:shape>
            <v:shape style="position:absolute;left:9422;top:5941;width:58;height:10" type="#_x0000_t75" stroked="false">
              <v:imagedata r:id="rId17" o:title=""/>
            </v:shape>
            <v:shape style="position:absolute;left:9479;top:5941;width:77;height:10" type="#_x0000_t75" stroked="false">
              <v:imagedata r:id="rId18" o:title=""/>
            </v:shape>
            <v:shape style="position:absolute;left:9556;top:5941;width:58;height:10" type="#_x0000_t75" stroked="false">
              <v:imagedata r:id="rId17" o:title=""/>
            </v:shape>
            <v:shape style="position:absolute;left:9614;top:5941;width:77;height:10" type="#_x0000_t75" stroked="false">
              <v:imagedata r:id="rId18" o:title=""/>
            </v:shape>
            <v:shape style="position:absolute;left:9690;top:5941;width:77;height:10" type="#_x0000_t75" stroked="false">
              <v:imagedata r:id="rId18" o:title=""/>
            </v:shape>
            <v:shape style="position:absolute;left:9767;top:5941;width:58;height:10" type="#_x0000_t75" stroked="false">
              <v:imagedata r:id="rId17" o:title=""/>
            </v:shape>
            <v:shape style="position:absolute;left:9825;top:5941;width:77;height:10" type="#_x0000_t75" stroked="false">
              <v:imagedata r:id="rId18" o:title=""/>
            </v:shape>
            <v:shape style="position:absolute;left:9902;top:5941;width:58;height:10" type="#_x0000_t75" stroked="false">
              <v:imagedata r:id="rId17" o:title=""/>
            </v:shape>
            <v:shape style="position:absolute;left:9959;top:5941;width:77;height:10" type="#_x0000_t75" stroked="false">
              <v:imagedata r:id="rId18" o:title=""/>
            </v:shape>
            <v:shape style="position:absolute;left:10036;top:5941;width:58;height:10" type="#_x0000_t75" stroked="false">
              <v:imagedata r:id="rId17" o:title=""/>
            </v:shape>
            <v:shape style="position:absolute;left:10094;top:5941;width:77;height:10" type="#_x0000_t75" stroked="false">
              <v:imagedata r:id="rId18" o:title=""/>
            </v:shape>
            <v:shape style="position:absolute;left:10170;top:5941;width:96;height:10" type="#_x0000_t75" stroked="false">
              <v:imagedata r:id="rId20" o:title=""/>
            </v:shape>
            <v:shape style="position:absolute;left:10266;top:5941;width:20;height:10" type="#_x0000_t75" stroked="false">
              <v:imagedata r:id="rId7" o:title=""/>
            </v:shape>
            <v:shape style="position:absolute;left:10286;top:5941;width:39;height:10" type="#_x0000_t75" stroked="false">
              <v:imagedata r:id="rId21" o:title=""/>
            </v:shape>
            <v:shape style="position:absolute;left:10324;top:5941;width:20;height:10" type="#_x0000_t75" stroked="false">
              <v:imagedata r:id="rId7" o:title=""/>
            </v:shape>
            <v:shape style="position:absolute;left:10343;top:5941;width:39;height:10" type="#_x0000_t75" stroked="false">
              <v:imagedata r:id="rId8" o:title=""/>
            </v:shape>
            <v:shape style="position:absolute;left:10382;top:5941;width:20;height:10" type="#_x0000_t75" stroked="false">
              <v:imagedata r:id="rId9" o:title=""/>
            </v:shape>
            <v:shape style="position:absolute;left:10401;top:5941;width:39;height:10" type="#_x0000_t75" stroked="false">
              <v:imagedata r:id="rId8" o:title=""/>
            </v:shape>
            <v:shape style="position:absolute;left:10439;top:5941;width:39;height:10" type="#_x0000_t75" stroked="false">
              <v:imagedata r:id="rId8" o:title=""/>
            </v:shape>
            <v:shape style="position:absolute;left:10478;top:5941;width:20;height:10" type="#_x0000_t75" stroked="false">
              <v:imagedata r:id="rId9" o:title=""/>
            </v:shape>
            <v:shape style="position:absolute;left:10497;top:5941;width:39;height:10" type="#_x0000_t75" stroked="false">
              <v:imagedata r:id="rId8" o:title=""/>
            </v:shape>
            <v:shape style="position:absolute;left:10535;top:5941;width:20;height:10" type="#_x0000_t75" stroked="false">
              <v:imagedata r:id="rId7" o:title=""/>
            </v:shape>
            <v:shape style="position:absolute;left:10554;top:5941;width:39;height:10" type="#_x0000_t75" stroked="false">
              <v:imagedata r:id="rId8" o:title=""/>
            </v:shape>
            <v:shape style="position:absolute;left:10593;top:5941;width:20;height:10" type="#_x0000_t75" stroked="false">
              <v:imagedata r:id="rId9" o:title=""/>
            </v:shape>
            <v:shape style="position:absolute;left:10612;top:5941;width:39;height:10" type="#_x0000_t75" stroked="false">
              <v:imagedata r:id="rId8" o:title=""/>
            </v:shape>
            <v:shape style="position:absolute;left:10650;top:5941;width:39;height:10" type="#_x0000_t75" stroked="false">
              <v:imagedata r:id="rId8" o:title=""/>
            </v:shape>
            <v:shape style="position:absolute;left:10689;top:5941;width:20;height:10" type="#_x0000_t75" stroked="false">
              <v:imagedata r:id="rId9" o:title=""/>
            </v:shape>
            <v:shape style="position:absolute;left:10708;top:5941;width:39;height:10" type="#_x0000_t75" stroked="false">
              <v:imagedata r:id="rId8" o:title=""/>
            </v:shape>
            <v:shape style="position:absolute;left:10746;top:5941;width:20;height:10" type="#_x0000_t75" stroked="false">
              <v:imagedata r:id="rId7" o:title=""/>
            </v:shape>
            <v:shape style="position:absolute;left:10766;top:5941;width:36;height:10" type="#_x0000_t75" stroked="false">
              <v:imagedata r:id="rId22" o:title=""/>
            </v:shape>
            <v:shape style="position:absolute;left:10802;top:5941;width:10;height:10" type="#_x0000_t75" stroked="false">
              <v:imagedata r:id="rId7" o:title=""/>
            </v:shape>
            <v:shape style="position:absolute;left:10802;top:5941;width:10;height:10" type="#_x0000_t75" stroked="false">
              <v:imagedata r:id="rId7" o:title=""/>
            </v:shape>
            <v:shape style="position:absolute;left:1332;top:11992;width:9480;height:10" type="#_x0000_t75" stroked="false">
              <v:imagedata r:id="rId23" o:title=""/>
            </v:shape>
            <v:shape style="position:absolute;left:1164;top:33;width:9804;height:12053" type="#_x0000_t75" stroked="false">
              <v:imagedata r:id="rId24" o:title=""/>
            </v:shape>
            <w10:wrap type="none"/>
          </v:group>
        </w:pict>
      </w:r>
      <w:r>
        <w:rPr>
          <w:rFonts w:ascii="Wingdings" w:hAnsi="Wingdings" w:eastAsia="Wingdings"/>
          <w:b/>
          <w:sz w:val="32"/>
        </w:rPr>
        <w:t></w:t>
      </w:r>
      <w:r>
        <w:rPr>
          <w:rFonts w:ascii="Times New Roman" w:hAnsi="Times New Roman" w:eastAsia="Times New Roman"/>
          <w:b/>
          <w:sz w:val="32"/>
        </w:rPr>
        <w:t>  </w:t>
      </w:r>
      <w:r>
        <w:rPr>
          <w:b/>
          <w:sz w:val="21"/>
        </w:rPr>
        <w:t>您拥有的重要权益</w:t>
      </w:r>
    </w:p>
    <w:p>
      <w:pPr>
        <w:pStyle w:val="ListParagraph"/>
        <w:numPr>
          <w:ilvl w:val="0"/>
          <w:numId w:val="1"/>
        </w:numPr>
        <w:tabs>
          <w:tab w:pos="1064" w:val="left" w:leader="none"/>
          <w:tab w:pos="1065" w:val="left" w:leader="none"/>
          <w:tab w:pos="9571" w:val="right" w:leader="dot"/>
        </w:tabs>
        <w:spacing w:line="240" w:lineRule="auto" w:before="6" w:after="0"/>
        <w:ind w:left="1064" w:right="0" w:hanging="398"/>
        <w:jc w:val="left"/>
        <w:rPr>
          <w:sz w:val="21"/>
        </w:rPr>
      </w:pPr>
      <w:r>
        <w:rPr>
          <w:sz w:val="21"/>
        </w:rPr>
        <w:t>收</w:t>
      </w:r>
      <w:r>
        <w:rPr>
          <w:spacing w:val="-3"/>
          <w:sz w:val="21"/>
        </w:rPr>
        <w:t>到</w:t>
      </w:r>
      <w:r>
        <w:rPr>
          <w:sz w:val="21"/>
        </w:rPr>
        <w:t>保</w:t>
      </w:r>
      <w:r>
        <w:rPr>
          <w:spacing w:val="-3"/>
          <w:sz w:val="21"/>
        </w:rPr>
        <w:t>险</w:t>
      </w:r>
      <w:r>
        <w:rPr>
          <w:sz w:val="21"/>
        </w:rPr>
        <w:t>单后</w:t>
      </w:r>
      <w:r>
        <w:rPr>
          <w:spacing w:val="-53"/>
          <w:sz w:val="21"/>
        </w:rPr>
        <w:t> </w:t>
      </w:r>
      <w:r>
        <w:rPr>
          <w:sz w:val="21"/>
        </w:rPr>
        <w:t>10</w:t>
      </w:r>
      <w:r>
        <w:rPr>
          <w:spacing w:val="-53"/>
          <w:sz w:val="21"/>
        </w:rPr>
        <w:t> </w:t>
      </w:r>
      <w:r>
        <w:rPr>
          <w:sz w:val="21"/>
        </w:rPr>
        <w:t>日</w:t>
      </w:r>
      <w:r>
        <w:rPr>
          <w:spacing w:val="-3"/>
          <w:sz w:val="21"/>
        </w:rPr>
        <w:t>内</w:t>
      </w:r>
      <w:r>
        <w:rPr>
          <w:sz w:val="21"/>
        </w:rPr>
        <w:t>您可</w:t>
      </w:r>
      <w:r>
        <w:rPr>
          <w:spacing w:val="-3"/>
          <w:sz w:val="21"/>
        </w:rPr>
        <w:t>以</w:t>
      </w:r>
      <w:r>
        <w:rPr>
          <w:sz w:val="21"/>
        </w:rPr>
        <w:t>要</w:t>
      </w:r>
      <w:r>
        <w:rPr>
          <w:spacing w:val="-3"/>
          <w:sz w:val="21"/>
        </w:rPr>
        <w:t>求</w:t>
      </w:r>
      <w:r>
        <w:rPr>
          <w:sz w:val="21"/>
        </w:rPr>
        <w:t>退</w:t>
      </w:r>
      <w:r>
        <w:rPr>
          <w:spacing w:val="-3"/>
          <w:sz w:val="21"/>
        </w:rPr>
        <w:t>还</w:t>
      </w:r>
      <w:r>
        <w:rPr>
          <w:sz w:val="21"/>
        </w:rPr>
        <w:t>保</w:t>
      </w:r>
      <w:r>
        <w:rPr>
          <w:spacing w:val="-3"/>
          <w:sz w:val="21"/>
        </w:rPr>
        <w:t>险</w:t>
      </w:r>
      <w:r>
        <w:rPr>
          <w:sz w:val="21"/>
        </w:rPr>
        <w:t>费</w:t>
        <w:tab/>
        <w:t>1.4</w:t>
      </w:r>
    </w:p>
    <w:p>
      <w:pPr>
        <w:pStyle w:val="ListParagraph"/>
        <w:numPr>
          <w:ilvl w:val="0"/>
          <w:numId w:val="1"/>
        </w:numPr>
        <w:tabs>
          <w:tab w:pos="1064" w:val="left" w:leader="none"/>
          <w:tab w:pos="1065" w:val="left" w:leader="none"/>
          <w:tab w:pos="9571" w:val="right" w:leader="dot"/>
        </w:tabs>
        <w:spacing w:line="240" w:lineRule="auto" w:before="31" w:after="0"/>
        <w:ind w:left="1064" w:right="0" w:hanging="398"/>
        <w:jc w:val="left"/>
        <w:rPr>
          <w:sz w:val="21"/>
        </w:rPr>
      </w:pPr>
      <w:r>
        <w:rPr>
          <w:sz w:val="21"/>
        </w:rPr>
        <w:t>被</w:t>
      </w:r>
      <w:r>
        <w:rPr>
          <w:spacing w:val="-3"/>
          <w:sz w:val="21"/>
        </w:rPr>
        <w:t>保</w:t>
      </w:r>
      <w:r>
        <w:rPr>
          <w:sz w:val="21"/>
        </w:rPr>
        <w:t>险</w:t>
      </w:r>
      <w:r>
        <w:rPr>
          <w:spacing w:val="-3"/>
          <w:sz w:val="21"/>
        </w:rPr>
        <w:t>人</w:t>
      </w:r>
      <w:r>
        <w:rPr>
          <w:sz w:val="21"/>
        </w:rPr>
        <w:t>可</w:t>
      </w:r>
      <w:r>
        <w:rPr>
          <w:spacing w:val="-3"/>
          <w:sz w:val="21"/>
        </w:rPr>
        <w:t>以</w:t>
      </w:r>
      <w:r>
        <w:rPr>
          <w:sz w:val="21"/>
        </w:rPr>
        <w:t>享</w:t>
      </w:r>
      <w:r>
        <w:rPr>
          <w:spacing w:val="-3"/>
          <w:sz w:val="21"/>
        </w:rPr>
        <w:t>受本</w:t>
      </w:r>
      <w:r>
        <w:rPr>
          <w:sz w:val="21"/>
        </w:rPr>
        <w:t>主险</w:t>
      </w:r>
      <w:r>
        <w:rPr>
          <w:spacing w:val="-3"/>
          <w:sz w:val="21"/>
        </w:rPr>
        <w:t>合</w:t>
      </w:r>
      <w:r>
        <w:rPr>
          <w:sz w:val="21"/>
        </w:rPr>
        <w:t>同</w:t>
      </w:r>
      <w:r>
        <w:rPr>
          <w:spacing w:val="-3"/>
          <w:sz w:val="21"/>
        </w:rPr>
        <w:t>提</w:t>
      </w:r>
      <w:r>
        <w:rPr>
          <w:sz w:val="21"/>
        </w:rPr>
        <w:t>供</w:t>
      </w:r>
      <w:r>
        <w:rPr>
          <w:spacing w:val="-3"/>
          <w:sz w:val="21"/>
        </w:rPr>
        <w:t>的</w:t>
      </w:r>
      <w:r>
        <w:rPr>
          <w:sz w:val="21"/>
        </w:rPr>
        <w:t>保障</w:t>
        <w:tab/>
        <w:t>2.2</w:t>
      </w:r>
    </w:p>
    <w:p>
      <w:pPr>
        <w:pStyle w:val="ListParagraph"/>
        <w:numPr>
          <w:ilvl w:val="0"/>
          <w:numId w:val="1"/>
        </w:numPr>
        <w:tabs>
          <w:tab w:pos="1064" w:val="left" w:leader="none"/>
          <w:tab w:pos="1065" w:val="left" w:leader="none"/>
          <w:tab w:pos="9571" w:val="right" w:leader="dot"/>
        </w:tabs>
        <w:spacing w:line="240" w:lineRule="auto" w:before="29" w:after="0"/>
        <w:ind w:left="1064" w:right="0" w:hanging="398"/>
        <w:jc w:val="left"/>
        <w:rPr>
          <w:sz w:val="21"/>
        </w:rPr>
      </w:pPr>
      <w:r>
        <w:rPr>
          <w:sz w:val="21"/>
        </w:rPr>
        <w:t>您</w:t>
      </w:r>
      <w:r>
        <w:rPr>
          <w:spacing w:val="-3"/>
          <w:sz w:val="21"/>
        </w:rPr>
        <w:t>有</w:t>
      </w:r>
      <w:r>
        <w:rPr>
          <w:sz w:val="21"/>
        </w:rPr>
        <w:t>选</w:t>
      </w:r>
      <w:r>
        <w:rPr>
          <w:spacing w:val="-3"/>
          <w:sz w:val="21"/>
        </w:rPr>
        <w:t>择</w:t>
      </w:r>
      <w:r>
        <w:rPr>
          <w:sz w:val="21"/>
        </w:rPr>
        <w:t>保</w:t>
      </w:r>
      <w:r>
        <w:rPr>
          <w:spacing w:val="-3"/>
          <w:sz w:val="21"/>
        </w:rPr>
        <w:t>险</w:t>
      </w:r>
      <w:r>
        <w:rPr>
          <w:sz w:val="21"/>
        </w:rPr>
        <w:t>费</w:t>
      </w:r>
      <w:r>
        <w:rPr>
          <w:spacing w:val="-3"/>
          <w:sz w:val="21"/>
        </w:rPr>
        <w:t>自动</w:t>
      </w:r>
      <w:r>
        <w:rPr>
          <w:sz w:val="21"/>
        </w:rPr>
        <w:t>垫交</w:t>
      </w:r>
      <w:r>
        <w:rPr>
          <w:spacing w:val="-3"/>
          <w:sz w:val="21"/>
        </w:rPr>
        <w:t>的</w:t>
      </w:r>
      <w:r>
        <w:rPr>
          <w:sz w:val="21"/>
        </w:rPr>
        <w:t>权利</w:t>
        <w:tab/>
        <w:t>5.2</w:t>
      </w:r>
    </w:p>
    <w:p>
      <w:pPr>
        <w:pStyle w:val="ListParagraph"/>
        <w:numPr>
          <w:ilvl w:val="0"/>
          <w:numId w:val="1"/>
        </w:numPr>
        <w:tabs>
          <w:tab w:pos="1064" w:val="left" w:leader="none"/>
          <w:tab w:pos="1065" w:val="left" w:leader="none"/>
          <w:tab w:pos="9571" w:val="right" w:leader="dot"/>
        </w:tabs>
        <w:spacing w:line="240" w:lineRule="auto" w:before="29" w:after="0"/>
        <w:ind w:left="1064" w:right="0" w:hanging="398"/>
        <w:jc w:val="left"/>
        <w:rPr>
          <w:sz w:val="21"/>
        </w:rPr>
      </w:pPr>
      <w:r>
        <w:rPr>
          <w:sz w:val="21"/>
        </w:rPr>
        <w:t>您</w:t>
      </w:r>
      <w:r>
        <w:rPr>
          <w:spacing w:val="-3"/>
          <w:sz w:val="21"/>
        </w:rPr>
        <w:t>有</w:t>
      </w:r>
      <w:r>
        <w:rPr>
          <w:sz w:val="21"/>
        </w:rPr>
        <w:t>保</w:t>
      </w:r>
      <w:r>
        <w:rPr>
          <w:spacing w:val="-3"/>
          <w:sz w:val="21"/>
        </w:rPr>
        <w:t>险</w:t>
      </w:r>
      <w:r>
        <w:rPr>
          <w:sz w:val="21"/>
        </w:rPr>
        <w:t>单</w:t>
      </w:r>
      <w:r>
        <w:rPr>
          <w:spacing w:val="-3"/>
          <w:sz w:val="21"/>
        </w:rPr>
        <w:t>借</w:t>
      </w:r>
      <w:r>
        <w:rPr>
          <w:sz w:val="21"/>
        </w:rPr>
        <w:t>款</w:t>
      </w:r>
      <w:r>
        <w:rPr>
          <w:spacing w:val="-3"/>
          <w:sz w:val="21"/>
        </w:rPr>
        <w:t>的权</w:t>
      </w:r>
      <w:r>
        <w:rPr>
          <w:sz w:val="21"/>
        </w:rPr>
        <w:t>利</w:t>
        <w:tab/>
        <w:t>5.3</w:t>
      </w:r>
    </w:p>
    <w:p>
      <w:pPr>
        <w:pStyle w:val="ListParagraph"/>
        <w:numPr>
          <w:ilvl w:val="0"/>
          <w:numId w:val="1"/>
        </w:numPr>
        <w:tabs>
          <w:tab w:pos="1064" w:val="left" w:leader="none"/>
          <w:tab w:pos="1065" w:val="left" w:leader="none"/>
          <w:tab w:pos="9571" w:val="right" w:leader="dot"/>
        </w:tabs>
        <w:spacing w:line="283" w:lineRule="exact" w:before="32" w:after="0"/>
        <w:ind w:left="1064" w:right="0" w:hanging="398"/>
        <w:jc w:val="left"/>
        <w:rPr>
          <w:sz w:val="21"/>
        </w:rPr>
      </w:pPr>
      <w:r>
        <w:rPr>
          <w:sz w:val="21"/>
        </w:rPr>
        <w:t>您</w:t>
      </w:r>
      <w:r>
        <w:rPr>
          <w:spacing w:val="-3"/>
          <w:sz w:val="21"/>
        </w:rPr>
        <w:t>有</w:t>
      </w:r>
      <w:r>
        <w:rPr>
          <w:sz w:val="21"/>
        </w:rPr>
        <w:t>退</w:t>
      </w:r>
      <w:r>
        <w:rPr>
          <w:spacing w:val="-3"/>
          <w:sz w:val="21"/>
        </w:rPr>
        <w:t>保</w:t>
      </w:r>
      <w:r>
        <w:rPr>
          <w:sz w:val="21"/>
        </w:rPr>
        <w:t>的</w:t>
      </w:r>
      <w:r>
        <w:rPr>
          <w:spacing w:val="-3"/>
          <w:sz w:val="21"/>
        </w:rPr>
        <w:t>权</w:t>
      </w:r>
      <w:r>
        <w:rPr>
          <w:sz w:val="21"/>
        </w:rPr>
        <w:t>利</w:t>
        <w:tab/>
        <w:t>7.1</w:t>
      </w:r>
    </w:p>
    <w:p>
      <w:pPr>
        <w:spacing w:line="349" w:lineRule="exact" w:before="0"/>
        <w:ind w:left="243"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您应当特别注意的事项</w:t>
      </w:r>
    </w:p>
    <w:p>
      <w:pPr>
        <w:pStyle w:val="ListParagraph"/>
        <w:numPr>
          <w:ilvl w:val="0"/>
          <w:numId w:val="1"/>
        </w:numPr>
        <w:tabs>
          <w:tab w:pos="1085" w:val="left" w:leader="none"/>
          <w:tab w:pos="1086" w:val="left" w:leader="none"/>
          <w:tab w:pos="9595" w:val="right" w:leader="dot"/>
        </w:tabs>
        <w:spacing w:line="240" w:lineRule="auto" w:before="6" w:after="0"/>
        <w:ind w:left="1086"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2.3</w:t>
      </w:r>
    </w:p>
    <w:p>
      <w:pPr>
        <w:pStyle w:val="ListParagraph"/>
        <w:numPr>
          <w:ilvl w:val="0"/>
          <w:numId w:val="1"/>
        </w:numPr>
        <w:tabs>
          <w:tab w:pos="1064" w:val="left" w:leader="none"/>
          <w:tab w:pos="1065" w:val="left" w:leader="none"/>
          <w:tab w:pos="9571" w:val="right" w:leader="dot"/>
        </w:tabs>
        <w:spacing w:line="240" w:lineRule="auto" w:before="31" w:after="0"/>
        <w:ind w:left="1064" w:right="0" w:hanging="398"/>
        <w:jc w:val="left"/>
        <w:rPr>
          <w:sz w:val="21"/>
        </w:rPr>
      </w:pPr>
      <w:r>
        <w:rPr>
          <w:sz w:val="21"/>
        </w:rPr>
        <w:t>您</w:t>
      </w:r>
      <w:r>
        <w:rPr>
          <w:spacing w:val="-3"/>
          <w:sz w:val="21"/>
        </w:rPr>
        <w:t>有</w:t>
      </w:r>
      <w:r>
        <w:rPr>
          <w:sz w:val="21"/>
        </w:rPr>
        <w:t>及</w:t>
      </w:r>
      <w:r>
        <w:rPr>
          <w:spacing w:val="-3"/>
          <w:sz w:val="21"/>
        </w:rPr>
        <w:t>时</w:t>
      </w:r>
      <w:r>
        <w:rPr>
          <w:sz w:val="21"/>
        </w:rPr>
        <w:t>向</w:t>
      </w:r>
      <w:r>
        <w:rPr>
          <w:spacing w:val="-3"/>
          <w:sz w:val="21"/>
        </w:rPr>
        <w:t>我</w:t>
      </w:r>
      <w:r>
        <w:rPr>
          <w:sz w:val="21"/>
        </w:rPr>
        <w:t>们</w:t>
      </w:r>
      <w:r>
        <w:rPr>
          <w:spacing w:val="-3"/>
          <w:sz w:val="21"/>
        </w:rPr>
        <w:t>通知</w:t>
      </w:r>
      <w:r>
        <w:rPr>
          <w:sz w:val="21"/>
        </w:rPr>
        <w:t>保险</w:t>
      </w:r>
      <w:r>
        <w:rPr>
          <w:spacing w:val="-3"/>
          <w:sz w:val="21"/>
        </w:rPr>
        <w:t>事</w:t>
      </w:r>
      <w:r>
        <w:rPr>
          <w:sz w:val="21"/>
        </w:rPr>
        <w:t>故</w:t>
      </w:r>
      <w:r>
        <w:rPr>
          <w:spacing w:val="-3"/>
          <w:sz w:val="21"/>
        </w:rPr>
        <w:t>的</w:t>
      </w:r>
      <w:r>
        <w:rPr>
          <w:sz w:val="21"/>
        </w:rPr>
        <w:t>责任</w:t>
        <w:tab/>
        <w:t>3.2</w:t>
      </w:r>
    </w:p>
    <w:p>
      <w:pPr>
        <w:pStyle w:val="ListParagraph"/>
        <w:numPr>
          <w:ilvl w:val="0"/>
          <w:numId w:val="1"/>
        </w:numPr>
        <w:tabs>
          <w:tab w:pos="1064" w:val="left" w:leader="none"/>
          <w:tab w:pos="1065" w:val="left" w:leader="none"/>
          <w:tab w:pos="9571" w:val="right" w:leader="dot"/>
        </w:tabs>
        <w:spacing w:line="240" w:lineRule="auto" w:before="29" w:after="0"/>
        <w:ind w:left="1064" w:right="0" w:hanging="398"/>
        <w:jc w:val="left"/>
        <w:rPr>
          <w:sz w:val="21"/>
        </w:rPr>
      </w:pPr>
      <w:r>
        <w:rPr>
          <w:sz w:val="21"/>
        </w:rPr>
        <w:t>您</w:t>
      </w:r>
      <w:r>
        <w:rPr>
          <w:spacing w:val="-3"/>
          <w:sz w:val="21"/>
        </w:rPr>
        <w:t>应</w:t>
      </w:r>
      <w:r>
        <w:rPr>
          <w:sz w:val="21"/>
        </w:rPr>
        <w:t>当</w:t>
      </w:r>
      <w:r>
        <w:rPr>
          <w:spacing w:val="-3"/>
          <w:sz w:val="21"/>
        </w:rPr>
        <w:t>按</w:t>
      </w:r>
      <w:r>
        <w:rPr>
          <w:sz w:val="21"/>
        </w:rPr>
        <w:t>时</w:t>
      </w:r>
      <w:r>
        <w:rPr>
          <w:spacing w:val="-3"/>
          <w:sz w:val="21"/>
        </w:rPr>
        <w:t>交</w:t>
      </w:r>
      <w:r>
        <w:rPr>
          <w:sz w:val="21"/>
        </w:rPr>
        <w:t>纳</w:t>
      </w:r>
      <w:r>
        <w:rPr>
          <w:spacing w:val="-3"/>
          <w:sz w:val="21"/>
        </w:rPr>
        <w:t>保险费</w:t>
        <w:tab/>
      </w:r>
      <w:r>
        <w:rPr>
          <w:sz w:val="21"/>
        </w:rPr>
        <w:t>4.1</w:t>
      </w:r>
    </w:p>
    <w:p>
      <w:pPr>
        <w:pStyle w:val="ListParagraph"/>
        <w:numPr>
          <w:ilvl w:val="0"/>
          <w:numId w:val="1"/>
        </w:numPr>
        <w:tabs>
          <w:tab w:pos="1064" w:val="left" w:leader="none"/>
          <w:tab w:pos="1065" w:val="left" w:leader="none"/>
          <w:tab w:pos="9571" w:val="right" w:leader="dot"/>
        </w:tabs>
        <w:spacing w:line="240" w:lineRule="auto" w:before="29" w:after="0"/>
        <w:ind w:left="1064" w:right="0" w:hanging="398"/>
        <w:jc w:val="left"/>
        <w:rPr>
          <w:sz w:val="21"/>
        </w:rPr>
      </w:pPr>
      <w:r>
        <w:rPr>
          <w:sz w:val="21"/>
        </w:rPr>
        <w:t>退</w:t>
      </w:r>
      <w:r>
        <w:rPr>
          <w:spacing w:val="-3"/>
          <w:sz w:val="21"/>
        </w:rPr>
        <w:t>保</w:t>
      </w:r>
      <w:r>
        <w:rPr>
          <w:sz w:val="21"/>
        </w:rPr>
        <w:t>会</w:t>
      </w:r>
      <w:r>
        <w:rPr>
          <w:spacing w:val="-3"/>
          <w:sz w:val="21"/>
        </w:rPr>
        <w:t>给</w:t>
      </w:r>
      <w:r>
        <w:rPr>
          <w:sz w:val="21"/>
        </w:rPr>
        <w:t>您</w:t>
      </w:r>
      <w:r>
        <w:rPr>
          <w:spacing w:val="-3"/>
          <w:sz w:val="21"/>
        </w:rPr>
        <w:t>造</w:t>
      </w:r>
      <w:r>
        <w:rPr>
          <w:sz w:val="21"/>
        </w:rPr>
        <w:t>成</w:t>
      </w:r>
      <w:r>
        <w:rPr>
          <w:spacing w:val="-3"/>
          <w:sz w:val="21"/>
        </w:rPr>
        <w:t>一定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064" w:val="left" w:leader="none"/>
          <w:tab w:pos="1065" w:val="left" w:leader="none"/>
          <w:tab w:pos="9571" w:val="right" w:leader="dot"/>
        </w:tabs>
        <w:spacing w:line="240" w:lineRule="auto" w:before="31" w:after="0"/>
        <w:ind w:left="1064" w:right="0" w:hanging="398"/>
        <w:jc w:val="left"/>
        <w:rPr>
          <w:sz w:val="21"/>
        </w:rPr>
      </w:pPr>
      <w:r>
        <w:rPr>
          <w:sz w:val="21"/>
        </w:rPr>
        <w:t>您</w:t>
      </w:r>
      <w:r>
        <w:rPr>
          <w:spacing w:val="-3"/>
          <w:sz w:val="21"/>
        </w:rPr>
        <w:t>有</w:t>
      </w:r>
      <w:r>
        <w:rPr>
          <w:sz w:val="21"/>
        </w:rPr>
        <w:t>如</w:t>
      </w:r>
      <w:r>
        <w:rPr>
          <w:spacing w:val="-3"/>
          <w:sz w:val="21"/>
        </w:rPr>
        <w:t>实</w:t>
      </w:r>
      <w:r>
        <w:rPr>
          <w:sz w:val="21"/>
        </w:rPr>
        <w:t>告</w:t>
      </w:r>
      <w:r>
        <w:rPr>
          <w:spacing w:val="-3"/>
          <w:sz w:val="21"/>
        </w:rPr>
        <w:t>知</w:t>
      </w:r>
      <w:r>
        <w:rPr>
          <w:sz w:val="21"/>
        </w:rPr>
        <w:t>的</w:t>
      </w:r>
      <w:r>
        <w:rPr>
          <w:spacing w:val="-3"/>
          <w:sz w:val="21"/>
        </w:rPr>
        <w:t>义</w:t>
      </w:r>
      <w:r>
        <w:rPr>
          <w:sz w:val="21"/>
        </w:rPr>
        <w:t>务</w:t>
        <w:tab/>
        <w:t>8.1</w:t>
      </w:r>
    </w:p>
    <w:p>
      <w:pPr>
        <w:pStyle w:val="ListParagraph"/>
        <w:numPr>
          <w:ilvl w:val="0"/>
          <w:numId w:val="1"/>
        </w:numPr>
        <w:tabs>
          <w:tab w:pos="1085" w:val="left" w:leader="none"/>
          <w:tab w:pos="1086" w:val="left" w:leader="none"/>
          <w:tab w:pos="9386" w:val="right" w:leader="dot"/>
        </w:tabs>
        <w:spacing w:line="240" w:lineRule="auto" w:before="29" w:after="0"/>
        <w:ind w:left="1086"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085" w:val="left" w:leader="none"/>
          <w:tab w:pos="1086" w:val="left" w:leader="none"/>
        </w:tabs>
        <w:spacing w:line="240" w:lineRule="auto" w:before="29" w:after="0"/>
        <w:ind w:left="1086" w:right="0" w:hanging="420"/>
        <w:jc w:val="left"/>
        <w:rPr>
          <w:sz w:val="21"/>
        </w:rPr>
      </w:pPr>
      <w:r>
        <w:rPr>
          <w:spacing w:val="-3"/>
          <w:sz w:val="21"/>
        </w:rPr>
        <w:t>保险条款有关于重大疾病、高度残疾的释义，请您留意...............</w:t>
      </w:r>
      <w:r>
        <w:rPr>
          <w:spacing w:val="-1"/>
          <w:sz w:val="21"/>
        </w:rPr>
        <w:t>2.2</w:t>
      </w:r>
      <w:r>
        <w:rPr>
          <w:sz w:val="21"/>
        </w:rPr>
        <w:t>、9.3、9.4、9.5</w:t>
      </w:r>
    </w:p>
    <w:p>
      <w:pPr>
        <w:spacing w:before="145"/>
        <w:ind w:left="243"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条款是保险合同的重要内容，为充分保障您的权益，请您仔细阅读本条款。</w:t>
      </w:r>
    </w:p>
    <w:p>
      <w:pPr>
        <w:spacing w:before="120"/>
        <w:ind w:left="243"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条款目录</w:t>
      </w:r>
    </w:p>
    <w:p>
      <w:pPr>
        <w:pStyle w:val="BodyText"/>
        <w:rPr>
          <w:b/>
          <w:sz w:val="20"/>
        </w:rPr>
      </w:pPr>
    </w:p>
    <w:p>
      <w:pPr>
        <w:pStyle w:val="BodyText"/>
        <w:rPr>
          <w:b/>
          <w:sz w:val="12"/>
        </w:rPr>
      </w:pPr>
    </w:p>
    <w:tbl>
      <w:tblPr>
        <w:tblW w:w="0" w:type="auto"/>
        <w:jc w:val="left"/>
        <w:tblInd w:w="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3264"/>
        <w:gridCol w:w="3784"/>
      </w:tblGrid>
      <w:tr>
        <w:trPr>
          <w:trHeight w:val="317" w:hRule="atLeast"/>
        </w:trPr>
        <w:tc>
          <w:tcPr>
            <w:tcW w:w="2433" w:type="dxa"/>
            <w:tcBorders>
              <w:left w:val="single" w:sz="4" w:space="0" w:color="000000"/>
            </w:tcBorders>
          </w:tcPr>
          <w:p>
            <w:pPr>
              <w:pStyle w:val="TableParagraph"/>
              <w:spacing w:before="11"/>
              <w:ind w:left="107"/>
              <w:rPr>
                <w:b/>
                <w:sz w:val="21"/>
              </w:rPr>
            </w:pPr>
            <w:r>
              <w:rPr>
                <w:b/>
                <w:sz w:val="21"/>
              </w:rPr>
              <w:t>1．您与我们的合同</w:t>
            </w:r>
          </w:p>
        </w:tc>
        <w:tc>
          <w:tcPr>
            <w:tcW w:w="3264" w:type="dxa"/>
          </w:tcPr>
          <w:p>
            <w:pPr>
              <w:pStyle w:val="TableParagraph"/>
              <w:spacing w:before="11"/>
              <w:ind w:left="322"/>
              <w:rPr>
                <w:sz w:val="21"/>
              </w:rPr>
            </w:pPr>
            <w:r>
              <w:rPr>
                <w:sz w:val="21"/>
              </w:rPr>
              <w:t>5.1 现金价值</w:t>
            </w:r>
          </w:p>
        </w:tc>
        <w:tc>
          <w:tcPr>
            <w:tcW w:w="3784" w:type="dxa"/>
            <w:tcBorders>
              <w:right w:val="single" w:sz="4" w:space="0" w:color="000000"/>
            </w:tcBorders>
          </w:tcPr>
          <w:p>
            <w:pPr>
              <w:pStyle w:val="TableParagraph"/>
              <w:spacing w:before="11"/>
              <w:ind w:left="215"/>
              <w:rPr>
                <w:sz w:val="21"/>
              </w:rPr>
            </w:pPr>
            <w:r>
              <w:rPr>
                <w:sz w:val="21"/>
              </w:rPr>
              <w:t>9.2 有效身份证件</w:t>
            </w:r>
          </w:p>
        </w:tc>
      </w:tr>
      <w:tr>
        <w:trPr>
          <w:trHeight w:val="278" w:hRule="atLeast"/>
        </w:trPr>
        <w:tc>
          <w:tcPr>
            <w:tcW w:w="2433" w:type="dxa"/>
            <w:tcBorders>
              <w:left w:val="single" w:sz="4" w:space="0" w:color="000000"/>
            </w:tcBorders>
          </w:tcPr>
          <w:p>
            <w:pPr>
              <w:pStyle w:val="TableParagraph"/>
              <w:spacing w:line="242" w:lineRule="exact"/>
              <w:ind w:left="318"/>
              <w:rPr>
                <w:sz w:val="21"/>
              </w:rPr>
            </w:pPr>
            <w:r>
              <w:rPr>
                <w:sz w:val="21"/>
              </w:rPr>
              <w:t>1.1 合同构成</w:t>
            </w:r>
          </w:p>
        </w:tc>
        <w:tc>
          <w:tcPr>
            <w:tcW w:w="3264" w:type="dxa"/>
          </w:tcPr>
          <w:p>
            <w:pPr>
              <w:pStyle w:val="TableParagraph"/>
              <w:spacing w:line="242" w:lineRule="exact"/>
              <w:ind w:left="322"/>
              <w:rPr>
                <w:sz w:val="21"/>
              </w:rPr>
            </w:pPr>
            <w:r>
              <w:rPr>
                <w:sz w:val="21"/>
              </w:rPr>
              <w:t>5.2 自动垫交</w:t>
            </w:r>
          </w:p>
        </w:tc>
        <w:tc>
          <w:tcPr>
            <w:tcW w:w="3784" w:type="dxa"/>
            <w:tcBorders>
              <w:right w:val="single" w:sz="4" w:space="0" w:color="000000"/>
            </w:tcBorders>
          </w:tcPr>
          <w:p>
            <w:pPr>
              <w:pStyle w:val="TableParagraph"/>
              <w:spacing w:line="242" w:lineRule="exact"/>
              <w:ind w:left="215"/>
              <w:rPr>
                <w:sz w:val="21"/>
              </w:rPr>
            </w:pPr>
            <w:r>
              <w:rPr>
                <w:sz w:val="21"/>
              </w:rPr>
              <w:t>9.3 少儿重大疾病</w:t>
            </w:r>
          </w:p>
        </w:tc>
      </w:tr>
      <w:tr>
        <w:trPr>
          <w:trHeight w:val="284" w:hRule="atLeast"/>
        </w:trPr>
        <w:tc>
          <w:tcPr>
            <w:tcW w:w="2433" w:type="dxa"/>
            <w:tcBorders>
              <w:left w:val="single" w:sz="4" w:space="0" w:color="000000"/>
            </w:tcBorders>
          </w:tcPr>
          <w:p>
            <w:pPr>
              <w:pStyle w:val="TableParagraph"/>
              <w:spacing w:line="247" w:lineRule="exact"/>
              <w:ind w:left="318"/>
              <w:rPr>
                <w:sz w:val="21"/>
              </w:rPr>
            </w:pPr>
            <w:r>
              <w:rPr>
                <w:sz w:val="21"/>
              </w:rPr>
              <w:t>1.2 合同成立与生效</w:t>
            </w:r>
          </w:p>
        </w:tc>
        <w:tc>
          <w:tcPr>
            <w:tcW w:w="3264" w:type="dxa"/>
          </w:tcPr>
          <w:p>
            <w:pPr>
              <w:pStyle w:val="TableParagraph"/>
              <w:spacing w:line="247" w:lineRule="exact"/>
              <w:ind w:left="322"/>
              <w:rPr>
                <w:sz w:val="21"/>
              </w:rPr>
            </w:pPr>
            <w:r>
              <w:rPr>
                <w:sz w:val="21"/>
              </w:rPr>
              <w:t>5.3 保险单借款</w:t>
            </w:r>
          </w:p>
        </w:tc>
        <w:tc>
          <w:tcPr>
            <w:tcW w:w="3784" w:type="dxa"/>
            <w:tcBorders>
              <w:right w:val="single" w:sz="4" w:space="0" w:color="000000"/>
            </w:tcBorders>
          </w:tcPr>
          <w:p>
            <w:pPr>
              <w:pStyle w:val="TableParagraph"/>
              <w:spacing w:line="247" w:lineRule="exact"/>
              <w:ind w:left="215"/>
              <w:rPr>
                <w:sz w:val="21"/>
              </w:rPr>
            </w:pPr>
            <w:r>
              <w:rPr>
                <w:sz w:val="21"/>
              </w:rPr>
              <w:t>9.4 成人重大疾病</w:t>
            </w:r>
          </w:p>
        </w:tc>
      </w:tr>
      <w:tr>
        <w:trPr>
          <w:trHeight w:val="284" w:hRule="atLeast"/>
        </w:trPr>
        <w:tc>
          <w:tcPr>
            <w:tcW w:w="2433" w:type="dxa"/>
            <w:tcBorders>
              <w:left w:val="single" w:sz="4" w:space="0" w:color="000000"/>
            </w:tcBorders>
          </w:tcPr>
          <w:p>
            <w:pPr>
              <w:pStyle w:val="TableParagraph"/>
              <w:spacing w:line="248" w:lineRule="exact"/>
              <w:ind w:left="318"/>
              <w:rPr>
                <w:sz w:val="21"/>
              </w:rPr>
            </w:pPr>
            <w:r>
              <w:rPr>
                <w:sz w:val="21"/>
              </w:rPr>
              <w:t>1.3 投保年龄</w:t>
            </w:r>
          </w:p>
        </w:tc>
        <w:tc>
          <w:tcPr>
            <w:tcW w:w="3264" w:type="dxa"/>
          </w:tcPr>
          <w:p>
            <w:pPr>
              <w:pStyle w:val="TableParagraph"/>
              <w:spacing w:line="248" w:lineRule="exact"/>
              <w:ind w:left="111"/>
              <w:rPr>
                <w:b/>
                <w:sz w:val="21"/>
              </w:rPr>
            </w:pPr>
            <w:r>
              <w:rPr>
                <w:b/>
                <w:sz w:val="21"/>
              </w:rPr>
              <w:t>6．合同效力的中止及恢复</w:t>
            </w:r>
          </w:p>
        </w:tc>
        <w:tc>
          <w:tcPr>
            <w:tcW w:w="3784" w:type="dxa"/>
            <w:tcBorders>
              <w:right w:val="single" w:sz="4" w:space="0" w:color="000000"/>
            </w:tcBorders>
          </w:tcPr>
          <w:p>
            <w:pPr>
              <w:pStyle w:val="TableParagraph"/>
              <w:spacing w:line="248" w:lineRule="exact"/>
              <w:ind w:left="215"/>
              <w:rPr>
                <w:sz w:val="21"/>
              </w:rPr>
            </w:pPr>
            <w:r>
              <w:rPr>
                <w:sz w:val="21"/>
              </w:rPr>
              <w:t>9.5 高度残疾</w:t>
            </w:r>
          </w:p>
        </w:tc>
      </w:tr>
      <w:tr>
        <w:trPr>
          <w:trHeight w:val="283" w:hRule="atLeast"/>
        </w:trPr>
        <w:tc>
          <w:tcPr>
            <w:tcW w:w="2433" w:type="dxa"/>
            <w:tcBorders>
              <w:left w:val="single" w:sz="4" w:space="0" w:color="000000"/>
            </w:tcBorders>
          </w:tcPr>
          <w:p>
            <w:pPr>
              <w:pStyle w:val="TableParagraph"/>
              <w:spacing w:line="247" w:lineRule="exact"/>
              <w:ind w:left="318"/>
              <w:rPr>
                <w:sz w:val="21"/>
              </w:rPr>
            </w:pPr>
            <w:r>
              <w:rPr>
                <w:sz w:val="21"/>
              </w:rPr>
              <w:t>1.4 犹豫期</w:t>
            </w:r>
          </w:p>
        </w:tc>
        <w:tc>
          <w:tcPr>
            <w:tcW w:w="3264" w:type="dxa"/>
          </w:tcPr>
          <w:p>
            <w:pPr>
              <w:pStyle w:val="TableParagraph"/>
              <w:spacing w:line="247" w:lineRule="exact"/>
              <w:ind w:left="322"/>
              <w:rPr>
                <w:sz w:val="21"/>
              </w:rPr>
            </w:pPr>
            <w:r>
              <w:rPr>
                <w:sz w:val="21"/>
              </w:rPr>
              <w:t>6.1 效力中止</w:t>
            </w:r>
          </w:p>
        </w:tc>
        <w:tc>
          <w:tcPr>
            <w:tcW w:w="3784" w:type="dxa"/>
            <w:tcBorders>
              <w:right w:val="single" w:sz="4" w:space="0" w:color="000000"/>
            </w:tcBorders>
          </w:tcPr>
          <w:p>
            <w:pPr>
              <w:pStyle w:val="TableParagraph"/>
              <w:spacing w:line="247" w:lineRule="exact"/>
              <w:ind w:left="215"/>
              <w:rPr>
                <w:sz w:val="21"/>
              </w:rPr>
            </w:pPr>
            <w:r>
              <w:rPr>
                <w:sz w:val="21"/>
              </w:rPr>
              <w:t>9.6 现金价值</w:t>
            </w:r>
          </w:p>
        </w:tc>
      </w:tr>
      <w:tr>
        <w:trPr>
          <w:trHeight w:val="284" w:hRule="atLeast"/>
        </w:trPr>
        <w:tc>
          <w:tcPr>
            <w:tcW w:w="2433" w:type="dxa"/>
            <w:tcBorders>
              <w:left w:val="single" w:sz="4" w:space="0" w:color="000000"/>
            </w:tcBorders>
          </w:tcPr>
          <w:p>
            <w:pPr>
              <w:pStyle w:val="TableParagraph"/>
              <w:spacing w:line="247" w:lineRule="exact"/>
              <w:ind w:left="318"/>
              <w:rPr>
                <w:sz w:val="21"/>
              </w:rPr>
            </w:pPr>
            <w:r>
              <w:rPr>
                <w:sz w:val="21"/>
              </w:rPr>
              <w:t>1.5 保险期间</w:t>
            </w:r>
          </w:p>
        </w:tc>
        <w:tc>
          <w:tcPr>
            <w:tcW w:w="3264" w:type="dxa"/>
          </w:tcPr>
          <w:p>
            <w:pPr>
              <w:pStyle w:val="TableParagraph"/>
              <w:spacing w:line="247" w:lineRule="exact"/>
              <w:ind w:left="322"/>
              <w:rPr>
                <w:sz w:val="21"/>
              </w:rPr>
            </w:pPr>
            <w:r>
              <w:rPr>
                <w:sz w:val="21"/>
              </w:rPr>
              <w:t>6.2 效力恢复</w:t>
            </w:r>
          </w:p>
        </w:tc>
        <w:tc>
          <w:tcPr>
            <w:tcW w:w="3784" w:type="dxa"/>
            <w:tcBorders>
              <w:right w:val="single" w:sz="4" w:space="0" w:color="000000"/>
            </w:tcBorders>
          </w:tcPr>
          <w:p>
            <w:pPr>
              <w:pStyle w:val="TableParagraph"/>
              <w:spacing w:line="247" w:lineRule="exact"/>
              <w:ind w:left="215"/>
              <w:rPr>
                <w:sz w:val="21"/>
              </w:rPr>
            </w:pPr>
            <w:r>
              <w:rPr>
                <w:sz w:val="21"/>
              </w:rPr>
              <w:t>9.7 意外伤害</w:t>
            </w:r>
          </w:p>
        </w:tc>
      </w:tr>
      <w:tr>
        <w:trPr>
          <w:trHeight w:val="284" w:hRule="atLeast"/>
        </w:trPr>
        <w:tc>
          <w:tcPr>
            <w:tcW w:w="2433" w:type="dxa"/>
            <w:tcBorders>
              <w:left w:val="single" w:sz="4" w:space="0" w:color="000000"/>
            </w:tcBorders>
          </w:tcPr>
          <w:p>
            <w:pPr>
              <w:pStyle w:val="TableParagraph"/>
              <w:spacing w:line="248" w:lineRule="exact"/>
              <w:ind w:left="107"/>
              <w:rPr>
                <w:b/>
                <w:sz w:val="21"/>
              </w:rPr>
            </w:pPr>
            <w:r>
              <w:rPr>
                <w:b/>
                <w:sz w:val="21"/>
              </w:rPr>
              <w:t>2．我们提供的保障</w:t>
            </w:r>
          </w:p>
        </w:tc>
        <w:tc>
          <w:tcPr>
            <w:tcW w:w="3264" w:type="dxa"/>
          </w:tcPr>
          <w:p>
            <w:pPr>
              <w:pStyle w:val="TableParagraph"/>
              <w:spacing w:line="248" w:lineRule="exact"/>
              <w:ind w:left="111"/>
              <w:rPr>
                <w:b/>
                <w:sz w:val="21"/>
              </w:rPr>
            </w:pPr>
            <w:r>
              <w:rPr>
                <w:b/>
                <w:sz w:val="21"/>
              </w:rPr>
              <w:t>7. 如何解除保险合同</w:t>
            </w:r>
          </w:p>
        </w:tc>
        <w:tc>
          <w:tcPr>
            <w:tcW w:w="3784" w:type="dxa"/>
            <w:tcBorders>
              <w:right w:val="single" w:sz="4" w:space="0" w:color="000000"/>
            </w:tcBorders>
          </w:tcPr>
          <w:p>
            <w:pPr>
              <w:pStyle w:val="TableParagraph"/>
              <w:spacing w:line="248" w:lineRule="exact"/>
              <w:ind w:left="215"/>
              <w:rPr>
                <w:sz w:val="21"/>
              </w:rPr>
            </w:pPr>
            <w:r>
              <w:rPr>
                <w:sz w:val="21"/>
              </w:rPr>
              <w:t>9.8 专科医生</w:t>
            </w:r>
          </w:p>
        </w:tc>
      </w:tr>
      <w:tr>
        <w:trPr>
          <w:trHeight w:val="283" w:hRule="atLeast"/>
        </w:trPr>
        <w:tc>
          <w:tcPr>
            <w:tcW w:w="2433" w:type="dxa"/>
            <w:tcBorders>
              <w:left w:val="single" w:sz="4" w:space="0" w:color="000000"/>
            </w:tcBorders>
          </w:tcPr>
          <w:p>
            <w:pPr>
              <w:pStyle w:val="TableParagraph"/>
              <w:spacing w:line="247" w:lineRule="exact"/>
              <w:ind w:left="318"/>
              <w:rPr>
                <w:sz w:val="21"/>
              </w:rPr>
            </w:pPr>
            <w:r>
              <w:rPr>
                <w:sz w:val="21"/>
              </w:rPr>
              <w:t>2.1 基本保险金额</w:t>
            </w:r>
          </w:p>
        </w:tc>
        <w:tc>
          <w:tcPr>
            <w:tcW w:w="3264" w:type="dxa"/>
          </w:tcPr>
          <w:p>
            <w:pPr>
              <w:pStyle w:val="TableParagraph"/>
              <w:spacing w:line="247" w:lineRule="exact"/>
              <w:ind w:left="322"/>
              <w:rPr>
                <w:sz w:val="21"/>
              </w:rPr>
            </w:pPr>
            <w:r>
              <w:rPr>
                <w:sz w:val="21"/>
              </w:rPr>
              <w:t>7.1 您解除合同的手续及风险</w:t>
            </w:r>
          </w:p>
        </w:tc>
        <w:tc>
          <w:tcPr>
            <w:tcW w:w="3784" w:type="dxa"/>
            <w:tcBorders>
              <w:right w:val="single" w:sz="4" w:space="0" w:color="000000"/>
            </w:tcBorders>
          </w:tcPr>
          <w:p>
            <w:pPr>
              <w:pStyle w:val="TableParagraph"/>
              <w:spacing w:line="247" w:lineRule="exact"/>
              <w:ind w:left="215"/>
              <w:rPr>
                <w:sz w:val="21"/>
              </w:rPr>
            </w:pPr>
            <w:r>
              <w:rPr>
                <w:sz w:val="21"/>
              </w:rPr>
              <w:t>9.9 毒品</w:t>
            </w:r>
          </w:p>
        </w:tc>
      </w:tr>
      <w:tr>
        <w:trPr>
          <w:trHeight w:val="284" w:hRule="atLeast"/>
        </w:trPr>
        <w:tc>
          <w:tcPr>
            <w:tcW w:w="2433" w:type="dxa"/>
            <w:tcBorders>
              <w:left w:val="single" w:sz="4" w:space="0" w:color="000000"/>
            </w:tcBorders>
          </w:tcPr>
          <w:p>
            <w:pPr>
              <w:pStyle w:val="TableParagraph"/>
              <w:spacing w:line="247" w:lineRule="exact"/>
              <w:ind w:left="318"/>
              <w:rPr>
                <w:sz w:val="21"/>
              </w:rPr>
            </w:pPr>
            <w:r>
              <w:rPr>
                <w:sz w:val="21"/>
              </w:rPr>
              <w:t>2.2 保险责任</w:t>
            </w:r>
          </w:p>
        </w:tc>
        <w:tc>
          <w:tcPr>
            <w:tcW w:w="3264" w:type="dxa"/>
          </w:tcPr>
          <w:p>
            <w:pPr>
              <w:pStyle w:val="TableParagraph"/>
              <w:spacing w:line="247" w:lineRule="exact"/>
              <w:ind w:left="111"/>
              <w:rPr>
                <w:b/>
                <w:sz w:val="21"/>
              </w:rPr>
            </w:pPr>
            <w:r>
              <w:rPr>
                <w:b/>
                <w:sz w:val="21"/>
              </w:rPr>
              <w:t>8．其他需要关注的事项</w:t>
            </w:r>
          </w:p>
        </w:tc>
        <w:tc>
          <w:tcPr>
            <w:tcW w:w="3784" w:type="dxa"/>
            <w:tcBorders>
              <w:right w:val="single" w:sz="4" w:space="0" w:color="000000"/>
            </w:tcBorders>
          </w:tcPr>
          <w:p>
            <w:pPr>
              <w:pStyle w:val="TableParagraph"/>
              <w:spacing w:line="247" w:lineRule="exact"/>
              <w:ind w:left="215"/>
              <w:rPr>
                <w:sz w:val="21"/>
              </w:rPr>
            </w:pPr>
            <w:r>
              <w:rPr>
                <w:sz w:val="21"/>
              </w:rPr>
              <w:t>9.10 酒后驾驶</w:t>
            </w:r>
          </w:p>
        </w:tc>
      </w:tr>
      <w:tr>
        <w:trPr>
          <w:trHeight w:val="284" w:hRule="atLeast"/>
        </w:trPr>
        <w:tc>
          <w:tcPr>
            <w:tcW w:w="2433" w:type="dxa"/>
            <w:tcBorders>
              <w:left w:val="single" w:sz="4" w:space="0" w:color="000000"/>
            </w:tcBorders>
          </w:tcPr>
          <w:p>
            <w:pPr>
              <w:pStyle w:val="TableParagraph"/>
              <w:spacing w:line="248" w:lineRule="exact"/>
              <w:ind w:left="318"/>
              <w:rPr>
                <w:sz w:val="21"/>
              </w:rPr>
            </w:pPr>
            <w:r>
              <w:rPr>
                <w:sz w:val="21"/>
              </w:rPr>
              <w:t>2.3 责任免除</w:t>
            </w:r>
          </w:p>
        </w:tc>
        <w:tc>
          <w:tcPr>
            <w:tcW w:w="3264" w:type="dxa"/>
          </w:tcPr>
          <w:p>
            <w:pPr>
              <w:pStyle w:val="TableParagraph"/>
              <w:spacing w:line="248" w:lineRule="exact"/>
              <w:ind w:left="322"/>
              <w:rPr>
                <w:sz w:val="21"/>
              </w:rPr>
            </w:pPr>
            <w:r>
              <w:rPr>
                <w:sz w:val="21"/>
              </w:rPr>
              <w:t>8.1 明确说明与如实告知</w:t>
            </w:r>
          </w:p>
        </w:tc>
        <w:tc>
          <w:tcPr>
            <w:tcW w:w="3784" w:type="dxa"/>
            <w:tcBorders>
              <w:right w:val="single" w:sz="4" w:space="0" w:color="000000"/>
            </w:tcBorders>
          </w:tcPr>
          <w:p>
            <w:pPr>
              <w:pStyle w:val="TableParagraph"/>
              <w:spacing w:line="248" w:lineRule="exact"/>
              <w:ind w:left="215"/>
              <w:rPr>
                <w:sz w:val="21"/>
              </w:rPr>
            </w:pPr>
            <w:r>
              <w:rPr>
                <w:sz w:val="21"/>
              </w:rPr>
              <w:t>9.11 无合法有效驾驶证驾驶</w:t>
            </w:r>
          </w:p>
        </w:tc>
      </w:tr>
      <w:tr>
        <w:trPr>
          <w:trHeight w:val="283" w:hRule="atLeast"/>
        </w:trPr>
        <w:tc>
          <w:tcPr>
            <w:tcW w:w="2433" w:type="dxa"/>
            <w:tcBorders>
              <w:left w:val="single" w:sz="4" w:space="0" w:color="000000"/>
            </w:tcBorders>
          </w:tcPr>
          <w:p>
            <w:pPr>
              <w:pStyle w:val="TableParagraph"/>
              <w:spacing w:line="247" w:lineRule="exact"/>
              <w:ind w:left="107"/>
              <w:rPr>
                <w:b/>
                <w:sz w:val="21"/>
              </w:rPr>
            </w:pPr>
            <w:r>
              <w:rPr>
                <w:b/>
                <w:sz w:val="21"/>
              </w:rPr>
              <w:t>3．如何申请领取保险金</w:t>
            </w:r>
          </w:p>
        </w:tc>
        <w:tc>
          <w:tcPr>
            <w:tcW w:w="3264" w:type="dxa"/>
          </w:tcPr>
          <w:p>
            <w:pPr>
              <w:pStyle w:val="TableParagraph"/>
              <w:spacing w:line="247" w:lineRule="exact"/>
              <w:ind w:left="322"/>
              <w:rPr>
                <w:sz w:val="21"/>
              </w:rPr>
            </w:pPr>
            <w:r>
              <w:rPr>
                <w:sz w:val="21"/>
              </w:rPr>
              <w:t>8.2 我们合同解除权的限制</w:t>
            </w:r>
          </w:p>
        </w:tc>
        <w:tc>
          <w:tcPr>
            <w:tcW w:w="3784" w:type="dxa"/>
            <w:tcBorders>
              <w:right w:val="single" w:sz="4" w:space="0" w:color="000000"/>
            </w:tcBorders>
          </w:tcPr>
          <w:p>
            <w:pPr>
              <w:pStyle w:val="TableParagraph"/>
              <w:spacing w:line="247" w:lineRule="exact"/>
              <w:ind w:left="215"/>
              <w:rPr>
                <w:sz w:val="21"/>
              </w:rPr>
            </w:pPr>
            <w:r>
              <w:rPr>
                <w:sz w:val="21"/>
              </w:rPr>
              <w:t>9.12 无有效行驶证</w:t>
            </w:r>
          </w:p>
        </w:tc>
      </w:tr>
      <w:tr>
        <w:trPr>
          <w:trHeight w:val="284" w:hRule="atLeast"/>
        </w:trPr>
        <w:tc>
          <w:tcPr>
            <w:tcW w:w="2433" w:type="dxa"/>
            <w:tcBorders>
              <w:left w:val="single" w:sz="4" w:space="0" w:color="000000"/>
            </w:tcBorders>
          </w:tcPr>
          <w:p>
            <w:pPr>
              <w:pStyle w:val="TableParagraph"/>
              <w:spacing w:line="247" w:lineRule="exact"/>
              <w:ind w:left="318"/>
              <w:rPr>
                <w:sz w:val="21"/>
              </w:rPr>
            </w:pPr>
            <w:r>
              <w:rPr>
                <w:sz w:val="21"/>
              </w:rPr>
              <w:t>3.1 受益人</w:t>
            </w:r>
          </w:p>
        </w:tc>
        <w:tc>
          <w:tcPr>
            <w:tcW w:w="3264" w:type="dxa"/>
          </w:tcPr>
          <w:p>
            <w:pPr>
              <w:pStyle w:val="TableParagraph"/>
              <w:spacing w:line="247" w:lineRule="exact"/>
              <w:ind w:left="322"/>
              <w:rPr>
                <w:sz w:val="21"/>
              </w:rPr>
            </w:pPr>
            <w:r>
              <w:rPr>
                <w:sz w:val="21"/>
              </w:rPr>
              <w:t>8.3 年龄错误</w:t>
            </w:r>
          </w:p>
        </w:tc>
        <w:tc>
          <w:tcPr>
            <w:tcW w:w="3784" w:type="dxa"/>
            <w:tcBorders>
              <w:right w:val="single" w:sz="4" w:space="0" w:color="000000"/>
            </w:tcBorders>
          </w:tcPr>
          <w:p>
            <w:pPr>
              <w:pStyle w:val="TableParagraph"/>
              <w:spacing w:line="247" w:lineRule="exact"/>
              <w:ind w:left="215"/>
              <w:rPr>
                <w:sz w:val="21"/>
              </w:rPr>
            </w:pPr>
            <w:r>
              <w:rPr>
                <w:sz w:val="21"/>
              </w:rPr>
              <w:t>9.13 感染艾滋病病毒或患艾滋病</w:t>
            </w:r>
          </w:p>
        </w:tc>
      </w:tr>
      <w:tr>
        <w:trPr>
          <w:trHeight w:val="284" w:hRule="atLeast"/>
        </w:trPr>
        <w:tc>
          <w:tcPr>
            <w:tcW w:w="2433" w:type="dxa"/>
            <w:tcBorders>
              <w:left w:val="single" w:sz="4" w:space="0" w:color="000000"/>
            </w:tcBorders>
          </w:tcPr>
          <w:p>
            <w:pPr>
              <w:pStyle w:val="TableParagraph"/>
              <w:spacing w:line="248" w:lineRule="exact"/>
              <w:ind w:left="318"/>
              <w:rPr>
                <w:sz w:val="21"/>
              </w:rPr>
            </w:pPr>
            <w:r>
              <w:rPr>
                <w:sz w:val="21"/>
              </w:rPr>
              <w:t>3.2 保险事故通知</w:t>
            </w:r>
          </w:p>
        </w:tc>
        <w:tc>
          <w:tcPr>
            <w:tcW w:w="3264" w:type="dxa"/>
          </w:tcPr>
          <w:p>
            <w:pPr>
              <w:pStyle w:val="TableParagraph"/>
              <w:spacing w:line="248" w:lineRule="exact"/>
              <w:ind w:left="322"/>
              <w:rPr>
                <w:sz w:val="21"/>
              </w:rPr>
            </w:pPr>
            <w:r>
              <w:rPr>
                <w:sz w:val="21"/>
              </w:rPr>
              <w:t>8.4 未还款项</w:t>
            </w:r>
          </w:p>
        </w:tc>
        <w:tc>
          <w:tcPr>
            <w:tcW w:w="3784" w:type="dxa"/>
            <w:tcBorders>
              <w:right w:val="single" w:sz="4" w:space="0" w:color="000000"/>
            </w:tcBorders>
          </w:tcPr>
          <w:p>
            <w:pPr>
              <w:pStyle w:val="TableParagraph"/>
              <w:spacing w:line="248" w:lineRule="exact"/>
              <w:ind w:left="215"/>
              <w:rPr>
                <w:sz w:val="21"/>
              </w:rPr>
            </w:pPr>
            <w:r>
              <w:rPr>
                <w:sz w:val="21"/>
              </w:rPr>
              <w:t>9.14 遗传性疾病</w:t>
            </w:r>
          </w:p>
        </w:tc>
      </w:tr>
      <w:tr>
        <w:trPr>
          <w:trHeight w:val="283" w:hRule="atLeast"/>
        </w:trPr>
        <w:tc>
          <w:tcPr>
            <w:tcW w:w="2433" w:type="dxa"/>
            <w:tcBorders>
              <w:left w:val="single" w:sz="4" w:space="0" w:color="000000"/>
            </w:tcBorders>
          </w:tcPr>
          <w:p>
            <w:pPr>
              <w:pStyle w:val="TableParagraph"/>
              <w:spacing w:line="247" w:lineRule="exact"/>
              <w:ind w:left="318"/>
              <w:rPr>
                <w:sz w:val="21"/>
              </w:rPr>
            </w:pPr>
            <w:r>
              <w:rPr>
                <w:sz w:val="21"/>
              </w:rPr>
              <w:t>3.3 保险金申请</w:t>
            </w:r>
          </w:p>
        </w:tc>
        <w:tc>
          <w:tcPr>
            <w:tcW w:w="3264" w:type="dxa"/>
          </w:tcPr>
          <w:p>
            <w:pPr>
              <w:pStyle w:val="TableParagraph"/>
              <w:spacing w:line="247" w:lineRule="exact"/>
              <w:ind w:left="322"/>
              <w:rPr>
                <w:sz w:val="21"/>
              </w:rPr>
            </w:pPr>
            <w:r>
              <w:rPr>
                <w:sz w:val="21"/>
              </w:rPr>
              <w:t>8.5 利率与利息</w:t>
            </w:r>
          </w:p>
        </w:tc>
        <w:tc>
          <w:tcPr>
            <w:tcW w:w="3784" w:type="dxa"/>
            <w:tcBorders>
              <w:right w:val="single" w:sz="4" w:space="0" w:color="000000"/>
            </w:tcBorders>
          </w:tcPr>
          <w:p>
            <w:pPr>
              <w:pStyle w:val="TableParagraph"/>
              <w:spacing w:line="247" w:lineRule="exact"/>
              <w:ind w:left="215"/>
              <w:rPr>
                <w:sz w:val="21"/>
              </w:rPr>
            </w:pPr>
            <w:r>
              <w:rPr>
                <w:sz w:val="21"/>
              </w:rPr>
              <w:t>9.15 先天性畸形、变形或染色体异常</w:t>
            </w:r>
          </w:p>
        </w:tc>
      </w:tr>
      <w:tr>
        <w:trPr>
          <w:trHeight w:val="284" w:hRule="atLeast"/>
        </w:trPr>
        <w:tc>
          <w:tcPr>
            <w:tcW w:w="2433" w:type="dxa"/>
            <w:tcBorders>
              <w:left w:val="single" w:sz="4" w:space="0" w:color="000000"/>
            </w:tcBorders>
          </w:tcPr>
          <w:p>
            <w:pPr>
              <w:pStyle w:val="TableParagraph"/>
              <w:spacing w:line="247" w:lineRule="exact"/>
              <w:ind w:left="318"/>
              <w:rPr>
                <w:sz w:val="21"/>
              </w:rPr>
            </w:pPr>
            <w:r>
              <w:rPr>
                <w:sz w:val="21"/>
              </w:rPr>
              <w:t>3.4 失踪处理</w:t>
            </w:r>
          </w:p>
        </w:tc>
        <w:tc>
          <w:tcPr>
            <w:tcW w:w="3264" w:type="dxa"/>
          </w:tcPr>
          <w:p>
            <w:pPr>
              <w:pStyle w:val="TableParagraph"/>
              <w:spacing w:line="247" w:lineRule="exact"/>
              <w:ind w:left="322"/>
              <w:rPr>
                <w:sz w:val="21"/>
              </w:rPr>
            </w:pPr>
            <w:r>
              <w:rPr>
                <w:sz w:val="21"/>
              </w:rPr>
              <w:t>8.6 合同内容变更</w:t>
            </w:r>
          </w:p>
        </w:tc>
        <w:tc>
          <w:tcPr>
            <w:tcW w:w="3784" w:type="dxa"/>
            <w:tcBorders>
              <w:right w:val="single" w:sz="4" w:space="0" w:color="000000"/>
            </w:tcBorders>
          </w:tcPr>
          <w:p>
            <w:pPr>
              <w:pStyle w:val="TableParagraph"/>
              <w:spacing w:line="247" w:lineRule="exact"/>
              <w:ind w:left="215"/>
              <w:rPr>
                <w:sz w:val="21"/>
              </w:rPr>
            </w:pPr>
            <w:r>
              <w:rPr>
                <w:sz w:val="21"/>
              </w:rPr>
              <w:t>9.16 医院</w:t>
            </w:r>
          </w:p>
        </w:tc>
      </w:tr>
      <w:tr>
        <w:trPr>
          <w:trHeight w:val="284" w:hRule="atLeast"/>
        </w:trPr>
        <w:tc>
          <w:tcPr>
            <w:tcW w:w="2433" w:type="dxa"/>
            <w:tcBorders>
              <w:left w:val="single" w:sz="4" w:space="0" w:color="000000"/>
            </w:tcBorders>
          </w:tcPr>
          <w:p>
            <w:pPr>
              <w:pStyle w:val="TableParagraph"/>
              <w:spacing w:line="248" w:lineRule="exact"/>
              <w:ind w:left="318"/>
              <w:rPr>
                <w:sz w:val="21"/>
              </w:rPr>
            </w:pPr>
            <w:r>
              <w:rPr>
                <w:sz w:val="21"/>
              </w:rPr>
              <w:t>3.5 保险金的给付</w:t>
            </w:r>
          </w:p>
        </w:tc>
        <w:tc>
          <w:tcPr>
            <w:tcW w:w="3264" w:type="dxa"/>
          </w:tcPr>
          <w:p>
            <w:pPr>
              <w:pStyle w:val="TableParagraph"/>
              <w:spacing w:line="248" w:lineRule="exact"/>
              <w:ind w:left="322"/>
              <w:rPr>
                <w:sz w:val="21"/>
              </w:rPr>
            </w:pPr>
            <w:r>
              <w:rPr>
                <w:sz w:val="21"/>
              </w:rPr>
              <w:t>8.7 联系方式变更</w:t>
            </w:r>
          </w:p>
        </w:tc>
        <w:tc>
          <w:tcPr>
            <w:tcW w:w="3784" w:type="dxa"/>
            <w:tcBorders>
              <w:right w:val="single" w:sz="4" w:space="0" w:color="000000"/>
            </w:tcBorders>
          </w:tcPr>
          <w:p>
            <w:pPr>
              <w:pStyle w:val="TableParagraph"/>
              <w:spacing w:line="248" w:lineRule="exact"/>
              <w:ind w:left="215"/>
              <w:rPr>
                <w:sz w:val="21"/>
              </w:rPr>
            </w:pPr>
            <w:r>
              <w:rPr>
                <w:sz w:val="21"/>
              </w:rPr>
              <w:t>9.17 肢体机能完全丧失</w:t>
            </w:r>
          </w:p>
        </w:tc>
      </w:tr>
      <w:tr>
        <w:trPr>
          <w:trHeight w:val="283" w:hRule="atLeast"/>
        </w:trPr>
        <w:tc>
          <w:tcPr>
            <w:tcW w:w="2433" w:type="dxa"/>
            <w:tcBorders>
              <w:left w:val="single" w:sz="4" w:space="0" w:color="000000"/>
            </w:tcBorders>
          </w:tcPr>
          <w:p>
            <w:pPr>
              <w:pStyle w:val="TableParagraph"/>
              <w:spacing w:line="247" w:lineRule="exact"/>
              <w:ind w:left="318"/>
              <w:rPr>
                <w:sz w:val="21"/>
              </w:rPr>
            </w:pPr>
            <w:r>
              <w:rPr>
                <w:sz w:val="21"/>
              </w:rPr>
              <w:t>3.6 诉讼时效</w:t>
            </w:r>
          </w:p>
        </w:tc>
        <w:tc>
          <w:tcPr>
            <w:tcW w:w="3264" w:type="dxa"/>
          </w:tcPr>
          <w:p>
            <w:pPr>
              <w:pStyle w:val="TableParagraph"/>
              <w:spacing w:line="247" w:lineRule="exact"/>
              <w:ind w:left="322"/>
              <w:rPr>
                <w:sz w:val="21"/>
              </w:rPr>
            </w:pPr>
            <w:r>
              <w:rPr>
                <w:sz w:val="21"/>
              </w:rPr>
              <w:t>8.8 高度残疾的鉴定</w:t>
            </w:r>
          </w:p>
        </w:tc>
        <w:tc>
          <w:tcPr>
            <w:tcW w:w="3784" w:type="dxa"/>
            <w:tcBorders>
              <w:right w:val="single" w:sz="4" w:space="0" w:color="000000"/>
            </w:tcBorders>
          </w:tcPr>
          <w:p>
            <w:pPr>
              <w:pStyle w:val="TableParagraph"/>
              <w:spacing w:line="247" w:lineRule="exact"/>
              <w:ind w:left="215"/>
              <w:rPr>
                <w:sz w:val="21"/>
              </w:rPr>
            </w:pPr>
            <w:r>
              <w:rPr>
                <w:sz w:val="21"/>
              </w:rPr>
              <w:t>9.18 语言能力或咀嚼吞咽能力完全丧</w:t>
            </w:r>
          </w:p>
        </w:tc>
      </w:tr>
      <w:tr>
        <w:trPr>
          <w:trHeight w:val="284" w:hRule="atLeast"/>
        </w:trPr>
        <w:tc>
          <w:tcPr>
            <w:tcW w:w="2433" w:type="dxa"/>
            <w:tcBorders>
              <w:left w:val="single" w:sz="4" w:space="0" w:color="000000"/>
            </w:tcBorders>
          </w:tcPr>
          <w:p>
            <w:pPr>
              <w:pStyle w:val="TableParagraph"/>
              <w:spacing w:line="247" w:lineRule="exact"/>
              <w:ind w:left="107"/>
              <w:rPr>
                <w:b/>
                <w:sz w:val="21"/>
              </w:rPr>
            </w:pPr>
            <w:r>
              <w:rPr>
                <w:b/>
                <w:sz w:val="21"/>
              </w:rPr>
              <w:t>4．如何交纳保险费</w:t>
            </w:r>
          </w:p>
        </w:tc>
        <w:tc>
          <w:tcPr>
            <w:tcW w:w="3264" w:type="dxa"/>
          </w:tcPr>
          <w:p>
            <w:pPr>
              <w:pStyle w:val="TableParagraph"/>
              <w:spacing w:line="247" w:lineRule="exact"/>
              <w:ind w:left="322"/>
              <w:rPr>
                <w:sz w:val="21"/>
              </w:rPr>
            </w:pPr>
            <w:r>
              <w:rPr>
                <w:sz w:val="21"/>
              </w:rPr>
              <w:t>8.9 效力终止</w:t>
            </w:r>
          </w:p>
        </w:tc>
        <w:tc>
          <w:tcPr>
            <w:tcW w:w="3784" w:type="dxa"/>
            <w:tcBorders>
              <w:right w:val="single" w:sz="4" w:space="0" w:color="000000"/>
            </w:tcBorders>
          </w:tcPr>
          <w:p>
            <w:pPr>
              <w:pStyle w:val="TableParagraph"/>
              <w:spacing w:line="247" w:lineRule="exact"/>
              <w:ind w:left="738"/>
              <w:rPr>
                <w:sz w:val="21"/>
              </w:rPr>
            </w:pPr>
            <w:r>
              <w:rPr>
                <w:w w:val="100"/>
                <w:sz w:val="21"/>
              </w:rPr>
              <w:t>失</w:t>
            </w:r>
          </w:p>
        </w:tc>
      </w:tr>
      <w:tr>
        <w:trPr>
          <w:trHeight w:val="284" w:hRule="atLeast"/>
        </w:trPr>
        <w:tc>
          <w:tcPr>
            <w:tcW w:w="2433" w:type="dxa"/>
            <w:tcBorders>
              <w:left w:val="single" w:sz="4" w:space="0" w:color="000000"/>
            </w:tcBorders>
          </w:tcPr>
          <w:p>
            <w:pPr>
              <w:pStyle w:val="TableParagraph"/>
              <w:spacing w:line="248" w:lineRule="exact"/>
              <w:ind w:left="318"/>
              <w:rPr>
                <w:sz w:val="21"/>
              </w:rPr>
            </w:pPr>
            <w:r>
              <w:rPr>
                <w:sz w:val="21"/>
              </w:rPr>
              <w:t>4.1 保险费的交纳</w:t>
            </w:r>
          </w:p>
        </w:tc>
        <w:tc>
          <w:tcPr>
            <w:tcW w:w="3264" w:type="dxa"/>
          </w:tcPr>
          <w:p>
            <w:pPr>
              <w:pStyle w:val="TableParagraph"/>
              <w:spacing w:line="248" w:lineRule="exact"/>
              <w:ind w:left="322"/>
              <w:rPr>
                <w:sz w:val="21"/>
              </w:rPr>
            </w:pPr>
            <w:r>
              <w:rPr>
                <w:sz w:val="21"/>
              </w:rPr>
              <w:t>8.10 争议处理</w:t>
            </w:r>
          </w:p>
        </w:tc>
        <w:tc>
          <w:tcPr>
            <w:tcW w:w="3784" w:type="dxa"/>
            <w:tcBorders>
              <w:right w:val="single" w:sz="4" w:space="0" w:color="000000"/>
            </w:tcBorders>
          </w:tcPr>
          <w:p>
            <w:pPr>
              <w:pStyle w:val="TableParagraph"/>
              <w:spacing w:line="248" w:lineRule="exact"/>
              <w:ind w:left="215"/>
              <w:rPr>
                <w:sz w:val="21"/>
              </w:rPr>
            </w:pPr>
            <w:r>
              <w:rPr>
                <w:sz w:val="21"/>
              </w:rPr>
              <w:t>9.19 六项基本日常生活活动</w:t>
            </w:r>
          </w:p>
        </w:tc>
      </w:tr>
      <w:tr>
        <w:trPr>
          <w:trHeight w:val="283" w:hRule="atLeast"/>
        </w:trPr>
        <w:tc>
          <w:tcPr>
            <w:tcW w:w="2433" w:type="dxa"/>
            <w:tcBorders>
              <w:left w:val="single" w:sz="4" w:space="0" w:color="000000"/>
            </w:tcBorders>
          </w:tcPr>
          <w:p>
            <w:pPr>
              <w:pStyle w:val="TableParagraph"/>
              <w:spacing w:line="247" w:lineRule="exact"/>
              <w:ind w:left="318"/>
              <w:rPr>
                <w:sz w:val="21"/>
              </w:rPr>
            </w:pPr>
            <w:r>
              <w:rPr>
                <w:sz w:val="21"/>
              </w:rPr>
              <w:t>4.2 宽限期</w:t>
            </w:r>
          </w:p>
        </w:tc>
        <w:tc>
          <w:tcPr>
            <w:tcW w:w="3264" w:type="dxa"/>
          </w:tcPr>
          <w:p>
            <w:pPr>
              <w:pStyle w:val="TableParagraph"/>
              <w:spacing w:line="247" w:lineRule="exact"/>
              <w:ind w:left="111"/>
              <w:rPr>
                <w:b/>
                <w:sz w:val="21"/>
              </w:rPr>
            </w:pPr>
            <w:r>
              <w:rPr>
                <w:b/>
                <w:sz w:val="21"/>
              </w:rPr>
              <w:t>9．释义</w:t>
            </w:r>
          </w:p>
        </w:tc>
        <w:tc>
          <w:tcPr>
            <w:tcW w:w="3784" w:type="dxa"/>
            <w:tcBorders>
              <w:right w:val="single" w:sz="4" w:space="0" w:color="000000"/>
            </w:tcBorders>
          </w:tcPr>
          <w:p>
            <w:pPr>
              <w:pStyle w:val="TableParagraph"/>
              <w:spacing w:line="247" w:lineRule="exact"/>
              <w:ind w:left="215"/>
              <w:rPr>
                <w:sz w:val="21"/>
              </w:rPr>
            </w:pPr>
            <w:r>
              <w:rPr>
                <w:sz w:val="21"/>
              </w:rPr>
              <w:t>9.20 永久不可逆</w:t>
            </w:r>
          </w:p>
        </w:tc>
      </w:tr>
      <w:tr>
        <w:trPr>
          <w:trHeight w:val="342" w:hRule="atLeast"/>
        </w:trPr>
        <w:tc>
          <w:tcPr>
            <w:tcW w:w="2433" w:type="dxa"/>
            <w:tcBorders>
              <w:left w:val="single" w:sz="4" w:space="0" w:color="000000"/>
            </w:tcBorders>
          </w:tcPr>
          <w:p>
            <w:pPr>
              <w:pStyle w:val="TableParagraph"/>
              <w:spacing w:line="247" w:lineRule="exact"/>
              <w:ind w:left="107"/>
              <w:rPr>
                <w:b/>
                <w:sz w:val="21"/>
              </w:rPr>
            </w:pPr>
            <w:r>
              <w:rPr>
                <w:b/>
                <w:sz w:val="21"/>
              </w:rPr>
              <w:t>5．现金价值权益</w:t>
            </w:r>
          </w:p>
        </w:tc>
        <w:tc>
          <w:tcPr>
            <w:tcW w:w="3264" w:type="dxa"/>
          </w:tcPr>
          <w:p>
            <w:pPr>
              <w:pStyle w:val="TableParagraph"/>
              <w:spacing w:line="247" w:lineRule="exact"/>
              <w:ind w:left="322"/>
              <w:rPr>
                <w:sz w:val="21"/>
              </w:rPr>
            </w:pPr>
            <w:r>
              <w:rPr>
                <w:sz w:val="21"/>
              </w:rPr>
              <w:t>9.1 周岁</w:t>
            </w:r>
          </w:p>
        </w:tc>
        <w:tc>
          <w:tcPr>
            <w:tcW w:w="3784" w:type="dxa"/>
            <w:tcBorders>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460" w:bottom="1180" w:left="1060" w:right="580"/>
        </w:sectPr>
      </w:pPr>
    </w:p>
    <w:p>
      <w:pPr>
        <w:pStyle w:val="BodyText"/>
        <w:spacing w:before="8"/>
        <w:rPr>
          <w:b/>
          <w:sz w:val="19"/>
        </w:rPr>
      </w:pPr>
    </w:p>
    <w:p>
      <w:pPr>
        <w:spacing w:line="563" w:lineRule="exact" w:before="0"/>
        <w:ind w:left="2342" w:right="0" w:firstLine="0"/>
        <w:jc w:val="left"/>
        <w:rPr>
          <w:rFonts w:ascii="Microsoft JhengHei" w:eastAsia="Microsoft JhengHei" w:hint="eastAsia"/>
          <w:b/>
          <w:sz w:val="44"/>
        </w:rPr>
      </w:pPr>
      <w:r>
        <w:rPr>
          <w:rFonts w:ascii="Microsoft JhengHei" w:eastAsia="Microsoft JhengHei" w:hint="eastAsia"/>
          <w:b/>
          <w:w w:val="95"/>
          <w:sz w:val="44"/>
        </w:rPr>
        <w:t>长城人寿保险股份有限公司</w:t>
      </w:r>
    </w:p>
    <w:p>
      <w:pPr>
        <w:pStyle w:val="BodyText"/>
        <w:rPr>
          <w:rFonts w:ascii="Microsoft JhengHei"/>
          <w:b/>
          <w:sz w:val="39"/>
        </w:rPr>
      </w:pPr>
    </w:p>
    <w:p>
      <w:pPr>
        <w:spacing w:before="1"/>
        <w:ind w:left="2282" w:right="0" w:firstLine="0"/>
        <w:jc w:val="left"/>
        <w:rPr>
          <w:rFonts w:ascii="微软雅黑" w:eastAsia="微软雅黑" w:hint="eastAsia"/>
          <w:b/>
          <w:sz w:val="30"/>
        </w:rPr>
      </w:pPr>
      <w:r>
        <w:rPr>
          <w:rFonts w:ascii="微软雅黑" w:eastAsia="微软雅黑" w:hint="eastAsia"/>
          <w:b/>
          <w:sz w:val="30"/>
        </w:rPr>
        <w:t>长城爱心宝贝少儿终身重大疾病保险条款</w:t>
      </w:r>
    </w:p>
    <w:p>
      <w:pPr>
        <w:pStyle w:val="BodyText"/>
        <w:rPr>
          <w:rFonts w:ascii="微软雅黑"/>
          <w:b/>
          <w:sz w:val="40"/>
        </w:rPr>
      </w:pPr>
    </w:p>
    <w:p>
      <w:pPr>
        <w:pStyle w:val="BodyText"/>
        <w:rPr>
          <w:rFonts w:ascii="微软雅黑"/>
          <w:b/>
        </w:rPr>
      </w:pPr>
    </w:p>
    <w:p>
      <w:pPr>
        <w:pStyle w:val="BodyText"/>
        <w:ind w:left="223"/>
      </w:pPr>
      <w:r>
        <w:rPr>
          <w:spacing w:val="-23"/>
          <w:w w:val="100"/>
        </w:rPr>
        <w:t>在本条款中，“您”指投保人，“我们”、“本公司”均指长城人寿保险股份有限公司。</w:t>
      </w:r>
    </w:p>
    <w:p>
      <w:pPr>
        <w:pStyle w:val="BodyText"/>
        <w:rPr>
          <w:sz w:val="20"/>
        </w:rPr>
      </w:pPr>
    </w:p>
    <w:p>
      <w:pPr>
        <w:pStyle w:val="BodyText"/>
        <w:spacing w:before="5"/>
        <w:rPr>
          <w:sz w:val="1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3"/>
        <w:gridCol w:w="1784"/>
        <w:gridCol w:w="6798"/>
      </w:tblGrid>
      <w:tr>
        <w:trPr>
          <w:trHeight w:val="586" w:hRule="atLeast"/>
        </w:trPr>
        <w:tc>
          <w:tcPr>
            <w:tcW w:w="763" w:type="dxa"/>
            <w:tcBorders>
              <w:bottom w:val="single" w:sz="6" w:space="0" w:color="000000"/>
            </w:tcBorders>
          </w:tcPr>
          <w:p>
            <w:pPr>
              <w:pStyle w:val="TableParagraph"/>
              <w:spacing w:line="549" w:lineRule="exact"/>
              <w:ind w:left="104"/>
              <w:rPr>
                <w:rFonts w:ascii="Arial" w:hAnsi="Arial"/>
                <w:b/>
                <w:sz w:val="52"/>
              </w:rPr>
            </w:pPr>
            <w:r>
              <w:rPr>
                <w:rFonts w:ascii="Arial" w:hAnsi="Arial"/>
                <w:b/>
                <w:w w:val="119"/>
                <w:sz w:val="52"/>
              </w:rPr>
              <w:t></w:t>
            </w:r>
          </w:p>
        </w:tc>
        <w:tc>
          <w:tcPr>
            <w:tcW w:w="8582" w:type="dxa"/>
            <w:gridSpan w:val="2"/>
            <w:tcBorders>
              <w:bottom w:val="single" w:sz="6" w:space="0" w:color="000000"/>
            </w:tcBorders>
          </w:tcPr>
          <w:p>
            <w:pPr>
              <w:pStyle w:val="TableParagraph"/>
              <w:spacing w:before="49"/>
              <w:ind w:left="193"/>
              <w:rPr>
                <w:b/>
                <w:sz w:val="28"/>
              </w:rPr>
            </w:pPr>
            <w:r>
              <w:rPr>
                <w:b/>
                <w:w w:val="95"/>
                <w:sz w:val="28"/>
              </w:rPr>
              <w:t>您与我们的合同</w:t>
            </w:r>
          </w:p>
        </w:tc>
      </w:tr>
      <w:tr>
        <w:trPr>
          <w:trHeight w:val="2059" w:hRule="atLeast"/>
        </w:trPr>
        <w:tc>
          <w:tcPr>
            <w:tcW w:w="763" w:type="dxa"/>
            <w:tcBorders>
              <w:top w:val="single" w:sz="6" w:space="0" w:color="000000"/>
            </w:tcBorders>
          </w:tcPr>
          <w:p>
            <w:pPr>
              <w:pStyle w:val="TableParagraph"/>
              <w:spacing w:before="10"/>
              <w:rPr>
                <w:sz w:val="21"/>
              </w:rPr>
            </w:pPr>
          </w:p>
          <w:p>
            <w:pPr>
              <w:pStyle w:val="TableParagraph"/>
              <w:spacing w:before="1"/>
              <w:ind w:left="104"/>
              <w:rPr>
                <w:b/>
                <w:sz w:val="21"/>
              </w:rPr>
            </w:pPr>
            <w:r>
              <w:rPr>
                <w:b/>
                <w:sz w:val="21"/>
              </w:rPr>
              <w:t>1.1</w:t>
            </w:r>
          </w:p>
        </w:tc>
        <w:tc>
          <w:tcPr>
            <w:tcW w:w="1784" w:type="dxa"/>
            <w:tcBorders>
              <w:top w:val="single" w:sz="6" w:space="0" w:color="000000"/>
            </w:tcBorders>
          </w:tcPr>
          <w:p>
            <w:pPr>
              <w:pStyle w:val="TableParagraph"/>
              <w:spacing w:before="10"/>
              <w:rPr>
                <w:sz w:val="21"/>
              </w:rPr>
            </w:pPr>
          </w:p>
          <w:p>
            <w:pPr>
              <w:pStyle w:val="TableParagraph"/>
              <w:spacing w:before="1"/>
              <w:ind w:left="193"/>
              <w:rPr>
                <w:b/>
                <w:sz w:val="21"/>
              </w:rPr>
            </w:pPr>
            <w:r>
              <w:rPr>
                <w:b/>
                <w:sz w:val="21"/>
              </w:rPr>
              <w:t>合同构成</w:t>
            </w:r>
          </w:p>
        </w:tc>
        <w:tc>
          <w:tcPr>
            <w:tcW w:w="6798" w:type="dxa"/>
            <w:tcBorders>
              <w:top w:val="single" w:sz="6" w:space="0" w:color="000000"/>
            </w:tcBorders>
          </w:tcPr>
          <w:p>
            <w:pPr>
              <w:pStyle w:val="TableParagraph"/>
              <w:spacing w:before="5"/>
              <w:rPr>
                <w:sz w:val="20"/>
              </w:rPr>
            </w:pPr>
          </w:p>
          <w:p>
            <w:pPr>
              <w:pStyle w:val="TableParagraph"/>
              <w:spacing w:line="237" w:lineRule="auto"/>
              <w:ind w:left="111" w:right="314"/>
              <w:jc w:val="both"/>
              <w:rPr>
                <w:sz w:val="21"/>
              </w:rPr>
            </w:pPr>
            <w:r>
              <w:rPr>
                <w:sz w:val="21"/>
              </w:rPr>
              <w:t>本保险条款、保险单或其他保险凭证、投保书、与保险合同有关的投保文件、合法有效的声明、批注、附贴批单、附加险合同、其他书面协议都是您与我们之间订立的保险合同的构成部分。</w:t>
            </w:r>
          </w:p>
          <w:p>
            <w:pPr>
              <w:pStyle w:val="TableParagraph"/>
              <w:spacing w:before="152"/>
              <w:ind w:left="111" w:right="311"/>
              <w:jc w:val="both"/>
              <w:rPr>
                <w:sz w:val="21"/>
              </w:rPr>
            </w:pPr>
            <w:r>
              <w:rPr>
                <w:sz w:val="21"/>
              </w:rPr>
              <w:t>“长城爱心宝贝少儿终身重大疾病保险合同”以下简称为“本主险合同”。</w:t>
            </w:r>
          </w:p>
        </w:tc>
      </w:tr>
      <w:tr>
        <w:trPr>
          <w:trHeight w:val="2876" w:hRule="atLeast"/>
        </w:trPr>
        <w:tc>
          <w:tcPr>
            <w:tcW w:w="763" w:type="dxa"/>
          </w:tcPr>
          <w:p>
            <w:pPr>
              <w:pStyle w:val="TableParagraph"/>
              <w:spacing w:before="1"/>
              <w:rPr>
                <w:sz w:val="16"/>
              </w:rPr>
            </w:pPr>
          </w:p>
          <w:p>
            <w:pPr>
              <w:pStyle w:val="TableParagraph"/>
              <w:ind w:left="104"/>
              <w:rPr>
                <w:b/>
                <w:sz w:val="21"/>
              </w:rPr>
            </w:pPr>
            <w:r>
              <w:rPr>
                <w:b/>
                <w:sz w:val="21"/>
              </w:rPr>
              <w:t>1.2</w:t>
            </w:r>
          </w:p>
        </w:tc>
        <w:tc>
          <w:tcPr>
            <w:tcW w:w="1784" w:type="dxa"/>
          </w:tcPr>
          <w:p>
            <w:pPr>
              <w:pStyle w:val="TableParagraph"/>
              <w:spacing w:before="1"/>
              <w:rPr>
                <w:sz w:val="16"/>
              </w:rPr>
            </w:pPr>
          </w:p>
          <w:p>
            <w:pPr>
              <w:pStyle w:val="TableParagraph"/>
              <w:ind w:left="193"/>
              <w:rPr>
                <w:b/>
                <w:sz w:val="21"/>
              </w:rPr>
            </w:pPr>
            <w:r>
              <w:rPr>
                <w:b/>
                <w:sz w:val="21"/>
              </w:rPr>
              <w:t>合同成立与生效</w:t>
            </w:r>
          </w:p>
        </w:tc>
        <w:tc>
          <w:tcPr>
            <w:tcW w:w="6798" w:type="dxa"/>
          </w:tcPr>
          <w:p>
            <w:pPr>
              <w:pStyle w:val="TableParagraph"/>
              <w:spacing w:before="1"/>
              <w:rPr>
                <w:sz w:val="16"/>
              </w:rPr>
            </w:pPr>
          </w:p>
          <w:p>
            <w:pPr>
              <w:pStyle w:val="TableParagraph"/>
              <w:spacing w:line="273" w:lineRule="auto"/>
              <w:ind w:left="111" w:right="378"/>
              <w:rPr>
                <w:sz w:val="21"/>
              </w:rPr>
            </w:pPr>
            <w:r>
              <w:rPr>
                <w:sz w:val="21"/>
              </w:rPr>
              <w:t>您提出保险申请、本公司同意承保，本主险合同成立，合同成立日期在保险单上载明。</w:t>
            </w:r>
          </w:p>
          <w:p>
            <w:pPr>
              <w:pStyle w:val="TableParagraph"/>
              <w:spacing w:line="273" w:lineRule="auto" w:before="7"/>
              <w:ind w:left="111" w:right="275"/>
              <w:rPr>
                <w:sz w:val="21"/>
              </w:rPr>
            </w:pPr>
            <w:r>
              <w:rPr>
                <w:sz w:val="21"/>
              </w:rPr>
              <w:t>自本主险合同成立、本公司收取首期保险费并签发保险单的次日零时起本主险合同生效， 具体生效日以保险单所载的日期为准。我们自生效日零时起开始承担本主险合同约定的保险责任。</w:t>
            </w:r>
          </w:p>
          <w:p>
            <w:pPr>
              <w:pStyle w:val="TableParagraph"/>
              <w:spacing w:line="273" w:lineRule="auto" w:before="7"/>
              <w:ind w:left="111" w:right="378"/>
              <w:jc w:val="both"/>
              <w:rPr>
                <w:sz w:val="21"/>
              </w:rPr>
            </w:pPr>
            <w:r>
              <w:rPr>
                <w:sz w:val="21"/>
              </w:rPr>
              <w:t>本主险合同生效日以后每年的对应日是保险单周年日。保险单年度、保险单月份、保险费到期日和保险单满期日均以该日期为基础计算。如果当月无对应的同一日，则以该月最后一日作为对应日。</w:t>
            </w:r>
          </w:p>
        </w:tc>
      </w:tr>
      <w:tr>
        <w:trPr>
          <w:trHeight w:val="936" w:hRule="atLeast"/>
        </w:trPr>
        <w:tc>
          <w:tcPr>
            <w:tcW w:w="763" w:type="dxa"/>
          </w:tcPr>
          <w:p>
            <w:pPr>
              <w:pStyle w:val="TableParagraph"/>
              <w:spacing w:before="142"/>
              <w:ind w:left="104"/>
              <w:rPr>
                <w:b/>
                <w:sz w:val="21"/>
              </w:rPr>
            </w:pPr>
            <w:r>
              <w:rPr>
                <w:b/>
                <w:sz w:val="21"/>
              </w:rPr>
              <w:t>1.3</w:t>
            </w:r>
          </w:p>
        </w:tc>
        <w:tc>
          <w:tcPr>
            <w:tcW w:w="1784" w:type="dxa"/>
          </w:tcPr>
          <w:p>
            <w:pPr>
              <w:pStyle w:val="TableParagraph"/>
              <w:spacing w:before="142"/>
              <w:ind w:left="193"/>
              <w:rPr>
                <w:b/>
                <w:sz w:val="21"/>
              </w:rPr>
            </w:pPr>
            <w:r>
              <w:rPr>
                <w:b/>
                <w:sz w:val="21"/>
              </w:rPr>
              <w:t>投保年龄</w:t>
            </w:r>
          </w:p>
        </w:tc>
        <w:tc>
          <w:tcPr>
            <w:tcW w:w="6798" w:type="dxa"/>
          </w:tcPr>
          <w:p>
            <w:pPr>
              <w:pStyle w:val="TableParagraph"/>
              <w:spacing w:line="273" w:lineRule="auto" w:before="142"/>
              <w:ind w:left="111" w:right="205"/>
              <w:rPr>
                <w:sz w:val="21"/>
              </w:rPr>
            </w:pPr>
            <w:r>
              <w:rPr>
                <w:spacing w:val="-3"/>
                <w:sz w:val="21"/>
              </w:rPr>
              <w:t>指投保时被保险人的年龄，投保年龄以</w:t>
            </w:r>
            <w:r>
              <w:rPr>
                <w:b/>
                <w:sz w:val="21"/>
              </w:rPr>
              <w:t>周岁</w:t>
            </w:r>
            <w:r>
              <w:rPr>
                <w:spacing w:val="-3"/>
                <w:sz w:val="21"/>
              </w:rPr>
              <w:t>计算，本主险合同接受的 </w:t>
            </w:r>
            <w:r>
              <w:rPr>
                <w:spacing w:val="-11"/>
                <w:sz w:val="21"/>
              </w:rPr>
              <w:t>投保年龄为 </w:t>
            </w:r>
            <w:r>
              <w:rPr>
                <w:sz w:val="21"/>
              </w:rPr>
              <w:t>0</w:t>
            </w:r>
            <w:r>
              <w:rPr>
                <w:spacing w:val="-24"/>
                <w:sz w:val="21"/>
              </w:rPr>
              <w:t> 周岁</w:t>
            </w:r>
            <w:r>
              <w:rPr>
                <w:sz w:val="21"/>
              </w:rPr>
              <w:t>（</w:t>
            </w:r>
            <w:r>
              <w:rPr>
                <w:spacing w:val="-11"/>
                <w:sz w:val="21"/>
              </w:rPr>
              <w:t>指出生满 </w:t>
            </w:r>
            <w:r>
              <w:rPr>
                <w:sz w:val="21"/>
              </w:rPr>
              <w:t>30</w:t>
            </w:r>
            <w:r>
              <w:rPr>
                <w:spacing w:val="-9"/>
                <w:sz w:val="21"/>
              </w:rPr>
              <w:t> 日且已健康出院的婴儿</w:t>
            </w:r>
            <w:r>
              <w:rPr>
                <w:spacing w:val="-17"/>
                <w:sz w:val="21"/>
              </w:rPr>
              <w:t>）</w:t>
            </w:r>
            <w:r>
              <w:rPr>
                <w:spacing w:val="-25"/>
                <w:sz w:val="21"/>
              </w:rPr>
              <w:t>至 </w:t>
            </w:r>
            <w:r>
              <w:rPr>
                <w:sz w:val="21"/>
              </w:rPr>
              <w:t>17</w:t>
            </w:r>
            <w:r>
              <w:rPr>
                <w:spacing w:val="-14"/>
                <w:sz w:val="21"/>
              </w:rPr>
              <w:t> 周岁。</w:t>
            </w:r>
          </w:p>
        </w:tc>
      </w:tr>
      <w:tr>
        <w:trPr>
          <w:trHeight w:val="2496" w:hRule="atLeast"/>
        </w:trPr>
        <w:tc>
          <w:tcPr>
            <w:tcW w:w="763" w:type="dxa"/>
          </w:tcPr>
          <w:p>
            <w:pPr>
              <w:pStyle w:val="TableParagraph"/>
              <w:spacing w:before="143"/>
              <w:ind w:left="104"/>
              <w:rPr>
                <w:b/>
                <w:sz w:val="21"/>
              </w:rPr>
            </w:pPr>
            <w:r>
              <w:rPr>
                <w:b/>
                <w:sz w:val="21"/>
              </w:rPr>
              <w:t>1.4</w:t>
            </w:r>
          </w:p>
        </w:tc>
        <w:tc>
          <w:tcPr>
            <w:tcW w:w="1784" w:type="dxa"/>
          </w:tcPr>
          <w:p>
            <w:pPr>
              <w:pStyle w:val="TableParagraph"/>
              <w:spacing w:before="143"/>
              <w:ind w:left="193"/>
              <w:rPr>
                <w:b/>
                <w:sz w:val="21"/>
              </w:rPr>
            </w:pPr>
            <w:r>
              <w:rPr>
                <w:b/>
                <w:sz w:val="21"/>
              </w:rPr>
              <w:t>犹豫期</w:t>
            </w:r>
          </w:p>
        </w:tc>
        <w:tc>
          <w:tcPr>
            <w:tcW w:w="6798" w:type="dxa"/>
          </w:tcPr>
          <w:p>
            <w:pPr>
              <w:pStyle w:val="TableParagraph"/>
              <w:spacing w:line="273" w:lineRule="auto" w:before="143"/>
              <w:ind w:left="111" w:right="309"/>
              <w:rPr>
                <w:sz w:val="21"/>
              </w:rPr>
            </w:pPr>
            <w:r>
              <w:rPr>
                <w:spacing w:val="-8"/>
                <w:sz w:val="21"/>
              </w:rPr>
              <w:t>自您签收本主险合同之日起，有 </w:t>
            </w:r>
            <w:r>
              <w:rPr>
                <w:sz w:val="21"/>
              </w:rPr>
              <w:t>10</w:t>
            </w:r>
            <w:r>
              <w:rPr>
                <w:spacing w:val="-9"/>
                <w:sz w:val="21"/>
              </w:rPr>
              <w:t> 日的犹豫期。在此期间请您认真审</w:t>
            </w:r>
            <w:r>
              <w:rPr>
                <w:spacing w:val="-5"/>
                <w:sz w:val="21"/>
              </w:rPr>
              <w:t>视本主险合同，如果您认为本主险合同与您的需求不相符，您可以在</w:t>
            </w:r>
            <w:r>
              <w:rPr>
                <w:spacing w:val="-9"/>
                <w:sz w:val="21"/>
              </w:rPr>
              <w:t>此期间提出解除本主险合同，我们扣除不超过 </w:t>
            </w:r>
            <w:r>
              <w:rPr>
                <w:sz w:val="21"/>
              </w:rPr>
              <w:t>10</w:t>
            </w:r>
            <w:r>
              <w:rPr>
                <w:spacing w:val="-8"/>
                <w:sz w:val="21"/>
              </w:rPr>
              <w:t> 元的合同工本费后无</w:t>
            </w:r>
            <w:r>
              <w:rPr>
                <w:spacing w:val="-5"/>
                <w:sz w:val="21"/>
              </w:rPr>
              <w:t>息退还您所交纳的保险费。</w:t>
            </w:r>
          </w:p>
          <w:p>
            <w:pPr>
              <w:pStyle w:val="TableParagraph"/>
              <w:spacing w:line="273" w:lineRule="auto" w:before="8"/>
              <w:ind w:left="111" w:right="376"/>
              <w:jc w:val="both"/>
              <w:rPr>
                <w:sz w:val="21"/>
              </w:rPr>
            </w:pPr>
            <w:r>
              <w:rPr>
                <w:sz w:val="21"/>
              </w:rPr>
              <w:t>解除本主险合同时，您需要填写申请书，并提供您的保险合同及</w:t>
            </w:r>
            <w:r>
              <w:rPr>
                <w:b/>
                <w:sz w:val="21"/>
              </w:rPr>
              <w:t>有效身份证件</w:t>
            </w:r>
            <w:r>
              <w:rPr>
                <w:sz w:val="21"/>
              </w:rPr>
              <w:t>。自我们收到您解除合同的书面申请时起，本主险合同即被解除，合同解除前发生的保险事故我们不承担保险责任。</w:t>
            </w:r>
          </w:p>
        </w:tc>
      </w:tr>
      <w:tr>
        <w:trPr>
          <w:trHeight w:val="729" w:hRule="atLeast"/>
        </w:trPr>
        <w:tc>
          <w:tcPr>
            <w:tcW w:w="763" w:type="dxa"/>
          </w:tcPr>
          <w:p>
            <w:pPr>
              <w:pStyle w:val="TableParagraph"/>
              <w:spacing w:before="142"/>
              <w:ind w:left="104"/>
              <w:rPr>
                <w:b/>
                <w:sz w:val="21"/>
              </w:rPr>
            </w:pPr>
            <w:r>
              <w:rPr>
                <w:b/>
                <w:sz w:val="21"/>
              </w:rPr>
              <w:t>1.5</w:t>
            </w:r>
          </w:p>
        </w:tc>
        <w:tc>
          <w:tcPr>
            <w:tcW w:w="1784" w:type="dxa"/>
          </w:tcPr>
          <w:p>
            <w:pPr>
              <w:pStyle w:val="TableParagraph"/>
              <w:spacing w:before="142"/>
              <w:ind w:left="193"/>
              <w:rPr>
                <w:b/>
                <w:sz w:val="21"/>
              </w:rPr>
            </w:pPr>
            <w:r>
              <w:rPr>
                <w:b/>
                <w:sz w:val="21"/>
              </w:rPr>
              <w:t>保险期间</w:t>
            </w:r>
          </w:p>
        </w:tc>
        <w:tc>
          <w:tcPr>
            <w:tcW w:w="6798" w:type="dxa"/>
          </w:tcPr>
          <w:p>
            <w:pPr>
              <w:pStyle w:val="TableParagraph"/>
              <w:spacing w:line="310" w:lineRule="atLeast" w:before="107"/>
              <w:ind w:left="111" w:right="380"/>
              <w:rPr>
                <w:sz w:val="21"/>
              </w:rPr>
            </w:pPr>
            <w:r>
              <w:rPr>
                <w:spacing w:val="-5"/>
                <w:sz w:val="21"/>
              </w:rPr>
              <w:t>本主险合同的保险期间自本主险合同生效之日起至被保险人 </w:t>
            </w:r>
            <w:r>
              <w:rPr>
                <w:sz w:val="21"/>
              </w:rPr>
              <w:t>100</w:t>
            </w:r>
            <w:r>
              <w:rPr>
                <w:spacing w:val="-15"/>
                <w:sz w:val="21"/>
              </w:rPr>
              <w:t> 周岁</w:t>
            </w:r>
            <w:r>
              <w:rPr>
                <w:spacing w:val="-3"/>
                <w:sz w:val="21"/>
              </w:rPr>
              <w:t>的保险单周年日零时止。</w:t>
            </w:r>
          </w:p>
        </w:tc>
      </w:tr>
    </w:tbl>
    <w:p>
      <w:pPr>
        <w:spacing w:after="0" w:line="310" w:lineRule="atLeast"/>
        <w:rPr>
          <w:sz w:val="21"/>
        </w:rPr>
        <w:sectPr>
          <w:headerReference w:type="default" r:id="rId25"/>
          <w:pgSz w:w="11910" w:h="16840"/>
          <w:pgMar w:header="900" w:footer="992" w:top="1220" w:bottom="1180" w:left="1080" w:right="1260"/>
        </w:sectPr>
      </w:pPr>
    </w:p>
    <w:p>
      <w:pPr>
        <w:pStyle w:val="BodyText"/>
        <w:spacing w:before="1"/>
        <w:rPr>
          <w:rFonts w:ascii="Times New Roman"/>
          <w:sz w:val="2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782"/>
        <w:gridCol w:w="6593"/>
      </w:tblGrid>
      <w:tr>
        <w:trPr>
          <w:trHeight w:val="587" w:hRule="atLeast"/>
        </w:trPr>
        <w:tc>
          <w:tcPr>
            <w:tcW w:w="767" w:type="dxa"/>
            <w:tcBorders>
              <w:bottom w:val="single" w:sz="4" w:space="0" w:color="000000"/>
            </w:tcBorders>
          </w:tcPr>
          <w:p>
            <w:pPr>
              <w:pStyle w:val="TableParagraph"/>
              <w:spacing w:line="549" w:lineRule="exact"/>
              <w:ind w:left="108"/>
              <w:rPr>
                <w:rFonts w:ascii="Arial" w:hAnsi="Arial"/>
                <w:b/>
                <w:sz w:val="52"/>
              </w:rPr>
            </w:pPr>
            <w:r>
              <w:rPr>
                <w:rFonts w:ascii="Arial" w:hAnsi="Arial"/>
                <w:b/>
                <w:w w:val="119"/>
                <w:sz w:val="52"/>
              </w:rPr>
              <w:t></w:t>
            </w:r>
          </w:p>
        </w:tc>
        <w:tc>
          <w:tcPr>
            <w:tcW w:w="8375" w:type="dxa"/>
            <w:gridSpan w:val="2"/>
            <w:tcBorders>
              <w:bottom w:val="single" w:sz="4" w:space="0" w:color="000000"/>
            </w:tcBorders>
          </w:tcPr>
          <w:p>
            <w:pPr>
              <w:pStyle w:val="TableParagraph"/>
              <w:spacing w:before="49"/>
              <w:ind w:left="193"/>
              <w:rPr>
                <w:b/>
                <w:sz w:val="28"/>
              </w:rPr>
            </w:pPr>
            <w:r>
              <w:rPr>
                <w:b/>
                <w:w w:val="95"/>
                <w:sz w:val="28"/>
              </w:rPr>
              <w:t>我们提供的保障</w:t>
            </w:r>
          </w:p>
        </w:tc>
      </w:tr>
      <w:tr>
        <w:trPr>
          <w:trHeight w:val="1092" w:hRule="atLeast"/>
        </w:trPr>
        <w:tc>
          <w:tcPr>
            <w:tcW w:w="767" w:type="dxa"/>
            <w:tcBorders>
              <w:top w:val="single" w:sz="4" w:space="0" w:color="000000"/>
            </w:tcBorders>
          </w:tcPr>
          <w:p>
            <w:pPr>
              <w:pStyle w:val="TableParagraph"/>
              <w:rPr>
                <w:rFonts w:ascii="Times New Roman"/>
                <w:sz w:val="26"/>
              </w:rPr>
            </w:pPr>
          </w:p>
          <w:p>
            <w:pPr>
              <w:pStyle w:val="TableParagraph"/>
              <w:ind w:left="108"/>
              <w:rPr>
                <w:b/>
                <w:sz w:val="21"/>
              </w:rPr>
            </w:pPr>
            <w:r>
              <w:rPr>
                <w:b/>
                <w:sz w:val="21"/>
              </w:rPr>
              <w:t>2.1</w:t>
            </w:r>
          </w:p>
        </w:tc>
        <w:tc>
          <w:tcPr>
            <w:tcW w:w="1782" w:type="dxa"/>
            <w:tcBorders>
              <w:top w:val="single" w:sz="4" w:space="0" w:color="000000"/>
            </w:tcBorders>
          </w:tcPr>
          <w:p>
            <w:pPr>
              <w:pStyle w:val="TableParagraph"/>
              <w:rPr>
                <w:rFonts w:ascii="Times New Roman"/>
                <w:sz w:val="26"/>
              </w:rPr>
            </w:pPr>
          </w:p>
          <w:p>
            <w:pPr>
              <w:pStyle w:val="TableParagraph"/>
              <w:ind w:left="193"/>
              <w:rPr>
                <w:b/>
                <w:sz w:val="21"/>
              </w:rPr>
            </w:pPr>
            <w:r>
              <w:rPr>
                <w:b/>
                <w:sz w:val="21"/>
              </w:rPr>
              <w:t>基本保险金额</w:t>
            </w:r>
          </w:p>
        </w:tc>
        <w:tc>
          <w:tcPr>
            <w:tcW w:w="6593" w:type="dxa"/>
            <w:tcBorders>
              <w:top w:val="single" w:sz="4" w:space="0" w:color="000000"/>
            </w:tcBorders>
          </w:tcPr>
          <w:p>
            <w:pPr>
              <w:pStyle w:val="TableParagraph"/>
              <w:rPr>
                <w:rFonts w:ascii="Times New Roman"/>
                <w:sz w:val="26"/>
              </w:rPr>
            </w:pPr>
          </w:p>
          <w:p>
            <w:pPr>
              <w:pStyle w:val="TableParagraph"/>
              <w:spacing w:line="273" w:lineRule="auto"/>
              <w:ind w:left="113" w:right="106"/>
              <w:rPr>
                <w:sz w:val="21"/>
              </w:rPr>
            </w:pPr>
            <w:r>
              <w:rPr>
                <w:sz w:val="21"/>
              </w:rPr>
              <w:t>本主险合同的基本保险金额由您在投保时与我们约定并在保险单上载明。若该金额发生变更，则以变更后的金额为基本保险金额。</w:t>
            </w:r>
          </w:p>
        </w:tc>
      </w:tr>
      <w:tr>
        <w:trPr>
          <w:trHeight w:val="623" w:hRule="atLeast"/>
        </w:trPr>
        <w:tc>
          <w:tcPr>
            <w:tcW w:w="767" w:type="dxa"/>
          </w:tcPr>
          <w:p>
            <w:pPr>
              <w:pStyle w:val="TableParagraph"/>
              <w:spacing w:before="142"/>
              <w:ind w:left="108"/>
              <w:rPr>
                <w:b/>
                <w:sz w:val="21"/>
              </w:rPr>
            </w:pPr>
            <w:r>
              <w:rPr>
                <w:b/>
                <w:sz w:val="21"/>
              </w:rPr>
              <w:t>2.2</w:t>
            </w:r>
          </w:p>
        </w:tc>
        <w:tc>
          <w:tcPr>
            <w:tcW w:w="1782" w:type="dxa"/>
          </w:tcPr>
          <w:p>
            <w:pPr>
              <w:pStyle w:val="TableParagraph"/>
              <w:spacing w:before="142"/>
              <w:ind w:left="193"/>
              <w:rPr>
                <w:b/>
                <w:sz w:val="21"/>
              </w:rPr>
            </w:pPr>
            <w:r>
              <w:rPr>
                <w:b/>
                <w:sz w:val="21"/>
              </w:rPr>
              <w:t>保险责任</w:t>
            </w:r>
          </w:p>
        </w:tc>
        <w:tc>
          <w:tcPr>
            <w:tcW w:w="6593" w:type="dxa"/>
          </w:tcPr>
          <w:p>
            <w:pPr>
              <w:pStyle w:val="TableParagraph"/>
              <w:spacing w:before="142"/>
              <w:ind w:left="113"/>
              <w:rPr>
                <w:sz w:val="21"/>
              </w:rPr>
            </w:pPr>
            <w:r>
              <w:rPr>
                <w:sz w:val="21"/>
              </w:rPr>
              <w:t>在本主险合同有效期内，我们承担如下保险责任：</w:t>
            </w:r>
          </w:p>
        </w:tc>
      </w:tr>
      <w:tr>
        <w:trPr>
          <w:trHeight w:val="1248" w:hRule="atLeast"/>
        </w:trPr>
        <w:tc>
          <w:tcPr>
            <w:tcW w:w="767" w:type="dxa"/>
          </w:tcPr>
          <w:p>
            <w:pPr>
              <w:pStyle w:val="TableParagraph"/>
              <w:rPr>
                <w:rFonts w:ascii="Times New Roman"/>
                <w:sz w:val="20"/>
              </w:rPr>
            </w:pPr>
          </w:p>
        </w:tc>
        <w:tc>
          <w:tcPr>
            <w:tcW w:w="1782" w:type="dxa"/>
          </w:tcPr>
          <w:p>
            <w:pPr>
              <w:pStyle w:val="TableParagraph"/>
              <w:spacing w:before="239"/>
              <w:ind w:left="193"/>
              <w:rPr>
                <w:rFonts w:ascii="Microsoft JhengHei" w:eastAsia="Microsoft JhengHei" w:hint="eastAsia"/>
                <w:b/>
                <w:sz w:val="21"/>
              </w:rPr>
            </w:pPr>
            <w:r>
              <w:rPr>
                <w:rFonts w:ascii="Microsoft JhengHei" w:eastAsia="Microsoft JhengHei" w:hint="eastAsia"/>
                <w:b/>
                <w:sz w:val="21"/>
              </w:rPr>
              <w:t>重大疾病</w:t>
            </w:r>
          </w:p>
        </w:tc>
        <w:tc>
          <w:tcPr>
            <w:tcW w:w="6593" w:type="dxa"/>
          </w:tcPr>
          <w:p>
            <w:pPr>
              <w:pStyle w:val="TableParagraph"/>
              <w:spacing w:before="142"/>
              <w:ind w:left="113"/>
              <w:rPr>
                <w:sz w:val="21"/>
              </w:rPr>
            </w:pPr>
            <w:r>
              <w:rPr>
                <w:spacing w:val="3"/>
                <w:sz w:val="21"/>
              </w:rPr>
              <w:t>在被保险人</w:t>
            </w:r>
            <w:r>
              <w:rPr>
                <w:sz w:val="21"/>
              </w:rPr>
              <w:t>18</w:t>
            </w:r>
            <w:r>
              <w:rPr>
                <w:spacing w:val="-15"/>
                <w:sz w:val="21"/>
              </w:rPr>
              <w:t> 周岁的保险单周年日之前，重大疾病仅指</w:t>
            </w:r>
            <w:r>
              <w:rPr>
                <w:b/>
                <w:sz w:val="21"/>
              </w:rPr>
              <w:t>少儿重大疾病</w:t>
            </w:r>
            <w:r>
              <w:rPr>
                <w:sz w:val="21"/>
              </w:rPr>
              <w:t>；</w:t>
            </w:r>
          </w:p>
          <w:p>
            <w:pPr>
              <w:pStyle w:val="TableParagraph"/>
              <w:spacing w:line="273" w:lineRule="auto" w:before="36"/>
              <w:ind w:left="113" w:right="175"/>
              <w:rPr>
                <w:sz w:val="21"/>
              </w:rPr>
            </w:pPr>
            <w:r>
              <w:rPr>
                <w:spacing w:val="-2"/>
                <w:w w:val="100"/>
                <w:sz w:val="21"/>
              </w:rPr>
              <w:t>在被保险人</w:t>
            </w:r>
            <w:r>
              <w:rPr>
                <w:spacing w:val="-53"/>
                <w:sz w:val="21"/>
              </w:rPr>
              <w:t> </w:t>
            </w:r>
            <w:r>
              <w:rPr>
                <w:w w:val="100"/>
                <w:sz w:val="21"/>
              </w:rPr>
              <w:t>18</w:t>
            </w:r>
            <w:r>
              <w:rPr>
                <w:spacing w:val="-55"/>
                <w:sz w:val="21"/>
              </w:rPr>
              <w:t> </w:t>
            </w:r>
            <w:r>
              <w:rPr>
                <w:spacing w:val="-3"/>
                <w:w w:val="100"/>
                <w:sz w:val="21"/>
              </w:rPr>
              <w:t>周岁的保险单周年日之后（</w:t>
            </w:r>
            <w:r>
              <w:rPr>
                <w:w w:val="100"/>
                <w:sz w:val="21"/>
              </w:rPr>
              <w:t>含</w:t>
            </w:r>
            <w:r>
              <w:rPr>
                <w:spacing w:val="-108"/>
                <w:w w:val="100"/>
                <w:sz w:val="21"/>
              </w:rPr>
              <w:t>）</w:t>
            </w:r>
            <w:r>
              <w:rPr>
                <w:spacing w:val="-3"/>
                <w:w w:val="100"/>
                <w:sz w:val="21"/>
              </w:rPr>
              <w:t>，重大疾病将增加</w:t>
            </w:r>
            <w:r>
              <w:rPr>
                <w:b/>
                <w:w w:val="100"/>
                <w:sz w:val="21"/>
              </w:rPr>
              <w:t>成人</w:t>
            </w:r>
            <w:r>
              <w:rPr>
                <w:b/>
                <w:sz w:val="21"/>
              </w:rPr>
              <w:t>重大疾病</w:t>
            </w:r>
            <w:r>
              <w:rPr>
                <w:sz w:val="21"/>
              </w:rPr>
              <w:t>。</w:t>
            </w:r>
          </w:p>
        </w:tc>
      </w:tr>
      <w:tr>
        <w:trPr>
          <w:trHeight w:val="3120" w:hRule="atLeast"/>
        </w:trPr>
        <w:tc>
          <w:tcPr>
            <w:tcW w:w="767" w:type="dxa"/>
          </w:tcPr>
          <w:p>
            <w:pPr>
              <w:pStyle w:val="TableParagraph"/>
              <w:rPr>
                <w:rFonts w:ascii="Times New Roman"/>
                <w:sz w:val="20"/>
              </w:rPr>
            </w:pPr>
          </w:p>
        </w:tc>
        <w:tc>
          <w:tcPr>
            <w:tcW w:w="1782" w:type="dxa"/>
          </w:tcPr>
          <w:p>
            <w:pPr>
              <w:pStyle w:val="TableParagraph"/>
              <w:spacing w:before="239"/>
              <w:ind w:left="193"/>
              <w:rPr>
                <w:rFonts w:ascii="Microsoft JhengHei" w:eastAsia="Microsoft JhengHei" w:hint="eastAsia"/>
                <w:b/>
                <w:sz w:val="21"/>
              </w:rPr>
            </w:pPr>
            <w:r>
              <w:rPr>
                <w:rFonts w:ascii="Microsoft JhengHei" w:eastAsia="Microsoft JhengHei" w:hint="eastAsia"/>
                <w:b/>
                <w:sz w:val="21"/>
              </w:rPr>
              <w:t>等待期</w:t>
            </w:r>
          </w:p>
        </w:tc>
        <w:tc>
          <w:tcPr>
            <w:tcW w:w="6593" w:type="dxa"/>
          </w:tcPr>
          <w:p>
            <w:pPr>
              <w:pStyle w:val="TableParagraph"/>
              <w:spacing w:line="273" w:lineRule="auto" w:before="143"/>
              <w:ind w:left="113" w:right="101"/>
              <w:jc w:val="both"/>
              <w:rPr>
                <w:sz w:val="21"/>
              </w:rPr>
            </w:pPr>
            <w:r>
              <w:rPr>
                <w:spacing w:val="-4"/>
                <w:w w:val="100"/>
                <w:sz w:val="21"/>
              </w:rPr>
              <w:t>自本主险合同生效</w:t>
            </w:r>
            <w:r>
              <w:rPr>
                <w:spacing w:val="-3"/>
                <w:w w:val="100"/>
                <w:sz w:val="21"/>
              </w:rPr>
              <w:t>（或最后复效</w:t>
            </w:r>
            <w:r>
              <w:rPr>
                <w:spacing w:val="-10"/>
                <w:w w:val="100"/>
                <w:sz w:val="21"/>
              </w:rPr>
              <w:t>）</w:t>
            </w:r>
            <w:r>
              <w:rPr>
                <w:spacing w:val="-2"/>
                <w:w w:val="100"/>
                <w:sz w:val="21"/>
              </w:rPr>
              <w:t>之日起</w:t>
            </w:r>
            <w:r>
              <w:rPr>
                <w:spacing w:val="-53"/>
                <w:sz w:val="21"/>
              </w:rPr>
              <w:t> </w:t>
            </w:r>
            <w:r>
              <w:rPr>
                <w:spacing w:val="-3"/>
                <w:w w:val="100"/>
                <w:sz w:val="21"/>
              </w:rPr>
              <w:t>1</w:t>
            </w:r>
            <w:r>
              <w:rPr>
                <w:w w:val="100"/>
                <w:sz w:val="21"/>
              </w:rPr>
              <w:t>80</w:t>
            </w:r>
            <w:r>
              <w:rPr>
                <w:spacing w:val="-55"/>
                <w:sz w:val="21"/>
              </w:rPr>
              <w:t> </w:t>
            </w:r>
            <w:r>
              <w:rPr>
                <w:spacing w:val="-7"/>
                <w:w w:val="100"/>
                <w:sz w:val="21"/>
              </w:rPr>
              <w:t>天内</w:t>
            </w:r>
            <w:r>
              <w:rPr>
                <w:w w:val="100"/>
                <w:sz w:val="21"/>
              </w:rPr>
              <w:t>（含</w:t>
            </w:r>
            <w:r>
              <w:rPr>
                <w:spacing w:val="-106"/>
                <w:w w:val="100"/>
                <w:sz w:val="21"/>
              </w:rPr>
              <w:t>）</w:t>
            </w:r>
            <w:r>
              <w:rPr>
                <w:spacing w:val="-4"/>
                <w:w w:val="100"/>
                <w:sz w:val="21"/>
              </w:rPr>
              <w:t>，被保险人因</w:t>
            </w:r>
            <w:r>
              <w:rPr>
                <w:spacing w:val="-13"/>
                <w:w w:val="100"/>
                <w:sz w:val="21"/>
              </w:rPr>
              <w:t>疾病发生下列情形之一的：</w:t>
            </w:r>
            <w:r>
              <w:rPr>
                <w:w w:val="100"/>
                <w:sz w:val="21"/>
              </w:rPr>
              <w:t>（一</w:t>
            </w:r>
            <w:r>
              <w:rPr>
                <w:spacing w:val="-8"/>
                <w:w w:val="100"/>
                <w:sz w:val="21"/>
              </w:rPr>
              <w:t>）</w:t>
            </w:r>
            <w:r>
              <w:rPr>
                <w:spacing w:val="-39"/>
                <w:w w:val="100"/>
                <w:sz w:val="21"/>
              </w:rPr>
              <w:t>身故，</w:t>
            </w:r>
            <w:r>
              <w:rPr>
                <w:spacing w:val="-3"/>
                <w:w w:val="100"/>
                <w:sz w:val="21"/>
              </w:rPr>
              <w:t>（</w:t>
            </w:r>
            <w:r>
              <w:rPr>
                <w:w w:val="100"/>
                <w:sz w:val="21"/>
              </w:rPr>
              <w:t>二</w:t>
            </w:r>
            <w:r>
              <w:rPr>
                <w:spacing w:val="-10"/>
                <w:w w:val="100"/>
                <w:sz w:val="21"/>
              </w:rPr>
              <w:t>）</w:t>
            </w:r>
            <w:r>
              <w:rPr>
                <w:b/>
                <w:w w:val="100"/>
                <w:sz w:val="21"/>
              </w:rPr>
              <w:t>高度残疾</w:t>
            </w:r>
            <w:r>
              <w:rPr>
                <w:spacing w:val="-116"/>
                <w:w w:val="100"/>
                <w:sz w:val="21"/>
              </w:rPr>
              <w:t>，</w:t>
            </w:r>
            <w:r>
              <w:rPr>
                <w:w w:val="100"/>
                <w:sz w:val="21"/>
              </w:rPr>
              <w:t>（三</w:t>
            </w:r>
            <w:r>
              <w:rPr>
                <w:spacing w:val="-10"/>
                <w:w w:val="100"/>
                <w:sz w:val="21"/>
              </w:rPr>
              <w:t>）</w:t>
            </w:r>
            <w:r>
              <w:rPr>
                <w:spacing w:val="-2"/>
                <w:w w:val="100"/>
                <w:sz w:val="21"/>
              </w:rPr>
              <w:t>重大疾</w:t>
            </w:r>
            <w:r>
              <w:rPr>
                <w:spacing w:val="-60"/>
                <w:w w:val="100"/>
                <w:sz w:val="21"/>
              </w:rPr>
              <w:t>病，</w:t>
            </w:r>
            <w:r>
              <w:rPr>
                <w:spacing w:val="-3"/>
                <w:w w:val="100"/>
                <w:sz w:val="21"/>
              </w:rPr>
              <w:t>（</w:t>
            </w:r>
            <w:r>
              <w:rPr>
                <w:w w:val="100"/>
                <w:sz w:val="21"/>
              </w:rPr>
              <w:t>四</w:t>
            </w:r>
            <w:r>
              <w:rPr>
                <w:spacing w:val="-13"/>
                <w:w w:val="100"/>
                <w:sz w:val="21"/>
              </w:rPr>
              <w:t>）</w:t>
            </w:r>
            <w:r>
              <w:rPr>
                <w:spacing w:val="-4"/>
                <w:w w:val="100"/>
                <w:sz w:val="21"/>
              </w:rPr>
              <w:t>因导致高度残疾或重大疾病的相关疾病就诊，我们不承担保</w:t>
            </w:r>
            <w:r>
              <w:rPr>
                <w:spacing w:val="-4"/>
                <w:sz w:val="21"/>
              </w:rPr>
              <w:t>险责任，但无息退还您所交的保险费</w:t>
            </w:r>
            <w:r>
              <w:rPr>
                <w:spacing w:val="5"/>
                <w:sz w:val="21"/>
              </w:rPr>
              <w:t>（</w:t>
            </w:r>
            <w:r>
              <w:rPr>
                <w:sz w:val="21"/>
              </w:rPr>
              <w:t>复效情况下退还本主险合同的</w:t>
            </w:r>
            <w:r>
              <w:rPr>
                <w:b/>
                <w:sz w:val="21"/>
              </w:rPr>
              <w:t>现金价值</w:t>
            </w:r>
            <w:r>
              <w:rPr>
                <w:spacing w:val="-3"/>
                <w:sz w:val="21"/>
              </w:rPr>
              <w:t>与最后一次复效时所补交的保险费的较大值</w:t>
            </w:r>
            <w:r>
              <w:rPr>
                <w:spacing w:val="-74"/>
                <w:sz w:val="21"/>
              </w:rPr>
              <w:t>）</w:t>
            </w:r>
            <w:r>
              <w:rPr>
                <w:spacing w:val="-12"/>
                <w:sz w:val="21"/>
              </w:rPr>
              <w:t>，本主险合同终止。</w:t>
            </w:r>
          </w:p>
          <w:p>
            <w:pPr>
              <w:pStyle w:val="TableParagraph"/>
              <w:spacing w:line="273" w:lineRule="auto" w:before="8"/>
              <w:ind w:left="113" w:right="104"/>
              <w:jc w:val="both"/>
              <w:rPr>
                <w:sz w:val="21"/>
              </w:rPr>
            </w:pPr>
            <w:r>
              <w:rPr>
                <w:spacing w:val="-15"/>
                <w:sz w:val="21"/>
              </w:rPr>
              <w:t>这 </w:t>
            </w:r>
            <w:r>
              <w:rPr>
                <w:sz w:val="21"/>
              </w:rPr>
              <w:t>180</w:t>
            </w:r>
            <w:r>
              <w:rPr>
                <w:spacing w:val="-7"/>
                <w:sz w:val="21"/>
              </w:rPr>
              <w:t> 天的时间称为等待期；被保险人因</w:t>
            </w:r>
            <w:r>
              <w:rPr>
                <w:b/>
                <w:spacing w:val="-1"/>
                <w:sz w:val="21"/>
              </w:rPr>
              <w:t>意外伤害</w:t>
            </w:r>
            <w:r>
              <w:rPr>
                <w:spacing w:val="-7"/>
                <w:sz w:val="21"/>
              </w:rPr>
              <w:t>事故发生上述 </w:t>
            </w:r>
            <w:r>
              <w:rPr>
                <w:sz w:val="21"/>
              </w:rPr>
              <w:t>4</w:t>
            </w:r>
            <w:r>
              <w:rPr>
                <w:spacing w:val="-15"/>
                <w:sz w:val="21"/>
              </w:rPr>
              <w:t> 项</w:t>
            </w:r>
            <w:r>
              <w:rPr>
                <w:spacing w:val="-7"/>
                <w:sz w:val="21"/>
              </w:rPr>
              <w:t>情形之一的，无等待期。</w:t>
            </w:r>
          </w:p>
          <w:p>
            <w:pPr>
              <w:pStyle w:val="TableParagraph"/>
              <w:spacing w:before="8"/>
              <w:ind w:left="113"/>
              <w:jc w:val="both"/>
              <w:rPr>
                <w:sz w:val="21"/>
              </w:rPr>
            </w:pPr>
            <w:r>
              <w:rPr>
                <w:sz w:val="21"/>
              </w:rPr>
              <w:t>如果在等待期后发生保险事故，我们按照下列方式给付保险金：</w:t>
            </w:r>
          </w:p>
        </w:tc>
      </w:tr>
      <w:tr>
        <w:trPr>
          <w:trHeight w:val="5460" w:hRule="atLeast"/>
        </w:trPr>
        <w:tc>
          <w:tcPr>
            <w:tcW w:w="767" w:type="dxa"/>
          </w:tcPr>
          <w:p>
            <w:pPr>
              <w:pStyle w:val="TableParagraph"/>
              <w:rPr>
                <w:rFonts w:ascii="Times New Roman"/>
                <w:sz w:val="20"/>
              </w:rPr>
            </w:pPr>
          </w:p>
        </w:tc>
        <w:tc>
          <w:tcPr>
            <w:tcW w:w="1782" w:type="dxa"/>
          </w:tcPr>
          <w:p>
            <w:pPr>
              <w:pStyle w:val="TableParagraph"/>
              <w:spacing w:before="239"/>
              <w:ind w:left="193"/>
              <w:rPr>
                <w:rFonts w:ascii="Microsoft JhengHei" w:eastAsia="Microsoft JhengHei" w:hint="eastAsia"/>
                <w:b/>
                <w:sz w:val="21"/>
              </w:rPr>
            </w:pPr>
            <w:r>
              <w:rPr>
                <w:rFonts w:ascii="Microsoft JhengHei" w:eastAsia="Microsoft JhengHei" w:hint="eastAsia"/>
                <w:b/>
                <w:sz w:val="21"/>
              </w:rPr>
              <w:t>重大疾病保险金</w:t>
            </w:r>
          </w:p>
        </w:tc>
        <w:tc>
          <w:tcPr>
            <w:tcW w:w="6593" w:type="dxa"/>
          </w:tcPr>
          <w:p>
            <w:pPr>
              <w:pStyle w:val="TableParagraph"/>
              <w:spacing w:line="273" w:lineRule="auto" w:before="143"/>
              <w:ind w:left="113" w:right="102"/>
              <w:jc w:val="both"/>
              <w:rPr>
                <w:sz w:val="21"/>
              </w:rPr>
            </w:pPr>
            <w:r>
              <w:rPr>
                <w:sz w:val="21"/>
              </w:rPr>
              <w:t>被保险人经</w:t>
            </w:r>
            <w:r>
              <w:rPr>
                <w:b/>
                <w:sz w:val="21"/>
              </w:rPr>
              <w:t>专科医生</w:t>
            </w:r>
            <w:r>
              <w:rPr>
                <w:sz w:val="21"/>
              </w:rPr>
              <w:t>明确诊断初次发生重大疾病（在本主险合同生效</w:t>
            </w:r>
            <w:r>
              <w:rPr>
                <w:spacing w:val="-3"/>
                <w:sz w:val="21"/>
              </w:rPr>
              <w:t>日之前已患的有关疾病或症状除外</w:t>
            </w:r>
            <w:r>
              <w:rPr>
                <w:spacing w:val="-14"/>
                <w:sz w:val="21"/>
              </w:rPr>
              <w:t>）</w:t>
            </w:r>
            <w:r>
              <w:rPr>
                <w:spacing w:val="-12"/>
                <w:sz w:val="21"/>
              </w:rPr>
              <w:t>，且确诊 </w:t>
            </w:r>
            <w:r>
              <w:rPr>
                <w:sz w:val="21"/>
              </w:rPr>
              <w:t>15</w:t>
            </w:r>
            <w:r>
              <w:rPr>
                <w:spacing w:val="-9"/>
                <w:sz w:val="21"/>
              </w:rPr>
              <w:t> 天后仍生存，我们按</w:t>
            </w:r>
            <w:r>
              <w:rPr>
                <w:spacing w:val="-11"/>
                <w:w w:val="100"/>
                <w:sz w:val="21"/>
              </w:rPr>
              <w:t>以下规定向重大疾病保险金受益人给付“重大疾病保险金”，本主险合</w:t>
            </w:r>
            <w:r>
              <w:rPr>
                <w:spacing w:val="-7"/>
                <w:sz w:val="21"/>
              </w:rPr>
              <w:t>同终止：</w:t>
            </w:r>
          </w:p>
          <w:p>
            <w:pPr>
              <w:pStyle w:val="TableParagraph"/>
              <w:numPr>
                <w:ilvl w:val="0"/>
                <w:numId w:val="2"/>
              </w:numPr>
              <w:tabs>
                <w:tab w:pos="745" w:val="left" w:leader="none"/>
              </w:tabs>
              <w:spacing w:line="273" w:lineRule="auto" w:before="8" w:after="0"/>
              <w:ind w:left="744" w:right="102" w:hanging="631"/>
              <w:jc w:val="both"/>
              <w:rPr>
                <w:sz w:val="21"/>
              </w:rPr>
            </w:pPr>
            <w:r>
              <w:rPr>
                <w:spacing w:val="-4"/>
                <w:sz w:val="21"/>
              </w:rPr>
              <w:t>若被保险人于 </w:t>
            </w:r>
            <w:r>
              <w:rPr>
                <w:sz w:val="21"/>
              </w:rPr>
              <w:t>5</w:t>
            </w:r>
            <w:r>
              <w:rPr>
                <w:spacing w:val="-3"/>
                <w:sz w:val="21"/>
              </w:rPr>
              <w:t> 周岁的保险单周年日之前，经专科医生明确诊断初次发生少儿重大疾病，我们按保险单载明的基本保险金额</w:t>
            </w:r>
            <w:r>
              <w:rPr>
                <w:spacing w:val="-12"/>
                <w:w w:val="100"/>
                <w:sz w:val="21"/>
              </w:rPr>
              <w:t>给付“重大疾病保险金”；</w:t>
            </w:r>
          </w:p>
          <w:p>
            <w:pPr>
              <w:pStyle w:val="TableParagraph"/>
              <w:numPr>
                <w:ilvl w:val="0"/>
                <w:numId w:val="2"/>
              </w:numPr>
              <w:tabs>
                <w:tab w:pos="716" w:val="left" w:leader="none"/>
              </w:tabs>
              <w:spacing w:line="273" w:lineRule="auto" w:before="8" w:after="0"/>
              <w:ind w:left="744" w:right="68" w:hanging="631"/>
              <w:jc w:val="both"/>
              <w:rPr>
                <w:sz w:val="21"/>
              </w:rPr>
            </w:pPr>
            <w:r>
              <w:rPr>
                <w:spacing w:val="-9"/>
                <w:sz w:val="21"/>
              </w:rPr>
              <w:t>若被保险人于 </w:t>
            </w:r>
            <w:r>
              <w:rPr>
                <w:sz w:val="21"/>
              </w:rPr>
              <w:t>5</w:t>
            </w:r>
            <w:r>
              <w:rPr>
                <w:spacing w:val="-10"/>
                <w:sz w:val="21"/>
              </w:rPr>
              <w:t> 周岁的保险单周年日之后</w:t>
            </w:r>
            <w:r>
              <w:rPr>
                <w:spacing w:val="-3"/>
                <w:sz w:val="21"/>
              </w:rPr>
              <w:t>（</w:t>
            </w:r>
            <w:r>
              <w:rPr>
                <w:sz w:val="21"/>
              </w:rPr>
              <w:t>含</w:t>
            </w:r>
            <w:r>
              <w:rPr>
                <w:spacing w:val="-106"/>
                <w:sz w:val="21"/>
              </w:rPr>
              <w:t>）</w:t>
            </w:r>
            <w:r>
              <w:rPr>
                <w:spacing w:val="-31"/>
                <w:sz w:val="21"/>
              </w:rPr>
              <w:t>、</w:t>
            </w:r>
            <w:r>
              <w:rPr>
                <w:sz w:val="21"/>
              </w:rPr>
              <w:t>60</w:t>
            </w:r>
            <w:r>
              <w:rPr>
                <w:spacing w:val="-10"/>
                <w:sz w:val="21"/>
              </w:rPr>
              <w:t> 周岁的保险单周年日之前，经专科医生明确诊断初次发生重大疾病，我们</w:t>
            </w:r>
            <w:r>
              <w:rPr>
                <w:spacing w:val="-7"/>
                <w:sz w:val="21"/>
              </w:rPr>
              <w:t>按保险单载明的基本保险金额的两倍给付“重大疾病保险金”。</w:t>
            </w:r>
          </w:p>
          <w:p>
            <w:pPr>
              <w:pStyle w:val="TableParagraph"/>
              <w:numPr>
                <w:ilvl w:val="0"/>
                <w:numId w:val="2"/>
              </w:numPr>
              <w:tabs>
                <w:tab w:pos="716" w:val="left" w:leader="none"/>
              </w:tabs>
              <w:spacing w:line="273" w:lineRule="auto" w:before="8" w:after="0"/>
              <w:ind w:left="744" w:right="104" w:hanging="631"/>
              <w:jc w:val="both"/>
              <w:rPr>
                <w:sz w:val="21"/>
              </w:rPr>
            </w:pPr>
            <w:r>
              <w:rPr>
                <w:spacing w:val="-9"/>
                <w:sz w:val="21"/>
              </w:rPr>
              <w:t>若被保险人于 </w:t>
            </w:r>
            <w:r>
              <w:rPr>
                <w:sz w:val="21"/>
              </w:rPr>
              <w:t>60</w:t>
            </w:r>
            <w:r>
              <w:rPr>
                <w:spacing w:val="-10"/>
                <w:sz w:val="21"/>
              </w:rPr>
              <w:t> 周岁的保险单周年日之后</w:t>
            </w:r>
            <w:r>
              <w:rPr>
                <w:spacing w:val="-3"/>
                <w:sz w:val="21"/>
              </w:rPr>
              <w:t>（</w:t>
            </w:r>
            <w:r>
              <w:rPr>
                <w:sz w:val="21"/>
              </w:rPr>
              <w:t>含</w:t>
            </w:r>
            <w:r>
              <w:rPr>
                <w:spacing w:val="-106"/>
                <w:sz w:val="21"/>
              </w:rPr>
              <w:t>）</w:t>
            </w:r>
            <w:r>
              <w:rPr>
                <w:spacing w:val="-31"/>
                <w:sz w:val="21"/>
              </w:rPr>
              <w:t>、</w:t>
            </w:r>
            <w:r>
              <w:rPr>
                <w:sz w:val="21"/>
              </w:rPr>
              <w:t>100</w:t>
            </w:r>
            <w:r>
              <w:rPr>
                <w:spacing w:val="-11"/>
                <w:sz w:val="21"/>
              </w:rPr>
              <w:t> 周岁的保险单周年日之前，经专科医生明确诊断初次发生重大疾病，我</w:t>
            </w:r>
            <w:r>
              <w:rPr>
                <w:spacing w:val="-8"/>
                <w:sz w:val="21"/>
              </w:rPr>
              <w:t>们按保险单载明的基本保险金额给付“重大疾病保险金”。</w:t>
            </w:r>
          </w:p>
          <w:p>
            <w:pPr>
              <w:pStyle w:val="TableParagraph"/>
              <w:spacing w:line="273" w:lineRule="auto" w:before="163"/>
              <w:ind w:left="113" w:right="66"/>
              <w:rPr>
                <w:sz w:val="21"/>
              </w:rPr>
            </w:pPr>
            <w:r>
              <w:rPr>
                <w:spacing w:val="-8"/>
                <w:sz w:val="21"/>
              </w:rPr>
              <w:t>若被保险人生存至 </w:t>
            </w:r>
            <w:r>
              <w:rPr>
                <w:sz w:val="21"/>
              </w:rPr>
              <w:t>100</w:t>
            </w:r>
            <w:r>
              <w:rPr>
                <w:spacing w:val="-8"/>
                <w:sz w:val="21"/>
              </w:rPr>
              <w:t> 周岁的保险单周年日，我们将按保险单载明的</w:t>
            </w:r>
            <w:r>
              <w:rPr>
                <w:spacing w:val="-9"/>
                <w:w w:val="100"/>
                <w:sz w:val="21"/>
              </w:rPr>
              <w:t>基本保险金额向重大疾病保险金受益人提前给付“重大疾病保险金”，</w:t>
            </w:r>
            <w:r>
              <w:rPr>
                <w:spacing w:val="-5"/>
                <w:sz w:val="21"/>
              </w:rPr>
              <w:t>本主险合同终止。</w:t>
            </w:r>
          </w:p>
        </w:tc>
      </w:tr>
      <w:tr>
        <w:trPr>
          <w:trHeight w:val="1665" w:hRule="atLeast"/>
        </w:trPr>
        <w:tc>
          <w:tcPr>
            <w:tcW w:w="767" w:type="dxa"/>
          </w:tcPr>
          <w:p>
            <w:pPr>
              <w:pStyle w:val="TableParagraph"/>
              <w:rPr>
                <w:rFonts w:ascii="Times New Roman"/>
                <w:sz w:val="20"/>
              </w:rPr>
            </w:pPr>
          </w:p>
        </w:tc>
        <w:tc>
          <w:tcPr>
            <w:tcW w:w="1782" w:type="dxa"/>
          </w:tcPr>
          <w:p>
            <w:pPr>
              <w:pStyle w:val="TableParagraph"/>
              <w:spacing w:before="239"/>
              <w:ind w:left="193"/>
              <w:rPr>
                <w:rFonts w:ascii="Microsoft JhengHei" w:eastAsia="Microsoft JhengHei" w:hint="eastAsia"/>
                <w:b/>
                <w:sz w:val="21"/>
              </w:rPr>
            </w:pPr>
            <w:r>
              <w:rPr>
                <w:rFonts w:ascii="Microsoft JhengHei" w:eastAsia="Microsoft JhengHei" w:hint="eastAsia"/>
                <w:b/>
                <w:sz w:val="21"/>
              </w:rPr>
              <w:t>身故保险金</w:t>
            </w:r>
          </w:p>
        </w:tc>
        <w:tc>
          <w:tcPr>
            <w:tcW w:w="6593" w:type="dxa"/>
          </w:tcPr>
          <w:p>
            <w:pPr>
              <w:pStyle w:val="TableParagraph"/>
              <w:spacing w:line="273" w:lineRule="auto" w:before="142"/>
              <w:ind w:left="113" w:right="107"/>
              <w:rPr>
                <w:sz w:val="21"/>
              </w:rPr>
            </w:pPr>
            <w:r>
              <w:rPr>
                <w:sz w:val="21"/>
              </w:rPr>
              <w:t>被保险人身故，我们按以下规定向身故保险金受益人给付“身故保险</w:t>
            </w:r>
            <w:r>
              <w:rPr>
                <w:w w:val="100"/>
                <w:sz w:val="21"/>
              </w:rPr>
              <w:t>金”，本主险合同终止：</w:t>
            </w:r>
          </w:p>
          <w:p>
            <w:pPr>
              <w:pStyle w:val="TableParagraph"/>
              <w:spacing w:line="312" w:lineRule="exact" w:before="3"/>
              <w:ind w:left="744" w:right="102" w:hanging="632"/>
              <w:jc w:val="both"/>
              <w:rPr>
                <w:sz w:val="21"/>
              </w:rPr>
            </w:pPr>
            <w:r>
              <w:rPr>
                <w:sz w:val="21"/>
              </w:rPr>
              <w:t>（1）</w:t>
            </w:r>
            <w:r>
              <w:rPr>
                <w:spacing w:val="-9"/>
                <w:sz w:val="21"/>
              </w:rPr>
              <w:t> 若被保险人于 </w:t>
            </w:r>
            <w:r>
              <w:rPr>
                <w:sz w:val="21"/>
              </w:rPr>
              <w:t>18</w:t>
            </w:r>
            <w:r>
              <w:rPr>
                <w:spacing w:val="-9"/>
                <w:sz w:val="21"/>
              </w:rPr>
              <w:t> 周岁的保险单周年日之前身故，我们按已交保险费（无息）与该保险单年度末现金价值的较大值给付“身故</w:t>
            </w:r>
            <w:r>
              <w:rPr>
                <w:spacing w:val="-26"/>
                <w:w w:val="100"/>
                <w:sz w:val="21"/>
              </w:rPr>
              <w:t>保险金”；</w:t>
            </w:r>
          </w:p>
        </w:tc>
      </w:tr>
    </w:tbl>
    <w:p>
      <w:pPr>
        <w:spacing w:after="0" w:line="312" w:lineRule="exact"/>
        <w:jc w:val="both"/>
        <w:rPr>
          <w:sz w:val="21"/>
        </w:rPr>
        <w:sectPr>
          <w:pgSz w:w="11910" w:h="16840"/>
          <w:pgMar w:header="900" w:footer="992" w:top="1220" w:bottom="1180" w:left="1080" w:right="1460"/>
        </w:sectPr>
      </w:pPr>
    </w:p>
    <w:p>
      <w:pPr>
        <w:pStyle w:val="BodyText"/>
        <w:spacing w:before="5"/>
        <w:rPr>
          <w:rFonts w:ascii="Times New Roman"/>
          <w:sz w:val="2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1840"/>
        <w:gridCol w:w="6809"/>
      </w:tblGrid>
      <w:tr>
        <w:trPr>
          <w:trHeight w:val="729" w:hRule="atLeast"/>
        </w:trPr>
        <w:tc>
          <w:tcPr>
            <w:tcW w:w="784" w:type="dxa"/>
          </w:tcPr>
          <w:p>
            <w:pPr>
              <w:pStyle w:val="TableParagraph"/>
              <w:rPr>
                <w:rFonts w:ascii="Times New Roman"/>
                <w:sz w:val="20"/>
              </w:rPr>
            </w:pPr>
          </w:p>
        </w:tc>
        <w:tc>
          <w:tcPr>
            <w:tcW w:w="1840" w:type="dxa"/>
          </w:tcPr>
          <w:p>
            <w:pPr>
              <w:pStyle w:val="TableParagraph"/>
              <w:rPr>
                <w:rFonts w:ascii="Times New Roman"/>
                <w:sz w:val="20"/>
              </w:rPr>
            </w:pPr>
          </w:p>
        </w:tc>
        <w:tc>
          <w:tcPr>
            <w:tcW w:w="6809" w:type="dxa"/>
          </w:tcPr>
          <w:p>
            <w:pPr>
              <w:pStyle w:val="TableParagraph"/>
              <w:spacing w:line="211" w:lineRule="exact"/>
              <w:ind w:left="130"/>
              <w:rPr>
                <w:sz w:val="21"/>
              </w:rPr>
            </w:pPr>
            <w:r>
              <w:rPr>
                <w:sz w:val="21"/>
              </w:rPr>
              <w:t>（2） 若被保险人于 18 周岁的保险单周年日之后（含）身故，我们按</w:t>
            </w:r>
          </w:p>
          <w:p>
            <w:pPr>
              <w:pStyle w:val="TableParagraph"/>
              <w:spacing w:before="37"/>
              <w:ind w:left="761"/>
              <w:rPr>
                <w:sz w:val="21"/>
              </w:rPr>
            </w:pPr>
            <w:r>
              <w:rPr>
                <w:sz w:val="21"/>
              </w:rPr>
              <w:t>保险单载明的基本保险金额给付“身故保险金”。</w:t>
            </w:r>
          </w:p>
        </w:tc>
      </w:tr>
      <w:tr>
        <w:trPr>
          <w:trHeight w:val="2496" w:hRule="atLeast"/>
        </w:trPr>
        <w:tc>
          <w:tcPr>
            <w:tcW w:w="784" w:type="dxa"/>
          </w:tcPr>
          <w:p>
            <w:pPr>
              <w:pStyle w:val="TableParagraph"/>
              <w:rPr>
                <w:rFonts w:ascii="Times New Roman"/>
                <w:sz w:val="20"/>
              </w:rPr>
            </w:pPr>
          </w:p>
        </w:tc>
        <w:tc>
          <w:tcPr>
            <w:tcW w:w="1840" w:type="dxa"/>
          </w:tcPr>
          <w:p>
            <w:pPr>
              <w:pStyle w:val="TableParagraph"/>
              <w:spacing w:before="239"/>
              <w:ind w:left="267"/>
              <w:rPr>
                <w:rFonts w:ascii="Microsoft JhengHei" w:eastAsia="Microsoft JhengHei" w:hint="eastAsia"/>
                <w:b/>
                <w:sz w:val="21"/>
              </w:rPr>
            </w:pPr>
            <w:r>
              <w:rPr>
                <w:rFonts w:ascii="Microsoft JhengHei" w:eastAsia="Microsoft JhengHei" w:hint="eastAsia"/>
                <w:b/>
                <w:sz w:val="21"/>
              </w:rPr>
              <w:t>高度残疾保险金</w:t>
            </w:r>
          </w:p>
        </w:tc>
        <w:tc>
          <w:tcPr>
            <w:tcW w:w="6809" w:type="dxa"/>
          </w:tcPr>
          <w:p>
            <w:pPr>
              <w:pStyle w:val="TableParagraph"/>
              <w:spacing w:line="273" w:lineRule="auto" w:before="142"/>
              <w:ind w:left="130" w:right="301"/>
              <w:rPr>
                <w:sz w:val="21"/>
              </w:rPr>
            </w:pPr>
            <w:r>
              <w:rPr>
                <w:spacing w:val="-13"/>
                <w:sz w:val="21"/>
              </w:rPr>
              <w:t>被保险人高度残疾，我们按以下规定向高度残疾保险金受益人给付“高</w:t>
            </w:r>
            <w:r>
              <w:rPr>
                <w:spacing w:val="-13"/>
                <w:w w:val="100"/>
                <w:sz w:val="21"/>
              </w:rPr>
              <w:t>度残疾保险金”，本主险合同终止：</w:t>
            </w:r>
          </w:p>
          <w:p>
            <w:pPr>
              <w:pStyle w:val="TableParagraph"/>
              <w:numPr>
                <w:ilvl w:val="0"/>
                <w:numId w:val="3"/>
              </w:numPr>
              <w:tabs>
                <w:tab w:pos="745" w:val="left" w:leader="none"/>
              </w:tabs>
              <w:spacing w:line="273" w:lineRule="auto" w:before="7" w:after="0"/>
              <w:ind w:left="761" w:right="301" w:hanging="631"/>
              <w:jc w:val="both"/>
              <w:rPr>
                <w:sz w:val="21"/>
              </w:rPr>
            </w:pPr>
            <w:r>
              <w:rPr>
                <w:spacing w:val="-9"/>
                <w:sz w:val="21"/>
              </w:rPr>
              <w:t>若被保险人于 </w:t>
            </w:r>
            <w:r>
              <w:rPr>
                <w:sz w:val="21"/>
              </w:rPr>
              <w:t>18</w:t>
            </w:r>
            <w:r>
              <w:rPr>
                <w:spacing w:val="-9"/>
                <w:sz w:val="21"/>
              </w:rPr>
              <w:t> 周岁的保险单周年日之前高度残疾，我们按已</w:t>
            </w:r>
            <w:r>
              <w:rPr>
                <w:spacing w:val="-18"/>
                <w:sz w:val="21"/>
              </w:rPr>
              <w:t>交保险费</w:t>
            </w:r>
            <w:r>
              <w:rPr>
                <w:sz w:val="21"/>
              </w:rPr>
              <w:t>（</w:t>
            </w:r>
            <w:r>
              <w:rPr>
                <w:spacing w:val="-3"/>
                <w:sz w:val="21"/>
              </w:rPr>
              <w:t>无息</w:t>
            </w:r>
            <w:r>
              <w:rPr>
                <w:spacing w:val="-46"/>
                <w:sz w:val="21"/>
              </w:rPr>
              <w:t>）</w:t>
            </w:r>
            <w:r>
              <w:rPr>
                <w:spacing w:val="-6"/>
                <w:sz w:val="21"/>
              </w:rPr>
              <w:t>与该保险单年度末现金价值的较大值给付“高</w:t>
            </w:r>
            <w:r>
              <w:rPr>
                <w:spacing w:val="-17"/>
                <w:w w:val="100"/>
                <w:sz w:val="21"/>
              </w:rPr>
              <w:t>度残疾保险金”；</w:t>
            </w:r>
          </w:p>
          <w:p>
            <w:pPr>
              <w:pStyle w:val="TableParagraph"/>
              <w:numPr>
                <w:ilvl w:val="0"/>
                <w:numId w:val="3"/>
              </w:numPr>
              <w:tabs>
                <w:tab w:pos="752" w:val="left" w:leader="none"/>
              </w:tabs>
              <w:spacing w:line="273" w:lineRule="auto" w:before="7" w:after="0"/>
              <w:ind w:left="761" w:right="301" w:hanging="631"/>
              <w:jc w:val="both"/>
              <w:rPr>
                <w:sz w:val="21"/>
              </w:rPr>
            </w:pPr>
            <w:r>
              <w:rPr>
                <w:spacing w:val="-9"/>
                <w:sz w:val="21"/>
              </w:rPr>
              <w:t>若被保险人于 </w:t>
            </w:r>
            <w:r>
              <w:rPr>
                <w:sz w:val="21"/>
              </w:rPr>
              <w:t>18</w:t>
            </w:r>
            <w:r>
              <w:rPr>
                <w:spacing w:val="-9"/>
                <w:sz w:val="21"/>
              </w:rPr>
              <w:t> 周岁的保险单周年日之后</w:t>
            </w:r>
            <w:r>
              <w:rPr>
                <w:spacing w:val="-3"/>
                <w:sz w:val="21"/>
              </w:rPr>
              <w:t>（</w:t>
            </w:r>
            <w:r>
              <w:rPr>
                <w:sz w:val="21"/>
              </w:rPr>
              <w:t>含</w:t>
            </w:r>
            <w:r>
              <w:rPr>
                <w:spacing w:val="-10"/>
                <w:sz w:val="21"/>
              </w:rPr>
              <w:t>）</w:t>
            </w:r>
            <w:r>
              <w:rPr>
                <w:spacing w:val="-5"/>
                <w:sz w:val="21"/>
              </w:rPr>
              <w:t>高度残疾，我</w:t>
            </w:r>
            <w:r>
              <w:rPr>
                <w:spacing w:val="-8"/>
                <w:sz w:val="21"/>
              </w:rPr>
              <w:t>们按保险单载明的基本保险金额给付“高度残疾保险金”。</w:t>
            </w:r>
          </w:p>
        </w:tc>
      </w:tr>
      <w:tr>
        <w:trPr>
          <w:trHeight w:val="1248" w:hRule="atLeast"/>
        </w:trPr>
        <w:tc>
          <w:tcPr>
            <w:tcW w:w="784" w:type="dxa"/>
          </w:tcPr>
          <w:p>
            <w:pPr>
              <w:pStyle w:val="TableParagraph"/>
              <w:rPr>
                <w:rFonts w:ascii="Times New Roman"/>
                <w:sz w:val="20"/>
              </w:rPr>
            </w:pPr>
          </w:p>
        </w:tc>
        <w:tc>
          <w:tcPr>
            <w:tcW w:w="1840" w:type="dxa"/>
          </w:tcPr>
          <w:p>
            <w:pPr>
              <w:pStyle w:val="TableParagraph"/>
              <w:rPr>
                <w:rFonts w:ascii="Times New Roman"/>
                <w:sz w:val="20"/>
              </w:rPr>
            </w:pPr>
          </w:p>
        </w:tc>
        <w:tc>
          <w:tcPr>
            <w:tcW w:w="6809" w:type="dxa"/>
          </w:tcPr>
          <w:p>
            <w:pPr>
              <w:pStyle w:val="TableParagraph"/>
              <w:spacing w:line="273" w:lineRule="auto" w:before="143"/>
              <w:ind w:left="130" w:right="198"/>
              <w:rPr>
                <w:sz w:val="21"/>
              </w:rPr>
            </w:pPr>
            <w:r>
              <w:rPr>
                <w:spacing w:val="3"/>
                <w:sz w:val="21"/>
              </w:rPr>
              <w:t>被保险人发生的高度残疾情形与重大疾病中所列明的疾病种类重复</w:t>
            </w:r>
            <w:r>
              <w:rPr>
                <w:spacing w:val="-16"/>
                <w:w w:val="100"/>
                <w:sz w:val="21"/>
              </w:rPr>
              <w:t>的，我们仅给付“重大疾病保险金”，并不再给付“高度残疾保险金”，</w:t>
            </w:r>
            <w:r>
              <w:rPr>
                <w:spacing w:val="-7"/>
                <w:sz w:val="21"/>
              </w:rPr>
              <w:t>本主险合同终止。</w:t>
            </w:r>
          </w:p>
        </w:tc>
      </w:tr>
      <w:tr>
        <w:trPr>
          <w:trHeight w:val="8999" w:hRule="atLeast"/>
        </w:trPr>
        <w:tc>
          <w:tcPr>
            <w:tcW w:w="784" w:type="dxa"/>
          </w:tcPr>
          <w:p>
            <w:pPr>
              <w:pStyle w:val="TableParagraph"/>
              <w:spacing w:before="142"/>
              <w:ind w:left="200"/>
              <w:rPr>
                <w:b/>
                <w:sz w:val="21"/>
              </w:rPr>
            </w:pPr>
            <w:r>
              <w:rPr>
                <w:b/>
                <w:sz w:val="21"/>
              </w:rPr>
              <w:t>2.3</w:t>
            </w:r>
          </w:p>
        </w:tc>
        <w:tc>
          <w:tcPr>
            <w:tcW w:w="1840" w:type="dxa"/>
          </w:tcPr>
          <w:p>
            <w:pPr>
              <w:pStyle w:val="TableParagraph"/>
              <w:spacing w:before="142"/>
              <w:ind w:left="267"/>
              <w:rPr>
                <w:rFonts w:ascii="黑体" w:eastAsia="黑体" w:hint="eastAsia"/>
                <w:b/>
                <w:sz w:val="21"/>
              </w:rPr>
            </w:pPr>
            <w:r>
              <w:rPr>
                <w:rFonts w:ascii="黑体" w:eastAsia="黑体" w:hint="eastAsia"/>
                <w:b/>
                <w:sz w:val="21"/>
              </w:rPr>
              <w:t>责任免除</w:t>
            </w:r>
          </w:p>
        </w:tc>
        <w:tc>
          <w:tcPr>
            <w:tcW w:w="6809" w:type="dxa"/>
          </w:tcPr>
          <w:p>
            <w:pPr>
              <w:pStyle w:val="TableParagraph"/>
              <w:spacing w:line="273" w:lineRule="auto" w:before="142"/>
              <w:ind w:left="130" w:right="371"/>
              <w:rPr>
                <w:rFonts w:ascii="黑体" w:eastAsia="黑体" w:hint="eastAsia"/>
                <w:sz w:val="21"/>
              </w:rPr>
            </w:pPr>
            <w:r>
              <w:rPr>
                <w:rFonts w:ascii="黑体" w:eastAsia="黑体" w:hint="eastAsia"/>
                <w:sz w:val="21"/>
              </w:rPr>
              <w:t>因下列情形之一，导致被保险人身故或高度残疾的，我们不承担给付保险金的责任：</w:t>
            </w:r>
          </w:p>
          <w:p>
            <w:pPr>
              <w:pStyle w:val="TableParagraph"/>
              <w:numPr>
                <w:ilvl w:val="0"/>
                <w:numId w:val="4"/>
              </w:numPr>
              <w:tabs>
                <w:tab w:pos="731" w:val="left" w:leader="none"/>
              </w:tabs>
              <w:spacing w:line="240" w:lineRule="auto" w:before="7" w:after="0"/>
              <w:ind w:left="727" w:right="0" w:hanging="629"/>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4"/>
              </w:numPr>
              <w:tabs>
                <w:tab w:pos="731" w:val="left" w:leader="none"/>
              </w:tabs>
              <w:spacing w:line="240" w:lineRule="auto" w:before="37" w:after="0"/>
              <w:ind w:left="727" w:right="0" w:hanging="629"/>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4"/>
              </w:numPr>
              <w:tabs>
                <w:tab w:pos="731" w:val="left" w:leader="none"/>
              </w:tabs>
              <w:spacing w:line="240" w:lineRule="auto" w:before="37" w:after="0"/>
              <w:ind w:left="727" w:right="0" w:hanging="629"/>
              <w:jc w:val="left"/>
              <w:rPr>
                <w:rFonts w:ascii="黑体" w:eastAsia="黑体" w:hint="eastAsia"/>
                <w:sz w:val="21"/>
              </w:rPr>
            </w:pPr>
            <w:r>
              <w:rPr>
                <w:rFonts w:ascii="黑体" w:eastAsia="黑体" w:hint="eastAsia"/>
                <w:spacing w:val="-4"/>
                <w:sz w:val="21"/>
              </w:rPr>
              <w:t>被保险人自本主险合同成立或者本主险合同效力恢复之日起 </w:t>
            </w:r>
            <w:r>
              <w:rPr>
                <w:rFonts w:ascii="黑体" w:eastAsia="黑体" w:hint="eastAsia"/>
                <w:sz w:val="21"/>
              </w:rPr>
              <w:t>2</w:t>
            </w:r>
          </w:p>
          <w:p>
            <w:pPr>
              <w:pStyle w:val="TableParagraph"/>
              <w:spacing w:before="37"/>
              <w:ind w:left="727"/>
              <w:rPr>
                <w:rFonts w:ascii="黑体" w:eastAsia="黑体" w:hint="eastAsia"/>
                <w:sz w:val="21"/>
              </w:rPr>
            </w:pPr>
            <w:r>
              <w:rPr>
                <w:rFonts w:ascii="黑体" w:eastAsia="黑体" w:hint="eastAsia"/>
                <w:sz w:val="21"/>
              </w:rPr>
              <w:t>年内自杀，但被保险人自杀时为无民事行为能力人的除外；</w:t>
            </w:r>
          </w:p>
          <w:p>
            <w:pPr>
              <w:pStyle w:val="TableParagraph"/>
              <w:numPr>
                <w:ilvl w:val="0"/>
                <w:numId w:val="4"/>
              </w:numPr>
              <w:tabs>
                <w:tab w:pos="731" w:val="left" w:leader="none"/>
              </w:tabs>
              <w:spacing w:line="240" w:lineRule="auto" w:before="37" w:after="0"/>
              <w:ind w:left="727" w:right="0" w:hanging="629"/>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TableParagraph"/>
              <w:numPr>
                <w:ilvl w:val="0"/>
                <w:numId w:val="4"/>
              </w:numPr>
              <w:tabs>
                <w:tab w:pos="731" w:val="left" w:leader="none"/>
              </w:tabs>
              <w:spacing w:line="273" w:lineRule="auto" w:before="36" w:after="0"/>
              <w:ind w:left="727" w:right="390" w:hanging="629"/>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酒后驾驶</w:t>
            </w:r>
            <w:r>
              <w:rPr>
                <w:rFonts w:ascii="黑体" w:eastAsia="黑体" w:hint="eastAsia"/>
                <w:sz w:val="21"/>
              </w:rPr>
              <w:t>，</w:t>
            </w:r>
            <w:r>
              <w:rPr>
                <w:rFonts w:ascii="黑体" w:eastAsia="黑体" w:hint="eastAsia"/>
                <w:b/>
                <w:spacing w:val="-1"/>
                <w:sz w:val="21"/>
              </w:rPr>
              <w:t>无合法有效驾驶证驾驶</w:t>
            </w:r>
            <w:r>
              <w:rPr>
                <w:rFonts w:ascii="黑体" w:eastAsia="黑体" w:hint="eastAsia"/>
                <w:spacing w:val="-1"/>
                <w:sz w:val="21"/>
              </w:rPr>
              <w:t>，或驾驶</w:t>
            </w:r>
            <w:r>
              <w:rPr>
                <w:rFonts w:ascii="黑体" w:eastAsia="黑体" w:hint="eastAsia"/>
                <w:b/>
                <w:sz w:val="21"/>
              </w:rPr>
              <w:t>无有效行驶证</w:t>
            </w:r>
            <w:r>
              <w:rPr>
                <w:rFonts w:ascii="黑体" w:eastAsia="黑体" w:hint="eastAsia"/>
                <w:spacing w:val="-3"/>
                <w:sz w:val="21"/>
              </w:rPr>
              <w:t>的机动车；</w:t>
            </w:r>
          </w:p>
          <w:p>
            <w:pPr>
              <w:pStyle w:val="TableParagraph"/>
              <w:numPr>
                <w:ilvl w:val="0"/>
                <w:numId w:val="4"/>
              </w:numPr>
              <w:tabs>
                <w:tab w:pos="731" w:val="left" w:leader="none"/>
              </w:tabs>
              <w:spacing w:line="240" w:lineRule="auto" w:before="7" w:after="0"/>
              <w:ind w:left="727" w:right="0" w:hanging="629"/>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4"/>
              </w:numPr>
              <w:tabs>
                <w:tab w:pos="731" w:val="left" w:leader="none"/>
              </w:tabs>
              <w:spacing w:line="240" w:lineRule="auto" w:before="37" w:after="0"/>
              <w:ind w:left="727" w:right="0" w:hanging="629"/>
              <w:jc w:val="left"/>
              <w:rPr>
                <w:rFonts w:ascii="黑体" w:eastAsia="黑体" w:hint="eastAsia"/>
                <w:sz w:val="21"/>
              </w:rPr>
            </w:pPr>
            <w:r>
              <w:rPr>
                <w:rFonts w:ascii="黑体" w:eastAsia="黑体" w:hint="eastAsia"/>
                <w:spacing w:val="-3"/>
                <w:sz w:val="21"/>
              </w:rPr>
              <w:t>核爆炸、核辐射或核污染。</w:t>
            </w:r>
          </w:p>
          <w:p>
            <w:pPr>
              <w:pStyle w:val="TableParagraph"/>
              <w:spacing w:before="9"/>
              <w:rPr>
                <w:rFonts w:ascii="Times New Roman"/>
                <w:sz w:val="16"/>
              </w:rPr>
            </w:pPr>
          </w:p>
          <w:p>
            <w:pPr>
              <w:pStyle w:val="TableParagraph"/>
              <w:spacing w:line="273" w:lineRule="auto"/>
              <w:ind w:left="130" w:right="303" w:hanging="3"/>
              <w:jc w:val="both"/>
              <w:rPr>
                <w:rFonts w:ascii="黑体" w:eastAsia="黑体" w:hint="eastAsia"/>
                <w:sz w:val="21"/>
              </w:rPr>
            </w:pPr>
            <w:r>
              <w:rPr>
                <w:rFonts w:ascii="黑体" w:eastAsia="黑体" w:hint="eastAsia"/>
                <w:sz w:val="21"/>
              </w:rPr>
              <w:t>发Th</w:t>
            </w:r>
            <w:r>
              <w:rPr>
                <w:rFonts w:ascii="黑体" w:eastAsia="黑体" w:hint="eastAsia"/>
                <w:spacing w:val="-7"/>
                <w:sz w:val="21"/>
              </w:rPr>
              <w:t>上述第</w:t>
            </w:r>
            <w:r>
              <w:rPr>
                <w:rFonts w:ascii="黑体" w:eastAsia="黑体" w:hint="eastAsia"/>
                <w:spacing w:val="-5"/>
                <w:sz w:val="21"/>
              </w:rPr>
              <w:t>（1）</w:t>
            </w:r>
            <w:r>
              <w:rPr>
                <w:rFonts w:ascii="黑体" w:eastAsia="黑体" w:hint="eastAsia"/>
                <w:spacing w:val="-4"/>
                <w:sz w:val="21"/>
              </w:rPr>
              <w:t>项情形导致被保险人身故或者高度残疾的，本主险合</w:t>
            </w:r>
            <w:r>
              <w:rPr>
                <w:rFonts w:ascii="黑体" w:eastAsia="黑体" w:hint="eastAsia"/>
                <w:spacing w:val="-3"/>
                <w:sz w:val="21"/>
              </w:rPr>
              <w:t>同终止，您已交足两年以上保险费的，我们向其他权利人退还本主险合同的现金价值。</w:t>
            </w:r>
          </w:p>
          <w:p>
            <w:pPr>
              <w:pStyle w:val="TableParagraph"/>
              <w:spacing w:line="273" w:lineRule="auto" w:before="163"/>
              <w:ind w:left="127" w:right="373"/>
              <w:rPr>
                <w:rFonts w:ascii="黑体" w:eastAsia="黑体" w:hint="eastAsia"/>
                <w:sz w:val="21"/>
              </w:rPr>
            </w:pPr>
            <w:r>
              <w:rPr>
                <w:rFonts w:ascii="黑体" w:eastAsia="黑体" w:hint="eastAsia"/>
                <w:sz w:val="21"/>
              </w:rPr>
              <w:t>发Th上述其他情形导致被保险人身故或者高度残疾的，本主险合同终止，我们向投保人退还本主险合同的现金价值。</w:t>
            </w:r>
          </w:p>
          <w:p>
            <w:pPr>
              <w:pStyle w:val="TableParagraph"/>
              <w:spacing w:line="273" w:lineRule="auto" w:before="163"/>
              <w:ind w:left="130" w:right="373" w:hanging="3"/>
              <w:rPr>
                <w:rFonts w:ascii="黑体" w:eastAsia="黑体" w:hint="eastAsia"/>
                <w:sz w:val="21"/>
              </w:rPr>
            </w:pPr>
            <w:r>
              <w:rPr>
                <w:rFonts w:ascii="黑体" w:eastAsia="黑体" w:hint="eastAsia"/>
                <w:sz w:val="21"/>
              </w:rPr>
              <w:t>因下列情形之一，导致被保险人初次发Th疾病、达到疾病状态或进行手术的，我们不承担保险责任：</w:t>
            </w:r>
          </w:p>
          <w:p>
            <w:pPr>
              <w:pStyle w:val="TableParagraph"/>
              <w:numPr>
                <w:ilvl w:val="0"/>
                <w:numId w:val="5"/>
              </w:numPr>
              <w:tabs>
                <w:tab w:pos="731" w:val="left" w:leader="none"/>
              </w:tabs>
              <w:spacing w:line="240" w:lineRule="auto" w:before="7" w:after="0"/>
              <w:ind w:left="730" w:right="0" w:hanging="632"/>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728" w:val="left" w:leader="none"/>
              </w:tabs>
              <w:spacing w:line="240" w:lineRule="auto" w:before="37" w:after="0"/>
              <w:ind w:left="727" w:right="0" w:hanging="629"/>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5"/>
              </w:numPr>
              <w:tabs>
                <w:tab w:pos="731" w:val="left" w:leader="none"/>
              </w:tabs>
              <w:spacing w:line="240" w:lineRule="auto" w:before="37" w:after="0"/>
              <w:ind w:left="730" w:right="0" w:hanging="632"/>
              <w:jc w:val="left"/>
              <w:rPr>
                <w:rFonts w:ascii="黑体" w:eastAsia="黑体" w:hint="eastAsia"/>
                <w:sz w:val="21"/>
              </w:rPr>
            </w:pPr>
            <w:r>
              <w:rPr>
                <w:rFonts w:ascii="黑体" w:eastAsia="黑体" w:hint="eastAsia"/>
                <w:spacing w:val="-3"/>
                <w:sz w:val="21"/>
              </w:rPr>
              <w:t>被保险人服用、吸食或注射毒品；</w:t>
            </w:r>
          </w:p>
          <w:p>
            <w:pPr>
              <w:pStyle w:val="TableParagraph"/>
              <w:numPr>
                <w:ilvl w:val="0"/>
                <w:numId w:val="5"/>
              </w:numPr>
              <w:tabs>
                <w:tab w:pos="731" w:val="left" w:leader="none"/>
              </w:tabs>
              <w:spacing w:line="273" w:lineRule="auto" w:before="37" w:after="0"/>
              <w:ind w:left="730" w:right="402" w:hanging="632"/>
              <w:jc w:val="left"/>
              <w:rPr>
                <w:rFonts w:ascii="黑体" w:eastAsia="黑体" w:hint="eastAsia"/>
                <w:sz w:val="21"/>
              </w:rPr>
            </w:pPr>
            <w:r>
              <w:rPr>
                <w:rFonts w:ascii="黑体" w:eastAsia="黑体" w:hint="eastAsia"/>
                <w:spacing w:val="-3"/>
                <w:sz w:val="21"/>
              </w:rPr>
              <w:t>被保险人酒后驾驶、无合法有效驾驶证驾驶，或驾驶无有效行驶证的机动车；</w:t>
            </w:r>
          </w:p>
          <w:p>
            <w:pPr>
              <w:pStyle w:val="TableParagraph"/>
              <w:numPr>
                <w:ilvl w:val="0"/>
                <w:numId w:val="5"/>
              </w:numPr>
              <w:tabs>
                <w:tab w:pos="731" w:val="left" w:leader="none"/>
              </w:tabs>
              <w:spacing w:line="240" w:lineRule="auto" w:before="7" w:after="0"/>
              <w:ind w:left="730" w:right="0" w:hanging="632"/>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TableParagraph"/>
              <w:numPr>
                <w:ilvl w:val="0"/>
                <w:numId w:val="5"/>
              </w:numPr>
              <w:tabs>
                <w:tab w:pos="731" w:val="left" w:leader="none"/>
              </w:tabs>
              <w:spacing w:line="240" w:lineRule="auto" w:before="36" w:after="0"/>
              <w:ind w:left="730" w:right="0" w:hanging="632"/>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5"/>
              </w:numPr>
              <w:tabs>
                <w:tab w:pos="731" w:val="left" w:leader="none"/>
              </w:tabs>
              <w:spacing w:line="240" w:lineRule="auto" w:before="36" w:after="0"/>
              <w:ind w:left="730" w:right="0" w:hanging="632"/>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5"/>
              </w:numPr>
              <w:tabs>
                <w:tab w:pos="731" w:val="left" w:leader="none"/>
              </w:tabs>
              <w:spacing w:line="255" w:lineRule="exact" w:before="37" w:after="0"/>
              <w:ind w:left="730" w:right="0" w:hanging="632"/>
              <w:jc w:val="left"/>
              <w:rPr>
                <w:rFonts w:ascii="黑体" w:eastAsia="黑体" w:hint="eastAsia"/>
                <w:sz w:val="21"/>
              </w:rPr>
            </w:pPr>
            <w:r>
              <w:rPr>
                <w:rFonts w:ascii="黑体" w:eastAsia="黑体" w:hint="eastAsia"/>
                <w:b/>
                <w:sz w:val="21"/>
              </w:rPr>
              <w:t>遗传性疾病</w:t>
            </w:r>
            <w:r>
              <w:rPr>
                <w:rFonts w:ascii="黑体" w:eastAsia="黑体" w:hint="eastAsia"/>
                <w:spacing w:val="-3"/>
                <w:sz w:val="21"/>
              </w:rPr>
              <w:t>，</w:t>
            </w:r>
            <w:r>
              <w:rPr>
                <w:rFonts w:ascii="黑体" w:eastAsia="黑体" w:hint="eastAsia"/>
                <w:b/>
                <w:spacing w:val="-3"/>
                <w:sz w:val="21"/>
              </w:rPr>
              <w:t>先天性畸形、变形或染色体异常</w:t>
            </w:r>
            <w:r>
              <w:rPr>
                <w:rFonts w:ascii="黑体" w:eastAsia="黑体" w:hint="eastAsia"/>
                <w:sz w:val="21"/>
              </w:rPr>
              <w:t>。</w:t>
            </w:r>
          </w:p>
        </w:tc>
      </w:tr>
    </w:tbl>
    <w:p>
      <w:pPr>
        <w:spacing w:after="0" w:line="255" w:lineRule="exact"/>
        <w:jc w:val="left"/>
        <w:rPr>
          <w:rFonts w:ascii="黑体" w:eastAsia="黑体" w:hint="eastAsia"/>
          <w:sz w:val="21"/>
        </w:rPr>
        <w:sectPr>
          <w:pgSz w:w="11910" w:h="16840"/>
          <w:pgMar w:header="900" w:footer="992" w:top="1220" w:bottom="1180" w:left="1000" w:right="1260"/>
        </w:sectPr>
      </w:pPr>
    </w:p>
    <w:p>
      <w:pPr>
        <w:pStyle w:val="BodyText"/>
        <w:spacing w:before="1"/>
        <w:rPr>
          <w:rFonts w:ascii="Times New Roman"/>
          <w:sz w:val="2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767"/>
        <w:gridCol w:w="6609"/>
      </w:tblGrid>
      <w:tr>
        <w:trPr>
          <w:trHeight w:val="587" w:hRule="atLeast"/>
        </w:trPr>
        <w:tc>
          <w:tcPr>
            <w:tcW w:w="767" w:type="dxa"/>
            <w:tcBorders>
              <w:bottom w:val="single" w:sz="4" w:space="0" w:color="000000"/>
            </w:tcBorders>
          </w:tcPr>
          <w:p>
            <w:pPr>
              <w:pStyle w:val="TableParagraph"/>
              <w:spacing w:line="549" w:lineRule="exact"/>
              <w:ind w:left="108"/>
              <w:rPr>
                <w:rFonts w:ascii="Arial" w:hAnsi="Arial"/>
                <w:b/>
                <w:sz w:val="52"/>
              </w:rPr>
            </w:pPr>
            <w:r>
              <w:rPr>
                <w:rFonts w:ascii="Arial" w:hAnsi="Arial"/>
                <w:b/>
                <w:w w:val="119"/>
                <w:sz w:val="52"/>
              </w:rPr>
              <w:t></w:t>
            </w:r>
          </w:p>
        </w:tc>
        <w:tc>
          <w:tcPr>
            <w:tcW w:w="8376" w:type="dxa"/>
            <w:gridSpan w:val="2"/>
            <w:tcBorders>
              <w:bottom w:val="single" w:sz="4" w:space="0" w:color="000000"/>
            </w:tcBorders>
          </w:tcPr>
          <w:p>
            <w:pPr>
              <w:pStyle w:val="TableParagraph"/>
              <w:spacing w:before="49"/>
              <w:ind w:left="193"/>
              <w:rPr>
                <w:b/>
                <w:sz w:val="28"/>
              </w:rPr>
            </w:pPr>
            <w:r>
              <w:rPr>
                <w:b/>
                <w:w w:val="95"/>
                <w:sz w:val="28"/>
              </w:rPr>
              <w:t>如何申请领取保险金</w:t>
            </w:r>
          </w:p>
        </w:tc>
      </w:tr>
      <w:tr>
        <w:trPr>
          <w:trHeight w:val="6709" w:hRule="atLeast"/>
        </w:trPr>
        <w:tc>
          <w:tcPr>
            <w:tcW w:w="767" w:type="dxa"/>
            <w:tcBorders>
              <w:top w:val="single" w:sz="4" w:space="0" w:color="000000"/>
            </w:tcBorders>
          </w:tcPr>
          <w:p>
            <w:pPr>
              <w:pStyle w:val="TableParagraph"/>
              <w:rPr>
                <w:rFonts w:ascii="Times New Roman"/>
                <w:sz w:val="26"/>
              </w:rPr>
            </w:pPr>
          </w:p>
          <w:p>
            <w:pPr>
              <w:pStyle w:val="TableParagraph"/>
              <w:ind w:left="108"/>
              <w:rPr>
                <w:b/>
                <w:sz w:val="21"/>
              </w:rPr>
            </w:pPr>
            <w:r>
              <w:rPr>
                <w:b/>
                <w:sz w:val="21"/>
              </w:rPr>
              <w:t>3.1</w:t>
            </w:r>
          </w:p>
        </w:tc>
        <w:tc>
          <w:tcPr>
            <w:tcW w:w="1767" w:type="dxa"/>
            <w:tcBorders>
              <w:top w:val="single" w:sz="4" w:space="0" w:color="000000"/>
            </w:tcBorders>
          </w:tcPr>
          <w:p>
            <w:pPr>
              <w:pStyle w:val="TableParagraph"/>
              <w:rPr>
                <w:rFonts w:ascii="Times New Roman"/>
                <w:sz w:val="26"/>
              </w:rPr>
            </w:pPr>
          </w:p>
          <w:p>
            <w:pPr>
              <w:pStyle w:val="TableParagraph"/>
              <w:ind w:left="193"/>
              <w:rPr>
                <w:b/>
                <w:sz w:val="21"/>
              </w:rPr>
            </w:pPr>
            <w:r>
              <w:rPr>
                <w:b/>
                <w:sz w:val="21"/>
              </w:rPr>
              <w:t>受益人</w:t>
            </w:r>
          </w:p>
        </w:tc>
        <w:tc>
          <w:tcPr>
            <w:tcW w:w="6609" w:type="dxa"/>
            <w:tcBorders>
              <w:top w:val="single" w:sz="4" w:space="0" w:color="000000"/>
            </w:tcBorders>
          </w:tcPr>
          <w:p>
            <w:pPr>
              <w:pStyle w:val="TableParagraph"/>
              <w:rPr>
                <w:rFonts w:ascii="Times New Roman"/>
                <w:sz w:val="26"/>
              </w:rPr>
            </w:pPr>
          </w:p>
          <w:p>
            <w:pPr>
              <w:pStyle w:val="TableParagraph"/>
              <w:spacing w:line="273" w:lineRule="auto"/>
              <w:ind w:left="128" w:right="172"/>
              <w:jc w:val="both"/>
              <w:rPr>
                <w:sz w:val="21"/>
              </w:rPr>
            </w:pPr>
            <w:r>
              <w:rPr>
                <w:sz w:val="21"/>
              </w:rPr>
              <w:t>您或者被保险人可以指定一人或多人为身故保险金的受益人。身故保险金受益人为多人时，可以确定受益顺序和受益份额；如果没有确定份额，各受益人按照相等份额享有受益权。</w:t>
            </w:r>
          </w:p>
          <w:p>
            <w:pPr>
              <w:pStyle w:val="TableParagraph"/>
              <w:spacing w:line="273" w:lineRule="auto" w:before="7"/>
              <w:ind w:left="128" w:right="172"/>
              <w:jc w:val="both"/>
              <w:rPr>
                <w:sz w:val="21"/>
              </w:rPr>
            </w:pPr>
            <w:r>
              <w:rPr>
                <w:sz w:val="21"/>
              </w:rPr>
              <w:t>您或者被保险人在被保险人身故前可以变更身故保险金受益人，但是需要书面通知我们。我们收到变更身故保险金受益人的书面通知后， 将及时在保险单上批注。</w:t>
            </w:r>
          </w:p>
          <w:p>
            <w:pPr>
              <w:pStyle w:val="TableParagraph"/>
              <w:spacing w:line="273" w:lineRule="auto" w:before="7"/>
              <w:ind w:left="128" w:right="172"/>
              <w:jc w:val="both"/>
              <w:rPr>
                <w:sz w:val="21"/>
              </w:rPr>
            </w:pPr>
            <w:r>
              <w:rPr>
                <w:sz w:val="21"/>
              </w:rPr>
              <w:t>您在指定和变更身故保险金受益人时，必须经过被保险人同意。被保险人为无民事行为能力人或者限制民事行为能力人的，可以由其监护人指定和变更身故保险金受益人。</w:t>
            </w:r>
          </w:p>
          <w:p>
            <w:pPr>
              <w:pStyle w:val="TableParagraph"/>
              <w:spacing w:line="273" w:lineRule="auto" w:before="7"/>
              <w:ind w:left="128" w:right="1"/>
              <w:rPr>
                <w:sz w:val="21"/>
              </w:rPr>
            </w:pPr>
            <w:r>
              <w:rPr>
                <w:spacing w:val="-7"/>
                <w:sz w:val="21"/>
              </w:rPr>
              <w:t>被保险人身故后，遇有下列情形之一的，保险金作为被保险人的遗产， </w:t>
            </w:r>
            <w:r>
              <w:rPr>
                <w:spacing w:val="-8"/>
                <w:sz w:val="21"/>
              </w:rPr>
              <w:t>由我们依照《中华人民共和国继承法》的规定履行给付保险金的义务：</w:t>
            </w:r>
          </w:p>
          <w:p>
            <w:pPr>
              <w:pStyle w:val="TableParagraph"/>
              <w:numPr>
                <w:ilvl w:val="0"/>
                <w:numId w:val="6"/>
              </w:numPr>
              <w:tabs>
                <w:tab w:pos="729" w:val="left" w:leader="none"/>
              </w:tabs>
              <w:spacing w:line="240" w:lineRule="auto" w:before="7" w:after="0"/>
              <w:ind w:left="128" w:right="0" w:hanging="31"/>
              <w:jc w:val="both"/>
              <w:rPr>
                <w:sz w:val="21"/>
              </w:rPr>
            </w:pPr>
            <w:r>
              <w:rPr>
                <w:spacing w:val="-3"/>
                <w:sz w:val="21"/>
              </w:rPr>
              <w:t>没有指定受益人，或者受益人指定不明无法确定的；</w:t>
            </w:r>
          </w:p>
          <w:p>
            <w:pPr>
              <w:pStyle w:val="TableParagraph"/>
              <w:numPr>
                <w:ilvl w:val="0"/>
                <w:numId w:val="6"/>
              </w:numPr>
              <w:tabs>
                <w:tab w:pos="729" w:val="left" w:leader="none"/>
              </w:tabs>
              <w:spacing w:line="240" w:lineRule="auto" w:before="37" w:after="0"/>
              <w:ind w:left="128" w:right="0" w:hanging="31"/>
              <w:jc w:val="both"/>
              <w:rPr>
                <w:sz w:val="21"/>
              </w:rPr>
            </w:pPr>
            <w:r>
              <w:rPr>
                <w:spacing w:val="-3"/>
                <w:sz w:val="21"/>
              </w:rPr>
              <w:t>受益人先于被保险人身故，没有其他受益人的；</w:t>
            </w:r>
          </w:p>
          <w:p>
            <w:pPr>
              <w:pStyle w:val="TableParagraph"/>
              <w:numPr>
                <w:ilvl w:val="0"/>
                <w:numId w:val="6"/>
              </w:numPr>
              <w:tabs>
                <w:tab w:pos="729" w:val="left" w:leader="none"/>
              </w:tabs>
              <w:spacing w:line="273" w:lineRule="auto" w:before="37" w:after="0"/>
              <w:ind w:left="128" w:right="172" w:hanging="31"/>
              <w:jc w:val="both"/>
              <w:rPr>
                <w:sz w:val="21"/>
              </w:rPr>
            </w:pPr>
            <w:r>
              <w:rPr>
                <w:spacing w:val="-3"/>
                <w:sz w:val="21"/>
              </w:rPr>
              <w:t>受益人依法丧失受益权或者放弃受益权，没有其他受益人的。受益人与被保险人在同一事件中身故，且不能确定身故顺序的，推定受益人身故在先。</w:t>
            </w:r>
          </w:p>
          <w:p>
            <w:pPr>
              <w:pStyle w:val="TableParagraph"/>
              <w:spacing w:line="273" w:lineRule="auto" w:before="7"/>
              <w:ind w:left="128" w:right="172"/>
              <w:jc w:val="both"/>
              <w:rPr>
                <w:sz w:val="21"/>
              </w:rPr>
            </w:pPr>
            <w:r>
              <w:rPr>
                <w:sz w:val="21"/>
              </w:rPr>
              <w:t>受益人故意造成被保险人身故、伤残、疾病的，或者故意杀害被保险人未遂的，该受益人丧失受益权。</w:t>
            </w:r>
          </w:p>
          <w:p>
            <w:pPr>
              <w:pStyle w:val="TableParagraph"/>
              <w:spacing w:line="273" w:lineRule="auto" w:before="7"/>
              <w:ind w:left="128" w:right="172"/>
              <w:jc w:val="both"/>
              <w:rPr>
                <w:sz w:val="21"/>
              </w:rPr>
            </w:pPr>
            <w:r>
              <w:rPr>
                <w:sz w:val="21"/>
              </w:rPr>
              <w:t>重大疾病保险金受益人和高度残疾保险金受益人均为被保险人本人， 经被保险人或被保险人的监护人同意，我们受理指定或变更。</w:t>
            </w:r>
          </w:p>
        </w:tc>
      </w:tr>
      <w:tr>
        <w:trPr>
          <w:trHeight w:val="2184" w:hRule="atLeast"/>
        </w:trPr>
        <w:tc>
          <w:tcPr>
            <w:tcW w:w="767" w:type="dxa"/>
          </w:tcPr>
          <w:p>
            <w:pPr>
              <w:pStyle w:val="TableParagraph"/>
              <w:spacing w:before="142"/>
              <w:ind w:left="108"/>
              <w:rPr>
                <w:b/>
                <w:sz w:val="21"/>
              </w:rPr>
            </w:pPr>
            <w:r>
              <w:rPr>
                <w:b/>
                <w:sz w:val="21"/>
              </w:rPr>
              <w:t>3.2</w:t>
            </w:r>
          </w:p>
        </w:tc>
        <w:tc>
          <w:tcPr>
            <w:tcW w:w="1767" w:type="dxa"/>
          </w:tcPr>
          <w:p>
            <w:pPr>
              <w:pStyle w:val="TableParagraph"/>
              <w:spacing w:before="142"/>
              <w:ind w:left="193"/>
              <w:rPr>
                <w:b/>
                <w:sz w:val="21"/>
              </w:rPr>
            </w:pPr>
            <w:r>
              <w:rPr>
                <w:b/>
                <w:sz w:val="21"/>
              </w:rPr>
              <w:t>保险事故通知</w:t>
            </w:r>
          </w:p>
        </w:tc>
        <w:tc>
          <w:tcPr>
            <w:tcW w:w="6609" w:type="dxa"/>
          </w:tcPr>
          <w:p>
            <w:pPr>
              <w:pStyle w:val="TableParagraph"/>
              <w:spacing w:before="142"/>
              <w:ind w:left="128"/>
              <w:rPr>
                <w:sz w:val="21"/>
              </w:rPr>
            </w:pPr>
            <w:r>
              <w:rPr>
                <w:sz w:val="21"/>
              </w:rPr>
              <w:t>您或受益人应在知道保险事故发生之日起 10 日内通知我们。</w:t>
            </w:r>
          </w:p>
          <w:p>
            <w:pPr>
              <w:pStyle w:val="TableParagraph"/>
              <w:spacing w:line="273" w:lineRule="auto" w:before="36"/>
              <w:ind w:left="128" w:right="172"/>
              <w:jc w:val="both"/>
              <w:rPr>
                <w:sz w:val="21"/>
              </w:rPr>
            </w:pPr>
            <w:r>
              <w:rPr>
                <w:sz w:val="21"/>
              </w:rPr>
              <w:t>如果您或受益人故意或者因重大过失未及时通知，致使保险事故的性质、原因、损失程度等难以确定的，我们对无法确定的部分，不承担给付保险金的责任，但我们通过其他途径已经及时知道或者应当及时知道保险事故发生或者虽未及时通知但不影响本公司确定保险事故的性质、原因、损失程度的除外。</w:t>
            </w:r>
          </w:p>
        </w:tc>
      </w:tr>
      <w:tr>
        <w:trPr>
          <w:trHeight w:val="613" w:hRule="atLeast"/>
        </w:trPr>
        <w:tc>
          <w:tcPr>
            <w:tcW w:w="767" w:type="dxa"/>
          </w:tcPr>
          <w:p>
            <w:pPr>
              <w:pStyle w:val="TableParagraph"/>
              <w:spacing w:before="142"/>
              <w:ind w:left="108"/>
              <w:rPr>
                <w:b/>
                <w:sz w:val="21"/>
              </w:rPr>
            </w:pPr>
            <w:r>
              <w:rPr>
                <w:b/>
                <w:sz w:val="21"/>
              </w:rPr>
              <w:t>3.3</w:t>
            </w:r>
          </w:p>
        </w:tc>
        <w:tc>
          <w:tcPr>
            <w:tcW w:w="1767" w:type="dxa"/>
          </w:tcPr>
          <w:p>
            <w:pPr>
              <w:pStyle w:val="TableParagraph"/>
              <w:spacing w:before="142"/>
              <w:ind w:left="193"/>
              <w:rPr>
                <w:b/>
                <w:sz w:val="21"/>
              </w:rPr>
            </w:pPr>
            <w:r>
              <w:rPr>
                <w:b/>
                <w:sz w:val="21"/>
              </w:rPr>
              <w:t>保险金申请</w:t>
            </w:r>
          </w:p>
        </w:tc>
        <w:tc>
          <w:tcPr>
            <w:tcW w:w="6609" w:type="dxa"/>
          </w:tcPr>
          <w:p>
            <w:pPr>
              <w:pStyle w:val="TableParagraph"/>
              <w:spacing w:before="142"/>
              <w:ind w:left="128"/>
              <w:rPr>
                <w:sz w:val="21"/>
              </w:rPr>
            </w:pPr>
            <w:r>
              <w:rPr>
                <w:sz w:val="21"/>
              </w:rPr>
              <w:t>在申请保险金时，请按照下列方式办理：</w:t>
            </w:r>
          </w:p>
        </w:tc>
      </w:tr>
      <w:tr>
        <w:trPr>
          <w:trHeight w:val="3508" w:hRule="atLeast"/>
        </w:trPr>
        <w:tc>
          <w:tcPr>
            <w:tcW w:w="767" w:type="dxa"/>
          </w:tcPr>
          <w:p>
            <w:pPr>
              <w:pStyle w:val="TableParagraph"/>
              <w:rPr>
                <w:rFonts w:ascii="Times New Roman"/>
                <w:sz w:val="20"/>
              </w:rPr>
            </w:pPr>
          </w:p>
        </w:tc>
        <w:tc>
          <w:tcPr>
            <w:tcW w:w="1767" w:type="dxa"/>
          </w:tcPr>
          <w:p>
            <w:pPr>
              <w:pStyle w:val="TableParagraph"/>
              <w:spacing w:line="410" w:lineRule="auto" w:before="250"/>
              <w:ind w:left="193" w:right="97"/>
              <w:rPr>
                <w:rFonts w:ascii="Microsoft JhengHei" w:eastAsia="Microsoft JhengHei" w:hint="eastAsia"/>
                <w:b/>
                <w:sz w:val="21"/>
              </w:rPr>
            </w:pPr>
            <w:r>
              <w:rPr>
                <w:rFonts w:ascii="Microsoft JhengHei" w:eastAsia="Microsoft JhengHei" w:hint="eastAsia"/>
                <w:b/>
                <w:sz w:val="21"/>
              </w:rPr>
              <w:t>重大疾病保险金申请</w:t>
            </w:r>
          </w:p>
        </w:tc>
        <w:tc>
          <w:tcPr>
            <w:tcW w:w="6609" w:type="dxa"/>
          </w:tcPr>
          <w:p>
            <w:pPr>
              <w:pStyle w:val="TableParagraph"/>
              <w:spacing w:before="132"/>
              <w:ind w:left="128"/>
              <w:rPr>
                <w:sz w:val="21"/>
              </w:rPr>
            </w:pPr>
            <w:r>
              <w:rPr>
                <w:spacing w:val="-7"/>
                <w:sz w:val="21"/>
              </w:rPr>
              <w:t>由重大疾病保险金受益人填写理赔申请书，并须提供下列证明和资料：</w:t>
            </w:r>
          </w:p>
          <w:p>
            <w:pPr>
              <w:pStyle w:val="TableParagraph"/>
              <w:numPr>
                <w:ilvl w:val="0"/>
                <w:numId w:val="7"/>
              </w:numPr>
              <w:tabs>
                <w:tab w:pos="760" w:val="left" w:leader="none"/>
              </w:tabs>
              <w:spacing w:line="240" w:lineRule="auto" w:before="18" w:after="0"/>
              <w:ind w:left="759" w:right="0" w:hanging="631"/>
              <w:jc w:val="left"/>
              <w:rPr>
                <w:sz w:val="21"/>
              </w:rPr>
            </w:pPr>
            <w:r>
              <w:rPr>
                <w:spacing w:val="-3"/>
                <w:sz w:val="21"/>
              </w:rPr>
              <w:t>保险合同；</w:t>
            </w:r>
          </w:p>
          <w:p>
            <w:pPr>
              <w:pStyle w:val="TableParagraph"/>
              <w:numPr>
                <w:ilvl w:val="0"/>
                <w:numId w:val="7"/>
              </w:numPr>
              <w:tabs>
                <w:tab w:pos="760" w:val="left" w:leader="none"/>
              </w:tabs>
              <w:spacing w:line="240" w:lineRule="auto" w:before="37" w:after="0"/>
              <w:ind w:left="759" w:right="0" w:hanging="631"/>
              <w:jc w:val="left"/>
              <w:rPr>
                <w:sz w:val="21"/>
              </w:rPr>
            </w:pPr>
            <w:r>
              <w:rPr>
                <w:spacing w:val="-3"/>
                <w:sz w:val="21"/>
              </w:rPr>
              <w:t>受益人的有效身份证件；</w:t>
            </w:r>
          </w:p>
          <w:p>
            <w:pPr>
              <w:pStyle w:val="TableParagraph"/>
              <w:numPr>
                <w:ilvl w:val="0"/>
                <w:numId w:val="7"/>
              </w:numPr>
              <w:tabs>
                <w:tab w:pos="760" w:val="left" w:leader="none"/>
              </w:tabs>
              <w:spacing w:line="273" w:lineRule="auto" w:before="37" w:after="0"/>
              <w:ind w:left="759" w:right="172" w:hanging="631"/>
              <w:jc w:val="left"/>
              <w:rPr>
                <w:sz w:val="21"/>
              </w:rPr>
            </w:pPr>
            <w:r>
              <w:rPr>
                <w:b/>
                <w:sz w:val="21"/>
              </w:rPr>
              <w:t>医院</w:t>
            </w:r>
            <w:r>
              <w:rPr>
                <w:spacing w:val="-3"/>
                <w:sz w:val="21"/>
              </w:rPr>
              <w:t>出具的附有病理显微镜检查、血液检验及其他科学方法检验报告的被保险人疾病诊断证明；</w:t>
            </w:r>
          </w:p>
          <w:p>
            <w:pPr>
              <w:pStyle w:val="TableParagraph"/>
              <w:numPr>
                <w:ilvl w:val="0"/>
                <w:numId w:val="7"/>
              </w:numPr>
              <w:tabs>
                <w:tab w:pos="760" w:val="left" w:leader="none"/>
              </w:tabs>
              <w:spacing w:line="273" w:lineRule="auto" w:before="8" w:after="0"/>
              <w:ind w:left="759" w:right="172" w:hanging="631"/>
              <w:jc w:val="left"/>
              <w:rPr>
                <w:sz w:val="21"/>
              </w:rPr>
            </w:pPr>
            <w:r>
              <w:rPr>
                <w:spacing w:val="-3"/>
                <w:sz w:val="21"/>
              </w:rPr>
              <w:t>所能提供的与确认保险事故性质、原因等有关的其他证明和资料。</w:t>
            </w:r>
          </w:p>
          <w:p>
            <w:pPr>
              <w:pStyle w:val="TableParagraph"/>
              <w:spacing w:line="273" w:lineRule="auto" w:before="8"/>
              <w:ind w:left="126" w:right="111"/>
              <w:rPr>
                <w:sz w:val="21"/>
              </w:rPr>
            </w:pPr>
            <w:r>
              <w:rPr>
                <w:sz w:val="21"/>
              </w:rPr>
              <w:t>如果重大疾病保险金属于提前给付的，由重大疾病保险金受益人填写重大疾病提前给付申请，并须提供下列证明和资料：</w:t>
            </w:r>
          </w:p>
          <w:p>
            <w:pPr>
              <w:pStyle w:val="TableParagraph"/>
              <w:numPr>
                <w:ilvl w:val="0"/>
                <w:numId w:val="8"/>
              </w:numPr>
              <w:tabs>
                <w:tab w:pos="753" w:val="left" w:leader="none"/>
              </w:tabs>
              <w:spacing w:line="240" w:lineRule="auto" w:before="8" w:after="0"/>
              <w:ind w:left="752" w:right="0" w:hanging="631"/>
              <w:jc w:val="left"/>
              <w:rPr>
                <w:sz w:val="21"/>
              </w:rPr>
            </w:pPr>
            <w:r>
              <w:rPr>
                <w:spacing w:val="-3"/>
                <w:sz w:val="21"/>
              </w:rPr>
              <w:t>保险合同；</w:t>
            </w:r>
          </w:p>
          <w:p>
            <w:pPr>
              <w:pStyle w:val="TableParagraph"/>
              <w:numPr>
                <w:ilvl w:val="0"/>
                <w:numId w:val="8"/>
              </w:numPr>
              <w:tabs>
                <w:tab w:pos="753" w:val="left" w:leader="none"/>
              </w:tabs>
              <w:spacing w:line="255" w:lineRule="exact" w:before="37" w:after="0"/>
              <w:ind w:left="752" w:right="0" w:hanging="631"/>
              <w:jc w:val="left"/>
              <w:rPr>
                <w:sz w:val="21"/>
              </w:rPr>
            </w:pPr>
            <w:r>
              <w:rPr>
                <w:spacing w:val="-3"/>
                <w:sz w:val="21"/>
              </w:rPr>
              <w:t>受益人的有效身份证件。</w:t>
            </w:r>
          </w:p>
        </w:tc>
      </w:tr>
    </w:tbl>
    <w:p>
      <w:pPr>
        <w:spacing w:after="0" w:line="255" w:lineRule="exact"/>
        <w:jc w:val="left"/>
        <w:rPr>
          <w:sz w:val="21"/>
        </w:rPr>
        <w:sectPr>
          <w:pgSz w:w="11910" w:h="16840"/>
          <w:pgMar w:header="900" w:footer="992" w:top="1220" w:bottom="1180" w:left="1080" w:right="146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15"/>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1838"/>
        <w:gridCol w:w="6845"/>
      </w:tblGrid>
      <w:tr>
        <w:trPr>
          <w:trHeight w:val="2601" w:hRule="atLeast"/>
        </w:trPr>
        <w:tc>
          <w:tcPr>
            <w:tcW w:w="784" w:type="dxa"/>
          </w:tcPr>
          <w:p>
            <w:pPr>
              <w:pStyle w:val="TableParagraph"/>
              <w:rPr>
                <w:rFonts w:ascii="Times New Roman"/>
                <w:sz w:val="20"/>
              </w:rPr>
            </w:pPr>
          </w:p>
        </w:tc>
        <w:tc>
          <w:tcPr>
            <w:tcW w:w="1838" w:type="dxa"/>
          </w:tcPr>
          <w:p>
            <w:pPr>
              <w:pStyle w:val="TableParagraph"/>
              <w:spacing w:before="32"/>
              <w:ind w:left="267"/>
              <w:rPr>
                <w:rFonts w:ascii="Microsoft JhengHei" w:eastAsia="Microsoft JhengHei" w:hint="eastAsia"/>
                <w:b/>
                <w:sz w:val="21"/>
              </w:rPr>
            </w:pPr>
            <w:r>
              <w:rPr>
                <w:rFonts w:ascii="Microsoft JhengHei" w:eastAsia="Microsoft JhengHei" w:hint="eastAsia"/>
                <w:b/>
                <w:sz w:val="21"/>
              </w:rPr>
              <w:t>身故保险金申请</w:t>
            </w:r>
          </w:p>
        </w:tc>
        <w:tc>
          <w:tcPr>
            <w:tcW w:w="6845" w:type="dxa"/>
          </w:tcPr>
          <w:p>
            <w:pPr>
              <w:pStyle w:val="TableParagraph"/>
              <w:spacing w:line="211" w:lineRule="exact"/>
              <w:ind w:left="132"/>
              <w:rPr>
                <w:sz w:val="21"/>
              </w:rPr>
            </w:pPr>
            <w:r>
              <w:rPr>
                <w:sz w:val="21"/>
              </w:rPr>
              <w:t>由身故保险金受益人填写理赔申请书，并须提供下列证明和资料：</w:t>
            </w:r>
          </w:p>
          <w:p>
            <w:pPr>
              <w:pStyle w:val="TableParagraph"/>
              <w:numPr>
                <w:ilvl w:val="0"/>
                <w:numId w:val="9"/>
              </w:numPr>
              <w:tabs>
                <w:tab w:pos="730" w:val="left" w:leader="none"/>
              </w:tabs>
              <w:spacing w:line="240" w:lineRule="auto" w:before="37" w:after="0"/>
              <w:ind w:left="727" w:right="0" w:hanging="629"/>
              <w:jc w:val="left"/>
              <w:rPr>
                <w:sz w:val="21"/>
              </w:rPr>
            </w:pPr>
            <w:r>
              <w:rPr>
                <w:spacing w:val="-3"/>
                <w:sz w:val="21"/>
              </w:rPr>
              <w:t>保险合同；</w:t>
            </w:r>
          </w:p>
          <w:p>
            <w:pPr>
              <w:pStyle w:val="TableParagraph"/>
              <w:numPr>
                <w:ilvl w:val="0"/>
                <w:numId w:val="9"/>
              </w:numPr>
              <w:tabs>
                <w:tab w:pos="730" w:val="left" w:leader="none"/>
              </w:tabs>
              <w:spacing w:line="240" w:lineRule="auto" w:before="37" w:after="0"/>
              <w:ind w:left="727" w:right="0" w:hanging="629"/>
              <w:jc w:val="left"/>
              <w:rPr>
                <w:sz w:val="21"/>
              </w:rPr>
            </w:pPr>
            <w:r>
              <w:rPr>
                <w:spacing w:val="-3"/>
                <w:sz w:val="21"/>
              </w:rPr>
              <w:t>受益人的有效身份证件；</w:t>
            </w:r>
          </w:p>
          <w:p>
            <w:pPr>
              <w:pStyle w:val="TableParagraph"/>
              <w:numPr>
                <w:ilvl w:val="0"/>
                <w:numId w:val="9"/>
              </w:numPr>
              <w:tabs>
                <w:tab w:pos="730" w:val="left" w:leader="none"/>
              </w:tabs>
              <w:spacing w:line="273" w:lineRule="auto" w:before="37" w:after="0"/>
              <w:ind w:left="727" w:right="438" w:hanging="629"/>
              <w:jc w:val="left"/>
              <w:rPr>
                <w:sz w:val="21"/>
              </w:rPr>
            </w:pPr>
            <w:r>
              <w:rPr>
                <w:spacing w:val="-3"/>
                <w:sz w:val="21"/>
              </w:rPr>
              <w:t>国家卫生行政部门认定的医疗机构、公安部门或其他相关机构出具的被保险人的死亡证明；</w:t>
            </w:r>
          </w:p>
          <w:p>
            <w:pPr>
              <w:pStyle w:val="TableParagraph"/>
              <w:numPr>
                <w:ilvl w:val="0"/>
                <w:numId w:val="9"/>
              </w:numPr>
              <w:tabs>
                <w:tab w:pos="730" w:val="left" w:leader="none"/>
              </w:tabs>
              <w:spacing w:line="273" w:lineRule="auto" w:before="7" w:after="0"/>
              <w:ind w:left="727" w:right="438" w:hanging="629"/>
              <w:jc w:val="left"/>
              <w:rPr>
                <w:sz w:val="21"/>
              </w:rPr>
            </w:pPr>
            <w:r>
              <w:rPr>
                <w:spacing w:val="-3"/>
                <w:sz w:val="21"/>
              </w:rPr>
              <w:t>所能提供的与确认保险事故性质、原因等有关的其他证明和资料。</w:t>
            </w:r>
          </w:p>
          <w:p>
            <w:pPr>
              <w:pStyle w:val="TableParagraph"/>
              <w:spacing w:before="7"/>
              <w:ind w:left="132"/>
              <w:rPr>
                <w:sz w:val="21"/>
              </w:rPr>
            </w:pPr>
            <w:r>
              <w:rPr>
                <w:sz w:val="21"/>
              </w:rPr>
              <w:t>保险金作为被保险人遗产时，必须提供可证明合法继承权的相关文件。</w:t>
            </w:r>
          </w:p>
        </w:tc>
      </w:tr>
      <w:tr>
        <w:trPr>
          <w:trHeight w:val="2496" w:hRule="atLeast"/>
        </w:trPr>
        <w:tc>
          <w:tcPr>
            <w:tcW w:w="784" w:type="dxa"/>
          </w:tcPr>
          <w:p>
            <w:pPr>
              <w:pStyle w:val="TableParagraph"/>
              <w:rPr>
                <w:rFonts w:ascii="Times New Roman"/>
                <w:sz w:val="20"/>
              </w:rPr>
            </w:pPr>
          </w:p>
        </w:tc>
        <w:tc>
          <w:tcPr>
            <w:tcW w:w="1838" w:type="dxa"/>
          </w:tcPr>
          <w:p>
            <w:pPr>
              <w:pStyle w:val="TableParagraph"/>
              <w:spacing w:line="410" w:lineRule="auto" w:before="239"/>
              <w:ind w:left="267" w:right="94"/>
              <w:rPr>
                <w:rFonts w:ascii="Microsoft JhengHei" w:eastAsia="Microsoft JhengHei" w:hint="eastAsia"/>
                <w:b/>
                <w:sz w:val="21"/>
              </w:rPr>
            </w:pPr>
            <w:r>
              <w:rPr>
                <w:rFonts w:ascii="Microsoft JhengHei" w:eastAsia="Microsoft JhengHei" w:hint="eastAsia"/>
                <w:b/>
                <w:sz w:val="21"/>
              </w:rPr>
              <w:t>高度残疾保险金申请</w:t>
            </w:r>
          </w:p>
        </w:tc>
        <w:tc>
          <w:tcPr>
            <w:tcW w:w="6845" w:type="dxa"/>
          </w:tcPr>
          <w:p>
            <w:pPr>
              <w:pStyle w:val="TableParagraph"/>
              <w:spacing w:before="142"/>
              <w:ind w:left="132"/>
              <w:rPr>
                <w:sz w:val="21"/>
              </w:rPr>
            </w:pPr>
            <w:r>
              <w:rPr>
                <w:sz w:val="21"/>
              </w:rPr>
              <w:t>由高度残疾保险金受益人填写理赔申请书，并须提供下列证明和资料：</w:t>
            </w:r>
          </w:p>
          <w:p>
            <w:pPr>
              <w:pStyle w:val="TableParagraph"/>
              <w:numPr>
                <w:ilvl w:val="0"/>
                <w:numId w:val="10"/>
              </w:numPr>
              <w:tabs>
                <w:tab w:pos="761" w:val="left" w:leader="none"/>
              </w:tabs>
              <w:spacing w:line="240" w:lineRule="auto" w:before="37" w:after="0"/>
              <w:ind w:left="727" w:right="0" w:hanging="598"/>
              <w:jc w:val="left"/>
              <w:rPr>
                <w:sz w:val="21"/>
              </w:rPr>
            </w:pPr>
            <w:r>
              <w:rPr>
                <w:spacing w:val="-3"/>
                <w:sz w:val="21"/>
              </w:rPr>
              <w:t>保险合同；</w:t>
            </w:r>
          </w:p>
          <w:p>
            <w:pPr>
              <w:pStyle w:val="TableParagraph"/>
              <w:numPr>
                <w:ilvl w:val="0"/>
                <w:numId w:val="10"/>
              </w:numPr>
              <w:tabs>
                <w:tab w:pos="761" w:val="left" w:leader="none"/>
              </w:tabs>
              <w:spacing w:line="240" w:lineRule="auto" w:before="37" w:after="0"/>
              <w:ind w:left="727" w:right="0" w:hanging="598"/>
              <w:jc w:val="left"/>
              <w:rPr>
                <w:sz w:val="21"/>
              </w:rPr>
            </w:pPr>
            <w:r>
              <w:rPr>
                <w:spacing w:val="-3"/>
                <w:sz w:val="21"/>
              </w:rPr>
              <w:t>受益人的有效身份证件；</w:t>
            </w:r>
          </w:p>
          <w:p>
            <w:pPr>
              <w:pStyle w:val="TableParagraph"/>
              <w:numPr>
                <w:ilvl w:val="0"/>
                <w:numId w:val="10"/>
              </w:numPr>
              <w:tabs>
                <w:tab w:pos="761" w:val="left" w:leader="none"/>
              </w:tabs>
              <w:spacing w:line="240" w:lineRule="auto" w:before="37" w:after="0"/>
              <w:ind w:left="727" w:right="0" w:hanging="598"/>
              <w:jc w:val="left"/>
              <w:rPr>
                <w:sz w:val="21"/>
              </w:rPr>
            </w:pPr>
            <w:r>
              <w:rPr>
                <w:spacing w:val="-3"/>
                <w:sz w:val="21"/>
              </w:rPr>
              <w:t>被保险人的有效身份证件；</w:t>
            </w:r>
          </w:p>
          <w:p>
            <w:pPr>
              <w:pStyle w:val="TableParagraph"/>
              <w:numPr>
                <w:ilvl w:val="0"/>
                <w:numId w:val="10"/>
              </w:numPr>
              <w:tabs>
                <w:tab w:pos="761" w:val="left" w:leader="none"/>
              </w:tabs>
              <w:spacing w:line="240" w:lineRule="auto" w:before="37" w:after="0"/>
              <w:ind w:left="727" w:right="0" w:hanging="598"/>
              <w:jc w:val="left"/>
              <w:rPr>
                <w:sz w:val="21"/>
              </w:rPr>
            </w:pPr>
            <w:r>
              <w:rPr>
                <w:spacing w:val="-3"/>
                <w:sz w:val="21"/>
              </w:rPr>
              <w:t>我们认可的伤残鉴定机构出具的被保险人残疾程度鉴定书；</w:t>
            </w:r>
          </w:p>
          <w:p>
            <w:pPr>
              <w:pStyle w:val="TableParagraph"/>
              <w:numPr>
                <w:ilvl w:val="0"/>
                <w:numId w:val="10"/>
              </w:numPr>
              <w:tabs>
                <w:tab w:pos="761" w:val="left" w:leader="none"/>
              </w:tabs>
              <w:spacing w:line="273" w:lineRule="auto" w:before="37" w:after="0"/>
              <w:ind w:left="727" w:right="407" w:hanging="598"/>
              <w:jc w:val="left"/>
              <w:rPr>
                <w:sz w:val="21"/>
              </w:rPr>
            </w:pPr>
            <w:r>
              <w:rPr>
                <w:spacing w:val="-3"/>
                <w:sz w:val="21"/>
              </w:rPr>
              <w:t>所能提供的与确认保险事故性质、原因等有关的其他证明和资料。</w:t>
            </w:r>
          </w:p>
        </w:tc>
      </w:tr>
      <w:tr>
        <w:trPr>
          <w:trHeight w:val="936" w:hRule="atLeast"/>
        </w:trPr>
        <w:tc>
          <w:tcPr>
            <w:tcW w:w="784" w:type="dxa"/>
          </w:tcPr>
          <w:p>
            <w:pPr>
              <w:pStyle w:val="TableParagraph"/>
              <w:rPr>
                <w:rFonts w:ascii="Times New Roman"/>
                <w:sz w:val="20"/>
              </w:rPr>
            </w:pPr>
          </w:p>
        </w:tc>
        <w:tc>
          <w:tcPr>
            <w:tcW w:w="1838" w:type="dxa"/>
          </w:tcPr>
          <w:p>
            <w:pPr>
              <w:pStyle w:val="TableParagraph"/>
              <w:rPr>
                <w:rFonts w:ascii="Times New Roman"/>
                <w:sz w:val="20"/>
              </w:rPr>
            </w:pPr>
          </w:p>
        </w:tc>
        <w:tc>
          <w:tcPr>
            <w:tcW w:w="6845" w:type="dxa"/>
          </w:tcPr>
          <w:p>
            <w:pPr>
              <w:pStyle w:val="TableParagraph"/>
              <w:spacing w:line="273" w:lineRule="auto" w:before="142"/>
              <w:ind w:left="132" w:right="404"/>
              <w:rPr>
                <w:sz w:val="21"/>
              </w:rPr>
            </w:pPr>
            <w:r>
              <w:rPr>
                <w:sz w:val="21"/>
              </w:rPr>
              <w:t>以上各项保险金申请所需证明和资料不完整的，我们将及时一次性书面通知受益人补充提供有关的证明和资料。</w:t>
            </w:r>
          </w:p>
        </w:tc>
      </w:tr>
      <w:tr>
        <w:trPr>
          <w:trHeight w:val="2184" w:hRule="atLeast"/>
        </w:trPr>
        <w:tc>
          <w:tcPr>
            <w:tcW w:w="784" w:type="dxa"/>
          </w:tcPr>
          <w:p>
            <w:pPr>
              <w:pStyle w:val="TableParagraph"/>
              <w:spacing w:before="143"/>
              <w:ind w:left="200"/>
              <w:rPr>
                <w:b/>
                <w:sz w:val="21"/>
              </w:rPr>
            </w:pPr>
            <w:r>
              <w:rPr>
                <w:b/>
                <w:sz w:val="21"/>
              </w:rPr>
              <w:t>3.4</w:t>
            </w:r>
          </w:p>
        </w:tc>
        <w:tc>
          <w:tcPr>
            <w:tcW w:w="1838" w:type="dxa"/>
          </w:tcPr>
          <w:p>
            <w:pPr>
              <w:pStyle w:val="TableParagraph"/>
              <w:spacing w:before="143"/>
              <w:ind w:left="267"/>
              <w:rPr>
                <w:b/>
                <w:sz w:val="21"/>
              </w:rPr>
            </w:pPr>
            <w:r>
              <w:rPr>
                <w:b/>
                <w:sz w:val="21"/>
              </w:rPr>
              <w:t>失踪处理</w:t>
            </w:r>
          </w:p>
        </w:tc>
        <w:tc>
          <w:tcPr>
            <w:tcW w:w="6845" w:type="dxa"/>
          </w:tcPr>
          <w:p>
            <w:pPr>
              <w:pStyle w:val="TableParagraph"/>
              <w:spacing w:line="273" w:lineRule="auto" w:before="143"/>
              <w:ind w:left="132" w:right="405"/>
              <w:jc w:val="both"/>
              <w:rPr>
                <w:sz w:val="21"/>
              </w:rPr>
            </w:pPr>
            <w:r>
              <w:rPr>
                <w:sz w:val="21"/>
              </w:rPr>
              <w:t>如果被保险人在本主险合同有效期内失踪且被法院宣告死亡，我们以法院判决宣告死亡之日作为被保险人的死亡时间，按本主险合同的约定给付身故保险金，本主险合同终止。</w:t>
            </w:r>
          </w:p>
          <w:p>
            <w:pPr>
              <w:pStyle w:val="TableParagraph"/>
              <w:spacing w:line="273" w:lineRule="auto" w:before="8"/>
              <w:ind w:left="132" w:right="337"/>
              <w:jc w:val="both"/>
              <w:rPr>
                <w:sz w:val="21"/>
              </w:rPr>
            </w:pPr>
            <w:r>
              <w:rPr>
                <w:spacing w:val="-3"/>
                <w:sz w:val="21"/>
              </w:rPr>
              <w:t>如果被保险人在宣告死亡后重新出现或者受益人确知其没有死亡的， </w:t>
            </w:r>
            <w:r>
              <w:rPr>
                <w:spacing w:val="-6"/>
                <w:sz w:val="21"/>
              </w:rPr>
              <w:t>受益人应于知道或应当知道后 </w:t>
            </w:r>
            <w:r>
              <w:rPr>
                <w:sz w:val="21"/>
              </w:rPr>
              <w:t>30</w:t>
            </w:r>
            <w:r>
              <w:rPr>
                <w:spacing w:val="-10"/>
                <w:sz w:val="21"/>
              </w:rPr>
              <w:t> 日内向我们退还已给付的保险金，本</w:t>
            </w:r>
            <w:r>
              <w:rPr>
                <w:spacing w:val="-5"/>
                <w:sz w:val="21"/>
              </w:rPr>
              <w:t>主险合同的效力依法确定。</w:t>
            </w:r>
          </w:p>
        </w:tc>
      </w:tr>
      <w:tr>
        <w:trPr>
          <w:trHeight w:val="4056" w:hRule="atLeast"/>
        </w:trPr>
        <w:tc>
          <w:tcPr>
            <w:tcW w:w="784" w:type="dxa"/>
          </w:tcPr>
          <w:p>
            <w:pPr>
              <w:pStyle w:val="TableParagraph"/>
              <w:spacing w:before="142"/>
              <w:ind w:left="200"/>
              <w:rPr>
                <w:b/>
                <w:sz w:val="21"/>
              </w:rPr>
            </w:pPr>
            <w:r>
              <w:rPr>
                <w:b/>
                <w:sz w:val="21"/>
              </w:rPr>
              <w:t>3.5</w:t>
            </w:r>
          </w:p>
        </w:tc>
        <w:tc>
          <w:tcPr>
            <w:tcW w:w="1838" w:type="dxa"/>
          </w:tcPr>
          <w:p>
            <w:pPr>
              <w:pStyle w:val="TableParagraph"/>
              <w:spacing w:before="142"/>
              <w:ind w:left="267"/>
              <w:rPr>
                <w:b/>
                <w:sz w:val="21"/>
              </w:rPr>
            </w:pPr>
            <w:r>
              <w:rPr>
                <w:b/>
                <w:sz w:val="21"/>
              </w:rPr>
              <w:t>保险金的给付</w:t>
            </w:r>
          </w:p>
        </w:tc>
        <w:tc>
          <w:tcPr>
            <w:tcW w:w="6845" w:type="dxa"/>
          </w:tcPr>
          <w:p>
            <w:pPr>
              <w:pStyle w:val="TableParagraph"/>
              <w:spacing w:line="273" w:lineRule="auto" w:before="142"/>
              <w:ind w:left="132" w:right="404"/>
              <w:jc w:val="both"/>
              <w:rPr>
                <w:sz w:val="21"/>
              </w:rPr>
            </w:pPr>
            <w:r>
              <w:rPr>
                <w:sz w:val="21"/>
              </w:rPr>
              <w:t>我们在收到受益人的理赔申请书或重大疾病提前给付申请以及有关证明和资料后，将及时作出核定；情形复杂的，在 30 日内作出核定。</w:t>
            </w:r>
          </w:p>
          <w:p>
            <w:pPr>
              <w:pStyle w:val="TableParagraph"/>
              <w:spacing w:line="273" w:lineRule="auto" w:before="7"/>
              <w:ind w:left="132" w:right="232"/>
              <w:rPr>
                <w:sz w:val="21"/>
              </w:rPr>
            </w:pPr>
            <w:r>
              <w:rPr>
                <w:spacing w:val="-11"/>
                <w:sz w:val="21"/>
              </w:rPr>
              <w:t>对属于保险责任的，我们在与受益人达成给付保险金的协议后</w:t>
            </w:r>
            <w:r>
              <w:rPr>
                <w:sz w:val="21"/>
              </w:rPr>
              <w:t>10</w:t>
            </w:r>
            <w:r>
              <w:rPr>
                <w:spacing w:val="-12"/>
                <w:sz w:val="21"/>
              </w:rPr>
              <w:t> 日内， </w:t>
            </w:r>
            <w:r>
              <w:rPr>
                <w:spacing w:val="-6"/>
                <w:sz w:val="21"/>
              </w:rPr>
              <w:t>履行给付保险金义务。</w:t>
            </w:r>
          </w:p>
          <w:p>
            <w:pPr>
              <w:pStyle w:val="TableParagraph"/>
              <w:spacing w:line="273" w:lineRule="auto" w:before="8"/>
              <w:ind w:left="132" w:right="405"/>
              <w:jc w:val="both"/>
              <w:rPr>
                <w:sz w:val="21"/>
              </w:rPr>
            </w:pPr>
            <w:r>
              <w:rPr>
                <w:sz w:val="21"/>
              </w:rPr>
              <w:t>我们未及时履行前款规定义务的，除支付保险金外，应当赔偿受益人因此受到的损失。</w:t>
            </w:r>
          </w:p>
          <w:p>
            <w:pPr>
              <w:pStyle w:val="TableParagraph"/>
              <w:spacing w:line="273" w:lineRule="auto" w:before="7"/>
              <w:ind w:left="132" w:right="405"/>
              <w:jc w:val="both"/>
              <w:rPr>
                <w:sz w:val="21"/>
              </w:rPr>
            </w:pPr>
            <w:r>
              <w:rPr>
                <w:spacing w:val="-5"/>
                <w:sz w:val="21"/>
              </w:rPr>
              <w:t>对不属于保险责任的，我们自作出核定之日起 </w:t>
            </w:r>
            <w:r>
              <w:rPr>
                <w:sz w:val="21"/>
              </w:rPr>
              <w:t>3</w:t>
            </w:r>
            <w:r>
              <w:rPr>
                <w:spacing w:val="-8"/>
                <w:sz w:val="21"/>
              </w:rPr>
              <w:t> 日内向受益人发出拒</w:t>
            </w:r>
            <w:r>
              <w:rPr>
                <w:spacing w:val="-5"/>
                <w:sz w:val="21"/>
              </w:rPr>
              <w:t>绝给付保险金通知书并说明理由。</w:t>
            </w:r>
          </w:p>
          <w:p>
            <w:pPr>
              <w:pStyle w:val="TableParagraph"/>
              <w:spacing w:line="273" w:lineRule="auto" w:before="7"/>
              <w:ind w:left="132" w:right="337"/>
              <w:jc w:val="both"/>
              <w:rPr>
                <w:sz w:val="21"/>
              </w:rPr>
            </w:pPr>
            <w:r>
              <w:rPr>
                <w:spacing w:val="-3"/>
                <w:sz w:val="21"/>
              </w:rPr>
              <w:t>我们在收到理赔申请书或重大疾病提前给付申请及有关证明和资料之</w:t>
            </w:r>
            <w:r>
              <w:rPr>
                <w:spacing w:val="-15"/>
                <w:sz w:val="21"/>
              </w:rPr>
              <w:t>日起 </w:t>
            </w:r>
            <w:r>
              <w:rPr>
                <w:sz w:val="21"/>
              </w:rPr>
              <w:t>60</w:t>
            </w:r>
            <w:r>
              <w:rPr>
                <w:spacing w:val="-10"/>
                <w:sz w:val="21"/>
              </w:rPr>
              <w:t> 日内，对给付保险金的数额不能确定的，根据已有证明和资料</w:t>
            </w:r>
            <w:r>
              <w:rPr>
                <w:spacing w:val="-5"/>
                <w:sz w:val="21"/>
              </w:rPr>
              <w:t>可以确定的数额先予支付；我们最终确定给付保险金的数额后，将支</w:t>
            </w:r>
            <w:r>
              <w:rPr>
                <w:spacing w:val="-4"/>
                <w:sz w:val="21"/>
              </w:rPr>
              <w:t>付相应的差额。</w:t>
            </w:r>
          </w:p>
        </w:tc>
      </w:tr>
      <w:tr>
        <w:trPr>
          <w:trHeight w:val="730" w:hRule="atLeast"/>
        </w:trPr>
        <w:tc>
          <w:tcPr>
            <w:tcW w:w="784" w:type="dxa"/>
          </w:tcPr>
          <w:p>
            <w:pPr>
              <w:pStyle w:val="TableParagraph"/>
              <w:spacing w:before="142"/>
              <w:ind w:left="200"/>
              <w:rPr>
                <w:b/>
                <w:sz w:val="21"/>
              </w:rPr>
            </w:pPr>
            <w:r>
              <w:rPr>
                <w:b/>
                <w:sz w:val="21"/>
              </w:rPr>
              <w:t>3.6</w:t>
            </w:r>
          </w:p>
        </w:tc>
        <w:tc>
          <w:tcPr>
            <w:tcW w:w="1838" w:type="dxa"/>
          </w:tcPr>
          <w:p>
            <w:pPr>
              <w:pStyle w:val="TableParagraph"/>
              <w:spacing w:before="142"/>
              <w:ind w:left="267"/>
              <w:rPr>
                <w:b/>
                <w:sz w:val="21"/>
              </w:rPr>
            </w:pPr>
            <w:r>
              <w:rPr>
                <w:b/>
                <w:sz w:val="21"/>
              </w:rPr>
              <w:t>诉讼时效</w:t>
            </w:r>
          </w:p>
        </w:tc>
        <w:tc>
          <w:tcPr>
            <w:tcW w:w="6845" w:type="dxa"/>
          </w:tcPr>
          <w:p>
            <w:pPr>
              <w:pStyle w:val="TableParagraph"/>
              <w:spacing w:line="310" w:lineRule="atLeast" w:before="107"/>
              <w:ind w:left="132" w:right="405"/>
              <w:rPr>
                <w:sz w:val="21"/>
              </w:rPr>
            </w:pPr>
            <w:r>
              <w:rPr>
                <w:spacing w:val="-5"/>
                <w:sz w:val="21"/>
              </w:rPr>
              <w:t>受益人对我们请求给付保险金的诉讼时效期间为 </w:t>
            </w:r>
            <w:r>
              <w:rPr>
                <w:sz w:val="21"/>
              </w:rPr>
              <w:t>5</w:t>
            </w:r>
            <w:r>
              <w:rPr>
                <w:spacing w:val="-8"/>
                <w:sz w:val="21"/>
              </w:rPr>
              <w:t> 年，自其知道或者</w:t>
            </w:r>
            <w:r>
              <w:rPr>
                <w:spacing w:val="-3"/>
                <w:sz w:val="21"/>
              </w:rPr>
              <w:t>应当知道保险事故发生之日起计算。</w:t>
            </w:r>
          </w:p>
        </w:tc>
      </w:tr>
    </w:tbl>
    <w:p>
      <w:pPr>
        <w:spacing w:after="0" w:line="310" w:lineRule="atLeast"/>
        <w:rPr>
          <w:sz w:val="21"/>
        </w:rPr>
        <w:sectPr>
          <w:pgSz w:w="11910" w:h="16840"/>
          <w:pgMar w:header="900" w:footer="992" w:top="1220" w:bottom="1180" w:left="1000" w:right="1220"/>
        </w:sectPr>
      </w:pPr>
    </w:p>
    <w:p>
      <w:pPr>
        <w:pStyle w:val="BodyText"/>
        <w:spacing w:before="1"/>
        <w:rPr>
          <w:rFonts w:ascii="Times New Roman"/>
          <w:sz w:val="2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679"/>
        <w:gridCol w:w="6697"/>
      </w:tblGrid>
      <w:tr>
        <w:trPr>
          <w:trHeight w:val="587" w:hRule="atLeast"/>
        </w:trPr>
        <w:tc>
          <w:tcPr>
            <w:tcW w:w="767" w:type="dxa"/>
            <w:tcBorders>
              <w:bottom w:val="single" w:sz="4" w:space="0" w:color="000000"/>
            </w:tcBorders>
          </w:tcPr>
          <w:p>
            <w:pPr>
              <w:pStyle w:val="TableParagraph"/>
              <w:spacing w:line="549" w:lineRule="exact"/>
              <w:ind w:left="108"/>
              <w:rPr>
                <w:rFonts w:ascii="Wingdings" w:hAnsi="Wingdings"/>
                <w:sz w:val="52"/>
              </w:rPr>
            </w:pPr>
            <w:r>
              <w:rPr>
                <w:rFonts w:ascii="Wingdings" w:hAnsi="Wingdings"/>
                <w:w w:val="84"/>
                <w:sz w:val="52"/>
              </w:rPr>
              <w:t></w:t>
            </w:r>
          </w:p>
        </w:tc>
        <w:tc>
          <w:tcPr>
            <w:tcW w:w="8376" w:type="dxa"/>
            <w:gridSpan w:val="2"/>
            <w:tcBorders>
              <w:bottom w:val="single" w:sz="4" w:space="0" w:color="000000"/>
            </w:tcBorders>
          </w:tcPr>
          <w:p>
            <w:pPr>
              <w:pStyle w:val="TableParagraph"/>
              <w:spacing w:before="49"/>
              <w:ind w:left="193"/>
              <w:rPr>
                <w:b/>
                <w:sz w:val="28"/>
              </w:rPr>
            </w:pPr>
            <w:r>
              <w:rPr>
                <w:b/>
                <w:w w:val="95"/>
                <w:sz w:val="28"/>
              </w:rPr>
              <w:t>如何交纳保险费</w:t>
            </w:r>
          </w:p>
        </w:tc>
      </w:tr>
      <w:tr>
        <w:trPr>
          <w:trHeight w:val="1716" w:hRule="atLeast"/>
        </w:trPr>
        <w:tc>
          <w:tcPr>
            <w:tcW w:w="767" w:type="dxa"/>
            <w:tcBorders>
              <w:top w:val="single" w:sz="4" w:space="0" w:color="000000"/>
            </w:tcBorders>
          </w:tcPr>
          <w:p>
            <w:pPr>
              <w:pStyle w:val="TableParagraph"/>
              <w:rPr>
                <w:rFonts w:ascii="Times New Roman"/>
                <w:sz w:val="26"/>
              </w:rPr>
            </w:pPr>
          </w:p>
          <w:p>
            <w:pPr>
              <w:pStyle w:val="TableParagraph"/>
              <w:ind w:left="108"/>
              <w:rPr>
                <w:b/>
                <w:sz w:val="21"/>
              </w:rPr>
            </w:pPr>
            <w:r>
              <w:rPr>
                <w:b/>
                <w:sz w:val="21"/>
              </w:rPr>
              <w:t>4.1</w:t>
            </w:r>
          </w:p>
        </w:tc>
        <w:tc>
          <w:tcPr>
            <w:tcW w:w="1679" w:type="dxa"/>
            <w:tcBorders>
              <w:top w:val="single" w:sz="4" w:space="0" w:color="000000"/>
            </w:tcBorders>
          </w:tcPr>
          <w:p>
            <w:pPr>
              <w:pStyle w:val="TableParagraph"/>
              <w:rPr>
                <w:rFonts w:ascii="Times New Roman"/>
                <w:sz w:val="26"/>
              </w:rPr>
            </w:pPr>
          </w:p>
          <w:p>
            <w:pPr>
              <w:pStyle w:val="TableParagraph"/>
              <w:ind w:left="193"/>
              <w:rPr>
                <w:b/>
                <w:sz w:val="21"/>
              </w:rPr>
            </w:pPr>
            <w:r>
              <w:rPr>
                <w:b/>
                <w:sz w:val="21"/>
              </w:rPr>
              <w:t>保险费的交纳</w:t>
            </w:r>
          </w:p>
        </w:tc>
        <w:tc>
          <w:tcPr>
            <w:tcW w:w="6697" w:type="dxa"/>
            <w:tcBorders>
              <w:top w:val="single" w:sz="4" w:space="0" w:color="000000"/>
            </w:tcBorders>
          </w:tcPr>
          <w:p>
            <w:pPr>
              <w:pStyle w:val="TableParagraph"/>
              <w:rPr>
                <w:rFonts w:ascii="Times New Roman"/>
                <w:sz w:val="26"/>
              </w:rPr>
            </w:pPr>
          </w:p>
          <w:p>
            <w:pPr>
              <w:pStyle w:val="TableParagraph"/>
              <w:spacing w:line="273" w:lineRule="auto"/>
              <w:ind w:left="216" w:right="381"/>
              <w:rPr>
                <w:sz w:val="21"/>
              </w:rPr>
            </w:pPr>
            <w:r>
              <w:rPr>
                <w:sz w:val="21"/>
              </w:rPr>
              <w:t>本主险合同的交费方式和交费期间由您和我们约定并在保险单上载明。</w:t>
            </w:r>
          </w:p>
          <w:p>
            <w:pPr>
              <w:pStyle w:val="TableParagraph"/>
              <w:spacing w:line="273" w:lineRule="auto" w:before="7"/>
              <w:ind w:left="216" w:right="172"/>
              <w:rPr>
                <w:sz w:val="21"/>
              </w:rPr>
            </w:pPr>
            <w:r>
              <w:rPr>
                <w:sz w:val="21"/>
              </w:rPr>
              <w:t>分期交纳保险费的，在交纳首期保险费后，您应当按约定的交费日期交纳其余各期的保险费。</w:t>
            </w:r>
          </w:p>
        </w:tc>
      </w:tr>
      <w:tr>
        <w:trPr>
          <w:trHeight w:val="1864" w:hRule="atLeast"/>
        </w:trPr>
        <w:tc>
          <w:tcPr>
            <w:tcW w:w="767" w:type="dxa"/>
          </w:tcPr>
          <w:p>
            <w:pPr>
              <w:pStyle w:val="TableParagraph"/>
              <w:spacing w:before="142"/>
              <w:ind w:left="108"/>
              <w:rPr>
                <w:b/>
                <w:sz w:val="21"/>
              </w:rPr>
            </w:pPr>
            <w:r>
              <w:rPr>
                <w:b/>
                <w:sz w:val="21"/>
              </w:rPr>
              <w:t>4.2</w:t>
            </w:r>
          </w:p>
        </w:tc>
        <w:tc>
          <w:tcPr>
            <w:tcW w:w="1679" w:type="dxa"/>
          </w:tcPr>
          <w:p>
            <w:pPr>
              <w:pStyle w:val="TableParagraph"/>
              <w:spacing w:before="142"/>
              <w:ind w:left="193"/>
              <w:rPr>
                <w:b/>
                <w:sz w:val="21"/>
              </w:rPr>
            </w:pPr>
            <w:r>
              <w:rPr>
                <w:b/>
                <w:sz w:val="21"/>
              </w:rPr>
              <w:t>宽限期</w:t>
            </w:r>
          </w:p>
        </w:tc>
        <w:tc>
          <w:tcPr>
            <w:tcW w:w="6697" w:type="dxa"/>
          </w:tcPr>
          <w:p>
            <w:pPr>
              <w:pStyle w:val="TableParagraph"/>
              <w:spacing w:line="273" w:lineRule="auto" w:before="142"/>
              <w:ind w:left="216" w:right="119"/>
              <w:jc w:val="both"/>
              <w:rPr>
                <w:sz w:val="21"/>
              </w:rPr>
            </w:pPr>
            <w:r>
              <w:rPr>
                <w:spacing w:val="-4"/>
                <w:sz w:val="21"/>
              </w:rPr>
              <w:t>如果您到期未交纳保险费，自保险单所约定的交费日的次日零时起 </w:t>
            </w:r>
            <w:r>
              <w:rPr>
                <w:sz w:val="21"/>
              </w:rPr>
              <w:t>60 </w:t>
            </w:r>
            <w:r>
              <w:rPr>
                <w:spacing w:val="-3"/>
                <w:sz w:val="21"/>
              </w:rPr>
              <w:t>天为宽限期。宽限期内发生的保险事故，我们仍会承担保险责任，但在给付保险金时会扣除您欠交的保险费。</w:t>
            </w:r>
          </w:p>
          <w:p>
            <w:pPr>
              <w:pStyle w:val="TableParagraph"/>
              <w:spacing w:line="273" w:lineRule="auto" w:before="7"/>
              <w:ind w:left="216" w:right="-15"/>
              <w:rPr>
                <w:sz w:val="21"/>
              </w:rPr>
            </w:pPr>
            <w:r>
              <w:rPr>
                <w:spacing w:val="-5"/>
                <w:sz w:val="21"/>
              </w:rPr>
              <w:t>如果您在宽限期结束之后仍未交纳保险费，除非本主险合同另有约定， </w:t>
            </w:r>
            <w:r>
              <w:rPr>
                <w:spacing w:val="-4"/>
                <w:sz w:val="21"/>
              </w:rPr>
              <w:t>否则本主险合同自宽限期满的次日零时起效力中止。</w:t>
            </w:r>
          </w:p>
        </w:tc>
      </w:tr>
      <w:tr>
        <w:trPr>
          <w:trHeight w:val="786" w:hRule="atLeast"/>
        </w:trPr>
        <w:tc>
          <w:tcPr>
            <w:tcW w:w="767" w:type="dxa"/>
            <w:tcBorders>
              <w:bottom w:val="single" w:sz="4" w:space="0" w:color="000000"/>
            </w:tcBorders>
          </w:tcPr>
          <w:p>
            <w:pPr>
              <w:pStyle w:val="TableParagraph"/>
              <w:spacing w:before="170"/>
              <w:ind w:left="108"/>
              <w:rPr>
                <w:rFonts w:ascii="Wingdings" w:hAnsi="Wingdings"/>
                <w:sz w:val="52"/>
              </w:rPr>
            </w:pPr>
            <w:r>
              <w:rPr>
                <w:rFonts w:ascii="Wingdings" w:hAnsi="Wingdings"/>
                <w:w w:val="84"/>
                <w:sz w:val="52"/>
              </w:rPr>
              <w:t></w:t>
            </w:r>
          </w:p>
        </w:tc>
        <w:tc>
          <w:tcPr>
            <w:tcW w:w="8376" w:type="dxa"/>
            <w:gridSpan w:val="2"/>
            <w:tcBorders>
              <w:bottom w:val="single" w:sz="4" w:space="0" w:color="000000"/>
            </w:tcBorders>
          </w:tcPr>
          <w:p>
            <w:pPr>
              <w:pStyle w:val="TableParagraph"/>
              <w:spacing w:before="248"/>
              <w:ind w:left="193"/>
              <w:rPr>
                <w:b/>
                <w:sz w:val="28"/>
              </w:rPr>
            </w:pPr>
            <w:r>
              <w:rPr>
                <w:b/>
                <w:sz w:val="28"/>
              </w:rPr>
              <w:t>现金价值权益</w:t>
            </w:r>
          </w:p>
        </w:tc>
      </w:tr>
      <w:tr>
        <w:trPr>
          <w:trHeight w:val="1092" w:hRule="atLeast"/>
        </w:trPr>
        <w:tc>
          <w:tcPr>
            <w:tcW w:w="767" w:type="dxa"/>
            <w:tcBorders>
              <w:top w:val="single" w:sz="4" w:space="0" w:color="000000"/>
            </w:tcBorders>
          </w:tcPr>
          <w:p>
            <w:pPr>
              <w:pStyle w:val="TableParagraph"/>
              <w:rPr>
                <w:rFonts w:ascii="Times New Roman"/>
                <w:sz w:val="26"/>
              </w:rPr>
            </w:pPr>
          </w:p>
          <w:p>
            <w:pPr>
              <w:pStyle w:val="TableParagraph"/>
              <w:ind w:left="108"/>
              <w:rPr>
                <w:b/>
                <w:sz w:val="21"/>
              </w:rPr>
            </w:pPr>
            <w:r>
              <w:rPr>
                <w:b/>
                <w:sz w:val="21"/>
              </w:rPr>
              <w:t>5.1</w:t>
            </w:r>
          </w:p>
        </w:tc>
        <w:tc>
          <w:tcPr>
            <w:tcW w:w="1679" w:type="dxa"/>
            <w:tcBorders>
              <w:top w:val="single" w:sz="4" w:space="0" w:color="000000"/>
            </w:tcBorders>
          </w:tcPr>
          <w:p>
            <w:pPr>
              <w:pStyle w:val="TableParagraph"/>
              <w:rPr>
                <w:rFonts w:ascii="Times New Roman"/>
                <w:sz w:val="26"/>
              </w:rPr>
            </w:pPr>
          </w:p>
          <w:p>
            <w:pPr>
              <w:pStyle w:val="TableParagraph"/>
              <w:ind w:left="193"/>
              <w:rPr>
                <w:b/>
                <w:sz w:val="21"/>
              </w:rPr>
            </w:pPr>
            <w:r>
              <w:rPr>
                <w:b/>
                <w:sz w:val="21"/>
              </w:rPr>
              <w:t>现金价值</w:t>
            </w:r>
          </w:p>
        </w:tc>
        <w:tc>
          <w:tcPr>
            <w:tcW w:w="6697" w:type="dxa"/>
            <w:tcBorders>
              <w:top w:val="single" w:sz="4" w:space="0" w:color="000000"/>
            </w:tcBorders>
          </w:tcPr>
          <w:p>
            <w:pPr>
              <w:pStyle w:val="TableParagraph"/>
              <w:rPr>
                <w:rFonts w:ascii="Times New Roman"/>
                <w:sz w:val="26"/>
              </w:rPr>
            </w:pPr>
          </w:p>
          <w:p>
            <w:pPr>
              <w:pStyle w:val="TableParagraph"/>
              <w:spacing w:line="273" w:lineRule="auto"/>
              <w:ind w:left="216" w:right="108"/>
              <w:rPr>
                <w:sz w:val="21"/>
              </w:rPr>
            </w:pPr>
            <w:r>
              <w:rPr>
                <w:sz w:val="21"/>
              </w:rPr>
              <w:t>本主险合同保险单年度末的现金价值会在保险单上载明。保险单年度内的现金价值，您可以向我们咨询。</w:t>
            </w:r>
          </w:p>
        </w:tc>
      </w:tr>
      <w:tr>
        <w:trPr>
          <w:trHeight w:val="2808" w:hRule="atLeast"/>
        </w:trPr>
        <w:tc>
          <w:tcPr>
            <w:tcW w:w="767" w:type="dxa"/>
          </w:tcPr>
          <w:p>
            <w:pPr>
              <w:pStyle w:val="TableParagraph"/>
              <w:spacing w:before="142"/>
              <w:ind w:left="108"/>
              <w:rPr>
                <w:b/>
                <w:sz w:val="21"/>
              </w:rPr>
            </w:pPr>
            <w:r>
              <w:rPr>
                <w:b/>
                <w:sz w:val="21"/>
              </w:rPr>
              <w:t>5.2</w:t>
            </w:r>
          </w:p>
        </w:tc>
        <w:tc>
          <w:tcPr>
            <w:tcW w:w="1679" w:type="dxa"/>
          </w:tcPr>
          <w:p>
            <w:pPr>
              <w:pStyle w:val="TableParagraph"/>
              <w:spacing w:before="142"/>
              <w:ind w:left="193"/>
              <w:rPr>
                <w:b/>
                <w:sz w:val="21"/>
              </w:rPr>
            </w:pPr>
            <w:r>
              <w:rPr>
                <w:b/>
                <w:sz w:val="21"/>
              </w:rPr>
              <w:t>自动垫交</w:t>
            </w:r>
          </w:p>
        </w:tc>
        <w:tc>
          <w:tcPr>
            <w:tcW w:w="6697" w:type="dxa"/>
          </w:tcPr>
          <w:p>
            <w:pPr>
              <w:pStyle w:val="TableParagraph"/>
              <w:spacing w:line="273" w:lineRule="auto" w:before="142"/>
              <w:ind w:left="216" w:right="-15"/>
              <w:rPr>
                <w:sz w:val="21"/>
              </w:rPr>
            </w:pPr>
            <w:r>
              <w:rPr>
                <w:spacing w:val="-6"/>
                <w:sz w:val="21"/>
              </w:rPr>
              <w:t>如果您选择了保险费自动垫交，在宽限期结束时若您仍未交纳保险费， 我们将以保险合同的现金价值扣除您尚未偿还的各项欠款之后的余额自动垫交保险合同到期应交的保险费，保险合同继续有效。所垫交的</w:t>
            </w:r>
            <w:r>
              <w:rPr>
                <w:spacing w:val="-4"/>
                <w:sz w:val="21"/>
              </w:rPr>
              <w:t>保险费视同借款，按照保险单借款利率计算利息。</w:t>
            </w:r>
          </w:p>
          <w:p>
            <w:pPr>
              <w:pStyle w:val="TableParagraph"/>
              <w:spacing w:line="273" w:lineRule="auto" w:before="7"/>
              <w:ind w:left="216" w:right="108"/>
              <w:jc w:val="both"/>
              <w:rPr>
                <w:sz w:val="21"/>
              </w:rPr>
            </w:pPr>
            <w:r>
              <w:rPr>
                <w:sz w:val="21"/>
              </w:rPr>
              <w:t>当现金价值扣除各项欠款后的余额不足以垫交一期保险费的，我们将根据现金价值余额计算保险合同可以继续有效的天数。当现金价值余额为零时，保险合同效力即行中止。</w:t>
            </w:r>
          </w:p>
          <w:p>
            <w:pPr>
              <w:pStyle w:val="TableParagraph"/>
              <w:spacing w:before="7"/>
              <w:ind w:left="216"/>
              <w:rPr>
                <w:sz w:val="21"/>
              </w:rPr>
            </w:pPr>
            <w:r>
              <w:rPr>
                <w:sz w:val="21"/>
              </w:rPr>
              <w:t>本条中所称的“保险合同”包括本主险合同及其附加险合同。</w:t>
            </w:r>
          </w:p>
        </w:tc>
      </w:tr>
      <w:tr>
        <w:trPr>
          <w:trHeight w:val="3112" w:hRule="atLeast"/>
        </w:trPr>
        <w:tc>
          <w:tcPr>
            <w:tcW w:w="767" w:type="dxa"/>
          </w:tcPr>
          <w:p>
            <w:pPr>
              <w:pStyle w:val="TableParagraph"/>
              <w:spacing w:before="142"/>
              <w:ind w:left="108"/>
              <w:rPr>
                <w:b/>
                <w:sz w:val="21"/>
              </w:rPr>
            </w:pPr>
            <w:r>
              <w:rPr>
                <w:b/>
                <w:sz w:val="21"/>
              </w:rPr>
              <w:t>5.3</w:t>
            </w:r>
          </w:p>
        </w:tc>
        <w:tc>
          <w:tcPr>
            <w:tcW w:w="1679" w:type="dxa"/>
          </w:tcPr>
          <w:p>
            <w:pPr>
              <w:pStyle w:val="TableParagraph"/>
              <w:spacing w:before="142"/>
              <w:ind w:left="193"/>
              <w:rPr>
                <w:b/>
                <w:sz w:val="21"/>
              </w:rPr>
            </w:pPr>
            <w:r>
              <w:rPr>
                <w:b/>
                <w:sz w:val="21"/>
              </w:rPr>
              <w:t>保险单借款</w:t>
            </w:r>
          </w:p>
        </w:tc>
        <w:tc>
          <w:tcPr>
            <w:tcW w:w="6697" w:type="dxa"/>
          </w:tcPr>
          <w:p>
            <w:pPr>
              <w:pStyle w:val="TableParagraph"/>
              <w:spacing w:line="273" w:lineRule="auto" w:before="142"/>
              <w:ind w:left="216" w:right="-15"/>
              <w:rPr>
                <w:sz w:val="21"/>
              </w:rPr>
            </w:pPr>
            <w:r>
              <w:rPr>
                <w:sz w:val="21"/>
              </w:rPr>
              <w:t>在本主险合同有效期内，经我们同意，您可以凭保险单向我们申请借</w:t>
            </w:r>
            <w:r>
              <w:rPr>
                <w:spacing w:val="-7"/>
                <w:sz w:val="21"/>
              </w:rPr>
              <w:t>款。借款金额不得超过保险合同现金价值扣除各项欠款后余额的</w:t>
            </w:r>
            <w:r>
              <w:rPr>
                <w:sz w:val="21"/>
              </w:rPr>
              <w:t>80％， </w:t>
            </w:r>
            <w:r>
              <w:rPr>
                <w:spacing w:val="-3"/>
                <w:sz w:val="21"/>
              </w:rPr>
              <w:t>每次借款期限最长不超过1年，借款利率按我们当时确定的利率执行， 并在借款协议中载明。借款本息应在借款到期前全部归还，若您到期未能足额偿还借款本息，则您所欠的借款本金及利息将作为新的借款本金计息。</w:t>
            </w:r>
          </w:p>
          <w:p>
            <w:pPr>
              <w:pStyle w:val="TableParagraph"/>
              <w:spacing w:line="273" w:lineRule="auto" w:before="7"/>
              <w:ind w:left="216" w:right="108"/>
              <w:rPr>
                <w:sz w:val="21"/>
              </w:rPr>
            </w:pPr>
            <w:r>
              <w:rPr>
                <w:sz w:val="21"/>
              </w:rPr>
              <w:t>当未还借款本金及利息加上其他各项欠款达到保险合同现金价值时， 保险合同效力即行中止。</w:t>
            </w:r>
          </w:p>
          <w:p>
            <w:pPr>
              <w:pStyle w:val="TableParagraph"/>
              <w:spacing w:before="7"/>
              <w:ind w:left="216"/>
              <w:rPr>
                <w:sz w:val="21"/>
              </w:rPr>
            </w:pPr>
            <w:r>
              <w:rPr>
                <w:sz w:val="21"/>
              </w:rPr>
              <w:t>本条中所称的“保险合同”包括本主险合同及其附加险合同。</w:t>
            </w:r>
          </w:p>
        </w:tc>
      </w:tr>
      <w:tr>
        <w:trPr>
          <w:trHeight w:val="786" w:hRule="atLeast"/>
        </w:trPr>
        <w:tc>
          <w:tcPr>
            <w:tcW w:w="767" w:type="dxa"/>
            <w:tcBorders>
              <w:bottom w:val="single" w:sz="4" w:space="0" w:color="000000"/>
            </w:tcBorders>
          </w:tcPr>
          <w:p>
            <w:pPr>
              <w:pStyle w:val="TableParagraph"/>
              <w:spacing w:before="170"/>
              <w:ind w:left="108"/>
              <w:rPr>
                <w:rFonts w:ascii="Wingdings" w:hAnsi="Wingdings"/>
                <w:sz w:val="52"/>
              </w:rPr>
            </w:pPr>
            <w:r>
              <w:rPr>
                <w:rFonts w:ascii="Wingdings" w:hAnsi="Wingdings"/>
                <w:w w:val="100"/>
                <w:sz w:val="52"/>
              </w:rPr>
              <w:t></w:t>
            </w:r>
          </w:p>
        </w:tc>
        <w:tc>
          <w:tcPr>
            <w:tcW w:w="8376" w:type="dxa"/>
            <w:gridSpan w:val="2"/>
            <w:tcBorders>
              <w:bottom w:val="single" w:sz="4" w:space="0" w:color="000000"/>
            </w:tcBorders>
          </w:tcPr>
          <w:p>
            <w:pPr>
              <w:pStyle w:val="TableParagraph"/>
              <w:spacing w:before="248"/>
              <w:ind w:left="193"/>
              <w:rPr>
                <w:b/>
                <w:sz w:val="28"/>
              </w:rPr>
            </w:pPr>
            <w:r>
              <w:rPr>
                <w:b/>
                <w:w w:val="95"/>
                <w:sz w:val="28"/>
              </w:rPr>
              <w:t>合同效力的中止及恢复</w:t>
            </w:r>
          </w:p>
        </w:tc>
      </w:tr>
      <w:tr>
        <w:trPr>
          <w:trHeight w:val="574" w:hRule="atLeast"/>
        </w:trPr>
        <w:tc>
          <w:tcPr>
            <w:tcW w:w="767" w:type="dxa"/>
            <w:tcBorders>
              <w:top w:val="single" w:sz="4" w:space="0" w:color="000000"/>
            </w:tcBorders>
          </w:tcPr>
          <w:p>
            <w:pPr>
              <w:pStyle w:val="TableParagraph"/>
              <w:rPr>
                <w:rFonts w:ascii="Times New Roman"/>
                <w:sz w:val="26"/>
              </w:rPr>
            </w:pPr>
          </w:p>
          <w:p>
            <w:pPr>
              <w:pStyle w:val="TableParagraph"/>
              <w:spacing w:line="255" w:lineRule="exact"/>
              <w:ind w:left="108"/>
              <w:rPr>
                <w:b/>
                <w:sz w:val="21"/>
              </w:rPr>
            </w:pPr>
            <w:r>
              <w:rPr>
                <w:b/>
                <w:sz w:val="21"/>
              </w:rPr>
              <w:t>6.1</w:t>
            </w:r>
          </w:p>
        </w:tc>
        <w:tc>
          <w:tcPr>
            <w:tcW w:w="1679" w:type="dxa"/>
            <w:tcBorders>
              <w:top w:val="single" w:sz="4" w:space="0" w:color="000000"/>
            </w:tcBorders>
          </w:tcPr>
          <w:p>
            <w:pPr>
              <w:pStyle w:val="TableParagraph"/>
              <w:rPr>
                <w:rFonts w:ascii="Times New Roman"/>
                <w:sz w:val="26"/>
              </w:rPr>
            </w:pPr>
          </w:p>
          <w:p>
            <w:pPr>
              <w:pStyle w:val="TableParagraph"/>
              <w:spacing w:line="255" w:lineRule="exact"/>
              <w:ind w:left="193"/>
              <w:rPr>
                <w:b/>
                <w:sz w:val="21"/>
              </w:rPr>
            </w:pPr>
            <w:r>
              <w:rPr>
                <w:b/>
                <w:sz w:val="21"/>
              </w:rPr>
              <w:t>效力中止</w:t>
            </w:r>
          </w:p>
        </w:tc>
        <w:tc>
          <w:tcPr>
            <w:tcW w:w="6697" w:type="dxa"/>
            <w:tcBorders>
              <w:top w:val="single" w:sz="4" w:space="0" w:color="000000"/>
            </w:tcBorders>
          </w:tcPr>
          <w:p>
            <w:pPr>
              <w:pStyle w:val="TableParagraph"/>
              <w:rPr>
                <w:rFonts w:ascii="Times New Roman"/>
                <w:sz w:val="26"/>
              </w:rPr>
            </w:pPr>
          </w:p>
          <w:p>
            <w:pPr>
              <w:pStyle w:val="TableParagraph"/>
              <w:spacing w:line="255" w:lineRule="exact"/>
              <w:ind w:left="216"/>
              <w:rPr>
                <w:sz w:val="21"/>
              </w:rPr>
            </w:pPr>
            <w:r>
              <w:rPr>
                <w:sz w:val="21"/>
              </w:rPr>
              <w:t>在本主险合同效力中止期间，我们不承担保险责任。</w:t>
            </w:r>
          </w:p>
        </w:tc>
      </w:tr>
    </w:tbl>
    <w:p>
      <w:pPr>
        <w:spacing w:after="0" w:line="255" w:lineRule="exact"/>
        <w:rPr>
          <w:sz w:val="21"/>
        </w:rPr>
        <w:sectPr>
          <w:pgSz w:w="11910" w:h="16840"/>
          <w:pgMar w:header="900" w:footer="992" w:top="1220" w:bottom="1180" w:left="1080" w:right="1460"/>
        </w:sectPr>
      </w:pPr>
    </w:p>
    <w:p>
      <w:pPr>
        <w:pStyle w:val="BodyText"/>
        <w:spacing w:before="5"/>
        <w:rPr>
          <w:rFonts w:ascii="Times New Roman"/>
          <w:sz w:val="2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784"/>
        <w:gridCol w:w="6590"/>
      </w:tblGrid>
      <w:tr>
        <w:trPr>
          <w:trHeight w:val="1969" w:hRule="atLeast"/>
        </w:trPr>
        <w:tc>
          <w:tcPr>
            <w:tcW w:w="767" w:type="dxa"/>
          </w:tcPr>
          <w:p>
            <w:pPr>
              <w:pStyle w:val="TableParagraph"/>
              <w:spacing w:line="211" w:lineRule="exact"/>
              <w:ind w:left="108"/>
              <w:rPr>
                <w:b/>
                <w:sz w:val="21"/>
              </w:rPr>
            </w:pPr>
            <w:r>
              <w:rPr>
                <w:b/>
                <w:sz w:val="21"/>
              </w:rPr>
              <w:t>6.2</w:t>
            </w:r>
          </w:p>
        </w:tc>
        <w:tc>
          <w:tcPr>
            <w:tcW w:w="1784" w:type="dxa"/>
          </w:tcPr>
          <w:p>
            <w:pPr>
              <w:pStyle w:val="TableParagraph"/>
              <w:spacing w:line="211" w:lineRule="exact"/>
              <w:ind w:left="193"/>
              <w:rPr>
                <w:b/>
                <w:sz w:val="21"/>
              </w:rPr>
            </w:pPr>
            <w:r>
              <w:rPr>
                <w:b/>
                <w:sz w:val="21"/>
              </w:rPr>
              <w:t>效力恢复</w:t>
            </w:r>
          </w:p>
        </w:tc>
        <w:tc>
          <w:tcPr>
            <w:tcW w:w="6590" w:type="dxa"/>
          </w:tcPr>
          <w:p>
            <w:pPr>
              <w:pStyle w:val="TableParagraph"/>
              <w:spacing w:line="211" w:lineRule="exact"/>
              <w:ind w:left="111"/>
              <w:rPr>
                <w:sz w:val="21"/>
              </w:rPr>
            </w:pPr>
            <w:r>
              <w:rPr>
                <w:sz w:val="21"/>
              </w:rPr>
              <w:t>本主险合同效力中止后2 年内，您可以申请恢复本主险合同效力。经</w:t>
            </w:r>
          </w:p>
          <w:p>
            <w:pPr>
              <w:pStyle w:val="TableParagraph"/>
              <w:spacing w:line="273" w:lineRule="auto" w:before="37"/>
              <w:ind w:left="111" w:right="106"/>
              <w:jc w:val="both"/>
              <w:rPr>
                <w:sz w:val="21"/>
              </w:rPr>
            </w:pPr>
            <w:r>
              <w:rPr>
                <w:sz w:val="21"/>
              </w:rPr>
              <w:t>我们与您协商并达成协议，在您补交保险费之日起，本主险合同效力恢复。</w:t>
            </w:r>
          </w:p>
          <w:p>
            <w:pPr>
              <w:pStyle w:val="TableParagraph"/>
              <w:spacing w:line="273" w:lineRule="auto" w:before="7"/>
              <w:ind w:left="111" w:right="103"/>
              <w:jc w:val="both"/>
              <w:rPr>
                <w:sz w:val="21"/>
              </w:rPr>
            </w:pPr>
            <w:r>
              <w:rPr>
                <w:sz w:val="21"/>
              </w:rPr>
              <w:t>自本主险合同效力中止之日起满2 年您和我们未达成协议的，我们有权解除本主险合同。我们解除本主险合同的，向您退还本主险合同效力中止日的现金价值。</w:t>
            </w:r>
          </w:p>
        </w:tc>
      </w:tr>
      <w:tr>
        <w:trPr>
          <w:trHeight w:val="786" w:hRule="atLeast"/>
        </w:trPr>
        <w:tc>
          <w:tcPr>
            <w:tcW w:w="767" w:type="dxa"/>
            <w:tcBorders>
              <w:bottom w:val="single" w:sz="4" w:space="0" w:color="000000"/>
            </w:tcBorders>
          </w:tcPr>
          <w:p>
            <w:pPr>
              <w:pStyle w:val="TableParagraph"/>
              <w:spacing w:before="150"/>
              <w:ind w:left="108"/>
              <w:rPr>
                <w:rFonts w:ascii="Arial" w:hAnsi="Arial"/>
                <w:b/>
                <w:sz w:val="52"/>
              </w:rPr>
            </w:pPr>
            <w:r>
              <w:rPr>
                <w:rFonts w:ascii="Arial" w:hAnsi="Arial"/>
                <w:b/>
                <w:w w:val="119"/>
                <w:sz w:val="52"/>
              </w:rPr>
              <w:t></w:t>
            </w:r>
          </w:p>
        </w:tc>
        <w:tc>
          <w:tcPr>
            <w:tcW w:w="8374" w:type="dxa"/>
            <w:gridSpan w:val="2"/>
            <w:tcBorders>
              <w:bottom w:val="single" w:sz="4" w:space="0" w:color="000000"/>
            </w:tcBorders>
          </w:tcPr>
          <w:p>
            <w:pPr>
              <w:pStyle w:val="TableParagraph"/>
              <w:spacing w:before="248"/>
              <w:ind w:left="193"/>
              <w:rPr>
                <w:b/>
                <w:sz w:val="28"/>
              </w:rPr>
            </w:pPr>
            <w:r>
              <w:rPr>
                <w:b/>
                <w:w w:val="95"/>
                <w:sz w:val="28"/>
              </w:rPr>
              <w:t>如何解除保险合同</w:t>
            </w:r>
          </w:p>
        </w:tc>
      </w:tr>
      <w:tr>
        <w:trPr>
          <w:trHeight w:val="2957" w:hRule="atLeast"/>
        </w:trPr>
        <w:tc>
          <w:tcPr>
            <w:tcW w:w="767" w:type="dxa"/>
            <w:tcBorders>
              <w:top w:val="single" w:sz="4" w:space="0" w:color="000000"/>
            </w:tcBorders>
          </w:tcPr>
          <w:p>
            <w:pPr>
              <w:pStyle w:val="TableParagraph"/>
              <w:rPr>
                <w:rFonts w:ascii="Times New Roman"/>
                <w:sz w:val="26"/>
              </w:rPr>
            </w:pPr>
          </w:p>
          <w:p>
            <w:pPr>
              <w:pStyle w:val="TableParagraph"/>
              <w:ind w:left="108"/>
              <w:rPr>
                <w:b/>
                <w:sz w:val="21"/>
              </w:rPr>
            </w:pPr>
            <w:r>
              <w:rPr>
                <w:b/>
                <w:sz w:val="21"/>
              </w:rPr>
              <w:t>7.1</w:t>
            </w:r>
          </w:p>
        </w:tc>
        <w:tc>
          <w:tcPr>
            <w:tcW w:w="1784" w:type="dxa"/>
            <w:tcBorders>
              <w:top w:val="single" w:sz="4" w:space="0" w:color="000000"/>
            </w:tcBorders>
          </w:tcPr>
          <w:p>
            <w:pPr>
              <w:pStyle w:val="TableParagraph"/>
              <w:rPr>
                <w:rFonts w:ascii="Times New Roman"/>
                <w:sz w:val="26"/>
              </w:rPr>
            </w:pPr>
          </w:p>
          <w:p>
            <w:pPr>
              <w:pStyle w:val="TableParagraph"/>
              <w:spacing w:line="273" w:lineRule="auto"/>
              <w:ind w:left="193" w:right="110"/>
              <w:rPr>
                <w:b/>
                <w:sz w:val="21"/>
              </w:rPr>
            </w:pPr>
            <w:r>
              <w:rPr>
                <w:b/>
                <w:sz w:val="21"/>
              </w:rPr>
              <w:t>您解除合同的手续及风险</w:t>
            </w:r>
          </w:p>
        </w:tc>
        <w:tc>
          <w:tcPr>
            <w:tcW w:w="6590" w:type="dxa"/>
            <w:tcBorders>
              <w:top w:val="single" w:sz="4" w:space="0" w:color="000000"/>
            </w:tcBorders>
          </w:tcPr>
          <w:p>
            <w:pPr>
              <w:pStyle w:val="TableParagraph"/>
              <w:rPr>
                <w:rFonts w:ascii="Times New Roman"/>
                <w:sz w:val="26"/>
              </w:rPr>
            </w:pPr>
          </w:p>
          <w:p>
            <w:pPr>
              <w:pStyle w:val="TableParagraph"/>
              <w:spacing w:line="273" w:lineRule="auto"/>
              <w:ind w:left="111" w:right="170"/>
              <w:rPr>
                <w:sz w:val="21"/>
              </w:rPr>
            </w:pPr>
            <w:r>
              <w:rPr>
                <w:sz w:val="21"/>
              </w:rPr>
              <w:t>您在犹豫期后，可以书面通知要求解除本主险合同，并向我们提供下列证明和资料：</w:t>
            </w:r>
          </w:p>
          <w:p>
            <w:pPr>
              <w:pStyle w:val="TableParagraph"/>
              <w:numPr>
                <w:ilvl w:val="0"/>
                <w:numId w:val="11"/>
              </w:numPr>
              <w:tabs>
                <w:tab w:pos="743" w:val="left" w:leader="none"/>
              </w:tabs>
              <w:spacing w:line="240" w:lineRule="auto" w:before="7" w:after="0"/>
              <w:ind w:left="742" w:right="0" w:hanging="631"/>
              <w:jc w:val="left"/>
              <w:rPr>
                <w:sz w:val="21"/>
              </w:rPr>
            </w:pPr>
            <w:r>
              <w:rPr>
                <w:spacing w:val="-3"/>
                <w:sz w:val="21"/>
              </w:rPr>
              <w:t>保险合同；</w:t>
            </w:r>
          </w:p>
          <w:p>
            <w:pPr>
              <w:pStyle w:val="TableParagraph"/>
              <w:numPr>
                <w:ilvl w:val="0"/>
                <w:numId w:val="11"/>
              </w:numPr>
              <w:tabs>
                <w:tab w:pos="743" w:val="left" w:leader="none"/>
              </w:tabs>
              <w:spacing w:line="240" w:lineRule="auto" w:before="36" w:after="0"/>
              <w:ind w:left="742" w:right="0" w:hanging="631"/>
              <w:jc w:val="left"/>
              <w:rPr>
                <w:sz w:val="21"/>
              </w:rPr>
            </w:pPr>
            <w:r>
              <w:rPr>
                <w:spacing w:val="-3"/>
                <w:sz w:val="21"/>
              </w:rPr>
              <w:t>解除合同申请书；</w:t>
            </w:r>
          </w:p>
          <w:p>
            <w:pPr>
              <w:pStyle w:val="TableParagraph"/>
              <w:numPr>
                <w:ilvl w:val="0"/>
                <w:numId w:val="11"/>
              </w:numPr>
              <w:tabs>
                <w:tab w:pos="743" w:val="left" w:leader="none"/>
              </w:tabs>
              <w:spacing w:line="240" w:lineRule="auto" w:before="36" w:after="0"/>
              <w:ind w:left="742" w:right="0" w:hanging="631"/>
              <w:jc w:val="left"/>
              <w:rPr>
                <w:sz w:val="21"/>
              </w:rPr>
            </w:pPr>
            <w:r>
              <w:rPr>
                <w:spacing w:val="-3"/>
                <w:sz w:val="21"/>
              </w:rPr>
              <w:t>您的有效身份证件。</w:t>
            </w:r>
          </w:p>
          <w:p>
            <w:pPr>
              <w:pStyle w:val="TableParagraph"/>
              <w:spacing w:line="273" w:lineRule="auto" w:before="36"/>
              <w:ind w:left="111" w:right="103"/>
              <w:rPr>
                <w:sz w:val="21"/>
              </w:rPr>
            </w:pPr>
            <w:r>
              <w:rPr>
                <w:sz w:val="21"/>
              </w:rPr>
              <w:t>自我们收到解除合同申请书时起，本主险合同终止。我们在收到上述证明和资料之日起 30 日内向您退还本主险合同现金价值。</w:t>
            </w:r>
          </w:p>
          <w:p>
            <w:pPr>
              <w:pStyle w:val="TableParagraph"/>
              <w:spacing w:before="7"/>
              <w:ind w:left="111"/>
              <w:rPr>
                <w:sz w:val="21"/>
              </w:rPr>
            </w:pPr>
            <w:r>
              <w:rPr>
                <w:sz w:val="21"/>
              </w:rPr>
              <w:t>您在犹豫期后解除本主险合同会遭受一定损失。</w:t>
            </w:r>
          </w:p>
        </w:tc>
      </w:tr>
      <w:tr>
        <w:trPr>
          <w:trHeight w:val="786" w:hRule="atLeast"/>
        </w:trPr>
        <w:tc>
          <w:tcPr>
            <w:tcW w:w="767" w:type="dxa"/>
            <w:tcBorders>
              <w:bottom w:val="single" w:sz="4" w:space="0" w:color="000000"/>
            </w:tcBorders>
          </w:tcPr>
          <w:p>
            <w:pPr>
              <w:pStyle w:val="TableParagraph"/>
              <w:spacing w:before="150"/>
              <w:ind w:left="108"/>
              <w:rPr>
                <w:rFonts w:ascii="Arial" w:hAnsi="Arial"/>
                <w:b/>
                <w:sz w:val="52"/>
              </w:rPr>
            </w:pPr>
            <w:r>
              <w:rPr>
                <w:rFonts w:ascii="Arial" w:hAnsi="Arial"/>
                <w:b/>
                <w:w w:val="119"/>
                <w:sz w:val="52"/>
              </w:rPr>
              <w:t></w:t>
            </w:r>
          </w:p>
        </w:tc>
        <w:tc>
          <w:tcPr>
            <w:tcW w:w="8374" w:type="dxa"/>
            <w:gridSpan w:val="2"/>
            <w:tcBorders>
              <w:bottom w:val="single" w:sz="4" w:space="0" w:color="000000"/>
            </w:tcBorders>
          </w:tcPr>
          <w:p>
            <w:pPr>
              <w:pStyle w:val="TableParagraph"/>
              <w:spacing w:before="248"/>
              <w:ind w:left="193"/>
              <w:rPr>
                <w:b/>
                <w:sz w:val="28"/>
              </w:rPr>
            </w:pPr>
            <w:r>
              <w:rPr>
                <w:b/>
                <w:w w:val="95"/>
                <w:sz w:val="28"/>
              </w:rPr>
              <w:t>其他需要关注的事项</w:t>
            </w:r>
          </w:p>
        </w:tc>
      </w:tr>
      <w:tr>
        <w:trPr>
          <w:trHeight w:val="5461" w:hRule="atLeast"/>
        </w:trPr>
        <w:tc>
          <w:tcPr>
            <w:tcW w:w="767" w:type="dxa"/>
            <w:tcBorders>
              <w:top w:val="single" w:sz="4" w:space="0" w:color="000000"/>
            </w:tcBorders>
          </w:tcPr>
          <w:p>
            <w:pPr>
              <w:pStyle w:val="TableParagraph"/>
              <w:rPr>
                <w:rFonts w:ascii="Times New Roman"/>
                <w:sz w:val="26"/>
              </w:rPr>
            </w:pPr>
          </w:p>
          <w:p>
            <w:pPr>
              <w:pStyle w:val="TableParagraph"/>
              <w:ind w:left="108"/>
              <w:rPr>
                <w:b/>
                <w:sz w:val="21"/>
              </w:rPr>
            </w:pPr>
            <w:r>
              <w:rPr>
                <w:b/>
                <w:sz w:val="21"/>
              </w:rPr>
              <w:t>8.1</w:t>
            </w:r>
          </w:p>
        </w:tc>
        <w:tc>
          <w:tcPr>
            <w:tcW w:w="1784" w:type="dxa"/>
            <w:tcBorders>
              <w:top w:val="single" w:sz="4" w:space="0" w:color="000000"/>
            </w:tcBorders>
          </w:tcPr>
          <w:p>
            <w:pPr>
              <w:pStyle w:val="TableParagraph"/>
              <w:rPr>
                <w:rFonts w:ascii="Times New Roman"/>
                <w:sz w:val="26"/>
              </w:rPr>
            </w:pPr>
          </w:p>
          <w:p>
            <w:pPr>
              <w:pStyle w:val="TableParagraph"/>
              <w:spacing w:line="273" w:lineRule="auto"/>
              <w:ind w:left="193" w:right="110"/>
              <w:rPr>
                <w:b/>
                <w:sz w:val="21"/>
              </w:rPr>
            </w:pPr>
            <w:r>
              <w:rPr>
                <w:b/>
                <w:sz w:val="21"/>
              </w:rPr>
              <w:t>明确说明与如实告知</w:t>
            </w:r>
          </w:p>
        </w:tc>
        <w:tc>
          <w:tcPr>
            <w:tcW w:w="6590" w:type="dxa"/>
            <w:tcBorders>
              <w:top w:val="single" w:sz="4" w:space="0" w:color="000000"/>
            </w:tcBorders>
          </w:tcPr>
          <w:p>
            <w:pPr>
              <w:pStyle w:val="TableParagraph"/>
              <w:rPr>
                <w:rFonts w:ascii="Times New Roman"/>
                <w:sz w:val="26"/>
              </w:rPr>
            </w:pPr>
          </w:p>
          <w:p>
            <w:pPr>
              <w:pStyle w:val="TableParagraph"/>
              <w:ind w:left="111"/>
              <w:rPr>
                <w:sz w:val="21"/>
              </w:rPr>
            </w:pPr>
            <w:r>
              <w:rPr>
                <w:sz w:val="21"/>
              </w:rPr>
              <w:t>订立本主险合同时，我们应向您说明本主险合同的内容。</w:t>
            </w:r>
          </w:p>
          <w:p>
            <w:pPr>
              <w:pStyle w:val="TableParagraph"/>
              <w:spacing w:line="273" w:lineRule="auto" w:before="36"/>
              <w:ind w:left="111" w:right="170"/>
              <w:jc w:val="both"/>
              <w:rPr>
                <w:sz w:val="21"/>
              </w:rPr>
            </w:pPr>
            <w:r>
              <w:rPr>
                <w:sz w:val="21"/>
              </w:rPr>
              <w:t>对保险条款中免除我们责任的条款，我们在订立本主险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7"/>
              <w:ind w:left="111"/>
              <w:rPr>
                <w:sz w:val="21"/>
              </w:rPr>
            </w:pPr>
            <w:r>
              <w:rPr>
                <w:sz w:val="21"/>
              </w:rPr>
              <w:t>我们就您和被保险人的有关情况提出询问，您应当如实告知。</w:t>
            </w:r>
          </w:p>
          <w:p>
            <w:pPr>
              <w:pStyle w:val="TableParagraph"/>
              <w:spacing w:line="273" w:lineRule="auto" w:before="37"/>
              <w:ind w:left="111" w:right="170"/>
              <w:jc w:val="both"/>
              <w:rPr>
                <w:sz w:val="21"/>
              </w:rPr>
            </w:pPr>
            <w:r>
              <w:rPr>
                <w:sz w:val="21"/>
              </w:rPr>
              <w:t>如果您故意或者因重大过失未履行前款规定的如实告知义务，足以影响我们决定是否同意承保或者提高保险费率的，我们有权解除本主险合同。</w:t>
            </w:r>
          </w:p>
          <w:p>
            <w:pPr>
              <w:pStyle w:val="TableParagraph"/>
              <w:spacing w:line="273" w:lineRule="auto" w:before="8"/>
              <w:ind w:left="111" w:right="170"/>
              <w:jc w:val="both"/>
              <w:rPr>
                <w:sz w:val="21"/>
              </w:rPr>
            </w:pPr>
            <w:r>
              <w:rPr>
                <w:sz w:val="21"/>
              </w:rPr>
              <w:t>如果您故意不履行如实告知义务，对于本主险合同解除前发生的保险事故，我们不承担给付保险金的责任，并不退还保险费。</w:t>
            </w:r>
          </w:p>
          <w:p>
            <w:pPr>
              <w:pStyle w:val="TableParagraph"/>
              <w:spacing w:line="273" w:lineRule="auto" w:before="8"/>
              <w:ind w:left="111" w:right="170"/>
              <w:jc w:val="both"/>
              <w:rPr>
                <w:sz w:val="21"/>
              </w:rPr>
            </w:pPr>
            <w:r>
              <w:rPr>
                <w:sz w:val="21"/>
              </w:rPr>
              <w:t>如果您因重大过失未履行如实告知义务，对保险事故的发生有严重影响的，对于本主险合同解除前发生的保险事故，我们不承担给付保险金的责任，但应当退还保险费。</w:t>
            </w:r>
          </w:p>
          <w:p>
            <w:pPr>
              <w:pStyle w:val="TableParagraph"/>
              <w:spacing w:line="273" w:lineRule="auto" w:before="8"/>
              <w:ind w:left="111" w:right="170"/>
              <w:jc w:val="both"/>
              <w:rPr>
                <w:sz w:val="21"/>
              </w:rPr>
            </w:pPr>
            <w:r>
              <w:rPr>
                <w:sz w:val="21"/>
              </w:rPr>
              <w:t>我们在本主险合同订立时已经知道您未如实告知的情况的，我们不得解除本主险合同；发生保险事故的，我们承担给付保险金的责任。</w:t>
            </w:r>
          </w:p>
        </w:tc>
      </w:tr>
      <w:tr>
        <w:trPr>
          <w:trHeight w:val="1248" w:hRule="atLeast"/>
        </w:trPr>
        <w:tc>
          <w:tcPr>
            <w:tcW w:w="767" w:type="dxa"/>
          </w:tcPr>
          <w:p>
            <w:pPr>
              <w:pStyle w:val="TableParagraph"/>
              <w:spacing w:before="142"/>
              <w:ind w:left="108"/>
              <w:rPr>
                <w:b/>
                <w:sz w:val="21"/>
              </w:rPr>
            </w:pPr>
            <w:r>
              <w:rPr>
                <w:b/>
                <w:sz w:val="21"/>
              </w:rPr>
              <w:t>8.2</w:t>
            </w:r>
          </w:p>
        </w:tc>
        <w:tc>
          <w:tcPr>
            <w:tcW w:w="1784" w:type="dxa"/>
          </w:tcPr>
          <w:p>
            <w:pPr>
              <w:pStyle w:val="TableParagraph"/>
              <w:spacing w:line="273" w:lineRule="auto" w:before="142"/>
              <w:ind w:left="193" w:right="110"/>
              <w:rPr>
                <w:b/>
                <w:sz w:val="21"/>
              </w:rPr>
            </w:pPr>
            <w:r>
              <w:rPr>
                <w:b/>
                <w:sz w:val="21"/>
              </w:rPr>
              <w:t>我们合同解除权的限制</w:t>
            </w:r>
          </w:p>
        </w:tc>
        <w:tc>
          <w:tcPr>
            <w:tcW w:w="6590" w:type="dxa"/>
          </w:tcPr>
          <w:p>
            <w:pPr>
              <w:pStyle w:val="TableParagraph"/>
              <w:spacing w:before="142"/>
              <w:ind w:left="111"/>
              <w:rPr>
                <w:sz w:val="21"/>
              </w:rPr>
            </w:pPr>
            <w:r>
              <w:rPr>
                <w:spacing w:val="-8"/>
                <w:sz w:val="21"/>
              </w:rPr>
              <w:t>前条规定的合同解除权，自我们知道有解除事由之日起，超过 </w:t>
            </w:r>
            <w:r>
              <w:rPr>
                <w:sz w:val="21"/>
              </w:rPr>
              <w:t>30</w:t>
            </w:r>
            <w:r>
              <w:rPr>
                <w:spacing w:val="-13"/>
                <w:sz w:val="21"/>
              </w:rPr>
              <w:t> 日不</w:t>
            </w:r>
          </w:p>
          <w:p>
            <w:pPr>
              <w:pStyle w:val="TableParagraph"/>
              <w:spacing w:line="273" w:lineRule="auto" w:before="36"/>
              <w:ind w:left="111" w:right="170"/>
              <w:rPr>
                <w:sz w:val="21"/>
              </w:rPr>
            </w:pPr>
            <w:r>
              <w:rPr>
                <w:spacing w:val="-5"/>
                <w:sz w:val="21"/>
              </w:rPr>
              <w:t>行使而消灭。自本主险合同成立之日起超过 </w:t>
            </w:r>
            <w:r>
              <w:rPr>
                <w:sz w:val="21"/>
              </w:rPr>
              <w:t>2</w:t>
            </w:r>
            <w:r>
              <w:rPr>
                <w:spacing w:val="-8"/>
                <w:sz w:val="21"/>
              </w:rPr>
              <w:t> 年的，我们不得解除合</w:t>
            </w:r>
            <w:r>
              <w:rPr>
                <w:spacing w:val="-5"/>
                <w:sz w:val="21"/>
              </w:rPr>
              <w:t>同；发生保险事故的，我们承担给付保险金的责任。</w:t>
            </w:r>
          </w:p>
        </w:tc>
      </w:tr>
      <w:tr>
        <w:trPr>
          <w:trHeight w:val="417" w:hRule="atLeast"/>
        </w:trPr>
        <w:tc>
          <w:tcPr>
            <w:tcW w:w="767" w:type="dxa"/>
          </w:tcPr>
          <w:p>
            <w:pPr>
              <w:pStyle w:val="TableParagraph"/>
              <w:spacing w:line="255" w:lineRule="exact" w:before="143"/>
              <w:ind w:left="108"/>
              <w:rPr>
                <w:b/>
                <w:sz w:val="21"/>
              </w:rPr>
            </w:pPr>
            <w:r>
              <w:rPr>
                <w:b/>
                <w:sz w:val="21"/>
              </w:rPr>
              <w:t>8.3</w:t>
            </w:r>
          </w:p>
        </w:tc>
        <w:tc>
          <w:tcPr>
            <w:tcW w:w="1784" w:type="dxa"/>
          </w:tcPr>
          <w:p>
            <w:pPr>
              <w:pStyle w:val="TableParagraph"/>
              <w:spacing w:line="255" w:lineRule="exact" w:before="143"/>
              <w:ind w:left="193"/>
              <w:rPr>
                <w:b/>
                <w:sz w:val="21"/>
              </w:rPr>
            </w:pPr>
            <w:r>
              <w:rPr>
                <w:b/>
                <w:sz w:val="21"/>
              </w:rPr>
              <w:t>年龄错误</w:t>
            </w:r>
          </w:p>
        </w:tc>
        <w:tc>
          <w:tcPr>
            <w:tcW w:w="6590" w:type="dxa"/>
          </w:tcPr>
          <w:p>
            <w:pPr>
              <w:pStyle w:val="TableParagraph"/>
              <w:spacing w:line="255" w:lineRule="exact" w:before="143"/>
              <w:ind w:left="111"/>
              <w:rPr>
                <w:sz w:val="21"/>
              </w:rPr>
            </w:pPr>
            <w:r>
              <w:rPr>
                <w:sz w:val="21"/>
              </w:rPr>
              <w:t>您在申请投保时，应将与有效身份证件相符的被保险人的出生日期在</w:t>
            </w:r>
          </w:p>
        </w:tc>
      </w:tr>
    </w:tbl>
    <w:p>
      <w:pPr>
        <w:spacing w:after="0" w:line="255" w:lineRule="exact"/>
        <w:rPr>
          <w:sz w:val="21"/>
        </w:rPr>
        <w:sectPr>
          <w:pgSz w:w="11910" w:h="16840"/>
          <w:pgMar w:header="900" w:footer="992" w:top="1220" w:bottom="1180" w:left="1080" w:right="1460"/>
        </w:sectPr>
      </w:pPr>
    </w:p>
    <w:p>
      <w:pPr>
        <w:pStyle w:val="BodyText"/>
        <w:spacing w:before="5"/>
        <w:rPr>
          <w:rFonts w:ascii="Times New Roman"/>
          <w:sz w:val="2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805"/>
        <w:gridCol w:w="6790"/>
      </w:tblGrid>
      <w:tr>
        <w:trPr>
          <w:trHeight w:val="3537" w:hRule="atLeast"/>
        </w:trPr>
        <w:tc>
          <w:tcPr>
            <w:tcW w:w="837" w:type="dxa"/>
          </w:tcPr>
          <w:p>
            <w:pPr>
              <w:pStyle w:val="TableParagraph"/>
              <w:rPr>
                <w:rFonts w:ascii="Times New Roman"/>
                <w:sz w:val="20"/>
              </w:rPr>
            </w:pPr>
          </w:p>
        </w:tc>
        <w:tc>
          <w:tcPr>
            <w:tcW w:w="1805" w:type="dxa"/>
          </w:tcPr>
          <w:p>
            <w:pPr>
              <w:pStyle w:val="TableParagraph"/>
              <w:rPr>
                <w:rFonts w:ascii="Times New Roman"/>
                <w:sz w:val="20"/>
              </w:rPr>
            </w:pPr>
          </w:p>
        </w:tc>
        <w:tc>
          <w:tcPr>
            <w:tcW w:w="6790" w:type="dxa"/>
          </w:tcPr>
          <w:p>
            <w:pPr>
              <w:pStyle w:val="TableParagraph"/>
              <w:spacing w:line="211" w:lineRule="exact"/>
              <w:ind w:left="112"/>
              <w:rPr>
                <w:sz w:val="21"/>
              </w:rPr>
            </w:pPr>
            <w:r>
              <w:rPr>
                <w:sz w:val="21"/>
              </w:rPr>
              <w:t>投保书上填明，如果发生错误按照下列方式办理：</w:t>
            </w:r>
          </w:p>
          <w:p>
            <w:pPr>
              <w:pStyle w:val="TableParagraph"/>
              <w:numPr>
                <w:ilvl w:val="0"/>
                <w:numId w:val="12"/>
              </w:numPr>
              <w:tabs>
                <w:tab w:pos="713" w:val="left" w:leader="none"/>
              </w:tabs>
              <w:spacing w:line="273" w:lineRule="auto" w:before="37" w:after="0"/>
              <w:ind w:left="709" w:right="197" w:hanging="629"/>
              <w:jc w:val="left"/>
              <w:rPr>
                <w:sz w:val="21"/>
              </w:rPr>
            </w:pPr>
            <w:r>
              <w:rPr>
                <w:spacing w:val="-3"/>
                <w:sz w:val="21"/>
              </w:rPr>
              <w:t>您申报的被保险人年龄不真实，并且其真实年龄不符合本主险 合同约定投保年龄限制的，在保险事故发生之前我们有权解除 合同。我们行使合同解除权适用“我们合同解除权的限制”的 规定。对于解除合同的，我们向您退还本主险合同的现金价值。</w:t>
            </w:r>
          </w:p>
          <w:p>
            <w:pPr>
              <w:pStyle w:val="TableParagraph"/>
              <w:numPr>
                <w:ilvl w:val="0"/>
                <w:numId w:val="12"/>
              </w:numPr>
              <w:tabs>
                <w:tab w:pos="713" w:val="left" w:leader="none"/>
              </w:tabs>
              <w:spacing w:line="273" w:lineRule="auto" w:before="7" w:after="0"/>
              <w:ind w:left="709" w:right="401" w:hanging="629"/>
              <w:jc w:val="both"/>
              <w:rPr>
                <w:sz w:val="21"/>
              </w:rPr>
            </w:pPr>
            <w:r>
              <w:rPr>
                <w:spacing w:val="-3"/>
                <w:sz w:val="21"/>
              </w:rPr>
              <w:t>您申报的被保险人年龄不真实，致使您支付的保险费少于应交保险费的，我们有权更正并要求您补交保险费。若已经发生保险事故，在给付保险金时按实交保险费和应交保险费的比例给付。</w:t>
            </w:r>
          </w:p>
          <w:p>
            <w:pPr>
              <w:pStyle w:val="TableParagraph"/>
              <w:numPr>
                <w:ilvl w:val="0"/>
                <w:numId w:val="12"/>
              </w:numPr>
              <w:tabs>
                <w:tab w:pos="713" w:val="left" w:leader="none"/>
              </w:tabs>
              <w:spacing w:line="273" w:lineRule="auto" w:before="7" w:after="0"/>
              <w:ind w:left="709" w:right="401" w:hanging="629"/>
              <w:jc w:val="left"/>
              <w:rPr>
                <w:sz w:val="21"/>
              </w:rPr>
            </w:pPr>
            <w:r>
              <w:rPr>
                <w:spacing w:val="-3"/>
                <w:sz w:val="21"/>
              </w:rPr>
              <w:t>您申报的被保险人年龄不真实，致使您支付的保险费多于应交保险费的，我们会将多收的保险费无息退还给您。</w:t>
            </w:r>
          </w:p>
        </w:tc>
      </w:tr>
      <w:tr>
        <w:trPr>
          <w:trHeight w:val="936" w:hRule="atLeast"/>
        </w:trPr>
        <w:tc>
          <w:tcPr>
            <w:tcW w:w="837" w:type="dxa"/>
          </w:tcPr>
          <w:p>
            <w:pPr>
              <w:pStyle w:val="TableParagraph"/>
              <w:spacing w:before="143"/>
              <w:ind w:left="74" w:right="192"/>
              <w:jc w:val="center"/>
              <w:rPr>
                <w:b/>
                <w:sz w:val="21"/>
              </w:rPr>
            </w:pPr>
            <w:r>
              <w:rPr>
                <w:b/>
                <w:sz w:val="21"/>
              </w:rPr>
              <w:t>8.4</w:t>
            </w:r>
          </w:p>
        </w:tc>
        <w:tc>
          <w:tcPr>
            <w:tcW w:w="1805" w:type="dxa"/>
          </w:tcPr>
          <w:p>
            <w:pPr>
              <w:pStyle w:val="TableParagraph"/>
              <w:spacing w:before="143"/>
              <w:ind w:left="214"/>
              <w:rPr>
                <w:b/>
                <w:sz w:val="21"/>
              </w:rPr>
            </w:pPr>
            <w:r>
              <w:rPr>
                <w:b/>
                <w:sz w:val="21"/>
              </w:rPr>
              <w:t>未还款项</w:t>
            </w:r>
          </w:p>
        </w:tc>
        <w:tc>
          <w:tcPr>
            <w:tcW w:w="6790" w:type="dxa"/>
          </w:tcPr>
          <w:p>
            <w:pPr>
              <w:pStyle w:val="TableParagraph"/>
              <w:spacing w:line="273" w:lineRule="auto" w:before="143"/>
              <w:ind w:left="112" w:right="370"/>
              <w:rPr>
                <w:sz w:val="21"/>
              </w:rPr>
            </w:pPr>
            <w:r>
              <w:rPr>
                <w:sz w:val="21"/>
              </w:rPr>
              <w:t>我们在给付各项保险金、退还现金价值或返还保险费时，如果您有欠交的保险费或其他未还清款项，我们会在扣除上述欠款后给付。</w:t>
            </w:r>
          </w:p>
        </w:tc>
      </w:tr>
      <w:tr>
        <w:trPr>
          <w:trHeight w:val="1248" w:hRule="atLeast"/>
        </w:trPr>
        <w:tc>
          <w:tcPr>
            <w:tcW w:w="837" w:type="dxa"/>
          </w:tcPr>
          <w:p>
            <w:pPr>
              <w:pStyle w:val="TableParagraph"/>
              <w:spacing w:before="142"/>
              <w:ind w:left="74" w:right="192"/>
              <w:jc w:val="center"/>
              <w:rPr>
                <w:b/>
                <w:sz w:val="21"/>
              </w:rPr>
            </w:pPr>
            <w:r>
              <w:rPr>
                <w:b/>
                <w:sz w:val="21"/>
              </w:rPr>
              <w:t>8.5</w:t>
            </w:r>
          </w:p>
        </w:tc>
        <w:tc>
          <w:tcPr>
            <w:tcW w:w="1805" w:type="dxa"/>
          </w:tcPr>
          <w:p>
            <w:pPr>
              <w:pStyle w:val="TableParagraph"/>
              <w:spacing w:before="142"/>
              <w:ind w:left="214"/>
              <w:rPr>
                <w:b/>
                <w:sz w:val="21"/>
              </w:rPr>
            </w:pPr>
            <w:r>
              <w:rPr>
                <w:b/>
                <w:sz w:val="21"/>
              </w:rPr>
              <w:t>利率与利息</w:t>
            </w:r>
          </w:p>
        </w:tc>
        <w:tc>
          <w:tcPr>
            <w:tcW w:w="6790" w:type="dxa"/>
          </w:tcPr>
          <w:p>
            <w:pPr>
              <w:pStyle w:val="TableParagraph"/>
              <w:spacing w:line="273" w:lineRule="auto" w:before="142"/>
              <w:ind w:left="112" w:right="370"/>
              <w:jc w:val="both"/>
              <w:rPr>
                <w:sz w:val="21"/>
              </w:rPr>
            </w:pPr>
            <w:r>
              <w:rPr>
                <w:sz w:val="21"/>
              </w:rPr>
              <w:t>本主险合同中涉及的利率由我们参照同期中国人民银行公布的一年期流动资金贷款法定利率制订，并公布后适用。所有利息均用此利率以年复利方式计算。</w:t>
            </w:r>
          </w:p>
        </w:tc>
      </w:tr>
      <w:tr>
        <w:trPr>
          <w:trHeight w:val="1248" w:hRule="atLeast"/>
        </w:trPr>
        <w:tc>
          <w:tcPr>
            <w:tcW w:w="837" w:type="dxa"/>
          </w:tcPr>
          <w:p>
            <w:pPr>
              <w:pStyle w:val="TableParagraph"/>
              <w:spacing w:before="142"/>
              <w:ind w:left="74" w:right="192"/>
              <w:jc w:val="center"/>
              <w:rPr>
                <w:b/>
                <w:sz w:val="21"/>
              </w:rPr>
            </w:pPr>
            <w:r>
              <w:rPr>
                <w:b/>
                <w:sz w:val="21"/>
              </w:rPr>
              <w:t>8.6</w:t>
            </w:r>
          </w:p>
        </w:tc>
        <w:tc>
          <w:tcPr>
            <w:tcW w:w="1805" w:type="dxa"/>
          </w:tcPr>
          <w:p>
            <w:pPr>
              <w:pStyle w:val="TableParagraph"/>
              <w:spacing w:before="142"/>
              <w:ind w:left="214"/>
              <w:rPr>
                <w:b/>
                <w:sz w:val="21"/>
              </w:rPr>
            </w:pPr>
            <w:r>
              <w:rPr>
                <w:b/>
                <w:sz w:val="21"/>
              </w:rPr>
              <w:t>合同内容变更</w:t>
            </w:r>
          </w:p>
        </w:tc>
        <w:tc>
          <w:tcPr>
            <w:tcW w:w="6790" w:type="dxa"/>
          </w:tcPr>
          <w:p>
            <w:pPr>
              <w:pStyle w:val="TableParagraph"/>
              <w:spacing w:line="273" w:lineRule="auto" w:before="142"/>
              <w:ind w:left="112" w:right="370"/>
              <w:jc w:val="both"/>
              <w:rPr>
                <w:sz w:val="21"/>
              </w:rPr>
            </w:pPr>
            <w:r>
              <w:rPr>
                <w:sz w:val="21"/>
              </w:rPr>
              <w:t>在本主险合同有效期内，经您与我们协商一致，可以变更本主险合同的有关内容。变更本主险合同的，由我们对保险合同批注或者出具批单，或者由您与我们订立书面的变更协议。</w:t>
            </w:r>
          </w:p>
        </w:tc>
      </w:tr>
      <w:tr>
        <w:trPr>
          <w:trHeight w:val="1560" w:hRule="atLeast"/>
        </w:trPr>
        <w:tc>
          <w:tcPr>
            <w:tcW w:w="837" w:type="dxa"/>
          </w:tcPr>
          <w:p>
            <w:pPr>
              <w:pStyle w:val="TableParagraph"/>
              <w:spacing w:before="142"/>
              <w:ind w:left="74" w:right="192"/>
              <w:jc w:val="center"/>
              <w:rPr>
                <w:b/>
                <w:sz w:val="21"/>
              </w:rPr>
            </w:pPr>
            <w:r>
              <w:rPr>
                <w:b/>
                <w:sz w:val="21"/>
              </w:rPr>
              <w:t>8.7</w:t>
            </w:r>
          </w:p>
        </w:tc>
        <w:tc>
          <w:tcPr>
            <w:tcW w:w="1805" w:type="dxa"/>
          </w:tcPr>
          <w:p>
            <w:pPr>
              <w:pStyle w:val="TableParagraph"/>
              <w:spacing w:before="142"/>
              <w:ind w:left="214"/>
              <w:rPr>
                <w:b/>
                <w:sz w:val="21"/>
              </w:rPr>
            </w:pPr>
            <w:r>
              <w:rPr>
                <w:b/>
                <w:sz w:val="21"/>
              </w:rPr>
              <w:t>联系方式变更</w:t>
            </w:r>
          </w:p>
        </w:tc>
        <w:tc>
          <w:tcPr>
            <w:tcW w:w="6790" w:type="dxa"/>
          </w:tcPr>
          <w:p>
            <w:pPr>
              <w:pStyle w:val="TableParagraph"/>
              <w:spacing w:line="273" w:lineRule="auto" w:before="142"/>
              <w:ind w:left="112" w:right="370"/>
              <w:jc w:val="both"/>
              <w:rPr>
                <w:sz w:val="21"/>
              </w:rPr>
            </w:pPr>
            <w:r>
              <w:rPr>
                <w:sz w:val="21"/>
              </w:rPr>
              <w:t>为了保障您的合法权益，您的住所、通讯地址或电话等联系方式变更时，请及时以书面形式或双方认可的其他形式通知我们。若您未以书面形式或双方认可的其他形式通知我们，我们按本主险合同载明的最后住所或联系地址发送的有关通知，均视为已送达给您。</w:t>
            </w:r>
          </w:p>
        </w:tc>
      </w:tr>
      <w:tr>
        <w:trPr>
          <w:trHeight w:val="1248" w:hRule="atLeast"/>
        </w:trPr>
        <w:tc>
          <w:tcPr>
            <w:tcW w:w="837" w:type="dxa"/>
          </w:tcPr>
          <w:p>
            <w:pPr>
              <w:pStyle w:val="TableParagraph"/>
              <w:spacing w:before="142"/>
              <w:ind w:left="74" w:right="192"/>
              <w:jc w:val="center"/>
              <w:rPr>
                <w:b/>
                <w:sz w:val="21"/>
              </w:rPr>
            </w:pPr>
            <w:r>
              <w:rPr>
                <w:b/>
                <w:sz w:val="21"/>
              </w:rPr>
              <w:t>8.8</w:t>
            </w:r>
          </w:p>
        </w:tc>
        <w:tc>
          <w:tcPr>
            <w:tcW w:w="1805" w:type="dxa"/>
          </w:tcPr>
          <w:p>
            <w:pPr>
              <w:pStyle w:val="TableParagraph"/>
              <w:spacing w:before="142"/>
              <w:ind w:left="214"/>
              <w:rPr>
                <w:b/>
                <w:sz w:val="21"/>
              </w:rPr>
            </w:pPr>
            <w:r>
              <w:rPr>
                <w:b/>
                <w:sz w:val="21"/>
              </w:rPr>
              <w:t>高度残疾的鉴定</w:t>
            </w:r>
          </w:p>
        </w:tc>
        <w:tc>
          <w:tcPr>
            <w:tcW w:w="6790" w:type="dxa"/>
          </w:tcPr>
          <w:p>
            <w:pPr>
              <w:pStyle w:val="TableParagraph"/>
              <w:spacing w:line="273" w:lineRule="auto" w:before="142"/>
              <w:ind w:left="112" w:right="300"/>
              <w:rPr>
                <w:sz w:val="21"/>
              </w:rPr>
            </w:pPr>
            <w:r>
              <w:rPr>
                <w:spacing w:val="-3"/>
                <w:sz w:val="21"/>
              </w:rPr>
              <w:t>若被保险人高度残疾，在治疗结束后，由我们认可的伤残鉴定机构进</w:t>
            </w:r>
            <w:r>
              <w:rPr>
                <w:spacing w:val="-13"/>
                <w:sz w:val="21"/>
              </w:rPr>
              <w:t>行鉴定。如果被保险人遭受意外伤害事故或被诊断患有疾病之日起 </w:t>
            </w:r>
            <w:r>
              <w:rPr>
                <w:sz w:val="21"/>
              </w:rPr>
              <w:t>180</w:t>
            </w:r>
          </w:p>
          <w:p>
            <w:pPr>
              <w:pStyle w:val="TableParagraph"/>
              <w:spacing w:before="7"/>
              <w:ind w:left="112"/>
              <w:rPr>
                <w:sz w:val="21"/>
              </w:rPr>
            </w:pPr>
            <w:r>
              <w:rPr>
                <w:sz w:val="21"/>
              </w:rPr>
              <w:t>天内治疗仍未结束，按第 180 天的身体情况进行鉴定。</w:t>
            </w:r>
          </w:p>
        </w:tc>
      </w:tr>
      <w:tr>
        <w:trPr>
          <w:trHeight w:val="2496" w:hRule="atLeast"/>
        </w:trPr>
        <w:tc>
          <w:tcPr>
            <w:tcW w:w="837" w:type="dxa"/>
          </w:tcPr>
          <w:p>
            <w:pPr>
              <w:pStyle w:val="TableParagraph"/>
              <w:spacing w:before="143"/>
              <w:ind w:left="74" w:right="192"/>
              <w:jc w:val="center"/>
              <w:rPr>
                <w:b/>
                <w:sz w:val="21"/>
              </w:rPr>
            </w:pPr>
            <w:r>
              <w:rPr>
                <w:b/>
                <w:sz w:val="21"/>
              </w:rPr>
              <w:t>8.9</w:t>
            </w:r>
          </w:p>
        </w:tc>
        <w:tc>
          <w:tcPr>
            <w:tcW w:w="1805" w:type="dxa"/>
          </w:tcPr>
          <w:p>
            <w:pPr>
              <w:pStyle w:val="TableParagraph"/>
              <w:spacing w:before="143"/>
              <w:ind w:left="214"/>
              <w:rPr>
                <w:b/>
                <w:sz w:val="21"/>
              </w:rPr>
            </w:pPr>
            <w:r>
              <w:rPr>
                <w:b/>
                <w:sz w:val="21"/>
              </w:rPr>
              <w:t>效力终止</w:t>
            </w:r>
          </w:p>
        </w:tc>
        <w:tc>
          <w:tcPr>
            <w:tcW w:w="6790" w:type="dxa"/>
          </w:tcPr>
          <w:p>
            <w:pPr>
              <w:pStyle w:val="TableParagraph"/>
              <w:spacing w:before="143"/>
              <w:ind w:left="112"/>
              <w:rPr>
                <w:sz w:val="21"/>
              </w:rPr>
            </w:pPr>
            <w:r>
              <w:rPr>
                <w:sz w:val="21"/>
              </w:rPr>
              <w:t>发生下列情况之一时，本主险合同效力终止：</w:t>
            </w:r>
          </w:p>
          <w:p>
            <w:pPr>
              <w:pStyle w:val="TableParagraph"/>
              <w:numPr>
                <w:ilvl w:val="0"/>
                <w:numId w:val="13"/>
              </w:numPr>
              <w:tabs>
                <w:tab w:pos="816" w:val="left" w:leader="none"/>
              </w:tabs>
              <w:spacing w:line="240" w:lineRule="auto" w:before="37" w:after="0"/>
              <w:ind w:left="832" w:right="0" w:hanging="720"/>
              <w:jc w:val="left"/>
              <w:rPr>
                <w:sz w:val="21"/>
              </w:rPr>
            </w:pPr>
            <w:r>
              <w:rPr>
                <w:spacing w:val="-3"/>
                <w:sz w:val="21"/>
              </w:rPr>
              <w:t>被保险人身故或高度残疾；</w:t>
            </w:r>
          </w:p>
          <w:p>
            <w:pPr>
              <w:pStyle w:val="TableParagraph"/>
              <w:numPr>
                <w:ilvl w:val="0"/>
                <w:numId w:val="13"/>
              </w:numPr>
              <w:tabs>
                <w:tab w:pos="816" w:val="left" w:leader="none"/>
              </w:tabs>
              <w:spacing w:line="273" w:lineRule="auto" w:before="37" w:after="0"/>
              <w:ind w:left="832" w:right="348" w:hanging="720"/>
              <w:jc w:val="left"/>
              <w:rPr>
                <w:sz w:val="21"/>
              </w:rPr>
            </w:pPr>
            <w:r>
              <w:rPr>
                <w:spacing w:val="-2"/>
                <w:sz w:val="21"/>
              </w:rPr>
              <w:t>被保险人非因“</w:t>
            </w:r>
            <w:r>
              <w:rPr>
                <w:sz w:val="21"/>
              </w:rPr>
              <w:t>2.3</w:t>
            </w:r>
            <w:r>
              <w:rPr>
                <w:spacing w:val="-7"/>
                <w:sz w:val="21"/>
              </w:rPr>
              <w:t> 责任免除”所列情形初次发生本主险合同</w:t>
            </w:r>
            <w:r>
              <w:rPr>
                <w:spacing w:val="-5"/>
                <w:sz w:val="21"/>
              </w:rPr>
              <w:t>约定的重大疾病；</w:t>
            </w:r>
          </w:p>
          <w:p>
            <w:pPr>
              <w:pStyle w:val="TableParagraph"/>
              <w:numPr>
                <w:ilvl w:val="0"/>
                <w:numId w:val="13"/>
              </w:numPr>
              <w:tabs>
                <w:tab w:pos="816" w:val="left" w:leader="none"/>
              </w:tabs>
              <w:spacing w:line="240" w:lineRule="auto" w:before="8" w:after="0"/>
              <w:ind w:left="832" w:right="0" w:hanging="720"/>
              <w:jc w:val="left"/>
              <w:rPr>
                <w:sz w:val="21"/>
              </w:rPr>
            </w:pPr>
            <w:r>
              <w:rPr>
                <w:spacing w:val="-8"/>
                <w:sz w:val="21"/>
              </w:rPr>
              <w:t>被保险人生存至 </w:t>
            </w:r>
            <w:r>
              <w:rPr>
                <w:sz w:val="21"/>
              </w:rPr>
              <w:t>100</w:t>
            </w:r>
            <w:r>
              <w:rPr>
                <w:spacing w:val="-8"/>
                <w:sz w:val="21"/>
              </w:rPr>
              <w:t> 周岁的保险单周年日；</w:t>
            </w:r>
          </w:p>
          <w:p>
            <w:pPr>
              <w:pStyle w:val="TableParagraph"/>
              <w:numPr>
                <w:ilvl w:val="0"/>
                <w:numId w:val="13"/>
              </w:numPr>
              <w:tabs>
                <w:tab w:pos="816" w:val="left" w:leader="none"/>
              </w:tabs>
              <w:spacing w:line="240" w:lineRule="auto" w:before="37" w:after="0"/>
              <w:ind w:left="832" w:right="0" w:hanging="720"/>
              <w:jc w:val="left"/>
              <w:rPr>
                <w:sz w:val="21"/>
              </w:rPr>
            </w:pPr>
            <w:r>
              <w:rPr>
                <w:spacing w:val="-3"/>
                <w:sz w:val="21"/>
              </w:rPr>
              <w:t>您申请解除本主险合同；</w:t>
            </w:r>
          </w:p>
          <w:p>
            <w:pPr>
              <w:pStyle w:val="TableParagraph"/>
              <w:numPr>
                <w:ilvl w:val="0"/>
                <w:numId w:val="13"/>
              </w:numPr>
              <w:tabs>
                <w:tab w:pos="816" w:val="left" w:leader="none"/>
              </w:tabs>
              <w:spacing w:line="240" w:lineRule="auto" w:before="37" w:after="0"/>
              <w:ind w:left="832" w:right="0" w:hanging="720"/>
              <w:jc w:val="left"/>
              <w:rPr>
                <w:sz w:val="21"/>
              </w:rPr>
            </w:pPr>
            <w:r>
              <w:rPr>
                <w:spacing w:val="-6"/>
                <w:sz w:val="21"/>
              </w:rPr>
              <w:t>自本主险合同效力中止之日起满 </w:t>
            </w:r>
            <w:r>
              <w:rPr>
                <w:sz w:val="21"/>
              </w:rPr>
              <w:t>2</w:t>
            </w:r>
            <w:r>
              <w:rPr>
                <w:spacing w:val="-8"/>
                <w:sz w:val="21"/>
              </w:rPr>
              <w:t> 年双方未达成复效协议。</w:t>
            </w:r>
          </w:p>
        </w:tc>
      </w:tr>
      <w:tr>
        <w:trPr>
          <w:trHeight w:val="729" w:hRule="atLeast"/>
        </w:trPr>
        <w:tc>
          <w:tcPr>
            <w:tcW w:w="837" w:type="dxa"/>
          </w:tcPr>
          <w:p>
            <w:pPr>
              <w:pStyle w:val="TableParagraph"/>
              <w:spacing w:before="142"/>
              <w:ind w:left="180" w:right="192"/>
              <w:jc w:val="center"/>
              <w:rPr>
                <w:b/>
                <w:sz w:val="21"/>
              </w:rPr>
            </w:pPr>
            <w:r>
              <w:rPr>
                <w:b/>
                <w:sz w:val="21"/>
              </w:rPr>
              <w:t>8.10</w:t>
            </w:r>
          </w:p>
        </w:tc>
        <w:tc>
          <w:tcPr>
            <w:tcW w:w="1805" w:type="dxa"/>
          </w:tcPr>
          <w:p>
            <w:pPr>
              <w:pStyle w:val="TableParagraph"/>
              <w:spacing w:before="142"/>
              <w:ind w:left="214"/>
              <w:rPr>
                <w:b/>
                <w:sz w:val="21"/>
              </w:rPr>
            </w:pPr>
            <w:r>
              <w:rPr>
                <w:b/>
                <w:sz w:val="21"/>
              </w:rPr>
              <w:t>争议处理</w:t>
            </w:r>
          </w:p>
        </w:tc>
        <w:tc>
          <w:tcPr>
            <w:tcW w:w="6790" w:type="dxa"/>
          </w:tcPr>
          <w:p>
            <w:pPr>
              <w:pStyle w:val="TableParagraph"/>
              <w:spacing w:line="310" w:lineRule="atLeast" w:before="107"/>
              <w:ind w:left="112" w:right="370"/>
              <w:rPr>
                <w:sz w:val="21"/>
              </w:rPr>
            </w:pPr>
            <w:r>
              <w:rPr>
                <w:sz w:val="21"/>
              </w:rPr>
              <w:t>本主险合同履行过程中，双方发生争议不能协商解决的，可以向被告住所地人民法院提起诉讼。</w:t>
            </w:r>
          </w:p>
        </w:tc>
      </w:tr>
    </w:tbl>
    <w:p>
      <w:pPr>
        <w:spacing w:after="0" w:line="310" w:lineRule="atLeast"/>
        <w:rPr>
          <w:sz w:val="21"/>
        </w:rPr>
        <w:sectPr>
          <w:pgSz w:w="11910" w:h="16840"/>
          <w:pgMar w:header="900" w:footer="992" w:top="1220" w:bottom="1180" w:left="1000" w:right="1260"/>
        </w:sectPr>
      </w:pPr>
    </w:p>
    <w:p>
      <w:pPr>
        <w:pStyle w:val="BodyText"/>
        <w:spacing w:before="1"/>
        <w:rPr>
          <w:rFonts w:ascii="Times New Roman"/>
          <w:sz w:val="2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782"/>
        <w:gridCol w:w="6596"/>
      </w:tblGrid>
      <w:tr>
        <w:trPr>
          <w:trHeight w:val="587" w:hRule="atLeast"/>
        </w:trPr>
        <w:tc>
          <w:tcPr>
            <w:tcW w:w="767" w:type="dxa"/>
            <w:tcBorders>
              <w:bottom w:val="single" w:sz="4" w:space="0" w:color="000000"/>
            </w:tcBorders>
          </w:tcPr>
          <w:p>
            <w:pPr>
              <w:pStyle w:val="TableParagraph"/>
              <w:spacing w:line="549" w:lineRule="exact"/>
              <w:ind w:left="108"/>
              <w:rPr>
                <w:rFonts w:ascii="Arial" w:hAnsi="Arial"/>
                <w:b/>
                <w:sz w:val="52"/>
              </w:rPr>
            </w:pPr>
            <w:r>
              <w:rPr>
                <w:rFonts w:ascii="Arial" w:hAnsi="Arial"/>
                <w:b/>
                <w:w w:val="119"/>
                <w:sz w:val="52"/>
              </w:rPr>
              <w:t></w:t>
            </w:r>
          </w:p>
        </w:tc>
        <w:tc>
          <w:tcPr>
            <w:tcW w:w="1782" w:type="dxa"/>
            <w:tcBorders>
              <w:bottom w:val="single" w:sz="4" w:space="0" w:color="000000"/>
            </w:tcBorders>
          </w:tcPr>
          <w:p>
            <w:pPr>
              <w:pStyle w:val="TableParagraph"/>
              <w:spacing w:before="49"/>
              <w:ind w:left="193"/>
              <w:rPr>
                <w:b/>
                <w:sz w:val="28"/>
              </w:rPr>
            </w:pPr>
            <w:r>
              <w:rPr>
                <w:b/>
                <w:w w:val="95"/>
                <w:sz w:val="28"/>
              </w:rPr>
              <w:t>释义</w:t>
            </w:r>
          </w:p>
        </w:tc>
        <w:tc>
          <w:tcPr>
            <w:tcW w:w="6596" w:type="dxa"/>
            <w:tcBorders>
              <w:bottom w:val="single" w:sz="4" w:space="0" w:color="000000"/>
            </w:tcBorders>
          </w:tcPr>
          <w:p>
            <w:pPr>
              <w:pStyle w:val="TableParagraph"/>
              <w:rPr>
                <w:rFonts w:ascii="Times New Roman"/>
                <w:sz w:val="20"/>
              </w:rPr>
            </w:pPr>
          </w:p>
        </w:tc>
      </w:tr>
      <w:tr>
        <w:trPr>
          <w:trHeight w:val="1092" w:hRule="atLeast"/>
        </w:trPr>
        <w:tc>
          <w:tcPr>
            <w:tcW w:w="767" w:type="dxa"/>
            <w:tcBorders>
              <w:top w:val="single" w:sz="4" w:space="0" w:color="000000"/>
            </w:tcBorders>
          </w:tcPr>
          <w:p>
            <w:pPr>
              <w:pStyle w:val="TableParagraph"/>
              <w:rPr>
                <w:rFonts w:ascii="Times New Roman"/>
                <w:sz w:val="26"/>
              </w:rPr>
            </w:pPr>
          </w:p>
          <w:p>
            <w:pPr>
              <w:pStyle w:val="TableParagraph"/>
              <w:ind w:left="108"/>
              <w:rPr>
                <w:b/>
                <w:sz w:val="21"/>
              </w:rPr>
            </w:pPr>
            <w:r>
              <w:rPr>
                <w:b/>
                <w:sz w:val="21"/>
              </w:rPr>
              <w:t>9.1</w:t>
            </w:r>
          </w:p>
        </w:tc>
        <w:tc>
          <w:tcPr>
            <w:tcW w:w="1782" w:type="dxa"/>
            <w:tcBorders>
              <w:top w:val="single" w:sz="4" w:space="0" w:color="000000"/>
            </w:tcBorders>
          </w:tcPr>
          <w:p>
            <w:pPr>
              <w:pStyle w:val="TableParagraph"/>
              <w:rPr>
                <w:rFonts w:ascii="Times New Roman"/>
                <w:sz w:val="26"/>
              </w:rPr>
            </w:pPr>
          </w:p>
          <w:p>
            <w:pPr>
              <w:pStyle w:val="TableParagraph"/>
              <w:ind w:left="193"/>
              <w:rPr>
                <w:b/>
                <w:sz w:val="21"/>
              </w:rPr>
            </w:pPr>
            <w:r>
              <w:rPr>
                <w:b/>
                <w:sz w:val="21"/>
              </w:rPr>
              <w:t>周岁</w:t>
            </w:r>
          </w:p>
        </w:tc>
        <w:tc>
          <w:tcPr>
            <w:tcW w:w="6596" w:type="dxa"/>
            <w:tcBorders>
              <w:top w:val="single" w:sz="4" w:space="0" w:color="000000"/>
            </w:tcBorders>
          </w:tcPr>
          <w:p>
            <w:pPr>
              <w:pStyle w:val="TableParagraph"/>
              <w:rPr>
                <w:rFonts w:ascii="Times New Roman"/>
                <w:sz w:val="26"/>
              </w:rPr>
            </w:pPr>
          </w:p>
          <w:p>
            <w:pPr>
              <w:pStyle w:val="TableParagraph"/>
              <w:spacing w:line="273" w:lineRule="auto"/>
              <w:ind w:left="113" w:right="174"/>
              <w:rPr>
                <w:sz w:val="21"/>
              </w:rPr>
            </w:pPr>
            <w:r>
              <w:rPr>
                <w:sz w:val="21"/>
              </w:rPr>
              <w:t>指按有效身份证件中记载的出生日期计算的年龄，自出生之日起为零周岁，每经过一年增加一岁，不足一年的不计。</w:t>
            </w:r>
          </w:p>
        </w:tc>
      </w:tr>
      <w:tr>
        <w:trPr>
          <w:trHeight w:val="1247" w:hRule="atLeast"/>
        </w:trPr>
        <w:tc>
          <w:tcPr>
            <w:tcW w:w="767" w:type="dxa"/>
          </w:tcPr>
          <w:p>
            <w:pPr>
              <w:pStyle w:val="TableParagraph"/>
              <w:spacing w:before="142"/>
              <w:ind w:left="108"/>
              <w:rPr>
                <w:b/>
                <w:sz w:val="21"/>
              </w:rPr>
            </w:pPr>
            <w:r>
              <w:rPr>
                <w:b/>
                <w:sz w:val="21"/>
              </w:rPr>
              <w:t>9.2</w:t>
            </w:r>
          </w:p>
        </w:tc>
        <w:tc>
          <w:tcPr>
            <w:tcW w:w="1782" w:type="dxa"/>
          </w:tcPr>
          <w:p>
            <w:pPr>
              <w:pStyle w:val="TableParagraph"/>
              <w:spacing w:before="142"/>
              <w:ind w:left="193"/>
              <w:rPr>
                <w:b/>
                <w:sz w:val="21"/>
              </w:rPr>
            </w:pPr>
            <w:r>
              <w:rPr>
                <w:b/>
                <w:sz w:val="21"/>
              </w:rPr>
              <w:t>有效身份证件</w:t>
            </w:r>
          </w:p>
        </w:tc>
        <w:tc>
          <w:tcPr>
            <w:tcW w:w="6596" w:type="dxa"/>
          </w:tcPr>
          <w:p>
            <w:pPr>
              <w:pStyle w:val="TableParagraph"/>
              <w:spacing w:line="273" w:lineRule="auto" w:before="142"/>
              <w:ind w:left="113" w:right="174"/>
              <w:jc w:val="both"/>
              <w:rPr>
                <w:sz w:val="21"/>
              </w:rPr>
            </w:pPr>
            <w:r>
              <w:rPr>
                <w:sz w:val="21"/>
              </w:rPr>
              <w:t>指由政府主管部门规定的证明其身份的证件，如：居民身份证、按规定可使用的有效护照、军官证、警官证、士兵证、居民户口簿（仅限未成年人）等证件。</w:t>
            </w:r>
          </w:p>
        </w:tc>
      </w:tr>
      <w:tr>
        <w:trPr>
          <w:trHeight w:val="624" w:hRule="atLeast"/>
        </w:trPr>
        <w:tc>
          <w:tcPr>
            <w:tcW w:w="767" w:type="dxa"/>
          </w:tcPr>
          <w:p>
            <w:pPr>
              <w:pStyle w:val="TableParagraph"/>
              <w:spacing w:before="142"/>
              <w:ind w:left="108"/>
              <w:rPr>
                <w:b/>
                <w:sz w:val="21"/>
              </w:rPr>
            </w:pPr>
            <w:r>
              <w:rPr>
                <w:b/>
                <w:sz w:val="21"/>
              </w:rPr>
              <w:t>9.3</w:t>
            </w:r>
          </w:p>
        </w:tc>
        <w:tc>
          <w:tcPr>
            <w:tcW w:w="1782" w:type="dxa"/>
          </w:tcPr>
          <w:p>
            <w:pPr>
              <w:pStyle w:val="TableParagraph"/>
              <w:spacing w:before="142"/>
              <w:ind w:left="193"/>
              <w:rPr>
                <w:b/>
                <w:sz w:val="21"/>
              </w:rPr>
            </w:pPr>
            <w:r>
              <w:rPr>
                <w:b/>
                <w:sz w:val="21"/>
              </w:rPr>
              <w:t>少儿重大疾病</w:t>
            </w:r>
          </w:p>
        </w:tc>
        <w:tc>
          <w:tcPr>
            <w:tcW w:w="6596" w:type="dxa"/>
          </w:tcPr>
          <w:p>
            <w:pPr>
              <w:pStyle w:val="TableParagraph"/>
              <w:spacing w:before="142"/>
              <w:ind w:left="113"/>
              <w:rPr>
                <w:sz w:val="21"/>
              </w:rPr>
            </w:pPr>
            <w:r>
              <w:rPr>
                <w:sz w:val="21"/>
              </w:rPr>
              <w:t>指下面列出的 15 种重大疾病,应当由专科医生明确诊断：</w:t>
            </w:r>
          </w:p>
        </w:tc>
      </w:tr>
      <w:tr>
        <w:trPr>
          <w:trHeight w:val="3744" w:hRule="atLeast"/>
        </w:trPr>
        <w:tc>
          <w:tcPr>
            <w:tcW w:w="767" w:type="dxa"/>
          </w:tcPr>
          <w:p>
            <w:pPr>
              <w:pStyle w:val="TableParagraph"/>
              <w:rPr>
                <w:rFonts w:ascii="Times New Roman"/>
                <w:sz w:val="20"/>
              </w:rPr>
            </w:pPr>
          </w:p>
        </w:tc>
        <w:tc>
          <w:tcPr>
            <w:tcW w:w="1782" w:type="dxa"/>
          </w:tcPr>
          <w:p>
            <w:pPr>
              <w:pStyle w:val="TableParagraph"/>
              <w:spacing w:before="239"/>
              <w:ind w:left="193"/>
              <w:rPr>
                <w:rFonts w:ascii="Microsoft JhengHei" w:eastAsia="Microsoft JhengHei" w:hint="eastAsia"/>
                <w:b/>
                <w:sz w:val="21"/>
              </w:rPr>
            </w:pPr>
            <w:r>
              <w:rPr>
                <w:rFonts w:ascii="Microsoft JhengHei" w:eastAsia="Microsoft JhengHei" w:hint="eastAsia"/>
                <w:b/>
                <w:sz w:val="21"/>
              </w:rPr>
              <w:t>恶性肿瘤</w:t>
            </w:r>
          </w:p>
        </w:tc>
        <w:tc>
          <w:tcPr>
            <w:tcW w:w="6596" w:type="dxa"/>
          </w:tcPr>
          <w:p>
            <w:pPr>
              <w:pStyle w:val="TableParagraph"/>
              <w:spacing w:line="273" w:lineRule="auto" w:before="143"/>
              <w:ind w:left="113" w:right="1"/>
              <w:rPr>
                <w:sz w:val="21"/>
              </w:rPr>
            </w:pPr>
            <w:r>
              <w:rPr>
                <w:spacing w:val="-5"/>
                <w:sz w:val="21"/>
              </w:rPr>
              <w:t>指恶性细胞不受控制的进行性增长和扩散，浸润和破坏周围正常组织， 可以经血管、淋巴管和体腔扩散转移到身体其它部位的疾病。经病理学检查结果明确诊断，临床诊断属于世界卫生组织《疾病和有关健康</w:t>
            </w:r>
            <w:r>
              <w:rPr>
                <w:spacing w:val="-3"/>
                <w:sz w:val="21"/>
              </w:rPr>
              <w:t>问题的国际统计分类》</w:t>
            </w:r>
            <w:r>
              <w:rPr>
                <w:spacing w:val="-1"/>
                <w:sz w:val="21"/>
              </w:rPr>
              <w:t>（ICD-10）</w:t>
            </w:r>
            <w:r>
              <w:rPr>
                <w:spacing w:val="-3"/>
                <w:sz w:val="21"/>
              </w:rPr>
              <w:t>的恶性肿瘤范畴。</w:t>
            </w:r>
          </w:p>
          <w:p>
            <w:pPr>
              <w:pStyle w:val="TableParagraph"/>
              <w:spacing w:before="8"/>
              <w:ind w:left="113"/>
              <w:rPr>
                <w:sz w:val="21"/>
              </w:rPr>
            </w:pPr>
            <w:r>
              <w:rPr>
                <w:sz w:val="21"/>
              </w:rPr>
              <w:t>下列疾病不在保障范围内：</w:t>
            </w:r>
          </w:p>
          <w:p>
            <w:pPr>
              <w:pStyle w:val="TableParagraph"/>
              <w:numPr>
                <w:ilvl w:val="0"/>
                <w:numId w:val="14"/>
              </w:numPr>
              <w:tabs>
                <w:tab w:pos="745" w:val="left" w:leader="none"/>
              </w:tabs>
              <w:spacing w:line="240" w:lineRule="auto" w:before="37" w:after="0"/>
              <w:ind w:left="744" w:right="0" w:hanging="631"/>
              <w:jc w:val="left"/>
              <w:rPr>
                <w:sz w:val="21"/>
              </w:rPr>
            </w:pPr>
            <w:r>
              <w:rPr>
                <w:spacing w:val="-2"/>
                <w:sz w:val="21"/>
              </w:rPr>
              <w:t>原位癌；</w:t>
            </w:r>
          </w:p>
          <w:p>
            <w:pPr>
              <w:pStyle w:val="TableParagraph"/>
              <w:numPr>
                <w:ilvl w:val="0"/>
                <w:numId w:val="14"/>
              </w:numPr>
              <w:tabs>
                <w:tab w:pos="745" w:val="left" w:leader="none"/>
              </w:tabs>
              <w:spacing w:line="240" w:lineRule="auto" w:before="37" w:after="0"/>
              <w:ind w:left="744" w:right="0" w:hanging="631"/>
              <w:jc w:val="left"/>
              <w:rPr>
                <w:sz w:val="21"/>
              </w:rPr>
            </w:pPr>
            <w:r>
              <w:rPr>
                <w:spacing w:val="-14"/>
                <w:sz w:val="21"/>
              </w:rPr>
              <w:t>相当于 </w:t>
            </w:r>
            <w:r>
              <w:rPr>
                <w:sz w:val="21"/>
              </w:rPr>
              <w:t>Binet</w:t>
            </w:r>
            <w:r>
              <w:rPr>
                <w:spacing w:val="-18"/>
                <w:sz w:val="21"/>
              </w:rPr>
              <w:t> 分期方案 </w:t>
            </w:r>
            <w:r>
              <w:rPr>
                <w:sz w:val="21"/>
              </w:rPr>
              <w:t>A</w:t>
            </w:r>
            <w:r>
              <w:rPr>
                <w:spacing w:val="-8"/>
                <w:sz w:val="21"/>
              </w:rPr>
              <w:t> 期程度的慢性淋巴细胞白血病；</w:t>
            </w:r>
          </w:p>
          <w:p>
            <w:pPr>
              <w:pStyle w:val="TableParagraph"/>
              <w:numPr>
                <w:ilvl w:val="0"/>
                <w:numId w:val="14"/>
              </w:numPr>
              <w:tabs>
                <w:tab w:pos="745" w:val="left" w:leader="none"/>
              </w:tabs>
              <w:spacing w:line="240" w:lineRule="auto" w:before="37" w:after="0"/>
              <w:ind w:left="744" w:right="0" w:hanging="631"/>
              <w:jc w:val="left"/>
              <w:rPr>
                <w:sz w:val="21"/>
              </w:rPr>
            </w:pP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8"/>
                <w:sz w:val="21"/>
              </w:rPr>
              <w:t> 期程度的何杰金氏病；</w:t>
            </w:r>
          </w:p>
          <w:p>
            <w:pPr>
              <w:pStyle w:val="TableParagraph"/>
              <w:numPr>
                <w:ilvl w:val="0"/>
                <w:numId w:val="14"/>
              </w:numPr>
              <w:tabs>
                <w:tab w:pos="745" w:val="left" w:leader="none"/>
              </w:tabs>
              <w:spacing w:line="240" w:lineRule="auto" w:before="37" w:after="0"/>
              <w:ind w:left="744" w:right="0" w:hanging="631"/>
              <w:jc w:val="left"/>
              <w:rPr>
                <w:sz w:val="21"/>
              </w:rPr>
            </w:pPr>
            <w:r>
              <w:rPr>
                <w:spacing w:val="-2"/>
                <w:sz w:val="21"/>
              </w:rPr>
              <w:t>皮肤癌</w:t>
            </w:r>
            <w:r>
              <w:rPr>
                <w:spacing w:val="-3"/>
                <w:sz w:val="21"/>
              </w:rPr>
              <w:t>（不包括恶性黑色素瘤及已发生转移的皮肤癌</w:t>
            </w:r>
            <w:r>
              <w:rPr>
                <w:sz w:val="21"/>
              </w:rPr>
              <w:t>）；</w:t>
            </w:r>
          </w:p>
          <w:p>
            <w:pPr>
              <w:pStyle w:val="TableParagraph"/>
              <w:numPr>
                <w:ilvl w:val="0"/>
                <w:numId w:val="14"/>
              </w:numPr>
              <w:tabs>
                <w:tab w:pos="745" w:val="left" w:leader="none"/>
              </w:tabs>
              <w:spacing w:line="240" w:lineRule="auto" w:before="37" w:after="0"/>
              <w:ind w:left="744" w:right="0" w:hanging="631"/>
              <w:jc w:val="left"/>
              <w:rPr>
                <w:sz w:val="21"/>
              </w:rPr>
            </w:pPr>
            <w:r>
              <w:rPr>
                <w:position w:val="1"/>
                <w:sz w:val="21"/>
              </w:rPr>
              <w:t>TNM</w:t>
            </w:r>
            <w:r>
              <w:rPr>
                <w:spacing w:val="-20"/>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6"/>
                <w:sz w:val="11"/>
              </w:rPr>
              <w:t> </w:t>
            </w:r>
            <w:r>
              <w:rPr>
                <w:spacing w:val="-3"/>
                <w:position w:val="1"/>
                <w:sz w:val="21"/>
              </w:rPr>
              <w:t>期或更轻分期的前列腺癌；</w:t>
            </w:r>
          </w:p>
          <w:p>
            <w:pPr>
              <w:pStyle w:val="TableParagraph"/>
              <w:numPr>
                <w:ilvl w:val="0"/>
                <w:numId w:val="14"/>
              </w:numPr>
              <w:tabs>
                <w:tab w:pos="745" w:val="left" w:leader="none"/>
              </w:tabs>
              <w:spacing w:line="240" w:lineRule="auto" w:before="37" w:after="0"/>
              <w:ind w:left="744" w:right="0" w:hanging="631"/>
              <w:jc w:val="left"/>
              <w:rPr>
                <w:sz w:val="21"/>
              </w:rPr>
            </w:pPr>
            <w:r>
              <w:rPr>
                <w:spacing w:val="-3"/>
                <w:sz w:val="21"/>
              </w:rPr>
              <w:t>感染艾滋病病毒或患艾滋病期间所患恶性肿瘤。</w:t>
            </w:r>
          </w:p>
        </w:tc>
      </w:tr>
      <w:tr>
        <w:trPr>
          <w:trHeight w:val="2123" w:hRule="atLeast"/>
        </w:trPr>
        <w:tc>
          <w:tcPr>
            <w:tcW w:w="767" w:type="dxa"/>
          </w:tcPr>
          <w:p>
            <w:pPr>
              <w:pStyle w:val="TableParagraph"/>
              <w:rPr>
                <w:rFonts w:ascii="Times New Roman"/>
                <w:sz w:val="20"/>
              </w:rPr>
            </w:pPr>
          </w:p>
        </w:tc>
        <w:tc>
          <w:tcPr>
            <w:tcW w:w="1782" w:type="dxa"/>
          </w:tcPr>
          <w:p>
            <w:pPr>
              <w:pStyle w:val="TableParagraph"/>
              <w:spacing w:line="410" w:lineRule="auto" w:before="239"/>
              <w:ind w:left="193" w:right="112"/>
              <w:jc w:val="both"/>
              <w:rPr>
                <w:rFonts w:ascii="Microsoft JhengHei" w:eastAsia="Microsoft JhengHei" w:hint="eastAsia"/>
                <w:b/>
                <w:sz w:val="21"/>
              </w:rPr>
            </w:pPr>
            <w:r>
              <w:rPr>
                <w:rFonts w:ascii="Microsoft JhengHei" w:eastAsia="Microsoft JhengHei" w:hint="eastAsia"/>
                <w:b/>
                <w:sz w:val="21"/>
              </w:rPr>
              <w:t>重大器官移植术或造血干细胞移植术</w:t>
            </w:r>
          </w:p>
        </w:tc>
        <w:tc>
          <w:tcPr>
            <w:tcW w:w="6596" w:type="dxa"/>
          </w:tcPr>
          <w:p>
            <w:pPr>
              <w:pStyle w:val="TableParagraph"/>
              <w:spacing w:line="273" w:lineRule="auto" w:before="142"/>
              <w:ind w:left="113" w:right="107"/>
              <w:jc w:val="both"/>
              <w:rPr>
                <w:sz w:val="21"/>
              </w:rPr>
            </w:pPr>
            <w:r>
              <w:rPr>
                <w:sz w:val="21"/>
              </w:rPr>
              <w:t>重大器官移植术，指因相应器官功能衰竭，已经实施了肾脏、肝脏、心脏或肺脏的异体移植手术。</w:t>
            </w:r>
          </w:p>
          <w:p>
            <w:pPr>
              <w:pStyle w:val="TableParagraph"/>
              <w:spacing w:line="273" w:lineRule="auto" w:before="7"/>
              <w:ind w:left="113" w:right="110"/>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2184" w:hRule="atLeast"/>
        </w:trPr>
        <w:tc>
          <w:tcPr>
            <w:tcW w:w="767" w:type="dxa"/>
          </w:tcPr>
          <w:p>
            <w:pPr>
              <w:pStyle w:val="TableParagraph"/>
              <w:rPr>
                <w:rFonts w:ascii="Times New Roman"/>
                <w:sz w:val="20"/>
              </w:rPr>
            </w:pPr>
          </w:p>
        </w:tc>
        <w:tc>
          <w:tcPr>
            <w:tcW w:w="1782" w:type="dxa"/>
          </w:tcPr>
          <w:p>
            <w:pPr>
              <w:pStyle w:val="TableParagraph"/>
              <w:spacing w:before="1"/>
              <w:rPr>
                <w:rFonts w:ascii="Times New Roman"/>
                <w:sz w:val="26"/>
              </w:rPr>
            </w:pPr>
          </w:p>
          <w:p>
            <w:pPr>
              <w:pStyle w:val="TableParagraph"/>
              <w:spacing w:line="410" w:lineRule="auto"/>
              <w:ind w:left="193" w:right="112"/>
              <w:jc w:val="both"/>
              <w:rPr>
                <w:rFonts w:ascii="Microsoft JhengHei" w:eastAsia="Microsoft JhengHei" w:hint="eastAsia"/>
                <w:b/>
                <w:sz w:val="21"/>
              </w:rPr>
            </w:pPr>
            <w:r>
              <w:rPr>
                <w:rFonts w:ascii="Microsoft JhengHei" w:eastAsia="Microsoft JhengHei" w:hint="eastAsia"/>
                <w:b/>
                <w:sz w:val="21"/>
              </w:rPr>
              <w:t>终末期肾病（或称慢性肾功能衰竭尿毒症期）</w:t>
            </w:r>
          </w:p>
        </w:tc>
        <w:tc>
          <w:tcPr>
            <w:tcW w:w="6596" w:type="dxa"/>
          </w:tcPr>
          <w:p>
            <w:pPr>
              <w:pStyle w:val="TableParagraph"/>
              <w:spacing w:before="7"/>
              <w:rPr>
                <w:rFonts w:ascii="Times New Roman"/>
                <w:sz w:val="17"/>
              </w:rPr>
            </w:pPr>
          </w:p>
          <w:p>
            <w:pPr>
              <w:pStyle w:val="TableParagraph"/>
              <w:spacing w:line="273" w:lineRule="auto"/>
              <w:ind w:left="113" w:right="174"/>
              <w:rPr>
                <w:sz w:val="21"/>
              </w:rPr>
            </w:pPr>
            <w:r>
              <w:rPr>
                <w:sz w:val="21"/>
              </w:rPr>
              <w:t>指双肾功能慢性不可逆性衰竭，达到尿毒症期，经诊断后已经进行了至少 90 天的规律性透析治疗或实施了肾脏移植手术。</w:t>
            </w:r>
          </w:p>
        </w:tc>
      </w:tr>
      <w:tr>
        <w:trPr>
          <w:trHeight w:val="2038" w:hRule="atLeast"/>
        </w:trPr>
        <w:tc>
          <w:tcPr>
            <w:tcW w:w="767" w:type="dxa"/>
          </w:tcPr>
          <w:p>
            <w:pPr>
              <w:pStyle w:val="TableParagraph"/>
              <w:rPr>
                <w:rFonts w:ascii="Times New Roman"/>
                <w:sz w:val="20"/>
              </w:rPr>
            </w:pPr>
          </w:p>
        </w:tc>
        <w:tc>
          <w:tcPr>
            <w:tcW w:w="1782" w:type="dxa"/>
          </w:tcPr>
          <w:p>
            <w:pPr>
              <w:pStyle w:val="TableParagraph"/>
              <w:rPr>
                <w:rFonts w:ascii="Times New Roman"/>
                <w:sz w:val="26"/>
              </w:rPr>
            </w:pPr>
          </w:p>
          <w:p>
            <w:pPr>
              <w:pStyle w:val="TableParagraph"/>
              <w:spacing w:line="410" w:lineRule="auto"/>
              <w:ind w:left="193" w:right="112"/>
              <w:rPr>
                <w:rFonts w:ascii="Microsoft JhengHei" w:eastAsia="Microsoft JhengHei" w:hint="eastAsia"/>
                <w:b/>
                <w:sz w:val="21"/>
              </w:rPr>
            </w:pPr>
            <w:r>
              <w:rPr>
                <w:rFonts w:ascii="Microsoft JhengHei" w:eastAsia="Microsoft JhengHei" w:hint="eastAsia"/>
                <w:b/>
                <w:sz w:val="21"/>
              </w:rPr>
              <w:t>急性或亚急性重症肝炎</w:t>
            </w:r>
          </w:p>
        </w:tc>
        <w:tc>
          <w:tcPr>
            <w:tcW w:w="6596" w:type="dxa"/>
          </w:tcPr>
          <w:p>
            <w:pPr>
              <w:pStyle w:val="TableParagraph"/>
              <w:spacing w:before="7"/>
              <w:rPr>
                <w:rFonts w:ascii="Times New Roman"/>
                <w:sz w:val="17"/>
              </w:rPr>
            </w:pPr>
          </w:p>
          <w:p>
            <w:pPr>
              <w:pStyle w:val="TableParagraph"/>
              <w:spacing w:line="273" w:lineRule="auto"/>
              <w:ind w:left="113" w:right="110"/>
              <w:rPr>
                <w:sz w:val="21"/>
              </w:rPr>
            </w:pPr>
            <w:r>
              <w:rPr>
                <w:sz w:val="21"/>
              </w:rPr>
              <w:t>指因肝炎病毒感染引起肝脏组织弥漫性坏死，导致急性肝功能衰竭， 且经血清学或病毒学检查证实，并须满足下列全部条件：</w:t>
            </w:r>
          </w:p>
          <w:p>
            <w:pPr>
              <w:pStyle w:val="TableParagraph"/>
              <w:numPr>
                <w:ilvl w:val="0"/>
                <w:numId w:val="15"/>
              </w:numPr>
              <w:tabs>
                <w:tab w:pos="745" w:val="left" w:leader="none"/>
              </w:tabs>
              <w:spacing w:line="240" w:lineRule="auto" w:before="7" w:after="0"/>
              <w:ind w:left="744" w:right="0" w:hanging="631"/>
              <w:jc w:val="left"/>
              <w:rPr>
                <w:sz w:val="21"/>
              </w:rPr>
            </w:pPr>
            <w:r>
              <w:rPr>
                <w:spacing w:val="-3"/>
                <w:sz w:val="21"/>
              </w:rPr>
              <w:t>重度黄疸或黄疸迅速加重；</w:t>
            </w:r>
          </w:p>
          <w:p>
            <w:pPr>
              <w:pStyle w:val="TableParagraph"/>
              <w:numPr>
                <w:ilvl w:val="0"/>
                <w:numId w:val="15"/>
              </w:numPr>
              <w:tabs>
                <w:tab w:pos="745" w:val="left" w:leader="none"/>
              </w:tabs>
              <w:spacing w:line="240" w:lineRule="auto" w:before="37" w:after="0"/>
              <w:ind w:left="744" w:right="0" w:hanging="631"/>
              <w:jc w:val="left"/>
              <w:rPr>
                <w:sz w:val="21"/>
              </w:rPr>
            </w:pPr>
            <w:r>
              <w:rPr>
                <w:spacing w:val="-3"/>
                <w:sz w:val="21"/>
              </w:rPr>
              <w:t>肝性脑病；</w:t>
            </w:r>
          </w:p>
          <w:p>
            <w:pPr>
              <w:pStyle w:val="TableParagraph"/>
              <w:numPr>
                <w:ilvl w:val="0"/>
                <w:numId w:val="15"/>
              </w:numPr>
              <w:tabs>
                <w:tab w:pos="745" w:val="left" w:leader="none"/>
              </w:tabs>
              <w:spacing w:line="240" w:lineRule="auto" w:before="37" w:after="0"/>
              <w:ind w:left="744" w:right="0" w:hanging="631"/>
              <w:jc w:val="left"/>
              <w:rPr>
                <w:sz w:val="21"/>
              </w:rPr>
            </w:pPr>
            <w:r>
              <w:rPr>
                <w:sz w:val="21"/>
              </w:rPr>
              <w:t>B</w:t>
            </w:r>
            <w:r>
              <w:rPr>
                <w:spacing w:val="-7"/>
                <w:sz w:val="21"/>
              </w:rPr>
              <w:t> 超或其它影像学检查显示肝脏体积急速萎缩；</w:t>
            </w:r>
          </w:p>
          <w:p>
            <w:pPr>
              <w:pStyle w:val="TableParagraph"/>
              <w:numPr>
                <w:ilvl w:val="0"/>
                <w:numId w:val="15"/>
              </w:numPr>
              <w:tabs>
                <w:tab w:pos="745" w:val="left" w:leader="none"/>
              </w:tabs>
              <w:spacing w:line="255" w:lineRule="exact" w:before="36" w:after="0"/>
              <w:ind w:left="744" w:right="0" w:hanging="631"/>
              <w:jc w:val="left"/>
              <w:rPr>
                <w:sz w:val="21"/>
              </w:rPr>
            </w:pPr>
            <w:r>
              <w:rPr>
                <w:spacing w:val="-3"/>
                <w:sz w:val="21"/>
              </w:rPr>
              <w:t>肝功能指标进行性恶化。</w:t>
            </w:r>
          </w:p>
        </w:tc>
      </w:tr>
    </w:tbl>
    <w:p>
      <w:pPr>
        <w:spacing w:after="0" w:line="255" w:lineRule="exact"/>
        <w:jc w:val="left"/>
        <w:rPr>
          <w:sz w:val="21"/>
        </w:rPr>
        <w:sectPr>
          <w:footerReference w:type="default" r:id="rId26"/>
          <w:pgSz w:w="11910" w:h="16840"/>
          <w:pgMar w:footer="992" w:header="900" w:top="1220" w:bottom="1180" w:left="1080" w:right="1460"/>
          <w:pgNumType w:start="1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15"/>
        </w:rPr>
      </w:pPr>
    </w:p>
    <w:tbl>
      <w:tblPr>
        <w:tblW w:w="0" w:type="auto"/>
        <w:jc w:val="left"/>
        <w:tblInd w:w="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6795"/>
      </w:tblGrid>
      <w:tr>
        <w:trPr>
          <w:trHeight w:val="2289" w:hRule="atLeast"/>
        </w:trPr>
        <w:tc>
          <w:tcPr>
            <w:tcW w:w="1788" w:type="dxa"/>
          </w:tcPr>
          <w:p>
            <w:pPr>
              <w:pStyle w:val="TableParagraph"/>
              <w:spacing w:line="410" w:lineRule="auto" w:before="32"/>
              <w:ind w:left="200" w:right="112"/>
              <w:rPr>
                <w:rFonts w:ascii="Microsoft JhengHei" w:eastAsia="Microsoft JhengHei" w:hint="eastAsia"/>
                <w:b/>
                <w:sz w:val="21"/>
              </w:rPr>
            </w:pPr>
            <w:r>
              <w:rPr>
                <w:rFonts w:ascii="Microsoft JhengHei" w:eastAsia="Microsoft JhengHei" w:hint="eastAsia"/>
                <w:b/>
                <w:sz w:val="21"/>
              </w:rPr>
              <w:t>脑炎后遗症或脑膜炎后遗症</w:t>
            </w:r>
          </w:p>
        </w:tc>
        <w:tc>
          <w:tcPr>
            <w:tcW w:w="6795" w:type="dxa"/>
          </w:tcPr>
          <w:p>
            <w:pPr>
              <w:pStyle w:val="TableParagraph"/>
              <w:spacing w:line="211" w:lineRule="exact"/>
              <w:ind w:left="114"/>
              <w:rPr>
                <w:sz w:val="21"/>
              </w:rPr>
            </w:pPr>
            <w:r>
              <w:rPr>
                <w:sz w:val="21"/>
              </w:rPr>
              <w:t>指因患脑炎或脑膜炎导致的神经系统永久性的功能障碍。神经系统永</w:t>
            </w:r>
          </w:p>
          <w:p>
            <w:pPr>
              <w:pStyle w:val="TableParagraph"/>
              <w:spacing w:line="273" w:lineRule="auto" w:before="37"/>
              <w:ind w:left="114" w:right="249"/>
              <w:rPr>
                <w:sz w:val="21"/>
              </w:rPr>
            </w:pPr>
            <w:r>
              <w:rPr>
                <w:sz w:val="21"/>
              </w:rPr>
              <w:t>久性的功能障碍，指疾病确诊 180 天后，仍遗留下列一种或一种以上障碍：</w:t>
            </w:r>
          </w:p>
          <w:p>
            <w:pPr>
              <w:pStyle w:val="TableParagraph"/>
              <w:numPr>
                <w:ilvl w:val="0"/>
                <w:numId w:val="16"/>
              </w:numPr>
              <w:tabs>
                <w:tab w:pos="746" w:val="left" w:leader="none"/>
              </w:tabs>
              <w:spacing w:line="240" w:lineRule="auto" w:before="7" w:after="0"/>
              <w:ind w:left="745" w:right="0" w:hanging="631"/>
              <w:jc w:val="left"/>
              <w:rPr>
                <w:sz w:val="21"/>
              </w:rPr>
            </w:pPr>
            <w:r>
              <w:rPr>
                <w:spacing w:val="-3"/>
                <w:sz w:val="21"/>
              </w:rPr>
              <w:t>一肢或一肢以上</w:t>
            </w:r>
            <w:r>
              <w:rPr>
                <w:b/>
                <w:sz w:val="21"/>
              </w:rPr>
              <w:t>肢体机能完全丧失</w:t>
            </w:r>
            <w:r>
              <w:rPr>
                <w:sz w:val="21"/>
              </w:rPr>
              <w:t>；</w:t>
            </w:r>
          </w:p>
          <w:p>
            <w:pPr>
              <w:pStyle w:val="TableParagraph"/>
              <w:numPr>
                <w:ilvl w:val="0"/>
                <w:numId w:val="16"/>
              </w:numPr>
              <w:tabs>
                <w:tab w:pos="746" w:val="left" w:leader="none"/>
              </w:tabs>
              <w:spacing w:line="240" w:lineRule="auto" w:before="36" w:after="0"/>
              <w:ind w:left="745" w:right="0" w:hanging="631"/>
              <w:jc w:val="left"/>
              <w:rPr>
                <w:sz w:val="21"/>
              </w:rPr>
            </w:pPr>
            <w:r>
              <w:rPr>
                <w:b/>
                <w:spacing w:val="-2"/>
                <w:sz w:val="21"/>
              </w:rPr>
              <w:t>语言能力或咀嚼吞咽能力完全丧失</w:t>
            </w:r>
            <w:r>
              <w:rPr>
                <w:sz w:val="21"/>
              </w:rPr>
              <w:t>；</w:t>
            </w:r>
          </w:p>
          <w:p>
            <w:pPr>
              <w:pStyle w:val="TableParagraph"/>
              <w:numPr>
                <w:ilvl w:val="0"/>
                <w:numId w:val="16"/>
              </w:numPr>
              <w:tabs>
                <w:tab w:pos="753" w:val="left" w:leader="none"/>
              </w:tabs>
              <w:spacing w:line="273" w:lineRule="auto" w:before="36" w:after="0"/>
              <w:ind w:left="745" w:right="306" w:hanging="631"/>
              <w:jc w:val="left"/>
              <w:rPr>
                <w:sz w:val="21"/>
              </w:rPr>
            </w:pPr>
            <w:r>
              <w:rPr>
                <w:sz w:val="21"/>
              </w:rPr>
              <w:t>自主生活能力完全丧失，无法独立完成</w:t>
            </w:r>
            <w:r>
              <w:rPr>
                <w:b/>
                <w:sz w:val="21"/>
              </w:rPr>
              <w:t>六项基本日常生活活动</w:t>
            </w:r>
            <w:r>
              <w:rPr>
                <w:spacing w:val="-3"/>
                <w:sz w:val="21"/>
              </w:rPr>
              <w:t>中的三项或三项以上。</w:t>
            </w:r>
          </w:p>
        </w:tc>
      </w:tr>
      <w:tr>
        <w:trPr>
          <w:trHeight w:val="1560" w:hRule="atLeast"/>
        </w:trPr>
        <w:tc>
          <w:tcPr>
            <w:tcW w:w="1788"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深度昏迷</w:t>
            </w:r>
          </w:p>
        </w:tc>
        <w:tc>
          <w:tcPr>
            <w:tcW w:w="6795" w:type="dxa"/>
          </w:tcPr>
          <w:p>
            <w:pPr>
              <w:pStyle w:val="TableParagraph"/>
              <w:spacing w:line="273" w:lineRule="auto" w:before="142"/>
              <w:ind w:left="114" w:right="200"/>
              <w:rPr>
                <w:sz w:val="21"/>
              </w:rPr>
            </w:pPr>
            <w:r>
              <w:rPr>
                <w:sz w:val="21"/>
              </w:rPr>
              <w:t>指因疾病或意外伤害导致意识丧失,对外界刺激和体内需求均无反应, </w:t>
            </w:r>
            <w:r>
              <w:rPr>
                <w:spacing w:val="-3"/>
                <w:sz w:val="21"/>
              </w:rPr>
              <w:t>昏迷程度按照格拉斯哥昏迷分级</w:t>
            </w:r>
            <w:r>
              <w:rPr>
                <w:sz w:val="21"/>
              </w:rPr>
              <w:t>（Glasgow coma scale）</w:t>
            </w:r>
            <w:r>
              <w:rPr>
                <w:spacing w:val="-5"/>
                <w:sz w:val="21"/>
              </w:rPr>
              <w:t>结果为 </w:t>
            </w:r>
            <w:r>
              <w:rPr>
                <w:sz w:val="21"/>
              </w:rPr>
              <w:t>5</w:t>
            </w:r>
            <w:r>
              <w:rPr>
                <w:spacing w:val="-10"/>
                <w:sz w:val="21"/>
              </w:rPr>
              <w:t> 分</w:t>
            </w:r>
            <w:r>
              <w:rPr>
                <w:spacing w:val="-32"/>
                <w:sz w:val="21"/>
              </w:rPr>
              <w:t>或 </w:t>
            </w:r>
            <w:r>
              <w:rPr>
                <w:sz w:val="21"/>
              </w:rPr>
              <w:t>5</w:t>
            </w:r>
            <w:r>
              <w:rPr>
                <w:spacing w:val="-17"/>
                <w:sz w:val="21"/>
              </w:rPr>
              <w:t> 分以下，且已经持续使用呼吸机及其它生命维持系统 </w:t>
            </w:r>
            <w:r>
              <w:rPr>
                <w:sz w:val="21"/>
              </w:rPr>
              <w:t>96</w:t>
            </w:r>
            <w:r>
              <w:rPr>
                <w:spacing w:val="-12"/>
                <w:sz w:val="21"/>
              </w:rPr>
              <w:t> 小时以上。</w:t>
            </w:r>
            <w:r>
              <w:rPr>
                <w:spacing w:val="-6"/>
                <w:sz w:val="21"/>
              </w:rPr>
              <w:t>因酗酒或药物滥用导致的深度昏迷不在保障范围内。</w:t>
            </w:r>
          </w:p>
        </w:tc>
      </w:tr>
      <w:tr>
        <w:trPr>
          <w:trHeight w:val="1560" w:hRule="atLeast"/>
        </w:trPr>
        <w:tc>
          <w:tcPr>
            <w:tcW w:w="1788"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双耳失聪</w:t>
            </w:r>
          </w:p>
        </w:tc>
        <w:tc>
          <w:tcPr>
            <w:tcW w:w="6795" w:type="dxa"/>
          </w:tcPr>
          <w:p>
            <w:pPr>
              <w:pStyle w:val="TableParagraph"/>
              <w:spacing w:before="142"/>
              <w:ind w:left="114"/>
              <w:rPr>
                <w:sz w:val="21"/>
              </w:rPr>
            </w:pPr>
            <w:r>
              <w:rPr>
                <w:sz w:val="21"/>
              </w:rPr>
              <w:t>指因疾病或意外伤害导致双耳听力</w:t>
            </w:r>
            <w:r>
              <w:rPr>
                <w:b/>
                <w:sz w:val="21"/>
              </w:rPr>
              <w:t>永久不可逆</w:t>
            </w:r>
            <w:r>
              <w:rPr>
                <w:sz w:val="21"/>
              </w:rPr>
              <w:t>性丧失，在 500 赫兹、</w:t>
            </w:r>
          </w:p>
          <w:p>
            <w:pPr>
              <w:pStyle w:val="TableParagraph"/>
              <w:spacing w:line="273" w:lineRule="auto" w:before="36"/>
              <w:ind w:left="114" w:right="322"/>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w:t>
            </w:r>
            <w:r>
              <w:rPr>
                <w:spacing w:val="-5"/>
                <w:sz w:val="21"/>
              </w:rPr>
              <w:t>听力测试、声导抗检测或听觉诱发电位检测等证实。</w:t>
            </w:r>
          </w:p>
          <w:p>
            <w:pPr>
              <w:pStyle w:val="TableParagraph"/>
              <w:spacing w:before="7"/>
              <w:ind w:left="114"/>
              <w:rPr>
                <w:sz w:val="21"/>
              </w:rPr>
            </w:pPr>
            <w:r>
              <w:rPr>
                <w:spacing w:val="-22"/>
                <w:sz w:val="21"/>
              </w:rPr>
              <w:t>在 </w:t>
            </w:r>
            <w:r>
              <w:rPr>
                <w:sz w:val="21"/>
              </w:rPr>
              <w:t>0</w:t>
            </w:r>
            <w:r>
              <w:rPr>
                <w:spacing w:val="-20"/>
                <w:sz w:val="21"/>
              </w:rPr>
              <w:t> 周岁至 </w:t>
            </w:r>
            <w:r>
              <w:rPr>
                <w:sz w:val="21"/>
              </w:rPr>
              <w:t>3</w:t>
            </w:r>
            <w:r>
              <w:rPr>
                <w:spacing w:val="-11"/>
                <w:sz w:val="21"/>
              </w:rPr>
              <w:t> 周岁的保险单周年日期间，被保险人初患双耳失聪除外。</w:t>
            </w:r>
          </w:p>
        </w:tc>
      </w:tr>
      <w:tr>
        <w:trPr>
          <w:trHeight w:val="2184" w:hRule="atLeast"/>
        </w:trPr>
        <w:tc>
          <w:tcPr>
            <w:tcW w:w="1788"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双目失明</w:t>
            </w:r>
          </w:p>
        </w:tc>
        <w:tc>
          <w:tcPr>
            <w:tcW w:w="6795" w:type="dxa"/>
          </w:tcPr>
          <w:p>
            <w:pPr>
              <w:pStyle w:val="TableParagraph"/>
              <w:spacing w:line="273" w:lineRule="auto" w:before="142"/>
              <w:ind w:left="114" w:right="309"/>
              <w:rPr>
                <w:sz w:val="21"/>
              </w:rPr>
            </w:pPr>
            <w:r>
              <w:rPr>
                <w:sz w:val="21"/>
              </w:rPr>
              <w:t>指因疾病或意外伤害导致双眼视力永久不可逆性丧失，双眼中较好眼须满足下列至少一项条件：</w:t>
            </w:r>
          </w:p>
          <w:p>
            <w:pPr>
              <w:pStyle w:val="TableParagraph"/>
              <w:numPr>
                <w:ilvl w:val="0"/>
                <w:numId w:val="17"/>
              </w:numPr>
              <w:tabs>
                <w:tab w:pos="746" w:val="left" w:leader="none"/>
              </w:tabs>
              <w:spacing w:line="240" w:lineRule="auto" w:before="7" w:after="0"/>
              <w:ind w:left="745" w:right="0" w:hanging="631"/>
              <w:jc w:val="left"/>
              <w:rPr>
                <w:sz w:val="21"/>
              </w:rPr>
            </w:pPr>
            <w:r>
              <w:rPr>
                <w:spacing w:val="-3"/>
                <w:sz w:val="21"/>
              </w:rPr>
              <w:t>眼球缺失或摘除；</w:t>
            </w:r>
          </w:p>
          <w:p>
            <w:pPr>
              <w:pStyle w:val="TableParagraph"/>
              <w:numPr>
                <w:ilvl w:val="0"/>
                <w:numId w:val="17"/>
              </w:numPr>
              <w:tabs>
                <w:tab w:pos="746" w:val="left" w:leader="none"/>
              </w:tabs>
              <w:spacing w:line="273" w:lineRule="auto" w:before="36" w:after="0"/>
              <w:ind w:left="745" w:right="303" w:hanging="631"/>
              <w:jc w:val="left"/>
              <w:rPr>
                <w:sz w:val="21"/>
              </w:rPr>
            </w:pPr>
            <w:r>
              <w:rPr>
                <w:spacing w:val="-5"/>
                <w:sz w:val="21"/>
              </w:rPr>
              <w:t>矫正视力低于 </w:t>
            </w:r>
            <w:r>
              <w:rPr>
                <w:sz w:val="21"/>
              </w:rPr>
              <w:t>0.02（</w:t>
            </w:r>
            <w:r>
              <w:rPr>
                <w:spacing w:val="-3"/>
                <w:sz w:val="21"/>
              </w:rPr>
              <w:t>采用国际标准视力表，如果使用其它视力表应进行换算</w:t>
            </w:r>
            <w:r>
              <w:rPr>
                <w:sz w:val="21"/>
              </w:rPr>
              <w:t>）；</w:t>
            </w:r>
          </w:p>
          <w:p>
            <w:pPr>
              <w:pStyle w:val="TableParagraph"/>
              <w:numPr>
                <w:ilvl w:val="0"/>
                <w:numId w:val="17"/>
              </w:numPr>
              <w:tabs>
                <w:tab w:pos="746" w:val="left" w:leader="none"/>
              </w:tabs>
              <w:spacing w:line="240" w:lineRule="auto" w:before="7" w:after="0"/>
              <w:ind w:left="745" w:right="0" w:hanging="631"/>
              <w:jc w:val="left"/>
              <w:rPr>
                <w:sz w:val="21"/>
              </w:rPr>
            </w:pPr>
            <w:r>
              <w:rPr>
                <w:spacing w:val="-10"/>
                <w:sz w:val="21"/>
              </w:rPr>
              <w:t>视野半径小于 </w:t>
            </w:r>
            <w:r>
              <w:rPr>
                <w:sz w:val="21"/>
              </w:rPr>
              <w:t>5</w:t>
            </w:r>
            <w:r>
              <w:rPr>
                <w:spacing w:val="-19"/>
                <w:sz w:val="21"/>
              </w:rPr>
              <w:t> 度。</w:t>
            </w:r>
          </w:p>
        </w:tc>
      </w:tr>
      <w:tr>
        <w:trPr>
          <w:trHeight w:val="1248" w:hRule="atLeast"/>
        </w:trPr>
        <w:tc>
          <w:tcPr>
            <w:tcW w:w="1788"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瘫痪</w:t>
            </w:r>
          </w:p>
        </w:tc>
        <w:tc>
          <w:tcPr>
            <w:tcW w:w="6795" w:type="dxa"/>
          </w:tcPr>
          <w:p>
            <w:pPr>
              <w:pStyle w:val="TableParagraph"/>
              <w:spacing w:line="273" w:lineRule="auto" w:before="142"/>
              <w:ind w:left="114" w:right="197"/>
              <w:rPr>
                <w:sz w:val="21"/>
              </w:rPr>
            </w:pPr>
            <w:r>
              <w:rPr>
                <w:sz w:val="21"/>
              </w:rPr>
              <w:t>指因疾病或意外伤害导致两肢或两肢以上肢体机能永久完全丧失。肢</w:t>
            </w:r>
            <w:r>
              <w:rPr>
                <w:spacing w:val="-10"/>
                <w:sz w:val="21"/>
              </w:rPr>
              <w:t>体机能永久完全丧失，指疾病确诊 </w:t>
            </w:r>
            <w:r>
              <w:rPr>
                <w:sz w:val="21"/>
              </w:rPr>
              <w:t>180</w:t>
            </w:r>
            <w:r>
              <w:rPr>
                <w:spacing w:val="-13"/>
                <w:sz w:val="21"/>
              </w:rPr>
              <w:t> 天后或意外伤害发生 </w:t>
            </w:r>
            <w:r>
              <w:rPr>
                <w:sz w:val="21"/>
              </w:rPr>
              <w:t>180</w:t>
            </w:r>
            <w:r>
              <w:rPr>
                <w:spacing w:val="-13"/>
                <w:sz w:val="21"/>
              </w:rPr>
              <w:t> 天后， </w:t>
            </w:r>
            <w:r>
              <w:rPr>
                <w:spacing w:val="-6"/>
                <w:sz w:val="21"/>
              </w:rPr>
              <w:t>每肢三大关节中的两大关节仍然完全僵硬，或不能随意识活动。</w:t>
            </w:r>
          </w:p>
        </w:tc>
      </w:tr>
      <w:tr>
        <w:trPr>
          <w:trHeight w:val="2808" w:hRule="atLeast"/>
        </w:trPr>
        <w:tc>
          <w:tcPr>
            <w:tcW w:w="1788"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严重脑损伤</w:t>
            </w:r>
          </w:p>
        </w:tc>
        <w:tc>
          <w:tcPr>
            <w:tcW w:w="6795" w:type="dxa"/>
          </w:tcPr>
          <w:p>
            <w:pPr>
              <w:pStyle w:val="TableParagraph"/>
              <w:spacing w:line="273" w:lineRule="auto" w:before="142"/>
              <w:ind w:left="114" w:right="303"/>
              <w:jc w:val="both"/>
              <w:rPr>
                <w:sz w:val="21"/>
              </w:rPr>
            </w:pPr>
            <w:r>
              <w:rPr>
                <w:sz w:val="21"/>
              </w:rPr>
              <w:t>指因头部遭受机械性外力，引起脑重要部位损伤，导致神经系统永久</w:t>
            </w:r>
            <w:r>
              <w:rPr>
                <w:spacing w:val="-5"/>
                <w:sz w:val="21"/>
              </w:rPr>
              <w:t>性的功能障碍。须由头颅断层扫描</w:t>
            </w:r>
            <w:r>
              <w:rPr>
                <w:spacing w:val="-3"/>
                <w:sz w:val="21"/>
              </w:rPr>
              <w:t>（CT）</w:t>
            </w:r>
            <w:r>
              <w:rPr>
                <w:spacing w:val="-5"/>
                <w:sz w:val="21"/>
              </w:rPr>
              <w:t>、核磁共振检查</w:t>
            </w:r>
            <w:r>
              <w:rPr>
                <w:spacing w:val="-3"/>
                <w:sz w:val="21"/>
              </w:rPr>
              <w:t>（MRI）</w:t>
            </w:r>
            <w:r>
              <w:rPr>
                <w:sz w:val="21"/>
              </w:rPr>
              <w:t>或正</w:t>
            </w:r>
            <w:r>
              <w:rPr>
                <w:spacing w:val="-5"/>
                <w:sz w:val="21"/>
              </w:rPr>
              <w:t>电子发射断层扫描</w:t>
            </w:r>
            <w:r>
              <w:rPr>
                <w:spacing w:val="-4"/>
                <w:sz w:val="21"/>
              </w:rPr>
              <w:t>（PET）</w:t>
            </w:r>
            <w:r>
              <w:rPr>
                <w:spacing w:val="-5"/>
                <w:sz w:val="21"/>
              </w:rPr>
              <w:t>等影像学检查证实。神经系统永久性的功能</w:t>
            </w:r>
            <w:r>
              <w:rPr>
                <w:spacing w:val="-9"/>
                <w:sz w:val="21"/>
              </w:rPr>
              <w:t>障碍，指脑损伤 </w:t>
            </w:r>
            <w:r>
              <w:rPr>
                <w:sz w:val="21"/>
              </w:rPr>
              <w:t>180</w:t>
            </w:r>
            <w:r>
              <w:rPr>
                <w:spacing w:val="-8"/>
                <w:sz w:val="21"/>
              </w:rPr>
              <w:t> 天后，仍遗留下列一种或一种以上障碍：</w:t>
            </w:r>
          </w:p>
          <w:p>
            <w:pPr>
              <w:pStyle w:val="TableParagraph"/>
              <w:numPr>
                <w:ilvl w:val="0"/>
                <w:numId w:val="18"/>
              </w:numPr>
              <w:tabs>
                <w:tab w:pos="746" w:val="left" w:leader="none"/>
              </w:tabs>
              <w:spacing w:line="240" w:lineRule="auto" w:before="7" w:after="0"/>
              <w:ind w:left="745" w:right="0" w:hanging="631"/>
              <w:jc w:val="left"/>
              <w:rPr>
                <w:sz w:val="21"/>
              </w:rPr>
            </w:pPr>
            <w:r>
              <w:rPr>
                <w:spacing w:val="-3"/>
                <w:sz w:val="21"/>
              </w:rPr>
              <w:t>一肢或一肢以上肢体机能完全丧失；</w:t>
            </w:r>
          </w:p>
          <w:p>
            <w:pPr>
              <w:pStyle w:val="TableParagraph"/>
              <w:numPr>
                <w:ilvl w:val="0"/>
                <w:numId w:val="18"/>
              </w:numPr>
              <w:tabs>
                <w:tab w:pos="746" w:val="left" w:leader="none"/>
              </w:tabs>
              <w:spacing w:line="240" w:lineRule="auto" w:before="37" w:after="0"/>
              <w:ind w:left="745" w:right="0" w:hanging="631"/>
              <w:jc w:val="left"/>
              <w:rPr>
                <w:sz w:val="21"/>
              </w:rPr>
            </w:pPr>
            <w:r>
              <w:rPr>
                <w:spacing w:val="-3"/>
                <w:sz w:val="21"/>
              </w:rPr>
              <w:t>语言能力或咀嚼吞咽能力完全丧失；</w:t>
            </w:r>
          </w:p>
          <w:p>
            <w:pPr>
              <w:pStyle w:val="TableParagraph"/>
              <w:numPr>
                <w:ilvl w:val="0"/>
                <w:numId w:val="18"/>
              </w:numPr>
              <w:tabs>
                <w:tab w:pos="755" w:val="left" w:leader="none"/>
              </w:tabs>
              <w:spacing w:line="273" w:lineRule="auto" w:before="37" w:after="0"/>
              <w:ind w:left="745" w:right="310" w:hanging="631"/>
              <w:jc w:val="left"/>
              <w:rPr>
                <w:sz w:val="21"/>
              </w:rPr>
            </w:pPr>
            <w:r>
              <w:rPr>
                <w:sz w:val="21"/>
              </w:rPr>
              <w:t>自主生活能力完全丧失，无法独立完成六项基本日常生活活动</w:t>
            </w:r>
            <w:r>
              <w:rPr>
                <w:spacing w:val="-3"/>
                <w:sz w:val="21"/>
              </w:rPr>
              <w:t>中的三项或三项以上。</w:t>
            </w:r>
          </w:p>
        </w:tc>
      </w:tr>
      <w:tr>
        <w:trPr>
          <w:trHeight w:val="936" w:hRule="atLeast"/>
        </w:trPr>
        <w:tc>
          <w:tcPr>
            <w:tcW w:w="1788" w:type="dxa"/>
          </w:tcPr>
          <w:p>
            <w:pPr>
              <w:pStyle w:val="TableParagraph"/>
              <w:spacing w:before="239"/>
              <w:ind w:left="200"/>
              <w:rPr>
                <w:rFonts w:ascii="Microsoft JhengHei" w:hAnsi="Microsoft JhengHei" w:eastAsia="Microsoft JhengHei" w:hint="eastAsia"/>
                <w:b/>
                <w:sz w:val="21"/>
              </w:rPr>
            </w:pPr>
            <w:r>
              <w:rPr>
                <w:rFonts w:ascii="Microsoft JhengHei" w:hAnsi="Microsoft JhengHei" w:eastAsia="Microsoft JhengHei" w:hint="eastAsia"/>
                <w:b/>
                <w:w w:val="95"/>
                <w:sz w:val="21"/>
              </w:rPr>
              <w:t>严重Ⅲ度烧伤</w:t>
            </w:r>
          </w:p>
        </w:tc>
        <w:tc>
          <w:tcPr>
            <w:tcW w:w="6795" w:type="dxa"/>
          </w:tcPr>
          <w:p>
            <w:pPr>
              <w:pStyle w:val="TableParagraph"/>
              <w:spacing w:line="273" w:lineRule="auto" w:before="142"/>
              <w:ind w:left="114" w:right="303"/>
              <w:rPr>
                <w:sz w:val="21"/>
              </w:rPr>
            </w:pPr>
            <w:r>
              <w:rPr>
                <w:spacing w:val="-9"/>
                <w:sz w:val="21"/>
              </w:rPr>
              <w:t>指烧伤程度为Ⅲ度，且Ⅲ度烧伤的面积达到全身体表面积的 </w:t>
            </w:r>
            <w:r>
              <w:rPr>
                <w:sz w:val="21"/>
              </w:rPr>
              <w:t>20%</w:t>
            </w:r>
            <w:r>
              <w:rPr>
                <w:spacing w:val="-21"/>
                <w:sz w:val="21"/>
              </w:rPr>
              <w:t>或 </w:t>
            </w:r>
            <w:r>
              <w:rPr>
                <w:sz w:val="21"/>
              </w:rPr>
              <w:t>20% </w:t>
            </w:r>
            <w:r>
              <w:rPr>
                <w:spacing w:val="-3"/>
                <w:sz w:val="21"/>
              </w:rPr>
              <w:t>以上。体表面积根据《中国新九分法》计算。</w:t>
            </w:r>
          </w:p>
        </w:tc>
      </w:tr>
      <w:tr>
        <w:trPr>
          <w:trHeight w:val="729" w:hRule="atLeast"/>
        </w:trPr>
        <w:tc>
          <w:tcPr>
            <w:tcW w:w="1788"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严重运动神经元</w:t>
            </w:r>
          </w:p>
        </w:tc>
        <w:tc>
          <w:tcPr>
            <w:tcW w:w="6795" w:type="dxa"/>
          </w:tcPr>
          <w:p>
            <w:pPr>
              <w:pStyle w:val="TableParagraph"/>
              <w:spacing w:line="310" w:lineRule="atLeast" w:before="107"/>
              <w:ind w:left="114" w:right="309"/>
              <w:rPr>
                <w:sz w:val="21"/>
              </w:rPr>
            </w:pPr>
            <w:r>
              <w:rPr>
                <w:sz w:val="21"/>
              </w:rPr>
              <w:t>是一组中枢神经系统运动神经元的进行性变性疾病，包括进行性脊肌萎缩症、进行性延髓麻痹症、原发性侧索硬化症、肌萎缩性侧索硬化</w:t>
            </w:r>
          </w:p>
        </w:tc>
      </w:tr>
    </w:tbl>
    <w:p>
      <w:pPr>
        <w:spacing w:after="0" w:line="310" w:lineRule="atLeast"/>
        <w:rPr>
          <w:sz w:val="21"/>
        </w:rPr>
        <w:sectPr>
          <w:pgSz w:w="11910" w:h="16840"/>
          <w:pgMar w:header="900" w:footer="992" w:top="1220" w:bottom="1180" w:left="1200" w:right="1260"/>
        </w:sectPr>
      </w:pPr>
    </w:p>
    <w:p>
      <w:pPr>
        <w:pStyle w:val="BodyText"/>
        <w:spacing w:before="5"/>
        <w:rPr>
          <w:rFonts w:ascii="Times New Roman"/>
          <w:sz w:val="2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1855"/>
        <w:gridCol w:w="6795"/>
      </w:tblGrid>
      <w:tr>
        <w:trPr>
          <w:trHeight w:val="729" w:hRule="atLeast"/>
        </w:trPr>
        <w:tc>
          <w:tcPr>
            <w:tcW w:w="784" w:type="dxa"/>
          </w:tcPr>
          <w:p>
            <w:pPr>
              <w:pStyle w:val="TableParagraph"/>
              <w:rPr>
                <w:rFonts w:ascii="Times New Roman"/>
                <w:sz w:val="20"/>
              </w:rPr>
            </w:pPr>
          </w:p>
        </w:tc>
        <w:tc>
          <w:tcPr>
            <w:tcW w:w="1855" w:type="dxa"/>
          </w:tcPr>
          <w:p>
            <w:pPr>
              <w:pStyle w:val="TableParagraph"/>
              <w:spacing w:before="32"/>
              <w:ind w:left="267"/>
              <w:rPr>
                <w:rFonts w:ascii="Microsoft JhengHei" w:eastAsia="Microsoft JhengHei" w:hint="eastAsia"/>
                <w:b/>
                <w:sz w:val="21"/>
              </w:rPr>
            </w:pPr>
            <w:r>
              <w:rPr>
                <w:rFonts w:ascii="Microsoft JhengHei" w:eastAsia="Microsoft JhengHei" w:hint="eastAsia"/>
                <w:b/>
                <w:w w:val="100"/>
                <w:sz w:val="21"/>
              </w:rPr>
              <w:t>病</w:t>
            </w:r>
          </w:p>
        </w:tc>
        <w:tc>
          <w:tcPr>
            <w:tcW w:w="6795" w:type="dxa"/>
          </w:tcPr>
          <w:p>
            <w:pPr>
              <w:pStyle w:val="TableParagraph"/>
              <w:spacing w:line="211" w:lineRule="exact"/>
              <w:ind w:left="115"/>
              <w:rPr>
                <w:sz w:val="21"/>
              </w:rPr>
            </w:pPr>
            <w:r>
              <w:rPr>
                <w:sz w:val="21"/>
              </w:rPr>
              <w:t>症。须满足自主生活能力完全丧失，无法独立完成六项基本日常生活</w:t>
            </w:r>
          </w:p>
          <w:p>
            <w:pPr>
              <w:pStyle w:val="TableParagraph"/>
              <w:spacing w:before="37"/>
              <w:ind w:left="115"/>
              <w:rPr>
                <w:sz w:val="21"/>
              </w:rPr>
            </w:pPr>
            <w:r>
              <w:rPr>
                <w:sz w:val="21"/>
              </w:rPr>
              <w:t>活动中的三项或三项以上的条件。</w:t>
            </w:r>
          </w:p>
        </w:tc>
      </w:tr>
      <w:tr>
        <w:trPr>
          <w:trHeight w:val="1872" w:hRule="atLeast"/>
        </w:trPr>
        <w:tc>
          <w:tcPr>
            <w:tcW w:w="784" w:type="dxa"/>
          </w:tcPr>
          <w:p>
            <w:pPr>
              <w:pStyle w:val="TableParagraph"/>
              <w:rPr>
                <w:rFonts w:ascii="Times New Roman"/>
                <w:sz w:val="20"/>
              </w:rPr>
            </w:pPr>
          </w:p>
        </w:tc>
        <w:tc>
          <w:tcPr>
            <w:tcW w:w="1855" w:type="dxa"/>
          </w:tcPr>
          <w:p>
            <w:pPr>
              <w:pStyle w:val="TableParagraph"/>
              <w:spacing w:before="239"/>
              <w:ind w:left="267"/>
              <w:rPr>
                <w:rFonts w:ascii="Microsoft JhengHei" w:eastAsia="Microsoft JhengHei" w:hint="eastAsia"/>
                <w:b/>
                <w:sz w:val="21"/>
              </w:rPr>
            </w:pPr>
            <w:r>
              <w:rPr>
                <w:rFonts w:ascii="Microsoft JhengHei" w:eastAsia="Microsoft JhengHei" w:hint="eastAsia"/>
                <w:b/>
                <w:sz w:val="21"/>
              </w:rPr>
              <w:t>语言能力丧失</w:t>
            </w:r>
          </w:p>
        </w:tc>
        <w:tc>
          <w:tcPr>
            <w:tcW w:w="6795" w:type="dxa"/>
          </w:tcPr>
          <w:p>
            <w:pPr>
              <w:pStyle w:val="TableParagraph"/>
              <w:spacing w:line="273" w:lineRule="auto" w:before="142"/>
              <w:ind w:left="115" w:right="199"/>
              <w:rPr>
                <w:sz w:val="21"/>
              </w:rPr>
            </w:pPr>
            <w:r>
              <w:rPr>
                <w:spacing w:val="-7"/>
                <w:sz w:val="21"/>
              </w:rPr>
              <w:t>指因疾病或意外伤害导致完全丧失语言能力，经过积极治疗至少 </w:t>
            </w:r>
            <w:r>
              <w:rPr>
                <w:sz w:val="21"/>
              </w:rPr>
              <w:t>12</w:t>
            </w:r>
            <w:r>
              <w:rPr>
                <w:spacing w:val="-23"/>
                <w:sz w:val="21"/>
              </w:rPr>
              <w:t> 个</w:t>
            </w:r>
            <w:r>
              <w:rPr>
                <w:spacing w:val="-13"/>
                <w:sz w:val="21"/>
              </w:rPr>
              <w:t>月</w:t>
            </w:r>
            <w:r>
              <w:rPr>
                <w:sz w:val="21"/>
              </w:rPr>
              <w:t>（</w:t>
            </w:r>
            <w:r>
              <w:rPr>
                <w:spacing w:val="-3"/>
                <w:sz w:val="21"/>
              </w:rPr>
              <w:t>声带完全切除不受此时间限制</w:t>
            </w:r>
            <w:r>
              <w:rPr>
                <w:spacing w:val="-14"/>
                <w:sz w:val="21"/>
              </w:rPr>
              <w:t>）</w:t>
            </w:r>
            <w:r>
              <w:rPr>
                <w:spacing w:val="-5"/>
                <w:sz w:val="21"/>
              </w:rPr>
              <w:t>，仍无法通过现有医疗手段恢复。</w:t>
            </w:r>
            <w:r>
              <w:rPr>
                <w:spacing w:val="-4"/>
                <w:sz w:val="21"/>
              </w:rPr>
              <w:t>精神心理因素所致的语言能力丧失不在保障范围内。</w:t>
            </w:r>
          </w:p>
          <w:p>
            <w:pPr>
              <w:pStyle w:val="TableParagraph"/>
              <w:spacing w:line="273" w:lineRule="auto" w:before="7"/>
              <w:ind w:left="115" w:right="302"/>
              <w:rPr>
                <w:sz w:val="21"/>
              </w:rPr>
            </w:pPr>
            <w:r>
              <w:rPr>
                <w:spacing w:val="-14"/>
                <w:sz w:val="21"/>
              </w:rPr>
              <w:t>在 </w:t>
            </w:r>
            <w:r>
              <w:rPr>
                <w:sz w:val="21"/>
              </w:rPr>
              <w:t>0</w:t>
            </w:r>
            <w:r>
              <w:rPr>
                <w:spacing w:val="-13"/>
                <w:sz w:val="21"/>
              </w:rPr>
              <w:t> 周岁至 </w:t>
            </w:r>
            <w:r>
              <w:rPr>
                <w:sz w:val="21"/>
              </w:rPr>
              <w:t>3</w:t>
            </w:r>
            <w:r>
              <w:rPr>
                <w:spacing w:val="-7"/>
                <w:sz w:val="21"/>
              </w:rPr>
              <w:t> 周岁的保险单周年日期间，被保险人初患语言能力丧失除外。</w:t>
            </w:r>
          </w:p>
        </w:tc>
      </w:tr>
      <w:tr>
        <w:trPr>
          <w:trHeight w:val="3057" w:hRule="atLeast"/>
        </w:trPr>
        <w:tc>
          <w:tcPr>
            <w:tcW w:w="784" w:type="dxa"/>
          </w:tcPr>
          <w:p>
            <w:pPr>
              <w:pStyle w:val="TableParagraph"/>
              <w:rPr>
                <w:rFonts w:ascii="Times New Roman"/>
                <w:sz w:val="20"/>
              </w:rPr>
            </w:pPr>
          </w:p>
        </w:tc>
        <w:tc>
          <w:tcPr>
            <w:tcW w:w="1855" w:type="dxa"/>
          </w:tcPr>
          <w:p>
            <w:pPr>
              <w:pStyle w:val="TableParagraph"/>
              <w:spacing w:line="410" w:lineRule="auto" w:before="239"/>
              <w:ind w:left="267" w:right="111"/>
              <w:rPr>
                <w:rFonts w:ascii="Microsoft JhengHei" w:eastAsia="Microsoft JhengHei" w:hint="eastAsia"/>
                <w:b/>
                <w:sz w:val="21"/>
              </w:rPr>
            </w:pPr>
            <w:r>
              <w:rPr>
                <w:rFonts w:ascii="Microsoft JhengHei" w:eastAsia="Microsoft JhengHei" w:hint="eastAsia"/>
                <w:b/>
                <w:sz w:val="21"/>
              </w:rPr>
              <w:t>重型再生障碍性贫血</w:t>
            </w:r>
          </w:p>
        </w:tc>
        <w:tc>
          <w:tcPr>
            <w:tcW w:w="6795" w:type="dxa"/>
          </w:tcPr>
          <w:p>
            <w:pPr>
              <w:pStyle w:val="TableParagraph"/>
              <w:spacing w:line="273" w:lineRule="auto" w:before="142"/>
              <w:ind w:left="115" w:right="308"/>
              <w:rPr>
                <w:sz w:val="21"/>
              </w:rPr>
            </w:pPr>
            <w:r>
              <w:rPr>
                <w:sz w:val="21"/>
              </w:rPr>
              <w:t>指因骨髓造血功能慢性持续性衰竭导致的贫血、中性粒细胞减少及血小板减少。须满足下列全部条件：</w:t>
            </w:r>
          </w:p>
          <w:p>
            <w:pPr>
              <w:pStyle w:val="TableParagraph"/>
              <w:numPr>
                <w:ilvl w:val="0"/>
                <w:numId w:val="19"/>
              </w:numPr>
              <w:tabs>
                <w:tab w:pos="747" w:val="left" w:leader="none"/>
              </w:tabs>
              <w:spacing w:line="240" w:lineRule="auto" w:before="7" w:after="0"/>
              <w:ind w:left="746" w:right="0" w:hanging="631"/>
              <w:jc w:val="left"/>
              <w:rPr>
                <w:sz w:val="21"/>
              </w:rPr>
            </w:pPr>
            <w:r>
              <w:rPr>
                <w:spacing w:val="-3"/>
                <w:sz w:val="21"/>
              </w:rPr>
              <w:t>骨髓穿刺检查或骨髓活检结果支持诊断；</w:t>
            </w:r>
          </w:p>
          <w:p>
            <w:pPr>
              <w:pStyle w:val="TableParagraph"/>
              <w:numPr>
                <w:ilvl w:val="0"/>
                <w:numId w:val="19"/>
              </w:numPr>
              <w:tabs>
                <w:tab w:pos="747" w:val="left" w:leader="none"/>
              </w:tabs>
              <w:spacing w:line="240" w:lineRule="auto" w:before="36" w:after="0"/>
              <w:ind w:left="746" w:right="0" w:hanging="631"/>
              <w:jc w:val="left"/>
              <w:rPr>
                <w:sz w:val="21"/>
              </w:rPr>
            </w:pPr>
            <w:r>
              <w:rPr>
                <w:spacing w:val="-3"/>
                <w:sz w:val="21"/>
              </w:rPr>
              <w:t>外周血象须具备以下三项条件：</w:t>
            </w:r>
          </w:p>
          <w:p>
            <w:pPr>
              <w:pStyle w:val="TableParagraph"/>
              <w:spacing w:line="99" w:lineRule="exact" w:before="168"/>
              <w:ind w:left="844"/>
              <w:jc w:val="center"/>
              <w:rPr>
                <w:sz w:val="11"/>
              </w:rPr>
            </w:pPr>
            <w:r>
              <w:rPr>
                <w:w w:val="100"/>
                <w:sz w:val="11"/>
              </w:rPr>
              <w:t>9</w:t>
            </w:r>
          </w:p>
          <w:p>
            <w:pPr>
              <w:pStyle w:val="TableParagraph"/>
              <w:tabs>
                <w:tab w:pos="1168" w:val="left" w:leader="none"/>
              </w:tabs>
              <w:spacing w:line="230" w:lineRule="exact"/>
              <w:ind w:left="746"/>
              <w:rPr>
                <w:sz w:val="21"/>
              </w:rPr>
            </w:pPr>
            <w:r>
              <w:rPr>
                <w:sz w:val="21"/>
              </w:rPr>
              <w:t>①</w:t>
              <w:tab/>
            </w:r>
            <w:r>
              <w:rPr>
                <w:spacing w:val="-3"/>
                <w:sz w:val="21"/>
              </w:rPr>
              <w:t>中性粒细胞绝对值</w:t>
            </w:r>
            <w:r>
              <w:rPr>
                <w:sz w:val="21"/>
              </w:rPr>
              <w:t>≤0.5×10</w:t>
            </w:r>
            <w:r>
              <w:rPr>
                <w:spacing w:val="-50"/>
                <w:sz w:val="21"/>
              </w:rPr>
              <w:t> </w:t>
            </w:r>
            <w:r>
              <w:rPr>
                <w:sz w:val="21"/>
              </w:rPr>
              <w:t>/L</w:t>
            </w:r>
            <w:r>
              <w:rPr>
                <w:spacing w:val="0"/>
                <w:sz w:val="21"/>
              </w:rPr>
              <w:t> ；</w:t>
            </w:r>
          </w:p>
          <w:p>
            <w:pPr>
              <w:pStyle w:val="TableParagraph"/>
              <w:tabs>
                <w:tab w:pos="1168" w:val="left" w:leader="none"/>
              </w:tabs>
              <w:spacing w:before="164"/>
              <w:ind w:left="746"/>
              <w:rPr>
                <w:sz w:val="21"/>
              </w:rPr>
            </w:pPr>
            <w:r>
              <w:rPr>
                <w:sz w:val="21"/>
              </w:rPr>
              <w:t>②</w:t>
              <w:tab/>
            </w:r>
            <w:r>
              <w:rPr>
                <w:spacing w:val="-3"/>
                <w:sz w:val="21"/>
              </w:rPr>
              <w:t>网织红细胞＜</w:t>
            </w:r>
            <w:r>
              <w:rPr>
                <w:spacing w:val="-1"/>
                <w:sz w:val="21"/>
              </w:rPr>
              <w:t>1%；</w:t>
            </w:r>
          </w:p>
          <w:p>
            <w:pPr>
              <w:pStyle w:val="TableParagraph"/>
              <w:spacing w:line="99" w:lineRule="exact" w:before="168"/>
              <w:ind w:right="204"/>
              <w:jc w:val="center"/>
              <w:rPr>
                <w:sz w:val="11"/>
              </w:rPr>
            </w:pPr>
            <w:r>
              <w:rPr>
                <w:w w:val="100"/>
                <w:sz w:val="11"/>
              </w:rPr>
              <w:t>9</w:t>
            </w:r>
          </w:p>
          <w:p>
            <w:pPr>
              <w:pStyle w:val="TableParagraph"/>
              <w:tabs>
                <w:tab w:pos="1168" w:val="left" w:leader="none"/>
              </w:tabs>
              <w:spacing w:line="230" w:lineRule="exact"/>
              <w:ind w:left="746"/>
              <w:rPr>
                <w:sz w:val="21"/>
              </w:rPr>
            </w:pPr>
            <w:r>
              <w:rPr>
                <w:sz w:val="21"/>
              </w:rPr>
              <w:t>③</w:t>
              <w:tab/>
            </w:r>
            <w:r>
              <w:rPr>
                <w:spacing w:val="-3"/>
                <w:sz w:val="21"/>
              </w:rPr>
              <w:t>血小板绝对值≤</w:t>
            </w:r>
            <w:r>
              <w:rPr>
                <w:sz w:val="21"/>
              </w:rPr>
              <w:t>20×10</w:t>
            </w:r>
            <w:r>
              <w:rPr>
                <w:spacing w:val="-45"/>
                <w:sz w:val="21"/>
              </w:rPr>
              <w:t> </w:t>
            </w:r>
            <w:r>
              <w:rPr>
                <w:sz w:val="21"/>
              </w:rPr>
              <w:t>/L。</w:t>
            </w:r>
          </w:p>
        </w:tc>
      </w:tr>
      <w:tr>
        <w:trPr>
          <w:trHeight w:val="687" w:hRule="atLeast"/>
        </w:trPr>
        <w:tc>
          <w:tcPr>
            <w:tcW w:w="9434" w:type="dxa"/>
            <w:gridSpan w:val="3"/>
          </w:tcPr>
          <w:p>
            <w:pPr>
              <w:pStyle w:val="TableParagraph"/>
              <w:spacing w:before="10"/>
              <w:rPr>
                <w:rFonts w:ascii="Times New Roman"/>
                <w:sz w:val="17"/>
              </w:rPr>
            </w:pPr>
          </w:p>
          <w:p>
            <w:pPr>
              <w:pStyle w:val="TableParagraph"/>
              <w:ind w:left="1051"/>
              <w:rPr>
                <w:sz w:val="21"/>
              </w:rPr>
            </w:pPr>
            <w:r>
              <w:rPr>
                <w:sz w:val="21"/>
              </w:rPr>
              <w:t>以上 14 种少儿重大疾病是《重大疾病保险的疾病定义使用规范》列明的重大疾病。</w:t>
            </w:r>
          </w:p>
        </w:tc>
      </w:tr>
      <w:tr>
        <w:trPr>
          <w:trHeight w:val="3432" w:hRule="atLeast"/>
        </w:trPr>
        <w:tc>
          <w:tcPr>
            <w:tcW w:w="784" w:type="dxa"/>
          </w:tcPr>
          <w:p>
            <w:pPr>
              <w:pStyle w:val="TableParagraph"/>
              <w:rPr>
                <w:rFonts w:ascii="Times New Roman"/>
                <w:sz w:val="20"/>
              </w:rPr>
            </w:pPr>
          </w:p>
        </w:tc>
        <w:tc>
          <w:tcPr>
            <w:tcW w:w="1855" w:type="dxa"/>
          </w:tcPr>
          <w:p>
            <w:pPr>
              <w:pStyle w:val="TableParagraph"/>
              <w:spacing w:line="410" w:lineRule="auto" w:before="239"/>
              <w:ind w:left="267" w:right="111"/>
              <w:rPr>
                <w:rFonts w:ascii="Microsoft JhengHei" w:eastAsia="Microsoft JhengHei" w:hint="eastAsia"/>
                <w:b/>
                <w:sz w:val="21"/>
              </w:rPr>
            </w:pPr>
            <w:r>
              <w:rPr>
                <w:rFonts w:ascii="Microsoft JhengHei" w:eastAsia="Microsoft JhengHei" w:hint="eastAsia"/>
                <w:b/>
                <w:sz w:val="21"/>
              </w:rPr>
              <w:t>川崎氏病（伴有冠状动脉瘤）</w:t>
            </w:r>
          </w:p>
        </w:tc>
        <w:tc>
          <w:tcPr>
            <w:tcW w:w="6795" w:type="dxa"/>
          </w:tcPr>
          <w:p>
            <w:pPr>
              <w:pStyle w:val="TableParagraph"/>
              <w:spacing w:line="273" w:lineRule="auto" w:before="143"/>
              <w:ind w:left="115" w:right="143"/>
              <w:rPr>
                <w:sz w:val="21"/>
              </w:rPr>
            </w:pPr>
            <w:r>
              <w:rPr>
                <w:sz w:val="21"/>
              </w:rPr>
              <w:t>本保障仅限于伴有冠状动脉瘤的川崎氏病，必须有超声心动图（Echo） 检查诊断，并且临床表现至少具备如下条件的 5 个：</w:t>
            </w:r>
          </w:p>
          <w:p>
            <w:pPr>
              <w:pStyle w:val="TableParagraph"/>
              <w:numPr>
                <w:ilvl w:val="0"/>
                <w:numId w:val="20"/>
              </w:numPr>
              <w:tabs>
                <w:tab w:pos="747" w:val="left" w:leader="none"/>
              </w:tabs>
              <w:spacing w:line="240" w:lineRule="auto" w:before="8" w:after="0"/>
              <w:ind w:left="746" w:right="0" w:hanging="631"/>
              <w:jc w:val="left"/>
              <w:rPr>
                <w:sz w:val="21"/>
              </w:rPr>
            </w:pPr>
            <w:r>
              <w:rPr>
                <w:spacing w:val="-3"/>
                <w:sz w:val="21"/>
              </w:rPr>
              <w:t>不明原因的发热，持续５天或更久；</w:t>
            </w:r>
          </w:p>
          <w:p>
            <w:pPr>
              <w:pStyle w:val="TableParagraph"/>
              <w:numPr>
                <w:ilvl w:val="0"/>
                <w:numId w:val="20"/>
              </w:numPr>
              <w:tabs>
                <w:tab w:pos="747" w:val="left" w:leader="none"/>
              </w:tabs>
              <w:spacing w:line="240" w:lineRule="auto" w:before="37" w:after="0"/>
              <w:ind w:left="746" w:right="0" w:hanging="631"/>
              <w:jc w:val="left"/>
              <w:rPr>
                <w:sz w:val="21"/>
              </w:rPr>
            </w:pPr>
            <w:r>
              <w:rPr>
                <w:spacing w:val="-3"/>
                <w:sz w:val="21"/>
              </w:rPr>
              <w:t>双侧结膜炎；</w:t>
            </w:r>
          </w:p>
          <w:p>
            <w:pPr>
              <w:pStyle w:val="TableParagraph"/>
              <w:numPr>
                <w:ilvl w:val="0"/>
                <w:numId w:val="20"/>
              </w:numPr>
              <w:tabs>
                <w:tab w:pos="756" w:val="left" w:leader="none"/>
              </w:tabs>
              <w:spacing w:line="273" w:lineRule="auto" w:before="37" w:after="0"/>
              <w:ind w:left="746" w:right="309" w:hanging="631"/>
              <w:jc w:val="left"/>
              <w:rPr>
                <w:sz w:val="21"/>
              </w:rPr>
            </w:pPr>
            <w:r>
              <w:rPr>
                <w:sz w:val="21"/>
              </w:rPr>
              <w:t>口腔及咽部的变化，包括口唇红肿和干裂，杨梅舌，及咽粘膜</w:t>
            </w:r>
            <w:r>
              <w:rPr>
                <w:spacing w:val="-2"/>
                <w:sz w:val="21"/>
              </w:rPr>
              <w:t>弥漫性发红；</w:t>
            </w:r>
          </w:p>
          <w:p>
            <w:pPr>
              <w:pStyle w:val="TableParagraph"/>
              <w:numPr>
                <w:ilvl w:val="0"/>
                <w:numId w:val="20"/>
              </w:numPr>
              <w:tabs>
                <w:tab w:pos="756" w:val="left" w:leader="none"/>
              </w:tabs>
              <w:spacing w:line="273" w:lineRule="auto" w:before="8" w:after="0"/>
              <w:ind w:left="746" w:right="309" w:hanging="631"/>
              <w:jc w:val="left"/>
              <w:rPr>
                <w:sz w:val="21"/>
              </w:rPr>
            </w:pPr>
            <w:r>
              <w:rPr>
                <w:sz w:val="21"/>
              </w:rPr>
              <w:t>发病初期手足硬肿和掌跖发红，以及恢复期指趾端出现膜状脱皮；</w:t>
            </w:r>
          </w:p>
          <w:p>
            <w:pPr>
              <w:pStyle w:val="TableParagraph"/>
              <w:numPr>
                <w:ilvl w:val="0"/>
                <w:numId w:val="20"/>
              </w:numPr>
              <w:tabs>
                <w:tab w:pos="747" w:val="left" w:leader="none"/>
              </w:tabs>
              <w:spacing w:line="240" w:lineRule="auto" w:before="8" w:after="0"/>
              <w:ind w:left="746" w:right="0" w:hanging="631"/>
              <w:jc w:val="left"/>
              <w:rPr>
                <w:sz w:val="21"/>
              </w:rPr>
            </w:pPr>
            <w:r>
              <w:rPr>
                <w:spacing w:val="-3"/>
                <w:sz w:val="21"/>
              </w:rPr>
              <w:t>躯干部多形性红斑疹，但无水疱及结痂；</w:t>
            </w:r>
          </w:p>
          <w:p>
            <w:pPr>
              <w:pStyle w:val="TableParagraph"/>
              <w:numPr>
                <w:ilvl w:val="0"/>
                <w:numId w:val="20"/>
              </w:numPr>
              <w:tabs>
                <w:tab w:pos="747" w:val="left" w:leader="none"/>
              </w:tabs>
              <w:spacing w:line="240" w:lineRule="auto" w:before="37" w:after="0"/>
              <w:ind w:left="746" w:right="0" w:hanging="631"/>
              <w:jc w:val="left"/>
              <w:rPr>
                <w:sz w:val="21"/>
              </w:rPr>
            </w:pPr>
            <w:r>
              <w:rPr>
                <w:spacing w:val="-6"/>
                <w:sz w:val="21"/>
              </w:rPr>
              <w:t>颈淋巴结非化脓性肿胀，其直径达 </w:t>
            </w:r>
            <w:r>
              <w:rPr>
                <w:sz w:val="21"/>
              </w:rPr>
              <w:t>1.5cm</w:t>
            </w:r>
            <w:r>
              <w:rPr>
                <w:spacing w:val="-10"/>
                <w:sz w:val="21"/>
              </w:rPr>
              <w:t> 或更大。</w:t>
            </w:r>
          </w:p>
        </w:tc>
      </w:tr>
      <w:tr>
        <w:trPr>
          <w:trHeight w:val="624" w:hRule="atLeast"/>
        </w:trPr>
        <w:tc>
          <w:tcPr>
            <w:tcW w:w="784" w:type="dxa"/>
          </w:tcPr>
          <w:p>
            <w:pPr>
              <w:pStyle w:val="TableParagraph"/>
              <w:spacing w:before="143"/>
              <w:ind w:left="200"/>
              <w:rPr>
                <w:b/>
                <w:sz w:val="21"/>
              </w:rPr>
            </w:pPr>
            <w:r>
              <w:rPr>
                <w:b/>
                <w:sz w:val="21"/>
              </w:rPr>
              <w:t>9.4</w:t>
            </w:r>
          </w:p>
        </w:tc>
        <w:tc>
          <w:tcPr>
            <w:tcW w:w="1855" w:type="dxa"/>
          </w:tcPr>
          <w:p>
            <w:pPr>
              <w:pStyle w:val="TableParagraph"/>
              <w:spacing w:before="143"/>
              <w:ind w:left="267"/>
              <w:rPr>
                <w:b/>
                <w:sz w:val="21"/>
              </w:rPr>
            </w:pPr>
            <w:r>
              <w:rPr>
                <w:b/>
                <w:sz w:val="21"/>
              </w:rPr>
              <w:t>成人重大疾病</w:t>
            </w:r>
          </w:p>
        </w:tc>
        <w:tc>
          <w:tcPr>
            <w:tcW w:w="6795" w:type="dxa"/>
          </w:tcPr>
          <w:p>
            <w:pPr>
              <w:pStyle w:val="TableParagraph"/>
              <w:spacing w:before="143"/>
              <w:ind w:left="115"/>
              <w:rPr>
                <w:sz w:val="21"/>
              </w:rPr>
            </w:pPr>
            <w:r>
              <w:rPr>
                <w:sz w:val="21"/>
              </w:rPr>
              <w:t>指下面列出的 14 种重大疾病，应当由专科医生明确诊断：</w:t>
            </w:r>
          </w:p>
        </w:tc>
      </w:tr>
      <w:tr>
        <w:trPr>
          <w:trHeight w:val="2601" w:hRule="atLeast"/>
        </w:trPr>
        <w:tc>
          <w:tcPr>
            <w:tcW w:w="784" w:type="dxa"/>
          </w:tcPr>
          <w:p>
            <w:pPr>
              <w:pStyle w:val="TableParagraph"/>
              <w:rPr>
                <w:rFonts w:ascii="Times New Roman"/>
                <w:sz w:val="20"/>
              </w:rPr>
            </w:pPr>
          </w:p>
        </w:tc>
        <w:tc>
          <w:tcPr>
            <w:tcW w:w="1855" w:type="dxa"/>
          </w:tcPr>
          <w:p>
            <w:pPr>
              <w:pStyle w:val="TableParagraph"/>
              <w:spacing w:before="239"/>
              <w:ind w:left="267"/>
              <w:rPr>
                <w:rFonts w:ascii="Microsoft JhengHei" w:eastAsia="Microsoft JhengHei" w:hint="eastAsia"/>
                <w:b/>
                <w:sz w:val="21"/>
              </w:rPr>
            </w:pPr>
            <w:r>
              <w:rPr>
                <w:rFonts w:ascii="Microsoft JhengHei" w:eastAsia="Microsoft JhengHei" w:hint="eastAsia"/>
                <w:b/>
                <w:sz w:val="21"/>
              </w:rPr>
              <w:t>急性心肌梗塞</w:t>
            </w:r>
          </w:p>
        </w:tc>
        <w:tc>
          <w:tcPr>
            <w:tcW w:w="6795" w:type="dxa"/>
          </w:tcPr>
          <w:p>
            <w:pPr>
              <w:pStyle w:val="TableParagraph"/>
              <w:spacing w:line="273" w:lineRule="auto" w:before="142"/>
              <w:ind w:left="115" w:right="307"/>
              <w:rPr>
                <w:sz w:val="21"/>
              </w:rPr>
            </w:pPr>
            <w:r>
              <w:rPr>
                <w:sz w:val="21"/>
              </w:rPr>
              <w:t>指因冠状动脉阻塞导致的相应区域供血不足造成部分心肌坏死。须满足下列至少三项条件：</w:t>
            </w:r>
          </w:p>
          <w:p>
            <w:pPr>
              <w:pStyle w:val="TableParagraph"/>
              <w:numPr>
                <w:ilvl w:val="0"/>
                <w:numId w:val="21"/>
              </w:numPr>
              <w:tabs>
                <w:tab w:pos="747" w:val="left" w:leader="none"/>
              </w:tabs>
              <w:spacing w:line="240" w:lineRule="auto" w:before="7" w:after="0"/>
              <w:ind w:left="746" w:right="0" w:hanging="631"/>
              <w:jc w:val="left"/>
              <w:rPr>
                <w:sz w:val="21"/>
              </w:rPr>
            </w:pPr>
            <w:r>
              <w:rPr>
                <w:spacing w:val="-3"/>
                <w:sz w:val="21"/>
              </w:rPr>
              <w:t>典型临床表现，例如急性胸痛等；</w:t>
            </w:r>
          </w:p>
          <w:p>
            <w:pPr>
              <w:pStyle w:val="TableParagraph"/>
              <w:numPr>
                <w:ilvl w:val="0"/>
                <w:numId w:val="21"/>
              </w:numPr>
              <w:tabs>
                <w:tab w:pos="747" w:val="left" w:leader="none"/>
              </w:tabs>
              <w:spacing w:line="240" w:lineRule="auto" w:before="37" w:after="0"/>
              <w:ind w:left="746" w:right="0" w:hanging="631"/>
              <w:jc w:val="left"/>
              <w:rPr>
                <w:sz w:val="21"/>
              </w:rPr>
            </w:pPr>
            <w:r>
              <w:rPr>
                <w:spacing w:val="-3"/>
                <w:sz w:val="21"/>
              </w:rPr>
              <w:t>新近的心电图改变提示急性心肌梗塞；</w:t>
            </w:r>
          </w:p>
          <w:p>
            <w:pPr>
              <w:pStyle w:val="TableParagraph"/>
              <w:numPr>
                <w:ilvl w:val="0"/>
                <w:numId w:val="21"/>
              </w:numPr>
              <w:tabs>
                <w:tab w:pos="756" w:val="left" w:leader="none"/>
              </w:tabs>
              <w:spacing w:line="273" w:lineRule="auto" w:before="37" w:after="0"/>
              <w:ind w:left="746" w:right="309" w:hanging="631"/>
              <w:jc w:val="left"/>
              <w:rPr>
                <w:sz w:val="21"/>
              </w:rPr>
            </w:pPr>
            <w:r>
              <w:rPr>
                <w:sz w:val="21"/>
              </w:rPr>
              <w:t>心肌酶或肌钙蛋白有诊断意义的升高，或呈符合急性心肌梗塞</w:t>
            </w:r>
            <w:r>
              <w:rPr>
                <w:spacing w:val="-2"/>
                <w:sz w:val="21"/>
              </w:rPr>
              <w:t>的动态性变化；</w:t>
            </w:r>
          </w:p>
          <w:p>
            <w:pPr>
              <w:pStyle w:val="TableParagraph"/>
              <w:numPr>
                <w:ilvl w:val="0"/>
                <w:numId w:val="21"/>
              </w:numPr>
              <w:tabs>
                <w:tab w:pos="735" w:val="left" w:leader="none"/>
              </w:tabs>
              <w:spacing w:line="312" w:lineRule="exact" w:before="3" w:after="0"/>
              <w:ind w:left="746" w:right="302" w:hanging="631"/>
              <w:jc w:val="left"/>
              <w:rPr>
                <w:sz w:val="21"/>
              </w:rPr>
            </w:pPr>
            <w:r>
              <w:rPr>
                <w:spacing w:val="-14"/>
                <w:sz w:val="21"/>
              </w:rPr>
              <w:t>发病 </w:t>
            </w:r>
            <w:r>
              <w:rPr>
                <w:sz w:val="21"/>
              </w:rPr>
              <w:t>90</w:t>
            </w:r>
            <w:r>
              <w:rPr>
                <w:spacing w:val="-10"/>
                <w:sz w:val="21"/>
              </w:rPr>
              <w:t> 天后，经检查证实左心室功能降低，如左心室射血分数</w:t>
            </w:r>
            <w:r>
              <w:rPr>
                <w:spacing w:val="-24"/>
                <w:sz w:val="21"/>
              </w:rPr>
              <w:t>低于 </w:t>
            </w:r>
            <w:r>
              <w:rPr>
                <w:sz w:val="21"/>
              </w:rPr>
              <w:t>50%。</w:t>
            </w:r>
          </w:p>
        </w:tc>
      </w:tr>
    </w:tbl>
    <w:p>
      <w:pPr>
        <w:spacing w:after="0" w:line="312" w:lineRule="exact"/>
        <w:jc w:val="left"/>
        <w:rPr>
          <w:sz w:val="21"/>
        </w:rPr>
        <w:sectPr>
          <w:pgSz w:w="11910" w:h="16840"/>
          <w:pgMar w:header="900" w:footer="992" w:top="1220" w:bottom="1180" w:left="1000" w:right="1260"/>
        </w:sectPr>
      </w:pPr>
    </w:p>
    <w:p>
      <w:pPr>
        <w:pStyle w:val="BodyText"/>
        <w:spacing w:before="5"/>
        <w:rPr>
          <w:rFonts w:ascii="Times New Roman"/>
          <w:sz w:val="28"/>
        </w:rPr>
      </w:pPr>
    </w:p>
    <w:tbl>
      <w:tblPr>
        <w:tblW w:w="0" w:type="auto"/>
        <w:jc w:val="left"/>
        <w:tblInd w:w="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6793"/>
      </w:tblGrid>
      <w:tr>
        <w:trPr>
          <w:trHeight w:val="2289" w:hRule="atLeast"/>
        </w:trPr>
        <w:tc>
          <w:tcPr>
            <w:tcW w:w="1788" w:type="dxa"/>
          </w:tcPr>
          <w:p>
            <w:pPr>
              <w:pStyle w:val="TableParagraph"/>
              <w:spacing w:before="32"/>
              <w:ind w:left="200"/>
              <w:rPr>
                <w:rFonts w:ascii="Microsoft JhengHei" w:eastAsia="Microsoft JhengHei" w:hint="eastAsia"/>
                <w:b/>
                <w:sz w:val="21"/>
              </w:rPr>
            </w:pPr>
            <w:r>
              <w:rPr>
                <w:rFonts w:ascii="Microsoft JhengHei" w:eastAsia="Microsoft JhengHei" w:hint="eastAsia"/>
                <w:b/>
                <w:sz w:val="21"/>
              </w:rPr>
              <w:t>脑中风后遗症</w:t>
            </w:r>
          </w:p>
        </w:tc>
        <w:tc>
          <w:tcPr>
            <w:tcW w:w="6793" w:type="dxa"/>
          </w:tcPr>
          <w:p>
            <w:pPr>
              <w:pStyle w:val="TableParagraph"/>
              <w:spacing w:line="211" w:lineRule="exact"/>
              <w:ind w:left="114"/>
              <w:rPr>
                <w:sz w:val="21"/>
              </w:rPr>
            </w:pPr>
            <w:r>
              <w:rPr>
                <w:sz w:val="21"/>
              </w:rPr>
              <w:t>指因脑血管的突发病变引起脑血管出血、栓塞或梗塞，并导致神经系</w:t>
            </w:r>
          </w:p>
          <w:p>
            <w:pPr>
              <w:pStyle w:val="TableParagraph"/>
              <w:spacing w:line="273" w:lineRule="auto" w:before="37"/>
              <w:ind w:left="114" w:right="303"/>
              <w:rPr>
                <w:sz w:val="21"/>
              </w:rPr>
            </w:pPr>
            <w:r>
              <w:rPr>
                <w:sz w:val="21"/>
              </w:rPr>
              <w:t>统永久性的功能障碍。神经系统永久性的功能障碍，指疾病确诊 180 天后，仍遗留下列一种或一种以上障碍：</w:t>
            </w:r>
          </w:p>
          <w:p>
            <w:pPr>
              <w:pStyle w:val="TableParagraph"/>
              <w:numPr>
                <w:ilvl w:val="0"/>
                <w:numId w:val="22"/>
              </w:numPr>
              <w:tabs>
                <w:tab w:pos="746" w:val="left" w:leader="none"/>
              </w:tabs>
              <w:spacing w:line="240" w:lineRule="auto" w:before="7" w:after="0"/>
              <w:ind w:left="745" w:right="0" w:hanging="631"/>
              <w:jc w:val="left"/>
              <w:rPr>
                <w:sz w:val="21"/>
              </w:rPr>
            </w:pPr>
            <w:r>
              <w:rPr>
                <w:spacing w:val="-3"/>
                <w:sz w:val="21"/>
              </w:rPr>
              <w:t>一肢或一肢以上肢体机能完全丧失；</w:t>
            </w:r>
          </w:p>
          <w:p>
            <w:pPr>
              <w:pStyle w:val="TableParagraph"/>
              <w:numPr>
                <w:ilvl w:val="0"/>
                <w:numId w:val="22"/>
              </w:numPr>
              <w:tabs>
                <w:tab w:pos="746" w:val="left" w:leader="none"/>
              </w:tabs>
              <w:spacing w:line="240" w:lineRule="auto" w:before="36" w:after="0"/>
              <w:ind w:left="745" w:right="0" w:hanging="631"/>
              <w:jc w:val="left"/>
              <w:rPr>
                <w:sz w:val="21"/>
              </w:rPr>
            </w:pPr>
            <w:r>
              <w:rPr>
                <w:spacing w:val="-3"/>
                <w:sz w:val="21"/>
              </w:rPr>
              <w:t>语言能力或咀嚼吞咽能力完全丧失；</w:t>
            </w:r>
          </w:p>
          <w:p>
            <w:pPr>
              <w:pStyle w:val="TableParagraph"/>
              <w:numPr>
                <w:ilvl w:val="0"/>
                <w:numId w:val="22"/>
              </w:numPr>
              <w:tabs>
                <w:tab w:pos="755" w:val="left" w:leader="none"/>
              </w:tabs>
              <w:spacing w:line="273" w:lineRule="auto" w:before="36" w:after="0"/>
              <w:ind w:left="745" w:right="308" w:hanging="631"/>
              <w:jc w:val="left"/>
              <w:rPr>
                <w:sz w:val="21"/>
              </w:rPr>
            </w:pPr>
            <w:r>
              <w:rPr>
                <w:sz w:val="21"/>
              </w:rPr>
              <w:t>自主生活能力完全丧失，无法独立完成六项基本日常生活活动</w:t>
            </w:r>
            <w:r>
              <w:rPr>
                <w:spacing w:val="-3"/>
                <w:sz w:val="21"/>
              </w:rPr>
              <w:t>中的三项或三项以上。</w:t>
            </w:r>
          </w:p>
        </w:tc>
      </w:tr>
      <w:tr>
        <w:trPr>
          <w:trHeight w:val="2123" w:hRule="atLeast"/>
        </w:trPr>
        <w:tc>
          <w:tcPr>
            <w:tcW w:w="1788"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冠状动脉搭桥术</w:t>
            </w:r>
          </w:p>
          <w:p>
            <w:pPr>
              <w:pStyle w:val="TableParagraph"/>
              <w:spacing w:before="6"/>
              <w:rPr>
                <w:rFonts w:ascii="Times New Roman"/>
                <w:sz w:val="22"/>
              </w:rPr>
            </w:pPr>
          </w:p>
          <w:p>
            <w:pPr>
              <w:pStyle w:val="TableParagraph"/>
              <w:spacing w:line="410" w:lineRule="auto"/>
              <w:ind w:left="200" w:right="112"/>
              <w:rPr>
                <w:rFonts w:ascii="Microsoft JhengHei" w:eastAsia="Microsoft JhengHei" w:hint="eastAsia"/>
                <w:b/>
                <w:sz w:val="21"/>
              </w:rPr>
            </w:pPr>
            <w:r>
              <w:rPr>
                <w:rFonts w:ascii="Microsoft JhengHei" w:eastAsia="Microsoft JhengHei" w:hint="eastAsia"/>
                <w:b/>
                <w:sz w:val="21"/>
              </w:rPr>
              <w:t>（或称冠状动脉旁路移植术）</w:t>
            </w:r>
          </w:p>
        </w:tc>
        <w:tc>
          <w:tcPr>
            <w:tcW w:w="6793" w:type="dxa"/>
          </w:tcPr>
          <w:p>
            <w:pPr>
              <w:pStyle w:val="TableParagraph"/>
              <w:spacing w:line="273" w:lineRule="auto" w:before="142"/>
              <w:ind w:left="114" w:right="307"/>
              <w:rPr>
                <w:sz w:val="21"/>
              </w:rPr>
            </w:pPr>
            <w:r>
              <w:rPr>
                <w:sz w:val="21"/>
              </w:rPr>
              <w:t>指为治疗严重的冠心病，实际实施了开胸进行的冠状动脉血管旁路移植的手术。</w:t>
            </w:r>
          </w:p>
          <w:p>
            <w:pPr>
              <w:pStyle w:val="TableParagraph"/>
              <w:spacing w:line="273" w:lineRule="auto" w:before="7"/>
              <w:ind w:left="114" w:right="307"/>
              <w:rPr>
                <w:sz w:val="21"/>
              </w:rPr>
            </w:pPr>
            <w:r>
              <w:rPr>
                <w:sz w:val="21"/>
              </w:rPr>
              <w:t>冠状动脉支架植入术、心导管球囊扩张术、激光射频技术及其它非开胸的介入手术、腔镜手术不在保障范围内。</w:t>
            </w:r>
          </w:p>
        </w:tc>
      </w:tr>
      <w:tr>
        <w:trPr>
          <w:trHeight w:val="996" w:hRule="atLeast"/>
        </w:trPr>
        <w:tc>
          <w:tcPr>
            <w:tcW w:w="1788" w:type="dxa"/>
          </w:tcPr>
          <w:p>
            <w:pPr>
              <w:pStyle w:val="TableParagraph"/>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多个肢体缺失</w:t>
            </w:r>
          </w:p>
        </w:tc>
        <w:tc>
          <w:tcPr>
            <w:tcW w:w="6793" w:type="dxa"/>
          </w:tcPr>
          <w:p>
            <w:pPr>
              <w:pStyle w:val="TableParagraph"/>
              <w:spacing w:before="7"/>
              <w:rPr>
                <w:rFonts w:ascii="Times New Roman"/>
                <w:sz w:val="17"/>
              </w:rPr>
            </w:pPr>
          </w:p>
          <w:p>
            <w:pPr>
              <w:pStyle w:val="TableParagraph"/>
              <w:ind w:left="114"/>
              <w:rPr>
                <w:sz w:val="21"/>
              </w:rPr>
            </w:pPr>
            <w:r>
              <w:rPr>
                <w:sz w:val="21"/>
              </w:rPr>
              <w:t>指因疾病或意外伤害导致两个或两个以上肢体自腕关节或踝关节近端</w:t>
            </w:r>
          </w:p>
          <w:p>
            <w:pPr>
              <w:pStyle w:val="TableParagraph"/>
              <w:spacing w:before="36"/>
              <w:ind w:left="114"/>
              <w:rPr>
                <w:sz w:val="21"/>
              </w:rPr>
            </w:pPr>
            <w:r>
              <w:rPr>
                <w:sz w:val="21"/>
              </w:rPr>
              <w:t>（靠近躯干端）以上完全性断离。</w:t>
            </w:r>
          </w:p>
        </w:tc>
      </w:tr>
      <w:tr>
        <w:trPr>
          <w:trHeight w:val="2496" w:hRule="atLeast"/>
        </w:trPr>
        <w:tc>
          <w:tcPr>
            <w:tcW w:w="1788"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良性脑肿瘤</w:t>
            </w:r>
          </w:p>
        </w:tc>
        <w:tc>
          <w:tcPr>
            <w:tcW w:w="6793" w:type="dxa"/>
          </w:tcPr>
          <w:p>
            <w:pPr>
              <w:pStyle w:val="TableParagraph"/>
              <w:spacing w:line="273" w:lineRule="auto" w:before="142"/>
              <w:ind w:left="114" w:right="198"/>
              <w:rPr>
                <w:sz w:val="21"/>
              </w:rPr>
            </w:pPr>
            <w:r>
              <w:rPr>
                <w:spacing w:val="-7"/>
                <w:sz w:val="21"/>
              </w:rPr>
              <w:t>指脑的良性肿瘤，已经引起颅内压增高，临床表现为视神经乳头水肿、精神症状、癫痫及运动感觉障碍等，并危及生命。须由头颅断层扫描</w:t>
            </w:r>
          </w:p>
          <w:p>
            <w:pPr>
              <w:pStyle w:val="TableParagraph"/>
              <w:spacing w:line="273" w:lineRule="auto" w:before="7"/>
              <w:ind w:left="114" w:right="306"/>
              <w:rPr>
                <w:sz w:val="21"/>
              </w:rPr>
            </w:pPr>
            <w:r>
              <w:rPr>
                <w:w w:val="100"/>
                <w:sz w:val="21"/>
              </w:rPr>
              <w:t>（CT</w:t>
            </w:r>
            <w:r>
              <w:rPr>
                <w:spacing w:val="-108"/>
                <w:w w:val="100"/>
                <w:sz w:val="21"/>
              </w:rPr>
              <w:t>）</w:t>
            </w:r>
            <w:r>
              <w:rPr>
                <w:spacing w:val="-5"/>
                <w:w w:val="100"/>
                <w:sz w:val="21"/>
              </w:rPr>
              <w:t>、核磁共振检查</w:t>
            </w:r>
            <w:r>
              <w:rPr>
                <w:spacing w:val="-1"/>
                <w:w w:val="100"/>
                <w:sz w:val="21"/>
              </w:rPr>
              <w:t>（</w:t>
            </w:r>
            <w:r>
              <w:rPr>
                <w:spacing w:val="-3"/>
                <w:w w:val="100"/>
                <w:sz w:val="21"/>
              </w:rPr>
              <w:t>MR</w:t>
            </w:r>
            <w:r>
              <w:rPr>
                <w:w w:val="100"/>
                <w:sz w:val="21"/>
              </w:rPr>
              <w:t>I</w:t>
            </w:r>
            <w:r>
              <w:rPr>
                <w:spacing w:val="-8"/>
                <w:w w:val="100"/>
                <w:sz w:val="21"/>
              </w:rPr>
              <w:t>）</w:t>
            </w:r>
            <w:r>
              <w:rPr>
                <w:spacing w:val="-4"/>
                <w:w w:val="100"/>
                <w:sz w:val="21"/>
              </w:rPr>
              <w:t>或正电子发射断层扫描</w:t>
            </w:r>
            <w:r>
              <w:rPr>
                <w:spacing w:val="-1"/>
                <w:w w:val="100"/>
                <w:sz w:val="21"/>
              </w:rPr>
              <w:t>（</w:t>
            </w:r>
            <w:r>
              <w:rPr>
                <w:w w:val="100"/>
                <w:sz w:val="21"/>
              </w:rPr>
              <w:t>PE</w:t>
            </w:r>
            <w:r>
              <w:rPr>
                <w:spacing w:val="-2"/>
                <w:w w:val="100"/>
                <w:sz w:val="21"/>
              </w:rPr>
              <w:t>T</w:t>
            </w:r>
            <w:r>
              <w:rPr>
                <w:spacing w:val="-8"/>
                <w:w w:val="100"/>
                <w:sz w:val="21"/>
              </w:rPr>
              <w:t>）</w:t>
            </w:r>
            <w:r>
              <w:rPr>
                <w:spacing w:val="-3"/>
                <w:w w:val="100"/>
                <w:sz w:val="21"/>
              </w:rPr>
              <w:t>等影像学</w:t>
            </w:r>
            <w:r>
              <w:rPr>
                <w:spacing w:val="-3"/>
                <w:sz w:val="21"/>
              </w:rPr>
              <w:t>检查证实，并须满足下列至少一项条件：</w:t>
            </w:r>
          </w:p>
          <w:p>
            <w:pPr>
              <w:pStyle w:val="TableParagraph"/>
              <w:numPr>
                <w:ilvl w:val="0"/>
                <w:numId w:val="23"/>
              </w:numPr>
              <w:tabs>
                <w:tab w:pos="746" w:val="left" w:leader="none"/>
              </w:tabs>
              <w:spacing w:line="240" w:lineRule="auto" w:before="7" w:after="0"/>
              <w:ind w:left="745" w:right="0" w:hanging="631"/>
              <w:jc w:val="left"/>
              <w:rPr>
                <w:sz w:val="21"/>
              </w:rPr>
            </w:pPr>
            <w:r>
              <w:rPr>
                <w:spacing w:val="-3"/>
                <w:sz w:val="21"/>
              </w:rPr>
              <w:t>实际实施了开颅进行的脑肿瘤完全切除或部分切除的手术；</w:t>
            </w:r>
          </w:p>
          <w:p>
            <w:pPr>
              <w:pStyle w:val="TableParagraph"/>
              <w:numPr>
                <w:ilvl w:val="0"/>
                <w:numId w:val="23"/>
              </w:numPr>
              <w:tabs>
                <w:tab w:pos="746" w:val="left" w:leader="none"/>
              </w:tabs>
              <w:spacing w:line="240" w:lineRule="auto" w:before="36" w:after="0"/>
              <w:ind w:left="745" w:right="0" w:hanging="631"/>
              <w:jc w:val="left"/>
              <w:rPr>
                <w:sz w:val="21"/>
              </w:rPr>
            </w:pPr>
            <w:r>
              <w:rPr>
                <w:spacing w:val="-3"/>
                <w:sz w:val="21"/>
              </w:rPr>
              <w:t>实际实施了对脑肿瘤进行的放射治疗。</w:t>
            </w:r>
          </w:p>
          <w:p>
            <w:pPr>
              <w:pStyle w:val="TableParagraph"/>
              <w:spacing w:before="36"/>
              <w:ind w:left="114"/>
              <w:rPr>
                <w:sz w:val="21"/>
              </w:rPr>
            </w:pPr>
            <w:r>
              <w:rPr>
                <w:sz w:val="21"/>
              </w:rPr>
              <w:t>脑垂体瘤、脑囊肿、脑血管性疾病不在保障范围内。</w:t>
            </w:r>
          </w:p>
        </w:tc>
      </w:tr>
      <w:tr>
        <w:trPr>
          <w:trHeight w:val="2184" w:hRule="atLeast"/>
        </w:trPr>
        <w:tc>
          <w:tcPr>
            <w:tcW w:w="1788" w:type="dxa"/>
          </w:tcPr>
          <w:p>
            <w:pPr>
              <w:pStyle w:val="TableParagraph"/>
              <w:spacing w:line="410" w:lineRule="auto" w:before="239"/>
              <w:ind w:left="200" w:right="112"/>
              <w:rPr>
                <w:rFonts w:ascii="Microsoft JhengHei" w:eastAsia="Microsoft JhengHei" w:hint="eastAsia"/>
                <w:b/>
                <w:sz w:val="21"/>
              </w:rPr>
            </w:pPr>
            <w:r>
              <w:rPr>
                <w:rFonts w:ascii="Microsoft JhengHei" w:eastAsia="Microsoft JhengHei" w:hint="eastAsia"/>
                <w:b/>
                <w:sz w:val="21"/>
              </w:rPr>
              <w:t>慢性肝功能衰竭失代偿期</w:t>
            </w:r>
          </w:p>
        </w:tc>
        <w:tc>
          <w:tcPr>
            <w:tcW w:w="6793" w:type="dxa"/>
          </w:tcPr>
          <w:p>
            <w:pPr>
              <w:pStyle w:val="TableParagraph"/>
              <w:spacing w:before="142"/>
              <w:ind w:left="114"/>
              <w:rPr>
                <w:sz w:val="21"/>
              </w:rPr>
            </w:pPr>
            <w:r>
              <w:rPr>
                <w:sz w:val="21"/>
              </w:rPr>
              <w:t>指因慢性肝脏疾病导致肝功能衰竭。须满足下列全部条件：</w:t>
            </w:r>
          </w:p>
          <w:p>
            <w:pPr>
              <w:pStyle w:val="TableParagraph"/>
              <w:numPr>
                <w:ilvl w:val="0"/>
                <w:numId w:val="24"/>
              </w:numPr>
              <w:tabs>
                <w:tab w:pos="746" w:val="left" w:leader="none"/>
              </w:tabs>
              <w:spacing w:line="240" w:lineRule="auto" w:before="36" w:after="0"/>
              <w:ind w:left="114" w:right="0" w:firstLine="0"/>
              <w:jc w:val="left"/>
              <w:rPr>
                <w:sz w:val="21"/>
              </w:rPr>
            </w:pPr>
            <w:r>
              <w:rPr>
                <w:spacing w:val="-3"/>
                <w:sz w:val="21"/>
              </w:rPr>
              <w:t>持续性黄疸；</w:t>
            </w:r>
          </w:p>
          <w:p>
            <w:pPr>
              <w:pStyle w:val="TableParagraph"/>
              <w:numPr>
                <w:ilvl w:val="0"/>
                <w:numId w:val="24"/>
              </w:numPr>
              <w:tabs>
                <w:tab w:pos="746" w:val="left" w:leader="none"/>
              </w:tabs>
              <w:spacing w:line="240" w:lineRule="auto" w:before="36" w:after="0"/>
              <w:ind w:left="114" w:right="0" w:firstLine="0"/>
              <w:jc w:val="left"/>
              <w:rPr>
                <w:sz w:val="21"/>
              </w:rPr>
            </w:pPr>
            <w:r>
              <w:rPr>
                <w:spacing w:val="-2"/>
                <w:sz w:val="21"/>
              </w:rPr>
              <w:t>腹水；</w:t>
            </w:r>
          </w:p>
          <w:p>
            <w:pPr>
              <w:pStyle w:val="TableParagraph"/>
              <w:numPr>
                <w:ilvl w:val="0"/>
                <w:numId w:val="24"/>
              </w:numPr>
              <w:tabs>
                <w:tab w:pos="746" w:val="left" w:leader="none"/>
              </w:tabs>
              <w:spacing w:line="240" w:lineRule="auto" w:before="36" w:after="0"/>
              <w:ind w:left="114" w:right="0" w:firstLine="0"/>
              <w:jc w:val="left"/>
              <w:rPr>
                <w:sz w:val="21"/>
              </w:rPr>
            </w:pPr>
            <w:r>
              <w:rPr>
                <w:spacing w:val="-3"/>
                <w:sz w:val="21"/>
              </w:rPr>
              <w:t>肝性脑病；</w:t>
            </w:r>
          </w:p>
          <w:p>
            <w:pPr>
              <w:pStyle w:val="TableParagraph"/>
              <w:numPr>
                <w:ilvl w:val="0"/>
                <w:numId w:val="24"/>
              </w:numPr>
              <w:tabs>
                <w:tab w:pos="746" w:val="left" w:leader="none"/>
              </w:tabs>
              <w:spacing w:line="273" w:lineRule="auto" w:before="36" w:after="0"/>
              <w:ind w:left="114" w:right="1420" w:firstLine="0"/>
              <w:jc w:val="left"/>
              <w:rPr>
                <w:sz w:val="21"/>
              </w:rPr>
            </w:pPr>
            <w:r>
              <w:rPr>
                <w:spacing w:val="-3"/>
                <w:sz w:val="21"/>
              </w:rPr>
              <w:t>充血性脾肿大伴脾功能亢进或食管胃底静脉曲张。因酗酒或药物滥用导致的肝功能衰竭不在保障范围内。</w:t>
            </w:r>
          </w:p>
        </w:tc>
      </w:tr>
      <w:tr>
        <w:trPr>
          <w:trHeight w:val="936" w:hRule="atLeast"/>
        </w:trPr>
        <w:tc>
          <w:tcPr>
            <w:tcW w:w="1788"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心脏瓣膜手术</w:t>
            </w:r>
          </w:p>
        </w:tc>
        <w:tc>
          <w:tcPr>
            <w:tcW w:w="6793" w:type="dxa"/>
          </w:tcPr>
          <w:p>
            <w:pPr>
              <w:pStyle w:val="TableParagraph"/>
              <w:spacing w:line="273" w:lineRule="auto" w:before="143"/>
              <w:ind w:left="114" w:right="307"/>
              <w:rPr>
                <w:sz w:val="21"/>
              </w:rPr>
            </w:pPr>
            <w:r>
              <w:rPr>
                <w:sz w:val="21"/>
              </w:rPr>
              <w:t>指为治疗心脏瓣膜疾病，实际实施了开胸进行的心脏瓣膜置换或修复的手术。</w:t>
            </w:r>
          </w:p>
        </w:tc>
      </w:tr>
      <w:tr>
        <w:trPr>
          <w:trHeight w:val="1977" w:hRule="atLeast"/>
        </w:trPr>
        <w:tc>
          <w:tcPr>
            <w:tcW w:w="1788" w:type="dxa"/>
          </w:tcPr>
          <w:p>
            <w:pPr>
              <w:pStyle w:val="TableParagraph"/>
              <w:spacing w:line="410" w:lineRule="auto" w:before="239"/>
              <w:ind w:left="200" w:right="112"/>
              <w:rPr>
                <w:rFonts w:ascii="Microsoft JhengHei" w:eastAsia="Microsoft JhengHei" w:hint="eastAsia"/>
                <w:b/>
                <w:sz w:val="21"/>
              </w:rPr>
            </w:pPr>
            <w:r>
              <w:rPr>
                <w:rFonts w:ascii="Microsoft JhengHei" w:eastAsia="Microsoft JhengHei" w:hint="eastAsia"/>
                <w:b/>
                <w:sz w:val="21"/>
              </w:rPr>
              <w:t>严重阿尔茨海默病</w:t>
            </w:r>
          </w:p>
        </w:tc>
        <w:tc>
          <w:tcPr>
            <w:tcW w:w="6793" w:type="dxa"/>
          </w:tcPr>
          <w:p>
            <w:pPr>
              <w:pStyle w:val="TableParagraph"/>
              <w:spacing w:line="310" w:lineRule="atLeast" w:before="107"/>
              <w:ind w:left="114" w:right="265"/>
              <w:rPr>
                <w:sz w:val="21"/>
              </w:rPr>
            </w:pPr>
            <w:r>
              <w:rPr>
                <w:sz w:val="21"/>
              </w:rPr>
              <w:t>指因大脑进行性、不可逆性改变导致智能严重衰退或丧失，临床表现为明显的认知能力障碍、行为异常和社交能力减退，其日常生活必须</w:t>
            </w:r>
            <w:r>
              <w:rPr>
                <w:spacing w:val="-3"/>
                <w:sz w:val="21"/>
              </w:rPr>
              <w:t>持续受到他人监护。须由头颅断层扫描</w:t>
            </w:r>
            <w:r>
              <w:rPr>
                <w:sz w:val="21"/>
              </w:rPr>
              <w:t>（CT）</w:t>
            </w:r>
            <w:r>
              <w:rPr>
                <w:spacing w:val="-3"/>
                <w:sz w:val="21"/>
              </w:rPr>
              <w:t>、核磁共振检查</w:t>
            </w:r>
            <w:r>
              <w:rPr>
                <w:sz w:val="21"/>
              </w:rPr>
              <w:t>（MRI） </w:t>
            </w:r>
            <w:r>
              <w:rPr>
                <w:spacing w:val="-4"/>
                <w:sz w:val="21"/>
              </w:rPr>
              <w:t>或正电子发射断层扫描（PET）</w:t>
            </w:r>
            <w:r>
              <w:rPr>
                <w:spacing w:val="-5"/>
                <w:sz w:val="21"/>
              </w:rPr>
              <w:t>等影像学检查证实，且自主生活能力完</w:t>
            </w:r>
            <w:r>
              <w:rPr>
                <w:spacing w:val="-4"/>
                <w:sz w:val="21"/>
              </w:rPr>
              <w:t>全丧失，无法独立完成六项基本日常生活活动中的三项或三项以上。</w:t>
            </w:r>
            <w:r>
              <w:rPr>
                <w:spacing w:val="-3"/>
                <w:sz w:val="21"/>
              </w:rPr>
              <w:t>神经官能症和精神疾病不在保障范围内。</w:t>
            </w:r>
          </w:p>
        </w:tc>
      </w:tr>
    </w:tbl>
    <w:p>
      <w:pPr>
        <w:spacing w:after="0" w:line="310" w:lineRule="atLeast"/>
        <w:rPr>
          <w:sz w:val="21"/>
        </w:rPr>
        <w:sectPr>
          <w:pgSz w:w="11910" w:h="16840"/>
          <w:pgMar w:header="900" w:footer="992" w:top="1220" w:bottom="1180" w:left="1200" w:right="1260"/>
        </w:sectPr>
      </w:pPr>
    </w:p>
    <w:p>
      <w:pPr>
        <w:pStyle w:val="BodyText"/>
        <w:spacing w:before="5"/>
        <w:rPr>
          <w:rFonts w:ascii="Times New Roman"/>
          <w:sz w:val="2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1855"/>
        <w:gridCol w:w="6795"/>
      </w:tblGrid>
      <w:tr>
        <w:trPr>
          <w:trHeight w:val="1977" w:hRule="atLeast"/>
        </w:trPr>
        <w:tc>
          <w:tcPr>
            <w:tcW w:w="784" w:type="dxa"/>
          </w:tcPr>
          <w:p>
            <w:pPr>
              <w:pStyle w:val="TableParagraph"/>
              <w:rPr>
                <w:rFonts w:ascii="Times New Roman"/>
                <w:sz w:val="20"/>
              </w:rPr>
            </w:pPr>
          </w:p>
        </w:tc>
        <w:tc>
          <w:tcPr>
            <w:tcW w:w="1855" w:type="dxa"/>
          </w:tcPr>
          <w:p>
            <w:pPr>
              <w:pStyle w:val="TableParagraph"/>
              <w:spacing w:before="32"/>
              <w:ind w:left="267"/>
              <w:rPr>
                <w:rFonts w:ascii="Microsoft JhengHei" w:eastAsia="Microsoft JhengHei" w:hint="eastAsia"/>
                <w:b/>
                <w:sz w:val="21"/>
              </w:rPr>
            </w:pPr>
            <w:r>
              <w:rPr>
                <w:rFonts w:ascii="Microsoft JhengHei" w:eastAsia="Microsoft JhengHei" w:hint="eastAsia"/>
                <w:b/>
                <w:sz w:val="21"/>
              </w:rPr>
              <w:t>严重帕金森病</w:t>
            </w:r>
          </w:p>
        </w:tc>
        <w:tc>
          <w:tcPr>
            <w:tcW w:w="6795" w:type="dxa"/>
          </w:tcPr>
          <w:p>
            <w:pPr>
              <w:pStyle w:val="TableParagraph"/>
              <w:spacing w:line="211" w:lineRule="exact"/>
              <w:ind w:left="115"/>
              <w:rPr>
                <w:sz w:val="21"/>
              </w:rPr>
            </w:pPr>
            <w:r>
              <w:rPr>
                <w:sz w:val="21"/>
              </w:rPr>
              <w:t>是一种中枢神经系统的退行性疾病，临床表现为震颤麻痹、共济失调</w:t>
            </w:r>
          </w:p>
          <w:p>
            <w:pPr>
              <w:pStyle w:val="TableParagraph"/>
              <w:spacing w:before="37"/>
              <w:ind w:left="115"/>
              <w:rPr>
                <w:sz w:val="21"/>
              </w:rPr>
            </w:pPr>
            <w:r>
              <w:rPr>
                <w:sz w:val="21"/>
              </w:rPr>
              <w:t>等。须满足下列全部条件：</w:t>
            </w:r>
          </w:p>
          <w:p>
            <w:pPr>
              <w:pStyle w:val="TableParagraph"/>
              <w:numPr>
                <w:ilvl w:val="0"/>
                <w:numId w:val="25"/>
              </w:numPr>
              <w:tabs>
                <w:tab w:pos="747" w:val="left" w:leader="none"/>
              </w:tabs>
              <w:spacing w:line="240" w:lineRule="auto" w:before="37" w:after="0"/>
              <w:ind w:left="746" w:right="0" w:hanging="631"/>
              <w:jc w:val="left"/>
              <w:rPr>
                <w:sz w:val="21"/>
              </w:rPr>
            </w:pPr>
            <w:r>
              <w:rPr>
                <w:spacing w:val="-3"/>
                <w:sz w:val="21"/>
              </w:rPr>
              <w:t>药物治疗无法控制病情；</w:t>
            </w:r>
          </w:p>
          <w:p>
            <w:pPr>
              <w:pStyle w:val="TableParagraph"/>
              <w:numPr>
                <w:ilvl w:val="0"/>
                <w:numId w:val="25"/>
              </w:numPr>
              <w:tabs>
                <w:tab w:pos="756" w:val="left" w:leader="none"/>
              </w:tabs>
              <w:spacing w:line="273" w:lineRule="auto" w:before="37" w:after="0"/>
              <w:ind w:left="746" w:right="309" w:hanging="631"/>
              <w:jc w:val="left"/>
              <w:rPr>
                <w:sz w:val="21"/>
              </w:rPr>
            </w:pPr>
            <w:r>
              <w:rPr>
                <w:sz w:val="21"/>
              </w:rPr>
              <w:t>自主生活能力完全丧失，无法独立完成六项基本日常生活活动</w:t>
            </w:r>
            <w:r>
              <w:rPr>
                <w:spacing w:val="-3"/>
                <w:sz w:val="21"/>
              </w:rPr>
              <w:t>中的三项或三项以上。</w:t>
            </w:r>
          </w:p>
          <w:p>
            <w:pPr>
              <w:pStyle w:val="TableParagraph"/>
              <w:spacing w:before="7"/>
              <w:ind w:left="115"/>
              <w:rPr>
                <w:sz w:val="21"/>
              </w:rPr>
            </w:pPr>
            <w:r>
              <w:rPr>
                <w:sz w:val="21"/>
              </w:rPr>
              <w:t>继发性帕金森综合征不在保障范围内。</w:t>
            </w:r>
          </w:p>
        </w:tc>
      </w:tr>
      <w:tr>
        <w:trPr>
          <w:trHeight w:val="1499" w:hRule="atLeast"/>
        </w:trPr>
        <w:tc>
          <w:tcPr>
            <w:tcW w:w="784" w:type="dxa"/>
          </w:tcPr>
          <w:p>
            <w:pPr>
              <w:pStyle w:val="TableParagraph"/>
              <w:rPr>
                <w:rFonts w:ascii="Times New Roman"/>
                <w:sz w:val="20"/>
              </w:rPr>
            </w:pPr>
          </w:p>
        </w:tc>
        <w:tc>
          <w:tcPr>
            <w:tcW w:w="1855" w:type="dxa"/>
          </w:tcPr>
          <w:p>
            <w:pPr>
              <w:pStyle w:val="TableParagraph"/>
              <w:spacing w:line="410" w:lineRule="auto" w:before="239"/>
              <w:ind w:left="267" w:right="111"/>
              <w:rPr>
                <w:rFonts w:ascii="Microsoft JhengHei" w:eastAsia="Microsoft JhengHei" w:hint="eastAsia"/>
                <w:b/>
                <w:sz w:val="21"/>
              </w:rPr>
            </w:pPr>
            <w:r>
              <w:rPr>
                <w:rFonts w:ascii="Microsoft JhengHei" w:eastAsia="Microsoft JhengHei" w:hint="eastAsia"/>
                <w:b/>
                <w:sz w:val="21"/>
              </w:rPr>
              <w:t>严重原发性肺动脉高压</w:t>
            </w:r>
          </w:p>
        </w:tc>
        <w:tc>
          <w:tcPr>
            <w:tcW w:w="6795" w:type="dxa"/>
          </w:tcPr>
          <w:p>
            <w:pPr>
              <w:pStyle w:val="TableParagraph"/>
              <w:spacing w:line="273" w:lineRule="auto" w:before="142"/>
              <w:ind w:left="115" w:right="148"/>
              <w:rPr>
                <w:sz w:val="21"/>
              </w:rPr>
            </w:pPr>
            <w:r>
              <w:rPr>
                <w:sz w:val="21"/>
              </w:rPr>
              <w:t>指不明原因的肺动脉压力持续性增高，进行性发展而导致的慢性疾病， 已经造成永久不可逆性的体力活动能力受限，达到美国纽约心脏病学会心功能状态分级 IV 级，且静息状态下肺动脉平均压超过 30mmHg。</w:t>
            </w:r>
          </w:p>
        </w:tc>
      </w:tr>
      <w:tr>
        <w:trPr>
          <w:trHeight w:val="1620" w:hRule="atLeast"/>
        </w:trPr>
        <w:tc>
          <w:tcPr>
            <w:tcW w:w="784" w:type="dxa"/>
          </w:tcPr>
          <w:p>
            <w:pPr>
              <w:pStyle w:val="TableParagraph"/>
              <w:rPr>
                <w:rFonts w:ascii="Times New Roman"/>
                <w:sz w:val="20"/>
              </w:rPr>
            </w:pPr>
          </w:p>
        </w:tc>
        <w:tc>
          <w:tcPr>
            <w:tcW w:w="1855" w:type="dxa"/>
          </w:tcPr>
          <w:p>
            <w:pPr>
              <w:pStyle w:val="TableParagraph"/>
              <w:rPr>
                <w:rFonts w:ascii="Times New Roman"/>
                <w:sz w:val="26"/>
              </w:rPr>
            </w:pPr>
          </w:p>
          <w:p>
            <w:pPr>
              <w:pStyle w:val="TableParagraph"/>
              <w:spacing w:before="1"/>
              <w:ind w:left="267"/>
              <w:rPr>
                <w:rFonts w:ascii="Microsoft JhengHei" w:eastAsia="Microsoft JhengHei" w:hint="eastAsia"/>
                <w:b/>
                <w:sz w:val="21"/>
              </w:rPr>
            </w:pPr>
            <w:r>
              <w:rPr>
                <w:rFonts w:ascii="Microsoft JhengHei" w:eastAsia="Microsoft JhengHei" w:hint="eastAsia"/>
                <w:b/>
                <w:sz w:val="21"/>
              </w:rPr>
              <w:t>主动脉手术</w:t>
            </w:r>
          </w:p>
        </w:tc>
        <w:tc>
          <w:tcPr>
            <w:tcW w:w="6795" w:type="dxa"/>
          </w:tcPr>
          <w:p>
            <w:pPr>
              <w:pStyle w:val="TableParagraph"/>
              <w:spacing w:before="8"/>
              <w:rPr>
                <w:rFonts w:ascii="Times New Roman"/>
                <w:sz w:val="17"/>
              </w:rPr>
            </w:pPr>
          </w:p>
          <w:p>
            <w:pPr>
              <w:pStyle w:val="TableParagraph"/>
              <w:spacing w:line="273" w:lineRule="auto"/>
              <w:ind w:left="115" w:right="308"/>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115"/>
              <w:jc w:val="both"/>
              <w:rPr>
                <w:sz w:val="21"/>
              </w:rPr>
            </w:pPr>
            <w:r>
              <w:rPr>
                <w:sz w:val="21"/>
              </w:rPr>
              <w:t>动脉内血管成形术不在保障范围内。</w:t>
            </w:r>
          </w:p>
        </w:tc>
      </w:tr>
      <w:tr>
        <w:trPr>
          <w:trHeight w:val="623" w:hRule="atLeast"/>
        </w:trPr>
        <w:tc>
          <w:tcPr>
            <w:tcW w:w="9434" w:type="dxa"/>
            <w:gridSpan w:val="3"/>
          </w:tcPr>
          <w:p>
            <w:pPr>
              <w:pStyle w:val="TableParagraph"/>
              <w:spacing w:before="142"/>
              <w:ind w:left="1051"/>
              <w:rPr>
                <w:sz w:val="21"/>
              </w:rPr>
            </w:pPr>
            <w:r>
              <w:rPr>
                <w:sz w:val="21"/>
              </w:rPr>
              <w:t>以上 11 种成人重大疾病是《重大疾病保险的疾病定义使用规范》列明的重大疾病。</w:t>
            </w:r>
          </w:p>
        </w:tc>
      </w:tr>
      <w:tr>
        <w:trPr>
          <w:trHeight w:val="2808" w:hRule="atLeast"/>
        </w:trPr>
        <w:tc>
          <w:tcPr>
            <w:tcW w:w="784" w:type="dxa"/>
          </w:tcPr>
          <w:p>
            <w:pPr>
              <w:pStyle w:val="TableParagraph"/>
              <w:rPr>
                <w:rFonts w:ascii="Times New Roman"/>
                <w:sz w:val="20"/>
              </w:rPr>
            </w:pPr>
          </w:p>
        </w:tc>
        <w:tc>
          <w:tcPr>
            <w:tcW w:w="1855" w:type="dxa"/>
          </w:tcPr>
          <w:p>
            <w:pPr>
              <w:pStyle w:val="TableParagraph"/>
              <w:spacing w:before="239"/>
              <w:ind w:left="267"/>
              <w:rPr>
                <w:rFonts w:ascii="Microsoft JhengHei" w:eastAsia="Microsoft JhengHei" w:hint="eastAsia"/>
                <w:b/>
                <w:sz w:val="21"/>
              </w:rPr>
            </w:pPr>
            <w:r>
              <w:rPr>
                <w:rFonts w:ascii="Microsoft JhengHei" w:eastAsia="Microsoft JhengHei" w:hint="eastAsia"/>
                <w:b/>
                <w:sz w:val="21"/>
              </w:rPr>
              <w:t>多发性硬化症</w:t>
            </w:r>
          </w:p>
        </w:tc>
        <w:tc>
          <w:tcPr>
            <w:tcW w:w="6795" w:type="dxa"/>
          </w:tcPr>
          <w:p>
            <w:pPr>
              <w:pStyle w:val="TableParagraph"/>
              <w:spacing w:line="273" w:lineRule="auto" w:before="142"/>
              <w:ind w:left="115" w:right="305"/>
              <w:jc w:val="both"/>
              <w:rPr>
                <w:sz w:val="21"/>
              </w:rPr>
            </w:pPr>
            <w:r>
              <w:rPr>
                <w:sz w:val="21"/>
              </w:rPr>
              <w:t>指一种中枢神经系统脱髓鞘疾病，造成身体部位不可逆的功能障碍。临床表现为视力受损、截瘫、平衡失调、构音障碍、大小便机能失调</w:t>
            </w:r>
            <w:r>
              <w:rPr>
                <w:spacing w:val="-8"/>
                <w:sz w:val="21"/>
              </w:rPr>
              <w:t>等症状，须经我们认可的神经专科医师确诊，并有 </w:t>
            </w:r>
            <w:r>
              <w:rPr>
                <w:sz w:val="21"/>
              </w:rPr>
              <w:t>CT</w:t>
            </w:r>
            <w:r>
              <w:rPr>
                <w:spacing w:val="-8"/>
                <w:sz w:val="21"/>
              </w:rPr>
              <w:t> 或核磁共振检查结果诊断报告。所谓身体部位不可逆的功能障碍指初次诊断为功能障</w:t>
            </w:r>
            <w:r>
              <w:rPr>
                <w:spacing w:val="-11"/>
                <w:sz w:val="21"/>
              </w:rPr>
              <w:t>碍后需持续 </w:t>
            </w:r>
            <w:r>
              <w:rPr>
                <w:sz w:val="21"/>
              </w:rPr>
              <w:t>180</w:t>
            </w:r>
            <w:r>
              <w:rPr>
                <w:spacing w:val="-8"/>
                <w:sz w:val="21"/>
              </w:rPr>
              <w:t> 天以上。其诊断必须包含以下全部内容:</w:t>
            </w:r>
          </w:p>
          <w:p>
            <w:pPr>
              <w:pStyle w:val="TableParagraph"/>
              <w:numPr>
                <w:ilvl w:val="0"/>
                <w:numId w:val="26"/>
              </w:numPr>
              <w:tabs>
                <w:tab w:pos="747" w:val="left" w:leader="none"/>
              </w:tabs>
              <w:spacing w:line="240" w:lineRule="auto" w:before="7" w:after="0"/>
              <w:ind w:left="746" w:right="0" w:hanging="631"/>
              <w:jc w:val="both"/>
              <w:rPr>
                <w:sz w:val="21"/>
              </w:rPr>
            </w:pPr>
            <w:r>
              <w:rPr>
                <w:spacing w:val="-3"/>
                <w:sz w:val="21"/>
              </w:rPr>
              <w:t>由于视神经、脑干和脊髓损伤而导致的临床表现；</w:t>
            </w:r>
          </w:p>
          <w:p>
            <w:pPr>
              <w:pStyle w:val="TableParagraph"/>
              <w:numPr>
                <w:ilvl w:val="0"/>
                <w:numId w:val="26"/>
              </w:numPr>
              <w:tabs>
                <w:tab w:pos="747" w:val="left" w:leader="none"/>
              </w:tabs>
              <w:spacing w:line="240" w:lineRule="auto" w:before="37" w:after="0"/>
              <w:ind w:left="746" w:right="0" w:hanging="631"/>
              <w:jc w:val="both"/>
              <w:rPr>
                <w:sz w:val="21"/>
              </w:rPr>
            </w:pPr>
            <w:r>
              <w:rPr>
                <w:spacing w:val="-3"/>
                <w:sz w:val="21"/>
              </w:rPr>
              <w:t>散在的身体损害的多样性；</w:t>
            </w:r>
          </w:p>
          <w:p>
            <w:pPr>
              <w:pStyle w:val="TableParagraph"/>
              <w:numPr>
                <w:ilvl w:val="0"/>
                <w:numId w:val="26"/>
              </w:numPr>
              <w:tabs>
                <w:tab w:pos="747" w:val="left" w:leader="none"/>
              </w:tabs>
              <w:spacing w:line="240" w:lineRule="auto" w:before="37" w:after="0"/>
              <w:ind w:left="746" w:right="0" w:hanging="631"/>
              <w:jc w:val="both"/>
              <w:rPr>
                <w:sz w:val="21"/>
              </w:rPr>
            </w:pPr>
            <w:r>
              <w:rPr>
                <w:spacing w:val="-3"/>
                <w:sz w:val="21"/>
              </w:rPr>
              <w:t>上述症状反复发作、恶化及神经损伤的病史记录。</w:t>
            </w:r>
          </w:p>
        </w:tc>
      </w:tr>
      <w:tr>
        <w:trPr>
          <w:trHeight w:val="1499" w:hRule="atLeast"/>
        </w:trPr>
        <w:tc>
          <w:tcPr>
            <w:tcW w:w="784" w:type="dxa"/>
          </w:tcPr>
          <w:p>
            <w:pPr>
              <w:pStyle w:val="TableParagraph"/>
              <w:rPr>
                <w:rFonts w:ascii="Times New Roman"/>
                <w:sz w:val="20"/>
              </w:rPr>
            </w:pPr>
          </w:p>
        </w:tc>
        <w:tc>
          <w:tcPr>
            <w:tcW w:w="1855" w:type="dxa"/>
          </w:tcPr>
          <w:p>
            <w:pPr>
              <w:pStyle w:val="TableParagraph"/>
              <w:spacing w:line="410" w:lineRule="auto" w:before="239"/>
              <w:ind w:left="267" w:right="111"/>
              <w:rPr>
                <w:rFonts w:ascii="Microsoft JhengHei" w:eastAsia="Microsoft JhengHei" w:hint="eastAsia"/>
                <w:b/>
                <w:sz w:val="21"/>
              </w:rPr>
            </w:pPr>
            <w:r>
              <w:rPr>
                <w:rFonts w:ascii="Microsoft JhengHei" w:eastAsia="Microsoft JhengHei" w:hint="eastAsia"/>
                <w:b/>
                <w:sz w:val="21"/>
              </w:rPr>
              <w:t>急性出血性坏死性胰腺炎</w:t>
            </w:r>
          </w:p>
        </w:tc>
        <w:tc>
          <w:tcPr>
            <w:tcW w:w="6795" w:type="dxa"/>
          </w:tcPr>
          <w:p>
            <w:pPr>
              <w:pStyle w:val="TableParagraph"/>
              <w:spacing w:line="273" w:lineRule="auto" w:before="142"/>
              <w:ind w:left="115" w:right="308"/>
              <w:rPr>
                <w:sz w:val="21"/>
              </w:rPr>
            </w:pPr>
            <w:r>
              <w:rPr>
                <w:sz w:val="21"/>
              </w:rPr>
              <w:t>由专科医生确诊为急性出血性坏死性胰腺炎，并需进行手术治疗，以进行胰腺组织清除、病灶切除或胰腺切除。</w:t>
            </w:r>
          </w:p>
          <w:p>
            <w:pPr>
              <w:pStyle w:val="TableParagraph"/>
              <w:spacing w:before="7"/>
              <w:ind w:left="115"/>
              <w:rPr>
                <w:sz w:val="21"/>
              </w:rPr>
            </w:pPr>
            <w:r>
              <w:rPr>
                <w:sz w:val="21"/>
              </w:rPr>
              <w:t>因酗酒所致的急性出血性坏死性胰腺炎除外。</w:t>
            </w:r>
          </w:p>
        </w:tc>
      </w:tr>
      <w:tr>
        <w:trPr>
          <w:trHeight w:val="1308" w:hRule="atLeast"/>
        </w:trPr>
        <w:tc>
          <w:tcPr>
            <w:tcW w:w="784" w:type="dxa"/>
          </w:tcPr>
          <w:p>
            <w:pPr>
              <w:pStyle w:val="TableParagraph"/>
              <w:rPr>
                <w:rFonts w:ascii="Times New Roman"/>
                <w:sz w:val="20"/>
              </w:rPr>
            </w:pPr>
          </w:p>
        </w:tc>
        <w:tc>
          <w:tcPr>
            <w:tcW w:w="1855" w:type="dxa"/>
          </w:tcPr>
          <w:p>
            <w:pPr>
              <w:pStyle w:val="TableParagraph"/>
              <w:rPr>
                <w:rFonts w:ascii="Times New Roman"/>
                <w:sz w:val="26"/>
              </w:rPr>
            </w:pPr>
          </w:p>
          <w:p>
            <w:pPr>
              <w:pStyle w:val="TableParagraph"/>
              <w:spacing w:before="1"/>
              <w:ind w:left="267"/>
              <w:rPr>
                <w:rFonts w:ascii="Microsoft JhengHei" w:eastAsia="Microsoft JhengHei" w:hint="eastAsia"/>
                <w:b/>
                <w:sz w:val="21"/>
              </w:rPr>
            </w:pPr>
            <w:r>
              <w:rPr>
                <w:rFonts w:ascii="Microsoft JhengHei" w:eastAsia="Microsoft JhengHei" w:hint="eastAsia"/>
                <w:b/>
                <w:sz w:val="21"/>
              </w:rPr>
              <w:t>恶性葡萄胎</w:t>
            </w:r>
          </w:p>
        </w:tc>
        <w:tc>
          <w:tcPr>
            <w:tcW w:w="6795" w:type="dxa"/>
          </w:tcPr>
          <w:p>
            <w:pPr>
              <w:pStyle w:val="TableParagraph"/>
              <w:spacing w:before="8"/>
              <w:rPr>
                <w:rFonts w:ascii="Times New Roman"/>
                <w:sz w:val="17"/>
              </w:rPr>
            </w:pPr>
          </w:p>
          <w:p>
            <w:pPr>
              <w:pStyle w:val="TableParagraph"/>
              <w:spacing w:line="273" w:lineRule="auto"/>
              <w:ind w:left="115" w:right="372"/>
              <w:jc w:val="both"/>
              <w:rPr>
                <w:sz w:val="21"/>
              </w:rPr>
            </w:pPr>
            <w:r>
              <w:rPr>
                <w:sz w:val="21"/>
              </w:rPr>
              <w:t>本项疾病是指经病理诊断确诊的，异常增生的绒毛组织浸润性生长浸入子宫肌层或转移至其他器官或组织的葡萄胎，并需进行化疗或手术切除治疗。</w:t>
            </w:r>
          </w:p>
        </w:tc>
      </w:tr>
      <w:tr>
        <w:trPr>
          <w:trHeight w:val="2290" w:hRule="atLeast"/>
        </w:trPr>
        <w:tc>
          <w:tcPr>
            <w:tcW w:w="784" w:type="dxa"/>
          </w:tcPr>
          <w:p>
            <w:pPr>
              <w:pStyle w:val="TableParagraph"/>
              <w:spacing w:before="142"/>
              <w:ind w:left="200"/>
              <w:rPr>
                <w:b/>
                <w:sz w:val="21"/>
              </w:rPr>
            </w:pPr>
            <w:r>
              <w:rPr>
                <w:b/>
                <w:sz w:val="21"/>
              </w:rPr>
              <w:t>9.5</w:t>
            </w:r>
          </w:p>
        </w:tc>
        <w:tc>
          <w:tcPr>
            <w:tcW w:w="1855" w:type="dxa"/>
          </w:tcPr>
          <w:p>
            <w:pPr>
              <w:pStyle w:val="TableParagraph"/>
              <w:spacing w:before="142"/>
              <w:ind w:left="267"/>
              <w:rPr>
                <w:b/>
                <w:sz w:val="21"/>
              </w:rPr>
            </w:pPr>
            <w:r>
              <w:rPr>
                <w:b/>
                <w:sz w:val="21"/>
              </w:rPr>
              <w:t>高度残疾</w:t>
            </w:r>
          </w:p>
        </w:tc>
        <w:tc>
          <w:tcPr>
            <w:tcW w:w="6795" w:type="dxa"/>
          </w:tcPr>
          <w:p>
            <w:pPr>
              <w:pStyle w:val="TableParagraph"/>
              <w:spacing w:before="142"/>
              <w:ind w:left="115"/>
              <w:rPr>
                <w:sz w:val="21"/>
              </w:rPr>
            </w:pPr>
            <w:r>
              <w:rPr>
                <w:sz w:val="21"/>
              </w:rPr>
              <w:t>指下面列出的 8 种情形之一：</w:t>
            </w:r>
          </w:p>
          <w:p>
            <w:pPr>
              <w:pStyle w:val="TableParagraph"/>
              <w:numPr>
                <w:ilvl w:val="0"/>
                <w:numId w:val="27"/>
              </w:numPr>
              <w:tabs>
                <w:tab w:pos="747" w:val="left" w:leader="none"/>
              </w:tabs>
              <w:spacing w:line="240" w:lineRule="auto" w:before="36" w:after="0"/>
              <w:ind w:left="746" w:right="0" w:hanging="631"/>
              <w:jc w:val="left"/>
              <w:rPr>
                <w:sz w:val="21"/>
              </w:rPr>
            </w:pPr>
            <w:r>
              <w:rPr>
                <w:spacing w:val="-14"/>
                <w:w w:val="100"/>
                <w:sz w:val="21"/>
              </w:rPr>
              <w:t>双目永久完全失明的；</w:t>
            </w:r>
            <w:r>
              <w:rPr>
                <w:spacing w:val="-3"/>
                <w:w w:val="100"/>
                <w:sz w:val="21"/>
              </w:rPr>
              <w:t>（</w:t>
            </w:r>
            <w:r>
              <w:rPr>
                <w:spacing w:val="-2"/>
                <w:w w:val="100"/>
                <w:sz w:val="21"/>
              </w:rPr>
              <w:t>注①</w:t>
            </w:r>
            <w:r>
              <w:rPr>
                <w:w w:val="100"/>
                <w:sz w:val="21"/>
              </w:rPr>
              <w:t>）</w:t>
            </w:r>
          </w:p>
          <w:p>
            <w:pPr>
              <w:pStyle w:val="TableParagraph"/>
              <w:numPr>
                <w:ilvl w:val="0"/>
                <w:numId w:val="27"/>
              </w:numPr>
              <w:tabs>
                <w:tab w:pos="747" w:val="left" w:leader="none"/>
              </w:tabs>
              <w:spacing w:line="240" w:lineRule="auto" w:before="36" w:after="0"/>
              <w:ind w:left="746" w:right="0" w:hanging="631"/>
              <w:jc w:val="left"/>
              <w:rPr>
                <w:sz w:val="21"/>
              </w:rPr>
            </w:pPr>
            <w:r>
              <w:rPr>
                <w:spacing w:val="-3"/>
                <w:sz w:val="21"/>
              </w:rPr>
              <w:t>两上肢腕关节以上或两下肢踝关节以上缺失的；</w:t>
            </w:r>
          </w:p>
          <w:p>
            <w:pPr>
              <w:pStyle w:val="TableParagraph"/>
              <w:numPr>
                <w:ilvl w:val="0"/>
                <w:numId w:val="27"/>
              </w:numPr>
              <w:tabs>
                <w:tab w:pos="747" w:val="left" w:leader="none"/>
              </w:tabs>
              <w:spacing w:line="240" w:lineRule="auto" w:before="36" w:after="0"/>
              <w:ind w:left="746" w:right="0" w:hanging="631"/>
              <w:jc w:val="left"/>
              <w:rPr>
                <w:sz w:val="21"/>
              </w:rPr>
            </w:pPr>
            <w:r>
              <w:rPr>
                <w:spacing w:val="-3"/>
                <w:sz w:val="21"/>
              </w:rPr>
              <w:t>一上肢腕关节以上及一下肢踝关节以上缺失的；</w:t>
            </w:r>
          </w:p>
          <w:p>
            <w:pPr>
              <w:pStyle w:val="TableParagraph"/>
              <w:numPr>
                <w:ilvl w:val="0"/>
                <w:numId w:val="27"/>
              </w:numPr>
              <w:tabs>
                <w:tab w:pos="747" w:val="left" w:leader="none"/>
              </w:tabs>
              <w:spacing w:line="240" w:lineRule="auto" w:before="36" w:after="0"/>
              <w:ind w:left="746" w:right="0" w:hanging="631"/>
              <w:jc w:val="left"/>
              <w:rPr>
                <w:sz w:val="21"/>
              </w:rPr>
            </w:pPr>
            <w:r>
              <w:rPr>
                <w:spacing w:val="-3"/>
                <w:sz w:val="21"/>
              </w:rPr>
              <w:t>一目永久完全失明及一上肢腕关节以上缺失的；</w:t>
            </w:r>
          </w:p>
          <w:p>
            <w:pPr>
              <w:pStyle w:val="TableParagraph"/>
              <w:numPr>
                <w:ilvl w:val="0"/>
                <w:numId w:val="27"/>
              </w:numPr>
              <w:tabs>
                <w:tab w:pos="747" w:val="left" w:leader="none"/>
              </w:tabs>
              <w:spacing w:line="240" w:lineRule="auto" w:before="37" w:after="0"/>
              <w:ind w:left="746" w:right="0" w:hanging="631"/>
              <w:jc w:val="left"/>
              <w:rPr>
                <w:sz w:val="21"/>
              </w:rPr>
            </w:pPr>
            <w:r>
              <w:rPr>
                <w:spacing w:val="-3"/>
                <w:sz w:val="21"/>
              </w:rPr>
              <w:t>一目永久完全失明及一下肢踝关节以上缺失的；</w:t>
            </w:r>
          </w:p>
          <w:p>
            <w:pPr>
              <w:pStyle w:val="TableParagraph"/>
              <w:numPr>
                <w:ilvl w:val="0"/>
                <w:numId w:val="27"/>
              </w:numPr>
              <w:tabs>
                <w:tab w:pos="747" w:val="left" w:leader="none"/>
              </w:tabs>
              <w:spacing w:line="255" w:lineRule="exact" w:before="37" w:after="0"/>
              <w:ind w:left="746" w:right="0" w:hanging="631"/>
              <w:jc w:val="left"/>
              <w:rPr>
                <w:sz w:val="21"/>
              </w:rPr>
            </w:pPr>
            <w:r>
              <w:rPr>
                <w:spacing w:val="-11"/>
                <w:w w:val="100"/>
                <w:sz w:val="21"/>
              </w:rPr>
              <w:t>四肢关节机能永久完全丧失的；</w:t>
            </w:r>
            <w:r>
              <w:rPr>
                <w:spacing w:val="-3"/>
                <w:w w:val="100"/>
                <w:sz w:val="21"/>
              </w:rPr>
              <w:t>（</w:t>
            </w:r>
            <w:r>
              <w:rPr>
                <w:spacing w:val="-2"/>
                <w:w w:val="100"/>
                <w:sz w:val="21"/>
              </w:rPr>
              <w:t>注②</w:t>
            </w:r>
            <w:r>
              <w:rPr>
                <w:w w:val="100"/>
                <w:sz w:val="21"/>
              </w:rPr>
              <w:t>）</w:t>
            </w:r>
          </w:p>
        </w:tc>
      </w:tr>
    </w:tbl>
    <w:p>
      <w:pPr>
        <w:spacing w:after="0" w:line="255" w:lineRule="exact"/>
        <w:jc w:val="left"/>
        <w:rPr>
          <w:sz w:val="21"/>
        </w:rPr>
        <w:sectPr>
          <w:pgSz w:w="11910" w:h="16840"/>
          <w:pgMar w:header="900" w:footer="992" w:top="1220" w:bottom="1180" w:left="1000" w:right="1260"/>
        </w:sectPr>
      </w:pPr>
    </w:p>
    <w:p>
      <w:pPr>
        <w:pStyle w:val="BodyText"/>
        <w:spacing w:before="5"/>
        <w:rPr>
          <w:rFonts w:ascii="Times New Roman"/>
          <w:sz w:val="2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809"/>
        <w:gridCol w:w="6788"/>
      </w:tblGrid>
      <w:tr>
        <w:trPr>
          <w:trHeight w:val="6034" w:hRule="atLeast"/>
        </w:trPr>
        <w:tc>
          <w:tcPr>
            <w:tcW w:w="837" w:type="dxa"/>
          </w:tcPr>
          <w:p>
            <w:pPr>
              <w:pStyle w:val="TableParagraph"/>
              <w:rPr>
                <w:rFonts w:ascii="Times New Roman"/>
                <w:sz w:val="20"/>
              </w:rPr>
            </w:pPr>
          </w:p>
        </w:tc>
        <w:tc>
          <w:tcPr>
            <w:tcW w:w="1809" w:type="dxa"/>
          </w:tcPr>
          <w:p>
            <w:pPr>
              <w:pStyle w:val="TableParagraph"/>
              <w:rPr>
                <w:rFonts w:ascii="Times New Roman"/>
                <w:sz w:val="20"/>
              </w:rPr>
            </w:pPr>
          </w:p>
        </w:tc>
        <w:tc>
          <w:tcPr>
            <w:tcW w:w="6788" w:type="dxa"/>
          </w:tcPr>
          <w:p>
            <w:pPr>
              <w:pStyle w:val="TableParagraph"/>
              <w:numPr>
                <w:ilvl w:val="0"/>
                <w:numId w:val="28"/>
              </w:numPr>
              <w:tabs>
                <w:tab w:pos="740" w:val="left" w:leader="none"/>
              </w:tabs>
              <w:spacing w:line="211" w:lineRule="exact" w:before="0" w:after="0"/>
              <w:ind w:left="739" w:right="0" w:hanging="631"/>
              <w:jc w:val="left"/>
              <w:rPr>
                <w:sz w:val="21"/>
              </w:rPr>
            </w:pPr>
            <w:r>
              <w:rPr>
                <w:spacing w:val="-10"/>
                <w:w w:val="100"/>
                <w:sz w:val="21"/>
              </w:rPr>
              <w:t>咀嚼、吞咽机能永久完全丧失的；</w:t>
            </w:r>
            <w:r>
              <w:rPr>
                <w:w w:val="100"/>
                <w:sz w:val="21"/>
              </w:rPr>
              <w:t>（</w:t>
            </w:r>
            <w:r>
              <w:rPr>
                <w:spacing w:val="-2"/>
                <w:w w:val="100"/>
                <w:sz w:val="21"/>
              </w:rPr>
              <w:t>注③</w:t>
            </w:r>
            <w:r>
              <w:rPr>
                <w:w w:val="100"/>
                <w:sz w:val="21"/>
              </w:rPr>
              <w:t>）</w:t>
            </w:r>
          </w:p>
          <w:p>
            <w:pPr>
              <w:pStyle w:val="TableParagraph"/>
              <w:numPr>
                <w:ilvl w:val="0"/>
                <w:numId w:val="28"/>
              </w:numPr>
              <w:tabs>
                <w:tab w:pos="740" w:val="left" w:leader="none"/>
              </w:tabs>
              <w:spacing w:line="273" w:lineRule="auto" w:before="37" w:after="0"/>
              <w:ind w:left="739" w:right="369" w:hanging="631"/>
              <w:jc w:val="both"/>
              <w:rPr>
                <w:sz w:val="21"/>
              </w:rPr>
            </w:pPr>
            <w:r>
              <w:rPr>
                <w:spacing w:val="-3"/>
                <w:sz w:val="21"/>
              </w:rPr>
              <w:t>中枢神经系统机能或胸、腹部脏器机能极度障碍，终身不能从事任何工作，为维持生命必要的日常生活活动，全需他人扶助</w:t>
            </w:r>
            <w:r>
              <w:rPr>
                <w:spacing w:val="-54"/>
                <w:sz w:val="21"/>
              </w:rPr>
              <w:t>的。</w:t>
            </w:r>
            <w:r>
              <w:rPr>
                <w:spacing w:val="-3"/>
                <w:sz w:val="21"/>
              </w:rPr>
              <w:t>（</w:t>
            </w:r>
            <w:r>
              <w:rPr>
                <w:spacing w:val="-1"/>
                <w:sz w:val="21"/>
              </w:rPr>
              <w:t>注④）</w:t>
            </w:r>
          </w:p>
          <w:p>
            <w:pPr>
              <w:pStyle w:val="TableParagraph"/>
              <w:spacing w:before="7"/>
              <w:ind w:left="108"/>
              <w:rPr>
                <w:sz w:val="21"/>
              </w:rPr>
            </w:pPr>
            <w:r>
              <w:rPr>
                <w:sz w:val="21"/>
              </w:rPr>
              <w:t>注：</w:t>
            </w:r>
          </w:p>
          <w:p>
            <w:pPr>
              <w:pStyle w:val="TableParagraph"/>
              <w:spacing w:line="273" w:lineRule="auto" w:before="36"/>
              <w:ind w:left="739" w:right="199" w:hanging="420"/>
              <w:jc w:val="both"/>
              <w:rPr>
                <w:sz w:val="21"/>
              </w:rPr>
            </w:pPr>
            <w:r>
              <w:rPr>
                <w:sz w:val="21"/>
              </w:rPr>
              <w:t>①  失明包括眼球缺失或摘除、或不能辨别明暗、或仅能辨别眼前</w:t>
            </w:r>
            <w:r>
              <w:rPr>
                <w:spacing w:val="-5"/>
                <w:sz w:val="21"/>
              </w:rPr>
              <w:t>手动者，最佳矫正视力低于国际标准视力表 </w:t>
            </w:r>
            <w:r>
              <w:rPr>
                <w:sz w:val="21"/>
              </w:rPr>
              <w:t>0.02</w:t>
            </w:r>
            <w:r>
              <w:rPr>
                <w:spacing w:val="-2"/>
                <w:sz w:val="21"/>
              </w:rPr>
              <w:t>，或视野半径</w:t>
            </w:r>
            <w:r>
              <w:rPr>
                <w:spacing w:val="-14"/>
                <w:sz w:val="21"/>
              </w:rPr>
              <w:t>小于 </w:t>
            </w:r>
            <w:r>
              <w:rPr>
                <w:sz w:val="21"/>
              </w:rPr>
              <w:t>5</w:t>
            </w:r>
            <w:r>
              <w:rPr>
                <w:spacing w:val="-10"/>
                <w:sz w:val="21"/>
              </w:rPr>
              <w:t> 度，并由我们指定有资格的眼科医师出具医疗诊断证明。</w:t>
            </w:r>
          </w:p>
          <w:p>
            <w:pPr>
              <w:pStyle w:val="TableParagraph"/>
              <w:tabs>
                <w:tab w:pos="748" w:val="left" w:leader="none"/>
              </w:tabs>
              <w:spacing w:line="273" w:lineRule="auto" w:before="7"/>
              <w:ind w:left="739" w:right="307" w:hanging="420"/>
              <w:rPr>
                <w:sz w:val="21"/>
              </w:rPr>
            </w:pPr>
            <w:r>
              <w:rPr>
                <w:sz w:val="21"/>
              </w:rPr>
              <w:t>②</w:t>
              <w:tab/>
              <w:tab/>
              <w:t>关节机能的丧失系指关节永久完全僵硬、或麻痹、或关节不能 </w:t>
            </w:r>
            <w:r>
              <w:rPr>
                <w:spacing w:val="-2"/>
                <w:sz w:val="21"/>
              </w:rPr>
              <w:t>随意识活动。</w:t>
            </w:r>
          </w:p>
          <w:p>
            <w:pPr>
              <w:pStyle w:val="TableParagraph"/>
              <w:spacing w:line="273" w:lineRule="auto" w:before="7"/>
              <w:ind w:left="739" w:right="307" w:hanging="420"/>
              <w:jc w:val="both"/>
              <w:rPr>
                <w:sz w:val="21"/>
              </w:rPr>
            </w:pPr>
            <w:r>
              <w:rPr>
                <w:sz w:val="21"/>
              </w:rPr>
              <w:t>③ 咀嚼、吞咽机能的丧失系指由于牙齿以外的原因引起器质障碍或机能障碍，以致不能做咀嚼、吞咽运动，除流质食物外不能摄取或吞咽的状态。</w:t>
            </w:r>
          </w:p>
          <w:p>
            <w:pPr>
              <w:pStyle w:val="TableParagraph"/>
              <w:tabs>
                <w:tab w:pos="741" w:val="left" w:leader="none"/>
              </w:tabs>
              <w:spacing w:line="273" w:lineRule="auto" w:before="7"/>
              <w:ind w:left="739" w:right="196" w:hanging="420"/>
              <w:rPr>
                <w:sz w:val="21"/>
              </w:rPr>
            </w:pPr>
            <w:r>
              <w:rPr>
                <w:sz w:val="21"/>
              </w:rPr>
              <w:t>④</w:t>
              <w:tab/>
              <w:tab/>
            </w:r>
            <w:r>
              <w:rPr>
                <w:spacing w:val="-6"/>
                <w:sz w:val="21"/>
              </w:rPr>
              <w:t>为维持生命必要之日常生活活动，全需他人扶助系指食物摄取、 大小便始末、穿脱衣服、起居、步行、入浴等，皆不能自己为</w:t>
            </w:r>
            <w:r>
              <w:rPr>
                <w:spacing w:val="-4"/>
                <w:sz w:val="21"/>
              </w:rPr>
              <w:t>之，需要他人帮助。</w:t>
            </w:r>
          </w:p>
          <w:p>
            <w:pPr>
              <w:pStyle w:val="TableParagraph"/>
              <w:spacing w:line="273" w:lineRule="auto" w:before="7"/>
              <w:ind w:left="180" w:right="302"/>
              <w:jc w:val="both"/>
              <w:rPr>
                <w:sz w:val="21"/>
              </w:rPr>
            </w:pPr>
            <w:r>
              <w:rPr>
                <w:spacing w:val="-5"/>
                <w:sz w:val="21"/>
              </w:rPr>
              <w:t>所谓永久完全系指自意外伤害之日或疾病确诊之日起经过 </w:t>
            </w:r>
            <w:r>
              <w:rPr>
                <w:sz w:val="21"/>
              </w:rPr>
              <w:t>180</w:t>
            </w:r>
            <w:r>
              <w:rPr>
                <w:spacing w:val="-12"/>
                <w:sz w:val="21"/>
              </w:rPr>
              <w:t> 天的治</w:t>
            </w:r>
            <w:r>
              <w:rPr>
                <w:spacing w:val="-3"/>
                <w:sz w:val="21"/>
              </w:rPr>
              <w:t>疗，机能仍然完全丧失，但眼球摘除等明显无法复原之情况，不在此限。</w:t>
            </w:r>
          </w:p>
        </w:tc>
      </w:tr>
      <w:tr>
        <w:trPr>
          <w:trHeight w:val="936" w:hRule="atLeast"/>
        </w:trPr>
        <w:tc>
          <w:tcPr>
            <w:tcW w:w="837" w:type="dxa"/>
          </w:tcPr>
          <w:p>
            <w:pPr>
              <w:pStyle w:val="TableParagraph"/>
              <w:spacing w:before="142"/>
              <w:ind w:left="74" w:right="192"/>
              <w:jc w:val="center"/>
              <w:rPr>
                <w:b/>
                <w:sz w:val="21"/>
              </w:rPr>
            </w:pPr>
            <w:r>
              <w:rPr>
                <w:b/>
                <w:sz w:val="21"/>
              </w:rPr>
              <w:t>9.6</w:t>
            </w:r>
          </w:p>
        </w:tc>
        <w:tc>
          <w:tcPr>
            <w:tcW w:w="1809" w:type="dxa"/>
          </w:tcPr>
          <w:p>
            <w:pPr>
              <w:pStyle w:val="TableParagraph"/>
              <w:spacing w:before="142"/>
              <w:ind w:left="214"/>
              <w:rPr>
                <w:b/>
                <w:sz w:val="21"/>
              </w:rPr>
            </w:pPr>
            <w:r>
              <w:rPr>
                <w:b/>
                <w:sz w:val="21"/>
              </w:rPr>
              <w:t>现金价值</w:t>
            </w:r>
          </w:p>
        </w:tc>
        <w:tc>
          <w:tcPr>
            <w:tcW w:w="6788" w:type="dxa"/>
          </w:tcPr>
          <w:p>
            <w:pPr>
              <w:pStyle w:val="TableParagraph"/>
              <w:spacing w:line="273" w:lineRule="auto" w:before="142"/>
              <w:ind w:left="108" w:right="372"/>
              <w:rPr>
                <w:sz w:val="21"/>
              </w:rPr>
            </w:pPr>
            <w:r>
              <w:rPr>
                <w:sz w:val="21"/>
              </w:rPr>
              <w:t>指保险单所具有的价值，通常体现为解除合同时，根据精算原理计算的，由本公司退还的那部分金额。</w:t>
            </w:r>
          </w:p>
        </w:tc>
      </w:tr>
      <w:tr>
        <w:trPr>
          <w:trHeight w:val="935" w:hRule="atLeast"/>
        </w:trPr>
        <w:tc>
          <w:tcPr>
            <w:tcW w:w="837" w:type="dxa"/>
          </w:tcPr>
          <w:p>
            <w:pPr>
              <w:pStyle w:val="TableParagraph"/>
              <w:spacing w:before="142"/>
              <w:ind w:left="74" w:right="192"/>
              <w:jc w:val="center"/>
              <w:rPr>
                <w:b/>
                <w:sz w:val="21"/>
              </w:rPr>
            </w:pPr>
            <w:r>
              <w:rPr>
                <w:b/>
                <w:sz w:val="21"/>
              </w:rPr>
              <w:t>9.7</w:t>
            </w:r>
          </w:p>
        </w:tc>
        <w:tc>
          <w:tcPr>
            <w:tcW w:w="1809" w:type="dxa"/>
          </w:tcPr>
          <w:p>
            <w:pPr>
              <w:pStyle w:val="TableParagraph"/>
              <w:spacing w:before="142"/>
              <w:ind w:left="214"/>
              <w:rPr>
                <w:b/>
                <w:sz w:val="21"/>
              </w:rPr>
            </w:pPr>
            <w:r>
              <w:rPr>
                <w:b/>
                <w:sz w:val="21"/>
              </w:rPr>
              <w:t>意外伤害</w:t>
            </w:r>
          </w:p>
        </w:tc>
        <w:tc>
          <w:tcPr>
            <w:tcW w:w="6788" w:type="dxa"/>
          </w:tcPr>
          <w:p>
            <w:pPr>
              <w:pStyle w:val="TableParagraph"/>
              <w:spacing w:line="273" w:lineRule="auto" w:before="142"/>
              <w:ind w:left="108" w:right="372"/>
              <w:rPr>
                <w:sz w:val="20"/>
              </w:rPr>
            </w:pPr>
            <w:r>
              <w:rPr>
                <w:sz w:val="21"/>
              </w:rPr>
              <w:t>指外来的、突发的、非本意的、非疾病的客观事件直接致使身体受到的伤害</w:t>
            </w:r>
            <w:r>
              <w:rPr>
                <w:sz w:val="20"/>
              </w:rPr>
              <w:t>。</w:t>
            </w:r>
          </w:p>
        </w:tc>
      </w:tr>
      <w:tr>
        <w:trPr>
          <w:trHeight w:val="2496" w:hRule="atLeast"/>
        </w:trPr>
        <w:tc>
          <w:tcPr>
            <w:tcW w:w="837" w:type="dxa"/>
          </w:tcPr>
          <w:p>
            <w:pPr>
              <w:pStyle w:val="TableParagraph"/>
              <w:spacing w:before="142"/>
              <w:ind w:left="74" w:right="192"/>
              <w:jc w:val="center"/>
              <w:rPr>
                <w:b/>
                <w:sz w:val="21"/>
              </w:rPr>
            </w:pPr>
            <w:r>
              <w:rPr>
                <w:b/>
                <w:sz w:val="21"/>
              </w:rPr>
              <w:t>9.8</w:t>
            </w:r>
          </w:p>
        </w:tc>
        <w:tc>
          <w:tcPr>
            <w:tcW w:w="1809" w:type="dxa"/>
          </w:tcPr>
          <w:p>
            <w:pPr>
              <w:pStyle w:val="TableParagraph"/>
              <w:spacing w:before="142"/>
              <w:ind w:left="214"/>
              <w:rPr>
                <w:b/>
                <w:sz w:val="21"/>
              </w:rPr>
            </w:pPr>
            <w:r>
              <w:rPr>
                <w:b/>
                <w:sz w:val="21"/>
              </w:rPr>
              <w:t>专科医生</w:t>
            </w:r>
          </w:p>
        </w:tc>
        <w:tc>
          <w:tcPr>
            <w:tcW w:w="6788" w:type="dxa"/>
          </w:tcPr>
          <w:p>
            <w:pPr>
              <w:pStyle w:val="TableParagraph"/>
              <w:spacing w:before="142"/>
              <w:ind w:left="108"/>
              <w:rPr>
                <w:sz w:val="21"/>
              </w:rPr>
            </w:pPr>
            <w:r>
              <w:rPr>
                <w:sz w:val="21"/>
              </w:rPr>
              <w:t>专科医生应当同时满足以下四项资格条件：</w:t>
            </w:r>
          </w:p>
          <w:p>
            <w:pPr>
              <w:pStyle w:val="TableParagraph"/>
              <w:numPr>
                <w:ilvl w:val="0"/>
                <w:numId w:val="29"/>
              </w:numPr>
              <w:tabs>
                <w:tab w:pos="740" w:val="left" w:leader="none"/>
              </w:tabs>
              <w:spacing w:line="240" w:lineRule="auto" w:before="36" w:after="0"/>
              <w:ind w:left="739" w:right="0" w:hanging="631"/>
              <w:jc w:val="left"/>
              <w:rPr>
                <w:sz w:val="21"/>
              </w:rPr>
            </w:pPr>
            <w:r>
              <w:rPr>
                <w:spacing w:val="-9"/>
                <w:sz w:val="21"/>
              </w:rPr>
              <w:t>具有有效的中华人民共和国《医师资格证书》；</w:t>
            </w:r>
          </w:p>
          <w:p>
            <w:pPr>
              <w:pStyle w:val="TableParagraph"/>
              <w:numPr>
                <w:ilvl w:val="0"/>
                <w:numId w:val="29"/>
              </w:numPr>
              <w:tabs>
                <w:tab w:pos="728" w:val="left" w:leader="none"/>
              </w:tabs>
              <w:spacing w:line="273" w:lineRule="auto" w:before="36" w:after="0"/>
              <w:ind w:left="739" w:right="304" w:hanging="631"/>
              <w:jc w:val="left"/>
              <w:rPr>
                <w:sz w:val="21"/>
              </w:rPr>
            </w:pPr>
            <w:r>
              <w:rPr>
                <w:spacing w:val="-11"/>
                <w:sz w:val="21"/>
              </w:rPr>
              <w:t>具有有效的中华人民共和国《医师执业证书》，并按期到相关部</w:t>
            </w:r>
            <w:r>
              <w:rPr>
                <w:spacing w:val="-6"/>
                <w:sz w:val="21"/>
              </w:rPr>
              <w:t>门登记注册；</w:t>
            </w:r>
          </w:p>
          <w:p>
            <w:pPr>
              <w:pStyle w:val="TableParagraph"/>
              <w:numPr>
                <w:ilvl w:val="0"/>
                <w:numId w:val="29"/>
              </w:numPr>
              <w:tabs>
                <w:tab w:pos="670" w:val="left" w:leader="none"/>
              </w:tabs>
              <w:spacing w:line="273" w:lineRule="auto" w:before="7" w:after="0"/>
              <w:ind w:left="739" w:right="302" w:hanging="631"/>
              <w:jc w:val="left"/>
              <w:rPr>
                <w:sz w:val="21"/>
              </w:rPr>
            </w:pPr>
            <w:r>
              <w:rPr>
                <w:spacing w:val="-6"/>
                <w:sz w:val="21"/>
              </w:rPr>
              <w:t>具有有效的中华人民共和国主治医师或主治医师以上职称的《医</w:t>
            </w:r>
            <w:r>
              <w:rPr>
                <w:spacing w:val="-18"/>
                <w:sz w:val="21"/>
              </w:rPr>
              <w:t>师职称证书》；</w:t>
            </w:r>
          </w:p>
          <w:p>
            <w:pPr>
              <w:pStyle w:val="TableParagraph"/>
              <w:numPr>
                <w:ilvl w:val="0"/>
                <w:numId w:val="29"/>
              </w:numPr>
              <w:tabs>
                <w:tab w:pos="740" w:val="left" w:leader="none"/>
              </w:tabs>
              <w:spacing w:line="240" w:lineRule="auto" w:before="8" w:after="0"/>
              <w:ind w:left="739" w:right="0" w:hanging="631"/>
              <w:jc w:val="left"/>
              <w:rPr>
                <w:sz w:val="21"/>
              </w:rPr>
            </w:pPr>
            <w:r>
              <w:rPr>
                <w:spacing w:val="-3"/>
                <w:sz w:val="21"/>
              </w:rPr>
              <w:t>在二级或二级以上医院的相应科室从事临床工作三年以上。</w:t>
            </w:r>
          </w:p>
        </w:tc>
      </w:tr>
      <w:tr>
        <w:trPr>
          <w:trHeight w:val="1560" w:hRule="atLeast"/>
        </w:trPr>
        <w:tc>
          <w:tcPr>
            <w:tcW w:w="837" w:type="dxa"/>
          </w:tcPr>
          <w:p>
            <w:pPr>
              <w:pStyle w:val="TableParagraph"/>
              <w:spacing w:before="142"/>
              <w:ind w:left="74" w:right="192"/>
              <w:jc w:val="center"/>
              <w:rPr>
                <w:b/>
                <w:sz w:val="21"/>
              </w:rPr>
            </w:pPr>
            <w:r>
              <w:rPr>
                <w:b/>
                <w:sz w:val="21"/>
              </w:rPr>
              <w:t>9.9</w:t>
            </w:r>
          </w:p>
        </w:tc>
        <w:tc>
          <w:tcPr>
            <w:tcW w:w="1809" w:type="dxa"/>
          </w:tcPr>
          <w:p>
            <w:pPr>
              <w:pStyle w:val="TableParagraph"/>
              <w:spacing w:before="142"/>
              <w:ind w:left="214"/>
              <w:rPr>
                <w:b/>
                <w:sz w:val="21"/>
              </w:rPr>
            </w:pPr>
            <w:r>
              <w:rPr>
                <w:b/>
                <w:sz w:val="21"/>
              </w:rPr>
              <w:t>毒品</w:t>
            </w:r>
          </w:p>
        </w:tc>
        <w:tc>
          <w:tcPr>
            <w:tcW w:w="6788" w:type="dxa"/>
          </w:tcPr>
          <w:p>
            <w:pPr>
              <w:pStyle w:val="TableParagraph"/>
              <w:spacing w:line="273" w:lineRule="auto" w:before="142"/>
              <w:ind w:left="108" w:right="302"/>
              <w:rPr>
                <w:sz w:val="21"/>
              </w:rPr>
            </w:pPr>
            <w:r>
              <w:rPr>
                <w:spacing w:val="-6"/>
                <w:sz w:val="21"/>
              </w:rPr>
              <w:t>指中华人民共和国刑法规定的鸦片、海洛因、甲基苯丙胺</w:t>
            </w:r>
            <w:r>
              <w:rPr>
                <w:sz w:val="21"/>
              </w:rPr>
              <w:t>（</w:t>
            </w:r>
            <w:r>
              <w:rPr>
                <w:spacing w:val="-2"/>
                <w:sz w:val="21"/>
              </w:rPr>
              <w:t>冰毒</w:t>
            </w:r>
            <w:r>
              <w:rPr>
                <w:spacing w:val="-106"/>
                <w:sz w:val="21"/>
              </w:rPr>
              <w:t>）</w:t>
            </w:r>
            <w:r>
              <w:rPr>
                <w:spacing w:val="-5"/>
                <w:sz w:val="21"/>
              </w:rPr>
              <w:t>、吗</w:t>
            </w:r>
            <w:r>
              <w:rPr>
                <w:spacing w:val="-4"/>
                <w:sz w:val="21"/>
              </w:rPr>
              <w:t>啡、大麻、可卡因以及国家规定管制的其他能够使人形成瘾癖的麻醉</w:t>
            </w:r>
            <w:r>
              <w:rPr>
                <w:spacing w:val="-3"/>
                <w:sz w:val="21"/>
              </w:rPr>
              <w:t>药品和精神药品，但不包括由医生开具并遵医嘱使用的用于治疗疾病但含有毒品成分的处方药品。</w:t>
            </w:r>
          </w:p>
        </w:tc>
      </w:tr>
      <w:tr>
        <w:trPr>
          <w:trHeight w:val="1248" w:hRule="atLeast"/>
        </w:trPr>
        <w:tc>
          <w:tcPr>
            <w:tcW w:w="837" w:type="dxa"/>
          </w:tcPr>
          <w:p>
            <w:pPr>
              <w:pStyle w:val="TableParagraph"/>
              <w:spacing w:before="142"/>
              <w:ind w:left="180" w:right="192"/>
              <w:jc w:val="center"/>
              <w:rPr>
                <w:b/>
                <w:sz w:val="21"/>
              </w:rPr>
            </w:pPr>
            <w:r>
              <w:rPr>
                <w:b/>
                <w:sz w:val="21"/>
              </w:rPr>
              <w:t>9.10</w:t>
            </w:r>
          </w:p>
        </w:tc>
        <w:tc>
          <w:tcPr>
            <w:tcW w:w="1809" w:type="dxa"/>
          </w:tcPr>
          <w:p>
            <w:pPr>
              <w:pStyle w:val="TableParagraph"/>
              <w:spacing w:before="142"/>
              <w:ind w:left="214"/>
              <w:rPr>
                <w:b/>
                <w:sz w:val="21"/>
              </w:rPr>
            </w:pPr>
            <w:r>
              <w:rPr>
                <w:b/>
                <w:sz w:val="21"/>
              </w:rPr>
              <w:t>酒后驾驶</w:t>
            </w:r>
          </w:p>
        </w:tc>
        <w:tc>
          <w:tcPr>
            <w:tcW w:w="6788" w:type="dxa"/>
          </w:tcPr>
          <w:p>
            <w:pPr>
              <w:pStyle w:val="TableParagraph"/>
              <w:spacing w:line="273" w:lineRule="auto" w:before="142"/>
              <w:ind w:left="108" w:right="372"/>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417" w:hRule="atLeast"/>
        </w:trPr>
        <w:tc>
          <w:tcPr>
            <w:tcW w:w="837" w:type="dxa"/>
          </w:tcPr>
          <w:p>
            <w:pPr>
              <w:pStyle w:val="TableParagraph"/>
              <w:spacing w:line="255" w:lineRule="exact" w:before="143"/>
              <w:ind w:left="180" w:right="192"/>
              <w:jc w:val="center"/>
              <w:rPr>
                <w:b/>
                <w:sz w:val="21"/>
              </w:rPr>
            </w:pPr>
            <w:r>
              <w:rPr>
                <w:b/>
                <w:sz w:val="21"/>
              </w:rPr>
              <w:t>9.11</w:t>
            </w:r>
          </w:p>
        </w:tc>
        <w:tc>
          <w:tcPr>
            <w:tcW w:w="1809" w:type="dxa"/>
          </w:tcPr>
          <w:p>
            <w:pPr>
              <w:pStyle w:val="TableParagraph"/>
              <w:spacing w:line="255" w:lineRule="exact" w:before="143"/>
              <w:ind w:left="214"/>
              <w:rPr>
                <w:b/>
                <w:sz w:val="21"/>
              </w:rPr>
            </w:pPr>
            <w:r>
              <w:rPr>
                <w:b/>
                <w:sz w:val="21"/>
              </w:rPr>
              <w:t>无合法有效驾驶</w:t>
            </w:r>
          </w:p>
        </w:tc>
        <w:tc>
          <w:tcPr>
            <w:tcW w:w="6788" w:type="dxa"/>
          </w:tcPr>
          <w:p>
            <w:pPr>
              <w:pStyle w:val="TableParagraph"/>
              <w:spacing w:line="255" w:lineRule="exact" w:before="143"/>
              <w:ind w:left="108"/>
              <w:rPr>
                <w:sz w:val="21"/>
              </w:rPr>
            </w:pPr>
            <w:r>
              <w:rPr>
                <w:sz w:val="21"/>
              </w:rPr>
              <w:t>指下列情形之一：</w:t>
            </w:r>
          </w:p>
        </w:tc>
      </w:tr>
    </w:tbl>
    <w:p>
      <w:pPr>
        <w:spacing w:after="0" w:line="255" w:lineRule="exact"/>
        <w:rPr>
          <w:sz w:val="21"/>
        </w:rPr>
        <w:sectPr>
          <w:pgSz w:w="11910" w:h="16840"/>
          <w:pgMar w:header="900" w:footer="992" w:top="1220" w:bottom="1180" w:left="1000" w:right="1260"/>
        </w:sectPr>
      </w:pPr>
    </w:p>
    <w:p>
      <w:pPr>
        <w:pStyle w:val="BodyText"/>
        <w:spacing w:before="5"/>
        <w:rPr>
          <w:rFonts w:ascii="Times New Roman"/>
          <w:sz w:val="2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791"/>
        <w:gridCol w:w="6805"/>
      </w:tblGrid>
      <w:tr>
        <w:trPr>
          <w:trHeight w:val="1665" w:hRule="atLeast"/>
        </w:trPr>
        <w:tc>
          <w:tcPr>
            <w:tcW w:w="837" w:type="dxa"/>
          </w:tcPr>
          <w:p>
            <w:pPr>
              <w:pStyle w:val="TableParagraph"/>
              <w:rPr>
                <w:rFonts w:ascii="Times New Roman"/>
                <w:sz w:val="20"/>
              </w:rPr>
            </w:pPr>
          </w:p>
        </w:tc>
        <w:tc>
          <w:tcPr>
            <w:tcW w:w="1791" w:type="dxa"/>
          </w:tcPr>
          <w:p>
            <w:pPr>
              <w:pStyle w:val="TableParagraph"/>
              <w:spacing w:line="211" w:lineRule="exact"/>
              <w:ind w:left="214"/>
              <w:rPr>
                <w:b/>
                <w:sz w:val="21"/>
              </w:rPr>
            </w:pPr>
            <w:r>
              <w:rPr>
                <w:b/>
                <w:sz w:val="21"/>
              </w:rPr>
              <w:t>证驾驶</w:t>
            </w:r>
          </w:p>
        </w:tc>
        <w:tc>
          <w:tcPr>
            <w:tcW w:w="6805" w:type="dxa"/>
          </w:tcPr>
          <w:p>
            <w:pPr>
              <w:pStyle w:val="TableParagraph"/>
              <w:numPr>
                <w:ilvl w:val="0"/>
                <w:numId w:val="30"/>
              </w:numPr>
              <w:tabs>
                <w:tab w:pos="729" w:val="left" w:leader="none"/>
              </w:tabs>
              <w:spacing w:line="211" w:lineRule="exact" w:before="0" w:after="0"/>
              <w:ind w:left="726" w:right="0" w:hanging="629"/>
              <w:jc w:val="left"/>
              <w:rPr>
                <w:sz w:val="21"/>
              </w:rPr>
            </w:pPr>
            <w:r>
              <w:rPr>
                <w:spacing w:val="-3"/>
                <w:sz w:val="21"/>
              </w:rPr>
              <w:t>没有驾驶证驾驶；</w:t>
            </w:r>
          </w:p>
          <w:p>
            <w:pPr>
              <w:pStyle w:val="TableParagraph"/>
              <w:numPr>
                <w:ilvl w:val="0"/>
                <w:numId w:val="30"/>
              </w:numPr>
              <w:tabs>
                <w:tab w:pos="729" w:val="left" w:leader="none"/>
              </w:tabs>
              <w:spacing w:line="240" w:lineRule="auto" w:before="37" w:after="0"/>
              <w:ind w:left="726" w:right="0" w:hanging="629"/>
              <w:jc w:val="left"/>
              <w:rPr>
                <w:sz w:val="21"/>
              </w:rPr>
            </w:pPr>
            <w:r>
              <w:rPr>
                <w:spacing w:val="-3"/>
                <w:sz w:val="21"/>
              </w:rPr>
              <w:t>驾驶与驾驶证准驾车型不相符合的车辆；</w:t>
            </w:r>
          </w:p>
          <w:p>
            <w:pPr>
              <w:pStyle w:val="TableParagraph"/>
              <w:numPr>
                <w:ilvl w:val="0"/>
                <w:numId w:val="30"/>
              </w:numPr>
              <w:tabs>
                <w:tab w:pos="729" w:val="left" w:leader="none"/>
              </w:tabs>
              <w:spacing w:line="240" w:lineRule="auto" w:before="37" w:after="0"/>
              <w:ind w:left="726" w:right="0" w:hanging="629"/>
              <w:jc w:val="left"/>
              <w:rPr>
                <w:sz w:val="21"/>
              </w:rPr>
            </w:pPr>
            <w:r>
              <w:rPr>
                <w:spacing w:val="-3"/>
                <w:sz w:val="21"/>
              </w:rPr>
              <w:t>持审验不合格的驾驶证驾驶；</w:t>
            </w:r>
          </w:p>
          <w:p>
            <w:pPr>
              <w:pStyle w:val="TableParagraph"/>
              <w:numPr>
                <w:ilvl w:val="0"/>
                <w:numId w:val="30"/>
              </w:numPr>
              <w:tabs>
                <w:tab w:pos="729" w:val="left" w:leader="none"/>
              </w:tabs>
              <w:spacing w:line="273" w:lineRule="auto" w:before="37" w:after="0"/>
              <w:ind w:left="726" w:right="399" w:hanging="629"/>
              <w:jc w:val="left"/>
              <w:rPr>
                <w:sz w:val="21"/>
              </w:rPr>
            </w:pPr>
            <w:r>
              <w:rPr>
                <w:spacing w:val="-3"/>
                <w:sz w:val="21"/>
              </w:rPr>
              <w:t>持学习驾驶证学习驾车时，无教练员随车指导，或不按指定时间、路线学习驾车。</w:t>
            </w:r>
          </w:p>
        </w:tc>
      </w:tr>
      <w:tr>
        <w:trPr>
          <w:trHeight w:val="1247" w:hRule="atLeast"/>
        </w:trPr>
        <w:tc>
          <w:tcPr>
            <w:tcW w:w="837" w:type="dxa"/>
          </w:tcPr>
          <w:p>
            <w:pPr>
              <w:pStyle w:val="TableParagraph"/>
              <w:spacing w:before="142"/>
              <w:ind w:left="180" w:right="192"/>
              <w:jc w:val="center"/>
              <w:rPr>
                <w:b/>
                <w:sz w:val="21"/>
              </w:rPr>
            </w:pPr>
            <w:r>
              <w:rPr>
                <w:b/>
                <w:sz w:val="21"/>
              </w:rPr>
              <w:t>9.12</w:t>
            </w:r>
          </w:p>
        </w:tc>
        <w:tc>
          <w:tcPr>
            <w:tcW w:w="1791" w:type="dxa"/>
          </w:tcPr>
          <w:p>
            <w:pPr>
              <w:pStyle w:val="TableParagraph"/>
              <w:spacing w:before="142"/>
              <w:ind w:left="214"/>
              <w:rPr>
                <w:b/>
                <w:sz w:val="21"/>
              </w:rPr>
            </w:pPr>
            <w:r>
              <w:rPr>
                <w:b/>
                <w:sz w:val="21"/>
              </w:rPr>
              <w:t>无有效行驶证</w:t>
            </w:r>
          </w:p>
        </w:tc>
        <w:tc>
          <w:tcPr>
            <w:tcW w:w="6805" w:type="dxa"/>
          </w:tcPr>
          <w:p>
            <w:pPr>
              <w:pStyle w:val="TableParagraph"/>
              <w:spacing w:before="142"/>
              <w:ind w:left="126"/>
              <w:rPr>
                <w:sz w:val="21"/>
              </w:rPr>
            </w:pPr>
            <w:r>
              <w:rPr>
                <w:sz w:val="21"/>
              </w:rPr>
              <w:t>指下列情形之一：</w:t>
            </w:r>
          </w:p>
          <w:p>
            <w:pPr>
              <w:pStyle w:val="TableParagraph"/>
              <w:numPr>
                <w:ilvl w:val="0"/>
                <w:numId w:val="31"/>
              </w:numPr>
              <w:tabs>
                <w:tab w:pos="758" w:val="left" w:leader="none"/>
              </w:tabs>
              <w:spacing w:line="240" w:lineRule="auto" w:before="36" w:after="0"/>
              <w:ind w:left="757" w:right="0" w:hanging="631"/>
              <w:jc w:val="left"/>
              <w:rPr>
                <w:sz w:val="21"/>
              </w:rPr>
            </w:pPr>
            <w:r>
              <w:rPr>
                <w:spacing w:val="-3"/>
                <w:sz w:val="21"/>
              </w:rPr>
              <w:t>机动车被依法注销登记的；</w:t>
            </w:r>
          </w:p>
          <w:p>
            <w:pPr>
              <w:pStyle w:val="TableParagraph"/>
              <w:numPr>
                <w:ilvl w:val="0"/>
                <w:numId w:val="31"/>
              </w:numPr>
              <w:tabs>
                <w:tab w:pos="758" w:val="left" w:leader="none"/>
              </w:tabs>
              <w:spacing w:line="240" w:lineRule="auto" w:before="36" w:after="0"/>
              <w:ind w:left="757" w:right="0" w:hanging="631"/>
              <w:jc w:val="left"/>
              <w:rPr>
                <w:sz w:val="21"/>
              </w:rPr>
            </w:pPr>
            <w:r>
              <w:rPr>
                <w:spacing w:val="-3"/>
                <w:sz w:val="21"/>
              </w:rPr>
              <w:t>未依法按时进行或通过机动车安全技术检验。</w:t>
            </w:r>
          </w:p>
        </w:tc>
      </w:tr>
      <w:tr>
        <w:trPr>
          <w:trHeight w:val="1872" w:hRule="atLeast"/>
        </w:trPr>
        <w:tc>
          <w:tcPr>
            <w:tcW w:w="837" w:type="dxa"/>
          </w:tcPr>
          <w:p>
            <w:pPr>
              <w:pStyle w:val="TableParagraph"/>
              <w:spacing w:before="142"/>
              <w:ind w:left="180" w:right="192"/>
              <w:jc w:val="center"/>
              <w:rPr>
                <w:b/>
                <w:sz w:val="21"/>
              </w:rPr>
            </w:pPr>
            <w:r>
              <w:rPr>
                <w:b/>
                <w:sz w:val="21"/>
              </w:rPr>
              <w:t>9.13</w:t>
            </w:r>
          </w:p>
        </w:tc>
        <w:tc>
          <w:tcPr>
            <w:tcW w:w="1791" w:type="dxa"/>
          </w:tcPr>
          <w:p>
            <w:pPr>
              <w:pStyle w:val="TableParagraph"/>
              <w:spacing w:line="273" w:lineRule="auto" w:before="142"/>
              <w:ind w:left="214" w:right="95"/>
              <w:rPr>
                <w:b/>
                <w:sz w:val="21"/>
              </w:rPr>
            </w:pPr>
            <w:r>
              <w:rPr>
                <w:b/>
                <w:sz w:val="21"/>
              </w:rPr>
              <w:t>感染艾滋病病毒或患艾滋病</w:t>
            </w:r>
          </w:p>
        </w:tc>
        <w:tc>
          <w:tcPr>
            <w:tcW w:w="6805" w:type="dxa"/>
          </w:tcPr>
          <w:p>
            <w:pPr>
              <w:pStyle w:val="TableParagraph"/>
              <w:spacing w:line="273" w:lineRule="auto" w:before="142"/>
              <w:ind w:left="126" w:right="301"/>
              <w:jc w:val="both"/>
              <w:rPr>
                <w:sz w:val="21"/>
              </w:rPr>
            </w:pPr>
            <w:r>
              <w:rPr>
                <w:spacing w:val="-7"/>
                <w:sz w:val="21"/>
              </w:rPr>
              <w:t>艾滋病病毒指人类免疫缺陷病毒，英文缩写为 </w:t>
            </w:r>
            <w:r>
              <w:rPr>
                <w:sz w:val="21"/>
              </w:rPr>
              <w:t>HIV</w:t>
            </w:r>
            <w:r>
              <w:rPr>
                <w:spacing w:val="-8"/>
                <w:sz w:val="21"/>
              </w:rPr>
              <w:t>。艾滋病指人类免疫</w:t>
            </w:r>
            <w:r>
              <w:rPr>
                <w:spacing w:val="-6"/>
                <w:sz w:val="21"/>
              </w:rPr>
              <w:t>缺陷病毒引起的获得性免疫缺陷综合征，英文缩写为 </w:t>
            </w:r>
            <w:r>
              <w:rPr>
                <w:sz w:val="21"/>
              </w:rPr>
              <w:t>AIDS。</w:t>
            </w:r>
          </w:p>
          <w:p>
            <w:pPr>
              <w:pStyle w:val="TableParagraph"/>
              <w:spacing w:line="273" w:lineRule="auto" w:before="7"/>
              <w:ind w:left="126" w:right="371"/>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1092" w:hRule="atLeast"/>
        </w:trPr>
        <w:tc>
          <w:tcPr>
            <w:tcW w:w="837" w:type="dxa"/>
          </w:tcPr>
          <w:p>
            <w:pPr>
              <w:pStyle w:val="TableParagraph"/>
              <w:spacing w:before="142"/>
              <w:ind w:left="180" w:right="192"/>
              <w:jc w:val="center"/>
              <w:rPr>
                <w:b/>
                <w:sz w:val="21"/>
              </w:rPr>
            </w:pPr>
            <w:r>
              <w:rPr>
                <w:b/>
                <w:sz w:val="21"/>
              </w:rPr>
              <w:t>9.14</w:t>
            </w:r>
          </w:p>
        </w:tc>
        <w:tc>
          <w:tcPr>
            <w:tcW w:w="1791" w:type="dxa"/>
          </w:tcPr>
          <w:p>
            <w:pPr>
              <w:pStyle w:val="TableParagraph"/>
              <w:spacing w:before="142"/>
              <w:ind w:left="214"/>
              <w:rPr>
                <w:b/>
                <w:sz w:val="21"/>
              </w:rPr>
            </w:pPr>
            <w:r>
              <w:rPr>
                <w:b/>
                <w:sz w:val="21"/>
              </w:rPr>
              <w:t>遗传性疾病</w:t>
            </w:r>
          </w:p>
        </w:tc>
        <w:tc>
          <w:tcPr>
            <w:tcW w:w="6805" w:type="dxa"/>
          </w:tcPr>
          <w:p>
            <w:pPr>
              <w:pStyle w:val="TableParagraph"/>
              <w:spacing w:line="273" w:lineRule="auto" w:before="142"/>
              <w:ind w:left="126" w:right="371"/>
              <w:rPr>
                <w:sz w:val="21"/>
              </w:rPr>
            </w:pPr>
            <w:r>
              <w:rPr>
                <w:sz w:val="21"/>
              </w:rPr>
              <w:t>指生殖细胞或受精卵的遗传物质（染色体和基因）发生突变或畸变所引起的疾病，通常具有由亲代传至后代的垂直传递的特征。</w:t>
            </w:r>
          </w:p>
        </w:tc>
      </w:tr>
      <w:tr>
        <w:trPr>
          <w:trHeight w:val="1404" w:hRule="atLeast"/>
        </w:trPr>
        <w:tc>
          <w:tcPr>
            <w:tcW w:w="837" w:type="dxa"/>
          </w:tcPr>
          <w:p>
            <w:pPr>
              <w:pStyle w:val="TableParagraph"/>
              <w:spacing w:before="11"/>
              <w:rPr>
                <w:rFonts w:ascii="Times New Roman"/>
                <w:sz w:val="25"/>
              </w:rPr>
            </w:pPr>
          </w:p>
          <w:p>
            <w:pPr>
              <w:pStyle w:val="TableParagraph"/>
              <w:ind w:left="180" w:right="192"/>
              <w:jc w:val="center"/>
              <w:rPr>
                <w:b/>
                <w:sz w:val="21"/>
              </w:rPr>
            </w:pPr>
            <w:r>
              <w:rPr>
                <w:b/>
                <w:sz w:val="21"/>
              </w:rPr>
              <w:t>9.15</w:t>
            </w:r>
          </w:p>
        </w:tc>
        <w:tc>
          <w:tcPr>
            <w:tcW w:w="1791" w:type="dxa"/>
          </w:tcPr>
          <w:p>
            <w:pPr>
              <w:pStyle w:val="TableParagraph"/>
              <w:spacing w:before="11"/>
              <w:rPr>
                <w:rFonts w:ascii="Times New Roman"/>
                <w:sz w:val="25"/>
              </w:rPr>
            </w:pPr>
          </w:p>
          <w:p>
            <w:pPr>
              <w:pStyle w:val="TableParagraph"/>
              <w:spacing w:line="273" w:lineRule="auto"/>
              <w:ind w:left="214" w:right="95"/>
              <w:rPr>
                <w:b/>
                <w:sz w:val="21"/>
              </w:rPr>
            </w:pPr>
            <w:r>
              <w:rPr>
                <w:b/>
                <w:sz w:val="21"/>
              </w:rPr>
              <w:t>先天性畸形、变形或染色体异常</w:t>
            </w:r>
          </w:p>
        </w:tc>
        <w:tc>
          <w:tcPr>
            <w:tcW w:w="6805" w:type="dxa"/>
          </w:tcPr>
          <w:p>
            <w:pPr>
              <w:pStyle w:val="TableParagraph"/>
              <w:spacing w:before="11"/>
              <w:rPr>
                <w:rFonts w:ascii="Times New Roman"/>
                <w:sz w:val="25"/>
              </w:rPr>
            </w:pPr>
          </w:p>
          <w:p>
            <w:pPr>
              <w:pStyle w:val="TableParagraph"/>
              <w:spacing w:line="273" w:lineRule="auto"/>
              <w:ind w:left="126" w:right="371"/>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936" w:hRule="atLeast"/>
        </w:trPr>
        <w:tc>
          <w:tcPr>
            <w:tcW w:w="837" w:type="dxa"/>
          </w:tcPr>
          <w:p>
            <w:pPr>
              <w:pStyle w:val="TableParagraph"/>
              <w:spacing w:before="142"/>
              <w:ind w:left="180" w:right="192"/>
              <w:jc w:val="center"/>
              <w:rPr>
                <w:b/>
                <w:sz w:val="21"/>
              </w:rPr>
            </w:pPr>
            <w:r>
              <w:rPr>
                <w:b/>
                <w:sz w:val="21"/>
              </w:rPr>
              <w:t>9.16</w:t>
            </w:r>
          </w:p>
        </w:tc>
        <w:tc>
          <w:tcPr>
            <w:tcW w:w="1791" w:type="dxa"/>
          </w:tcPr>
          <w:p>
            <w:pPr>
              <w:pStyle w:val="TableParagraph"/>
              <w:spacing w:before="142"/>
              <w:ind w:left="214"/>
              <w:rPr>
                <w:b/>
                <w:sz w:val="21"/>
              </w:rPr>
            </w:pPr>
            <w:r>
              <w:rPr>
                <w:b/>
                <w:sz w:val="21"/>
              </w:rPr>
              <w:t>医院</w:t>
            </w:r>
          </w:p>
        </w:tc>
        <w:tc>
          <w:tcPr>
            <w:tcW w:w="6805" w:type="dxa"/>
          </w:tcPr>
          <w:p>
            <w:pPr>
              <w:pStyle w:val="TableParagraph"/>
              <w:spacing w:line="273" w:lineRule="auto" w:before="142"/>
              <w:ind w:left="126" w:right="307"/>
              <w:rPr>
                <w:sz w:val="21"/>
              </w:rPr>
            </w:pPr>
            <w:r>
              <w:rPr>
                <w:sz w:val="21"/>
              </w:rPr>
              <w:t>指我们指定的定点医院，我们保留变更定点医院的权利。定点医院发生变更时，我们会书面通知您。</w:t>
            </w:r>
          </w:p>
        </w:tc>
      </w:tr>
      <w:tr>
        <w:trPr>
          <w:trHeight w:val="936" w:hRule="atLeast"/>
        </w:trPr>
        <w:tc>
          <w:tcPr>
            <w:tcW w:w="837" w:type="dxa"/>
          </w:tcPr>
          <w:p>
            <w:pPr>
              <w:pStyle w:val="TableParagraph"/>
              <w:spacing w:before="142"/>
              <w:ind w:left="180" w:right="192"/>
              <w:jc w:val="center"/>
              <w:rPr>
                <w:b/>
                <w:sz w:val="21"/>
              </w:rPr>
            </w:pPr>
            <w:r>
              <w:rPr>
                <w:b/>
                <w:sz w:val="21"/>
              </w:rPr>
              <w:t>9.17</w:t>
            </w:r>
          </w:p>
        </w:tc>
        <w:tc>
          <w:tcPr>
            <w:tcW w:w="1791" w:type="dxa"/>
          </w:tcPr>
          <w:p>
            <w:pPr>
              <w:pStyle w:val="TableParagraph"/>
              <w:spacing w:line="273" w:lineRule="auto" w:before="142"/>
              <w:ind w:left="214" w:right="95"/>
              <w:rPr>
                <w:b/>
                <w:sz w:val="21"/>
              </w:rPr>
            </w:pPr>
            <w:r>
              <w:rPr>
                <w:b/>
                <w:sz w:val="21"/>
              </w:rPr>
              <w:t>肢体机能完全丧失</w:t>
            </w:r>
          </w:p>
        </w:tc>
        <w:tc>
          <w:tcPr>
            <w:tcW w:w="6805" w:type="dxa"/>
          </w:tcPr>
          <w:p>
            <w:pPr>
              <w:pStyle w:val="TableParagraph"/>
              <w:spacing w:line="273" w:lineRule="auto" w:before="142"/>
              <w:ind w:left="126" w:right="371"/>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837" w:type="dxa"/>
          </w:tcPr>
          <w:p>
            <w:pPr>
              <w:pStyle w:val="TableParagraph"/>
              <w:spacing w:before="142"/>
              <w:ind w:left="180" w:right="192"/>
              <w:jc w:val="center"/>
              <w:rPr>
                <w:b/>
                <w:sz w:val="21"/>
              </w:rPr>
            </w:pPr>
            <w:r>
              <w:rPr>
                <w:b/>
                <w:sz w:val="21"/>
              </w:rPr>
              <w:t>9.18</w:t>
            </w:r>
          </w:p>
        </w:tc>
        <w:tc>
          <w:tcPr>
            <w:tcW w:w="1791" w:type="dxa"/>
          </w:tcPr>
          <w:p>
            <w:pPr>
              <w:pStyle w:val="TableParagraph"/>
              <w:spacing w:line="273" w:lineRule="auto" w:before="142"/>
              <w:ind w:left="214" w:right="95"/>
              <w:jc w:val="both"/>
              <w:rPr>
                <w:b/>
                <w:sz w:val="21"/>
              </w:rPr>
            </w:pPr>
            <w:r>
              <w:rPr>
                <w:b/>
                <w:sz w:val="21"/>
              </w:rPr>
              <w:t>语言能力或咀嚼吞咽能力完全丧失</w:t>
            </w:r>
          </w:p>
        </w:tc>
        <w:tc>
          <w:tcPr>
            <w:tcW w:w="6805" w:type="dxa"/>
          </w:tcPr>
          <w:p>
            <w:pPr>
              <w:pStyle w:val="TableParagraph"/>
              <w:spacing w:line="273" w:lineRule="auto" w:before="142"/>
              <w:ind w:left="126" w:right="371"/>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126" w:right="198"/>
              <w:rPr>
                <w:sz w:val="21"/>
              </w:rPr>
            </w:pPr>
            <w:r>
              <w:rPr>
                <w:spacing w:val="-3"/>
                <w:sz w:val="21"/>
              </w:rPr>
              <w:t>咀嚼吞咽能力完全丧失，指因牙齿以外的原因导致器质障碍或机能障 </w:t>
            </w:r>
            <w:r>
              <w:rPr>
                <w:spacing w:val="-7"/>
                <w:sz w:val="21"/>
              </w:rPr>
              <w:t>碍，以致不能作咀嚼吞咽运动，除流质食物外不能摄取或吞咽的状态。</w:t>
            </w:r>
          </w:p>
        </w:tc>
      </w:tr>
      <w:tr>
        <w:trPr>
          <w:trHeight w:val="2289" w:hRule="atLeast"/>
        </w:trPr>
        <w:tc>
          <w:tcPr>
            <w:tcW w:w="837" w:type="dxa"/>
          </w:tcPr>
          <w:p>
            <w:pPr>
              <w:pStyle w:val="TableParagraph"/>
              <w:spacing w:before="142"/>
              <w:ind w:left="180" w:right="192"/>
              <w:jc w:val="center"/>
              <w:rPr>
                <w:b/>
                <w:sz w:val="21"/>
              </w:rPr>
            </w:pPr>
            <w:r>
              <w:rPr>
                <w:b/>
                <w:sz w:val="21"/>
              </w:rPr>
              <w:t>9.19</w:t>
            </w:r>
          </w:p>
        </w:tc>
        <w:tc>
          <w:tcPr>
            <w:tcW w:w="1791" w:type="dxa"/>
          </w:tcPr>
          <w:p>
            <w:pPr>
              <w:pStyle w:val="TableParagraph"/>
              <w:spacing w:line="273" w:lineRule="auto" w:before="142"/>
              <w:ind w:left="214" w:right="95"/>
              <w:rPr>
                <w:b/>
                <w:sz w:val="21"/>
              </w:rPr>
            </w:pPr>
            <w:r>
              <w:rPr>
                <w:b/>
                <w:sz w:val="21"/>
              </w:rPr>
              <w:t>六项基本日常生活活动</w:t>
            </w:r>
          </w:p>
        </w:tc>
        <w:tc>
          <w:tcPr>
            <w:tcW w:w="6805" w:type="dxa"/>
          </w:tcPr>
          <w:p>
            <w:pPr>
              <w:pStyle w:val="TableParagraph"/>
              <w:spacing w:before="142"/>
              <w:ind w:left="126"/>
              <w:rPr>
                <w:sz w:val="21"/>
              </w:rPr>
            </w:pPr>
            <w:r>
              <w:rPr>
                <w:sz w:val="21"/>
              </w:rPr>
              <w:t>六项基本日常生活活动是指：</w:t>
            </w:r>
          </w:p>
          <w:p>
            <w:pPr>
              <w:pStyle w:val="TableParagraph"/>
              <w:numPr>
                <w:ilvl w:val="0"/>
                <w:numId w:val="32"/>
              </w:numPr>
              <w:tabs>
                <w:tab w:pos="758" w:val="left" w:leader="none"/>
              </w:tabs>
              <w:spacing w:line="240" w:lineRule="auto" w:before="36" w:after="0"/>
              <w:ind w:left="757" w:right="0" w:hanging="631"/>
              <w:jc w:val="left"/>
              <w:rPr>
                <w:sz w:val="21"/>
              </w:rPr>
            </w:pPr>
            <w:r>
              <w:rPr>
                <w:spacing w:val="-3"/>
                <w:sz w:val="21"/>
              </w:rPr>
              <w:t>穿衣：自己能够穿衣及脱衣；</w:t>
            </w:r>
          </w:p>
          <w:p>
            <w:pPr>
              <w:pStyle w:val="TableParagraph"/>
              <w:numPr>
                <w:ilvl w:val="0"/>
                <w:numId w:val="32"/>
              </w:numPr>
              <w:tabs>
                <w:tab w:pos="758" w:val="left" w:leader="none"/>
              </w:tabs>
              <w:spacing w:line="240" w:lineRule="auto" w:before="36" w:after="0"/>
              <w:ind w:left="757" w:right="0" w:hanging="631"/>
              <w:jc w:val="left"/>
              <w:rPr>
                <w:sz w:val="21"/>
              </w:rPr>
            </w:pPr>
            <w:r>
              <w:rPr>
                <w:spacing w:val="-3"/>
                <w:sz w:val="21"/>
              </w:rPr>
              <w:t>移动：自己从一个房间到另一个房间；</w:t>
            </w:r>
          </w:p>
          <w:p>
            <w:pPr>
              <w:pStyle w:val="TableParagraph"/>
              <w:numPr>
                <w:ilvl w:val="0"/>
                <w:numId w:val="32"/>
              </w:numPr>
              <w:tabs>
                <w:tab w:pos="758" w:val="left" w:leader="none"/>
              </w:tabs>
              <w:spacing w:line="240" w:lineRule="auto" w:before="36" w:after="0"/>
              <w:ind w:left="757" w:right="0" w:hanging="631"/>
              <w:jc w:val="left"/>
              <w:rPr>
                <w:sz w:val="21"/>
              </w:rPr>
            </w:pPr>
            <w:r>
              <w:rPr>
                <w:spacing w:val="-3"/>
                <w:sz w:val="21"/>
              </w:rPr>
              <w:t>行动：自己上下床或上下轮椅；</w:t>
            </w:r>
          </w:p>
          <w:p>
            <w:pPr>
              <w:pStyle w:val="TableParagraph"/>
              <w:numPr>
                <w:ilvl w:val="0"/>
                <w:numId w:val="32"/>
              </w:numPr>
              <w:tabs>
                <w:tab w:pos="758" w:val="left" w:leader="none"/>
              </w:tabs>
              <w:spacing w:line="240" w:lineRule="auto" w:before="36" w:after="0"/>
              <w:ind w:left="757" w:right="0" w:hanging="631"/>
              <w:jc w:val="left"/>
              <w:rPr>
                <w:sz w:val="21"/>
              </w:rPr>
            </w:pPr>
            <w:r>
              <w:rPr>
                <w:spacing w:val="-3"/>
                <w:sz w:val="21"/>
              </w:rPr>
              <w:t>如厕：自己控制进行大小便；</w:t>
            </w:r>
          </w:p>
          <w:p>
            <w:pPr>
              <w:pStyle w:val="TableParagraph"/>
              <w:numPr>
                <w:ilvl w:val="0"/>
                <w:numId w:val="32"/>
              </w:numPr>
              <w:tabs>
                <w:tab w:pos="758" w:val="left" w:leader="none"/>
              </w:tabs>
              <w:spacing w:line="240" w:lineRule="auto" w:before="36" w:after="0"/>
              <w:ind w:left="757" w:right="0" w:hanging="631"/>
              <w:jc w:val="left"/>
              <w:rPr>
                <w:sz w:val="21"/>
              </w:rPr>
            </w:pPr>
            <w:r>
              <w:rPr>
                <w:spacing w:val="-3"/>
                <w:sz w:val="21"/>
              </w:rPr>
              <w:t>进食：自己从已准备好的碗或碟中取食物放入口中；</w:t>
            </w:r>
          </w:p>
          <w:p>
            <w:pPr>
              <w:pStyle w:val="TableParagraph"/>
              <w:numPr>
                <w:ilvl w:val="0"/>
                <w:numId w:val="32"/>
              </w:numPr>
              <w:tabs>
                <w:tab w:pos="758" w:val="left" w:leader="none"/>
              </w:tabs>
              <w:spacing w:line="255" w:lineRule="exact" w:before="37" w:after="0"/>
              <w:ind w:left="757" w:right="0" w:hanging="631"/>
              <w:jc w:val="left"/>
              <w:rPr>
                <w:sz w:val="21"/>
              </w:rPr>
            </w:pPr>
            <w:r>
              <w:rPr>
                <w:spacing w:val="-3"/>
                <w:sz w:val="21"/>
              </w:rPr>
              <w:t>洗澡：自己进行淋浴或盆浴。</w:t>
            </w:r>
          </w:p>
        </w:tc>
      </w:tr>
    </w:tbl>
    <w:p>
      <w:pPr>
        <w:spacing w:after="0" w:line="255" w:lineRule="exact"/>
        <w:jc w:val="left"/>
        <w:rPr>
          <w:sz w:val="21"/>
        </w:rPr>
        <w:sectPr>
          <w:pgSz w:w="11910" w:h="16840"/>
          <w:pgMar w:header="900" w:footer="992" w:top="1220" w:bottom="1180" w:left="1000" w:right="1260"/>
        </w:sectPr>
      </w:pPr>
    </w:p>
    <w:p>
      <w:pPr>
        <w:pStyle w:val="BodyText"/>
        <w:spacing w:before="5"/>
        <w:rPr>
          <w:rFonts w:ascii="Times New Roman"/>
          <w:sz w:val="2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594"/>
        <w:gridCol w:w="6829"/>
      </w:tblGrid>
      <w:tr>
        <w:trPr>
          <w:trHeight w:val="523" w:hRule="atLeast"/>
        </w:trPr>
        <w:tc>
          <w:tcPr>
            <w:tcW w:w="837" w:type="dxa"/>
          </w:tcPr>
          <w:p>
            <w:pPr>
              <w:pStyle w:val="TableParagraph"/>
              <w:spacing w:line="211" w:lineRule="exact"/>
              <w:ind w:left="200"/>
              <w:rPr>
                <w:b/>
                <w:sz w:val="21"/>
              </w:rPr>
            </w:pPr>
            <w:r>
              <w:rPr>
                <w:b/>
                <w:sz w:val="21"/>
              </w:rPr>
              <w:t>9.20</w:t>
            </w:r>
          </w:p>
        </w:tc>
        <w:tc>
          <w:tcPr>
            <w:tcW w:w="1594" w:type="dxa"/>
          </w:tcPr>
          <w:p>
            <w:pPr>
              <w:pStyle w:val="TableParagraph"/>
              <w:spacing w:line="211" w:lineRule="exact"/>
              <w:ind w:left="214"/>
              <w:rPr>
                <w:b/>
                <w:sz w:val="21"/>
              </w:rPr>
            </w:pPr>
            <w:r>
              <w:rPr>
                <w:b/>
                <w:sz w:val="21"/>
              </w:rPr>
              <w:t>永久不可逆</w:t>
            </w:r>
          </w:p>
        </w:tc>
        <w:tc>
          <w:tcPr>
            <w:tcW w:w="6829" w:type="dxa"/>
          </w:tcPr>
          <w:p>
            <w:pPr>
              <w:pStyle w:val="TableParagraph"/>
              <w:spacing w:line="211" w:lineRule="exact"/>
              <w:ind w:left="323"/>
              <w:rPr>
                <w:sz w:val="21"/>
              </w:rPr>
            </w:pPr>
            <w:r>
              <w:rPr>
                <w:sz w:val="21"/>
              </w:rPr>
              <w:t>指自疾病确诊或意外伤害发生之日起，经过积极治疗 180 天后，仍无</w:t>
            </w:r>
          </w:p>
          <w:p>
            <w:pPr>
              <w:pStyle w:val="TableParagraph"/>
              <w:spacing w:line="255" w:lineRule="exact" w:before="37"/>
              <w:ind w:left="323"/>
              <w:rPr>
                <w:sz w:val="21"/>
              </w:rPr>
            </w:pPr>
            <w:r>
              <w:rPr>
                <w:sz w:val="21"/>
              </w:rPr>
              <w:t>法通过现有医疗手段恢复。</w:t>
            </w:r>
          </w:p>
        </w:tc>
      </w:tr>
    </w:tbl>
    <w:sectPr>
      <w:pgSz w:w="11910" w:h="16840"/>
      <w:pgMar w:header="900" w:footer="992" w:top="1220" w:bottom="1180" w:left="100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仿宋">
    <w:altName w:val="仿宋"/>
    <w:charset w:val="86"/>
    <w:family w:val="modern"/>
    <w:pitch w:val="fixed"/>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850006pt;margin-top:781.299988pt;width:17.150pt;height:12pt;mso-position-horizontal-relative:page;mso-position-vertical-relative:page;z-index:-4892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w:t>
                </w:r>
                <w:r>
                  <w:rPr/>
                  <w:fldChar w:fldCharType="end"/>
                </w:r>
                <w:r>
                  <w:rPr>
                    <w:rFonts w:ascii="Times New Roman"/>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70007pt;margin-top:781.299988pt;width:21.6pt;height:12pt;mso-position-horizontal-relative:page;mso-position-vertical-relative:page;z-index:-4888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83998pt;margin-top:44.013809pt;width:53.1pt;height:18.1pt;mso-position-horizontal-relative:page;mso-position-vertical-relative:page;z-index:-48904" type="#_x0000_t202" filled="false" stroked="false">
          <v:textbox inset="0,0,0,0">
            <w:txbxContent>
              <w:p>
                <w:pPr>
                  <w:spacing w:line="338" w:lineRule="exact" w:before="0"/>
                  <w:ind w:left="20" w:right="0" w:firstLine="0"/>
                  <w:jc w:val="left"/>
                  <w:rPr>
                    <w:rFonts w:ascii="Microsoft JhengHei" w:eastAsia="Microsoft JhengHei" w:hint="eastAsia"/>
                    <w:sz w:val="24"/>
                  </w:rPr>
                </w:pPr>
                <w:r>
                  <w:rPr>
                    <w:spacing w:val="-16"/>
                    <w:w w:val="95"/>
                    <w:sz w:val="24"/>
                  </w:rPr>
                  <w:t>附件 </w:t>
                </w:r>
                <w:r>
                  <w:rPr>
                    <w:rFonts w:ascii="Microsoft JhengHei" w:eastAsia="Microsoft JhengHei" w:hint="eastAsia"/>
                    <w:w w:val="95"/>
                    <w:sz w:val="24"/>
                  </w:rPr>
                  <w:t>12-3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757" w:hanging="632"/>
        <w:jc w:val="left"/>
      </w:pPr>
      <w:rPr>
        <w:rFonts w:hint="default" w:ascii="宋体" w:hAnsi="宋体" w:eastAsia="宋体" w:cs="宋体"/>
        <w:w w:val="100"/>
        <w:sz w:val="21"/>
        <w:szCs w:val="21"/>
      </w:rPr>
    </w:lvl>
    <w:lvl w:ilvl="1">
      <w:start w:val="0"/>
      <w:numFmt w:val="bullet"/>
      <w:lvlText w:val="•"/>
      <w:lvlJc w:val="left"/>
      <w:pPr>
        <w:ind w:left="1364" w:hanging="632"/>
      </w:pPr>
      <w:rPr>
        <w:rFonts w:hint="default"/>
      </w:rPr>
    </w:lvl>
    <w:lvl w:ilvl="2">
      <w:start w:val="0"/>
      <w:numFmt w:val="bullet"/>
      <w:lvlText w:val="•"/>
      <w:lvlJc w:val="left"/>
      <w:pPr>
        <w:ind w:left="1969" w:hanging="632"/>
      </w:pPr>
      <w:rPr>
        <w:rFonts w:hint="default"/>
      </w:rPr>
    </w:lvl>
    <w:lvl w:ilvl="3">
      <w:start w:val="0"/>
      <w:numFmt w:val="bullet"/>
      <w:lvlText w:val="•"/>
      <w:lvlJc w:val="left"/>
      <w:pPr>
        <w:ind w:left="2573" w:hanging="632"/>
      </w:pPr>
      <w:rPr>
        <w:rFonts w:hint="default"/>
      </w:rPr>
    </w:lvl>
    <w:lvl w:ilvl="4">
      <w:start w:val="0"/>
      <w:numFmt w:val="bullet"/>
      <w:lvlText w:val="•"/>
      <w:lvlJc w:val="left"/>
      <w:pPr>
        <w:ind w:left="3178" w:hanging="632"/>
      </w:pPr>
      <w:rPr>
        <w:rFonts w:hint="default"/>
      </w:rPr>
    </w:lvl>
    <w:lvl w:ilvl="5">
      <w:start w:val="0"/>
      <w:numFmt w:val="bullet"/>
      <w:lvlText w:val="•"/>
      <w:lvlJc w:val="left"/>
      <w:pPr>
        <w:ind w:left="3782" w:hanging="632"/>
      </w:pPr>
      <w:rPr>
        <w:rFonts w:hint="default"/>
      </w:rPr>
    </w:lvl>
    <w:lvl w:ilvl="6">
      <w:start w:val="0"/>
      <w:numFmt w:val="bullet"/>
      <w:lvlText w:val="•"/>
      <w:lvlJc w:val="left"/>
      <w:pPr>
        <w:ind w:left="4387" w:hanging="632"/>
      </w:pPr>
      <w:rPr>
        <w:rFonts w:hint="default"/>
      </w:rPr>
    </w:lvl>
    <w:lvl w:ilvl="7">
      <w:start w:val="0"/>
      <w:numFmt w:val="bullet"/>
      <w:lvlText w:val="•"/>
      <w:lvlJc w:val="left"/>
      <w:pPr>
        <w:ind w:left="4991" w:hanging="632"/>
      </w:pPr>
      <w:rPr>
        <w:rFonts w:hint="default"/>
      </w:rPr>
    </w:lvl>
    <w:lvl w:ilvl="8">
      <w:start w:val="0"/>
      <w:numFmt w:val="bullet"/>
      <w:lvlText w:val="•"/>
      <w:lvlJc w:val="left"/>
      <w:pPr>
        <w:ind w:left="5596" w:hanging="632"/>
      </w:pPr>
      <w:rPr>
        <w:rFonts w:hint="default"/>
      </w:rPr>
    </w:lvl>
  </w:abstractNum>
  <w:abstractNum w:abstractNumId="30">
    <w:multiLevelType w:val="hybridMultilevel"/>
    <w:lvl w:ilvl="0">
      <w:start w:val="1"/>
      <w:numFmt w:val="decimal"/>
      <w:lvlText w:val="（%1）"/>
      <w:lvlJc w:val="left"/>
      <w:pPr>
        <w:ind w:left="757" w:hanging="632"/>
        <w:jc w:val="left"/>
      </w:pPr>
      <w:rPr>
        <w:rFonts w:hint="default" w:ascii="宋体" w:hAnsi="宋体" w:eastAsia="宋体" w:cs="宋体"/>
        <w:w w:val="100"/>
        <w:sz w:val="21"/>
        <w:szCs w:val="21"/>
      </w:rPr>
    </w:lvl>
    <w:lvl w:ilvl="1">
      <w:start w:val="0"/>
      <w:numFmt w:val="bullet"/>
      <w:lvlText w:val="•"/>
      <w:lvlJc w:val="left"/>
      <w:pPr>
        <w:ind w:left="1364" w:hanging="632"/>
      </w:pPr>
      <w:rPr>
        <w:rFonts w:hint="default"/>
      </w:rPr>
    </w:lvl>
    <w:lvl w:ilvl="2">
      <w:start w:val="0"/>
      <w:numFmt w:val="bullet"/>
      <w:lvlText w:val="•"/>
      <w:lvlJc w:val="left"/>
      <w:pPr>
        <w:ind w:left="1969" w:hanging="632"/>
      </w:pPr>
      <w:rPr>
        <w:rFonts w:hint="default"/>
      </w:rPr>
    </w:lvl>
    <w:lvl w:ilvl="3">
      <w:start w:val="0"/>
      <w:numFmt w:val="bullet"/>
      <w:lvlText w:val="•"/>
      <w:lvlJc w:val="left"/>
      <w:pPr>
        <w:ind w:left="2573" w:hanging="632"/>
      </w:pPr>
      <w:rPr>
        <w:rFonts w:hint="default"/>
      </w:rPr>
    </w:lvl>
    <w:lvl w:ilvl="4">
      <w:start w:val="0"/>
      <w:numFmt w:val="bullet"/>
      <w:lvlText w:val="•"/>
      <w:lvlJc w:val="left"/>
      <w:pPr>
        <w:ind w:left="3178" w:hanging="632"/>
      </w:pPr>
      <w:rPr>
        <w:rFonts w:hint="default"/>
      </w:rPr>
    </w:lvl>
    <w:lvl w:ilvl="5">
      <w:start w:val="0"/>
      <w:numFmt w:val="bullet"/>
      <w:lvlText w:val="•"/>
      <w:lvlJc w:val="left"/>
      <w:pPr>
        <w:ind w:left="3782" w:hanging="632"/>
      </w:pPr>
      <w:rPr>
        <w:rFonts w:hint="default"/>
      </w:rPr>
    </w:lvl>
    <w:lvl w:ilvl="6">
      <w:start w:val="0"/>
      <w:numFmt w:val="bullet"/>
      <w:lvlText w:val="•"/>
      <w:lvlJc w:val="left"/>
      <w:pPr>
        <w:ind w:left="4387" w:hanging="632"/>
      </w:pPr>
      <w:rPr>
        <w:rFonts w:hint="default"/>
      </w:rPr>
    </w:lvl>
    <w:lvl w:ilvl="7">
      <w:start w:val="0"/>
      <w:numFmt w:val="bullet"/>
      <w:lvlText w:val="•"/>
      <w:lvlJc w:val="left"/>
      <w:pPr>
        <w:ind w:left="4991" w:hanging="632"/>
      </w:pPr>
      <w:rPr>
        <w:rFonts w:hint="default"/>
      </w:rPr>
    </w:lvl>
    <w:lvl w:ilvl="8">
      <w:start w:val="0"/>
      <w:numFmt w:val="bullet"/>
      <w:lvlText w:val="•"/>
      <w:lvlJc w:val="left"/>
      <w:pPr>
        <w:ind w:left="5596" w:hanging="632"/>
      </w:pPr>
      <w:rPr>
        <w:rFonts w:hint="default"/>
      </w:rPr>
    </w:lvl>
  </w:abstractNum>
  <w:abstractNum w:abstractNumId="29">
    <w:multiLevelType w:val="hybridMultilevel"/>
    <w:lvl w:ilvl="0">
      <w:start w:val="1"/>
      <w:numFmt w:val="decimal"/>
      <w:lvlText w:val="（%1）"/>
      <w:lvlJc w:val="left"/>
      <w:pPr>
        <w:ind w:left="726" w:hanging="632"/>
        <w:jc w:val="left"/>
      </w:pPr>
      <w:rPr>
        <w:rFonts w:hint="default" w:ascii="宋体" w:hAnsi="宋体" w:eastAsia="宋体" w:cs="宋体"/>
        <w:w w:val="100"/>
        <w:sz w:val="21"/>
        <w:szCs w:val="21"/>
      </w:rPr>
    </w:lvl>
    <w:lvl w:ilvl="1">
      <w:start w:val="0"/>
      <w:numFmt w:val="bullet"/>
      <w:lvlText w:val="•"/>
      <w:lvlJc w:val="left"/>
      <w:pPr>
        <w:ind w:left="1328" w:hanging="632"/>
      </w:pPr>
      <w:rPr>
        <w:rFonts w:hint="default"/>
      </w:rPr>
    </w:lvl>
    <w:lvl w:ilvl="2">
      <w:start w:val="0"/>
      <w:numFmt w:val="bullet"/>
      <w:lvlText w:val="•"/>
      <w:lvlJc w:val="left"/>
      <w:pPr>
        <w:ind w:left="1937" w:hanging="632"/>
      </w:pPr>
      <w:rPr>
        <w:rFonts w:hint="default"/>
      </w:rPr>
    </w:lvl>
    <w:lvl w:ilvl="3">
      <w:start w:val="0"/>
      <w:numFmt w:val="bullet"/>
      <w:lvlText w:val="•"/>
      <w:lvlJc w:val="left"/>
      <w:pPr>
        <w:ind w:left="2545" w:hanging="632"/>
      </w:pPr>
      <w:rPr>
        <w:rFonts w:hint="default"/>
      </w:rPr>
    </w:lvl>
    <w:lvl w:ilvl="4">
      <w:start w:val="0"/>
      <w:numFmt w:val="bullet"/>
      <w:lvlText w:val="•"/>
      <w:lvlJc w:val="left"/>
      <w:pPr>
        <w:ind w:left="3154" w:hanging="632"/>
      </w:pPr>
      <w:rPr>
        <w:rFonts w:hint="default"/>
      </w:rPr>
    </w:lvl>
    <w:lvl w:ilvl="5">
      <w:start w:val="0"/>
      <w:numFmt w:val="bullet"/>
      <w:lvlText w:val="•"/>
      <w:lvlJc w:val="left"/>
      <w:pPr>
        <w:ind w:left="3762" w:hanging="632"/>
      </w:pPr>
      <w:rPr>
        <w:rFonts w:hint="default"/>
      </w:rPr>
    </w:lvl>
    <w:lvl w:ilvl="6">
      <w:start w:val="0"/>
      <w:numFmt w:val="bullet"/>
      <w:lvlText w:val="•"/>
      <w:lvlJc w:val="left"/>
      <w:pPr>
        <w:ind w:left="4371" w:hanging="632"/>
      </w:pPr>
      <w:rPr>
        <w:rFonts w:hint="default"/>
      </w:rPr>
    </w:lvl>
    <w:lvl w:ilvl="7">
      <w:start w:val="0"/>
      <w:numFmt w:val="bullet"/>
      <w:lvlText w:val="•"/>
      <w:lvlJc w:val="left"/>
      <w:pPr>
        <w:ind w:left="4979" w:hanging="632"/>
      </w:pPr>
      <w:rPr>
        <w:rFonts w:hint="default"/>
      </w:rPr>
    </w:lvl>
    <w:lvl w:ilvl="8">
      <w:start w:val="0"/>
      <w:numFmt w:val="bullet"/>
      <w:lvlText w:val="•"/>
      <w:lvlJc w:val="left"/>
      <w:pPr>
        <w:ind w:left="5588" w:hanging="632"/>
      </w:pPr>
      <w:rPr>
        <w:rFonts w:hint="default"/>
      </w:rPr>
    </w:lvl>
  </w:abstractNum>
  <w:abstractNum w:abstractNumId="28">
    <w:multiLevelType w:val="hybridMultilevel"/>
    <w:lvl w:ilvl="0">
      <w:start w:val="1"/>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344" w:hanging="632"/>
      </w:pPr>
      <w:rPr>
        <w:rFonts w:hint="default"/>
      </w:rPr>
    </w:lvl>
    <w:lvl w:ilvl="2">
      <w:start w:val="0"/>
      <w:numFmt w:val="bullet"/>
      <w:lvlText w:val="•"/>
      <w:lvlJc w:val="left"/>
      <w:pPr>
        <w:ind w:left="1949" w:hanging="632"/>
      </w:pPr>
      <w:rPr>
        <w:rFonts w:hint="default"/>
      </w:rPr>
    </w:lvl>
    <w:lvl w:ilvl="3">
      <w:start w:val="0"/>
      <w:numFmt w:val="bullet"/>
      <w:lvlText w:val="•"/>
      <w:lvlJc w:val="left"/>
      <w:pPr>
        <w:ind w:left="2554" w:hanging="632"/>
      </w:pPr>
      <w:rPr>
        <w:rFonts w:hint="default"/>
      </w:rPr>
    </w:lvl>
    <w:lvl w:ilvl="4">
      <w:start w:val="0"/>
      <w:numFmt w:val="bullet"/>
      <w:lvlText w:val="•"/>
      <w:lvlJc w:val="left"/>
      <w:pPr>
        <w:ind w:left="3159" w:hanging="632"/>
      </w:pPr>
      <w:rPr>
        <w:rFonts w:hint="default"/>
      </w:rPr>
    </w:lvl>
    <w:lvl w:ilvl="5">
      <w:start w:val="0"/>
      <w:numFmt w:val="bullet"/>
      <w:lvlText w:val="•"/>
      <w:lvlJc w:val="left"/>
      <w:pPr>
        <w:ind w:left="3764" w:hanging="632"/>
      </w:pPr>
      <w:rPr>
        <w:rFonts w:hint="default"/>
      </w:rPr>
    </w:lvl>
    <w:lvl w:ilvl="6">
      <w:start w:val="0"/>
      <w:numFmt w:val="bullet"/>
      <w:lvlText w:val="•"/>
      <w:lvlJc w:val="left"/>
      <w:pPr>
        <w:ind w:left="4368" w:hanging="632"/>
      </w:pPr>
      <w:rPr>
        <w:rFonts w:hint="default"/>
      </w:rPr>
    </w:lvl>
    <w:lvl w:ilvl="7">
      <w:start w:val="0"/>
      <w:numFmt w:val="bullet"/>
      <w:lvlText w:val="•"/>
      <w:lvlJc w:val="left"/>
      <w:pPr>
        <w:ind w:left="4973" w:hanging="632"/>
      </w:pPr>
      <w:rPr>
        <w:rFonts w:hint="default"/>
      </w:rPr>
    </w:lvl>
    <w:lvl w:ilvl="8">
      <w:start w:val="0"/>
      <w:numFmt w:val="bullet"/>
      <w:lvlText w:val="•"/>
      <w:lvlJc w:val="left"/>
      <w:pPr>
        <w:ind w:left="5578" w:hanging="632"/>
      </w:pPr>
      <w:rPr>
        <w:rFonts w:hint="default"/>
      </w:rPr>
    </w:lvl>
  </w:abstractNum>
  <w:abstractNum w:abstractNumId="27">
    <w:multiLevelType w:val="hybridMultilevel"/>
    <w:lvl w:ilvl="0">
      <w:start w:val="7"/>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344" w:hanging="632"/>
      </w:pPr>
      <w:rPr>
        <w:rFonts w:hint="default"/>
      </w:rPr>
    </w:lvl>
    <w:lvl w:ilvl="2">
      <w:start w:val="0"/>
      <w:numFmt w:val="bullet"/>
      <w:lvlText w:val="•"/>
      <w:lvlJc w:val="left"/>
      <w:pPr>
        <w:ind w:left="1949" w:hanging="632"/>
      </w:pPr>
      <w:rPr>
        <w:rFonts w:hint="default"/>
      </w:rPr>
    </w:lvl>
    <w:lvl w:ilvl="3">
      <w:start w:val="0"/>
      <w:numFmt w:val="bullet"/>
      <w:lvlText w:val="•"/>
      <w:lvlJc w:val="left"/>
      <w:pPr>
        <w:ind w:left="2554" w:hanging="632"/>
      </w:pPr>
      <w:rPr>
        <w:rFonts w:hint="default"/>
      </w:rPr>
    </w:lvl>
    <w:lvl w:ilvl="4">
      <w:start w:val="0"/>
      <w:numFmt w:val="bullet"/>
      <w:lvlText w:val="•"/>
      <w:lvlJc w:val="left"/>
      <w:pPr>
        <w:ind w:left="3159" w:hanging="632"/>
      </w:pPr>
      <w:rPr>
        <w:rFonts w:hint="default"/>
      </w:rPr>
    </w:lvl>
    <w:lvl w:ilvl="5">
      <w:start w:val="0"/>
      <w:numFmt w:val="bullet"/>
      <w:lvlText w:val="•"/>
      <w:lvlJc w:val="left"/>
      <w:pPr>
        <w:ind w:left="3764" w:hanging="632"/>
      </w:pPr>
      <w:rPr>
        <w:rFonts w:hint="default"/>
      </w:rPr>
    </w:lvl>
    <w:lvl w:ilvl="6">
      <w:start w:val="0"/>
      <w:numFmt w:val="bullet"/>
      <w:lvlText w:val="•"/>
      <w:lvlJc w:val="left"/>
      <w:pPr>
        <w:ind w:left="4368" w:hanging="632"/>
      </w:pPr>
      <w:rPr>
        <w:rFonts w:hint="default"/>
      </w:rPr>
    </w:lvl>
    <w:lvl w:ilvl="7">
      <w:start w:val="0"/>
      <w:numFmt w:val="bullet"/>
      <w:lvlText w:val="•"/>
      <w:lvlJc w:val="left"/>
      <w:pPr>
        <w:ind w:left="4973" w:hanging="632"/>
      </w:pPr>
      <w:rPr>
        <w:rFonts w:hint="default"/>
      </w:rPr>
    </w:lvl>
    <w:lvl w:ilvl="8">
      <w:start w:val="0"/>
      <w:numFmt w:val="bullet"/>
      <w:lvlText w:val="•"/>
      <w:lvlJc w:val="left"/>
      <w:pPr>
        <w:ind w:left="5578" w:hanging="632"/>
      </w:pPr>
      <w:rPr>
        <w:rFonts w:hint="default"/>
      </w:rPr>
    </w:lvl>
  </w:abstractNum>
  <w:abstractNum w:abstractNumId="26">
    <w:multiLevelType w:val="hybridMultilevel"/>
    <w:lvl w:ilvl="0">
      <w:start w:val="1"/>
      <w:numFmt w:val="decimal"/>
      <w:lvlText w:val="（%1）"/>
      <w:lvlJc w:val="left"/>
      <w:pPr>
        <w:ind w:left="746" w:hanging="632"/>
        <w:jc w:val="left"/>
      </w:pPr>
      <w:rPr>
        <w:rFonts w:hint="default" w:ascii="宋体" w:hAnsi="宋体" w:eastAsia="宋体" w:cs="宋体"/>
        <w:w w:val="100"/>
        <w:sz w:val="21"/>
        <w:szCs w:val="21"/>
      </w:rPr>
    </w:lvl>
    <w:lvl w:ilvl="1">
      <w:start w:val="0"/>
      <w:numFmt w:val="bullet"/>
      <w:lvlText w:val="•"/>
      <w:lvlJc w:val="left"/>
      <w:pPr>
        <w:ind w:left="1345" w:hanging="632"/>
      </w:pPr>
      <w:rPr>
        <w:rFonts w:hint="default"/>
      </w:rPr>
    </w:lvl>
    <w:lvl w:ilvl="2">
      <w:start w:val="0"/>
      <w:numFmt w:val="bullet"/>
      <w:lvlText w:val="•"/>
      <w:lvlJc w:val="left"/>
      <w:pPr>
        <w:ind w:left="1951" w:hanging="632"/>
      </w:pPr>
      <w:rPr>
        <w:rFonts w:hint="default"/>
      </w:rPr>
    </w:lvl>
    <w:lvl w:ilvl="3">
      <w:start w:val="0"/>
      <w:numFmt w:val="bullet"/>
      <w:lvlText w:val="•"/>
      <w:lvlJc w:val="left"/>
      <w:pPr>
        <w:ind w:left="2556" w:hanging="632"/>
      </w:pPr>
      <w:rPr>
        <w:rFonts w:hint="default"/>
      </w:rPr>
    </w:lvl>
    <w:lvl w:ilvl="4">
      <w:start w:val="0"/>
      <w:numFmt w:val="bullet"/>
      <w:lvlText w:val="•"/>
      <w:lvlJc w:val="left"/>
      <w:pPr>
        <w:ind w:left="3162" w:hanging="632"/>
      </w:pPr>
      <w:rPr>
        <w:rFonts w:hint="default"/>
      </w:rPr>
    </w:lvl>
    <w:lvl w:ilvl="5">
      <w:start w:val="0"/>
      <w:numFmt w:val="bullet"/>
      <w:lvlText w:val="•"/>
      <w:lvlJc w:val="left"/>
      <w:pPr>
        <w:ind w:left="3767" w:hanging="632"/>
      </w:pPr>
      <w:rPr>
        <w:rFonts w:hint="default"/>
      </w:rPr>
    </w:lvl>
    <w:lvl w:ilvl="6">
      <w:start w:val="0"/>
      <w:numFmt w:val="bullet"/>
      <w:lvlText w:val="•"/>
      <w:lvlJc w:val="left"/>
      <w:pPr>
        <w:ind w:left="4373" w:hanging="632"/>
      </w:pPr>
      <w:rPr>
        <w:rFonts w:hint="default"/>
      </w:rPr>
    </w:lvl>
    <w:lvl w:ilvl="7">
      <w:start w:val="0"/>
      <w:numFmt w:val="bullet"/>
      <w:lvlText w:val="•"/>
      <w:lvlJc w:val="left"/>
      <w:pPr>
        <w:ind w:left="4978" w:hanging="632"/>
      </w:pPr>
      <w:rPr>
        <w:rFonts w:hint="default"/>
      </w:rPr>
    </w:lvl>
    <w:lvl w:ilvl="8">
      <w:start w:val="0"/>
      <w:numFmt w:val="bullet"/>
      <w:lvlText w:val="•"/>
      <w:lvlJc w:val="left"/>
      <w:pPr>
        <w:ind w:left="5584" w:hanging="632"/>
      </w:pPr>
      <w:rPr>
        <w:rFonts w:hint="default"/>
      </w:rPr>
    </w:lvl>
  </w:abstractNum>
  <w:abstractNum w:abstractNumId="25">
    <w:multiLevelType w:val="hybridMultilevel"/>
    <w:lvl w:ilvl="0">
      <w:start w:val="1"/>
      <w:numFmt w:val="decimal"/>
      <w:lvlText w:val="（%1）"/>
      <w:lvlJc w:val="left"/>
      <w:pPr>
        <w:ind w:left="746" w:hanging="632"/>
        <w:jc w:val="left"/>
      </w:pPr>
      <w:rPr>
        <w:rFonts w:hint="default" w:ascii="宋体" w:hAnsi="宋体" w:eastAsia="宋体" w:cs="宋体"/>
        <w:w w:val="100"/>
        <w:sz w:val="21"/>
        <w:szCs w:val="21"/>
      </w:rPr>
    </w:lvl>
    <w:lvl w:ilvl="1">
      <w:start w:val="0"/>
      <w:numFmt w:val="bullet"/>
      <w:lvlText w:val="•"/>
      <w:lvlJc w:val="left"/>
      <w:pPr>
        <w:ind w:left="1345" w:hanging="632"/>
      </w:pPr>
      <w:rPr>
        <w:rFonts w:hint="default"/>
      </w:rPr>
    </w:lvl>
    <w:lvl w:ilvl="2">
      <w:start w:val="0"/>
      <w:numFmt w:val="bullet"/>
      <w:lvlText w:val="•"/>
      <w:lvlJc w:val="left"/>
      <w:pPr>
        <w:ind w:left="1951" w:hanging="632"/>
      </w:pPr>
      <w:rPr>
        <w:rFonts w:hint="default"/>
      </w:rPr>
    </w:lvl>
    <w:lvl w:ilvl="3">
      <w:start w:val="0"/>
      <w:numFmt w:val="bullet"/>
      <w:lvlText w:val="•"/>
      <w:lvlJc w:val="left"/>
      <w:pPr>
        <w:ind w:left="2556" w:hanging="632"/>
      </w:pPr>
      <w:rPr>
        <w:rFonts w:hint="default"/>
      </w:rPr>
    </w:lvl>
    <w:lvl w:ilvl="4">
      <w:start w:val="0"/>
      <w:numFmt w:val="bullet"/>
      <w:lvlText w:val="•"/>
      <w:lvlJc w:val="left"/>
      <w:pPr>
        <w:ind w:left="3162" w:hanging="632"/>
      </w:pPr>
      <w:rPr>
        <w:rFonts w:hint="default"/>
      </w:rPr>
    </w:lvl>
    <w:lvl w:ilvl="5">
      <w:start w:val="0"/>
      <w:numFmt w:val="bullet"/>
      <w:lvlText w:val="•"/>
      <w:lvlJc w:val="left"/>
      <w:pPr>
        <w:ind w:left="3767" w:hanging="632"/>
      </w:pPr>
      <w:rPr>
        <w:rFonts w:hint="default"/>
      </w:rPr>
    </w:lvl>
    <w:lvl w:ilvl="6">
      <w:start w:val="0"/>
      <w:numFmt w:val="bullet"/>
      <w:lvlText w:val="•"/>
      <w:lvlJc w:val="left"/>
      <w:pPr>
        <w:ind w:left="4373" w:hanging="632"/>
      </w:pPr>
      <w:rPr>
        <w:rFonts w:hint="default"/>
      </w:rPr>
    </w:lvl>
    <w:lvl w:ilvl="7">
      <w:start w:val="0"/>
      <w:numFmt w:val="bullet"/>
      <w:lvlText w:val="•"/>
      <w:lvlJc w:val="left"/>
      <w:pPr>
        <w:ind w:left="4978" w:hanging="632"/>
      </w:pPr>
      <w:rPr>
        <w:rFonts w:hint="default"/>
      </w:rPr>
    </w:lvl>
    <w:lvl w:ilvl="8">
      <w:start w:val="0"/>
      <w:numFmt w:val="bullet"/>
      <w:lvlText w:val="•"/>
      <w:lvlJc w:val="left"/>
      <w:pPr>
        <w:ind w:left="5584" w:hanging="632"/>
      </w:pPr>
      <w:rPr>
        <w:rFonts w:hint="default"/>
      </w:rPr>
    </w:lvl>
  </w:abstractNum>
  <w:abstractNum w:abstractNumId="24">
    <w:multiLevelType w:val="hybridMultilevel"/>
    <w:lvl w:ilvl="0">
      <w:start w:val="1"/>
      <w:numFmt w:val="decimal"/>
      <w:lvlText w:val="（%1）"/>
      <w:lvlJc w:val="left"/>
      <w:pPr>
        <w:ind w:left="746" w:hanging="632"/>
        <w:jc w:val="left"/>
      </w:pPr>
      <w:rPr>
        <w:rFonts w:hint="default" w:ascii="宋体" w:hAnsi="宋体" w:eastAsia="宋体" w:cs="宋体"/>
        <w:w w:val="100"/>
        <w:sz w:val="21"/>
        <w:szCs w:val="21"/>
      </w:rPr>
    </w:lvl>
    <w:lvl w:ilvl="1">
      <w:start w:val="0"/>
      <w:numFmt w:val="bullet"/>
      <w:lvlText w:val="•"/>
      <w:lvlJc w:val="left"/>
      <w:pPr>
        <w:ind w:left="1345" w:hanging="632"/>
      </w:pPr>
      <w:rPr>
        <w:rFonts w:hint="default"/>
      </w:rPr>
    </w:lvl>
    <w:lvl w:ilvl="2">
      <w:start w:val="0"/>
      <w:numFmt w:val="bullet"/>
      <w:lvlText w:val="•"/>
      <w:lvlJc w:val="left"/>
      <w:pPr>
        <w:ind w:left="1951" w:hanging="632"/>
      </w:pPr>
      <w:rPr>
        <w:rFonts w:hint="default"/>
      </w:rPr>
    </w:lvl>
    <w:lvl w:ilvl="3">
      <w:start w:val="0"/>
      <w:numFmt w:val="bullet"/>
      <w:lvlText w:val="•"/>
      <w:lvlJc w:val="left"/>
      <w:pPr>
        <w:ind w:left="2556" w:hanging="632"/>
      </w:pPr>
      <w:rPr>
        <w:rFonts w:hint="default"/>
      </w:rPr>
    </w:lvl>
    <w:lvl w:ilvl="4">
      <w:start w:val="0"/>
      <w:numFmt w:val="bullet"/>
      <w:lvlText w:val="•"/>
      <w:lvlJc w:val="left"/>
      <w:pPr>
        <w:ind w:left="3162" w:hanging="632"/>
      </w:pPr>
      <w:rPr>
        <w:rFonts w:hint="default"/>
      </w:rPr>
    </w:lvl>
    <w:lvl w:ilvl="5">
      <w:start w:val="0"/>
      <w:numFmt w:val="bullet"/>
      <w:lvlText w:val="•"/>
      <w:lvlJc w:val="left"/>
      <w:pPr>
        <w:ind w:left="3767" w:hanging="632"/>
      </w:pPr>
      <w:rPr>
        <w:rFonts w:hint="default"/>
      </w:rPr>
    </w:lvl>
    <w:lvl w:ilvl="6">
      <w:start w:val="0"/>
      <w:numFmt w:val="bullet"/>
      <w:lvlText w:val="•"/>
      <w:lvlJc w:val="left"/>
      <w:pPr>
        <w:ind w:left="4373" w:hanging="632"/>
      </w:pPr>
      <w:rPr>
        <w:rFonts w:hint="default"/>
      </w:rPr>
    </w:lvl>
    <w:lvl w:ilvl="7">
      <w:start w:val="0"/>
      <w:numFmt w:val="bullet"/>
      <w:lvlText w:val="•"/>
      <w:lvlJc w:val="left"/>
      <w:pPr>
        <w:ind w:left="4978" w:hanging="632"/>
      </w:pPr>
      <w:rPr>
        <w:rFonts w:hint="default"/>
      </w:rPr>
    </w:lvl>
    <w:lvl w:ilvl="8">
      <w:start w:val="0"/>
      <w:numFmt w:val="bullet"/>
      <w:lvlText w:val="•"/>
      <w:lvlJc w:val="left"/>
      <w:pPr>
        <w:ind w:left="5584" w:hanging="632"/>
      </w:pPr>
      <w:rPr>
        <w:rFonts w:hint="default"/>
      </w:rPr>
    </w:lvl>
  </w:abstractNum>
  <w:abstractNum w:abstractNumId="23">
    <w:multiLevelType w:val="hybridMultilevel"/>
    <w:lvl w:ilvl="0">
      <w:start w:val="1"/>
      <w:numFmt w:val="decimal"/>
      <w:lvlText w:val="（%1）"/>
      <w:lvlJc w:val="left"/>
      <w:pPr>
        <w:ind w:left="114" w:hanging="632"/>
        <w:jc w:val="left"/>
      </w:pPr>
      <w:rPr>
        <w:rFonts w:hint="default" w:ascii="宋体" w:hAnsi="宋体" w:eastAsia="宋体" w:cs="宋体"/>
        <w:w w:val="100"/>
        <w:sz w:val="21"/>
        <w:szCs w:val="21"/>
      </w:rPr>
    </w:lvl>
    <w:lvl w:ilvl="1">
      <w:start w:val="0"/>
      <w:numFmt w:val="bullet"/>
      <w:lvlText w:val="•"/>
      <w:lvlJc w:val="left"/>
      <w:pPr>
        <w:ind w:left="787" w:hanging="632"/>
      </w:pPr>
      <w:rPr>
        <w:rFonts w:hint="default"/>
      </w:rPr>
    </w:lvl>
    <w:lvl w:ilvl="2">
      <w:start w:val="0"/>
      <w:numFmt w:val="bullet"/>
      <w:lvlText w:val="•"/>
      <w:lvlJc w:val="left"/>
      <w:pPr>
        <w:ind w:left="1454" w:hanging="632"/>
      </w:pPr>
      <w:rPr>
        <w:rFonts w:hint="default"/>
      </w:rPr>
    </w:lvl>
    <w:lvl w:ilvl="3">
      <w:start w:val="0"/>
      <w:numFmt w:val="bullet"/>
      <w:lvlText w:val="•"/>
      <w:lvlJc w:val="left"/>
      <w:pPr>
        <w:ind w:left="2121" w:hanging="632"/>
      </w:pPr>
      <w:rPr>
        <w:rFonts w:hint="default"/>
      </w:rPr>
    </w:lvl>
    <w:lvl w:ilvl="4">
      <w:start w:val="0"/>
      <w:numFmt w:val="bullet"/>
      <w:lvlText w:val="•"/>
      <w:lvlJc w:val="left"/>
      <w:pPr>
        <w:ind w:left="2789" w:hanging="632"/>
      </w:pPr>
      <w:rPr>
        <w:rFonts w:hint="default"/>
      </w:rPr>
    </w:lvl>
    <w:lvl w:ilvl="5">
      <w:start w:val="0"/>
      <w:numFmt w:val="bullet"/>
      <w:lvlText w:val="•"/>
      <w:lvlJc w:val="left"/>
      <w:pPr>
        <w:ind w:left="3456" w:hanging="632"/>
      </w:pPr>
      <w:rPr>
        <w:rFonts w:hint="default"/>
      </w:rPr>
    </w:lvl>
    <w:lvl w:ilvl="6">
      <w:start w:val="0"/>
      <w:numFmt w:val="bullet"/>
      <w:lvlText w:val="•"/>
      <w:lvlJc w:val="left"/>
      <w:pPr>
        <w:ind w:left="4123" w:hanging="632"/>
      </w:pPr>
      <w:rPr>
        <w:rFonts w:hint="default"/>
      </w:rPr>
    </w:lvl>
    <w:lvl w:ilvl="7">
      <w:start w:val="0"/>
      <w:numFmt w:val="bullet"/>
      <w:lvlText w:val="•"/>
      <w:lvlJc w:val="left"/>
      <w:pPr>
        <w:ind w:left="4791" w:hanging="632"/>
      </w:pPr>
      <w:rPr>
        <w:rFonts w:hint="default"/>
      </w:rPr>
    </w:lvl>
    <w:lvl w:ilvl="8">
      <w:start w:val="0"/>
      <w:numFmt w:val="bullet"/>
      <w:lvlText w:val="•"/>
      <w:lvlJc w:val="left"/>
      <w:pPr>
        <w:ind w:left="5458" w:hanging="632"/>
      </w:pPr>
      <w:rPr>
        <w:rFonts w:hint="default"/>
      </w:rPr>
    </w:lvl>
  </w:abstractNum>
  <w:abstractNum w:abstractNumId="22">
    <w:multiLevelType w:val="hybridMultilevel"/>
    <w:lvl w:ilvl="0">
      <w:start w:val="1"/>
      <w:numFmt w:val="decimal"/>
      <w:lvlText w:val="（%1）"/>
      <w:lvlJc w:val="left"/>
      <w:pPr>
        <w:ind w:left="745" w:hanging="632"/>
        <w:jc w:val="left"/>
      </w:pPr>
      <w:rPr>
        <w:rFonts w:hint="default" w:ascii="宋体" w:hAnsi="宋体" w:eastAsia="宋体" w:cs="宋体"/>
        <w:w w:val="100"/>
        <w:sz w:val="21"/>
        <w:szCs w:val="21"/>
      </w:rPr>
    </w:lvl>
    <w:lvl w:ilvl="1">
      <w:start w:val="0"/>
      <w:numFmt w:val="bullet"/>
      <w:lvlText w:val="•"/>
      <w:lvlJc w:val="left"/>
      <w:pPr>
        <w:ind w:left="1345" w:hanging="632"/>
      </w:pPr>
      <w:rPr>
        <w:rFonts w:hint="default"/>
      </w:rPr>
    </w:lvl>
    <w:lvl w:ilvl="2">
      <w:start w:val="0"/>
      <w:numFmt w:val="bullet"/>
      <w:lvlText w:val="•"/>
      <w:lvlJc w:val="left"/>
      <w:pPr>
        <w:ind w:left="1950" w:hanging="632"/>
      </w:pPr>
      <w:rPr>
        <w:rFonts w:hint="default"/>
      </w:rPr>
    </w:lvl>
    <w:lvl w:ilvl="3">
      <w:start w:val="0"/>
      <w:numFmt w:val="bullet"/>
      <w:lvlText w:val="•"/>
      <w:lvlJc w:val="left"/>
      <w:pPr>
        <w:ind w:left="2555" w:hanging="632"/>
      </w:pPr>
      <w:rPr>
        <w:rFonts w:hint="default"/>
      </w:rPr>
    </w:lvl>
    <w:lvl w:ilvl="4">
      <w:start w:val="0"/>
      <w:numFmt w:val="bullet"/>
      <w:lvlText w:val="•"/>
      <w:lvlJc w:val="left"/>
      <w:pPr>
        <w:ind w:left="3161" w:hanging="632"/>
      </w:pPr>
      <w:rPr>
        <w:rFonts w:hint="default"/>
      </w:rPr>
    </w:lvl>
    <w:lvl w:ilvl="5">
      <w:start w:val="0"/>
      <w:numFmt w:val="bullet"/>
      <w:lvlText w:val="•"/>
      <w:lvlJc w:val="left"/>
      <w:pPr>
        <w:ind w:left="3766" w:hanging="632"/>
      </w:pPr>
      <w:rPr>
        <w:rFonts w:hint="default"/>
      </w:rPr>
    </w:lvl>
    <w:lvl w:ilvl="6">
      <w:start w:val="0"/>
      <w:numFmt w:val="bullet"/>
      <w:lvlText w:val="•"/>
      <w:lvlJc w:val="left"/>
      <w:pPr>
        <w:ind w:left="4371" w:hanging="632"/>
      </w:pPr>
      <w:rPr>
        <w:rFonts w:hint="default"/>
      </w:rPr>
    </w:lvl>
    <w:lvl w:ilvl="7">
      <w:start w:val="0"/>
      <w:numFmt w:val="bullet"/>
      <w:lvlText w:val="•"/>
      <w:lvlJc w:val="left"/>
      <w:pPr>
        <w:ind w:left="4977" w:hanging="632"/>
      </w:pPr>
      <w:rPr>
        <w:rFonts w:hint="default"/>
      </w:rPr>
    </w:lvl>
    <w:lvl w:ilvl="8">
      <w:start w:val="0"/>
      <w:numFmt w:val="bullet"/>
      <w:lvlText w:val="•"/>
      <w:lvlJc w:val="left"/>
      <w:pPr>
        <w:ind w:left="5582" w:hanging="632"/>
      </w:pPr>
      <w:rPr>
        <w:rFonts w:hint="default"/>
      </w:rPr>
    </w:lvl>
  </w:abstractNum>
  <w:abstractNum w:abstractNumId="21">
    <w:multiLevelType w:val="hybridMultilevel"/>
    <w:lvl w:ilvl="0">
      <w:start w:val="1"/>
      <w:numFmt w:val="decimal"/>
      <w:lvlText w:val="（%1）"/>
      <w:lvlJc w:val="left"/>
      <w:pPr>
        <w:ind w:left="745" w:hanging="632"/>
        <w:jc w:val="left"/>
      </w:pPr>
      <w:rPr>
        <w:rFonts w:hint="default" w:ascii="宋体" w:hAnsi="宋体" w:eastAsia="宋体" w:cs="宋体"/>
        <w:w w:val="100"/>
        <w:sz w:val="21"/>
        <w:szCs w:val="21"/>
      </w:rPr>
    </w:lvl>
    <w:lvl w:ilvl="1">
      <w:start w:val="0"/>
      <w:numFmt w:val="bullet"/>
      <w:lvlText w:val="•"/>
      <w:lvlJc w:val="left"/>
      <w:pPr>
        <w:ind w:left="1345" w:hanging="632"/>
      </w:pPr>
      <w:rPr>
        <w:rFonts w:hint="default"/>
      </w:rPr>
    </w:lvl>
    <w:lvl w:ilvl="2">
      <w:start w:val="0"/>
      <w:numFmt w:val="bullet"/>
      <w:lvlText w:val="•"/>
      <w:lvlJc w:val="left"/>
      <w:pPr>
        <w:ind w:left="1950" w:hanging="632"/>
      </w:pPr>
      <w:rPr>
        <w:rFonts w:hint="default"/>
      </w:rPr>
    </w:lvl>
    <w:lvl w:ilvl="3">
      <w:start w:val="0"/>
      <w:numFmt w:val="bullet"/>
      <w:lvlText w:val="•"/>
      <w:lvlJc w:val="left"/>
      <w:pPr>
        <w:ind w:left="2555" w:hanging="632"/>
      </w:pPr>
      <w:rPr>
        <w:rFonts w:hint="default"/>
      </w:rPr>
    </w:lvl>
    <w:lvl w:ilvl="4">
      <w:start w:val="0"/>
      <w:numFmt w:val="bullet"/>
      <w:lvlText w:val="•"/>
      <w:lvlJc w:val="left"/>
      <w:pPr>
        <w:ind w:left="3161" w:hanging="632"/>
      </w:pPr>
      <w:rPr>
        <w:rFonts w:hint="default"/>
      </w:rPr>
    </w:lvl>
    <w:lvl w:ilvl="5">
      <w:start w:val="0"/>
      <w:numFmt w:val="bullet"/>
      <w:lvlText w:val="•"/>
      <w:lvlJc w:val="left"/>
      <w:pPr>
        <w:ind w:left="3766" w:hanging="632"/>
      </w:pPr>
      <w:rPr>
        <w:rFonts w:hint="default"/>
      </w:rPr>
    </w:lvl>
    <w:lvl w:ilvl="6">
      <w:start w:val="0"/>
      <w:numFmt w:val="bullet"/>
      <w:lvlText w:val="•"/>
      <w:lvlJc w:val="left"/>
      <w:pPr>
        <w:ind w:left="4371" w:hanging="632"/>
      </w:pPr>
      <w:rPr>
        <w:rFonts w:hint="default"/>
      </w:rPr>
    </w:lvl>
    <w:lvl w:ilvl="7">
      <w:start w:val="0"/>
      <w:numFmt w:val="bullet"/>
      <w:lvlText w:val="•"/>
      <w:lvlJc w:val="left"/>
      <w:pPr>
        <w:ind w:left="4977" w:hanging="632"/>
      </w:pPr>
      <w:rPr>
        <w:rFonts w:hint="default"/>
      </w:rPr>
    </w:lvl>
    <w:lvl w:ilvl="8">
      <w:start w:val="0"/>
      <w:numFmt w:val="bullet"/>
      <w:lvlText w:val="•"/>
      <w:lvlJc w:val="left"/>
      <w:pPr>
        <w:ind w:left="5582" w:hanging="632"/>
      </w:pPr>
      <w:rPr>
        <w:rFonts w:hint="default"/>
      </w:rPr>
    </w:lvl>
  </w:abstractNum>
  <w:abstractNum w:abstractNumId="20">
    <w:multiLevelType w:val="hybridMultilevel"/>
    <w:lvl w:ilvl="0">
      <w:start w:val="1"/>
      <w:numFmt w:val="decimal"/>
      <w:lvlText w:val="（%1）"/>
      <w:lvlJc w:val="left"/>
      <w:pPr>
        <w:ind w:left="746" w:hanging="632"/>
        <w:jc w:val="left"/>
      </w:pPr>
      <w:rPr>
        <w:rFonts w:hint="default" w:ascii="宋体" w:hAnsi="宋体" w:eastAsia="宋体" w:cs="宋体"/>
        <w:w w:val="100"/>
        <w:sz w:val="21"/>
        <w:szCs w:val="21"/>
      </w:rPr>
    </w:lvl>
    <w:lvl w:ilvl="1">
      <w:start w:val="0"/>
      <w:numFmt w:val="bullet"/>
      <w:lvlText w:val="•"/>
      <w:lvlJc w:val="left"/>
      <w:pPr>
        <w:ind w:left="1345" w:hanging="632"/>
      </w:pPr>
      <w:rPr>
        <w:rFonts w:hint="default"/>
      </w:rPr>
    </w:lvl>
    <w:lvl w:ilvl="2">
      <w:start w:val="0"/>
      <w:numFmt w:val="bullet"/>
      <w:lvlText w:val="•"/>
      <w:lvlJc w:val="left"/>
      <w:pPr>
        <w:ind w:left="1951" w:hanging="632"/>
      </w:pPr>
      <w:rPr>
        <w:rFonts w:hint="default"/>
      </w:rPr>
    </w:lvl>
    <w:lvl w:ilvl="3">
      <w:start w:val="0"/>
      <w:numFmt w:val="bullet"/>
      <w:lvlText w:val="•"/>
      <w:lvlJc w:val="left"/>
      <w:pPr>
        <w:ind w:left="2556" w:hanging="632"/>
      </w:pPr>
      <w:rPr>
        <w:rFonts w:hint="default"/>
      </w:rPr>
    </w:lvl>
    <w:lvl w:ilvl="4">
      <w:start w:val="0"/>
      <w:numFmt w:val="bullet"/>
      <w:lvlText w:val="•"/>
      <w:lvlJc w:val="left"/>
      <w:pPr>
        <w:ind w:left="3162" w:hanging="632"/>
      </w:pPr>
      <w:rPr>
        <w:rFonts w:hint="default"/>
      </w:rPr>
    </w:lvl>
    <w:lvl w:ilvl="5">
      <w:start w:val="0"/>
      <w:numFmt w:val="bullet"/>
      <w:lvlText w:val="•"/>
      <w:lvlJc w:val="left"/>
      <w:pPr>
        <w:ind w:left="3767" w:hanging="632"/>
      </w:pPr>
      <w:rPr>
        <w:rFonts w:hint="default"/>
      </w:rPr>
    </w:lvl>
    <w:lvl w:ilvl="6">
      <w:start w:val="0"/>
      <w:numFmt w:val="bullet"/>
      <w:lvlText w:val="•"/>
      <w:lvlJc w:val="left"/>
      <w:pPr>
        <w:ind w:left="4373" w:hanging="632"/>
      </w:pPr>
      <w:rPr>
        <w:rFonts w:hint="default"/>
      </w:rPr>
    </w:lvl>
    <w:lvl w:ilvl="7">
      <w:start w:val="0"/>
      <w:numFmt w:val="bullet"/>
      <w:lvlText w:val="•"/>
      <w:lvlJc w:val="left"/>
      <w:pPr>
        <w:ind w:left="4978" w:hanging="632"/>
      </w:pPr>
      <w:rPr>
        <w:rFonts w:hint="default"/>
      </w:rPr>
    </w:lvl>
    <w:lvl w:ilvl="8">
      <w:start w:val="0"/>
      <w:numFmt w:val="bullet"/>
      <w:lvlText w:val="•"/>
      <w:lvlJc w:val="left"/>
      <w:pPr>
        <w:ind w:left="5584" w:hanging="632"/>
      </w:pPr>
      <w:rPr>
        <w:rFonts w:hint="default"/>
      </w:rPr>
    </w:lvl>
  </w:abstractNum>
  <w:abstractNum w:abstractNumId="19">
    <w:multiLevelType w:val="hybridMultilevel"/>
    <w:lvl w:ilvl="0">
      <w:start w:val="1"/>
      <w:numFmt w:val="decimal"/>
      <w:lvlText w:val="（%1）"/>
      <w:lvlJc w:val="left"/>
      <w:pPr>
        <w:ind w:left="746" w:hanging="632"/>
        <w:jc w:val="left"/>
      </w:pPr>
      <w:rPr>
        <w:rFonts w:hint="default" w:ascii="宋体" w:hAnsi="宋体" w:eastAsia="宋体" w:cs="宋体"/>
        <w:w w:val="100"/>
        <w:sz w:val="21"/>
        <w:szCs w:val="21"/>
      </w:rPr>
    </w:lvl>
    <w:lvl w:ilvl="1">
      <w:start w:val="0"/>
      <w:numFmt w:val="bullet"/>
      <w:lvlText w:val="•"/>
      <w:lvlJc w:val="left"/>
      <w:pPr>
        <w:ind w:left="1345" w:hanging="632"/>
      </w:pPr>
      <w:rPr>
        <w:rFonts w:hint="default"/>
      </w:rPr>
    </w:lvl>
    <w:lvl w:ilvl="2">
      <w:start w:val="0"/>
      <w:numFmt w:val="bullet"/>
      <w:lvlText w:val="•"/>
      <w:lvlJc w:val="left"/>
      <w:pPr>
        <w:ind w:left="1951" w:hanging="632"/>
      </w:pPr>
      <w:rPr>
        <w:rFonts w:hint="default"/>
      </w:rPr>
    </w:lvl>
    <w:lvl w:ilvl="3">
      <w:start w:val="0"/>
      <w:numFmt w:val="bullet"/>
      <w:lvlText w:val="•"/>
      <w:lvlJc w:val="left"/>
      <w:pPr>
        <w:ind w:left="2556" w:hanging="632"/>
      </w:pPr>
      <w:rPr>
        <w:rFonts w:hint="default"/>
      </w:rPr>
    </w:lvl>
    <w:lvl w:ilvl="4">
      <w:start w:val="0"/>
      <w:numFmt w:val="bullet"/>
      <w:lvlText w:val="•"/>
      <w:lvlJc w:val="left"/>
      <w:pPr>
        <w:ind w:left="3162" w:hanging="632"/>
      </w:pPr>
      <w:rPr>
        <w:rFonts w:hint="default"/>
      </w:rPr>
    </w:lvl>
    <w:lvl w:ilvl="5">
      <w:start w:val="0"/>
      <w:numFmt w:val="bullet"/>
      <w:lvlText w:val="•"/>
      <w:lvlJc w:val="left"/>
      <w:pPr>
        <w:ind w:left="3767" w:hanging="632"/>
      </w:pPr>
      <w:rPr>
        <w:rFonts w:hint="default"/>
      </w:rPr>
    </w:lvl>
    <w:lvl w:ilvl="6">
      <w:start w:val="0"/>
      <w:numFmt w:val="bullet"/>
      <w:lvlText w:val="•"/>
      <w:lvlJc w:val="left"/>
      <w:pPr>
        <w:ind w:left="4373" w:hanging="632"/>
      </w:pPr>
      <w:rPr>
        <w:rFonts w:hint="default"/>
      </w:rPr>
    </w:lvl>
    <w:lvl w:ilvl="7">
      <w:start w:val="0"/>
      <w:numFmt w:val="bullet"/>
      <w:lvlText w:val="•"/>
      <w:lvlJc w:val="left"/>
      <w:pPr>
        <w:ind w:left="4978" w:hanging="632"/>
      </w:pPr>
      <w:rPr>
        <w:rFonts w:hint="default"/>
      </w:rPr>
    </w:lvl>
    <w:lvl w:ilvl="8">
      <w:start w:val="0"/>
      <w:numFmt w:val="bullet"/>
      <w:lvlText w:val="•"/>
      <w:lvlJc w:val="left"/>
      <w:pPr>
        <w:ind w:left="5584" w:hanging="632"/>
      </w:pPr>
      <w:rPr>
        <w:rFonts w:hint="default"/>
      </w:rPr>
    </w:lvl>
  </w:abstractNum>
  <w:abstractNum w:abstractNumId="18">
    <w:multiLevelType w:val="hybridMultilevel"/>
    <w:lvl w:ilvl="0">
      <w:start w:val="1"/>
      <w:numFmt w:val="decimal"/>
      <w:lvlText w:val="（%1）"/>
      <w:lvlJc w:val="left"/>
      <w:pPr>
        <w:ind w:left="746" w:hanging="632"/>
        <w:jc w:val="left"/>
      </w:pPr>
      <w:rPr>
        <w:rFonts w:hint="default" w:ascii="宋体" w:hAnsi="宋体" w:eastAsia="宋体" w:cs="宋体"/>
        <w:w w:val="100"/>
        <w:sz w:val="21"/>
        <w:szCs w:val="21"/>
      </w:rPr>
    </w:lvl>
    <w:lvl w:ilvl="1">
      <w:start w:val="0"/>
      <w:numFmt w:val="bullet"/>
      <w:lvlText w:val="•"/>
      <w:lvlJc w:val="left"/>
      <w:pPr>
        <w:ind w:left="1345" w:hanging="632"/>
      </w:pPr>
      <w:rPr>
        <w:rFonts w:hint="default"/>
      </w:rPr>
    </w:lvl>
    <w:lvl w:ilvl="2">
      <w:start w:val="0"/>
      <w:numFmt w:val="bullet"/>
      <w:lvlText w:val="•"/>
      <w:lvlJc w:val="left"/>
      <w:pPr>
        <w:ind w:left="1951" w:hanging="632"/>
      </w:pPr>
      <w:rPr>
        <w:rFonts w:hint="default"/>
      </w:rPr>
    </w:lvl>
    <w:lvl w:ilvl="3">
      <w:start w:val="0"/>
      <w:numFmt w:val="bullet"/>
      <w:lvlText w:val="•"/>
      <w:lvlJc w:val="left"/>
      <w:pPr>
        <w:ind w:left="2556" w:hanging="632"/>
      </w:pPr>
      <w:rPr>
        <w:rFonts w:hint="default"/>
      </w:rPr>
    </w:lvl>
    <w:lvl w:ilvl="4">
      <w:start w:val="0"/>
      <w:numFmt w:val="bullet"/>
      <w:lvlText w:val="•"/>
      <w:lvlJc w:val="left"/>
      <w:pPr>
        <w:ind w:left="3162" w:hanging="632"/>
      </w:pPr>
      <w:rPr>
        <w:rFonts w:hint="default"/>
      </w:rPr>
    </w:lvl>
    <w:lvl w:ilvl="5">
      <w:start w:val="0"/>
      <w:numFmt w:val="bullet"/>
      <w:lvlText w:val="•"/>
      <w:lvlJc w:val="left"/>
      <w:pPr>
        <w:ind w:left="3767" w:hanging="632"/>
      </w:pPr>
      <w:rPr>
        <w:rFonts w:hint="default"/>
      </w:rPr>
    </w:lvl>
    <w:lvl w:ilvl="6">
      <w:start w:val="0"/>
      <w:numFmt w:val="bullet"/>
      <w:lvlText w:val="•"/>
      <w:lvlJc w:val="left"/>
      <w:pPr>
        <w:ind w:left="4373" w:hanging="632"/>
      </w:pPr>
      <w:rPr>
        <w:rFonts w:hint="default"/>
      </w:rPr>
    </w:lvl>
    <w:lvl w:ilvl="7">
      <w:start w:val="0"/>
      <w:numFmt w:val="bullet"/>
      <w:lvlText w:val="•"/>
      <w:lvlJc w:val="left"/>
      <w:pPr>
        <w:ind w:left="4978" w:hanging="632"/>
      </w:pPr>
      <w:rPr>
        <w:rFonts w:hint="default"/>
      </w:rPr>
    </w:lvl>
    <w:lvl w:ilvl="8">
      <w:start w:val="0"/>
      <w:numFmt w:val="bullet"/>
      <w:lvlText w:val="•"/>
      <w:lvlJc w:val="left"/>
      <w:pPr>
        <w:ind w:left="5584" w:hanging="632"/>
      </w:pPr>
      <w:rPr>
        <w:rFonts w:hint="default"/>
      </w:rPr>
    </w:lvl>
  </w:abstractNum>
  <w:abstractNum w:abstractNumId="17">
    <w:multiLevelType w:val="hybridMultilevel"/>
    <w:lvl w:ilvl="0">
      <w:start w:val="1"/>
      <w:numFmt w:val="decimal"/>
      <w:lvlText w:val="（%1）"/>
      <w:lvlJc w:val="left"/>
      <w:pPr>
        <w:ind w:left="745" w:hanging="632"/>
        <w:jc w:val="left"/>
      </w:pPr>
      <w:rPr>
        <w:rFonts w:hint="default" w:ascii="宋体" w:hAnsi="宋体" w:eastAsia="宋体" w:cs="宋体"/>
        <w:w w:val="100"/>
        <w:sz w:val="21"/>
        <w:szCs w:val="21"/>
      </w:rPr>
    </w:lvl>
    <w:lvl w:ilvl="1">
      <w:start w:val="0"/>
      <w:numFmt w:val="bullet"/>
      <w:lvlText w:val="•"/>
      <w:lvlJc w:val="left"/>
      <w:pPr>
        <w:ind w:left="1345" w:hanging="632"/>
      </w:pPr>
      <w:rPr>
        <w:rFonts w:hint="default"/>
      </w:rPr>
    </w:lvl>
    <w:lvl w:ilvl="2">
      <w:start w:val="0"/>
      <w:numFmt w:val="bullet"/>
      <w:lvlText w:val="•"/>
      <w:lvlJc w:val="left"/>
      <w:pPr>
        <w:ind w:left="1951" w:hanging="632"/>
      </w:pPr>
      <w:rPr>
        <w:rFonts w:hint="default"/>
      </w:rPr>
    </w:lvl>
    <w:lvl w:ilvl="3">
      <w:start w:val="0"/>
      <w:numFmt w:val="bullet"/>
      <w:lvlText w:val="•"/>
      <w:lvlJc w:val="left"/>
      <w:pPr>
        <w:ind w:left="2556" w:hanging="632"/>
      </w:pPr>
      <w:rPr>
        <w:rFonts w:hint="default"/>
      </w:rPr>
    </w:lvl>
    <w:lvl w:ilvl="4">
      <w:start w:val="0"/>
      <w:numFmt w:val="bullet"/>
      <w:lvlText w:val="•"/>
      <w:lvlJc w:val="left"/>
      <w:pPr>
        <w:ind w:left="3162" w:hanging="632"/>
      </w:pPr>
      <w:rPr>
        <w:rFonts w:hint="default"/>
      </w:rPr>
    </w:lvl>
    <w:lvl w:ilvl="5">
      <w:start w:val="0"/>
      <w:numFmt w:val="bullet"/>
      <w:lvlText w:val="•"/>
      <w:lvlJc w:val="left"/>
      <w:pPr>
        <w:ind w:left="3767" w:hanging="632"/>
      </w:pPr>
      <w:rPr>
        <w:rFonts w:hint="default"/>
      </w:rPr>
    </w:lvl>
    <w:lvl w:ilvl="6">
      <w:start w:val="0"/>
      <w:numFmt w:val="bullet"/>
      <w:lvlText w:val="•"/>
      <w:lvlJc w:val="left"/>
      <w:pPr>
        <w:ind w:left="4373" w:hanging="632"/>
      </w:pPr>
      <w:rPr>
        <w:rFonts w:hint="default"/>
      </w:rPr>
    </w:lvl>
    <w:lvl w:ilvl="7">
      <w:start w:val="0"/>
      <w:numFmt w:val="bullet"/>
      <w:lvlText w:val="•"/>
      <w:lvlJc w:val="left"/>
      <w:pPr>
        <w:ind w:left="4978" w:hanging="632"/>
      </w:pPr>
      <w:rPr>
        <w:rFonts w:hint="default"/>
      </w:rPr>
    </w:lvl>
    <w:lvl w:ilvl="8">
      <w:start w:val="0"/>
      <w:numFmt w:val="bullet"/>
      <w:lvlText w:val="•"/>
      <w:lvlJc w:val="left"/>
      <w:pPr>
        <w:ind w:left="5584" w:hanging="632"/>
      </w:pPr>
      <w:rPr>
        <w:rFonts w:hint="default"/>
      </w:rPr>
    </w:lvl>
  </w:abstractNum>
  <w:abstractNum w:abstractNumId="16">
    <w:multiLevelType w:val="hybridMultilevel"/>
    <w:lvl w:ilvl="0">
      <w:start w:val="1"/>
      <w:numFmt w:val="decimal"/>
      <w:lvlText w:val="（%1）"/>
      <w:lvlJc w:val="left"/>
      <w:pPr>
        <w:ind w:left="745" w:hanging="632"/>
        <w:jc w:val="left"/>
      </w:pPr>
      <w:rPr>
        <w:rFonts w:hint="default" w:ascii="宋体" w:hAnsi="宋体" w:eastAsia="宋体" w:cs="宋体"/>
        <w:w w:val="100"/>
        <w:sz w:val="21"/>
        <w:szCs w:val="21"/>
      </w:rPr>
    </w:lvl>
    <w:lvl w:ilvl="1">
      <w:start w:val="0"/>
      <w:numFmt w:val="bullet"/>
      <w:lvlText w:val="•"/>
      <w:lvlJc w:val="left"/>
      <w:pPr>
        <w:ind w:left="1345" w:hanging="632"/>
      </w:pPr>
      <w:rPr>
        <w:rFonts w:hint="default"/>
      </w:rPr>
    </w:lvl>
    <w:lvl w:ilvl="2">
      <w:start w:val="0"/>
      <w:numFmt w:val="bullet"/>
      <w:lvlText w:val="•"/>
      <w:lvlJc w:val="left"/>
      <w:pPr>
        <w:ind w:left="1951" w:hanging="632"/>
      </w:pPr>
      <w:rPr>
        <w:rFonts w:hint="default"/>
      </w:rPr>
    </w:lvl>
    <w:lvl w:ilvl="3">
      <w:start w:val="0"/>
      <w:numFmt w:val="bullet"/>
      <w:lvlText w:val="•"/>
      <w:lvlJc w:val="left"/>
      <w:pPr>
        <w:ind w:left="2556" w:hanging="632"/>
      </w:pPr>
      <w:rPr>
        <w:rFonts w:hint="default"/>
      </w:rPr>
    </w:lvl>
    <w:lvl w:ilvl="4">
      <w:start w:val="0"/>
      <w:numFmt w:val="bullet"/>
      <w:lvlText w:val="•"/>
      <w:lvlJc w:val="left"/>
      <w:pPr>
        <w:ind w:left="3162" w:hanging="632"/>
      </w:pPr>
      <w:rPr>
        <w:rFonts w:hint="default"/>
      </w:rPr>
    </w:lvl>
    <w:lvl w:ilvl="5">
      <w:start w:val="0"/>
      <w:numFmt w:val="bullet"/>
      <w:lvlText w:val="•"/>
      <w:lvlJc w:val="left"/>
      <w:pPr>
        <w:ind w:left="3767" w:hanging="632"/>
      </w:pPr>
      <w:rPr>
        <w:rFonts w:hint="default"/>
      </w:rPr>
    </w:lvl>
    <w:lvl w:ilvl="6">
      <w:start w:val="0"/>
      <w:numFmt w:val="bullet"/>
      <w:lvlText w:val="•"/>
      <w:lvlJc w:val="left"/>
      <w:pPr>
        <w:ind w:left="4373" w:hanging="632"/>
      </w:pPr>
      <w:rPr>
        <w:rFonts w:hint="default"/>
      </w:rPr>
    </w:lvl>
    <w:lvl w:ilvl="7">
      <w:start w:val="0"/>
      <w:numFmt w:val="bullet"/>
      <w:lvlText w:val="•"/>
      <w:lvlJc w:val="left"/>
      <w:pPr>
        <w:ind w:left="4978" w:hanging="632"/>
      </w:pPr>
      <w:rPr>
        <w:rFonts w:hint="default"/>
      </w:rPr>
    </w:lvl>
    <w:lvl w:ilvl="8">
      <w:start w:val="0"/>
      <w:numFmt w:val="bullet"/>
      <w:lvlText w:val="•"/>
      <w:lvlJc w:val="left"/>
      <w:pPr>
        <w:ind w:left="5584" w:hanging="632"/>
      </w:pPr>
      <w:rPr>
        <w:rFonts w:hint="default"/>
      </w:rPr>
    </w:lvl>
  </w:abstractNum>
  <w:abstractNum w:abstractNumId="15">
    <w:multiLevelType w:val="hybridMultilevel"/>
    <w:lvl w:ilvl="0">
      <w:start w:val="1"/>
      <w:numFmt w:val="decimal"/>
      <w:lvlText w:val="（%1）"/>
      <w:lvlJc w:val="left"/>
      <w:pPr>
        <w:ind w:left="745" w:hanging="632"/>
        <w:jc w:val="left"/>
      </w:pPr>
      <w:rPr>
        <w:rFonts w:hint="default" w:ascii="宋体" w:hAnsi="宋体" w:eastAsia="宋体" w:cs="宋体"/>
        <w:w w:val="100"/>
        <w:sz w:val="21"/>
        <w:szCs w:val="21"/>
      </w:rPr>
    </w:lvl>
    <w:lvl w:ilvl="1">
      <w:start w:val="0"/>
      <w:numFmt w:val="bullet"/>
      <w:lvlText w:val="•"/>
      <w:lvlJc w:val="left"/>
      <w:pPr>
        <w:ind w:left="1345" w:hanging="632"/>
      </w:pPr>
      <w:rPr>
        <w:rFonts w:hint="default"/>
      </w:rPr>
    </w:lvl>
    <w:lvl w:ilvl="2">
      <w:start w:val="0"/>
      <w:numFmt w:val="bullet"/>
      <w:lvlText w:val="•"/>
      <w:lvlJc w:val="left"/>
      <w:pPr>
        <w:ind w:left="1951" w:hanging="632"/>
      </w:pPr>
      <w:rPr>
        <w:rFonts w:hint="default"/>
      </w:rPr>
    </w:lvl>
    <w:lvl w:ilvl="3">
      <w:start w:val="0"/>
      <w:numFmt w:val="bullet"/>
      <w:lvlText w:val="•"/>
      <w:lvlJc w:val="left"/>
      <w:pPr>
        <w:ind w:left="2556" w:hanging="632"/>
      </w:pPr>
      <w:rPr>
        <w:rFonts w:hint="default"/>
      </w:rPr>
    </w:lvl>
    <w:lvl w:ilvl="4">
      <w:start w:val="0"/>
      <w:numFmt w:val="bullet"/>
      <w:lvlText w:val="•"/>
      <w:lvlJc w:val="left"/>
      <w:pPr>
        <w:ind w:left="3162" w:hanging="632"/>
      </w:pPr>
      <w:rPr>
        <w:rFonts w:hint="default"/>
      </w:rPr>
    </w:lvl>
    <w:lvl w:ilvl="5">
      <w:start w:val="0"/>
      <w:numFmt w:val="bullet"/>
      <w:lvlText w:val="•"/>
      <w:lvlJc w:val="left"/>
      <w:pPr>
        <w:ind w:left="3767" w:hanging="632"/>
      </w:pPr>
      <w:rPr>
        <w:rFonts w:hint="default"/>
      </w:rPr>
    </w:lvl>
    <w:lvl w:ilvl="6">
      <w:start w:val="0"/>
      <w:numFmt w:val="bullet"/>
      <w:lvlText w:val="•"/>
      <w:lvlJc w:val="left"/>
      <w:pPr>
        <w:ind w:left="4373" w:hanging="632"/>
      </w:pPr>
      <w:rPr>
        <w:rFonts w:hint="default"/>
      </w:rPr>
    </w:lvl>
    <w:lvl w:ilvl="7">
      <w:start w:val="0"/>
      <w:numFmt w:val="bullet"/>
      <w:lvlText w:val="•"/>
      <w:lvlJc w:val="left"/>
      <w:pPr>
        <w:ind w:left="4978" w:hanging="632"/>
      </w:pPr>
      <w:rPr>
        <w:rFonts w:hint="default"/>
      </w:rPr>
    </w:lvl>
    <w:lvl w:ilvl="8">
      <w:start w:val="0"/>
      <w:numFmt w:val="bullet"/>
      <w:lvlText w:val="•"/>
      <w:lvlJc w:val="left"/>
      <w:pPr>
        <w:ind w:left="5584" w:hanging="632"/>
      </w:pPr>
      <w:rPr>
        <w:rFonts w:hint="default"/>
      </w:rPr>
    </w:lvl>
  </w:abstractNum>
  <w:abstractNum w:abstractNumId="14">
    <w:multiLevelType w:val="hybridMultilevel"/>
    <w:lvl w:ilvl="0">
      <w:start w:val="1"/>
      <w:numFmt w:val="decimal"/>
      <w:lvlText w:val="（%1）"/>
      <w:lvlJc w:val="left"/>
      <w:pPr>
        <w:ind w:left="744" w:hanging="632"/>
        <w:jc w:val="left"/>
      </w:pPr>
      <w:rPr>
        <w:rFonts w:hint="default" w:ascii="宋体" w:hAnsi="宋体" w:eastAsia="宋体" w:cs="宋体"/>
        <w:w w:val="100"/>
        <w:sz w:val="21"/>
        <w:szCs w:val="21"/>
      </w:rPr>
    </w:lvl>
    <w:lvl w:ilvl="1">
      <w:start w:val="0"/>
      <w:numFmt w:val="bullet"/>
      <w:lvlText w:val="•"/>
      <w:lvlJc w:val="left"/>
      <w:pPr>
        <w:ind w:left="1325" w:hanging="632"/>
      </w:pPr>
      <w:rPr>
        <w:rFonts w:hint="default"/>
      </w:rPr>
    </w:lvl>
    <w:lvl w:ilvl="2">
      <w:start w:val="0"/>
      <w:numFmt w:val="bullet"/>
      <w:lvlText w:val="•"/>
      <w:lvlJc w:val="left"/>
      <w:pPr>
        <w:ind w:left="1911" w:hanging="632"/>
      </w:pPr>
      <w:rPr>
        <w:rFonts w:hint="default"/>
      </w:rPr>
    </w:lvl>
    <w:lvl w:ilvl="3">
      <w:start w:val="0"/>
      <w:numFmt w:val="bullet"/>
      <w:lvlText w:val="•"/>
      <w:lvlJc w:val="left"/>
      <w:pPr>
        <w:ind w:left="2496" w:hanging="632"/>
      </w:pPr>
      <w:rPr>
        <w:rFonts w:hint="default"/>
      </w:rPr>
    </w:lvl>
    <w:lvl w:ilvl="4">
      <w:start w:val="0"/>
      <w:numFmt w:val="bullet"/>
      <w:lvlText w:val="•"/>
      <w:lvlJc w:val="left"/>
      <w:pPr>
        <w:ind w:left="3082" w:hanging="632"/>
      </w:pPr>
      <w:rPr>
        <w:rFonts w:hint="default"/>
      </w:rPr>
    </w:lvl>
    <w:lvl w:ilvl="5">
      <w:start w:val="0"/>
      <w:numFmt w:val="bullet"/>
      <w:lvlText w:val="•"/>
      <w:lvlJc w:val="left"/>
      <w:pPr>
        <w:ind w:left="3668" w:hanging="632"/>
      </w:pPr>
      <w:rPr>
        <w:rFonts w:hint="default"/>
      </w:rPr>
    </w:lvl>
    <w:lvl w:ilvl="6">
      <w:start w:val="0"/>
      <w:numFmt w:val="bullet"/>
      <w:lvlText w:val="•"/>
      <w:lvlJc w:val="left"/>
      <w:pPr>
        <w:ind w:left="4253" w:hanging="632"/>
      </w:pPr>
      <w:rPr>
        <w:rFonts w:hint="default"/>
      </w:rPr>
    </w:lvl>
    <w:lvl w:ilvl="7">
      <w:start w:val="0"/>
      <w:numFmt w:val="bullet"/>
      <w:lvlText w:val="•"/>
      <w:lvlJc w:val="left"/>
      <w:pPr>
        <w:ind w:left="4839" w:hanging="632"/>
      </w:pPr>
      <w:rPr>
        <w:rFonts w:hint="default"/>
      </w:rPr>
    </w:lvl>
    <w:lvl w:ilvl="8">
      <w:start w:val="0"/>
      <w:numFmt w:val="bullet"/>
      <w:lvlText w:val="•"/>
      <w:lvlJc w:val="left"/>
      <w:pPr>
        <w:ind w:left="5424" w:hanging="632"/>
      </w:pPr>
      <w:rPr>
        <w:rFonts w:hint="default"/>
      </w:rPr>
    </w:lvl>
  </w:abstractNum>
  <w:abstractNum w:abstractNumId="13">
    <w:multiLevelType w:val="hybridMultilevel"/>
    <w:lvl w:ilvl="0">
      <w:start w:val="1"/>
      <w:numFmt w:val="decimal"/>
      <w:lvlText w:val="（%1）"/>
      <w:lvlJc w:val="left"/>
      <w:pPr>
        <w:ind w:left="744" w:hanging="632"/>
        <w:jc w:val="left"/>
      </w:pPr>
      <w:rPr>
        <w:rFonts w:hint="default" w:ascii="宋体" w:hAnsi="宋体" w:eastAsia="宋体" w:cs="宋体"/>
        <w:w w:val="100"/>
        <w:sz w:val="21"/>
        <w:szCs w:val="21"/>
      </w:rPr>
    </w:lvl>
    <w:lvl w:ilvl="1">
      <w:start w:val="0"/>
      <w:numFmt w:val="bullet"/>
      <w:lvlText w:val="•"/>
      <w:lvlJc w:val="left"/>
      <w:pPr>
        <w:ind w:left="1325" w:hanging="632"/>
      </w:pPr>
      <w:rPr>
        <w:rFonts w:hint="default"/>
      </w:rPr>
    </w:lvl>
    <w:lvl w:ilvl="2">
      <w:start w:val="0"/>
      <w:numFmt w:val="bullet"/>
      <w:lvlText w:val="•"/>
      <w:lvlJc w:val="left"/>
      <w:pPr>
        <w:ind w:left="1911" w:hanging="632"/>
      </w:pPr>
      <w:rPr>
        <w:rFonts w:hint="default"/>
      </w:rPr>
    </w:lvl>
    <w:lvl w:ilvl="3">
      <w:start w:val="0"/>
      <w:numFmt w:val="bullet"/>
      <w:lvlText w:val="•"/>
      <w:lvlJc w:val="left"/>
      <w:pPr>
        <w:ind w:left="2496" w:hanging="632"/>
      </w:pPr>
      <w:rPr>
        <w:rFonts w:hint="default"/>
      </w:rPr>
    </w:lvl>
    <w:lvl w:ilvl="4">
      <w:start w:val="0"/>
      <w:numFmt w:val="bullet"/>
      <w:lvlText w:val="•"/>
      <w:lvlJc w:val="left"/>
      <w:pPr>
        <w:ind w:left="3082" w:hanging="632"/>
      </w:pPr>
      <w:rPr>
        <w:rFonts w:hint="default"/>
      </w:rPr>
    </w:lvl>
    <w:lvl w:ilvl="5">
      <w:start w:val="0"/>
      <w:numFmt w:val="bullet"/>
      <w:lvlText w:val="•"/>
      <w:lvlJc w:val="left"/>
      <w:pPr>
        <w:ind w:left="3668" w:hanging="632"/>
      </w:pPr>
      <w:rPr>
        <w:rFonts w:hint="default"/>
      </w:rPr>
    </w:lvl>
    <w:lvl w:ilvl="6">
      <w:start w:val="0"/>
      <w:numFmt w:val="bullet"/>
      <w:lvlText w:val="•"/>
      <w:lvlJc w:val="left"/>
      <w:pPr>
        <w:ind w:left="4253" w:hanging="632"/>
      </w:pPr>
      <w:rPr>
        <w:rFonts w:hint="default"/>
      </w:rPr>
    </w:lvl>
    <w:lvl w:ilvl="7">
      <w:start w:val="0"/>
      <w:numFmt w:val="bullet"/>
      <w:lvlText w:val="•"/>
      <w:lvlJc w:val="left"/>
      <w:pPr>
        <w:ind w:left="4839" w:hanging="632"/>
      </w:pPr>
      <w:rPr>
        <w:rFonts w:hint="default"/>
      </w:rPr>
    </w:lvl>
    <w:lvl w:ilvl="8">
      <w:start w:val="0"/>
      <w:numFmt w:val="bullet"/>
      <w:lvlText w:val="•"/>
      <w:lvlJc w:val="left"/>
      <w:pPr>
        <w:ind w:left="5424" w:hanging="632"/>
      </w:pPr>
      <w:rPr>
        <w:rFonts w:hint="default"/>
      </w:rPr>
    </w:lvl>
  </w:abstractNum>
  <w:abstractNum w:abstractNumId="12">
    <w:multiLevelType w:val="hybridMultilevel"/>
    <w:lvl w:ilvl="0">
      <w:start w:val="1"/>
      <w:numFmt w:val="decimal"/>
      <w:lvlText w:val="（%1）"/>
      <w:lvlJc w:val="left"/>
      <w:pPr>
        <w:ind w:left="832" w:hanging="704"/>
        <w:jc w:val="left"/>
      </w:pPr>
      <w:rPr>
        <w:rFonts w:hint="default" w:ascii="宋体" w:hAnsi="宋体" w:eastAsia="宋体" w:cs="宋体"/>
        <w:w w:val="100"/>
        <w:sz w:val="21"/>
        <w:szCs w:val="21"/>
      </w:rPr>
    </w:lvl>
    <w:lvl w:ilvl="1">
      <w:start w:val="0"/>
      <w:numFmt w:val="bullet"/>
      <w:lvlText w:val="•"/>
      <w:lvlJc w:val="left"/>
      <w:pPr>
        <w:ind w:left="1435" w:hanging="704"/>
      </w:pPr>
      <w:rPr>
        <w:rFonts w:hint="default"/>
      </w:rPr>
    </w:lvl>
    <w:lvl w:ilvl="2">
      <w:start w:val="0"/>
      <w:numFmt w:val="bullet"/>
      <w:lvlText w:val="•"/>
      <w:lvlJc w:val="left"/>
      <w:pPr>
        <w:ind w:left="2030" w:hanging="704"/>
      </w:pPr>
      <w:rPr>
        <w:rFonts w:hint="default"/>
      </w:rPr>
    </w:lvl>
    <w:lvl w:ilvl="3">
      <w:start w:val="0"/>
      <w:numFmt w:val="bullet"/>
      <w:lvlText w:val="•"/>
      <w:lvlJc w:val="left"/>
      <w:pPr>
        <w:ind w:left="2625" w:hanging="704"/>
      </w:pPr>
      <w:rPr>
        <w:rFonts w:hint="default"/>
      </w:rPr>
    </w:lvl>
    <w:lvl w:ilvl="4">
      <w:start w:val="0"/>
      <w:numFmt w:val="bullet"/>
      <w:lvlText w:val="•"/>
      <w:lvlJc w:val="left"/>
      <w:pPr>
        <w:ind w:left="3220" w:hanging="704"/>
      </w:pPr>
      <w:rPr>
        <w:rFonts w:hint="default"/>
      </w:rPr>
    </w:lvl>
    <w:lvl w:ilvl="5">
      <w:start w:val="0"/>
      <w:numFmt w:val="bullet"/>
      <w:lvlText w:val="•"/>
      <w:lvlJc w:val="left"/>
      <w:pPr>
        <w:ind w:left="3815" w:hanging="704"/>
      </w:pPr>
      <w:rPr>
        <w:rFonts w:hint="default"/>
      </w:rPr>
    </w:lvl>
    <w:lvl w:ilvl="6">
      <w:start w:val="0"/>
      <w:numFmt w:val="bullet"/>
      <w:lvlText w:val="•"/>
      <w:lvlJc w:val="left"/>
      <w:pPr>
        <w:ind w:left="4410" w:hanging="704"/>
      </w:pPr>
      <w:rPr>
        <w:rFonts w:hint="default"/>
      </w:rPr>
    </w:lvl>
    <w:lvl w:ilvl="7">
      <w:start w:val="0"/>
      <w:numFmt w:val="bullet"/>
      <w:lvlText w:val="•"/>
      <w:lvlJc w:val="left"/>
      <w:pPr>
        <w:ind w:left="5005" w:hanging="704"/>
      </w:pPr>
      <w:rPr>
        <w:rFonts w:hint="default"/>
      </w:rPr>
    </w:lvl>
    <w:lvl w:ilvl="8">
      <w:start w:val="0"/>
      <w:numFmt w:val="bullet"/>
      <w:lvlText w:val="•"/>
      <w:lvlJc w:val="left"/>
      <w:pPr>
        <w:ind w:left="5600" w:hanging="704"/>
      </w:pPr>
      <w:rPr>
        <w:rFonts w:hint="default"/>
      </w:rPr>
    </w:lvl>
  </w:abstractNum>
  <w:abstractNum w:abstractNumId="11">
    <w:multiLevelType w:val="hybridMultilevel"/>
    <w:lvl w:ilvl="0">
      <w:start w:val="1"/>
      <w:numFmt w:val="decimal"/>
      <w:lvlText w:val="（%1）"/>
      <w:lvlJc w:val="left"/>
      <w:pPr>
        <w:ind w:left="709" w:hanging="632"/>
        <w:jc w:val="left"/>
      </w:pPr>
      <w:rPr>
        <w:rFonts w:hint="default" w:ascii="宋体" w:hAnsi="宋体" w:eastAsia="宋体" w:cs="宋体"/>
        <w:w w:val="100"/>
        <w:sz w:val="21"/>
        <w:szCs w:val="21"/>
      </w:rPr>
    </w:lvl>
    <w:lvl w:ilvl="1">
      <w:start w:val="0"/>
      <w:numFmt w:val="bullet"/>
      <w:lvlText w:val="•"/>
      <w:lvlJc w:val="left"/>
      <w:pPr>
        <w:ind w:left="1309" w:hanging="632"/>
      </w:pPr>
      <w:rPr>
        <w:rFonts w:hint="default"/>
      </w:rPr>
    </w:lvl>
    <w:lvl w:ilvl="2">
      <w:start w:val="0"/>
      <w:numFmt w:val="bullet"/>
      <w:lvlText w:val="•"/>
      <w:lvlJc w:val="left"/>
      <w:pPr>
        <w:ind w:left="1918" w:hanging="632"/>
      </w:pPr>
      <w:rPr>
        <w:rFonts w:hint="default"/>
      </w:rPr>
    </w:lvl>
    <w:lvl w:ilvl="3">
      <w:start w:val="0"/>
      <w:numFmt w:val="bullet"/>
      <w:lvlText w:val="•"/>
      <w:lvlJc w:val="left"/>
      <w:pPr>
        <w:ind w:left="2527" w:hanging="632"/>
      </w:pPr>
      <w:rPr>
        <w:rFonts w:hint="default"/>
      </w:rPr>
    </w:lvl>
    <w:lvl w:ilvl="4">
      <w:start w:val="0"/>
      <w:numFmt w:val="bullet"/>
      <w:lvlText w:val="•"/>
      <w:lvlJc w:val="left"/>
      <w:pPr>
        <w:ind w:left="3136" w:hanging="632"/>
      </w:pPr>
      <w:rPr>
        <w:rFonts w:hint="default"/>
      </w:rPr>
    </w:lvl>
    <w:lvl w:ilvl="5">
      <w:start w:val="0"/>
      <w:numFmt w:val="bullet"/>
      <w:lvlText w:val="•"/>
      <w:lvlJc w:val="left"/>
      <w:pPr>
        <w:ind w:left="3745" w:hanging="632"/>
      </w:pPr>
      <w:rPr>
        <w:rFonts w:hint="default"/>
      </w:rPr>
    </w:lvl>
    <w:lvl w:ilvl="6">
      <w:start w:val="0"/>
      <w:numFmt w:val="bullet"/>
      <w:lvlText w:val="•"/>
      <w:lvlJc w:val="left"/>
      <w:pPr>
        <w:ind w:left="4354" w:hanging="632"/>
      </w:pPr>
      <w:rPr>
        <w:rFonts w:hint="default"/>
      </w:rPr>
    </w:lvl>
    <w:lvl w:ilvl="7">
      <w:start w:val="0"/>
      <w:numFmt w:val="bullet"/>
      <w:lvlText w:val="•"/>
      <w:lvlJc w:val="left"/>
      <w:pPr>
        <w:ind w:left="4963" w:hanging="632"/>
      </w:pPr>
      <w:rPr>
        <w:rFonts w:hint="default"/>
      </w:rPr>
    </w:lvl>
    <w:lvl w:ilvl="8">
      <w:start w:val="0"/>
      <w:numFmt w:val="bullet"/>
      <w:lvlText w:val="•"/>
      <w:lvlJc w:val="left"/>
      <w:pPr>
        <w:ind w:left="5572" w:hanging="632"/>
      </w:pPr>
      <w:rPr>
        <w:rFonts w:hint="default"/>
      </w:rPr>
    </w:lvl>
  </w:abstractNum>
  <w:abstractNum w:abstractNumId="10">
    <w:multiLevelType w:val="hybridMultilevel"/>
    <w:lvl w:ilvl="0">
      <w:start w:val="1"/>
      <w:numFmt w:val="decimal"/>
      <w:lvlText w:val="（%1）"/>
      <w:lvlJc w:val="left"/>
      <w:pPr>
        <w:ind w:left="742" w:hanging="632"/>
        <w:jc w:val="left"/>
      </w:pPr>
      <w:rPr>
        <w:rFonts w:hint="default" w:ascii="宋体" w:hAnsi="宋体" w:eastAsia="宋体" w:cs="宋体"/>
        <w:w w:val="100"/>
        <w:sz w:val="21"/>
        <w:szCs w:val="21"/>
      </w:rPr>
    </w:lvl>
    <w:lvl w:ilvl="1">
      <w:start w:val="0"/>
      <w:numFmt w:val="bullet"/>
      <w:lvlText w:val="•"/>
      <w:lvlJc w:val="left"/>
      <w:pPr>
        <w:ind w:left="1325" w:hanging="632"/>
      </w:pPr>
      <w:rPr>
        <w:rFonts w:hint="default"/>
      </w:rPr>
    </w:lvl>
    <w:lvl w:ilvl="2">
      <w:start w:val="0"/>
      <w:numFmt w:val="bullet"/>
      <w:lvlText w:val="•"/>
      <w:lvlJc w:val="left"/>
      <w:pPr>
        <w:ind w:left="1910" w:hanging="632"/>
      </w:pPr>
      <w:rPr>
        <w:rFonts w:hint="default"/>
      </w:rPr>
    </w:lvl>
    <w:lvl w:ilvl="3">
      <w:start w:val="0"/>
      <w:numFmt w:val="bullet"/>
      <w:lvlText w:val="•"/>
      <w:lvlJc w:val="left"/>
      <w:pPr>
        <w:ind w:left="2495" w:hanging="632"/>
      </w:pPr>
      <w:rPr>
        <w:rFonts w:hint="default"/>
      </w:rPr>
    </w:lvl>
    <w:lvl w:ilvl="4">
      <w:start w:val="0"/>
      <w:numFmt w:val="bullet"/>
      <w:lvlText w:val="•"/>
      <w:lvlJc w:val="left"/>
      <w:pPr>
        <w:ind w:left="3080" w:hanging="632"/>
      </w:pPr>
      <w:rPr>
        <w:rFonts w:hint="default"/>
      </w:rPr>
    </w:lvl>
    <w:lvl w:ilvl="5">
      <w:start w:val="0"/>
      <w:numFmt w:val="bullet"/>
      <w:lvlText w:val="•"/>
      <w:lvlJc w:val="left"/>
      <w:pPr>
        <w:ind w:left="3665" w:hanging="632"/>
      </w:pPr>
      <w:rPr>
        <w:rFonts w:hint="default"/>
      </w:rPr>
    </w:lvl>
    <w:lvl w:ilvl="6">
      <w:start w:val="0"/>
      <w:numFmt w:val="bullet"/>
      <w:lvlText w:val="•"/>
      <w:lvlJc w:val="left"/>
      <w:pPr>
        <w:ind w:left="4250" w:hanging="632"/>
      </w:pPr>
      <w:rPr>
        <w:rFonts w:hint="default"/>
      </w:rPr>
    </w:lvl>
    <w:lvl w:ilvl="7">
      <w:start w:val="0"/>
      <w:numFmt w:val="bullet"/>
      <w:lvlText w:val="•"/>
      <w:lvlJc w:val="left"/>
      <w:pPr>
        <w:ind w:left="4835" w:hanging="632"/>
      </w:pPr>
      <w:rPr>
        <w:rFonts w:hint="default"/>
      </w:rPr>
    </w:lvl>
    <w:lvl w:ilvl="8">
      <w:start w:val="0"/>
      <w:numFmt w:val="bullet"/>
      <w:lvlText w:val="•"/>
      <w:lvlJc w:val="left"/>
      <w:pPr>
        <w:ind w:left="5420" w:hanging="632"/>
      </w:pPr>
      <w:rPr>
        <w:rFonts w:hint="default"/>
      </w:rPr>
    </w:lvl>
  </w:abstractNum>
  <w:abstractNum w:abstractNumId="9">
    <w:multiLevelType w:val="hybridMultilevel"/>
    <w:lvl w:ilvl="0">
      <w:start w:val="1"/>
      <w:numFmt w:val="decimal"/>
      <w:lvlText w:val="（%1）"/>
      <w:lvlJc w:val="left"/>
      <w:pPr>
        <w:ind w:left="727" w:hanging="632"/>
        <w:jc w:val="left"/>
      </w:pPr>
      <w:rPr>
        <w:rFonts w:hint="default" w:ascii="宋体" w:hAnsi="宋体" w:eastAsia="宋体" w:cs="宋体"/>
        <w:w w:val="100"/>
        <w:sz w:val="21"/>
        <w:szCs w:val="21"/>
      </w:rPr>
    </w:lvl>
    <w:lvl w:ilvl="1">
      <w:start w:val="0"/>
      <w:numFmt w:val="bullet"/>
      <w:lvlText w:val="•"/>
      <w:lvlJc w:val="left"/>
      <w:pPr>
        <w:ind w:left="1332" w:hanging="632"/>
      </w:pPr>
      <w:rPr>
        <w:rFonts w:hint="default"/>
      </w:rPr>
    </w:lvl>
    <w:lvl w:ilvl="2">
      <w:start w:val="0"/>
      <w:numFmt w:val="bullet"/>
      <w:lvlText w:val="•"/>
      <w:lvlJc w:val="left"/>
      <w:pPr>
        <w:ind w:left="1945" w:hanging="632"/>
      </w:pPr>
      <w:rPr>
        <w:rFonts w:hint="default"/>
      </w:rPr>
    </w:lvl>
    <w:lvl w:ilvl="3">
      <w:start w:val="0"/>
      <w:numFmt w:val="bullet"/>
      <w:lvlText w:val="•"/>
      <w:lvlJc w:val="left"/>
      <w:pPr>
        <w:ind w:left="2557" w:hanging="632"/>
      </w:pPr>
      <w:rPr>
        <w:rFonts w:hint="default"/>
      </w:rPr>
    </w:lvl>
    <w:lvl w:ilvl="4">
      <w:start w:val="0"/>
      <w:numFmt w:val="bullet"/>
      <w:lvlText w:val="•"/>
      <w:lvlJc w:val="left"/>
      <w:pPr>
        <w:ind w:left="3170" w:hanging="632"/>
      </w:pPr>
      <w:rPr>
        <w:rFonts w:hint="default"/>
      </w:rPr>
    </w:lvl>
    <w:lvl w:ilvl="5">
      <w:start w:val="0"/>
      <w:numFmt w:val="bullet"/>
      <w:lvlText w:val="•"/>
      <w:lvlJc w:val="left"/>
      <w:pPr>
        <w:ind w:left="3782" w:hanging="632"/>
      </w:pPr>
      <w:rPr>
        <w:rFonts w:hint="default"/>
      </w:rPr>
    </w:lvl>
    <w:lvl w:ilvl="6">
      <w:start w:val="0"/>
      <w:numFmt w:val="bullet"/>
      <w:lvlText w:val="•"/>
      <w:lvlJc w:val="left"/>
      <w:pPr>
        <w:ind w:left="4395" w:hanging="632"/>
      </w:pPr>
      <w:rPr>
        <w:rFonts w:hint="default"/>
      </w:rPr>
    </w:lvl>
    <w:lvl w:ilvl="7">
      <w:start w:val="0"/>
      <w:numFmt w:val="bullet"/>
      <w:lvlText w:val="•"/>
      <w:lvlJc w:val="left"/>
      <w:pPr>
        <w:ind w:left="5007" w:hanging="632"/>
      </w:pPr>
      <w:rPr>
        <w:rFonts w:hint="default"/>
      </w:rPr>
    </w:lvl>
    <w:lvl w:ilvl="8">
      <w:start w:val="0"/>
      <w:numFmt w:val="bullet"/>
      <w:lvlText w:val="•"/>
      <w:lvlJc w:val="left"/>
      <w:pPr>
        <w:ind w:left="5620" w:hanging="632"/>
      </w:pPr>
      <w:rPr>
        <w:rFonts w:hint="default"/>
      </w:rPr>
    </w:lvl>
  </w:abstractNum>
  <w:abstractNum w:abstractNumId="8">
    <w:multiLevelType w:val="hybridMultilevel"/>
    <w:lvl w:ilvl="0">
      <w:start w:val="1"/>
      <w:numFmt w:val="decimal"/>
      <w:lvlText w:val="（%1）"/>
      <w:lvlJc w:val="left"/>
      <w:pPr>
        <w:ind w:left="727" w:hanging="632"/>
        <w:jc w:val="left"/>
      </w:pPr>
      <w:rPr>
        <w:rFonts w:hint="default" w:ascii="宋体" w:hAnsi="宋体" w:eastAsia="宋体" w:cs="宋体"/>
        <w:w w:val="100"/>
        <w:sz w:val="21"/>
        <w:szCs w:val="21"/>
      </w:rPr>
    </w:lvl>
    <w:lvl w:ilvl="1">
      <w:start w:val="0"/>
      <w:numFmt w:val="bullet"/>
      <w:lvlText w:val="•"/>
      <w:lvlJc w:val="left"/>
      <w:pPr>
        <w:ind w:left="1332" w:hanging="632"/>
      </w:pPr>
      <w:rPr>
        <w:rFonts w:hint="default"/>
      </w:rPr>
    </w:lvl>
    <w:lvl w:ilvl="2">
      <w:start w:val="0"/>
      <w:numFmt w:val="bullet"/>
      <w:lvlText w:val="•"/>
      <w:lvlJc w:val="left"/>
      <w:pPr>
        <w:ind w:left="1945" w:hanging="632"/>
      </w:pPr>
      <w:rPr>
        <w:rFonts w:hint="default"/>
      </w:rPr>
    </w:lvl>
    <w:lvl w:ilvl="3">
      <w:start w:val="0"/>
      <w:numFmt w:val="bullet"/>
      <w:lvlText w:val="•"/>
      <w:lvlJc w:val="left"/>
      <w:pPr>
        <w:ind w:left="2557" w:hanging="632"/>
      </w:pPr>
      <w:rPr>
        <w:rFonts w:hint="default"/>
      </w:rPr>
    </w:lvl>
    <w:lvl w:ilvl="4">
      <w:start w:val="0"/>
      <w:numFmt w:val="bullet"/>
      <w:lvlText w:val="•"/>
      <w:lvlJc w:val="left"/>
      <w:pPr>
        <w:ind w:left="3170" w:hanging="632"/>
      </w:pPr>
      <w:rPr>
        <w:rFonts w:hint="default"/>
      </w:rPr>
    </w:lvl>
    <w:lvl w:ilvl="5">
      <w:start w:val="0"/>
      <w:numFmt w:val="bullet"/>
      <w:lvlText w:val="•"/>
      <w:lvlJc w:val="left"/>
      <w:pPr>
        <w:ind w:left="3782" w:hanging="632"/>
      </w:pPr>
      <w:rPr>
        <w:rFonts w:hint="default"/>
      </w:rPr>
    </w:lvl>
    <w:lvl w:ilvl="6">
      <w:start w:val="0"/>
      <w:numFmt w:val="bullet"/>
      <w:lvlText w:val="•"/>
      <w:lvlJc w:val="left"/>
      <w:pPr>
        <w:ind w:left="4395" w:hanging="632"/>
      </w:pPr>
      <w:rPr>
        <w:rFonts w:hint="default"/>
      </w:rPr>
    </w:lvl>
    <w:lvl w:ilvl="7">
      <w:start w:val="0"/>
      <w:numFmt w:val="bullet"/>
      <w:lvlText w:val="•"/>
      <w:lvlJc w:val="left"/>
      <w:pPr>
        <w:ind w:left="5007" w:hanging="632"/>
      </w:pPr>
      <w:rPr>
        <w:rFonts w:hint="default"/>
      </w:rPr>
    </w:lvl>
    <w:lvl w:ilvl="8">
      <w:start w:val="0"/>
      <w:numFmt w:val="bullet"/>
      <w:lvlText w:val="•"/>
      <w:lvlJc w:val="left"/>
      <w:pPr>
        <w:ind w:left="5620" w:hanging="632"/>
      </w:pPr>
      <w:rPr>
        <w:rFonts w:hint="default"/>
      </w:rPr>
    </w:lvl>
  </w:abstractNum>
  <w:abstractNum w:abstractNumId="7">
    <w:multiLevelType w:val="hybridMultilevel"/>
    <w:lvl w:ilvl="0">
      <w:start w:val="1"/>
      <w:numFmt w:val="decimal"/>
      <w:lvlText w:val="（%1）"/>
      <w:lvlJc w:val="left"/>
      <w:pPr>
        <w:ind w:left="752" w:hanging="632"/>
        <w:jc w:val="left"/>
      </w:pPr>
      <w:rPr>
        <w:rFonts w:hint="default" w:ascii="宋体" w:hAnsi="宋体" w:eastAsia="宋体" w:cs="宋体"/>
        <w:w w:val="100"/>
        <w:sz w:val="21"/>
        <w:szCs w:val="21"/>
      </w:rPr>
    </w:lvl>
    <w:lvl w:ilvl="1">
      <w:start w:val="0"/>
      <w:numFmt w:val="bullet"/>
      <w:lvlText w:val="•"/>
      <w:lvlJc w:val="left"/>
      <w:pPr>
        <w:ind w:left="1344" w:hanging="632"/>
      </w:pPr>
      <w:rPr>
        <w:rFonts w:hint="default"/>
      </w:rPr>
    </w:lvl>
    <w:lvl w:ilvl="2">
      <w:start w:val="0"/>
      <w:numFmt w:val="bullet"/>
      <w:lvlText w:val="•"/>
      <w:lvlJc w:val="left"/>
      <w:pPr>
        <w:ind w:left="1929" w:hanging="632"/>
      </w:pPr>
      <w:rPr>
        <w:rFonts w:hint="default"/>
      </w:rPr>
    </w:lvl>
    <w:lvl w:ilvl="3">
      <w:start w:val="0"/>
      <w:numFmt w:val="bullet"/>
      <w:lvlText w:val="•"/>
      <w:lvlJc w:val="left"/>
      <w:pPr>
        <w:ind w:left="2514" w:hanging="632"/>
      </w:pPr>
      <w:rPr>
        <w:rFonts w:hint="default"/>
      </w:rPr>
    </w:lvl>
    <w:lvl w:ilvl="4">
      <w:start w:val="0"/>
      <w:numFmt w:val="bullet"/>
      <w:lvlText w:val="•"/>
      <w:lvlJc w:val="left"/>
      <w:pPr>
        <w:ind w:left="3099" w:hanging="632"/>
      </w:pPr>
      <w:rPr>
        <w:rFonts w:hint="default"/>
      </w:rPr>
    </w:lvl>
    <w:lvl w:ilvl="5">
      <w:start w:val="0"/>
      <w:numFmt w:val="bullet"/>
      <w:lvlText w:val="•"/>
      <w:lvlJc w:val="left"/>
      <w:pPr>
        <w:ind w:left="3684" w:hanging="632"/>
      </w:pPr>
      <w:rPr>
        <w:rFonts w:hint="default"/>
      </w:rPr>
    </w:lvl>
    <w:lvl w:ilvl="6">
      <w:start w:val="0"/>
      <w:numFmt w:val="bullet"/>
      <w:lvlText w:val="•"/>
      <w:lvlJc w:val="left"/>
      <w:pPr>
        <w:ind w:left="4269" w:hanging="632"/>
      </w:pPr>
      <w:rPr>
        <w:rFonts w:hint="default"/>
      </w:rPr>
    </w:lvl>
    <w:lvl w:ilvl="7">
      <w:start w:val="0"/>
      <w:numFmt w:val="bullet"/>
      <w:lvlText w:val="•"/>
      <w:lvlJc w:val="left"/>
      <w:pPr>
        <w:ind w:left="4854" w:hanging="632"/>
      </w:pPr>
      <w:rPr>
        <w:rFonts w:hint="default"/>
      </w:rPr>
    </w:lvl>
    <w:lvl w:ilvl="8">
      <w:start w:val="0"/>
      <w:numFmt w:val="bullet"/>
      <w:lvlText w:val="•"/>
      <w:lvlJc w:val="left"/>
      <w:pPr>
        <w:ind w:left="5439" w:hanging="632"/>
      </w:pPr>
      <w:rPr>
        <w:rFonts w:hint="default"/>
      </w:rPr>
    </w:lvl>
  </w:abstractNum>
  <w:abstractNum w:abstractNumId="6">
    <w:multiLevelType w:val="hybridMultilevel"/>
    <w:lvl w:ilvl="0">
      <w:start w:val="1"/>
      <w:numFmt w:val="decimal"/>
      <w:lvlText w:val="（%1）"/>
      <w:lvlJc w:val="left"/>
      <w:pPr>
        <w:ind w:left="759" w:hanging="632"/>
        <w:jc w:val="left"/>
      </w:pPr>
      <w:rPr>
        <w:rFonts w:hint="default" w:ascii="宋体" w:hAnsi="宋体" w:eastAsia="宋体" w:cs="宋体"/>
        <w:w w:val="100"/>
        <w:sz w:val="21"/>
        <w:szCs w:val="21"/>
      </w:rPr>
    </w:lvl>
    <w:lvl w:ilvl="1">
      <w:start w:val="0"/>
      <w:numFmt w:val="bullet"/>
      <w:lvlText w:val="•"/>
      <w:lvlJc w:val="left"/>
      <w:pPr>
        <w:ind w:left="1344" w:hanging="632"/>
      </w:pPr>
      <w:rPr>
        <w:rFonts w:hint="default"/>
      </w:rPr>
    </w:lvl>
    <w:lvl w:ilvl="2">
      <w:start w:val="0"/>
      <w:numFmt w:val="bullet"/>
      <w:lvlText w:val="•"/>
      <w:lvlJc w:val="left"/>
      <w:pPr>
        <w:ind w:left="1929" w:hanging="632"/>
      </w:pPr>
      <w:rPr>
        <w:rFonts w:hint="default"/>
      </w:rPr>
    </w:lvl>
    <w:lvl w:ilvl="3">
      <w:start w:val="0"/>
      <w:numFmt w:val="bullet"/>
      <w:lvlText w:val="•"/>
      <w:lvlJc w:val="left"/>
      <w:pPr>
        <w:ind w:left="2514" w:hanging="632"/>
      </w:pPr>
      <w:rPr>
        <w:rFonts w:hint="default"/>
      </w:rPr>
    </w:lvl>
    <w:lvl w:ilvl="4">
      <w:start w:val="0"/>
      <w:numFmt w:val="bullet"/>
      <w:lvlText w:val="•"/>
      <w:lvlJc w:val="left"/>
      <w:pPr>
        <w:ind w:left="3099" w:hanging="632"/>
      </w:pPr>
      <w:rPr>
        <w:rFonts w:hint="default"/>
      </w:rPr>
    </w:lvl>
    <w:lvl w:ilvl="5">
      <w:start w:val="0"/>
      <w:numFmt w:val="bullet"/>
      <w:lvlText w:val="•"/>
      <w:lvlJc w:val="left"/>
      <w:pPr>
        <w:ind w:left="3684" w:hanging="632"/>
      </w:pPr>
      <w:rPr>
        <w:rFonts w:hint="default"/>
      </w:rPr>
    </w:lvl>
    <w:lvl w:ilvl="6">
      <w:start w:val="0"/>
      <w:numFmt w:val="bullet"/>
      <w:lvlText w:val="•"/>
      <w:lvlJc w:val="left"/>
      <w:pPr>
        <w:ind w:left="4269" w:hanging="632"/>
      </w:pPr>
      <w:rPr>
        <w:rFonts w:hint="default"/>
      </w:rPr>
    </w:lvl>
    <w:lvl w:ilvl="7">
      <w:start w:val="0"/>
      <w:numFmt w:val="bullet"/>
      <w:lvlText w:val="•"/>
      <w:lvlJc w:val="left"/>
      <w:pPr>
        <w:ind w:left="4854" w:hanging="632"/>
      </w:pPr>
      <w:rPr>
        <w:rFonts w:hint="default"/>
      </w:rPr>
    </w:lvl>
    <w:lvl w:ilvl="8">
      <w:start w:val="0"/>
      <w:numFmt w:val="bullet"/>
      <w:lvlText w:val="•"/>
      <w:lvlJc w:val="left"/>
      <w:pPr>
        <w:ind w:left="5439" w:hanging="632"/>
      </w:pPr>
      <w:rPr>
        <w:rFonts w:hint="default"/>
      </w:rPr>
    </w:lvl>
  </w:abstractNum>
  <w:abstractNum w:abstractNumId="5">
    <w:multiLevelType w:val="hybridMultilevel"/>
    <w:lvl w:ilvl="0">
      <w:start w:val="1"/>
      <w:numFmt w:val="decimal"/>
      <w:lvlText w:val="（%1）"/>
      <w:lvlJc w:val="left"/>
      <w:pPr>
        <w:ind w:left="128" w:hanging="632"/>
        <w:jc w:val="left"/>
      </w:pPr>
      <w:rPr>
        <w:rFonts w:hint="default" w:ascii="宋体" w:hAnsi="宋体" w:eastAsia="宋体" w:cs="宋体"/>
        <w:w w:val="100"/>
        <w:sz w:val="21"/>
        <w:szCs w:val="21"/>
      </w:rPr>
    </w:lvl>
    <w:lvl w:ilvl="1">
      <w:start w:val="0"/>
      <w:numFmt w:val="bullet"/>
      <w:lvlText w:val="•"/>
      <w:lvlJc w:val="left"/>
      <w:pPr>
        <w:ind w:left="768" w:hanging="632"/>
      </w:pPr>
      <w:rPr>
        <w:rFonts w:hint="default"/>
      </w:rPr>
    </w:lvl>
    <w:lvl w:ilvl="2">
      <w:start w:val="0"/>
      <w:numFmt w:val="bullet"/>
      <w:lvlText w:val="•"/>
      <w:lvlJc w:val="left"/>
      <w:pPr>
        <w:ind w:left="1417" w:hanging="632"/>
      </w:pPr>
      <w:rPr>
        <w:rFonts w:hint="default"/>
      </w:rPr>
    </w:lvl>
    <w:lvl w:ilvl="3">
      <w:start w:val="0"/>
      <w:numFmt w:val="bullet"/>
      <w:lvlText w:val="•"/>
      <w:lvlJc w:val="left"/>
      <w:pPr>
        <w:ind w:left="2066" w:hanging="632"/>
      </w:pPr>
      <w:rPr>
        <w:rFonts w:hint="default"/>
      </w:rPr>
    </w:lvl>
    <w:lvl w:ilvl="4">
      <w:start w:val="0"/>
      <w:numFmt w:val="bullet"/>
      <w:lvlText w:val="•"/>
      <w:lvlJc w:val="left"/>
      <w:pPr>
        <w:ind w:left="2715" w:hanging="632"/>
      </w:pPr>
      <w:rPr>
        <w:rFonts w:hint="default"/>
      </w:rPr>
    </w:lvl>
    <w:lvl w:ilvl="5">
      <w:start w:val="0"/>
      <w:numFmt w:val="bullet"/>
      <w:lvlText w:val="•"/>
      <w:lvlJc w:val="left"/>
      <w:pPr>
        <w:ind w:left="3364" w:hanging="632"/>
      </w:pPr>
      <w:rPr>
        <w:rFonts w:hint="default"/>
      </w:rPr>
    </w:lvl>
    <w:lvl w:ilvl="6">
      <w:start w:val="0"/>
      <w:numFmt w:val="bullet"/>
      <w:lvlText w:val="•"/>
      <w:lvlJc w:val="left"/>
      <w:pPr>
        <w:ind w:left="4013" w:hanging="632"/>
      </w:pPr>
      <w:rPr>
        <w:rFonts w:hint="default"/>
      </w:rPr>
    </w:lvl>
    <w:lvl w:ilvl="7">
      <w:start w:val="0"/>
      <w:numFmt w:val="bullet"/>
      <w:lvlText w:val="•"/>
      <w:lvlJc w:val="left"/>
      <w:pPr>
        <w:ind w:left="4662" w:hanging="632"/>
      </w:pPr>
      <w:rPr>
        <w:rFonts w:hint="default"/>
      </w:rPr>
    </w:lvl>
    <w:lvl w:ilvl="8">
      <w:start w:val="0"/>
      <w:numFmt w:val="bullet"/>
      <w:lvlText w:val="•"/>
      <w:lvlJc w:val="left"/>
      <w:pPr>
        <w:ind w:left="5311" w:hanging="632"/>
      </w:pPr>
      <w:rPr>
        <w:rFonts w:hint="default"/>
      </w:rPr>
    </w:lvl>
  </w:abstractNum>
  <w:abstractNum w:abstractNumId="4">
    <w:multiLevelType w:val="hybridMultilevel"/>
    <w:lvl w:ilvl="0">
      <w:start w:val="1"/>
      <w:numFmt w:val="decimal"/>
      <w:lvlText w:val="（%1）"/>
      <w:lvlJc w:val="left"/>
      <w:pPr>
        <w:ind w:left="730" w:hanging="632"/>
        <w:jc w:val="left"/>
      </w:pPr>
      <w:rPr>
        <w:rFonts w:hint="default" w:ascii="黑体" w:hAnsi="黑体" w:eastAsia="黑体" w:cs="黑体"/>
        <w:w w:val="100"/>
        <w:sz w:val="21"/>
        <w:szCs w:val="21"/>
      </w:rPr>
    </w:lvl>
    <w:lvl w:ilvl="1">
      <w:start w:val="0"/>
      <w:numFmt w:val="bullet"/>
      <w:lvlText w:val="•"/>
      <w:lvlJc w:val="left"/>
      <w:pPr>
        <w:ind w:left="1346" w:hanging="632"/>
      </w:pPr>
      <w:rPr>
        <w:rFonts w:hint="default"/>
      </w:rPr>
    </w:lvl>
    <w:lvl w:ilvl="2">
      <w:start w:val="0"/>
      <w:numFmt w:val="bullet"/>
      <w:lvlText w:val="•"/>
      <w:lvlJc w:val="left"/>
      <w:pPr>
        <w:ind w:left="1953" w:hanging="632"/>
      </w:pPr>
      <w:rPr>
        <w:rFonts w:hint="default"/>
      </w:rPr>
    </w:lvl>
    <w:lvl w:ilvl="3">
      <w:start w:val="0"/>
      <w:numFmt w:val="bullet"/>
      <w:lvlText w:val="•"/>
      <w:lvlJc w:val="left"/>
      <w:pPr>
        <w:ind w:left="2560" w:hanging="632"/>
      </w:pPr>
      <w:rPr>
        <w:rFonts w:hint="default"/>
      </w:rPr>
    </w:lvl>
    <w:lvl w:ilvl="4">
      <w:start w:val="0"/>
      <w:numFmt w:val="bullet"/>
      <w:lvlText w:val="•"/>
      <w:lvlJc w:val="left"/>
      <w:pPr>
        <w:ind w:left="3167" w:hanging="632"/>
      </w:pPr>
      <w:rPr>
        <w:rFonts w:hint="default"/>
      </w:rPr>
    </w:lvl>
    <w:lvl w:ilvl="5">
      <w:start w:val="0"/>
      <w:numFmt w:val="bullet"/>
      <w:lvlText w:val="•"/>
      <w:lvlJc w:val="left"/>
      <w:pPr>
        <w:ind w:left="3774" w:hanging="632"/>
      </w:pPr>
      <w:rPr>
        <w:rFonts w:hint="default"/>
      </w:rPr>
    </w:lvl>
    <w:lvl w:ilvl="6">
      <w:start w:val="0"/>
      <w:numFmt w:val="bullet"/>
      <w:lvlText w:val="•"/>
      <w:lvlJc w:val="left"/>
      <w:pPr>
        <w:ind w:left="4381" w:hanging="632"/>
      </w:pPr>
      <w:rPr>
        <w:rFonts w:hint="default"/>
      </w:rPr>
    </w:lvl>
    <w:lvl w:ilvl="7">
      <w:start w:val="0"/>
      <w:numFmt w:val="bullet"/>
      <w:lvlText w:val="•"/>
      <w:lvlJc w:val="left"/>
      <w:pPr>
        <w:ind w:left="4988" w:hanging="632"/>
      </w:pPr>
      <w:rPr>
        <w:rFonts w:hint="default"/>
      </w:rPr>
    </w:lvl>
    <w:lvl w:ilvl="8">
      <w:start w:val="0"/>
      <w:numFmt w:val="bullet"/>
      <w:lvlText w:val="•"/>
      <w:lvlJc w:val="left"/>
      <w:pPr>
        <w:ind w:left="5595" w:hanging="632"/>
      </w:pPr>
      <w:rPr>
        <w:rFonts w:hint="default"/>
      </w:rPr>
    </w:lvl>
  </w:abstractNum>
  <w:abstractNum w:abstractNumId="3">
    <w:multiLevelType w:val="hybridMultilevel"/>
    <w:lvl w:ilvl="0">
      <w:start w:val="1"/>
      <w:numFmt w:val="decimal"/>
      <w:lvlText w:val="（%1）"/>
      <w:lvlJc w:val="left"/>
      <w:pPr>
        <w:ind w:left="727" w:hanging="632"/>
        <w:jc w:val="left"/>
      </w:pPr>
      <w:rPr>
        <w:rFonts w:hint="default" w:ascii="黑体" w:hAnsi="黑体" w:eastAsia="黑体" w:cs="黑体"/>
        <w:w w:val="100"/>
        <w:sz w:val="21"/>
        <w:szCs w:val="21"/>
      </w:rPr>
    </w:lvl>
    <w:lvl w:ilvl="1">
      <w:start w:val="0"/>
      <w:numFmt w:val="bullet"/>
      <w:lvlText w:val="•"/>
      <w:lvlJc w:val="left"/>
      <w:pPr>
        <w:ind w:left="1328" w:hanging="632"/>
      </w:pPr>
      <w:rPr>
        <w:rFonts w:hint="default"/>
      </w:rPr>
    </w:lvl>
    <w:lvl w:ilvl="2">
      <w:start w:val="0"/>
      <w:numFmt w:val="bullet"/>
      <w:lvlText w:val="•"/>
      <w:lvlJc w:val="left"/>
      <w:pPr>
        <w:ind w:left="1937" w:hanging="632"/>
      </w:pPr>
      <w:rPr>
        <w:rFonts w:hint="default"/>
      </w:rPr>
    </w:lvl>
    <w:lvl w:ilvl="3">
      <w:start w:val="0"/>
      <w:numFmt w:val="bullet"/>
      <w:lvlText w:val="•"/>
      <w:lvlJc w:val="left"/>
      <w:pPr>
        <w:ind w:left="2546" w:hanging="632"/>
      </w:pPr>
      <w:rPr>
        <w:rFonts w:hint="default"/>
      </w:rPr>
    </w:lvl>
    <w:lvl w:ilvl="4">
      <w:start w:val="0"/>
      <w:numFmt w:val="bullet"/>
      <w:lvlText w:val="•"/>
      <w:lvlJc w:val="left"/>
      <w:pPr>
        <w:ind w:left="3155" w:hanging="632"/>
      </w:pPr>
      <w:rPr>
        <w:rFonts w:hint="default"/>
      </w:rPr>
    </w:lvl>
    <w:lvl w:ilvl="5">
      <w:start w:val="0"/>
      <w:numFmt w:val="bullet"/>
      <w:lvlText w:val="•"/>
      <w:lvlJc w:val="left"/>
      <w:pPr>
        <w:ind w:left="3764" w:hanging="632"/>
      </w:pPr>
      <w:rPr>
        <w:rFonts w:hint="default"/>
      </w:rPr>
    </w:lvl>
    <w:lvl w:ilvl="6">
      <w:start w:val="0"/>
      <w:numFmt w:val="bullet"/>
      <w:lvlText w:val="•"/>
      <w:lvlJc w:val="left"/>
      <w:pPr>
        <w:ind w:left="4373" w:hanging="632"/>
      </w:pPr>
      <w:rPr>
        <w:rFonts w:hint="default"/>
      </w:rPr>
    </w:lvl>
    <w:lvl w:ilvl="7">
      <w:start w:val="0"/>
      <w:numFmt w:val="bullet"/>
      <w:lvlText w:val="•"/>
      <w:lvlJc w:val="left"/>
      <w:pPr>
        <w:ind w:left="4982" w:hanging="632"/>
      </w:pPr>
      <w:rPr>
        <w:rFonts w:hint="default"/>
      </w:rPr>
    </w:lvl>
    <w:lvl w:ilvl="8">
      <w:start w:val="0"/>
      <w:numFmt w:val="bullet"/>
      <w:lvlText w:val="•"/>
      <w:lvlJc w:val="left"/>
      <w:pPr>
        <w:ind w:left="5591" w:hanging="632"/>
      </w:pPr>
      <w:rPr>
        <w:rFonts w:hint="default"/>
      </w:rPr>
    </w:lvl>
  </w:abstractNum>
  <w:abstractNum w:abstractNumId="2">
    <w:multiLevelType w:val="hybridMultilevel"/>
    <w:lvl w:ilvl="0">
      <w:start w:val="1"/>
      <w:numFmt w:val="decimal"/>
      <w:lvlText w:val="（%1）"/>
      <w:lvlJc w:val="left"/>
      <w:pPr>
        <w:ind w:left="761" w:hanging="615"/>
        <w:jc w:val="left"/>
      </w:pPr>
      <w:rPr>
        <w:rFonts w:hint="default" w:ascii="宋体" w:hAnsi="宋体" w:eastAsia="宋体" w:cs="宋体"/>
        <w:spacing w:val="-3"/>
        <w:w w:val="100"/>
        <w:sz w:val="21"/>
        <w:szCs w:val="21"/>
      </w:rPr>
    </w:lvl>
    <w:lvl w:ilvl="1">
      <w:start w:val="0"/>
      <w:numFmt w:val="bullet"/>
      <w:lvlText w:val="•"/>
      <w:lvlJc w:val="left"/>
      <w:pPr>
        <w:ind w:left="1364" w:hanging="615"/>
      </w:pPr>
      <w:rPr>
        <w:rFonts w:hint="default"/>
      </w:rPr>
    </w:lvl>
    <w:lvl w:ilvl="2">
      <w:start w:val="0"/>
      <w:numFmt w:val="bullet"/>
      <w:lvlText w:val="•"/>
      <w:lvlJc w:val="left"/>
      <w:pPr>
        <w:ind w:left="1969" w:hanging="615"/>
      </w:pPr>
      <w:rPr>
        <w:rFonts w:hint="default"/>
      </w:rPr>
    </w:lvl>
    <w:lvl w:ilvl="3">
      <w:start w:val="0"/>
      <w:numFmt w:val="bullet"/>
      <w:lvlText w:val="•"/>
      <w:lvlJc w:val="left"/>
      <w:pPr>
        <w:ind w:left="2574" w:hanging="615"/>
      </w:pPr>
      <w:rPr>
        <w:rFonts w:hint="default"/>
      </w:rPr>
    </w:lvl>
    <w:lvl w:ilvl="4">
      <w:start w:val="0"/>
      <w:numFmt w:val="bullet"/>
      <w:lvlText w:val="•"/>
      <w:lvlJc w:val="left"/>
      <w:pPr>
        <w:ind w:left="3179" w:hanging="615"/>
      </w:pPr>
      <w:rPr>
        <w:rFonts w:hint="default"/>
      </w:rPr>
    </w:lvl>
    <w:lvl w:ilvl="5">
      <w:start w:val="0"/>
      <w:numFmt w:val="bullet"/>
      <w:lvlText w:val="•"/>
      <w:lvlJc w:val="left"/>
      <w:pPr>
        <w:ind w:left="3784" w:hanging="615"/>
      </w:pPr>
      <w:rPr>
        <w:rFonts w:hint="default"/>
      </w:rPr>
    </w:lvl>
    <w:lvl w:ilvl="6">
      <w:start w:val="0"/>
      <w:numFmt w:val="bullet"/>
      <w:lvlText w:val="•"/>
      <w:lvlJc w:val="left"/>
      <w:pPr>
        <w:ind w:left="4389" w:hanging="615"/>
      </w:pPr>
      <w:rPr>
        <w:rFonts w:hint="default"/>
      </w:rPr>
    </w:lvl>
    <w:lvl w:ilvl="7">
      <w:start w:val="0"/>
      <w:numFmt w:val="bullet"/>
      <w:lvlText w:val="•"/>
      <w:lvlJc w:val="left"/>
      <w:pPr>
        <w:ind w:left="4994" w:hanging="615"/>
      </w:pPr>
      <w:rPr>
        <w:rFonts w:hint="default"/>
      </w:rPr>
    </w:lvl>
    <w:lvl w:ilvl="8">
      <w:start w:val="0"/>
      <w:numFmt w:val="bullet"/>
      <w:lvlText w:val="•"/>
      <w:lvlJc w:val="left"/>
      <w:pPr>
        <w:ind w:left="5599" w:hanging="615"/>
      </w:pPr>
      <w:rPr>
        <w:rFonts w:hint="default"/>
      </w:rPr>
    </w:lvl>
  </w:abstractNum>
  <w:abstractNum w:abstractNumId="1">
    <w:multiLevelType w:val="hybridMultilevel"/>
    <w:lvl w:ilvl="0">
      <w:start w:val="1"/>
      <w:numFmt w:val="decimal"/>
      <w:lvlText w:val="（%1）"/>
      <w:lvlJc w:val="left"/>
      <w:pPr>
        <w:ind w:left="744" w:hanging="632"/>
        <w:jc w:val="left"/>
      </w:pPr>
      <w:rPr>
        <w:rFonts w:hint="default" w:ascii="宋体" w:hAnsi="宋体" w:eastAsia="宋体" w:cs="宋体"/>
        <w:w w:val="100"/>
        <w:sz w:val="21"/>
        <w:szCs w:val="21"/>
      </w:rPr>
    </w:lvl>
    <w:lvl w:ilvl="1">
      <w:start w:val="0"/>
      <w:numFmt w:val="bullet"/>
      <w:lvlText w:val="•"/>
      <w:lvlJc w:val="left"/>
      <w:pPr>
        <w:ind w:left="1325" w:hanging="632"/>
      </w:pPr>
      <w:rPr>
        <w:rFonts w:hint="default"/>
      </w:rPr>
    </w:lvl>
    <w:lvl w:ilvl="2">
      <w:start w:val="0"/>
      <w:numFmt w:val="bullet"/>
      <w:lvlText w:val="•"/>
      <w:lvlJc w:val="left"/>
      <w:pPr>
        <w:ind w:left="1910" w:hanging="632"/>
      </w:pPr>
      <w:rPr>
        <w:rFonts w:hint="default"/>
      </w:rPr>
    </w:lvl>
    <w:lvl w:ilvl="3">
      <w:start w:val="0"/>
      <w:numFmt w:val="bullet"/>
      <w:lvlText w:val="•"/>
      <w:lvlJc w:val="left"/>
      <w:pPr>
        <w:ind w:left="2495" w:hanging="632"/>
      </w:pPr>
      <w:rPr>
        <w:rFonts w:hint="default"/>
      </w:rPr>
    </w:lvl>
    <w:lvl w:ilvl="4">
      <w:start w:val="0"/>
      <w:numFmt w:val="bullet"/>
      <w:lvlText w:val="•"/>
      <w:lvlJc w:val="left"/>
      <w:pPr>
        <w:ind w:left="3081" w:hanging="632"/>
      </w:pPr>
      <w:rPr>
        <w:rFonts w:hint="default"/>
      </w:rPr>
    </w:lvl>
    <w:lvl w:ilvl="5">
      <w:start w:val="0"/>
      <w:numFmt w:val="bullet"/>
      <w:lvlText w:val="•"/>
      <w:lvlJc w:val="left"/>
      <w:pPr>
        <w:ind w:left="3666" w:hanging="632"/>
      </w:pPr>
      <w:rPr>
        <w:rFonts w:hint="default"/>
      </w:rPr>
    </w:lvl>
    <w:lvl w:ilvl="6">
      <w:start w:val="0"/>
      <w:numFmt w:val="bullet"/>
      <w:lvlText w:val="•"/>
      <w:lvlJc w:val="left"/>
      <w:pPr>
        <w:ind w:left="4251" w:hanging="632"/>
      </w:pPr>
      <w:rPr>
        <w:rFonts w:hint="default"/>
      </w:rPr>
    </w:lvl>
    <w:lvl w:ilvl="7">
      <w:start w:val="0"/>
      <w:numFmt w:val="bullet"/>
      <w:lvlText w:val="•"/>
      <w:lvlJc w:val="left"/>
      <w:pPr>
        <w:ind w:left="4837" w:hanging="632"/>
      </w:pPr>
      <w:rPr>
        <w:rFonts w:hint="default"/>
      </w:rPr>
    </w:lvl>
    <w:lvl w:ilvl="8">
      <w:start w:val="0"/>
      <w:numFmt w:val="bullet"/>
      <w:lvlText w:val="•"/>
      <w:lvlJc w:val="left"/>
      <w:pPr>
        <w:ind w:left="5422" w:hanging="632"/>
      </w:pPr>
      <w:rPr>
        <w:rFonts w:hint="default"/>
      </w:rPr>
    </w:lvl>
  </w:abstractNum>
  <w:abstractNum w:abstractNumId="0">
    <w:multiLevelType w:val="hybridMultilevel"/>
    <w:lvl w:ilvl="0">
      <w:start w:val="0"/>
      <w:numFmt w:val="bullet"/>
      <w:lvlText w:val=""/>
      <w:lvlJc w:val="left"/>
      <w:pPr>
        <w:ind w:left="1064" w:hanging="399"/>
      </w:pPr>
      <w:rPr>
        <w:rFonts w:hint="default" w:ascii="Wingdings" w:hAnsi="Wingdings" w:eastAsia="Wingdings" w:cs="Wingdings"/>
        <w:b/>
        <w:bCs/>
        <w:w w:val="100"/>
        <w:sz w:val="21"/>
        <w:szCs w:val="21"/>
      </w:rPr>
    </w:lvl>
    <w:lvl w:ilvl="1">
      <w:start w:val="0"/>
      <w:numFmt w:val="bullet"/>
      <w:lvlText w:val="•"/>
      <w:lvlJc w:val="left"/>
      <w:pPr>
        <w:ind w:left="1980" w:hanging="399"/>
      </w:pPr>
      <w:rPr>
        <w:rFonts w:hint="default"/>
      </w:rPr>
    </w:lvl>
    <w:lvl w:ilvl="2">
      <w:start w:val="0"/>
      <w:numFmt w:val="bullet"/>
      <w:lvlText w:val="•"/>
      <w:lvlJc w:val="left"/>
      <w:pPr>
        <w:ind w:left="2901" w:hanging="399"/>
      </w:pPr>
      <w:rPr>
        <w:rFonts w:hint="default"/>
      </w:rPr>
    </w:lvl>
    <w:lvl w:ilvl="3">
      <w:start w:val="0"/>
      <w:numFmt w:val="bullet"/>
      <w:lvlText w:val="•"/>
      <w:lvlJc w:val="left"/>
      <w:pPr>
        <w:ind w:left="3821" w:hanging="399"/>
      </w:pPr>
      <w:rPr>
        <w:rFonts w:hint="default"/>
      </w:rPr>
    </w:lvl>
    <w:lvl w:ilvl="4">
      <w:start w:val="0"/>
      <w:numFmt w:val="bullet"/>
      <w:lvlText w:val="•"/>
      <w:lvlJc w:val="left"/>
      <w:pPr>
        <w:ind w:left="4742" w:hanging="399"/>
      </w:pPr>
      <w:rPr>
        <w:rFonts w:hint="default"/>
      </w:rPr>
    </w:lvl>
    <w:lvl w:ilvl="5">
      <w:start w:val="0"/>
      <w:numFmt w:val="bullet"/>
      <w:lvlText w:val="•"/>
      <w:lvlJc w:val="left"/>
      <w:pPr>
        <w:ind w:left="5663" w:hanging="399"/>
      </w:pPr>
      <w:rPr>
        <w:rFonts w:hint="default"/>
      </w:rPr>
    </w:lvl>
    <w:lvl w:ilvl="6">
      <w:start w:val="0"/>
      <w:numFmt w:val="bullet"/>
      <w:lvlText w:val="•"/>
      <w:lvlJc w:val="left"/>
      <w:pPr>
        <w:ind w:left="6583" w:hanging="399"/>
      </w:pPr>
      <w:rPr>
        <w:rFonts w:hint="default"/>
      </w:rPr>
    </w:lvl>
    <w:lvl w:ilvl="7">
      <w:start w:val="0"/>
      <w:numFmt w:val="bullet"/>
      <w:lvlText w:val="•"/>
      <w:lvlJc w:val="left"/>
      <w:pPr>
        <w:ind w:left="7504" w:hanging="399"/>
      </w:pPr>
      <w:rPr>
        <w:rFonts w:hint="default"/>
      </w:rPr>
    </w:lvl>
    <w:lvl w:ilvl="8">
      <w:start w:val="0"/>
      <w:numFmt w:val="bullet"/>
      <w:lvlText w:val="•"/>
      <w:lvlJc w:val="left"/>
      <w:pPr>
        <w:ind w:left="8425" w:hanging="399"/>
      </w:pPr>
      <w:rPr>
        <w:rFonts w:hint="default"/>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9"/>
      <w:ind w:left="1064" w:hanging="39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header" Target="header1.xml"/><Relationship Id="rId26" Type="http://schemas.openxmlformats.org/officeDocument/2006/relationships/footer" Target="footer2.xm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2-2长城爱心宝贝少儿终身重大疾病保险条款</dc:title>
  <dcterms:created xsi:type="dcterms:W3CDTF">2018-10-20T01:06:31Z</dcterms:created>
  <dcterms:modified xsi:type="dcterms:W3CDTF">2018-10-20T01:06:31Z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Office Word 2007</vt:lpwstr>
  </property>
  <property fmtid="{D5CDD505-2E9C-101B-9397-08002B2CF9AE}" pid="4" name="LastSaved">
    <vt:filetime>2018-10-19T00:00:00Z</vt:filetime>
  </property>
</Properties>
</file>