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1" w:lineRule="exact" w:before="0"/>
        <w:ind w:left="6898"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5718047</wp:posOffset>
            </wp:positionH>
            <wp:positionV relativeFrom="paragraph">
              <wp:posOffset>247141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30"/>
        <w:ind w:left="7091" w:right="310" w:firstLine="0"/>
        <w:jc w:val="center"/>
        <w:rPr>
          <w:sz w:val="20"/>
        </w:rPr>
      </w:pPr>
      <w:r>
        <w:rPr>
          <w:w w:val="95"/>
          <w:sz w:val="20"/>
        </w:rPr>
        <w:t>中新大东方[2014] </w:t>
      </w:r>
      <w:r>
        <w:rPr>
          <w:sz w:val="20"/>
        </w:rPr>
        <w:t>疾病保险 021</w:t>
      </w:r>
    </w:p>
    <w:p>
      <w:pPr>
        <w:pStyle w:val="BodyText"/>
        <w:spacing w:before="0"/>
        <w:ind w:left="0"/>
        <w:rPr>
          <w:sz w:val="20"/>
        </w:rPr>
      </w:pPr>
    </w:p>
    <w:p>
      <w:pPr>
        <w:pStyle w:val="BodyText"/>
        <w:spacing w:before="0"/>
        <w:ind w:left="0"/>
        <w:rPr>
          <w:sz w:val="20"/>
        </w:rPr>
      </w:pPr>
    </w:p>
    <w:p>
      <w:pPr>
        <w:spacing w:before="86"/>
        <w:ind w:left="1864" w:right="0" w:firstLine="0"/>
        <w:jc w:val="left"/>
        <w:rPr>
          <w:rFonts w:ascii="Microsoft JhengHei" w:eastAsia="Microsoft JhengHei" w:hint="eastAsia"/>
          <w:b/>
          <w:sz w:val="30"/>
        </w:rPr>
      </w:pPr>
      <w:r>
        <w:rPr>
          <w:rFonts w:ascii="Microsoft JhengHei" w:eastAsia="Microsoft JhengHei" w:hint="eastAsia"/>
          <w:b/>
          <w:sz w:val="30"/>
        </w:rPr>
        <w:t>中新大东方重疾无忧重大疾病保险条款</w:t>
      </w:r>
    </w:p>
    <w:p>
      <w:pPr>
        <w:pStyle w:val="BodyText"/>
        <w:spacing w:before="202"/>
        <w:ind w:left="1960"/>
      </w:pPr>
      <w:r>
        <w:rPr/>
        <w:t>感谢您选择了本公司 </w:t>
      </w:r>
      <w:r>
        <w:rPr>
          <w:rFonts w:ascii="Microsoft JhengHei" w:eastAsia="Microsoft JhengHei" w:hint="eastAsia"/>
          <w:b/>
        </w:rPr>
        <w:t>-  </w:t>
      </w:r>
      <w:r>
        <w:rPr/>
        <w:t>中新大东方人寿保险有限公司</w:t>
      </w:r>
    </w:p>
    <w:p>
      <w:pPr>
        <w:pStyle w:val="BodyText"/>
        <w:spacing w:before="10"/>
        <w:ind w:left="0"/>
        <w:rPr>
          <w:sz w:val="13"/>
        </w:rPr>
      </w:pPr>
    </w:p>
    <w:p>
      <w:pPr>
        <w:pStyle w:val="Heading1"/>
        <w:spacing w:line="240" w:lineRule="auto"/>
        <w:ind w:left="3501"/>
        <w:jc w:val="left"/>
      </w:pPr>
      <w:r>
        <w:rPr/>
        <w:t>阅  读  指  引</w:t>
      </w:r>
    </w:p>
    <w:p>
      <w:pPr>
        <w:pStyle w:val="BodyText"/>
        <w:spacing w:line="408" w:lineRule="auto" w:before="203"/>
        <w:ind w:right="497" w:firstLine="412"/>
      </w:pPr>
      <w:r>
        <w:rPr/>
        <w:t>本阅读指引旨在提示您本条款中的重要事项，对“中新大东方重疾无忧重大疾病保险合</w:t>
      </w:r>
      <w:r>
        <w:rPr>
          <w:w w:val="95"/>
        </w:rPr>
        <w:t>同”内容的解释以条款为准。</w:t>
      </w:r>
    </w:p>
    <w:p>
      <w:pPr>
        <w:pStyle w:val="Heading2"/>
        <w:spacing w:line="345" w:lineRule="exact"/>
        <w:ind w:left="429" w:firstLine="0"/>
      </w:pPr>
      <w:r>
        <w:rPr>
          <w:w w:val="95"/>
        </w:rPr>
        <w:t>您拥有的重要权益</w:t>
      </w:r>
    </w:p>
    <w:p>
      <w:pPr>
        <w:pStyle w:val="BodyText"/>
        <w:spacing w:before="5"/>
        <w:ind w:left="0"/>
        <w:rPr>
          <w:rFonts w:ascii="Microsoft JhengHei"/>
          <w:b/>
          <w:sz w:val="14"/>
        </w:rPr>
      </w:pPr>
    </w:p>
    <w:p>
      <w:pPr>
        <w:pStyle w:val="ListParagraph"/>
        <w:numPr>
          <w:ilvl w:val="0"/>
          <w:numId w:val="1"/>
        </w:numPr>
        <w:tabs>
          <w:tab w:pos="849" w:val="left" w:leader="none"/>
          <w:tab w:pos="850" w:val="left" w:leader="none"/>
        </w:tabs>
        <w:spacing w:line="240" w:lineRule="auto" w:before="0" w:after="0"/>
        <w:ind w:left="429" w:right="0" w:firstLine="0"/>
        <w:jc w:val="left"/>
        <w:rPr>
          <w:sz w:val="21"/>
        </w:rPr>
      </w:pPr>
      <w:r>
        <w:rPr>
          <w:w w:val="95"/>
          <w:sz w:val="21"/>
        </w:rPr>
        <w:t>被保险人享有本公司提供的保障（4.4）</w:t>
      </w:r>
    </w:p>
    <w:p>
      <w:pPr>
        <w:pStyle w:val="BodyText"/>
        <w:spacing w:before="6"/>
        <w:ind w:left="0"/>
        <w:rPr>
          <w:sz w:val="25"/>
        </w:rPr>
      </w:pPr>
    </w:p>
    <w:p>
      <w:pPr>
        <w:pStyle w:val="ListParagraph"/>
        <w:numPr>
          <w:ilvl w:val="0"/>
          <w:numId w:val="1"/>
        </w:numPr>
        <w:tabs>
          <w:tab w:pos="849" w:val="left" w:leader="none"/>
          <w:tab w:pos="850" w:val="left" w:leader="none"/>
        </w:tabs>
        <w:spacing w:line="396" w:lineRule="auto" w:before="1" w:after="0"/>
        <w:ind w:left="429" w:right="5951" w:firstLine="0"/>
        <w:jc w:val="left"/>
        <w:rPr>
          <w:rFonts w:ascii="Microsoft JhengHei" w:eastAsia="Microsoft JhengHei" w:hint="eastAsia"/>
          <w:b/>
          <w:sz w:val="21"/>
        </w:rPr>
      </w:pPr>
      <w:r>
        <w:rPr>
          <w:sz w:val="21"/>
        </w:rPr>
        <w:t>您有退保的权利（9.4） </w:t>
      </w:r>
      <w:r>
        <w:rPr>
          <w:rFonts w:ascii="Microsoft JhengHei" w:eastAsia="Microsoft JhengHei" w:hint="eastAsia"/>
          <w:b/>
          <w:w w:val="95"/>
          <w:sz w:val="21"/>
        </w:rPr>
        <w:t>您应当特别注意的事项</w:t>
      </w:r>
    </w:p>
    <w:p>
      <w:pPr>
        <w:pStyle w:val="ListParagraph"/>
        <w:numPr>
          <w:ilvl w:val="0"/>
          <w:numId w:val="1"/>
        </w:numPr>
        <w:tabs>
          <w:tab w:pos="849" w:val="left" w:leader="none"/>
          <w:tab w:pos="850" w:val="left" w:leader="none"/>
        </w:tabs>
        <w:spacing w:line="240" w:lineRule="auto" w:before="67" w:after="0"/>
        <w:ind w:left="429" w:right="0" w:firstLine="0"/>
        <w:jc w:val="left"/>
        <w:rPr>
          <w:sz w:val="21"/>
        </w:rPr>
      </w:pPr>
      <w:r>
        <w:rPr>
          <w:w w:val="95"/>
          <w:sz w:val="21"/>
        </w:rPr>
        <w:t>在某些情况下,本公司不承担保险责任（4.5）</w:t>
      </w:r>
    </w:p>
    <w:p>
      <w:pPr>
        <w:pStyle w:val="BodyText"/>
        <w:spacing w:before="7"/>
        <w:ind w:left="0"/>
        <w:rPr>
          <w:sz w:val="25"/>
        </w:rPr>
      </w:pPr>
    </w:p>
    <w:p>
      <w:pPr>
        <w:pStyle w:val="ListParagraph"/>
        <w:numPr>
          <w:ilvl w:val="0"/>
          <w:numId w:val="1"/>
        </w:numPr>
        <w:tabs>
          <w:tab w:pos="849" w:val="left" w:leader="none"/>
          <w:tab w:pos="850" w:val="left" w:leader="none"/>
        </w:tabs>
        <w:spacing w:line="240" w:lineRule="auto" w:before="0" w:after="0"/>
        <w:ind w:left="429" w:right="0" w:firstLine="0"/>
        <w:jc w:val="left"/>
        <w:rPr>
          <w:sz w:val="21"/>
        </w:rPr>
      </w:pPr>
      <w:r>
        <w:rPr>
          <w:w w:val="95"/>
          <w:sz w:val="21"/>
        </w:rPr>
        <w:t>在保险期间内本公司可能会调整保险费率（5.2）</w:t>
      </w:r>
    </w:p>
    <w:p>
      <w:pPr>
        <w:pStyle w:val="BodyText"/>
        <w:spacing w:before="7"/>
        <w:ind w:left="0"/>
        <w:rPr>
          <w:sz w:val="25"/>
        </w:rPr>
      </w:pPr>
    </w:p>
    <w:p>
      <w:pPr>
        <w:pStyle w:val="ListParagraph"/>
        <w:numPr>
          <w:ilvl w:val="0"/>
          <w:numId w:val="1"/>
        </w:numPr>
        <w:tabs>
          <w:tab w:pos="849" w:val="left" w:leader="none"/>
          <w:tab w:pos="850" w:val="left" w:leader="none"/>
        </w:tabs>
        <w:spacing w:line="240" w:lineRule="auto" w:before="0" w:after="0"/>
        <w:ind w:left="429" w:right="0" w:firstLine="0"/>
        <w:jc w:val="left"/>
        <w:rPr>
          <w:sz w:val="21"/>
        </w:rPr>
      </w:pPr>
      <w:r>
        <w:rPr>
          <w:w w:val="95"/>
          <w:sz w:val="21"/>
        </w:rPr>
        <w:t>没有按时支付保险费将会导致合同中止（5.3）</w:t>
      </w:r>
    </w:p>
    <w:p>
      <w:pPr>
        <w:pStyle w:val="BodyText"/>
        <w:spacing w:before="7"/>
        <w:ind w:left="0"/>
        <w:rPr>
          <w:sz w:val="25"/>
        </w:rPr>
      </w:pPr>
    </w:p>
    <w:p>
      <w:pPr>
        <w:pStyle w:val="ListParagraph"/>
        <w:numPr>
          <w:ilvl w:val="0"/>
          <w:numId w:val="1"/>
        </w:numPr>
        <w:tabs>
          <w:tab w:pos="849" w:val="left" w:leader="none"/>
          <w:tab w:pos="850" w:val="left" w:leader="none"/>
        </w:tabs>
        <w:spacing w:line="240" w:lineRule="auto" w:before="0" w:after="0"/>
        <w:ind w:left="429" w:right="0" w:firstLine="0"/>
        <w:jc w:val="left"/>
        <w:rPr>
          <w:sz w:val="21"/>
        </w:rPr>
      </w:pPr>
      <w:r>
        <w:rPr>
          <w:w w:val="95"/>
          <w:sz w:val="21"/>
        </w:rPr>
        <w:t>保险事故发生后，请及时通知本公司（6.2）</w:t>
      </w:r>
    </w:p>
    <w:p>
      <w:pPr>
        <w:pStyle w:val="BodyText"/>
        <w:spacing w:before="7"/>
        <w:ind w:left="0"/>
        <w:rPr>
          <w:sz w:val="25"/>
        </w:rPr>
      </w:pPr>
    </w:p>
    <w:p>
      <w:pPr>
        <w:pStyle w:val="ListParagraph"/>
        <w:numPr>
          <w:ilvl w:val="0"/>
          <w:numId w:val="1"/>
        </w:numPr>
        <w:tabs>
          <w:tab w:pos="849" w:val="left" w:leader="none"/>
          <w:tab w:pos="850" w:val="left" w:leader="none"/>
        </w:tabs>
        <w:spacing w:line="240" w:lineRule="auto" w:before="0" w:after="0"/>
        <w:ind w:left="429" w:right="0" w:firstLine="0"/>
        <w:jc w:val="left"/>
        <w:rPr>
          <w:sz w:val="21"/>
        </w:rPr>
      </w:pPr>
      <w:r>
        <w:rPr>
          <w:w w:val="95"/>
          <w:sz w:val="21"/>
        </w:rPr>
        <w:t>犹豫期后退保会给您带来一定损失，请慎重决策（9.4.2）</w:t>
      </w:r>
    </w:p>
    <w:p>
      <w:pPr>
        <w:pStyle w:val="BodyText"/>
        <w:spacing w:before="7"/>
        <w:ind w:left="0"/>
        <w:rPr>
          <w:sz w:val="25"/>
        </w:rPr>
      </w:pPr>
    </w:p>
    <w:p>
      <w:pPr>
        <w:pStyle w:val="ListParagraph"/>
        <w:numPr>
          <w:ilvl w:val="0"/>
          <w:numId w:val="1"/>
        </w:numPr>
        <w:tabs>
          <w:tab w:pos="849" w:val="left" w:leader="none"/>
          <w:tab w:pos="850" w:val="left" w:leader="none"/>
        </w:tabs>
        <w:spacing w:line="240" w:lineRule="auto" w:before="0" w:after="0"/>
        <w:ind w:left="429" w:right="0" w:firstLine="0"/>
        <w:jc w:val="left"/>
        <w:rPr>
          <w:sz w:val="21"/>
        </w:rPr>
      </w:pPr>
      <w:r>
        <w:rPr>
          <w:w w:val="95"/>
          <w:sz w:val="21"/>
        </w:rPr>
        <w:t>您有如实告知的义务（11）</w:t>
      </w:r>
    </w:p>
    <w:p>
      <w:pPr>
        <w:pStyle w:val="BodyText"/>
        <w:spacing w:before="7"/>
        <w:ind w:left="0"/>
        <w:rPr>
          <w:sz w:val="25"/>
        </w:rPr>
      </w:pPr>
    </w:p>
    <w:p>
      <w:pPr>
        <w:pStyle w:val="ListParagraph"/>
        <w:numPr>
          <w:ilvl w:val="0"/>
          <w:numId w:val="1"/>
        </w:numPr>
        <w:tabs>
          <w:tab w:pos="849" w:val="left" w:leader="none"/>
          <w:tab w:pos="850" w:val="left" w:leader="none"/>
        </w:tabs>
        <w:spacing w:line="240" w:lineRule="auto" w:before="0" w:after="0"/>
        <w:ind w:left="429" w:right="0" w:firstLine="0"/>
        <w:jc w:val="left"/>
        <w:rPr>
          <w:sz w:val="21"/>
        </w:rPr>
      </w:pPr>
      <w:r>
        <w:rPr>
          <w:w w:val="95"/>
          <w:sz w:val="21"/>
        </w:rPr>
        <w:t>本公司对一些重要术语作了显著标记，并进行了解释（13）</w:t>
      </w:r>
    </w:p>
    <w:p>
      <w:pPr>
        <w:pStyle w:val="BodyText"/>
        <w:spacing w:before="7"/>
        <w:ind w:left="0"/>
        <w:rPr>
          <w:sz w:val="25"/>
        </w:rPr>
      </w:pPr>
    </w:p>
    <w:p>
      <w:pPr>
        <w:pStyle w:val="ListParagraph"/>
        <w:numPr>
          <w:ilvl w:val="0"/>
          <w:numId w:val="1"/>
        </w:numPr>
        <w:tabs>
          <w:tab w:pos="849" w:val="left" w:leader="none"/>
          <w:tab w:pos="850" w:val="left" w:leader="none"/>
        </w:tabs>
        <w:spacing w:line="240" w:lineRule="auto" w:before="0" w:after="0"/>
        <w:ind w:left="429" w:right="0" w:firstLine="0"/>
        <w:jc w:val="left"/>
        <w:rPr>
          <w:sz w:val="21"/>
        </w:rPr>
      </w:pPr>
      <w:r>
        <w:rPr>
          <w:w w:val="95"/>
          <w:sz w:val="21"/>
        </w:rPr>
        <w:t>请仔细阅读本条款中关于重大疾病的释义(13)</w:t>
      </w:r>
    </w:p>
    <w:p>
      <w:pPr>
        <w:pStyle w:val="BodyText"/>
        <w:spacing w:line="273" w:lineRule="auto" w:before="175"/>
        <w:ind w:right="577" w:firstLine="420"/>
      </w:pPr>
      <w:r>
        <w:rPr>
          <w:spacing w:val="-5"/>
          <w:w w:val="95"/>
        </w:rPr>
        <w:t>条款是保险合同的重要组成部分，关系到您及被保险人、受益人的切身利益，请详细阅   读本条款（特别是以黑体字标识的内容</w:t>
      </w:r>
      <w:r>
        <w:rPr>
          <w:spacing w:val="-106"/>
          <w:w w:val="95"/>
        </w:rPr>
        <w:t>）</w:t>
      </w:r>
      <w:r>
        <w:rPr>
          <w:w w:val="95"/>
        </w:rPr>
        <w:t>。</w:t>
      </w:r>
    </w:p>
    <w:p>
      <w:pPr>
        <w:spacing w:after="0" w:line="273" w:lineRule="auto"/>
        <w:sectPr>
          <w:footerReference w:type="default" r:id="rId5"/>
          <w:type w:val="continuous"/>
          <w:pgSz w:w="11910" w:h="16840"/>
          <w:pgMar w:footer="1047" w:top="380" w:bottom="1240" w:left="1680" w:right="1220"/>
          <w:pgNumType w:start="1"/>
        </w:sectPr>
      </w:pPr>
    </w:p>
    <w:p>
      <w:pPr>
        <w:pStyle w:val="Heading1"/>
        <w:tabs>
          <w:tab w:pos="561" w:val="left" w:leader="none"/>
        </w:tabs>
      </w:pPr>
      <w:r>
        <w:rPr/>
        <w:t>目</w:t>
        <w:tab/>
        <w:t>录</w:t>
      </w:r>
    </w:p>
    <w:p>
      <w:pPr>
        <w:spacing w:after="0"/>
        <w:sectPr>
          <w:pgSz w:w="11910" w:h="16840"/>
          <w:pgMar w:header="0" w:footer="1047" w:top="1520" w:bottom="1686" w:left="1680" w:right="1680"/>
        </w:sectPr>
      </w:pPr>
    </w:p>
    <w:sdt>
      <w:sdtPr>
        <w:docPartObj>
          <w:docPartGallery w:val="Table of Contents"/>
          <w:docPartUnique/>
        </w:docPartObj>
      </w:sdtPr>
      <w:sdtEndPr/>
      <w:sdtContent>
        <w:p>
          <w:pPr>
            <w:pStyle w:val="TOC1"/>
            <w:numPr>
              <w:ilvl w:val="0"/>
              <w:numId w:val="2"/>
            </w:numPr>
            <w:tabs>
              <w:tab w:pos="959" w:val="left" w:leader="none"/>
              <w:tab w:pos="960" w:val="left" w:leader="none"/>
              <w:tab w:pos="8415" w:val="right" w:leader="dot"/>
            </w:tabs>
            <w:spacing w:line="240" w:lineRule="auto" w:before="125" w:after="0"/>
            <w:ind w:left="960" w:right="0" w:hanging="840"/>
            <w:jc w:val="left"/>
            <w:rPr>
              <w:rFonts w:ascii="Times New Roman" w:eastAsia="Times New Roman"/>
            </w:rPr>
          </w:pPr>
          <w:hyperlink w:history="true" w:anchor="_TOC_250124">
            <w:r>
              <w:rPr/>
              <w:t>合同构成</w:t>
              <w:tab/>
            </w:r>
            <w:r>
              <w:rPr>
                <w:rFonts w:ascii="Times New Roman" w:eastAsia="Times New Roman"/>
              </w:rPr>
              <w:t>1</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123">
            <w:r>
              <w:rPr/>
              <w:t>投保年龄</w:t>
              <w:tab/>
            </w:r>
            <w:r>
              <w:rPr>
                <w:rFonts w:ascii="Times New Roman" w:eastAsia="Times New Roman"/>
              </w:rPr>
              <w:t>1</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122">
            <w:r>
              <w:rPr/>
              <w:t>合同成立与生效</w:t>
              <w:tab/>
            </w:r>
            <w:r>
              <w:rPr>
                <w:rFonts w:ascii="Times New Roman" w:eastAsia="Times New Roman"/>
              </w:rPr>
              <w:t>1</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121">
            <w:r>
              <w:rPr/>
              <w:t>保险责任</w:t>
              <w:tab/>
            </w:r>
            <w:r>
              <w:rPr>
                <w:rFonts w:ascii="Times New Roman" w:eastAsia="Times New Roman"/>
              </w:rPr>
              <w:t>1</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20">
            <w:r>
              <w:rPr/>
              <w:t>保险责任的开始</w:t>
              <w:tab/>
            </w:r>
            <w:r>
              <w:rPr>
                <w:rFonts w:ascii="Times New Roman" w:eastAsia="Times New Roman"/>
              </w:rPr>
              <w:t>1</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19">
            <w:r>
              <w:rPr/>
              <w:t>保险期间</w:t>
              <w:tab/>
            </w:r>
            <w:r>
              <w:rPr>
                <w:rFonts w:ascii="Times New Roman" w:eastAsia="Times New Roman"/>
              </w:rPr>
              <w:t>1</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18">
            <w:r>
              <w:rPr/>
              <w:t>保险金额</w:t>
              <w:tab/>
            </w:r>
            <w:r>
              <w:rPr>
                <w:rFonts w:ascii="Times New Roman" w:eastAsia="Times New Roman"/>
              </w:rPr>
              <w:t>1</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17">
            <w:r>
              <w:rPr/>
              <w:t>本公司承担的保险责任</w:t>
              <w:tab/>
            </w:r>
            <w:r>
              <w:rPr>
                <w:rFonts w:ascii="Times New Roman" w:eastAsia="Times New Roman"/>
              </w:rPr>
              <w:t>1</w:t>
            </w:r>
          </w:hyperlink>
        </w:p>
        <w:p>
          <w:pPr>
            <w:pStyle w:val="TOC3"/>
            <w:numPr>
              <w:ilvl w:val="2"/>
              <w:numId w:val="2"/>
            </w:numPr>
            <w:tabs>
              <w:tab w:pos="1695" w:val="left" w:leader="none"/>
              <w:tab w:pos="8415" w:val="right" w:leader="dot"/>
            </w:tabs>
            <w:spacing w:line="240" w:lineRule="auto" w:before="21" w:after="0"/>
            <w:ind w:left="1694" w:right="0" w:hanging="734"/>
            <w:jc w:val="left"/>
            <w:rPr>
              <w:rFonts w:ascii="Times New Roman" w:eastAsia="Times New Roman"/>
            </w:rPr>
          </w:pPr>
          <w:hyperlink w:history="true" w:anchor="_TOC_250116">
            <w:r>
              <w:rPr/>
              <w:t>重大疾病保险金</w:t>
              <w:tab/>
            </w:r>
            <w:r>
              <w:rPr>
                <w:rFonts w:ascii="Times New Roman" w:eastAsia="Times New Roman"/>
              </w:rPr>
              <w:t>1</w:t>
            </w:r>
          </w:hyperlink>
        </w:p>
        <w:p>
          <w:pPr>
            <w:pStyle w:val="TOC3"/>
            <w:numPr>
              <w:ilvl w:val="2"/>
              <w:numId w:val="3"/>
            </w:numPr>
            <w:tabs>
              <w:tab w:pos="1486" w:val="left" w:leader="none"/>
              <w:tab w:pos="8415" w:val="right" w:leader="dot"/>
            </w:tabs>
            <w:spacing w:line="240" w:lineRule="auto" w:before="21" w:after="0"/>
            <w:ind w:left="1485" w:right="0" w:hanging="525"/>
            <w:jc w:val="left"/>
            <w:rPr>
              <w:rFonts w:ascii="Times New Roman" w:eastAsia="Times New Roman"/>
            </w:rPr>
          </w:pPr>
          <w:hyperlink w:history="true" w:anchor="_TOC_250115">
            <w:r>
              <w:rPr/>
              <w:t>.特定少儿白血病重大疾病保险金</w:t>
              <w:tab/>
            </w:r>
            <w:r>
              <w:rPr>
                <w:rFonts w:ascii="Times New Roman" w:eastAsia="Times New Roman"/>
              </w:rPr>
              <w:t>1</w:t>
            </w:r>
          </w:hyperlink>
        </w:p>
        <w:p>
          <w:pPr>
            <w:pStyle w:val="TOC3"/>
            <w:numPr>
              <w:ilvl w:val="2"/>
              <w:numId w:val="3"/>
            </w:numPr>
            <w:tabs>
              <w:tab w:pos="1486" w:val="left" w:leader="none"/>
              <w:tab w:pos="8415" w:val="right" w:leader="dot"/>
            </w:tabs>
            <w:spacing w:line="240" w:lineRule="auto" w:before="21" w:after="0"/>
            <w:ind w:left="1485" w:right="0" w:hanging="525"/>
            <w:jc w:val="left"/>
            <w:rPr>
              <w:rFonts w:ascii="Times New Roman" w:eastAsia="Times New Roman"/>
            </w:rPr>
          </w:pPr>
          <w:hyperlink w:history="true" w:anchor="_TOC_250114">
            <w:r>
              <w:rPr/>
              <w:t>.特定呼吸系统重大疾病保险金</w:t>
              <w:tab/>
            </w:r>
            <w:r>
              <w:rPr>
                <w:rFonts w:ascii="Times New Roman" w:eastAsia="Times New Roman"/>
              </w:rPr>
              <w:t>2</w:t>
            </w:r>
          </w:hyperlink>
        </w:p>
        <w:p>
          <w:pPr>
            <w:pStyle w:val="TOC3"/>
            <w:numPr>
              <w:ilvl w:val="2"/>
              <w:numId w:val="4"/>
            </w:numPr>
            <w:tabs>
              <w:tab w:pos="1695" w:val="left" w:leader="none"/>
              <w:tab w:pos="8415" w:val="right" w:leader="dot"/>
            </w:tabs>
            <w:spacing w:line="240" w:lineRule="auto" w:before="21" w:after="0"/>
            <w:ind w:left="1694" w:right="0" w:hanging="734"/>
            <w:jc w:val="left"/>
            <w:rPr>
              <w:rFonts w:ascii="Times New Roman" w:eastAsia="Times New Roman"/>
            </w:rPr>
          </w:pPr>
          <w:hyperlink w:history="true" w:anchor="_TOC_250113">
            <w:r>
              <w:rPr/>
              <w:t>身故保险金</w:t>
              <w:tab/>
            </w:r>
            <w:r>
              <w:rPr>
                <w:rFonts w:ascii="Times New Roman" w:eastAsia="Times New Roman"/>
              </w:rPr>
              <w:t>2</w:t>
            </w:r>
          </w:hyperlink>
        </w:p>
        <w:p>
          <w:pPr>
            <w:pStyle w:val="TOC3"/>
            <w:numPr>
              <w:ilvl w:val="2"/>
              <w:numId w:val="4"/>
            </w:numPr>
            <w:tabs>
              <w:tab w:pos="1695" w:val="left" w:leader="none"/>
              <w:tab w:pos="8415" w:val="right" w:leader="dot"/>
            </w:tabs>
            <w:spacing w:line="240" w:lineRule="auto" w:before="21" w:after="0"/>
            <w:ind w:left="1694" w:right="0" w:hanging="734"/>
            <w:jc w:val="left"/>
            <w:rPr>
              <w:rFonts w:ascii="Times New Roman" w:eastAsia="Times New Roman"/>
            </w:rPr>
          </w:pPr>
          <w:hyperlink w:history="true" w:anchor="_TOC_250112">
            <w:r>
              <w:rPr/>
              <w:t>永久完全残疾保险金</w:t>
              <w:tab/>
            </w:r>
            <w:r>
              <w:rPr>
                <w:rFonts w:ascii="Times New Roman" w:eastAsia="Times New Roman"/>
              </w:rPr>
              <w:t>2</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11">
            <w:r>
              <w:rPr/>
              <w:t>责任免除</w:t>
              <w:tab/>
            </w:r>
            <w:r>
              <w:rPr>
                <w:rFonts w:ascii="Times New Roman" w:eastAsia="Times New Roman"/>
              </w:rPr>
              <w:t>2</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110">
            <w:r>
              <w:rPr/>
              <w:t>保险费</w:t>
              <w:tab/>
            </w:r>
            <w:r>
              <w:rPr>
                <w:rFonts w:ascii="Times New Roman" w:eastAsia="Times New Roman"/>
              </w:rPr>
              <w:t>3</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09">
            <w:r>
              <w:rPr/>
              <w:t>保险费的支付方式</w:t>
              <w:tab/>
            </w:r>
            <w:r>
              <w:rPr>
                <w:rFonts w:ascii="Times New Roman" w:eastAsia="Times New Roman"/>
              </w:rPr>
              <w:t>3</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08">
            <w:r>
              <w:rPr/>
              <w:t>保险费率调整</w:t>
              <w:tab/>
            </w:r>
            <w:r>
              <w:rPr>
                <w:rFonts w:ascii="Times New Roman" w:eastAsia="Times New Roman"/>
              </w:rPr>
              <w:t>3</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07">
            <w:r>
              <w:rPr/>
              <w:t>宽限期</w:t>
              <w:tab/>
            </w:r>
            <w:r>
              <w:rPr>
                <w:rFonts w:ascii="Times New Roman" w:eastAsia="Times New Roman"/>
              </w:rPr>
              <w:t>3</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106">
            <w:r>
              <w:rPr/>
              <w:t>保险金的领取</w:t>
              <w:tab/>
            </w:r>
            <w:r>
              <w:rPr>
                <w:rFonts w:ascii="Times New Roman" w:eastAsia="Times New Roman"/>
              </w:rPr>
              <w:t>3</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05">
            <w:r>
              <w:rPr/>
              <w:t>受益人的指定和变更</w:t>
              <w:tab/>
            </w:r>
            <w:r>
              <w:rPr>
                <w:rFonts w:ascii="Times New Roman" w:eastAsia="Times New Roman"/>
              </w:rPr>
              <w:t>3</w:t>
            </w:r>
          </w:hyperlink>
        </w:p>
        <w:p>
          <w:pPr>
            <w:pStyle w:val="TOC3"/>
            <w:numPr>
              <w:ilvl w:val="2"/>
              <w:numId w:val="2"/>
            </w:numPr>
            <w:tabs>
              <w:tab w:pos="1661" w:val="left" w:leader="none"/>
              <w:tab w:pos="8415" w:val="right" w:leader="dot"/>
            </w:tabs>
            <w:spacing w:line="240" w:lineRule="auto" w:before="21" w:after="0"/>
            <w:ind w:left="1660" w:right="0" w:hanging="700"/>
            <w:jc w:val="left"/>
          </w:pPr>
          <w:hyperlink w:history="true" w:anchor="_TOC_250104">
            <w:r>
              <w:rPr/>
              <w:t>重大疾病保险金受益人</w:t>
              <w:tab/>
            </w:r>
            <w:r>
              <w:rPr>
                <w:rFonts w:ascii="Times New Roman" w:eastAsia="Times New Roman"/>
              </w:rPr>
              <w:t>3</w:t>
            </w:r>
          </w:hyperlink>
        </w:p>
        <w:p>
          <w:pPr>
            <w:pStyle w:val="TOC3"/>
            <w:numPr>
              <w:ilvl w:val="2"/>
              <w:numId w:val="2"/>
            </w:numPr>
            <w:tabs>
              <w:tab w:pos="1661" w:val="left" w:leader="none"/>
              <w:tab w:pos="8415" w:val="right" w:leader="dot"/>
            </w:tabs>
            <w:spacing w:line="240" w:lineRule="auto" w:before="21" w:after="0"/>
            <w:ind w:left="1660" w:right="0" w:hanging="700"/>
            <w:jc w:val="left"/>
          </w:pPr>
          <w:hyperlink w:history="true" w:anchor="_TOC_250103">
            <w:r>
              <w:rPr/>
              <w:t>身故保险金受益人</w:t>
              <w:tab/>
            </w:r>
            <w:r>
              <w:rPr>
                <w:rFonts w:ascii="Times New Roman" w:eastAsia="Times New Roman"/>
              </w:rPr>
              <w:t>3</w:t>
            </w:r>
          </w:hyperlink>
        </w:p>
        <w:p>
          <w:pPr>
            <w:pStyle w:val="TOC3"/>
            <w:numPr>
              <w:ilvl w:val="2"/>
              <w:numId w:val="2"/>
            </w:numPr>
            <w:tabs>
              <w:tab w:pos="1661" w:val="left" w:leader="none"/>
              <w:tab w:pos="8415" w:val="right" w:leader="dot"/>
            </w:tabs>
            <w:spacing w:line="240" w:lineRule="auto" w:before="21" w:after="0"/>
            <w:ind w:left="1660" w:right="0" w:hanging="700"/>
            <w:jc w:val="left"/>
          </w:pPr>
          <w:hyperlink w:history="true" w:anchor="_TOC_250102">
            <w:r>
              <w:rPr/>
              <w:t>永久完全残疾保险金受益人</w:t>
              <w:tab/>
            </w:r>
            <w:r>
              <w:rPr>
                <w:rFonts w:ascii="Times New Roman" w:eastAsia="Times New Roman"/>
              </w:rPr>
              <w:t>4</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01">
            <w:r>
              <w:rPr/>
              <w:t>保险事故的通知</w:t>
              <w:tab/>
            </w:r>
            <w:r>
              <w:rPr>
                <w:rFonts w:ascii="Times New Roman" w:eastAsia="Times New Roman"/>
              </w:rPr>
              <w:t>4</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100">
            <w:r>
              <w:rPr/>
              <w:t>保险金申请</w:t>
              <w:tab/>
            </w:r>
            <w:r>
              <w:rPr>
                <w:rFonts w:ascii="Times New Roman" w:eastAsia="Times New Roman"/>
              </w:rPr>
              <w:t>4</w:t>
            </w:r>
          </w:hyperlink>
        </w:p>
        <w:p>
          <w:pPr>
            <w:pStyle w:val="TOC3"/>
            <w:numPr>
              <w:ilvl w:val="2"/>
              <w:numId w:val="5"/>
            </w:numPr>
            <w:tabs>
              <w:tab w:pos="1486" w:val="left" w:leader="none"/>
              <w:tab w:pos="1955" w:val="left" w:leader="none"/>
              <w:tab w:pos="8415" w:val="right" w:leader="dot"/>
            </w:tabs>
            <w:spacing w:line="240" w:lineRule="auto" w:before="21" w:after="0"/>
            <w:ind w:left="1485" w:right="0" w:hanging="525"/>
            <w:jc w:val="left"/>
            <w:rPr>
              <w:rFonts w:ascii="Times New Roman" w:eastAsia="Times New Roman"/>
            </w:rPr>
          </w:pPr>
          <w:hyperlink w:history="true" w:anchor="_TOC_250099">
            <w:r>
              <w:rPr/>
              <w:t>．</w:t>
              <w:tab/>
              <w:t>重大疾病保险金的申请</w:t>
              <w:tab/>
            </w:r>
            <w:r>
              <w:rPr>
                <w:rFonts w:ascii="Times New Roman" w:eastAsia="Times New Roman"/>
              </w:rPr>
              <w:t>4</w:t>
            </w:r>
          </w:hyperlink>
        </w:p>
        <w:p>
          <w:pPr>
            <w:pStyle w:val="TOC3"/>
            <w:numPr>
              <w:ilvl w:val="2"/>
              <w:numId w:val="5"/>
            </w:numPr>
            <w:tabs>
              <w:tab w:pos="1486" w:val="left" w:leader="none"/>
              <w:tab w:pos="1955" w:val="left" w:leader="none"/>
              <w:tab w:pos="8415" w:val="right" w:leader="dot"/>
            </w:tabs>
            <w:spacing w:line="240" w:lineRule="auto" w:before="21" w:after="0"/>
            <w:ind w:left="1485" w:right="0" w:hanging="525"/>
            <w:jc w:val="left"/>
            <w:rPr>
              <w:rFonts w:ascii="Times New Roman" w:eastAsia="Times New Roman"/>
            </w:rPr>
          </w:pPr>
          <w:hyperlink w:history="true" w:anchor="_TOC_250098">
            <w:r>
              <w:rPr/>
              <w:t>．</w:t>
              <w:tab/>
              <w:t>身故保险金的申请</w:t>
              <w:tab/>
            </w:r>
            <w:r>
              <w:rPr>
                <w:rFonts w:ascii="Times New Roman" w:eastAsia="Times New Roman"/>
              </w:rPr>
              <w:t>4</w:t>
            </w:r>
          </w:hyperlink>
        </w:p>
        <w:p>
          <w:pPr>
            <w:pStyle w:val="TOC3"/>
            <w:numPr>
              <w:ilvl w:val="2"/>
              <w:numId w:val="5"/>
            </w:numPr>
            <w:tabs>
              <w:tab w:pos="1486" w:val="left" w:leader="none"/>
              <w:tab w:pos="1955" w:val="left" w:leader="none"/>
              <w:tab w:pos="8415" w:val="right" w:leader="dot"/>
            </w:tabs>
            <w:spacing w:line="240" w:lineRule="auto" w:before="21" w:after="0"/>
            <w:ind w:left="1485" w:right="0" w:hanging="525"/>
            <w:jc w:val="left"/>
            <w:rPr>
              <w:rFonts w:ascii="Times New Roman" w:eastAsia="Times New Roman"/>
            </w:rPr>
          </w:pPr>
          <w:hyperlink w:history="true" w:anchor="_TOC_250097">
            <w:r>
              <w:rPr/>
              <w:t>．</w:t>
              <w:tab/>
              <w:t>永久完全残疾保险金的申请</w:t>
              <w:tab/>
            </w:r>
            <w:r>
              <w:rPr>
                <w:rFonts w:ascii="Times New Roman" w:eastAsia="Times New Roman"/>
              </w:rPr>
              <w:t>4</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96">
            <w:r>
              <w:rPr/>
              <w:t>特别注意事项</w:t>
              <w:tab/>
            </w:r>
            <w:r>
              <w:rPr>
                <w:rFonts w:ascii="Times New Roman" w:eastAsia="Times New Roman"/>
              </w:rPr>
              <w:t>5</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95">
            <w:r>
              <w:rPr/>
              <w:t>诉讼时效</w:t>
              <w:tab/>
            </w:r>
            <w:r>
              <w:rPr>
                <w:rFonts w:ascii="Times New Roman" w:eastAsia="Times New Roman"/>
              </w:rPr>
              <w:t>5</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94">
            <w:r>
              <w:rPr/>
              <w:t>保险金的给付</w:t>
              <w:tab/>
            </w:r>
            <w:r>
              <w:rPr>
                <w:rFonts w:ascii="Times New Roman" w:eastAsia="Times New Roman"/>
              </w:rPr>
              <w:t>5</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93">
            <w:r>
              <w:rPr/>
              <w:t>宣告死亡处理</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92">
            <w:r>
              <w:rPr/>
              <w:t>现金价值权益</w:t>
              <w:tab/>
            </w:r>
            <w:r>
              <w:rPr>
                <w:rFonts w:ascii="Times New Roman" w:eastAsia="Times New Roman"/>
              </w:rPr>
              <w:t>5</w:t>
            </w:r>
          </w:hyperlink>
        </w:p>
        <w:p>
          <w:pPr>
            <w:pStyle w:val="TOC2"/>
            <w:numPr>
              <w:ilvl w:val="1"/>
              <w:numId w:val="6"/>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91">
            <w:r>
              <w:rPr/>
              <w:t>现金价值</w:t>
              <w:tab/>
            </w:r>
            <w:r>
              <w:rPr>
                <w:rFonts w:ascii="Times New Roman" w:eastAsia="Times New Roman"/>
              </w:rPr>
              <w:t>5</w:t>
            </w:r>
          </w:hyperlink>
        </w:p>
        <w:p>
          <w:pPr>
            <w:pStyle w:val="TOC2"/>
            <w:numPr>
              <w:ilvl w:val="1"/>
              <w:numId w:val="6"/>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90">
            <w:r>
              <w:rPr/>
              <w:t>保险费自动垫交</w:t>
              <w:tab/>
            </w:r>
            <w:r>
              <w:rPr>
                <w:rFonts w:ascii="Times New Roman" w:eastAsia="Times New Roman"/>
              </w:rPr>
              <w:t>5</w:t>
            </w:r>
          </w:hyperlink>
        </w:p>
        <w:p>
          <w:pPr>
            <w:pStyle w:val="TOC2"/>
            <w:numPr>
              <w:ilvl w:val="1"/>
              <w:numId w:val="6"/>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9">
            <w:r>
              <w:rPr/>
              <w:t>保单贷款</w:t>
              <w:tab/>
            </w:r>
            <w:r>
              <w:rPr>
                <w:rFonts w:ascii="Times New Roman" w:eastAsia="Times New Roman"/>
              </w:rPr>
              <w:t>5</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88">
            <w:r>
              <w:rPr/>
              <w:t>未还款项</w:t>
              <w:tab/>
            </w:r>
            <w:r>
              <w:rPr>
                <w:rFonts w:ascii="Times New Roman" w:eastAsia="Times New Roman"/>
              </w:rPr>
              <w:t>6</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87">
            <w:r>
              <w:rPr/>
              <w:t>合同效力的变动</w:t>
              <w:tab/>
            </w:r>
            <w:r>
              <w:rPr>
                <w:rFonts w:ascii="Times New Roman" w:eastAsia="Times New Roman"/>
              </w:rPr>
              <w:t>6</w:t>
            </w:r>
          </w:hyperlink>
        </w:p>
        <w:p>
          <w:pPr>
            <w:pStyle w:val="TOC2"/>
            <w:numPr>
              <w:ilvl w:val="1"/>
              <w:numId w:val="2"/>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6">
            <w:r>
              <w:rPr/>
              <w:t>合同的变更</w:t>
              <w:tab/>
            </w:r>
            <w:r>
              <w:rPr>
                <w:rFonts w:ascii="Times New Roman" w:eastAsia="Times New Roman"/>
              </w:rPr>
              <w:t>6</w:t>
            </w:r>
          </w:hyperlink>
        </w:p>
        <w:p>
          <w:pPr>
            <w:pStyle w:val="TOC2"/>
            <w:numPr>
              <w:ilvl w:val="2"/>
              <w:numId w:val="2"/>
            </w:numPr>
            <w:tabs>
              <w:tab w:pos="1439" w:val="left" w:leader="none"/>
              <w:tab w:pos="1440" w:val="left" w:leader="none"/>
              <w:tab w:pos="8415" w:val="right" w:leader="dot"/>
            </w:tabs>
            <w:spacing w:line="240" w:lineRule="auto" w:before="21" w:after="0"/>
            <w:ind w:left="1440" w:right="0" w:hanging="900"/>
            <w:jc w:val="left"/>
            <w:rPr>
              <w:rFonts w:ascii="Times New Roman" w:eastAsia="Times New Roman"/>
            </w:rPr>
          </w:pPr>
          <w:hyperlink w:history="true" w:anchor="_TOC_250085">
            <w:r>
              <w:rPr/>
              <w:t>合同内容的变更</w:t>
              <w:tab/>
            </w:r>
            <w:r>
              <w:rPr>
                <w:rFonts w:ascii="Times New Roman" w:eastAsia="Times New Roman"/>
              </w:rPr>
              <w:t>6</w:t>
            </w:r>
          </w:hyperlink>
        </w:p>
        <w:p>
          <w:pPr>
            <w:pStyle w:val="TOC2"/>
            <w:numPr>
              <w:ilvl w:val="2"/>
              <w:numId w:val="2"/>
            </w:numPr>
            <w:tabs>
              <w:tab w:pos="1439" w:val="left" w:leader="none"/>
              <w:tab w:pos="1440" w:val="left" w:leader="none"/>
              <w:tab w:pos="8415" w:val="right" w:leader="dot"/>
            </w:tabs>
            <w:spacing w:line="240" w:lineRule="auto" w:before="21" w:after="0"/>
            <w:ind w:left="1440" w:right="0" w:hanging="900"/>
            <w:jc w:val="left"/>
            <w:rPr>
              <w:rFonts w:ascii="Times New Roman" w:eastAsia="Times New Roman"/>
            </w:rPr>
          </w:pPr>
          <w:hyperlink w:history="true" w:anchor="_TOC_250084">
            <w:r>
              <w:rPr/>
              <w:t>住所或通讯地址的变更</w:t>
              <w:tab/>
            </w:r>
            <w:r>
              <w:rPr>
                <w:rFonts w:ascii="Times New Roman" w:eastAsia="Times New Roman"/>
              </w:rPr>
              <w:t>6</w:t>
            </w:r>
          </w:hyperlink>
        </w:p>
        <w:p>
          <w:pPr>
            <w:pStyle w:val="TOC2"/>
            <w:numPr>
              <w:ilvl w:val="2"/>
              <w:numId w:val="2"/>
            </w:numPr>
            <w:tabs>
              <w:tab w:pos="1439" w:val="left" w:leader="none"/>
              <w:tab w:pos="1440" w:val="left" w:leader="none"/>
              <w:tab w:pos="8415" w:val="right" w:leader="dot"/>
            </w:tabs>
            <w:spacing w:line="240" w:lineRule="auto" w:before="21" w:after="20"/>
            <w:ind w:left="1440" w:right="0" w:hanging="900"/>
            <w:jc w:val="left"/>
            <w:rPr>
              <w:rFonts w:ascii="Times New Roman" w:eastAsia="Times New Roman"/>
            </w:rPr>
          </w:pPr>
          <w:hyperlink w:history="true" w:anchor="_TOC_250083">
            <w:r>
              <w:rPr/>
              <w:t>被保险人职业或工种的变更</w:t>
              <w:tab/>
            </w:r>
            <w:r>
              <w:rPr>
                <w:rFonts w:ascii="Times New Roman" w:eastAsia="Times New Roman"/>
              </w:rPr>
              <w:t>6</w:t>
            </w:r>
          </w:hyperlink>
        </w:p>
        <w:p>
          <w:pPr>
            <w:pStyle w:val="TOC2"/>
            <w:numPr>
              <w:ilvl w:val="1"/>
              <w:numId w:val="7"/>
            </w:numPr>
            <w:tabs>
              <w:tab w:pos="1219" w:val="left" w:leader="none"/>
              <w:tab w:pos="1220" w:val="left" w:leader="none"/>
              <w:tab w:pos="8415" w:val="right" w:leader="dot"/>
            </w:tabs>
            <w:spacing w:line="240" w:lineRule="auto" w:before="27" w:after="0"/>
            <w:ind w:left="1219" w:right="0" w:hanging="679"/>
            <w:jc w:val="left"/>
            <w:rPr>
              <w:rFonts w:ascii="Times New Roman" w:eastAsia="Times New Roman"/>
            </w:rPr>
          </w:pPr>
          <w:hyperlink w:history="true" w:anchor="_TOC_250082">
            <w:r>
              <w:rPr/>
              <w:t>合同效力的中止</w:t>
              <w:tab/>
            </w:r>
            <w:r>
              <w:rPr>
                <w:rFonts w:ascii="Times New Roman" w:eastAsia="Times New Roman"/>
              </w:rPr>
              <w:t>7</w:t>
            </w:r>
          </w:hyperlink>
        </w:p>
        <w:p>
          <w:pPr>
            <w:pStyle w:val="TOC2"/>
            <w:numPr>
              <w:ilvl w:val="1"/>
              <w:numId w:val="7"/>
            </w:numPr>
            <w:tabs>
              <w:tab w:pos="1219" w:val="left" w:leader="none"/>
              <w:tab w:pos="1220" w:val="left" w:leader="none"/>
              <w:tab w:pos="8415" w:val="right" w:leader="dot"/>
            </w:tabs>
            <w:spacing w:line="240" w:lineRule="auto" w:before="21" w:after="0"/>
            <w:ind w:left="1219" w:right="0" w:hanging="679"/>
            <w:jc w:val="left"/>
            <w:rPr>
              <w:rFonts w:ascii="Times New Roman" w:eastAsia="Times New Roman"/>
            </w:rPr>
          </w:pPr>
          <w:hyperlink w:history="true" w:anchor="_TOC_250081">
            <w:r>
              <w:rPr/>
              <w:t>合同效力的恢复</w:t>
              <w:tab/>
            </w:r>
            <w:r>
              <w:rPr>
                <w:rFonts w:ascii="Times New Roman" w:eastAsia="Times New Roman"/>
              </w:rPr>
              <w:t>7</w:t>
            </w:r>
          </w:hyperlink>
        </w:p>
        <w:p>
          <w:pPr>
            <w:pStyle w:val="TOC2"/>
            <w:numPr>
              <w:ilvl w:val="1"/>
              <w:numId w:val="7"/>
            </w:numPr>
            <w:tabs>
              <w:tab w:pos="1219" w:val="left" w:leader="none"/>
              <w:tab w:pos="1220" w:val="left" w:leader="none"/>
              <w:tab w:pos="8415" w:val="right" w:leader="dot"/>
            </w:tabs>
            <w:spacing w:line="240" w:lineRule="auto" w:before="21" w:after="0"/>
            <w:ind w:left="1219" w:right="0" w:hanging="679"/>
            <w:jc w:val="left"/>
            <w:rPr>
              <w:rFonts w:ascii="Times New Roman" w:hAnsi="Times New Roman" w:eastAsia="Times New Roman"/>
            </w:rPr>
          </w:pPr>
          <w:hyperlink w:history="true" w:anchor="_TOC_250080">
            <w:r>
              <w:rPr/>
              <w:t>合同的解除——退保</w:t>
              <w:tab/>
            </w:r>
            <w:r>
              <w:rPr>
                <w:rFonts w:ascii="Times New Roman" w:hAnsi="Times New Roman" w:eastAsia="Times New Roman"/>
              </w:rPr>
              <w:t>7</w:t>
            </w:r>
          </w:hyperlink>
        </w:p>
        <w:p>
          <w:pPr>
            <w:pStyle w:val="TOC2"/>
            <w:numPr>
              <w:ilvl w:val="2"/>
              <w:numId w:val="7"/>
            </w:numPr>
            <w:tabs>
              <w:tab w:pos="1439" w:val="left" w:leader="none"/>
              <w:tab w:pos="1440" w:val="left" w:leader="none"/>
              <w:tab w:pos="8415" w:val="right" w:leader="dot"/>
            </w:tabs>
            <w:spacing w:line="240" w:lineRule="auto" w:before="21" w:after="0"/>
            <w:ind w:left="1440" w:right="0" w:hanging="900"/>
            <w:jc w:val="left"/>
            <w:rPr>
              <w:rFonts w:ascii="Times New Roman" w:eastAsia="Times New Roman"/>
            </w:rPr>
          </w:pPr>
          <w:hyperlink w:history="true" w:anchor="_TOC_250079">
            <w:r>
              <w:rPr/>
              <w:t>犹豫期</w:t>
              <w:tab/>
            </w:r>
            <w:r>
              <w:rPr>
                <w:rFonts w:ascii="Times New Roman" w:eastAsia="Times New Roman"/>
              </w:rPr>
              <w:t>7</w:t>
            </w:r>
          </w:hyperlink>
        </w:p>
        <w:p>
          <w:pPr>
            <w:pStyle w:val="TOC2"/>
            <w:numPr>
              <w:ilvl w:val="2"/>
              <w:numId w:val="7"/>
            </w:numPr>
            <w:tabs>
              <w:tab w:pos="1439" w:val="left" w:leader="none"/>
              <w:tab w:pos="1440" w:val="left" w:leader="none"/>
              <w:tab w:pos="8415" w:val="right" w:leader="dot"/>
            </w:tabs>
            <w:spacing w:line="240" w:lineRule="auto" w:before="21" w:after="0"/>
            <w:ind w:left="1440" w:right="0" w:hanging="900"/>
            <w:jc w:val="left"/>
            <w:rPr>
              <w:rFonts w:ascii="Times New Roman" w:eastAsia="Times New Roman"/>
            </w:rPr>
          </w:pPr>
          <w:hyperlink w:history="true" w:anchor="_TOC_250078">
            <w:r>
              <w:rPr/>
              <w:t>犹豫期之后退保</w:t>
              <w:tab/>
            </w:r>
            <w:r>
              <w:rPr>
                <w:rFonts w:ascii="Times New Roman" w:eastAsia="Times New Roman"/>
              </w:rPr>
              <w:t>7</w:t>
            </w:r>
          </w:hyperlink>
        </w:p>
        <w:p>
          <w:pPr>
            <w:pStyle w:val="TOC2"/>
            <w:tabs>
              <w:tab w:pos="1219" w:val="left" w:leader="none"/>
              <w:tab w:pos="8415" w:val="right" w:leader="dot"/>
            </w:tabs>
            <w:ind w:left="540" w:firstLine="0"/>
            <w:rPr>
              <w:rFonts w:ascii="Times New Roman" w:eastAsia="Times New Roman"/>
            </w:rPr>
          </w:pPr>
          <w:hyperlink w:history="true" w:anchor="_TOC_250077">
            <w:r>
              <w:rPr>
                <w:rFonts w:ascii="Times New Roman" w:eastAsia="Times New Roman"/>
              </w:rPr>
              <w:t>9.5.</w:t>
              <w:tab/>
            </w:r>
            <w:r>
              <w:rPr/>
              <w:t>合同效力的终止</w:t>
              <w:tab/>
            </w:r>
            <w:r>
              <w:rPr>
                <w:rFonts w:ascii="Times New Roman" w:eastAsia="Times New Roman"/>
              </w:rPr>
              <w:t>7</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6">
            <w:r>
              <w:rPr/>
              <w:t>委托代办业务</w:t>
              <w:tab/>
            </w:r>
            <w:r>
              <w:rPr>
                <w:rFonts w:ascii="Times New Roman" w:eastAsia="Times New Roman"/>
              </w:rPr>
              <w:t>7</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5">
            <w:r>
              <w:rPr/>
              <w:t>如实告知义务</w:t>
              <w:tab/>
            </w:r>
            <w:r>
              <w:rPr>
                <w:rFonts w:ascii="Times New Roman" w:eastAsia="Times New Roman"/>
              </w:rPr>
              <w:t>7</w:t>
            </w:r>
          </w:hyperlink>
        </w:p>
        <w:p>
          <w:pPr>
            <w:pStyle w:val="TOC1"/>
            <w:numPr>
              <w:ilvl w:val="1"/>
              <w:numId w:val="8"/>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4">
            <w:r>
              <w:rPr/>
              <w:t>明确说明与如实告知</w:t>
              <w:tab/>
            </w:r>
            <w:r>
              <w:rPr>
                <w:rFonts w:ascii="Times New Roman" w:eastAsia="Times New Roman"/>
              </w:rPr>
              <w:t>7</w:t>
            </w:r>
          </w:hyperlink>
        </w:p>
        <w:p>
          <w:pPr>
            <w:pStyle w:val="TOC1"/>
            <w:numPr>
              <w:ilvl w:val="1"/>
              <w:numId w:val="8"/>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3">
            <w:r>
              <w:rPr/>
              <w:t>合同解除权的限制</w:t>
              <w:tab/>
            </w:r>
            <w:r>
              <w:rPr>
                <w:rFonts w:ascii="Times New Roman" w:eastAsia="Times New Roman"/>
              </w:rPr>
              <w:t>8</w:t>
            </w:r>
          </w:hyperlink>
        </w:p>
        <w:p>
          <w:pPr>
            <w:pStyle w:val="TOC1"/>
            <w:numPr>
              <w:ilvl w:val="1"/>
              <w:numId w:val="8"/>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2">
            <w:r>
              <w:rPr/>
              <w:t>被保险人年龄确定错误处理</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1">
            <w:r>
              <w:rPr/>
              <w:t>争议处理</w:t>
              <w:tab/>
            </w:r>
            <w:r>
              <w:rPr>
                <w:rFonts w:ascii="Times New Roman" w:eastAsia="Times New Roman"/>
              </w:rPr>
              <w:t>8</w:t>
            </w:r>
          </w:hyperlink>
        </w:p>
        <w:p>
          <w:pPr>
            <w:pStyle w:val="TOC1"/>
            <w:numPr>
              <w:ilvl w:val="0"/>
              <w:numId w:val="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70">
            <w:r>
              <w:rPr/>
              <w:t>释义</w:t>
              <w:tab/>
            </w:r>
            <w:r>
              <w:rPr>
                <w:rFonts w:ascii="Times New Roman" w:eastAsia="Times New Roman"/>
              </w:rPr>
              <w:t>8</w:t>
            </w:r>
          </w:hyperlink>
        </w:p>
        <w:p>
          <w:pPr>
            <w:pStyle w:val="TOC1"/>
            <w:numPr>
              <w:ilvl w:val="1"/>
              <w:numId w:val="9"/>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9">
            <w:r>
              <w:rPr/>
              <w:t>周岁</w:t>
              <w:tab/>
            </w:r>
            <w:r>
              <w:rPr>
                <w:rFonts w:ascii="Times New Roman" w:eastAsia="Times New Roman"/>
              </w:rPr>
              <w:t>8</w:t>
            </w:r>
          </w:hyperlink>
        </w:p>
        <w:p>
          <w:pPr>
            <w:pStyle w:val="TOC1"/>
            <w:numPr>
              <w:ilvl w:val="1"/>
              <w:numId w:val="9"/>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8">
            <w:r>
              <w:rPr/>
              <w:t>保单年度</w:t>
              <w:tab/>
            </w:r>
            <w:r>
              <w:rPr>
                <w:rFonts w:ascii="Times New Roman" w:eastAsia="Times New Roman"/>
              </w:rPr>
              <w:t>8</w:t>
            </w:r>
          </w:hyperlink>
        </w:p>
        <w:p>
          <w:pPr>
            <w:pStyle w:val="TOC1"/>
            <w:numPr>
              <w:ilvl w:val="1"/>
              <w:numId w:val="9"/>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7">
            <w:r>
              <w:rPr/>
              <w:t>保险费约定支付日</w:t>
              <w:tab/>
            </w:r>
            <w:r>
              <w:rPr>
                <w:rFonts w:ascii="Times New Roman" w:eastAsia="Times New Roman"/>
              </w:rPr>
              <w:t>8</w:t>
            </w:r>
          </w:hyperlink>
        </w:p>
        <w:p>
          <w:pPr>
            <w:pStyle w:val="TOC1"/>
            <w:numPr>
              <w:ilvl w:val="1"/>
              <w:numId w:val="9"/>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6">
            <w:r>
              <w:rPr/>
              <w:t>初次发生</w:t>
              <w:tab/>
            </w:r>
            <w:r>
              <w:rPr>
                <w:rFonts w:ascii="Times New Roman" w:eastAsia="Times New Roman"/>
              </w:rPr>
              <w:t>9</w:t>
            </w:r>
          </w:hyperlink>
        </w:p>
        <w:p>
          <w:pPr>
            <w:pStyle w:val="TOC1"/>
            <w:numPr>
              <w:ilvl w:val="1"/>
              <w:numId w:val="9"/>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5">
            <w:r>
              <w:rPr/>
              <w:t>医院</w:t>
              <w:tab/>
            </w:r>
            <w:r>
              <w:rPr>
                <w:rFonts w:ascii="Times New Roman" w:eastAsia="Times New Roman"/>
              </w:rPr>
              <w:t>9</w:t>
            </w:r>
          </w:hyperlink>
        </w:p>
        <w:p>
          <w:pPr>
            <w:pStyle w:val="TOC1"/>
            <w:numPr>
              <w:ilvl w:val="1"/>
              <w:numId w:val="9"/>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64">
            <w:r>
              <w:rPr/>
              <w:t>45</w:t>
            </w:r>
            <w:r>
              <w:rPr>
                <w:spacing w:val="-55"/>
              </w:rPr>
              <w:t> </w:t>
            </w:r>
            <w:r>
              <w:rPr/>
              <w:t>种重大疾病</w:t>
              <w:tab/>
            </w:r>
            <w:r>
              <w:rPr>
                <w:rFonts w:ascii="Times New Roman" w:eastAsia="Times New Roman"/>
              </w:rPr>
              <w:t>9</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63">
            <w:r>
              <w:rPr/>
              <w:t>恶性肿瘤</w:t>
              <w:tab/>
            </w:r>
            <w:r>
              <w:rPr>
                <w:rFonts w:ascii="Times New Roman" w:eastAsia="Times New Roman"/>
              </w:rPr>
              <w:t>9</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62">
            <w:r>
              <w:rPr/>
              <w:t>急性心肌梗塞</w:t>
              <w:tab/>
            </w:r>
            <w:r>
              <w:rPr>
                <w:rFonts w:ascii="Times New Roman" w:eastAsia="Times New Roman"/>
              </w:rPr>
              <w:t>9</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61">
            <w:r>
              <w:rPr/>
              <w:t>脑中风后遗症</w:t>
              <w:tab/>
            </w:r>
            <w:r>
              <w:rPr>
                <w:rFonts w:ascii="Times New Roman" w:eastAsia="Times New Roman"/>
              </w:rPr>
              <w:t>9</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60">
            <w:r>
              <w:rPr/>
              <w:t>重大器官移植术或造血干细胞移植术</w:t>
              <w:tab/>
            </w:r>
            <w:r>
              <w:rPr>
                <w:rFonts w:ascii="Times New Roman" w:eastAsia="Times New Roman"/>
              </w:rPr>
              <w:t>9</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59">
            <w:r>
              <w:rPr/>
              <w:t>冠状动脉搭桥术（或称冠状动脉旁路移植术）</w:t>
              <w:tab/>
            </w:r>
            <w:r>
              <w:rPr>
                <w:rFonts w:ascii="Times New Roman" w:eastAsia="Times New Roman"/>
              </w:rPr>
              <w:t>10</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58">
            <w:r>
              <w:rPr/>
              <w:t>终末期肾病（或称慢性肾功能衰竭尿毒症期）</w:t>
              <w:tab/>
            </w:r>
            <w:r>
              <w:rPr>
                <w:rFonts w:ascii="Times New Roman" w:eastAsia="Times New Roman"/>
              </w:rPr>
              <w:t>10</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57">
            <w:r>
              <w:rPr/>
              <w:t>多个肢体缺失</w:t>
              <w:tab/>
            </w:r>
            <w:r>
              <w:rPr>
                <w:rFonts w:ascii="Times New Roman" w:eastAsia="Times New Roman"/>
              </w:rPr>
              <w:t>10</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56">
            <w:r>
              <w:rPr/>
              <w:t>急性或亚急性重症肝炎</w:t>
              <w:tab/>
            </w:r>
            <w:r>
              <w:rPr>
                <w:rFonts w:ascii="Times New Roman" w:eastAsia="Times New Roman"/>
              </w:rPr>
              <w:t>10</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55">
            <w:r>
              <w:rPr/>
              <w:t>良性脑肿瘤</w:t>
              <w:tab/>
            </w:r>
            <w:r>
              <w:rPr>
                <w:rFonts w:ascii="Times New Roman" w:eastAsia="Times New Roman"/>
              </w:rPr>
              <w:t>10</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54">
            <w:r>
              <w:rPr/>
              <w:t>慢性肝功能衰竭失代偿期</w:t>
              <w:tab/>
            </w:r>
            <w:r>
              <w:rPr>
                <w:rFonts w:ascii="Times New Roman" w:eastAsia="Times New Roman"/>
              </w:rPr>
              <w:t>10</w:t>
            </w:r>
          </w:hyperlink>
        </w:p>
        <w:p>
          <w:pPr>
            <w:pStyle w:val="TOC1"/>
            <w:numPr>
              <w:ilvl w:val="2"/>
              <w:numId w:val="9"/>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53">
            <w:r>
              <w:rPr/>
              <w:t>脑炎后遗症或脑膜炎后遗症</w:t>
              <w:tab/>
            </w:r>
            <w:r>
              <w:rPr>
                <w:rFonts w:ascii="Times New Roman" w:eastAsia="Times New Roman"/>
              </w:rPr>
              <w:t>10</w:t>
            </w:r>
          </w:hyperlink>
        </w:p>
        <w:p>
          <w:pPr>
            <w:pStyle w:val="TOC1"/>
            <w:numPr>
              <w:ilvl w:val="2"/>
              <w:numId w:val="9"/>
            </w:numPr>
            <w:tabs>
              <w:tab w:pos="1219" w:val="left" w:leader="none"/>
              <w:tab w:pos="1220" w:val="left" w:leader="none"/>
              <w:tab w:pos="8420" w:val="right" w:leader="dot"/>
            </w:tabs>
            <w:spacing w:line="240" w:lineRule="auto" w:before="21" w:after="0"/>
            <w:ind w:left="1219" w:right="0" w:hanging="1099"/>
            <w:jc w:val="left"/>
            <w:rPr>
              <w:rFonts w:ascii="Times New Roman" w:eastAsia="Times New Roman"/>
            </w:rPr>
          </w:pPr>
          <w:hyperlink w:history="true" w:anchor="_TOC_250052">
            <w:r>
              <w:rPr/>
              <w:t>深度昏迷</w:t>
              <w:tab/>
            </w:r>
            <w:r>
              <w:rPr>
                <w:rFonts w:ascii="Times New Roman" w:eastAsia="Times New Roman"/>
              </w:rPr>
              <w:t>11</w:t>
            </w:r>
          </w:hyperlink>
        </w:p>
        <w:p>
          <w:pPr>
            <w:pStyle w:val="TOC1"/>
            <w:numPr>
              <w:ilvl w:val="2"/>
              <w:numId w:val="9"/>
            </w:numPr>
            <w:tabs>
              <w:tab w:pos="1219" w:val="left" w:leader="none"/>
              <w:tab w:pos="1220" w:val="left" w:leader="none"/>
              <w:tab w:pos="8420" w:val="right" w:leader="dot"/>
            </w:tabs>
            <w:spacing w:line="240" w:lineRule="auto" w:before="21" w:after="0"/>
            <w:ind w:left="1219" w:right="0" w:hanging="1099"/>
            <w:jc w:val="left"/>
            <w:rPr>
              <w:rFonts w:ascii="Times New Roman" w:eastAsia="Times New Roman"/>
            </w:rPr>
          </w:pPr>
          <w:hyperlink w:history="true" w:anchor="_TOC_250051">
            <w:r>
              <w:rPr/>
              <w:t>双耳失聪</w:t>
              <w:tab/>
            </w:r>
            <w:r>
              <w:rPr>
                <w:rFonts w:ascii="Times New Roman" w:eastAsia="Times New Roman"/>
              </w:rPr>
              <w:t>11</w:t>
            </w:r>
          </w:hyperlink>
        </w:p>
        <w:p>
          <w:pPr>
            <w:pStyle w:val="TOC1"/>
            <w:numPr>
              <w:ilvl w:val="2"/>
              <w:numId w:val="9"/>
            </w:numPr>
            <w:tabs>
              <w:tab w:pos="1219" w:val="left" w:leader="none"/>
              <w:tab w:pos="1220" w:val="left" w:leader="none"/>
              <w:tab w:pos="8420" w:val="right" w:leader="dot"/>
            </w:tabs>
            <w:spacing w:line="240" w:lineRule="auto" w:before="21" w:after="0"/>
            <w:ind w:left="1219" w:right="0" w:hanging="1099"/>
            <w:jc w:val="left"/>
            <w:rPr>
              <w:rFonts w:ascii="Times New Roman" w:eastAsia="Times New Roman"/>
            </w:rPr>
          </w:pPr>
          <w:hyperlink w:history="true" w:anchor="_TOC_250050">
            <w:r>
              <w:rPr/>
              <w:t>双目失明</w:t>
              <w:tab/>
            </w:r>
            <w:r>
              <w:rPr>
                <w:rFonts w:ascii="Times New Roman" w:eastAsia="Times New Roman"/>
              </w:rPr>
              <w:t>11</w:t>
            </w:r>
          </w:hyperlink>
        </w:p>
        <w:p>
          <w:pPr>
            <w:pStyle w:val="TOC1"/>
            <w:tabs>
              <w:tab w:pos="1219" w:val="left" w:leader="none"/>
              <w:tab w:pos="8420" w:val="right" w:leader="dot"/>
            </w:tabs>
            <w:ind w:left="120" w:firstLine="0"/>
            <w:rPr>
              <w:rFonts w:ascii="Times New Roman" w:eastAsia="Times New Roman"/>
            </w:rPr>
          </w:pPr>
          <w:hyperlink w:history="true" w:anchor="_TOC_250049">
            <w:r>
              <w:rPr/>
              <w:t>13.6.15</w:t>
              <w:tab/>
              <w:t>瘫痪</w:t>
              <w:tab/>
            </w:r>
            <w:r>
              <w:rPr>
                <w:rFonts w:ascii="Times New Roman" w:eastAsia="Times New Roman"/>
              </w:rPr>
              <w:t>11</w:t>
            </w:r>
          </w:hyperlink>
        </w:p>
        <w:p>
          <w:pPr>
            <w:pStyle w:val="TOC1"/>
            <w:numPr>
              <w:ilvl w:val="2"/>
              <w:numId w:val="10"/>
            </w:numPr>
            <w:tabs>
              <w:tab w:pos="1219" w:val="left" w:leader="none"/>
              <w:tab w:pos="1220" w:val="left" w:leader="none"/>
              <w:tab w:pos="8420" w:val="right" w:leader="dot"/>
            </w:tabs>
            <w:spacing w:line="240" w:lineRule="auto" w:before="21" w:after="0"/>
            <w:ind w:left="1219" w:right="0" w:hanging="1099"/>
            <w:jc w:val="left"/>
            <w:rPr>
              <w:rFonts w:ascii="Times New Roman" w:eastAsia="Times New Roman"/>
            </w:rPr>
          </w:pPr>
          <w:hyperlink w:history="true" w:anchor="_TOC_250048">
            <w:r>
              <w:rPr/>
              <w:t>心脏瓣膜手术</w:t>
              <w:tab/>
            </w:r>
            <w:r>
              <w:rPr>
                <w:rFonts w:ascii="Times New Roman" w:eastAsia="Times New Roman"/>
              </w:rPr>
              <w:t>11</w:t>
            </w:r>
          </w:hyperlink>
        </w:p>
        <w:p>
          <w:pPr>
            <w:pStyle w:val="TOC1"/>
            <w:numPr>
              <w:ilvl w:val="2"/>
              <w:numId w:val="10"/>
            </w:numPr>
            <w:tabs>
              <w:tab w:pos="1219" w:val="left" w:leader="none"/>
              <w:tab w:pos="1220" w:val="left" w:leader="none"/>
              <w:tab w:pos="8420" w:val="right" w:leader="dot"/>
            </w:tabs>
            <w:spacing w:line="240" w:lineRule="auto" w:before="21" w:after="0"/>
            <w:ind w:left="1219" w:right="0" w:hanging="1099"/>
            <w:jc w:val="left"/>
            <w:rPr>
              <w:rFonts w:ascii="Times New Roman" w:eastAsia="Times New Roman"/>
            </w:rPr>
          </w:pPr>
          <w:hyperlink w:history="true" w:anchor="_TOC_250047">
            <w:r>
              <w:rPr/>
              <w:t>严重阿尔茨海默病</w:t>
              <w:tab/>
            </w:r>
            <w:r>
              <w:rPr>
                <w:rFonts w:ascii="Times New Roman" w:eastAsia="Times New Roman"/>
              </w:rPr>
              <w:t>11</w:t>
            </w:r>
          </w:hyperlink>
        </w:p>
        <w:p>
          <w:pPr>
            <w:pStyle w:val="TOC1"/>
            <w:numPr>
              <w:ilvl w:val="2"/>
              <w:numId w:val="10"/>
            </w:numPr>
            <w:tabs>
              <w:tab w:pos="1219" w:val="left" w:leader="none"/>
              <w:tab w:pos="1220" w:val="left" w:leader="none"/>
              <w:tab w:pos="8420" w:val="right" w:leader="dot"/>
            </w:tabs>
            <w:spacing w:line="240" w:lineRule="auto" w:before="21" w:after="0"/>
            <w:ind w:left="1219" w:right="0" w:hanging="1099"/>
            <w:jc w:val="left"/>
            <w:rPr>
              <w:rFonts w:ascii="Times New Roman" w:eastAsia="Times New Roman"/>
            </w:rPr>
          </w:pPr>
          <w:hyperlink w:history="true" w:anchor="_TOC_250046">
            <w:r>
              <w:rPr/>
              <w:t>严重脑损伤</w:t>
              <w:tab/>
            </w:r>
            <w:r>
              <w:rPr>
                <w:rFonts w:ascii="Times New Roman" w:eastAsia="Times New Roman"/>
              </w:rPr>
              <w:t>11</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45">
            <w:r>
              <w:rPr/>
              <w:t>严重帕金森病</w:t>
              <w:tab/>
            </w:r>
            <w:r>
              <w:rPr>
                <w:rFonts w:ascii="Times New Roman" w:eastAsia="Times New Roman"/>
              </w:rPr>
              <w:t>12</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44">
            <w:r>
              <w:rPr/>
              <w:t>严重</w:t>
            </w:r>
            <w:r>
              <w:rPr>
                <w:spacing w:val="-54"/>
              </w:rPr>
              <w:t> </w:t>
            </w:r>
            <w:r>
              <w:rPr/>
              <w:t>III</w:t>
            </w:r>
            <w:r>
              <w:rPr>
                <w:spacing w:val="-55"/>
              </w:rPr>
              <w:t> </w:t>
            </w:r>
            <w:r>
              <w:rPr/>
              <w:t>度烧伤</w:t>
              <w:tab/>
            </w:r>
            <w:r>
              <w:rPr>
                <w:rFonts w:ascii="Times New Roman" w:eastAsia="Times New Roman"/>
              </w:rPr>
              <w:t>12</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43">
            <w:r>
              <w:rPr/>
              <w:t>严重原发性肺动脉高压</w:t>
              <w:tab/>
            </w:r>
            <w:r>
              <w:rPr>
                <w:rFonts w:ascii="Times New Roman" w:eastAsia="Times New Roman"/>
              </w:rPr>
              <w:t>12</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42">
            <w:r>
              <w:rPr/>
              <w:t>严重运动神经元病</w:t>
              <w:tab/>
            </w:r>
            <w:r>
              <w:rPr>
                <w:rFonts w:ascii="Times New Roman" w:eastAsia="Times New Roman"/>
              </w:rPr>
              <w:t>12</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41">
            <w:r>
              <w:rPr/>
              <w:t>语言能力丧失</w:t>
              <w:tab/>
            </w:r>
            <w:r>
              <w:rPr>
                <w:rFonts w:ascii="Times New Roman" w:eastAsia="Times New Roman"/>
              </w:rPr>
              <w:t>12</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40">
            <w:r>
              <w:rPr/>
              <w:t>重型再生障碍性贫血</w:t>
              <w:tab/>
            </w:r>
            <w:r>
              <w:rPr>
                <w:rFonts w:ascii="Times New Roman" w:eastAsia="Times New Roman"/>
              </w:rPr>
              <w:t>12</w:t>
            </w:r>
          </w:hyperlink>
        </w:p>
        <w:p>
          <w:pPr>
            <w:pStyle w:val="TOC1"/>
            <w:numPr>
              <w:ilvl w:val="2"/>
              <w:numId w:val="10"/>
            </w:numPr>
            <w:tabs>
              <w:tab w:pos="1219" w:val="left" w:leader="none"/>
              <w:tab w:pos="1220" w:val="left" w:leader="none"/>
              <w:tab w:pos="8415" w:val="right" w:leader="dot"/>
            </w:tabs>
            <w:spacing w:line="240" w:lineRule="auto" w:before="21" w:after="20"/>
            <w:ind w:left="1219" w:right="0" w:hanging="1099"/>
            <w:jc w:val="left"/>
            <w:rPr>
              <w:rFonts w:ascii="Times New Roman" w:eastAsia="Times New Roman"/>
            </w:rPr>
          </w:pPr>
          <w:hyperlink w:history="true" w:anchor="_TOC_250039">
            <w:r>
              <w:rPr/>
              <w:t>主动脉手术</w:t>
              <w:tab/>
            </w:r>
            <w:r>
              <w:rPr>
                <w:rFonts w:ascii="Times New Roman" w:eastAsia="Times New Roman"/>
              </w:rPr>
              <w:t>12</w:t>
            </w:r>
          </w:hyperlink>
        </w:p>
        <w:p>
          <w:pPr>
            <w:pStyle w:val="TOC1"/>
            <w:numPr>
              <w:ilvl w:val="2"/>
              <w:numId w:val="10"/>
            </w:numPr>
            <w:tabs>
              <w:tab w:pos="1219" w:val="left" w:leader="none"/>
              <w:tab w:pos="1220" w:val="left" w:leader="none"/>
              <w:tab w:pos="8415" w:val="right" w:leader="dot"/>
            </w:tabs>
            <w:spacing w:line="240" w:lineRule="auto" w:before="27" w:after="0"/>
            <w:ind w:left="1219" w:right="0" w:hanging="1099"/>
            <w:jc w:val="left"/>
            <w:rPr>
              <w:rFonts w:ascii="Times New Roman" w:eastAsia="Times New Roman"/>
            </w:rPr>
          </w:pPr>
          <w:hyperlink w:history="true" w:anchor="_TOC_250038">
            <w:r>
              <w:rPr/>
              <w:t>严重多发性硬化</w:t>
              <w:tab/>
            </w:r>
            <w:r>
              <w:rPr>
                <w:rFonts w:ascii="Times New Roman" w:eastAsia="Times New Roman"/>
              </w:rPr>
              <w:t>12</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37">
            <w:r>
              <w:rPr/>
              <w:t>慢性呼吸功能衰竭</w:t>
              <w:tab/>
            </w:r>
            <w:r>
              <w:rPr>
                <w:rFonts w:ascii="Times New Roman" w:eastAsia="Times New Roman"/>
              </w:rPr>
              <w:t>13</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36">
            <w:r>
              <w:rPr/>
              <w:t>严重冠心病</w:t>
              <w:tab/>
            </w:r>
            <w:r>
              <w:rPr>
                <w:rFonts w:ascii="Times New Roman" w:eastAsia="Times New Roman"/>
              </w:rPr>
              <w:t>13</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35">
            <w:r>
              <w:rPr/>
              <w:t>脊髓灰质炎</w:t>
              <w:tab/>
            </w:r>
            <w:r>
              <w:rPr>
                <w:rFonts w:ascii="Times New Roman" w:eastAsia="Times New Roman"/>
              </w:rPr>
              <w:t>13</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34">
            <w:r>
              <w:rPr/>
              <w:t>严重类风湿性关节炎</w:t>
              <w:tab/>
            </w:r>
            <w:r>
              <w:rPr>
                <w:rFonts w:ascii="Times New Roman" w:eastAsia="Times New Roman"/>
              </w:rPr>
              <w:t>13</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33">
            <w:r>
              <w:rPr/>
              <w:t>系统性红斑狼疮</w:t>
            </w:r>
            <w:r>
              <w:rPr>
                <w:spacing w:val="0"/>
              </w:rPr>
              <w:t> </w:t>
            </w:r>
            <w:r>
              <w:rPr/>
              <w:t>－</w:t>
            </w:r>
            <w:r>
              <w:rPr>
                <w:spacing w:val="-1"/>
              </w:rPr>
              <w:t> </w:t>
            </w:r>
            <w:r>
              <w:rPr/>
              <w:t>III</w:t>
            </w:r>
            <w:r>
              <w:rPr>
                <w:spacing w:val="-55"/>
              </w:rPr>
              <w:t> </w:t>
            </w:r>
            <w:r>
              <w:rPr/>
              <w:t>型或以上狼疮性肾炎</w:t>
              <w:tab/>
            </w:r>
            <w:r>
              <w:rPr>
                <w:rFonts w:ascii="Times New Roman" w:eastAsia="Times New Roman"/>
              </w:rPr>
              <w:t>13</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32">
            <w:r>
              <w:rPr/>
              <w:t>严重溃疡性结肠炎</w:t>
              <w:tab/>
            </w:r>
            <w:r>
              <w:rPr>
                <w:rFonts w:ascii="Times New Roman" w:eastAsia="Times New Roman"/>
              </w:rPr>
              <w:t>14</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31">
            <w:r>
              <w:rPr/>
              <w:t>经输血导致的人类免疫缺陷病毒（HIV）感染</w:t>
              <w:tab/>
            </w:r>
            <w:r>
              <w:rPr>
                <w:rFonts w:ascii="Times New Roman" w:eastAsia="Times New Roman"/>
              </w:rPr>
              <w:t>14</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30">
            <w:r>
              <w:rPr/>
              <w:t>严重弥漫性系统性硬皮病</w:t>
              <w:tab/>
            </w:r>
            <w:r>
              <w:rPr>
                <w:rFonts w:ascii="Times New Roman" w:eastAsia="Times New Roman"/>
              </w:rPr>
              <w:t>14</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9">
            <w:r>
              <w:rPr/>
              <w:t>全身性重症肌无力</w:t>
              <w:tab/>
            </w:r>
            <w:r>
              <w:rPr>
                <w:rFonts w:ascii="Times New Roman" w:eastAsia="Times New Roman"/>
              </w:rPr>
              <w:t>14</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8">
            <w:r>
              <w:rPr/>
              <w:t>持续植物人状态</w:t>
              <w:tab/>
            </w:r>
            <w:r>
              <w:rPr>
                <w:rFonts w:ascii="Times New Roman" w:eastAsia="Times New Roman"/>
              </w:rPr>
              <w:t>14</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7">
            <w:r>
              <w:rPr/>
              <w:t>严重心肌病</w:t>
              <w:tab/>
            </w:r>
            <w:r>
              <w:rPr>
                <w:rFonts w:ascii="Times New Roman" w:eastAsia="Times New Roman"/>
              </w:rPr>
              <w:t>15</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6">
            <w:r>
              <w:rPr/>
              <w:t>丝虫病所致象皮病</w:t>
              <w:tab/>
            </w:r>
            <w:r>
              <w:rPr>
                <w:rFonts w:ascii="Times New Roman" w:eastAsia="Times New Roman"/>
              </w:rPr>
              <w:t>15</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5">
            <w:r>
              <w:rPr/>
              <w:t>严重克隆病</w:t>
              <w:tab/>
            </w:r>
            <w:r>
              <w:rPr>
                <w:rFonts w:ascii="Times New Roman" w:eastAsia="Times New Roman"/>
              </w:rPr>
              <w:t>15</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4">
            <w:r>
              <w:rPr/>
              <w:t>重症坏死性筋膜炎</w:t>
              <w:tab/>
            </w:r>
            <w:r>
              <w:rPr>
                <w:rFonts w:ascii="Times New Roman" w:eastAsia="Times New Roman"/>
              </w:rPr>
              <w:t>15</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3">
            <w:r>
              <w:rPr/>
              <w:t>II</w:t>
            </w:r>
            <w:r>
              <w:rPr>
                <w:spacing w:val="-52"/>
              </w:rPr>
              <w:t> </w:t>
            </w:r>
            <w:r>
              <w:rPr/>
              <w:t>级重症急性胰腺炎</w:t>
              <w:tab/>
            </w:r>
            <w:r>
              <w:rPr>
                <w:rFonts w:ascii="Times New Roman" w:eastAsia="Times New Roman"/>
              </w:rPr>
              <w:t>15</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2">
            <w:r>
              <w:rPr/>
              <w:t>1</w:t>
            </w:r>
            <w:r>
              <w:rPr>
                <w:spacing w:val="-52"/>
              </w:rPr>
              <w:t> </w:t>
            </w:r>
            <w:r>
              <w:rPr/>
              <w:t>型糖尿病</w:t>
              <w:tab/>
            </w:r>
            <w:r>
              <w:rPr>
                <w:rFonts w:ascii="Times New Roman" w:eastAsia="Times New Roman"/>
              </w:rPr>
              <w:t>15</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1">
            <w:r>
              <w:rPr/>
              <w:t>严重原发性硬化性胆管炎</w:t>
              <w:tab/>
            </w:r>
            <w:r>
              <w:rPr>
                <w:rFonts w:ascii="Times New Roman" w:eastAsia="Times New Roman"/>
              </w:rPr>
              <w:t>15</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20">
            <w:r>
              <w:rPr/>
              <w:t>特发性慢性肾上腺皮质功能减退</w:t>
              <w:tab/>
            </w:r>
            <w:r>
              <w:rPr>
                <w:rFonts w:ascii="Times New Roman" w:eastAsia="Times New Roman"/>
              </w:rPr>
              <w:t>16</w:t>
            </w:r>
          </w:hyperlink>
        </w:p>
        <w:p>
          <w:pPr>
            <w:pStyle w:val="TOC1"/>
            <w:numPr>
              <w:ilvl w:val="2"/>
              <w:numId w:val="10"/>
            </w:numPr>
            <w:tabs>
              <w:tab w:pos="1219" w:val="left" w:leader="none"/>
              <w:tab w:pos="1220" w:val="left" w:leader="none"/>
              <w:tab w:pos="8415" w:val="right" w:leader="dot"/>
            </w:tabs>
            <w:spacing w:line="240" w:lineRule="auto" w:before="21" w:after="0"/>
            <w:ind w:left="1219" w:right="0" w:hanging="1099"/>
            <w:jc w:val="left"/>
            <w:rPr>
              <w:rFonts w:ascii="Times New Roman" w:eastAsia="Times New Roman"/>
            </w:rPr>
          </w:pPr>
          <w:hyperlink w:history="true" w:anchor="_TOC_250019">
            <w:r>
              <w:rPr/>
              <w:t>嗜铬细胞瘤</w:t>
              <w:tab/>
            </w:r>
            <w:r>
              <w:rPr>
                <w:rFonts w:ascii="Times New Roman" w:eastAsia="Times New Roman"/>
              </w:rPr>
              <w:t>16</w:t>
            </w:r>
          </w:hyperlink>
        </w:p>
        <w:p>
          <w:pPr>
            <w:pStyle w:val="TOC1"/>
            <w:numPr>
              <w:ilvl w:val="1"/>
              <w:numId w:val="11"/>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18">
            <w:r>
              <w:rPr/>
              <w:t>本条款约定确诊日</w:t>
              <w:tab/>
            </w:r>
            <w:r>
              <w:rPr>
                <w:rFonts w:ascii="Times New Roman" w:eastAsia="Times New Roman"/>
              </w:rPr>
              <w:t>16</w:t>
            </w:r>
          </w:hyperlink>
        </w:p>
        <w:p>
          <w:pPr>
            <w:pStyle w:val="TOC1"/>
            <w:numPr>
              <w:ilvl w:val="1"/>
              <w:numId w:val="11"/>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17">
            <w:r>
              <w:rPr/>
              <w:t>白血病</w:t>
              <w:tab/>
            </w:r>
            <w:r>
              <w:rPr>
                <w:rFonts w:ascii="Times New Roman" w:eastAsia="Times New Roman"/>
              </w:rPr>
              <w:t>16</w:t>
            </w:r>
          </w:hyperlink>
        </w:p>
        <w:p>
          <w:pPr>
            <w:pStyle w:val="TOC1"/>
            <w:numPr>
              <w:ilvl w:val="1"/>
              <w:numId w:val="11"/>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16">
            <w:r>
              <w:rPr/>
              <w:t>特定呼吸系统重大疾病</w:t>
              <w:tab/>
            </w:r>
            <w:r>
              <w:rPr>
                <w:rFonts w:ascii="Times New Roman" w:eastAsia="Times New Roman"/>
              </w:rPr>
              <w:t>16</w:t>
            </w:r>
          </w:hyperlink>
        </w:p>
        <w:p>
          <w:pPr>
            <w:pStyle w:val="TOC1"/>
            <w:numPr>
              <w:ilvl w:val="1"/>
              <w:numId w:val="11"/>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15">
            <w:r>
              <w:rPr/>
              <w:t>永久完全残疾</w:t>
              <w:tab/>
            </w:r>
            <w:r>
              <w:rPr>
                <w:rFonts w:ascii="Times New Roman" w:eastAsia="Times New Roman"/>
              </w:rPr>
              <w:t>16</w:t>
            </w:r>
          </w:hyperlink>
        </w:p>
        <w:p>
          <w:pPr>
            <w:pStyle w:val="TOC1"/>
            <w:tabs>
              <w:tab w:pos="959" w:val="left" w:leader="none"/>
              <w:tab w:pos="8415" w:val="right" w:leader="dot"/>
            </w:tabs>
            <w:ind w:left="120" w:firstLine="0"/>
            <w:rPr>
              <w:rFonts w:ascii="Times New Roman" w:eastAsia="Times New Roman"/>
            </w:rPr>
          </w:pPr>
          <w:hyperlink w:history="true" w:anchor="_TOC_250014">
            <w:r>
              <w:rPr/>
              <w:t>13.11</w:t>
              <w:tab/>
              <w:t>毒品</w:t>
              <w:tab/>
            </w:r>
            <w:r>
              <w:rPr>
                <w:rFonts w:ascii="Times New Roman" w:eastAsia="Times New Roman"/>
              </w:rPr>
              <w:t>17</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13">
            <w:r>
              <w:rPr/>
              <w:t>酒后驾驶</w:t>
              <w:tab/>
            </w:r>
            <w:r>
              <w:rPr>
                <w:rFonts w:ascii="Times New Roman" w:eastAsia="Times New Roman"/>
              </w:rPr>
              <w:t>17</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12">
            <w:r>
              <w:rPr/>
              <w:t>无合法有效驾驶证驾驶</w:t>
              <w:tab/>
            </w:r>
            <w:r>
              <w:rPr>
                <w:rFonts w:ascii="Times New Roman" w:eastAsia="Times New Roman"/>
              </w:rPr>
              <w:t>17</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r>
            <w:rPr/>
            <w:t>无有效行驶证</w:t>
            <w:tab/>
          </w:r>
          <w:r>
            <w:rPr>
              <w:rFonts w:ascii="Times New Roman" w:eastAsia="Times New Roman"/>
            </w:rPr>
            <w:t>17</w:t>
          </w:r>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11">
            <w:r>
              <w:rPr/>
              <w:t>感染艾滋病病毒或患艾滋病</w:t>
              <w:tab/>
            </w:r>
            <w:r>
              <w:rPr>
                <w:rFonts w:ascii="Times New Roman" w:eastAsia="Times New Roman"/>
              </w:rPr>
              <w:t>17</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10">
            <w:r>
              <w:rPr/>
              <w:t>遗传性疾病</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9">
            <w:r>
              <w:rPr/>
              <w:t>先天性畸形、变形或染色体异常</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8">
            <w:r>
              <w:rPr/>
              <w:t>现金价值</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7">
            <w:r>
              <w:rPr/>
              <w:t>银行转账交费</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6">
            <w:r>
              <w:rPr/>
              <w:t>本条款约定利率</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5">
            <w:r>
              <w:rPr/>
              <w:t>有效身份证件</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4">
            <w:r>
              <w:rPr/>
              <w:t>专科医生</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3">
            <w:r>
              <w:rPr/>
              <w:t>肢体机能完全丧失</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2">
            <w:r>
              <w:rPr/>
              <w:t>语言能力或咀嚼吞咽能力完全丧失</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1">
            <w:r>
              <w:rPr/>
              <w:t>六项基本日常生活活动</w:t>
              <w:tab/>
            </w:r>
            <w:r>
              <w:rPr>
                <w:rFonts w:ascii="Times New Roman" w:eastAsia="Times New Roman"/>
              </w:rPr>
              <w:t>18</w:t>
            </w:r>
          </w:hyperlink>
        </w:p>
        <w:p>
          <w:pPr>
            <w:pStyle w:val="TOC1"/>
            <w:numPr>
              <w:ilvl w:val="1"/>
              <w:numId w:val="12"/>
            </w:numPr>
            <w:tabs>
              <w:tab w:pos="959" w:val="left" w:leader="none"/>
              <w:tab w:pos="960" w:val="left" w:leader="none"/>
              <w:tab w:pos="8415" w:val="right" w:leader="dot"/>
            </w:tabs>
            <w:spacing w:line="240" w:lineRule="auto" w:before="21" w:after="0"/>
            <w:ind w:left="960" w:right="0" w:hanging="840"/>
            <w:jc w:val="left"/>
            <w:rPr>
              <w:rFonts w:ascii="Times New Roman" w:eastAsia="Times New Roman"/>
            </w:rPr>
          </w:pPr>
          <w:hyperlink w:history="true" w:anchor="_TOC_250000">
            <w:r>
              <w:rPr/>
              <w:t>永久不可逆</w:t>
              <w:tab/>
            </w:r>
            <w:r>
              <w:rPr>
                <w:rFonts w:ascii="Times New Roman" w:eastAsia="Times New Roman"/>
              </w:rPr>
              <w:t>18</w:t>
            </w:r>
          </w:hyperlink>
        </w:p>
      </w:sdtContent>
    </w:sdt>
    <w:p>
      <w:pPr>
        <w:spacing w:after="0" w:line="240" w:lineRule="auto"/>
        <w:jc w:val="left"/>
        <w:rPr>
          <w:rFonts w:ascii="Times New Roman" w:eastAsia="Times New Roman"/>
        </w:rPr>
        <w:sectPr>
          <w:type w:val="continuous"/>
          <w:pgSz w:w="11910" w:h="16840"/>
          <w:pgMar w:top="1400" w:bottom="1686" w:left="1680" w:right="1680"/>
        </w:sectPr>
      </w:pPr>
    </w:p>
    <w:p>
      <w:pPr>
        <w:pStyle w:val="Heading1"/>
        <w:ind w:left="862" w:right="964"/>
      </w:pPr>
      <w:bookmarkStart w:name="合同构成" w:id="1"/>
      <w:bookmarkEnd w:id="1"/>
      <w:r>
        <w:rPr>
          <w:b w:val="0"/>
        </w:rPr>
      </w:r>
      <w:bookmarkStart w:name="投保年龄" w:id="2"/>
      <w:bookmarkEnd w:id="2"/>
      <w:r>
        <w:rPr>
          <w:b w:val="0"/>
        </w:rPr>
      </w:r>
      <w:bookmarkStart w:name="合同成立与生效" w:id="3"/>
      <w:bookmarkEnd w:id="3"/>
      <w:r>
        <w:rPr>
          <w:b w:val="0"/>
        </w:rPr>
      </w:r>
      <w:bookmarkStart w:name="保险责任" w:id="4"/>
      <w:bookmarkEnd w:id="4"/>
      <w:r>
        <w:rPr>
          <w:b w:val="0"/>
        </w:rPr>
      </w:r>
      <w:bookmarkStart w:name="保险责任的开始" w:id="5"/>
      <w:bookmarkEnd w:id="5"/>
      <w:r>
        <w:rPr>
          <w:b w:val="0"/>
        </w:rPr>
      </w:r>
      <w:bookmarkStart w:name="保险期间" w:id="6"/>
      <w:bookmarkEnd w:id="6"/>
      <w:r>
        <w:rPr>
          <w:b w:val="0"/>
        </w:rPr>
      </w:r>
      <w:bookmarkStart w:name="保险金额" w:id="7"/>
      <w:bookmarkEnd w:id="7"/>
      <w:r>
        <w:rPr>
          <w:b w:val="0"/>
        </w:rPr>
      </w:r>
      <w:bookmarkStart w:name="本公司承担的保险责任" w:id="8"/>
      <w:bookmarkEnd w:id="8"/>
      <w:r>
        <w:rPr>
          <w:b w:val="0"/>
        </w:rPr>
      </w:r>
      <w:bookmarkStart w:name="4.4.1.重大疾病保险金" w:id="9"/>
      <w:bookmarkEnd w:id="9"/>
      <w:r>
        <w:rPr>
          <w:b w:val="0"/>
        </w:rPr>
      </w:r>
      <w:bookmarkStart w:name="4.4.2.特定少儿白血病重大疾病保险金" w:id="10"/>
      <w:bookmarkEnd w:id="10"/>
      <w:r>
        <w:rPr>
          <w:b w:val="0"/>
        </w:rPr>
      </w:r>
      <w:r>
        <w:rPr/>
        <w:t>中新大东方重疾无忧重大疾病保险条款</w:t>
      </w:r>
    </w:p>
    <w:p>
      <w:pPr>
        <w:pStyle w:val="BodyText"/>
        <w:spacing w:before="14"/>
        <w:ind w:left="0"/>
        <w:rPr>
          <w:rFonts w:ascii="Microsoft JhengHei"/>
          <w:b/>
          <w:sz w:val="28"/>
        </w:rPr>
      </w:pPr>
    </w:p>
    <w:p>
      <w:pPr>
        <w:pStyle w:val="BodyText"/>
        <w:spacing w:before="0"/>
        <w:ind w:left="863" w:right="960"/>
        <w:jc w:val="center"/>
      </w:pPr>
      <w:r>
        <w:rPr>
          <w:spacing w:val="-16"/>
          <w:w w:val="99"/>
        </w:rPr>
        <w:t>在本条款中，“您”指投保人，“本公司”指中新大东方人寿保险有限公司。</w:t>
      </w:r>
    </w:p>
    <w:p>
      <w:pPr>
        <w:pStyle w:val="BodyText"/>
        <w:ind w:left="863" w:right="964"/>
        <w:jc w:val="center"/>
      </w:pPr>
      <w:r>
        <w:rPr>
          <w:w w:val="95"/>
        </w:rPr>
        <w:t>“中新大东方重疾无忧重大疾病保险合同”在以下条款中简称为“本合同”。</w:t>
      </w:r>
    </w:p>
    <w:p>
      <w:pPr>
        <w:pStyle w:val="Heading2"/>
        <w:numPr>
          <w:ilvl w:val="0"/>
          <w:numId w:val="13"/>
        </w:numPr>
        <w:tabs>
          <w:tab w:pos="551" w:val="left" w:leader="none"/>
          <w:tab w:pos="552" w:val="left" w:leader="none"/>
        </w:tabs>
        <w:spacing w:line="240" w:lineRule="auto" w:before="16" w:after="0"/>
        <w:ind w:left="552" w:right="0" w:hanging="432"/>
        <w:jc w:val="left"/>
      </w:pPr>
      <w:bookmarkStart w:name="_TOC_250124" w:id="11"/>
      <w:bookmarkEnd w:id="11"/>
      <w:r>
        <w:rPr>
          <w:w w:val="95"/>
        </w:rPr>
        <w:t>合同构成</w:t>
      </w:r>
    </w:p>
    <w:p>
      <w:pPr>
        <w:pStyle w:val="BodyText"/>
        <w:spacing w:line="312" w:lineRule="auto" w:before="54"/>
        <w:ind w:right="114"/>
      </w:pPr>
      <w:r>
        <w:rPr>
          <w:spacing w:val="-5"/>
        </w:rPr>
        <w:t>本合同由保险单或其他保险凭证及本保险条款、投保单、与保险合同有关的投保文件、合法</w:t>
      </w:r>
      <w:r>
        <w:rPr>
          <w:spacing w:val="-15"/>
          <w:w w:val="95"/>
        </w:rPr>
        <w:t>有效的声明、批注、附贴批单、附加险条款、复效申请书、健康声明书、其他书面协议构成。</w:t>
      </w:r>
    </w:p>
    <w:p>
      <w:pPr>
        <w:pStyle w:val="Heading2"/>
        <w:numPr>
          <w:ilvl w:val="0"/>
          <w:numId w:val="13"/>
        </w:numPr>
        <w:tabs>
          <w:tab w:pos="544" w:val="left" w:leader="none"/>
          <w:tab w:pos="545" w:val="left" w:leader="none"/>
        </w:tabs>
        <w:spacing w:line="311" w:lineRule="exact" w:before="0" w:after="0"/>
        <w:ind w:left="544" w:right="0" w:hanging="424"/>
        <w:jc w:val="left"/>
      </w:pPr>
      <w:bookmarkStart w:name="_TOC_250123" w:id="12"/>
      <w:bookmarkEnd w:id="12"/>
      <w:r>
        <w:rPr>
          <w:w w:val="95"/>
        </w:rPr>
        <w:t>投保年龄</w:t>
      </w:r>
    </w:p>
    <w:p>
      <w:pPr>
        <w:pStyle w:val="BodyText"/>
        <w:spacing w:line="360" w:lineRule="exact" w:before="0"/>
      </w:pPr>
      <w:r>
        <w:rPr>
          <w:spacing w:val="-1"/>
          <w:w w:val="95"/>
        </w:rPr>
        <w:t>投保年龄指您投保时被保险人的年龄，被保险人的投保年龄以</w:t>
      </w:r>
      <w:r>
        <w:rPr>
          <w:rFonts w:ascii="Microsoft JhengHei" w:eastAsia="Microsoft JhengHei" w:hint="eastAsia"/>
          <w:b/>
          <w:spacing w:val="-43"/>
          <w:w w:val="95"/>
        </w:rPr>
        <w:t>周</w:t>
      </w:r>
      <w:r>
        <w:rPr>
          <w:spacing w:val="-209"/>
          <w:w w:val="95"/>
          <w:position w:val="1"/>
        </w:rPr>
        <w:t>岁</w:t>
      </w:r>
      <w:r>
        <w:rPr>
          <w:spacing w:val="-209"/>
          <w:w w:val="95"/>
        </w:rPr>
        <w:t>岁岁</w:t>
      </w:r>
      <w:r>
        <w:rPr>
          <w:spacing w:val="-10"/>
          <w:w w:val="95"/>
        </w:rPr>
        <w:t>岁(见释义</w:t>
      </w:r>
      <w:r>
        <w:rPr>
          <w:w w:val="95"/>
        </w:rPr>
        <w:t>13.1)计算。</w:t>
      </w:r>
    </w:p>
    <w:p>
      <w:pPr>
        <w:pStyle w:val="BodyText"/>
        <w:spacing w:line="312" w:lineRule="auto" w:before="56"/>
        <w:ind w:right="221"/>
      </w:pPr>
      <w:r>
        <w:rPr>
          <w:w w:val="95"/>
        </w:rPr>
        <w:t>本合同接受的被保险人投保年龄范围为：0周岁至60周岁。投保时，被保险人为0</w:t>
      </w:r>
      <w:r>
        <w:rPr>
          <w:spacing w:val="-20"/>
          <w:w w:val="95"/>
        </w:rPr>
        <w:t>周岁的，应   当为出生满30日且已健康出院的婴儿。</w:t>
      </w:r>
    </w:p>
    <w:p>
      <w:pPr>
        <w:pStyle w:val="Heading2"/>
        <w:numPr>
          <w:ilvl w:val="0"/>
          <w:numId w:val="13"/>
        </w:numPr>
        <w:tabs>
          <w:tab w:pos="544" w:val="left" w:leader="none"/>
          <w:tab w:pos="545" w:val="left" w:leader="none"/>
        </w:tabs>
        <w:spacing w:line="316" w:lineRule="exact" w:before="0" w:after="0"/>
        <w:ind w:left="544" w:right="0" w:hanging="424"/>
        <w:jc w:val="left"/>
      </w:pPr>
      <w:bookmarkStart w:name="_TOC_250122" w:id="13"/>
      <w:bookmarkEnd w:id="13"/>
      <w:r>
        <w:rPr>
          <w:w w:val="95"/>
        </w:rPr>
        <w:t>合同成立与生效</w:t>
      </w:r>
    </w:p>
    <w:p>
      <w:pPr>
        <w:pStyle w:val="BodyText"/>
        <w:spacing w:before="57"/>
      </w:pPr>
      <w:r>
        <w:rPr>
          <w:w w:val="95"/>
        </w:rPr>
        <w:t>您提出保险申请、本公司同意承保，本合同成立。</w:t>
      </w:r>
    </w:p>
    <w:p>
      <w:pPr>
        <w:pStyle w:val="BodyText"/>
        <w:spacing w:line="309" w:lineRule="auto"/>
        <w:ind w:right="335"/>
      </w:pPr>
      <w:r>
        <w:rPr/>
        <w:t>本合同的生效日以保险单所载的日期为准。本合同生效日以后每年的对应日为年生效对应</w:t>
      </w:r>
      <w:r>
        <w:rPr>
          <w:w w:val="95"/>
        </w:rPr>
        <w:t>日、保单周年日。</w:t>
      </w:r>
    </w:p>
    <w:p>
      <w:pPr>
        <w:pStyle w:val="BodyText"/>
        <w:spacing w:line="321" w:lineRule="exact" w:before="0"/>
        <w:ind w:left="113"/>
      </w:pPr>
      <w:r>
        <w:rPr>
          <w:rFonts w:ascii="Microsoft JhengHei" w:eastAsia="Microsoft JhengHei" w:hint="eastAsia"/>
          <w:b/>
          <w:spacing w:val="-43"/>
          <w:w w:val="99"/>
        </w:rPr>
        <w:t>保</w:t>
      </w:r>
      <w:r>
        <w:rPr>
          <w:w w:val="99"/>
          <w:position w:val="1"/>
        </w:rPr>
        <w:t>单</w:t>
      </w:r>
      <w:r>
        <w:rPr>
          <w:spacing w:val="-462"/>
          <w:w w:val="99"/>
          <w:position w:val="1"/>
        </w:rPr>
        <w:t>年</w:t>
      </w:r>
      <w:r>
        <w:rPr>
          <w:w w:val="99"/>
        </w:rPr>
        <w:t>单</w:t>
      </w:r>
      <w:r>
        <w:rPr>
          <w:spacing w:val="-458"/>
          <w:w w:val="99"/>
        </w:rPr>
        <w:t>年</w:t>
      </w:r>
      <w:r>
        <w:rPr>
          <w:w w:val="99"/>
        </w:rPr>
        <w:t>单</w:t>
      </w:r>
      <w:r>
        <w:rPr>
          <w:spacing w:val="-461"/>
          <w:w w:val="99"/>
        </w:rPr>
        <w:t>年</w:t>
      </w:r>
      <w:r>
        <w:rPr>
          <w:spacing w:val="-25"/>
          <w:w w:val="99"/>
        </w:rPr>
        <w:t>单年</w:t>
      </w:r>
      <w:r>
        <w:rPr>
          <w:spacing w:val="-254"/>
          <w:w w:val="99"/>
          <w:position w:val="1"/>
        </w:rPr>
        <w:t>度</w:t>
      </w:r>
      <w:r>
        <w:rPr>
          <w:spacing w:val="-251"/>
          <w:w w:val="99"/>
        </w:rPr>
        <w:t>度度</w:t>
      </w:r>
      <w:r>
        <w:rPr>
          <w:spacing w:val="-43"/>
          <w:w w:val="99"/>
        </w:rPr>
        <w:t>度</w:t>
      </w:r>
      <w:r>
        <w:rPr>
          <w:spacing w:val="1"/>
          <w:w w:val="99"/>
        </w:rPr>
        <w:t>（</w:t>
      </w:r>
      <w:r>
        <w:rPr>
          <w:spacing w:val="-1"/>
          <w:w w:val="99"/>
        </w:rPr>
        <w:t>见释义</w:t>
      </w:r>
      <w:r>
        <w:rPr>
          <w:spacing w:val="0"/>
          <w:w w:val="99"/>
        </w:rPr>
        <w:t>13.</w:t>
      </w:r>
      <w:r>
        <w:rPr>
          <w:spacing w:val="-2"/>
          <w:w w:val="99"/>
        </w:rPr>
        <w:t>2</w:t>
      </w:r>
      <w:r>
        <w:rPr>
          <w:spacing w:val="-104"/>
          <w:w w:val="99"/>
        </w:rPr>
        <w:t>）</w:t>
      </w:r>
      <w:r>
        <w:rPr>
          <w:spacing w:val="-7"/>
          <w:w w:val="99"/>
        </w:rPr>
        <w:t>、</w:t>
      </w:r>
      <w:r>
        <w:rPr>
          <w:spacing w:val="-254"/>
          <w:w w:val="99"/>
          <w:position w:val="1"/>
        </w:rPr>
        <w:t>保</w:t>
      </w:r>
      <w:r>
        <w:rPr>
          <w:spacing w:val="-251"/>
          <w:w w:val="99"/>
        </w:rPr>
        <w:t>保保</w:t>
      </w:r>
      <w:r>
        <w:rPr>
          <w:spacing w:val="-25"/>
          <w:w w:val="99"/>
        </w:rPr>
        <w:t>保险</w:t>
      </w:r>
      <w:r>
        <w:rPr>
          <w:spacing w:val="-462"/>
          <w:w w:val="99"/>
        </w:rPr>
        <w:t>费</w:t>
      </w:r>
      <w:r>
        <w:rPr>
          <w:w w:val="99"/>
          <w:position w:val="1"/>
        </w:rPr>
        <w:t>险</w:t>
      </w:r>
      <w:r>
        <w:rPr>
          <w:spacing w:val="-458"/>
          <w:w w:val="99"/>
          <w:position w:val="1"/>
        </w:rPr>
        <w:t>费</w:t>
      </w:r>
      <w:r>
        <w:rPr>
          <w:w w:val="99"/>
        </w:rPr>
        <w:t>险</w:t>
      </w:r>
      <w:r>
        <w:rPr>
          <w:spacing w:val="-461"/>
          <w:w w:val="99"/>
        </w:rPr>
        <w:t>费</w:t>
      </w:r>
      <w:r>
        <w:rPr>
          <w:spacing w:val="-25"/>
          <w:w w:val="99"/>
        </w:rPr>
        <w:t>险费</w:t>
      </w:r>
      <w:r>
        <w:rPr>
          <w:w w:val="99"/>
          <w:position w:val="1"/>
        </w:rPr>
        <w:t>约</w:t>
      </w:r>
      <w:r>
        <w:rPr>
          <w:spacing w:val="-462"/>
          <w:w w:val="99"/>
          <w:position w:val="1"/>
        </w:rPr>
        <w:t>定</w:t>
      </w:r>
      <w:r>
        <w:rPr>
          <w:w w:val="99"/>
        </w:rPr>
        <w:t>约</w:t>
      </w:r>
      <w:r>
        <w:rPr>
          <w:spacing w:val="-458"/>
          <w:w w:val="99"/>
        </w:rPr>
        <w:t>定</w:t>
      </w:r>
      <w:r>
        <w:rPr>
          <w:w w:val="99"/>
        </w:rPr>
        <w:t>约</w:t>
      </w:r>
      <w:r>
        <w:rPr>
          <w:spacing w:val="-461"/>
          <w:w w:val="99"/>
        </w:rPr>
        <w:t>定</w:t>
      </w:r>
      <w:r>
        <w:rPr>
          <w:spacing w:val="-25"/>
          <w:w w:val="99"/>
        </w:rPr>
        <w:t>约定</w:t>
      </w:r>
      <w:r>
        <w:rPr>
          <w:w w:val="99"/>
          <w:position w:val="1"/>
        </w:rPr>
        <w:t>支</w:t>
      </w:r>
      <w:r>
        <w:rPr>
          <w:spacing w:val="-462"/>
          <w:w w:val="99"/>
          <w:position w:val="1"/>
        </w:rPr>
        <w:t>付</w:t>
      </w:r>
      <w:r>
        <w:rPr>
          <w:w w:val="99"/>
        </w:rPr>
        <w:t>支</w:t>
      </w:r>
      <w:r>
        <w:rPr>
          <w:spacing w:val="-458"/>
          <w:w w:val="99"/>
        </w:rPr>
        <w:t>付</w:t>
      </w:r>
      <w:r>
        <w:rPr>
          <w:w w:val="99"/>
        </w:rPr>
        <w:t>支</w:t>
      </w:r>
      <w:r>
        <w:rPr>
          <w:spacing w:val="-461"/>
          <w:w w:val="99"/>
        </w:rPr>
        <w:t>付</w:t>
      </w:r>
      <w:r>
        <w:rPr>
          <w:spacing w:val="-25"/>
          <w:w w:val="99"/>
        </w:rPr>
        <w:t>支付</w:t>
      </w:r>
      <w:r>
        <w:rPr>
          <w:spacing w:val="-254"/>
          <w:w w:val="99"/>
          <w:position w:val="1"/>
        </w:rPr>
        <w:t>日</w:t>
      </w:r>
      <w:r>
        <w:rPr>
          <w:spacing w:val="-251"/>
          <w:w w:val="99"/>
        </w:rPr>
        <w:t>日日</w:t>
      </w:r>
      <w:r>
        <w:rPr>
          <w:spacing w:val="-38"/>
          <w:w w:val="99"/>
        </w:rPr>
        <w:t>日</w:t>
      </w:r>
      <w:r>
        <w:rPr>
          <w:spacing w:val="1"/>
          <w:w w:val="99"/>
        </w:rPr>
        <w:t>（</w:t>
      </w:r>
      <w:r>
        <w:rPr>
          <w:spacing w:val="-1"/>
          <w:w w:val="99"/>
        </w:rPr>
        <w:t>见释义</w:t>
      </w:r>
      <w:r>
        <w:rPr>
          <w:spacing w:val="0"/>
          <w:w w:val="99"/>
        </w:rPr>
        <w:t>13.</w:t>
      </w:r>
      <w:r>
        <w:rPr>
          <w:spacing w:val="-2"/>
          <w:w w:val="99"/>
        </w:rPr>
        <w:t>3</w:t>
      </w:r>
      <w:r>
        <w:rPr>
          <w:spacing w:val="1"/>
          <w:w w:val="99"/>
        </w:rPr>
        <w:t>）</w:t>
      </w:r>
      <w:r>
        <w:rPr>
          <w:w w:val="99"/>
        </w:rPr>
        <w:t>和保险单</w:t>
      </w:r>
      <w:r>
        <w:rPr>
          <w:spacing w:val="-199"/>
          <w:w w:val="99"/>
        </w:rPr>
        <w:t>满</w:t>
      </w:r>
      <w:r>
        <w:rPr>
          <w:w w:val="95"/>
        </w:rPr>
        <w:t>期日均以生效日为</w:t>
      </w:r>
    </w:p>
    <w:p>
      <w:pPr>
        <w:pStyle w:val="BodyText"/>
        <w:spacing w:before="57"/>
      </w:pPr>
      <w:r>
        <w:rPr>
          <w:w w:val="95"/>
        </w:rPr>
        <w:t>基础进行计算。如果当月无对应的同一日，则以该月最后一日作为对应日。</w:t>
      </w:r>
    </w:p>
    <w:p>
      <w:pPr>
        <w:pStyle w:val="Heading2"/>
        <w:numPr>
          <w:ilvl w:val="0"/>
          <w:numId w:val="13"/>
        </w:numPr>
        <w:tabs>
          <w:tab w:pos="544" w:val="left" w:leader="none"/>
          <w:tab w:pos="545" w:val="left" w:leader="none"/>
        </w:tabs>
        <w:spacing w:line="360" w:lineRule="exact" w:before="13" w:after="0"/>
        <w:ind w:left="544" w:right="0" w:hanging="424"/>
        <w:jc w:val="left"/>
      </w:pPr>
      <w:bookmarkStart w:name="_TOC_250121" w:id="14"/>
      <w:bookmarkEnd w:id="14"/>
      <w:r>
        <w:rPr>
          <w:w w:val="95"/>
        </w:rPr>
        <w:t>保险责任</w:t>
      </w:r>
    </w:p>
    <w:p>
      <w:pPr>
        <w:pStyle w:val="Heading2"/>
        <w:numPr>
          <w:ilvl w:val="1"/>
          <w:numId w:val="13"/>
        </w:numPr>
        <w:tabs>
          <w:tab w:pos="696" w:val="left" w:leader="none"/>
        </w:tabs>
        <w:spacing w:line="355" w:lineRule="exact" w:before="0" w:after="0"/>
        <w:ind w:left="696" w:right="0" w:hanging="576"/>
        <w:jc w:val="left"/>
      </w:pPr>
      <w:bookmarkStart w:name="_TOC_250120" w:id="15"/>
      <w:bookmarkEnd w:id="15"/>
      <w:r>
        <w:rPr>
          <w:w w:val="95"/>
        </w:rPr>
        <w:t>保险责任的开始</w:t>
      </w:r>
    </w:p>
    <w:p>
      <w:pPr>
        <w:pStyle w:val="Heading2"/>
        <w:numPr>
          <w:ilvl w:val="1"/>
          <w:numId w:val="13"/>
        </w:numPr>
        <w:tabs>
          <w:tab w:pos="696" w:val="left" w:leader="none"/>
        </w:tabs>
        <w:spacing w:line="360" w:lineRule="exact" w:before="0" w:after="0"/>
        <w:ind w:left="696" w:right="0" w:hanging="576"/>
        <w:jc w:val="left"/>
      </w:pPr>
      <w:bookmarkStart w:name="_TOC_250119" w:id="16"/>
      <w:bookmarkEnd w:id="16"/>
      <w:r>
        <w:rPr>
          <w:w w:val="95"/>
        </w:rPr>
        <w:t>保险期间</w:t>
      </w:r>
    </w:p>
    <w:p>
      <w:pPr>
        <w:pStyle w:val="BodyText"/>
        <w:spacing w:line="312" w:lineRule="auto" w:before="55"/>
        <w:ind w:right="219"/>
      </w:pPr>
      <w:r>
        <w:rPr>
          <w:w w:val="95"/>
        </w:rPr>
        <w:t>本合同的保险期间有20</w:t>
      </w:r>
      <w:r>
        <w:rPr>
          <w:spacing w:val="-15"/>
          <w:w w:val="95"/>
        </w:rPr>
        <w:t>年、</w:t>
      </w:r>
      <w:r>
        <w:rPr>
          <w:w w:val="95"/>
        </w:rPr>
        <w:t>30</w:t>
      </w:r>
      <w:r>
        <w:rPr>
          <w:spacing w:val="-6"/>
          <w:w w:val="95"/>
        </w:rPr>
        <w:t>年、至被保险人</w:t>
      </w:r>
      <w:r>
        <w:rPr>
          <w:w w:val="95"/>
        </w:rPr>
        <w:t>80</w:t>
      </w:r>
      <w:r>
        <w:rPr>
          <w:spacing w:val="-6"/>
          <w:w w:val="95"/>
        </w:rPr>
        <w:t>周岁，保险期间自本合同生效日零时起至保   险单上载明的保险期间期满日的24时止。</w:t>
      </w:r>
    </w:p>
    <w:p>
      <w:pPr>
        <w:pStyle w:val="Heading2"/>
        <w:numPr>
          <w:ilvl w:val="1"/>
          <w:numId w:val="13"/>
        </w:numPr>
        <w:tabs>
          <w:tab w:pos="696" w:val="left" w:leader="none"/>
        </w:tabs>
        <w:spacing w:line="316" w:lineRule="exact" w:before="0" w:after="0"/>
        <w:ind w:left="696" w:right="0" w:hanging="576"/>
        <w:jc w:val="left"/>
      </w:pPr>
      <w:bookmarkStart w:name="_TOC_250118" w:id="17"/>
      <w:bookmarkEnd w:id="17"/>
      <w:r>
        <w:rPr>
          <w:w w:val="95"/>
        </w:rPr>
        <w:t>保险金额</w:t>
      </w:r>
    </w:p>
    <w:p>
      <w:pPr>
        <w:pStyle w:val="BodyText"/>
        <w:spacing w:line="309" w:lineRule="auto" w:before="57"/>
        <w:ind w:right="217"/>
      </w:pPr>
      <w:r>
        <w:rPr>
          <w:w w:val="95"/>
        </w:rPr>
        <w:t>本合同的基本保险金额由您在投保时与本公司约定并在保险单上载明。如该金额有所变更</w:t>
      </w:r>
      <w:r>
        <w:rPr>
          <w:w w:val="85"/>
        </w:rPr>
        <w:t>，  </w:t>
      </w:r>
      <w:r>
        <w:rPr>
          <w:w w:val="95"/>
        </w:rPr>
        <w:t>则以变更后的金额为基本保险金额。</w:t>
      </w:r>
    </w:p>
    <w:p>
      <w:pPr>
        <w:pStyle w:val="Heading2"/>
        <w:numPr>
          <w:ilvl w:val="1"/>
          <w:numId w:val="13"/>
        </w:numPr>
        <w:tabs>
          <w:tab w:pos="696" w:val="left" w:leader="none"/>
        </w:tabs>
        <w:spacing w:line="321" w:lineRule="exact" w:before="0" w:after="0"/>
        <w:ind w:left="696" w:right="0" w:hanging="576"/>
        <w:jc w:val="left"/>
      </w:pPr>
      <w:bookmarkStart w:name="_TOC_250117" w:id="18"/>
      <w:bookmarkEnd w:id="18"/>
      <w:r>
        <w:rPr>
          <w:w w:val="95"/>
        </w:rPr>
        <w:t>本公司承担的保险责任</w:t>
      </w:r>
    </w:p>
    <w:p>
      <w:pPr>
        <w:pStyle w:val="BodyText"/>
        <w:spacing w:before="56"/>
      </w:pPr>
      <w:r>
        <w:rPr>
          <w:w w:val="95"/>
        </w:rPr>
        <w:t>在本合同有效保险期间内，本公司承担如下保险金给付责任：</w:t>
      </w:r>
    </w:p>
    <w:p>
      <w:pPr>
        <w:pStyle w:val="Heading2"/>
        <w:numPr>
          <w:ilvl w:val="2"/>
          <w:numId w:val="13"/>
        </w:numPr>
        <w:tabs>
          <w:tab w:pos="860" w:val="left" w:leader="none"/>
        </w:tabs>
        <w:spacing w:line="360" w:lineRule="exact" w:before="12" w:after="0"/>
        <w:ind w:left="859" w:right="0" w:hanging="739"/>
        <w:jc w:val="left"/>
      </w:pPr>
      <w:bookmarkStart w:name="_TOC_250116" w:id="19"/>
      <w:bookmarkEnd w:id="19"/>
      <w:r>
        <w:rPr>
          <w:w w:val="95"/>
        </w:rPr>
        <w:t>重大疾病保险金</w:t>
      </w:r>
    </w:p>
    <w:p>
      <w:pPr>
        <w:pStyle w:val="BodyText"/>
        <w:spacing w:line="256" w:lineRule="auto" w:before="0"/>
        <w:ind w:right="210"/>
        <w:jc w:val="both"/>
      </w:pPr>
      <w:r>
        <w:rPr>
          <w:spacing w:val="0"/>
          <w:w w:val="99"/>
        </w:rPr>
        <w:t>从本合同生效日起</w:t>
      </w:r>
      <w:r>
        <w:rPr>
          <w:spacing w:val="-46"/>
        </w:rPr>
        <w:t> </w:t>
      </w:r>
      <w:r>
        <w:rPr>
          <w:spacing w:val="0"/>
          <w:w w:val="99"/>
        </w:rPr>
        <w:t>18</w:t>
      </w:r>
      <w:r>
        <w:rPr>
          <w:w w:val="99"/>
        </w:rPr>
        <w:t>0</w:t>
      </w:r>
      <w:r>
        <w:rPr>
          <w:spacing w:val="-51"/>
        </w:rPr>
        <w:t> </w:t>
      </w:r>
      <w:r>
        <w:rPr>
          <w:spacing w:val="0"/>
          <w:w w:val="99"/>
        </w:rPr>
        <w:t>日内或最后复效日起</w:t>
      </w:r>
      <w:r>
        <w:rPr>
          <w:spacing w:val="-46"/>
        </w:rPr>
        <w:t> </w:t>
      </w:r>
      <w:r>
        <w:rPr>
          <w:spacing w:val="0"/>
          <w:w w:val="99"/>
        </w:rPr>
        <w:t>18</w:t>
      </w:r>
      <w:r>
        <w:rPr>
          <w:w w:val="99"/>
        </w:rPr>
        <w:t>0</w:t>
      </w:r>
      <w:r>
        <w:rPr>
          <w:spacing w:val="-51"/>
        </w:rPr>
        <w:t> </w:t>
      </w:r>
      <w:r>
        <w:rPr>
          <w:spacing w:val="0"/>
          <w:w w:val="99"/>
        </w:rPr>
        <w:t>日内，被保险人</w:t>
      </w:r>
      <w:r>
        <w:rPr>
          <w:rFonts w:ascii="Microsoft JhengHei" w:eastAsia="Microsoft JhengHei" w:hint="eastAsia"/>
          <w:b/>
          <w:spacing w:val="-40"/>
          <w:w w:val="99"/>
        </w:rPr>
        <w:t>初</w:t>
      </w:r>
      <w:r>
        <w:rPr>
          <w:spacing w:val="-254"/>
          <w:w w:val="99"/>
          <w:position w:val="1"/>
        </w:rPr>
        <w:t>次</w:t>
      </w:r>
      <w:r>
        <w:rPr>
          <w:spacing w:val="-251"/>
          <w:w w:val="99"/>
        </w:rPr>
        <w:t>次次</w:t>
      </w:r>
      <w:r>
        <w:rPr>
          <w:spacing w:val="-49"/>
          <w:w w:val="99"/>
        </w:rPr>
        <w:t>次</w:t>
      </w:r>
      <w:r>
        <w:rPr>
          <w:spacing w:val="-254"/>
          <w:w w:val="99"/>
          <w:position w:val="1"/>
        </w:rPr>
        <w:t>发</w:t>
      </w:r>
      <w:r>
        <w:rPr>
          <w:spacing w:val="-251"/>
          <w:w w:val="99"/>
        </w:rPr>
        <w:t>发发</w:t>
      </w:r>
      <w:r>
        <w:rPr>
          <w:spacing w:val="-49"/>
          <w:w w:val="99"/>
        </w:rPr>
        <w:t>发</w:t>
      </w:r>
      <w:r>
        <w:rPr>
          <w:w w:val="99"/>
          <w:position w:val="1"/>
        </w:rPr>
        <w:t>T</w:t>
      </w:r>
      <w:r>
        <w:rPr>
          <w:spacing w:val="-254"/>
          <w:w w:val="99"/>
          <w:position w:val="1"/>
        </w:rPr>
        <w:t>h</w:t>
      </w:r>
      <w:r>
        <w:rPr>
          <w:w w:val="99"/>
        </w:rPr>
        <w:t>T</w:t>
      </w:r>
      <w:r>
        <w:rPr>
          <w:spacing w:val="-249"/>
          <w:w w:val="99"/>
        </w:rPr>
        <w:t>h</w:t>
      </w:r>
      <w:r>
        <w:rPr>
          <w:w w:val="99"/>
        </w:rPr>
        <w:t>T</w:t>
      </w:r>
      <w:r>
        <w:rPr>
          <w:spacing w:val="-252"/>
          <w:w w:val="99"/>
        </w:rPr>
        <w:t>h</w:t>
      </w:r>
      <w:r>
        <w:rPr>
          <w:w w:val="99"/>
        </w:rPr>
        <w:t>T</w:t>
      </w:r>
      <w:r>
        <w:rPr>
          <w:spacing w:val="-44"/>
          <w:w w:val="99"/>
        </w:rPr>
        <w:t>h</w:t>
      </w:r>
      <w:r>
        <w:rPr>
          <w:spacing w:val="-36"/>
          <w:w w:val="99"/>
        </w:rPr>
        <w:t>（</w:t>
      </w:r>
      <w:r>
        <w:rPr>
          <w:w w:val="99"/>
        </w:rPr>
        <w:t>见释义</w:t>
      </w:r>
      <w:r>
        <w:rPr>
          <w:spacing w:val="-48"/>
        </w:rPr>
        <w:t> </w:t>
      </w:r>
      <w:r>
        <w:rPr>
          <w:spacing w:val="-11"/>
          <w:w w:val="99"/>
        </w:rPr>
        <w:t>13</w:t>
      </w:r>
      <w:r>
        <w:rPr>
          <w:spacing w:val="-14"/>
          <w:w w:val="99"/>
        </w:rPr>
        <w:t>.</w:t>
      </w:r>
      <w:r>
        <w:rPr>
          <w:spacing w:val="-11"/>
          <w:w w:val="99"/>
        </w:rPr>
        <w:t>4</w:t>
      </w:r>
      <w:r>
        <w:rPr>
          <w:spacing w:val="-12"/>
          <w:w w:val="99"/>
        </w:rPr>
        <w:t>）</w:t>
      </w:r>
      <w:r>
        <w:rPr>
          <w:spacing w:val="-3"/>
          <w:w w:val="99"/>
        </w:rPr>
        <w:t>并经</w:t>
      </w:r>
      <w:r>
        <w:rPr>
          <w:rFonts w:ascii="Microsoft JhengHei" w:eastAsia="Microsoft JhengHei" w:hint="eastAsia"/>
          <w:b/>
          <w:spacing w:val="-43"/>
          <w:w w:val="99"/>
        </w:rPr>
        <w:t>医</w:t>
      </w:r>
      <w:r>
        <w:rPr>
          <w:spacing w:val="-254"/>
          <w:w w:val="99"/>
          <w:position w:val="1"/>
        </w:rPr>
        <w:t>院</w:t>
      </w:r>
      <w:r>
        <w:rPr>
          <w:spacing w:val="-251"/>
          <w:w w:val="99"/>
        </w:rPr>
        <w:t>院院</w:t>
      </w:r>
      <w:r>
        <w:rPr>
          <w:spacing w:val="-75"/>
          <w:w w:val="99"/>
        </w:rPr>
        <w:t>院</w:t>
      </w:r>
      <w:r>
        <w:rPr>
          <w:spacing w:val="-36"/>
          <w:w w:val="99"/>
        </w:rPr>
        <w:t>（</w:t>
      </w:r>
      <w:r>
        <w:rPr>
          <w:w w:val="99"/>
        </w:rPr>
        <w:t>见释义</w:t>
      </w:r>
      <w:r>
        <w:rPr>
          <w:spacing w:val="-50"/>
        </w:rPr>
        <w:t> </w:t>
      </w:r>
      <w:r>
        <w:rPr>
          <w:spacing w:val="0"/>
          <w:w w:val="99"/>
        </w:rPr>
        <w:t>13.</w:t>
      </w:r>
      <w:r>
        <w:rPr>
          <w:spacing w:val="-2"/>
          <w:w w:val="99"/>
        </w:rPr>
        <w:t>5</w:t>
      </w:r>
      <w:r>
        <w:rPr>
          <w:spacing w:val="-24"/>
          <w:w w:val="99"/>
        </w:rPr>
        <w:t>）</w:t>
      </w:r>
      <w:r>
        <w:rPr>
          <w:w w:val="99"/>
        </w:rPr>
        <w:t>确诊患本合同所界定的</w:t>
      </w:r>
      <w:r>
        <w:rPr>
          <w:spacing w:val="-57"/>
        </w:rPr>
        <w:t> </w:t>
      </w:r>
      <w:r>
        <w:rPr>
          <w:spacing w:val="-149"/>
          <w:w w:val="99"/>
          <w:position w:val="1"/>
        </w:rPr>
        <w:t>4</w:t>
      </w:r>
      <w:r>
        <w:rPr>
          <w:spacing w:val="-145"/>
          <w:w w:val="99"/>
        </w:rPr>
        <w:t>4</w:t>
      </w:r>
      <w:r>
        <w:rPr>
          <w:spacing w:val="-147"/>
          <w:w w:val="99"/>
        </w:rPr>
        <w:t>4</w:t>
      </w:r>
      <w:r>
        <w:rPr>
          <w:spacing w:val="-48"/>
          <w:w w:val="99"/>
        </w:rPr>
        <w:t>4</w:t>
      </w:r>
      <w:r>
        <w:rPr>
          <w:spacing w:val="-149"/>
          <w:w w:val="99"/>
          <w:position w:val="1"/>
        </w:rPr>
        <w:t>5</w:t>
      </w:r>
      <w:r>
        <w:rPr>
          <w:spacing w:val="-145"/>
          <w:w w:val="99"/>
        </w:rPr>
        <w:t>5</w:t>
      </w:r>
      <w:r>
        <w:rPr>
          <w:spacing w:val="-147"/>
          <w:w w:val="99"/>
        </w:rPr>
        <w:t>5</w:t>
      </w:r>
      <w:r>
        <w:rPr>
          <w:w w:val="99"/>
        </w:rPr>
        <w:t>5</w:t>
      </w:r>
      <w:r>
        <w:rPr>
          <w:spacing w:val="-254"/>
          <w:w w:val="99"/>
          <w:position w:val="1"/>
        </w:rPr>
        <w:t>种</w:t>
      </w:r>
      <w:r>
        <w:rPr>
          <w:spacing w:val="-251"/>
          <w:w w:val="99"/>
        </w:rPr>
        <w:t>种种</w:t>
      </w:r>
      <w:r>
        <w:rPr>
          <w:spacing w:val="-49"/>
          <w:w w:val="99"/>
        </w:rPr>
        <w:t>种</w:t>
      </w:r>
      <w:r>
        <w:rPr>
          <w:spacing w:val="-254"/>
          <w:w w:val="99"/>
          <w:position w:val="1"/>
        </w:rPr>
        <w:t>重</w:t>
      </w:r>
      <w:r>
        <w:rPr>
          <w:spacing w:val="-251"/>
          <w:w w:val="99"/>
        </w:rPr>
        <w:t>重重</w:t>
      </w:r>
      <w:r>
        <w:rPr>
          <w:spacing w:val="-49"/>
          <w:w w:val="99"/>
        </w:rPr>
        <w:t>重</w:t>
      </w:r>
      <w:r>
        <w:rPr>
          <w:spacing w:val="-254"/>
          <w:w w:val="99"/>
          <w:position w:val="1"/>
        </w:rPr>
        <w:t>大</w:t>
      </w:r>
      <w:r>
        <w:rPr>
          <w:spacing w:val="-251"/>
          <w:w w:val="99"/>
        </w:rPr>
        <w:t>大大</w:t>
      </w:r>
      <w:r>
        <w:rPr>
          <w:spacing w:val="-49"/>
          <w:w w:val="99"/>
        </w:rPr>
        <w:t>大</w:t>
      </w:r>
      <w:r>
        <w:rPr>
          <w:spacing w:val="-254"/>
          <w:w w:val="99"/>
          <w:position w:val="1"/>
        </w:rPr>
        <w:t>疾</w:t>
      </w:r>
      <w:r>
        <w:rPr>
          <w:spacing w:val="-251"/>
          <w:w w:val="99"/>
        </w:rPr>
        <w:t>疾疾</w:t>
      </w:r>
      <w:r>
        <w:rPr>
          <w:spacing w:val="-49"/>
          <w:w w:val="99"/>
        </w:rPr>
        <w:t>疾</w:t>
      </w:r>
      <w:r>
        <w:rPr>
          <w:spacing w:val="-254"/>
          <w:w w:val="99"/>
          <w:position w:val="1"/>
        </w:rPr>
        <w:t>病</w:t>
      </w:r>
      <w:r>
        <w:rPr>
          <w:spacing w:val="-251"/>
          <w:w w:val="99"/>
        </w:rPr>
        <w:t>病病</w:t>
      </w:r>
      <w:r>
        <w:rPr>
          <w:spacing w:val="-67"/>
          <w:w w:val="99"/>
        </w:rPr>
        <w:t>病</w:t>
      </w:r>
      <w:r>
        <w:rPr>
          <w:w w:val="99"/>
        </w:rPr>
        <w:t>（见释义</w:t>
      </w:r>
      <w:r>
        <w:rPr>
          <w:spacing w:val="-50"/>
        </w:rPr>
        <w:t> </w:t>
      </w:r>
      <w:r>
        <w:rPr>
          <w:spacing w:val="0"/>
          <w:w w:val="99"/>
        </w:rPr>
        <w:t>13.</w:t>
      </w:r>
      <w:r>
        <w:rPr>
          <w:spacing w:val="-2"/>
          <w:w w:val="99"/>
        </w:rPr>
        <w:t>6</w:t>
      </w:r>
      <w:r>
        <w:rPr>
          <w:spacing w:val="-24"/>
          <w:w w:val="99"/>
        </w:rPr>
        <w:t>）</w:t>
      </w:r>
      <w:r>
        <w:rPr>
          <w:w w:val="99"/>
        </w:rPr>
        <w:t>中的任何一   </w:t>
      </w:r>
      <w:r>
        <w:rPr>
          <w:spacing w:val="-11"/>
        </w:rPr>
        <w:t>种，本公司将无息全额退还已交的保险费，本合同终止。从本合同生效日起 </w:t>
      </w:r>
      <w:r>
        <w:rPr/>
        <w:t>180</w:t>
      </w:r>
      <w:r>
        <w:rPr>
          <w:spacing w:val="-10"/>
        </w:rPr>
        <w:t> 日后或最后</w:t>
      </w:r>
    </w:p>
    <w:p>
      <w:pPr>
        <w:pStyle w:val="BodyText"/>
        <w:spacing w:line="356" w:lineRule="exact" w:before="32"/>
        <w:ind w:right="217"/>
        <w:jc w:val="both"/>
      </w:pPr>
      <w:r>
        <w:rPr>
          <w:spacing w:val="-11"/>
        </w:rPr>
        <w:t>复效日起 </w:t>
      </w:r>
      <w:r>
        <w:rPr/>
        <w:t>180</w:t>
      </w:r>
      <w:r>
        <w:rPr>
          <w:spacing w:val="-10"/>
        </w:rPr>
        <w:t> 日后，如果被保险人初次发生并经医院确诊患本合同所界定的 </w:t>
      </w:r>
      <w:r>
        <w:rPr/>
        <w:t>45</w:t>
      </w:r>
      <w:r>
        <w:rPr>
          <w:spacing w:val="-10"/>
        </w:rPr>
        <w:t> 种重大疾病</w:t>
      </w:r>
      <w:r>
        <w:rPr>
          <w:spacing w:val="-8"/>
        </w:rPr>
        <w:t>中的任何一种，从</w:t>
      </w:r>
      <w:r>
        <w:rPr>
          <w:rFonts w:ascii="Microsoft JhengHei" w:eastAsia="Microsoft JhengHei" w:hint="eastAsia"/>
          <w:b/>
          <w:spacing w:val="-40"/>
        </w:rPr>
        <w:t>本</w:t>
      </w:r>
      <w:r>
        <w:rPr>
          <w:spacing w:val="-209"/>
          <w:position w:val="1"/>
        </w:rPr>
        <w:t>条</w:t>
      </w:r>
      <w:r>
        <w:rPr>
          <w:spacing w:val="-209"/>
        </w:rPr>
        <w:t>条条</w:t>
      </w:r>
      <w:r>
        <w:rPr>
          <w:spacing w:val="-49"/>
        </w:rPr>
        <w:t>条</w:t>
      </w:r>
      <w:r>
        <w:rPr>
          <w:spacing w:val="-209"/>
          <w:position w:val="1"/>
        </w:rPr>
        <w:t>款</w:t>
      </w:r>
      <w:r>
        <w:rPr>
          <w:spacing w:val="-209"/>
        </w:rPr>
        <w:t>款款</w:t>
      </w:r>
      <w:r>
        <w:rPr>
          <w:spacing w:val="-49"/>
        </w:rPr>
        <w:t>款</w:t>
      </w:r>
      <w:r>
        <w:rPr>
          <w:spacing w:val="-209"/>
          <w:position w:val="1"/>
        </w:rPr>
        <w:t>约</w:t>
      </w:r>
      <w:r>
        <w:rPr>
          <w:spacing w:val="-209"/>
        </w:rPr>
        <w:t>约约</w:t>
      </w:r>
      <w:r>
        <w:rPr>
          <w:spacing w:val="-129"/>
        </w:rPr>
        <w:t>约定</w:t>
      </w:r>
      <w:r>
        <w:rPr>
          <w:spacing w:val="-209"/>
          <w:position w:val="1"/>
        </w:rPr>
        <w:t>定</w:t>
      </w:r>
      <w:r>
        <w:rPr>
          <w:spacing w:val="-129"/>
        </w:rPr>
        <w:t>定定</w:t>
      </w:r>
      <w:r>
        <w:rPr>
          <w:spacing w:val="-209"/>
          <w:position w:val="1"/>
        </w:rPr>
        <w:t>确</w:t>
      </w:r>
      <w:r>
        <w:rPr>
          <w:spacing w:val="-209"/>
        </w:rPr>
        <w:t>确确</w:t>
      </w:r>
      <w:r>
        <w:rPr>
          <w:spacing w:val="-49"/>
        </w:rPr>
        <w:t>确</w:t>
      </w:r>
      <w:r>
        <w:rPr>
          <w:spacing w:val="-209"/>
          <w:position w:val="1"/>
        </w:rPr>
        <w:t>诊</w:t>
      </w:r>
      <w:r>
        <w:rPr>
          <w:spacing w:val="-209"/>
        </w:rPr>
        <w:t>诊诊</w:t>
      </w:r>
      <w:r>
        <w:rPr>
          <w:spacing w:val="-49"/>
        </w:rPr>
        <w:t>诊</w:t>
      </w:r>
      <w:r>
        <w:rPr>
          <w:spacing w:val="-209"/>
          <w:position w:val="1"/>
        </w:rPr>
        <w:t>日</w:t>
      </w:r>
      <w:r>
        <w:rPr>
          <w:spacing w:val="-209"/>
        </w:rPr>
        <w:t>日日</w:t>
      </w:r>
      <w:r>
        <w:rPr>
          <w:spacing w:val="-33"/>
        </w:rPr>
        <w:t>日</w:t>
      </w:r>
      <w:r>
        <w:rPr/>
        <w:t>（</w:t>
      </w:r>
      <w:r>
        <w:rPr>
          <w:spacing w:val="-13"/>
        </w:rPr>
        <w:t>见释义 </w:t>
      </w:r>
      <w:r>
        <w:rPr/>
        <w:t>13.7）</w:t>
      </w:r>
      <w:r>
        <w:rPr>
          <w:spacing w:val="3"/>
        </w:rPr>
        <w:t>起，本公司将按本合同基本保险金额 给</w:t>
      </w:r>
      <w:r>
        <w:rPr>
          <w:spacing w:val="-6"/>
        </w:rPr>
        <w:t>付重大疾病保险金，本合同终止。被保险人因意外伤害导致上述情形的，不受 </w:t>
      </w:r>
      <w:r>
        <w:rPr/>
        <w:t>180</w:t>
      </w:r>
      <w:r>
        <w:rPr>
          <w:spacing w:val="-12"/>
        </w:rPr>
        <w:t> 日的限制。</w:t>
      </w:r>
    </w:p>
    <w:p>
      <w:pPr>
        <w:pStyle w:val="Heading2"/>
        <w:numPr>
          <w:ilvl w:val="2"/>
          <w:numId w:val="14"/>
        </w:numPr>
        <w:tabs>
          <w:tab w:pos="651" w:val="left" w:leader="none"/>
        </w:tabs>
        <w:spacing w:line="340" w:lineRule="exact" w:before="0" w:after="0"/>
        <w:ind w:left="650" w:right="0" w:hanging="530"/>
        <w:jc w:val="left"/>
      </w:pPr>
      <w:bookmarkStart w:name="_TOC_250115" w:id="20"/>
      <w:bookmarkEnd w:id="20"/>
      <w:r>
        <w:rPr/>
        <w:t>.特定少儿白血病重大疾病保险金</w:t>
      </w:r>
    </w:p>
    <w:p>
      <w:pPr>
        <w:pStyle w:val="BodyText"/>
        <w:spacing w:line="252" w:lineRule="auto" w:before="56"/>
        <w:ind w:right="212"/>
      </w:pPr>
      <w:r>
        <w:rPr>
          <w:spacing w:val="-8"/>
        </w:rPr>
        <w:t>从本合同生效日起 </w:t>
      </w:r>
      <w:r>
        <w:rPr/>
        <w:t>180</w:t>
      </w:r>
      <w:r>
        <w:rPr>
          <w:spacing w:val="-14"/>
        </w:rPr>
        <w:t> 日内或最后复效日起 </w:t>
      </w:r>
      <w:r>
        <w:rPr/>
        <w:t>180</w:t>
      </w:r>
      <w:r>
        <w:rPr>
          <w:spacing w:val="-15"/>
        </w:rPr>
        <w:t> 日内,被保险人在 </w:t>
      </w:r>
      <w:r>
        <w:rPr/>
        <w:t>0</w:t>
      </w:r>
      <w:r>
        <w:rPr>
          <w:spacing w:val="-45"/>
        </w:rPr>
        <w:t> 至 </w:t>
      </w:r>
      <w:r>
        <w:rPr/>
        <w:t>14</w:t>
      </w:r>
      <w:r>
        <w:rPr>
          <w:spacing w:val="-10"/>
        </w:rPr>
        <w:t> 周岁之间初次发生</w:t>
      </w:r>
      <w:r>
        <w:rPr>
          <w:spacing w:val="-7"/>
        </w:rPr>
        <w:t>并经医院确诊患本合同所界定的</w:t>
      </w:r>
      <w:r>
        <w:rPr>
          <w:rFonts w:ascii="Microsoft JhengHei" w:eastAsia="Microsoft JhengHei" w:hint="eastAsia"/>
          <w:b/>
          <w:spacing w:val="-40"/>
        </w:rPr>
        <w:t>白</w:t>
      </w:r>
      <w:r>
        <w:rPr>
          <w:spacing w:val="-209"/>
          <w:position w:val="1"/>
        </w:rPr>
        <w:t>血</w:t>
      </w:r>
      <w:r>
        <w:rPr>
          <w:spacing w:val="-209"/>
        </w:rPr>
        <w:t>血血</w:t>
      </w:r>
      <w:r>
        <w:rPr>
          <w:spacing w:val="-49"/>
        </w:rPr>
        <w:t>血</w:t>
      </w:r>
      <w:r>
        <w:rPr>
          <w:spacing w:val="-209"/>
          <w:position w:val="1"/>
        </w:rPr>
        <w:t>病</w:t>
      </w:r>
      <w:r>
        <w:rPr>
          <w:spacing w:val="-209"/>
        </w:rPr>
        <w:t>病病</w:t>
      </w:r>
      <w:r>
        <w:rPr>
          <w:spacing w:val="-43"/>
        </w:rPr>
        <w:t>病</w:t>
      </w:r>
      <w:r>
        <w:rPr/>
        <w:t>（</w:t>
      </w:r>
      <w:r>
        <w:rPr>
          <w:spacing w:val="-10"/>
        </w:rPr>
        <w:t>见释义 </w:t>
      </w:r>
      <w:r>
        <w:rPr/>
        <w:t>13.8），本公司将无息全额退还已交的保</w:t>
      </w:r>
    </w:p>
    <w:p>
      <w:pPr>
        <w:spacing w:after="0" w:line="252" w:lineRule="auto"/>
        <w:sectPr>
          <w:footerReference w:type="default" r:id="rId7"/>
          <w:pgSz w:w="11910" w:h="16840"/>
          <w:pgMar w:footer="1047" w:header="0" w:top="1520" w:bottom="1240" w:left="1680" w:right="1580"/>
          <w:pgNumType w:start="1"/>
        </w:sectPr>
      </w:pPr>
    </w:p>
    <w:p>
      <w:pPr>
        <w:pStyle w:val="BodyText"/>
        <w:spacing w:before="8"/>
      </w:pPr>
      <w:bookmarkStart w:name="4.4.3.特定呼吸系统重大疾病保险金" w:id="21"/>
      <w:bookmarkEnd w:id="21"/>
      <w:r>
        <w:rPr/>
      </w:r>
      <w:bookmarkStart w:name="4.4.4.身故保险金" w:id="22"/>
      <w:bookmarkEnd w:id="22"/>
      <w:r>
        <w:rPr/>
      </w:r>
      <w:bookmarkStart w:name="4.4.5.永久完全残疾保险金" w:id="23"/>
      <w:bookmarkEnd w:id="23"/>
      <w:r>
        <w:rPr/>
      </w:r>
      <w:bookmarkStart w:name="责任免除" w:id="24"/>
      <w:bookmarkEnd w:id="24"/>
      <w:r>
        <w:rPr/>
      </w:r>
      <w:r>
        <w:rPr>
          <w:spacing w:val="-12"/>
        </w:rPr>
        <w:t>险费，本合同终止。从本合同生效日起 </w:t>
      </w:r>
      <w:r>
        <w:rPr/>
        <w:t>180</w:t>
      </w:r>
      <w:r>
        <w:rPr>
          <w:spacing w:val="-13"/>
        </w:rPr>
        <w:t> 日后或最后复效日起 </w:t>
      </w:r>
      <w:r>
        <w:rPr/>
        <w:t>180</w:t>
      </w:r>
      <w:r>
        <w:rPr>
          <w:spacing w:val="-10"/>
        </w:rPr>
        <w:t> 日后，如果被保险人在</w:t>
      </w:r>
    </w:p>
    <w:p>
      <w:pPr>
        <w:pStyle w:val="BodyText"/>
        <w:spacing w:line="312" w:lineRule="auto" w:before="79"/>
        <w:ind w:right="116"/>
        <w:jc w:val="both"/>
      </w:pPr>
      <w:r>
        <w:rPr/>
        <w:t>0</w:t>
      </w:r>
      <w:r>
        <w:rPr>
          <w:spacing w:val="-54"/>
        </w:rPr>
        <w:t> 至 </w:t>
      </w:r>
      <w:r>
        <w:rPr/>
        <w:t>14</w:t>
      </w:r>
      <w:r>
        <w:rPr>
          <w:spacing w:val="-12"/>
        </w:rPr>
        <w:t> 周岁之间初次发生并经医院确诊患本合同所界定的白血病，从本条款约定确诊日起</w:t>
      </w:r>
      <w:r>
        <w:rPr>
          <w:w w:val="90"/>
        </w:rPr>
        <w:t>， </w:t>
      </w:r>
      <w:r>
        <w:rPr>
          <w:spacing w:val="-3"/>
        </w:rPr>
        <w:t>本公司将按本合同基本保险金额的 </w:t>
      </w:r>
      <w:r>
        <w:rPr/>
        <w:t>130%给付重大疾病保险金，本合同终止。被保险人因意</w:t>
      </w:r>
      <w:r>
        <w:rPr>
          <w:spacing w:val="-4"/>
        </w:rPr>
        <w:t>外伤害导致上述情形的，不受 </w:t>
      </w:r>
      <w:r>
        <w:rPr/>
        <w:t>180</w:t>
      </w:r>
      <w:r>
        <w:rPr>
          <w:spacing w:val="-10"/>
        </w:rPr>
        <w:t> 日的限制。</w:t>
      </w:r>
    </w:p>
    <w:p>
      <w:pPr>
        <w:pStyle w:val="Heading2"/>
        <w:numPr>
          <w:ilvl w:val="2"/>
          <w:numId w:val="14"/>
        </w:numPr>
        <w:tabs>
          <w:tab w:pos="651" w:val="left" w:leader="none"/>
        </w:tabs>
        <w:spacing w:line="316" w:lineRule="exact" w:before="0" w:after="0"/>
        <w:ind w:left="650" w:right="0" w:hanging="530"/>
        <w:jc w:val="left"/>
      </w:pPr>
      <w:bookmarkStart w:name="_TOC_250114" w:id="25"/>
      <w:bookmarkEnd w:id="25"/>
      <w:r>
        <w:rPr/>
        <w:t>.特定呼吸系统重大疾病保险金</w:t>
      </w:r>
    </w:p>
    <w:p>
      <w:pPr>
        <w:pStyle w:val="BodyText"/>
        <w:spacing w:line="266" w:lineRule="auto" w:before="57"/>
        <w:ind w:right="115"/>
        <w:jc w:val="both"/>
      </w:pPr>
      <w:r>
        <w:rPr>
          <w:spacing w:val="-7"/>
        </w:rPr>
        <w:t>从本合同生效日起 </w:t>
      </w:r>
      <w:r>
        <w:rPr/>
        <w:t>180</w:t>
      </w:r>
      <w:r>
        <w:rPr>
          <w:spacing w:val="-12"/>
        </w:rPr>
        <w:t> 日内或最后复效日起 </w:t>
      </w:r>
      <w:r>
        <w:rPr/>
        <w:t>180</w:t>
      </w:r>
      <w:r>
        <w:rPr>
          <w:spacing w:val="-23"/>
        </w:rPr>
        <w:t> 日内，被保险人在 </w:t>
      </w:r>
      <w:r>
        <w:rPr/>
        <w:t>25</w:t>
      </w:r>
      <w:r>
        <w:rPr>
          <w:spacing w:val="-37"/>
        </w:rPr>
        <w:t> 至 </w:t>
      </w:r>
      <w:r>
        <w:rPr/>
        <w:t>45</w:t>
      </w:r>
      <w:r>
        <w:rPr>
          <w:spacing w:val="-8"/>
        </w:rPr>
        <w:t> 周岁之间初次发</w:t>
      </w:r>
      <w:r>
        <w:rPr>
          <w:spacing w:val="-7"/>
        </w:rPr>
        <w:t>生并经医院确诊患本合同所界定的</w:t>
      </w:r>
      <w:r>
        <w:rPr>
          <w:rFonts w:ascii="Microsoft JhengHei" w:eastAsia="Microsoft JhengHei" w:hint="eastAsia"/>
          <w:b/>
          <w:spacing w:val="-40"/>
        </w:rPr>
        <w:t>特</w:t>
      </w:r>
      <w:r>
        <w:rPr>
          <w:spacing w:val="-209"/>
          <w:position w:val="1"/>
        </w:rPr>
        <w:t>定</w:t>
      </w:r>
      <w:r>
        <w:rPr>
          <w:spacing w:val="-209"/>
        </w:rPr>
        <w:t>定定</w:t>
      </w:r>
      <w:r>
        <w:rPr>
          <w:spacing w:val="-49"/>
        </w:rPr>
        <w:t>定</w:t>
      </w:r>
      <w:r>
        <w:rPr>
          <w:spacing w:val="-209"/>
          <w:position w:val="1"/>
        </w:rPr>
        <w:t>呼</w:t>
      </w:r>
      <w:r>
        <w:rPr>
          <w:spacing w:val="-209"/>
        </w:rPr>
        <w:t>呼呼</w:t>
      </w:r>
      <w:r>
        <w:rPr>
          <w:spacing w:val="-49"/>
        </w:rPr>
        <w:t>呼</w:t>
      </w:r>
      <w:r>
        <w:rPr>
          <w:spacing w:val="-209"/>
          <w:position w:val="1"/>
        </w:rPr>
        <w:t>吸</w:t>
      </w:r>
      <w:r>
        <w:rPr>
          <w:spacing w:val="-209"/>
        </w:rPr>
        <w:t>吸吸</w:t>
      </w:r>
      <w:r>
        <w:rPr>
          <w:spacing w:val="-49"/>
        </w:rPr>
        <w:t>吸</w:t>
      </w:r>
      <w:r>
        <w:rPr>
          <w:spacing w:val="-209"/>
          <w:position w:val="1"/>
        </w:rPr>
        <w:t>系</w:t>
      </w:r>
      <w:r>
        <w:rPr>
          <w:spacing w:val="-209"/>
        </w:rPr>
        <w:t>系系</w:t>
      </w:r>
      <w:r>
        <w:rPr>
          <w:spacing w:val="-49"/>
        </w:rPr>
        <w:t>系</w:t>
      </w:r>
      <w:r>
        <w:rPr>
          <w:spacing w:val="-209"/>
          <w:position w:val="1"/>
        </w:rPr>
        <w:t>统</w:t>
      </w:r>
      <w:r>
        <w:rPr>
          <w:spacing w:val="-209"/>
        </w:rPr>
        <w:t>统统</w:t>
      </w:r>
      <w:r>
        <w:rPr>
          <w:spacing w:val="-49"/>
        </w:rPr>
        <w:t>统</w:t>
      </w:r>
      <w:r>
        <w:rPr>
          <w:spacing w:val="-209"/>
          <w:position w:val="1"/>
        </w:rPr>
        <w:t>重</w:t>
      </w:r>
      <w:r>
        <w:rPr>
          <w:spacing w:val="-209"/>
        </w:rPr>
        <w:t>重重</w:t>
      </w:r>
      <w:r>
        <w:rPr>
          <w:spacing w:val="-49"/>
        </w:rPr>
        <w:t>重</w:t>
      </w:r>
      <w:r>
        <w:rPr>
          <w:spacing w:val="-209"/>
          <w:position w:val="1"/>
        </w:rPr>
        <w:t>大</w:t>
      </w:r>
      <w:r>
        <w:rPr>
          <w:spacing w:val="-209"/>
        </w:rPr>
        <w:t>大大</w:t>
      </w:r>
      <w:r>
        <w:rPr>
          <w:spacing w:val="-49"/>
        </w:rPr>
        <w:t>大</w:t>
      </w:r>
      <w:r>
        <w:rPr>
          <w:spacing w:val="-209"/>
          <w:position w:val="1"/>
        </w:rPr>
        <w:t>疾</w:t>
      </w:r>
      <w:r>
        <w:rPr>
          <w:spacing w:val="-209"/>
        </w:rPr>
        <w:t>疾疾</w:t>
      </w:r>
      <w:r>
        <w:rPr>
          <w:spacing w:val="-49"/>
        </w:rPr>
        <w:t>疾</w:t>
      </w:r>
      <w:r>
        <w:rPr>
          <w:spacing w:val="-209"/>
          <w:position w:val="1"/>
        </w:rPr>
        <w:t>病</w:t>
      </w:r>
      <w:r>
        <w:rPr>
          <w:spacing w:val="-209"/>
        </w:rPr>
        <w:t>病病</w:t>
      </w:r>
      <w:r>
        <w:rPr>
          <w:spacing w:val="-31"/>
        </w:rPr>
        <w:t>病</w:t>
      </w:r>
      <w:r>
        <w:rPr/>
        <w:t>（</w:t>
      </w:r>
      <w:r>
        <w:rPr>
          <w:spacing w:val="5"/>
        </w:rPr>
        <w:t>见释义   </w:t>
      </w:r>
      <w:r>
        <w:rPr/>
        <w:t>13.9），本公司将无息</w:t>
      </w:r>
      <w:r>
        <w:rPr>
          <w:spacing w:val="-18"/>
        </w:rPr>
        <w:t>全额退还已交的保险费，本合同终止。从本合同生效日起 </w:t>
      </w:r>
      <w:r>
        <w:rPr/>
        <w:t>180</w:t>
      </w:r>
      <w:r>
        <w:rPr>
          <w:spacing w:val="-16"/>
        </w:rPr>
        <w:t> 日后或最后复效日起 </w:t>
      </w:r>
      <w:r>
        <w:rPr/>
        <w:t>180</w:t>
      </w:r>
      <w:r>
        <w:rPr>
          <w:spacing w:val="-26"/>
        </w:rPr>
        <w:t> 日后</w:t>
      </w:r>
      <w:r>
        <w:rPr>
          <w:w w:val="90"/>
        </w:rPr>
        <w:t>，</w:t>
      </w:r>
    </w:p>
    <w:p>
      <w:pPr>
        <w:pStyle w:val="BodyText"/>
        <w:spacing w:line="312" w:lineRule="auto" w:before="57"/>
        <w:ind w:right="119"/>
        <w:jc w:val="both"/>
      </w:pPr>
      <w:r>
        <w:rPr>
          <w:spacing w:val="3"/>
        </w:rPr>
        <w:t>如果被保险人在</w:t>
      </w:r>
      <w:r>
        <w:rPr/>
        <w:t>25</w:t>
      </w:r>
      <w:r>
        <w:rPr>
          <w:spacing w:val="-26"/>
        </w:rPr>
        <w:t> 至</w:t>
      </w:r>
      <w:r>
        <w:rPr/>
        <w:t>45</w:t>
      </w:r>
      <w:r>
        <w:rPr>
          <w:spacing w:val="-10"/>
        </w:rPr>
        <w:t> 周岁之间初次发生并经医院确诊患本合同所界定的特定呼吸系统重</w:t>
      </w:r>
      <w:r>
        <w:rPr>
          <w:spacing w:val="-11"/>
        </w:rPr>
        <w:t>大疾病，从本条款约定确诊日起，本公司将按本合同基本保险金额的 </w:t>
      </w:r>
      <w:r>
        <w:rPr/>
        <w:t>130%给付重大疾病保</w:t>
      </w:r>
      <w:r>
        <w:rPr>
          <w:spacing w:val="-2"/>
        </w:rPr>
        <w:t>险金，本合同终止。被保险人因意外伤害导致上述情形的，不受 </w:t>
      </w:r>
      <w:r>
        <w:rPr/>
        <w:t>180</w:t>
      </w:r>
      <w:r>
        <w:rPr>
          <w:spacing w:val="-10"/>
        </w:rPr>
        <w:t> 日的限制。</w:t>
      </w:r>
    </w:p>
    <w:p>
      <w:pPr>
        <w:pStyle w:val="Heading2"/>
        <w:numPr>
          <w:ilvl w:val="2"/>
          <w:numId w:val="15"/>
        </w:numPr>
        <w:tabs>
          <w:tab w:pos="860" w:val="left" w:leader="none"/>
        </w:tabs>
        <w:spacing w:line="316" w:lineRule="exact" w:before="0" w:after="0"/>
        <w:ind w:left="859" w:right="0" w:hanging="739"/>
        <w:jc w:val="left"/>
      </w:pPr>
      <w:bookmarkStart w:name="_TOC_250113" w:id="26"/>
      <w:bookmarkEnd w:id="26"/>
      <w:r>
        <w:rPr>
          <w:w w:val="95"/>
        </w:rPr>
        <w:t>身故保险金</w:t>
      </w:r>
    </w:p>
    <w:p>
      <w:pPr>
        <w:pStyle w:val="BodyText"/>
        <w:spacing w:line="312" w:lineRule="auto" w:before="56"/>
        <w:ind w:right="117"/>
        <w:jc w:val="both"/>
      </w:pPr>
      <w:r>
        <w:rPr>
          <w:spacing w:val="-7"/>
        </w:rPr>
        <w:t>从本合同生效日起 </w:t>
      </w:r>
      <w:r>
        <w:rPr/>
        <w:t>180</w:t>
      </w:r>
      <w:r>
        <w:rPr>
          <w:spacing w:val="-13"/>
        </w:rPr>
        <w:t> 日内或最后复效日起 </w:t>
      </w:r>
      <w:r>
        <w:rPr/>
        <w:t>180</w:t>
      </w:r>
      <w:r>
        <w:rPr>
          <w:spacing w:val="-14"/>
        </w:rPr>
        <w:t> 日内，被保险人因疾病身故，本公司将无息</w:t>
      </w:r>
      <w:r>
        <w:rPr>
          <w:spacing w:val="-15"/>
          <w:w w:val="95"/>
        </w:rPr>
        <w:t>全额退还已交的保险费，本合同终止。被保险人因其他情形身故，本公司将按本合同基本保   险金额给付身故保险金，本合同终止。</w:t>
      </w:r>
    </w:p>
    <w:p>
      <w:pPr>
        <w:pStyle w:val="BodyText"/>
        <w:spacing w:before="6"/>
        <w:ind w:left="0"/>
        <w:rPr>
          <w:sz w:val="23"/>
        </w:rPr>
      </w:pPr>
    </w:p>
    <w:p>
      <w:pPr>
        <w:pStyle w:val="BodyText"/>
        <w:spacing w:line="273" w:lineRule="auto" w:before="0"/>
        <w:ind w:right="117"/>
      </w:pPr>
      <w:r>
        <w:rPr>
          <w:spacing w:val="-7"/>
          <w:w w:val="95"/>
        </w:rPr>
        <w:t>为未成年子女投保的人身保险，因被保险人身故给付的保险金总和不得超过国务院保险监督   管理机构规定的限额，身故给付的保险金额总和约定也不得超过前述限额。</w:t>
      </w:r>
    </w:p>
    <w:p>
      <w:pPr>
        <w:pStyle w:val="BodyText"/>
        <w:spacing w:before="3"/>
        <w:ind w:left="0"/>
        <w:rPr>
          <w:sz w:val="24"/>
        </w:rPr>
      </w:pPr>
    </w:p>
    <w:p>
      <w:pPr>
        <w:pStyle w:val="Heading2"/>
        <w:numPr>
          <w:ilvl w:val="2"/>
          <w:numId w:val="15"/>
        </w:numPr>
        <w:tabs>
          <w:tab w:pos="860" w:val="left" w:leader="none"/>
        </w:tabs>
        <w:spacing w:line="240" w:lineRule="auto" w:before="0" w:after="0"/>
        <w:ind w:left="859" w:right="0" w:hanging="739"/>
        <w:jc w:val="left"/>
      </w:pPr>
      <w:bookmarkStart w:name="_TOC_250112" w:id="27"/>
      <w:bookmarkEnd w:id="27"/>
      <w:r>
        <w:rPr>
          <w:w w:val="95"/>
        </w:rPr>
        <w:t>永久完全残疾保险金</w:t>
      </w:r>
    </w:p>
    <w:p>
      <w:pPr>
        <w:pStyle w:val="BodyText"/>
        <w:spacing w:before="56"/>
      </w:pPr>
      <w:r>
        <w:rPr/>
        <w:t>在被保险人 65 周岁当年的保单周年日之前：</w:t>
      </w:r>
    </w:p>
    <w:p>
      <w:pPr>
        <w:pStyle w:val="BodyText"/>
        <w:spacing w:line="292" w:lineRule="auto" w:before="13"/>
        <w:ind w:right="110"/>
        <w:jc w:val="both"/>
      </w:pPr>
      <w:r>
        <w:rPr>
          <w:spacing w:val="-4"/>
        </w:rPr>
        <w:t>从本合同生效日起 </w:t>
      </w:r>
      <w:r>
        <w:rPr/>
        <w:t>180</w:t>
      </w:r>
      <w:r>
        <w:rPr>
          <w:spacing w:val="-9"/>
        </w:rPr>
        <w:t> 日内或最后复效日起 </w:t>
      </w:r>
      <w:r>
        <w:rPr/>
        <w:t>180</w:t>
      </w:r>
      <w:r>
        <w:rPr>
          <w:spacing w:val="-10"/>
        </w:rPr>
        <w:t> 日内，被保险人因疾病</w:t>
      </w:r>
      <w:r>
        <w:rPr>
          <w:rFonts w:ascii="Microsoft JhengHei" w:eastAsia="Microsoft JhengHei" w:hint="eastAsia"/>
          <w:b/>
          <w:spacing w:val="-43"/>
        </w:rPr>
        <w:t>永</w:t>
      </w:r>
      <w:r>
        <w:rPr>
          <w:spacing w:val="-209"/>
          <w:position w:val="1"/>
        </w:rPr>
        <w:t>久</w:t>
      </w:r>
      <w:r>
        <w:rPr>
          <w:spacing w:val="-209"/>
        </w:rPr>
        <w:t>久久</w:t>
      </w:r>
      <w:r>
        <w:rPr>
          <w:spacing w:val="-49"/>
        </w:rPr>
        <w:t>久</w:t>
      </w:r>
      <w:r>
        <w:rPr>
          <w:spacing w:val="-209"/>
          <w:position w:val="1"/>
        </w:rPr>
        <w:t>完</w:t>
      </w:r>
      <w:r>
        <w:rPr>
          <w:spacing w:val="-209"/>
        </w:rPr>
        <w:t>完完</w:t>
      </w:r>
      <w:r>
        <w:rPr>
          <w:spacing w:val="-49"/>
        </w:rPr>
        <w:t>完</w:t>
      </w:r>
      <w:r>
        <w:rPr>
          <w:spacing w:val="-209"/>
          <w:position w:val="1"/>
        </w:rPr>
        <w:t>全</w:t>
      </w:r>
      <w:r>
        <w:rPr>
          <w:spacing w:val="-209"/>
        </w:rPr>
        <w:t>全全</w:t>
      </w:r>
      <w:r>
        <w:rPr>
          <w:spacing w:val="-49"/>
        </w:rPr>
        <w:t>全</w:t>
      </w:r>
      <w:r>
        <w:rPr>
          <w:spacing w:val="-209"/>
          <w:position w:val="1"/>
        </w:rPr>
        <w:t>残</w:t>
      </w:r>
      <w:r>
        <w:rPr>
          <w:spacing w:val="-209"/>
        </w:rPr>
        <w:t>残残</w:t>
      </w:r>
      <w:r>
        <w:rPr>
          <w:spacing w:val="-49"/>
        </w:rPr>
        <w:t>残</w:t>
      </w:r>
      <w:r>
        <w:rPr>
          <w:spacing w:val="-209"/>
          <w:position w:val="1"/>
        </w:rPr>
        <w:t>疾</w:t>
      </w:r>
      <w:r>
        <w:rPr>
          <w:spacing w:val="-170"/>
        </w:rPr>
        <w:t>疾疾疾</w:t>
      </w:r>
      <w:r>
        <w:rPr/>
        <w:t>（见释</w:t>
      </w:r>
      <w:r>
        <w:rPr>
          <w:spacing w:val="-30"/>
        </w:rPr>
        <w:t>义 </w:t>
      </w:r>
      <w:r>
        <w:rPr>
          <w:spacing w:val="-3"/>
        </w:rPr>
        <w:t>13.10）</w:t>
      </w:r>
      <w:r>
        <w:rPr>
          <w:spacing w:val="-4"/>
        </w:rPr>
        <w:t>，本公司将无息全额退还已交的保险费，本合同终止。被保险人因其他情形永久</w:t>
      </w:r>
      <w:r>
        <w:rPr>
          <w:spacing w:val="-4"/>
          <w:w w:val="95"/>
        </w:rPr>
        <w:t>完全残疾，本公司将按本合同基本保险金额给付永久完全残疾保险金，本合同终止。</w:t>
      </w:r>
    </w:p>
    <w:p>
      <w:pPr>
        <w:pStyle w:val="BodyText"/>
        <w:spacing w:before="9"/>
        <w:ind w:left="0"/>
        <w:rPr>
          <w:sz w:val="29"/>
        </w:rPr>
      </w:pPr>
    </w:p>
    <w:p>
      <w:pPr>
        <w:pStyle w:val="BodyText"/>
        <w:spacing w:line="309" w:lineRule="auto" w:before="0"/>
        <w:ind w:right="121"/>
      </w:pPr>
      <w:r>
        <w:rPr>
          <w:spacing w:val="-5"/>
          <w:w w:val="95"/>
        </w:rPr>
        <w:t>本合同的重大疾病保险金、身故保险金和永久完全残疾保险金，本公司仅给付一项，并以一   次为限。</w:t>
      </w:r>
    </w:p>
    <w:p>
      <w:pPr>
        <w:pStyle w:val="Heading2"/>
        <w:spacing w:line="321" w:lineRule="exact"/>
        <w:ind w:left="120" w:firstLine="0"/>
      </w:pPr>
      <w:bookmarkStart w:name="_TOC_250111" w:id="28"/>
      <w:r>
        <w:rPr>
          <w:spacing w:val="2"/>
          <w:w w:val="83"/>
        </w:rPr>
        <w:t>4</w:t>
      </w:r>
      <w:r>
        <w:rPr>
          <w:spacing w:val="0"/>
          <w:w w:val="195"/>
        </w:rPr>
        <w:t>.</w:t>
      </w:r>
      <w:r>
        <w:rPr>
          <w:spacing w:val="0"/>
          <w:w w:val="83"/>
        </w:rPr>
        <w:t>5</w:t>
      </w:r>
      <w:r>
        <w:rPr>
          <w:w w:val="195"/>
        </w:rPr>
        <w:t>.</w:t>
      </w:r>
      <w:r>
        <w:rPr>
          <w:spacing w:val="-2"/>
        </w:rPr>
        <w:t>   </w:t>
      </w:r>
      <w:bookmarkEnd w:id="28"/>
      <w:r>
        <w:rPr>
          <w:w w:val="99"/>
        </w:rPr>
        <w:t>责任免除</w:t>
      </w:r>
    </w:p>
    <w:p>
      <w:pPr>
        <w:pStyle w:val="BodyText"/>
        <w:spacing w:line="309" w:lineRule="auto" w:before="57"/>
        <w:ind w:right="121"/>
      </w:pPr>
      <w:r>
        <w:rPr>
          <w:w w:val="95"/>
        </w:rPr>
        <w:t>因下列情形之一，导致被保险人身故或永久完全残疾，或者发Th</w:t>
      </w:r>
      <w:r>
        <w:rPr>
          <w:spacing w:val="-9"/>
          <w:w w:val="95"/>
        </w:rPr>
        <w:t>本合同所指的重大疾病，本   公司不承担给付保险金的责任：</w:t>
      </w:r>
    </w:p>
    <w:p>
      <w:pPr>
        <w:pStyle w:val="ListParagraph"/>
        <w:numPr>
          <w:ilvl w:val="0"/>
          <w:numId w:val="16"/>
        </w:numPr>
        <w:tabs>
          <w:tab w:pos="687" w:val="left" w:leader="none"/>
        </w:tabs>
        <w:spacing w:line="240" w:lineRule="auto" w:before="19" w:after="0"/>
        <w:ind w:left="686" w:right="0" w:hanging="566"/>
        <w:jc w:val="left"/>
        <w:rPr>
          <w:sz w:val="21"/>
        </w:rPr>
      </w:pPr>
      <w:r>
        <w:rPr>
          <w:w w:val="95"/>
          <w:sz w:val="21"/>
        </w:rPr>
        <w:t>投保人对被保险人的故意杀害、故意伤害；</w:t>
      </w:r>
    </w:p>
    <w:p>
      <w:pPr>
        <w:pStyle w:val="ListParagraph"/>
        <w:numPr>
          <w:ilvl w:val="0"/>
          <w:numId w:val="16"/>
        </w:numPr>
        <w:tabs>
          <w:tab w:pos="687" w:val="left" w:leader="none"/>
        </w:tabs>
        <w:spacing w:line="240" w:lineRule="auto" w:before="82" w:after="0"/>
        <w:ind w:left="686" w:right="0" w:hanging="566"/>
        <w:jc w:val="left"/>
        <w:rPr>
          <w:sz w:val="21"/>
        </w:rPr>
      </w:pPr>
      <w:r>
        <w:rPr>
          <w:w w:val="95"/>
          <w:sz w:val="21"/>
        </w:rPr>
        <w:t>被保险人故意自伤、故意犯罪或抗拒依法采取的刑事强制措施；</w:t>
      </w:r>
    </w:p>
    <w:p>
      <w:pPr>
        <w:pStyle w:val="ListParagraph"/>
        <w:numPr>
          <w:ilvl w:val="0"/>
          <w:numId w:val="16"/>
        </w:numPr>
        <w:tabs>
          <w:tab w:pos="687" w:val="left" w:leader="none"/>
        </w:tabs>
        <w:spacing w:line="309" w:lineRule="auto" w:before="80" w:after="0"/>
        <w:ind w:left="686" w:right="117" w:hanging="566"/>
        <w:jc w:val="left"/>
        <w:rPr>
          <w:sz w:val="21"/>
        </w:rPr>
      </w:pPr>
      <w:r>
        <w:rPr>
          <w:spacing w:val="-1"/>
          <w:w w:val="95"/>
          <w:sz w:val="21"/>
        </w:rPr>
        <w:t>被保险人自本合同成立或本合同效力恢复之日起两年内</w:t>
      </w:r>
      <w:r>
        <w:rPr>
          <w:w w:val="95"/>
          <w:sz w:val="21"/>
        </w:rPr>
        <w:t>（以较迟者为准</w:t>
      </w:r>
      <w:r>
        <w:rPr>
          <w:spacing w:val="-10"/>
          <w:w w:val="95"/>
          <w:sz w:val="21"/>
        </w:rPr>
        <w:t>）</w:t>
      </w:r>
      <w:r>
        <w:rPr>
          <w:spacing w:val="-3"/>
          <w:w w:val="95"/>
          <w:sz w:val="21"/>
        </w:rPr>
        <w:t>自杀，但被  保险人自杀时为无民事行为能力人的除外；</w:t>
      </w:r>
    </w:p>
    <w:p>
      <w:pPr>
        <w:pStyle w:val="ListParagraph"/>
        <w:numPr>
          <w:ilvl w:val="0"/>
          <w:numId w:val="16"/>
        </w:numPr>
        <w:tabs>
          <w:tab w:pos="687" w:val="left" w:leader="none"/>
        </w:tabs>
        <w:spacing w:line="313" w:lineRule="exact" w:before="0" w:after="0"/>
        <w:ind w:left="686" w:right="0" w:hanging="566"/>
        <w:jc w:val="left"/>
        <w:rPr>
          <w:sz w:val="21"/>
        </w:rPr>
      </w:pPr>
      <w:r>
        <w:rPr>
          <w:spacing w:val="-1"/>
          <w:w w:val="95"/>
          <w:sz w:val="21"/>
        </w:rPr>
        <w:t>被保险人服用、吸食或注射</w:t>
      </w:r>
      <w:r>
        <w:rPr>
          <w:rFonts w:ascii="Microsoft JhengHei" w:eastAsia="Microsoft JhengHei" w:hint="eastAsia"/>
          <w:b/>
          <w:spacing w:val="-43"/>
          <w:w w:val="95"/>
          <w:sz w:val="21"/>
        </w:rPr>
        <w:t>毒</w:t>
      </w:r>
      <w:r>
        <w:rPr>
          <w:spacing w:val="-209"/>
          <w:w w:val="95"/>
          <w:position w:val="1"/>
          <w:sz w:val="21"/>
        </w:rPr>
        <w:t>品</w:t>
      </w:r>
      <w:r>
        <w:rPr>
          <w:spacing w:val="-209"/>
          <w:w w:val="95"/>
          <w:sz w:val="21"/>
        </w:rPr>
        <w:t>品品</w:t>
      </w:r>
      <w:r>
        <w:rPr>
          <w:spacing w:val="-43"/>
          <w:w w:val="95"/>
          <w:sz w:val="21"/>
        </w:rPr>
        <w:t>品</w:t>
      </w:r>
      <w:r>
        <w:rPr>
          <w:w w:val="95"/>
          <w:sz w:val="21"/>
        </w:rPr>
        <w:t>（见释义13.11）；</w:t>
      </w:r>
    </w:p>
    <w:p>
      <w:pPr>
        <w:pStyle w:val="ListParagraph"/>
        <w:numPr>
          <w:ilvl w:val="0"/>
          <w:numId w:val="16"/>
        </w:numPr>
        <w:tabs>
          <w:tab w:pos="687" w:val="left" w:leader="none"/>
        </w:tabs>
        <w:spacing w:line="232" w:lineRule="auto" w:before="6" w:after="0"/>
        <w:ind w:left="686" w:right="117" w:hanging="566"/>
        <w:jc w:val="left"/>
        <w:rPr>
          <w:sz w:val="21"/>
        </w:rPr>
      </w:pPr>
      <w:r>
        <w:rPr>
          <w:spacing w:val="-2"/>
          <w:w w:val="95"/>
          <w:sz w:val="21"/>
        </w:rPr>
        <w:t>被保险人</w:t>
      </w:r>
      <w:r>
        <w:rPr>
          <w:rFonts w:ascii="Microsoft JhengHei" w:eastAsia="Microsoft JhengHei" w:hint="eastAsia"/>
          <w:b/>
          <w:spacing w:val="-43"/>
          <w:w w:val="95"/>
          <w:sz w:val="21"/>
        </w:rPr>
        <w:t>酒</w:t>
      </w:r>
      <w:r>
        <w:rPr>
          <w:spacing w:val="-105"/>
          <w:w w:val="95"/>
          <w:position w:val="1"/>
          <w:sz w:val="21"/>
        </w:rPr>
        <w:t>后驾</w:t>
      </w:r>
      <w:r>
        <w:rPr>
          <w:spacing w:val="-79"/>
          <w:w w:val="95"/>
          <w:sz w:val="21"/>
        </w:rPr>
        <w:t>后驾后驾后驾</w:t>
      </w:r>
      <w:r>
        <w:rPr>
          <w:spacing w:val="-209"/>
          <w:w w:val="95"/>
          <w:position w:val="1"/>
          <w:sz w:val="21"/>
        </w:rPr>
        <w:t>驶</w:t>
      </w:r>
      <w:r>
        <w:rPr>
          <w:spacing w:val="-209"/>
          <w:w w:val="95"/>
          <w:sz w:val="21"/>
        </w:rPr>
        <w:t>驶驶</w:t>
      </w:r>
      <w:r>
        <w:rPr>
          <w:spacing w:val="-47"/>
          <w:w w:val="95"/>
          <w:sz w:val="21"/>
        </w:rPr>
        <w:t>驶</w:t>
      </w:r>
      <w:r>
        <w:rPr>
          <w:w w:val="95"/>
          <w:sz w:val="21"/>
        </w:rPr>
        <w:t>（见释义13.12）</w:t>
      </w:r>
      <w:r>
        <w:rPr>
          <w:spacing w:val="-12"/>
          <w:w w:val="95"/>
          <w:sz w:val="21"/>
        </w:rPr>
        <w:t>、</w:t>
      </w:r>
      <w:r>
        <w:rPr>
          <w:spacing w:val="-209"/>
          <w:w w:val="95"/>
          <w:position w:val="1"/>
          <w:sz w:val="21"/>
        </w:rPr>
        <w:t>无</w:t>
      </w:r>
      <w:r>
        <w:rPr>
          <w:spacing w:val="-209"/>
          <w:w w:val="95"/>
          <w:sz w:val="21"/>
        </w:rPr>
        <w:t>无无</w:t>
      </w:r>
      <w:r>
        <w:rPr>
          <w:spacing w:val="-49"/>
          <w:w w:val="95"/>
          <w:sz w:val="21"/>
        </w:rPr>
        <w:t>无</w:t>
      </w:r>
      <w:r>
        <w:rPr>
          <w:spacing w:val="-105"/>
          <w:w w:val="95"/>
          <w:position w:val="1"/>
          <w:sz w:val="21"/>
        </w:rPr>
        <w:t>合法</w:t>
      </w:r>
      <w:r>
        <w:rPr>
          <w:spacing w:val="-79"/>
          <w:w w:val="95"/>
          <w:sz w:val="21"/>
        </w:rPr>
        <w:t>合法合法合法</w:t>
      </w:r>
      <w:r>
        <w:rPr>
          <w:spacing w:val="-105"/>
          <w:w w:val="95"/>
          <w:position w:val="1"/>
          <w:sz w:val="21"/>
        </w:rPr>
        <w:t>有效</w:t>
      </w:r>
      <w:r>
        <w:rPr>
          <w:spacing w:val="-79"/>
          <w:w w:val="95"/>
          <w:sz w:val="21"/>
        </w:rPr>
        <w:t>有效有效有效</w:t>
      </w:r>
      <w:r>
        <w:rPr>
          <w:spacing w:val="-105"/>
          <w:w w:val="95"/>
          <w:position w:val="1"/>
          <w:sz w:val="21"/>
        </w:rPr>
        <w:t>驾驶</w:t>
      </w:r>
      <w:r>
        <w:rPr>
          <w:spacing w:val="-79"/>
          <w:w w:val="95"/>
          <w:sz w:val="21"/>
        </w:rPr>
        <w:t>驾驶驾驶驾驶</w:t>
      </w:r>
      <w:r>
        <w:rPr>
          <w:spacing w:val="-105"/>
          <w:w w:val="95"/>
          <w:position w:val="1"/>
          <w:sz w:val="21"/>
        </w:rPr>
        <w:t>证驾</w:t>
      </w:r>
      <w:r>
        <w:rPr>
          <w:spacing w:val="-117"/>
          <w:w w:val="95"/>
          <w:sz w:val="21"/>
        </w:rPr>
        <w:t>证驾证驾证</w:t>
      </w:r>
      <w:r>
        <w:rPr>
          <w:spacing w:val="331"/>
          <w:w w:val="95"/>
          <w:sz w:val="21"/>
        </w:rPr>
        <w:t> </w:t>
      </w:r>
      <w:r>
        <w:rPr>
          <w:spacing w:val="-49"/>
          <w:w w:val="95"/>
          <w:sz w:val="21"/>
        </w:rPr>
        <w:t>驾</w:t>
      </w:r>
      <w:r>
        <w:rPr>
          <w:spacing w:val="-209"/>
          <w:w w:val="95"/>
          <w:position w:val="1"/>
          <w:sz w:val="21"/>
        </w:rPr>
        <w:t>驶</w:t>
      </w:r>
      <w:r>
        <w:rPr>
          <w:spacing w:val="-209"/>
          <w:w w:val="95"/>
          <w:sz w:val="21"/>
        </w:rPr>
        <w:t>驶驶</w:t>
      </w:r>
      <w:r>
        <w:rPr>
          <w:spacing w:val="-45"/>
          <w:w w:val="95"/>
          <w:sz w:val="21"/>
        </w:rPr>
        <w:t>驶</w:t>
      </w:r>
      <w:r>
        <w:rPr>
          <w:w w:val="95"/>
          <w:sz w:val="21"/>
        </w:rPr>
        <w:t>（见释义</w:t>
      </w:r>
      <w:r>
        <w:rPr>
          <w:spacing w:val="-3"/>
          <w:w w:val="95"/>
          <w:sz w:val="21"/>
        </w:rPr>
        <w:t>13.13），及驾驶</w:t>
      </w:r>
      <w:r>
        <w:rPr>
          <w:rFonts w:ascii="Microsoft JhengHei" w:eastAsia="Microsoft JhengHei" w:hint="eastAsia"/>
          <w:b/>
          <w:spacing w:val="-43"/>
          <w:w w:val="95"/>
          <w:sz w:val="21"/>
        </w:rPr>
        <w:t>无</w:t>
      </w:r>
      <w:r>
        <w:rPr>
          <w:spacing w:val="-105"/>
          <w:w w:val="95"/>
          <w:position w:val="1"/>
          <w:sz w:val="21"/>
        </w:rPr>
        <w:t>有效</w:t>
      </w:r>
      <w:r>
        <w:rPr>
          <w:spacing w:val="-79"/>
          <w:w w:val="95"/>
          <w:sz w:val="21"/>
        </w:rPr>
        <w:t>有效有效有效</w:t>
      </w:r>
      <w:r>
        <w:rPr>
          <w:spacing w:val="-105"/>
          <w:w w:val="95"/>
          <w:position w:val="1"/>
          <w:sz w:val="21"/>
        </w:rPr>
        <w:t>行驶</w:t>
      </w:r>
      <w:r>
        <w:rPr>
          <w:spacing w:val="-79"/>
          <w:w w:val="95"/>
          <w:sz w:val="21"/>
        </w:rPr>
        <w:t>行驶行驶行驶</w:t>
      </w:r>
      <w:r>
        <w:rPr>
          <w:spacing w:val="-209"/>
          <w:w w:val="95"/>
          <w:position w:val="1"/>
          <w:sz w:val="21"/>
        </w:rPr>
        <w:t>证</w:t>
      </w:r>
      <w:r>
        <w:rPr>
          <w:spacing w:val="-209"/>
          <w:w w:val="95"/>
          <w:sz w:val="21"/>
        </w:rPr>
        <w:t>证证</w:t>
      </w:r>
      <w:r>
        <w:rPr>
          <w:spacing w:val="-43"/>
          <w:w w:val="95"/>
          <w:sz w:val="21"/>
        </w:rPr>
        <w:t>证</w:t>
      </w:r>
      <w:r>
        <w:rPr>
          <w:w w:val="95"/>
          <w:sz w:val="21"/>
        </w:rPr>
        <w:t>（见释义13.14）的机动车；</w:t>
      </w:r>
    </w:p>
    <w:p>
      <w:pPr>
        <w:pStyle w:val="ListParagraph"/>
        <w:numPr>
          <w:ilvl w:val="0"/>
          <w:numId w:val="16"/>
        </w:numPr>
        <w:tabs>
          <w:tab w:pos="687" w:val="left" w:leader="none"/>
        </w:tabs>
        <w:spacing w:line="358" w:lineRule="exact" w:before="0" w:after="0"/>
        <w:ind w:left="686" w:right="0" w:hanging="566"/>
        <w:jc w:val="both"/>
        <w:rPr>
          <w:sz w:val="21"/>
        </w:rPr>
      </w:pPr>
      <w:r>
        <w:rPr>
          <w:spacing w:val="-1"/>
          <w:w w:val="95"/>
          <w:sz w:val="21"/>
        </w:rPr>
        <w:t>被保险人非经输血</w:t>
      </w:r>
      <w:r>
        <w:rPr>
          <w:rFonts w:ascii="Microsoft JhengHei" w:eastAsia="Microsoft JhengHei" w:hint="eastAsia"/>
          <w:b/>
          <w:spacing w:val="-43"/>
          <w:w w:val="95"/>
          <w:sz w:val="21"/>
        </w:rPr>
        <w:t>感</w:t>
      </w:r>
      <w:r>
        <w:rPr>
          <w:spacing w:val="-105"/>
          <w:w w:val="95"/>
          <w:position w:val="1"/>
          <w:sz w:val="21"/>
        </w:rPr>
        <w:t>染艾</w:t>
      </w:r>
      <w:r>
        <w:rPr>
          <w:spacing w:val="-79"/>
          <w:w w:val="95"/>
          <w:sz w:val="21"/>
        </w:rPr>
        <w:t>染艾染艾染艾</w:t>
      </w:r>
      <w:r>
        <w:rPr>
          <w:spacing w:val="-105"/>
          <w:w w:val="95"/>
          <w:position w:val="1"/>
          <w:sz w:val="21"/>
        </w:rPr>
        <w:t>滋病</w:t>
      </w:r>
      <w:r>
        <w:rPr>
          <w:spacing w:val="-79"/>
          <w:w w:val="95"/>
          <w:sz w:val="21"/>
        </w:rPr>
        <w:t>滋病滋病滋病</w:t>
      </w:r>
      <w:r>
        <w:rPr>
          <w:spacing w:val="-105"/>
          <w:w w:val="95"/>
          <w:position w:val="1"/>
          <w:sz w:val="21"/>
        </w:rPr>
        <w:t>病毒</w:t>
      </w:r>
      <w:r>
        <w:rPr>
          <w:spacing w:val="-79"/>
          <w:w w:val="95"/>
          <w:sz w:val="21"/>
        </w:rPr>
        <w:t>病毒病毒病毒</w:t>
      </w:r>
      <w:r>
        <w:rPr>
          <w:spacing w:val="-105"/>
          <w:w w:val="95"/>
          <w:position w:val="1"/>
          <w:sz w:val="21"/>
        </w:rPr>
        <w:t>或患</w:t>
      </w:r>
      <w:r>
        <w:rPr>
          <w:spacing w:val="-79"/>
          <w:w w:val="95"/>
          <w:sz w:val="21"/>
        </w:rPr>
        <w:t>或患或患或患</w:t>
      </w:r>
      <w:r>
        <w:rPr>
          <w:spacing w:val="-105"/>
          <w:w w:val="95"/>
          <w:position w:val="1"/>
          <w:sz w:val="21"/>
        </w:rPr>
        <w:t>艾滋</w:t>
      </w:r>
      <w:r>
        <w:rPr>
          <w:spacing w:val="-79"/>
          <w:w w:val="95"/>
          <w:sz w:val="21"/>
        </w:rPr>
        <w:t>艾滋艾滋艾滋</w:t>
      </w:r>
      <w:r>
        <w:rPr>
          <w:spacing w:val="-209"/>
          <w:w w:val="95"/>
          <w:position w:val="1"/>
          <w:sz w:val="21"/>
        </w:rPr>
        <w:t>病</w:t>
      </w:r>
      <w:r>
        <w:rPr>
          <w:spacing w:val="-209"/>
          <w:w w:val="95"/>
          <w:sz w:val="21"/>
        </w:rPr>
        <w:t>病病</w:t>
      </w:r>
      <w:r>
        <w:rPr>
          <w:spacing w:val="-35"/>
          <w:w w:val="95"/>
          <w:sz w:val="21"/>
        </w:rPr>
        <w:t>病</w:t>
      </w:r>
      <w:r>
        <w:rPr>
          <w:w w:val="95"/>
          <w:sz w:val="21"/>
        </w:rPr>
        <w:t>（见释义     </w:t>
      </w:r>
      <w:r>
        <w:rPr>
          <w:spacing w:val="-113"/>
          <w:sz w:val="21"/>
        </w:rPr>
        <w:t>13.15）；</w:t>
      </w:r>
    </w:p>
    <w:p>
      <w:pPr>
        <w:pStyle w:val="ListParagraph"/>
        <w:numPr>
          <w:ilvl w:val="0"/>
          <w:numId w:val="16"/>
        </w:numPr>
        <w:tabs>
          <w:tab w:pos="687" w:val="left" w:leader="none"/>
        </w:tabs>
        <w:spacing w:line="240" w:lineRule="auto" w:before="56" w:after="0"/>
        <w:ind w:left="686" w:right="0" w:hanging="566"/>
        <w:jc w:val="both"/>
        <w:rPr>
          <w:sz w:val="21"/>
        </w:rPr>
      </w:pPr>
      <w:r>
        <w:rPr>
          <w:w w:val="95"/>
          <w:sz w:val="21"/>
        </w:rPr>
        <w:t>战争、军事冲突、暴乱或武装叛乱；</w:t>
      </w:r>
    </w:p>
    <w:p>
      <w:pPr>
        <w:spacing w:after="0" w:line="240" w:lineRule="auto"/>
        <w:jc w:val="both"/>
        <w:rPr>
          <w:sz w:val="21"/>
        </w:rPr>
        <w:sectPr>
          <w:pgSz w:w="11910" w:h="16840"/>
          <w:pgMar w:header="0" w:footer="1047" w:top="1420" w:bottom="1240" w:left="1680" w:right="1680"/>
        </w:sectPr>
      </w:pPr>
    </w:p>
    <w:p>
      <w:pPr>
        <w:pStyle w:val="ListParagraph"/>
        <w:numPr>
          <w:ilvl w:val="0"/>
          <w:numId w:val="16"/>
        </w:numPr>
        <w:tabs>
          <w:tab w:pos="687" w:val="left" w:leader="none"/>
        </w:tabs>
        <w:spacing w:line="240" w:lineRule="auto" w:before="8" w:after="0"/>
        <w:ind w:left="686" w:right="0" w:hanging="566"/>
        <w:jc w:val="left"/>
        <w:rPr>
          <w:sz w:val="21"/>
        </w:rPr>
      </w:pPr>
      <w:bookmarkStart w:name="保险费" w:id="29"/>
      <w:bookmarkEnd w:id="29"/>
      <w:r>
        <w:rPr/>
      </w:r>
      <w:bookmarkStart w:name="保险费的支付方式" w:id="30"/>
      <w:bookmarkEnd w:id="30"/>
      <w:r>
        <w:rPr/>
      </w:r>
      <w:bookmarkStart w:name="保险费率调整" w:id="31"/>
      <w:bookmarkEnd w:id="31"/>
      <w:r>
        <w:rPr/>
      </w:r>
      <w:bookmarkStart w:name="宽限期" w:id="32"/>
      <w:bookmarkEnd w:id="32"/>
      <w:r>
        <w:rPr/>
      </w:r>
      <w:bookmarkStart w:name="保险金的领取" w:id="33"/>
      <w:bookmarkEnd w:id="33"/>
      <w:r>
        <w:rPr/>
      </w:r>
      <w:bookmarkStart w:name="受益人的指定和变更" w:id="34"/>
      <w:bookmarkEnd w:id="34"/>
      <w:r>
        <w:rPr/>
      </w:r>
      <w:bookmarkStart w:name="重大疾病保险金受益人" w:id="35"/>
      <w:bookmarkEnd w:id="35"/>
      <w:r>
        <w:rPr/>
      </w:r>
      <w:bookmarkStart w:name="身故保险金受益人" w:id="36"/>
      <w:bookmarkEnd w:id="36"/>
      <w:r>
        <w:rPr/>
      </w:r>
      <w:bookmarkStart w:name="身故保险金受益人" w:id="37"/>
      <w:bookmarkEnd w:id="37"/>
      <w:r>
        <w:rPr>
          <w:w w:val="95"/>
          <w:sz w:val="21"/>
        </w:rPr>
        <w:t>核爆炸、核辐射或核污染；</w:t>
      </w:r>
    </w:p>
    <w:p>
      <w:pPr>
        <w:pStyle w:val="ListParagraph"/>
        <w:numPr>
          <w:ilvl w:val="0"/>
          <w:numId w:val="16"/>
        </w:numPr>
        <w:tabs>
          <w:tab w:pos="681" w:val="left" w:leader="none"/>
        </w:tabs>
        <w:spacing w:line="266" w:lineRule="auto" w:before="13" w:after="0"/>
        <w:ind w:left="120" w:right="175" w:firstLine="0"/>
        <w:jc w:val="left"/>
        <w:rPr>
          <w:sz w:val="21"/>
        </w:rPr>
      </w:pPr>
      <w:r>
        <w:rPr>
          <w:rFonts w:ascii="Microsoft JhengHei" w:eastAsia="Microsoft JhengHei" w:hint="eastAsia"/>
          <w:b/>
          <w:spacing w:val="-43"/>
          <w:w w:val="95"/>
          <w:sz w:val="21"/>
        </w:rPr>
        <w:t>遗</w:t>
      </w:r>
      <w:r>
        <w:rPr>
          <w:spacing w:val="-105"/>
          <w:w w:val="95"/>
          <w:position w:val="1"/>
          <w:sz w:val="21"/>
        </w:rPr>
        <w:t>传性</w:t>
      </w:r>
      <w:r>
        <w:rPr>
          <w:spacing w:val="-79"/>
          <w:w w:val="95"/>
          <w:sz w:val="21"/>
        </w:rPr>
        <w:t>传性传性传性</w:t>
      </w:r>
      <w:r>
        <w:rPr>
          <w:spacing w:val="-105"/>
          <w:w w:val="95"/>
          <w:position w:val="1"/>
          <w:sz w:val="21"/>
        </w:rPr>
        <w:t>疾病</w:t>
      </w:r>
      <w:r>
        <w:rPr>
          <w:spacing w:val="-77"/>
          <w:w w:val="95"/>
          <w:sz w:val="21"/>
        </w:rPr>
        <w:t>疾病疾病疾病</w:t>
      </w:r>
      <w:r>
        <w:rPr>
          <w:w w:val="95"/>
          <w:sz w:val="21"/>
        </w:rPr>
        <w:t>（见释义13.16）</w:t>
      </w:r>
      <w:r>
        <w:rPr>
          <w:spacing w:val="-108"/>
          <w:w w:val="95"/>
          <w:sz w:val="21"/>
        </w:rPr>
        <w:t>、先</w:t>
      </w:r>
      <w:r>
        <w:rPr>
          <w:spacing w:val="-209"/>
          <w:w w:val="95"/>
          <w:position w:val="1"/>
          <w:sz w:val="21"/>
        </w:rPr>
        <w:t>先</w:t>
      </w:r>
      <w:r>
        <w:rPr>
          <w:spacing w:val="-117"/>
          <w:w w:val="95"/>
          <w:sz w:val="21"/>
        </w:rPr>
        <w:t>先先天性</w:t>
      </w:r>
      <w:r>
        <w:rPr>
          <w:spacing w:val="-105"/>
          <w:w w:val="95"/>
          <w:position w:val="1"/>
          <w:sz w:val="21"/>
        </w:rPr>
        <w:t>天性</w:t>
      </w:r>
      <w:r>
        <w:rPr>
          <w:spacing w:val="-65"/>
          <w:w w:val="95"/>
          <w:sz w:val="21"/>
        </w:rPr>
        <w:t>天性天性</w:t>
      </w:r>
      <w:r>
        <w:rPr>
          <w:spacing w:val="-105"/>
          <w:w w:val="95"/>
          <w:position w:val="1"/>
          <w:sz w:val="21"/>
        </w:rPr>
        <w:t>畸形</w:t>
      </w:r>
      <w:r>
        <w:rPr>
          <w:spacing w:val="-79"/>
          <w:w w:val="95"/>
          <w:sz w:val="21"/>
        </w:rPr>
        <w:t>畸形畸形畸形</w:t>
      </w:r>
      <w:r>
        <w:rPr>
          <w:spacing w:val="-105"/>
          <w:w w:val="95"/>
          <w:position w:val="1"/>
          <w:sz w:val="21"/>
        </w:rPr>
        <w:t>、变</w:t>
      </w:r>
      <w:r>
        <w:rPr>
          <w:spacing w:val="-79"/>
          <w:w w:val="95"/>
          <w:sz w:val="21"/>
        </w:rPr>
        <w:t>、变、变、变</w:t>
      </w:r>
      <w:r>
        <w:rPr>
          <w:spacing w:val="-105"/>
          <w:w w:val="95"/>
          <w:position w:val="1"/>
          <w:sz w:val="21"/>
        </w:rPr>
        <w:t>形或</w:t>
      </w:r>
      <w:r>
        <w:rPr>
          <w:spacing w:val="-120"/>
          <w:w w:val="95"/>
          <w:sz w:val="21"/>
        </w:rPr>
        <w:t>形或形或形</w:t>
      </w:r>
      <w:r>
        <w:rPr>
          <w:spacing w:val="326"/>
          <w:w w:val="95"/>
          <w:sz w:val="21"/>
        </w:rPr>
        <w:t> </w:t>
      </w:r>
      <w:r>
        <w:rPr>
          <w:spacing w:val="-49"/>
          <w:sz w:val="21"/>
        </w:rPr>
        <w:t>或</w:t>
      </w:r>
      <w:r>
        <w:rPr>
          <w:spacing w:val="-105"/>
          <w:position w:val="1"/>
          <w:sz w:val="21"/>
        </w:rPr>
        <w:t>染色</w:t>
      </w:r>
      <w:r>
        <w:rPr>
          <w:spacing w:val="-79"/>
          <w:sz w:val="21"/>
        </w:rPr>
        <w:t>染色染色染色</w:t>
      </w:r>
      <w:r>
        <w:rPr>
          <w:spacing w:val="-105"/>
          <w:position w:val="1"/>
          <w:sz w:val="21"/>
        </w:rPr>
        <w:t>体异</w:t>
      </w:r>
      <w:r>
        <w:rPr>
          <w:spacing w:val="-79"/>
          <w:sz w:val="21"/>
        </w:rPr>
        <w:t>体异体异体异</w:t>
      </w:r>
      <w:r>
        <w:rPr>
          <w:spacing w:val="-209"/>
          <w:position w:val="1"/>
          <w:sz w:val="21"/>
        </w:rPr>
        <w:t>常</w:t>
      </w:r>
      <w:r>
        <w:rPr>
          <w:spacing w:val="-209"/>
          <w:sz w:val="21"/>
        </w:rPr>
        <w:t>常常</w:t>
      </w:r>
      <w:r>
        <w:rPr>
          <w:spacing w:val="-33"/>
          <w:sz w:val="21"/>
        </w:rPr>
        <w:t>常</w:t>
      </w:r>
      <w:r>
        <w:rPr>
          <w:sz w:val="21"/>
        </w:rPr>
        <w:t>（见释义13.17）。因上述第（1）项情形而导致被保险人身故或永久完全残疾、或者发Th本合同所指重大疾病的，本合同终止，本公司将向身故保险金</w:t>
      </w:r>
      <w:r>
        <w:rPr>
          <w:spacing w:val="0"/>
          <w:w w:val="95"/>
          <w:sz w:val="21"/>
        </w:rPr>
        <w:t>受益人退还本合同终止时的</w:t>
      </w:r>
      <w:r>
        <w:rPr>
          <w:rFonts w:ascii="Microsoft JhengHei" w:eastAsia="Microsoft JhengHei" w:hint="eastAsia"/>
          <w:b/>
          <w:spacing w:val="-39"/>
          <w:w w:val="95"/>
          <w:sz w:val="21"/>
        </w:rPr>
        <w:t>现</w:t>
      </w:r>
      <w:r>
        <w:rPr>
          <w:spacing w:val="-209"/>
          <w:w w:val="95"/>
          <w:position w:val="1"/>
          <w:sz w:val="21"/>
        </w:rPr>
        <w:t>金</w:t>
      </w:r>
      <w:r>
        <w:rPr>
          <w:spacing w:val="-209"/>
          <w:w w:val="95"/>
          <w:sz w:val="21"/>
        </w:rPr>
        <w:t>金金</w:t>
      </w:r>
      <w:r>
        <w:rPr>
          <w:spacing w:val="-42"/>
          <w:w w:val="95"/>
          <w:sz w:val="21"/>
        </w:rPr>
        <w:t>金</w:t>
      </w:r>
      <w:r>
        <w:rPr>
          <w:spacing w:val="-209"/>
          <w:w w:val="95"/>
          <w:position w:val="1"/>
          <w:sz w:val="21"/>
        </w:rPr>
        <w:t>价</w:t>
      </w:r>
      <w:r>
        <w:rPr>
          <w:spacing w:val="-209"/>
          <w:w w:val="95"/>
          <w:sz w:val="21"/>
        </w:rPr>
        <w:t>价价</w:t>
      </w:r>
      <w:r>
        <w:rPr>
          <w:spacing w:val="-42"/>
          <w:w w:val="95"/>
          <w:sz w:val="21"/>
        </w:rPr>
        <w:t>价</w:t>
      </w:r>
      <w:r>
        <w:rPr>
          <w:spacing w:val="-209"/>
          <w:w w:val="95"/>
          <w:position w:val="1"/>
          <w:sz w:val="21"/>
        </w:rPr>
        <w:t>值</w:t>
      </w:r>
      <w:r>
        <w:rPr>
          <w:spacing w:val="-209"/>
          <w:w w:val="95"/>
          <w:sz w:val="21"/>
        </w:rPr>
        <w:t>值值</w:t>
      </w:r>
      <w:r>
        <w:rPr>
          <w:spacing w:val="-33"/>
          <w:w w:val="95"/>
          <w:sz w:val="21"/>
        </w:rPr>
        <w:t>值</w:t>
      </w:r>
      <w:r>
        <w:rPr>
          <w:spacing w:val="7"/>
          <w:w w:val="95"/>
          <w:sz w:val="21"/>
        </w:rPr>
        <w:t>（</w:t>
      </w:r>
      <w:r>
        <w:rPr>
          <w:spacing w:val="5"/>
          <w:w w:val="95"/>
          <w:sz w:val="21"/>
        </w:rPr>
        <w:t>见释义</w:t>
      </w:r>
    </w:p>
    <w:p>
      <w:pPr>
        <w:pStyle w:val="BodyText"/>
        <w:spacing w:before="26"/>
      </w:pPr>
      <w:r>
        <w:rPr>
          <w:w w:val="95"/>
        </w:rPr>
        <w:t>13.18）。</w:t>
      </w:r>
    </w:p>
    <w:p>
      <w:pPr>
        <w:pStyle w:val="BodyText"/>
        <w:spacing w:line="309" w:lineRule="auto"/>
        <w:ind w:right="181"/>
      </w:pPr>
      <w:r>
        <w:rPr>
          <w:w w:val="95"/>
        </w:rPr>
        <w:t>因上述其他情形导致被保险人身故或永久完全残疾，或者发Th</w:t>
      </w:r>
      <w:r>
        <w:rPr>
          <w:spacing w:val="-8"/>
          <w:w w:val="95"/>
        </w:rPr>
        <w:t>本合同所指的重大疾病的，本   合同终止，本公司向您退还本合同终止时的现金价值。</w:t>
      </w:r>
    </w:p>
    <w:p>
      <w:pPr>
        <w:pStyle w:val="Heading2"/>
        <w:numPr>
          <w:ilvl w:val="0"/>
          <w:numId w:val="13"/>
        </w:numPr>
        <w:tabs>
          <w:tab w:pos="544" w:val="left" w:leader="none"/>
          <w:tab w:pos="545" w:val="left" w:leader="none"/>
        </w:tabs>
        <w:spacing w:line="313" w:lineRule="exact" w:before="0" w:after="0"/>
        <w:ind w:left="544" w:right="0" w:hanging="424"/>
        <w:jc w:val="left"/>
      </w:pPr>
      <w:bookmarkStart w:name="_TOC_250110" w:id="38"/>
      <w:bookmarkEnd w:id="38"/>
      <w:r>
        <w:rPr>
          <w:w w:val="95"/>
        </w:rPr>
        <w:t>保险费</w:t>
      </w:r>
    </w:p>
    <w:p>
      <w:pPr>
        <w:pStyle w:val="Heading2"/>
        <w:numPr>
          <w:ilvl w:val="1"/>
          <w:numId w:val="13"/>
        </w:numPr>
        <w:tabs>
          <w:tab w:pos="696" w:val="left" w:leader="none"/>
        </w:tabs>
        <w:spacing w:line="360" w:lineRule="exact" w:before="0" w:after="0"/>
        <w:ind w:left="696" w:right="0" w:hanging="576"/>
        <w:jc w:val="left"/>
      </w:pPr>
      <w:bookmarkStart w:name="_TOC_250109" w:id="39"/>
      <w:bookmarkEnd w:id="39"/>
      <w:r>
        <w:rPr>
          <w:w w:val="95"/>
        </w:rPr>
        <w:t>保险费的支付方式</w:t>
      </w:r>
    </w:p>
    <w:p>
      <w:pPr>
        <w:pStyle w:val="BodyText"/>
        <w:spacing w:before="58"/>
      </w:pPr>
      <w:r>
        <w:rPr>
          <w:w w:val="95"/>
        </w:rPr>
        <w:t>本合同的交费方式和交费期间由您在投保时与本公司约定，并在保险单上载明。</w:t>
      </w:r>
    </w:p>
    <w:p>
      <w:pPr>
        <w:pStyle w:val="BodyText"/>
        <w:spacing w:line="309" w:lineRule="auto"/>
        <w:ind w:right="179"/>
      </w:pPr>
      <w:r>
        <w:rPr>
          <w:spacing w:val="-9"/>
          <w:w w:val="95"/>
        </w:rPr>
        <w:t>分期支付保险费的，在支付首期保险费后，您应当在每个保险费约定支付日支付其余各期的   保险费。</w:t>
      </w:r>
    </w:p>
    <w:p>
      <w:pPr>
        <w:pStyle w:val="BodyText"/>
        <w:spacing w:line="318" w:lineRule="exact" w:before="0"/>
      </w:pPr>
      <w:r>
        <w:rPr>
          <w:spacing w:val="-1"/>
          <w:w w:val="95"/>
        </w:rPr>
        <w:t>保险费的交费方式是</w:t>
      </w:r>
      <w:r>
        <w:rPr>
          <w:rFonts w:ascii="Microsoft JhengHei" w:eastAsia="Microsoft JhengHei" w:hint="eastAsia"/>
          <w:b/>
          <w:spacing w:val="-43"/>
          <w:w w:val="95"/>
        </w:rPr>
        <w:t>银</w:t>
      </w:r>
      <w:r>
        <w:rPr>
          <w:spacing w:val="-105"/>
          <w:w w:val="95"/>
          <w:position w:val="1"/>
        </w:rPr>
        <w:t>行转</w:t>
      </w:r>
      <w:r>
        <w:rPr>
          <w:spacing w:val="-79"/>
          <w:w w:val="95"/>
        </w:rPr>
        <w:t>行转行转行转</w:t>
      </w:r>
      <w:r>
        <w:rPr>
          <w:spacing w:val="-105"/>
          <w:w w:val="95"/>
          <w:position w:val="1"/>
        </w:rPr>
        <w:t>账交</w:t>
      </w:r>
      <w:r>
        <w:rPr>
          <w:spacing w:val="-79"/>
          <w:w w:val="95"/>
        </w:rPr>
        <w:t>账交账交账交</w:t>
      </w:r>
      <w:r>
        <w:rPr>
          <w:spacing w:val="-209"/>
          <w:w w:val="95"/>
          <w:position w:val="1"/>
        </w:rPr>
        <w:t>费</w:t>
      </w:r>
      <w:r>
        <w:rPr>
          <w:spacing w:val="-209"/>
          <w:w w:val="95"/>
        </w:rPr>
        <w:t>费费</w:t>
      </w:r>
      <w:r>
        <w:rPr>
          <w:spacing w:val="-40"/>
          <w:w w:val="95"/>
        </w:rPr>
        <w:t>费</w:t>
      </w:r>
      <w:r>
        <w:rPr>
          <w:w w:val="95"/>
        </w:rPr>
        <w:t>（见释义13.19）</w:t>
      </w:r>
      <w:r>
        <w:rPr>
          <w:spacing w:val="-3"/>
          <w:w w:val="95"/>
        </w:rPr>
        <w:t>，请您确保账号准确以及交费     </w:t>
      </w:r>
      <w:r>
        <w:rPr>
          <w:w w:val="95"/>
        </w:rPr>
        <w:t>期间内账</w:t>
      </w:r>
    </w:p>
    <w:p>
      <w:pPr>
        <w:pStyle w:val="BodyText"/>
        <w:spacing w:before="56"/>
      </w:pPr>
      <w:r>
        <w:rPr>
          <w:w w:val="95"/>
        </w:rPr>
        <w:t>户余额充足。</w:t>
      </w:r>
    </w:p>
    <w:p>
      <w:pPr>
        <w:pStyle w:val="Heading2"/>
        <w:numPr>
          <w:ilvl w:val="1"/>
          <w:numId w:val="13"/>
        </w:numPr>
        <w:tabs>
          <w:tab w:pos="696" w:val="left" w:leader="none"/>
        </w:tabs>
        <w:spacing w:line="240" w:lineRule="auto" w:before="15" w:after="0"/>
        <w:ind w:left="696" w:right="0" w:hanging="576"/>
        <w:jc w:val="left"/>
      </w:pPr>
      <w:bookmarkStart w:name="_TOC_250108" w:id="40"/>
      <w:bookmarkEnd w:id="40"/>
      <w:r>
        <w:rPr>
          <w:w w:val="95"/>
        </w:rPr>
        <w:t>保险费率调整</w:t>
      </w:r>
    </w:p>
    <w:p>
      <w:pPr>
        <w:pStyle w:val="BodyText"/>
        <w:spacing w:line="309" w:lineRule="auto" w:before="56"/>
        <w:ind w:right="177"/>
        <w:jc w:val="both"/>
      </w:pPr>
      <w:r>
        <w:rPr>
          <w:spacing w:val="-4"/>
          <w:w w:val="95"/>
        </w:rPr>
        <w:t>本公司保留于每个保单周年日审核调整本合同保险费率的权利。调整保险费率是对所有被保   </w:t>
      </w:r>
      <w:r>
        <w:rPr>
          <w:spacing w:val="-8"/>
          <w:w w:val="95"/>
        </w:rPr>
        <w:t>险人或同一投保年龄的所有被保险人适用的保险费率进行调整。保险费率经调整后，您应支   付的续期保险费将按调整后的保险费率计算。</w:t>
      </w:r>
    </w:p>
    <w:p>
      <w:pPr>
        <w:pStyle w:val="Heading2"/>
        <w:numPr>
          <w:ilvl w:val="1"/>
          <w:numId w:val="13"/>
        </w:numPr>
        <w:tabs>
          <w:tab w:pos="696" w:val="left" w:leader="none"/>
        </w:tabs>
        <w:spacing w:line="318" w:lineRule="exact" w:before="0" w:after="0"/>
        <w:ind w:left="696" w:right="0" w:hanging="576"/>
        <w:jc w:val="left"/>
      </w:pPr>
      <w:bookmarkStart w:name="_TOC_250107" w:id="41"/>
      <w:bookmarkEnd w:id="41"/>
      <w:r>
        <w:rPr>
          <w:w w:val="95"/>
        </w:rPr>
        <w:t>宽限期</w:t>
      </w:r>
    </w:p>
    <w:p>
      <w:pPr>
        <w:pStyle w:val="BodyText"/>
        <w:spacing w:line="312" w:lineRule="auto" w:before="56"/>
        <w:ind w:right="123"/>
        <w:jc w:val="both"/>
      </w:pPr>
      <w:r>
        <w:rPr>
          <w:spacing w:val="-11"/>
          <w:w w:val="95"/>
        </w:rPr>
        <w:t>分期支付保险费的，在支付首期保险费后，除本合同另有约定外，如果您到期未支付保险费</w:t>
      </w:r>
      <w:r>
        <w:rPr>
          <w:w w:val="80"/>
        </w:rPr>
        <w:t>，  </w:t>
      </w:r>
      <w:r>
        <w:rPr>
          <w:spacing w:val="-4"/>
        </w:rPr>
        <w:t>自保险费约定支付日的次日零时起 </w:t>
      </w:r>
      <w:r>
        <w:rPr/>
        <w:t>60</w:t>
      </w:r>
      <w:r>
        <w:rPr>
          <w:spacing w:val="-3"/>
        </w:rPr>
        <w:t> 日为宽限期。本公司仍会对宽限期内发生的保险事故</w:t>
      </w:r>
      <w:r>
        <w:rPr>
          <w:spacing w:val="-3"/>
          <w:w w:val="95"/>
        </w:rPr>
        <w:t>承担保险责任，但在给付保险金时会扣除您欠交的保险费及其利息。</w:t>
      </w:r>
    </w:p>
    <w:p>
      <w:pPr>
        <w:pStyle w:val="BodyText"/>
        <w:spacing w:line="266" w:lineRule="auto" w:before="17"/>
        <w:ind w:right="117"/>
        <w:jc w:val="both"/>
      </w:pPr>
      <w:r>
        <w:rPr>
          <w:spacing w:val="-2"/>
        </w:rPr>
        <w:t>自宽限期届满日的次日零时起，欠交保险费开始计息。欠交保险费的计息期间为 </w:t>
      </w:r>
      <w:r>
        <w:rPr/>
        <w:t>6</w:t>
      </w:r>
      <w:r>
        <w:rPr>
          <w:spacing w:val="-20"/>
        </w:rPr>
        <w:t> 个月。欠交保险费利息在六个月内按照</w:t>
      </w:r>
      <w:r>
        <w:rPr>
          <w:rFonts w:ascii="Microsoft JhengHei" w:eastAsia="Microsoft JhengHei" w:hint="eastAsia"/>
          <w:b/>
          <w:spacing w:val="-43"/>
        </w:rPr>
        <w:t>本</w:t>
      </w:r>
      <w:r>
        <w:rPr>
          <w:spacing w:val="-209"/>
          <w:position w:val="1"/>
        </w:rPr>
        <w:t>条</w:t>
      </w:r>
      <w:r>
        <w:rPr>
          <w:spacing w:val="-209"/>
        </w:rPr>
        <w:t>条条</w:t>
      </w:r>
      <w:r>
        <w:rPr>
          <w:spacing w:val="-49"/>
        </w:rPr>
        <w:t>条</w:t>
      </w:r>
      <w:r>
        <w:rPr>
          <w:spacing w:val="-209"/>
          <w:position w:val="1"/>
        </w:rPr>
        <w:t>款</w:t>
      </w:r>
      <w:r>
        <w:rPr>
          <w:spacing w:val="-209"/>
        </w:rPr>
        <w:t>款款</w:t>
      </w:r>
      <w:r>
        <w:rPr>
          <w:spacing w:val="-129"/>
        </w:rPr>
        <w:t>款约</w:t>
      </w:r>
      <w:r>
        <w:rPr>
          <w:spacing w:val="-209"/>
          <w:position w:val="1"/>
        </w:rPr>
        <w:t>约</w:t>
      </w:r>
      <w:r>
        <w:rPr>
          <w:spacing w:val="-129"/>
        </w:rPr>
        <w:t>约约</w:t>
      </w:r>
      <w:r>
        <w:rPr>
          <w:spacing w:val="-209"/>
          <w:position w:val="1"/>
        </w:rPr>
        <w:t>定</w:t>
      </w:r>
      <w:r>
        <w:rPr>
          <w:spacing w:val="-209"/>
        </w:rPr>
        <w:t>定定</w:t>
      </w:r>
      <w:r>
        <w:rPr>
          <w:spacing w:val="-49"/>
        </w:rPr>
        <w:t>定</w:t>
      </w:r>
      <w:r>
        <w:rPr>
          <w:spacing w:val="-209"/>
          <w:position w:val="1"/>
        </w:rPr>
        <w:t>利</w:t>
      </w:r>
      <w:r>
        <w:rPr>
          <w:spacing w:val="-209"/>
        </w:rPr>
        <w:t>利利</w:t>
      </w:r>
      <w:r>
        <w:rPr>
          <w:spacing w:val="-49"/>
        </w:rPr>
        <w:t>利</w:t>
      </w:r>
      <w:r>
        <w:rPr>
          <w:spacing w:val="-209"/>
          <w:position w:val="1"/>
        </w:rPr>
        <w:t>率</w:t>
      </w:r>
      <w:r>
        <w:rPr>
          <w:spacing w:val="-209"/>
        </w:rPr>
        <w:t>率率</w:t>
      </w:r>
      <w:r>
        <w:rPr>
          <w:spacing w:val="-45"/>
        </w:rPr>
        <w:t>率</w:t>
      </w:r>
      <w:r>
        <w:rPr/>
        <w:t>（</w:t>
      </w:r>
      <w:r>
        <w:rPr>
          <w:spacing w:val="-2"/>
        </w:rPr>
        <w:t>见释义 </w:t>
      </w:r>
      <w:r>
        <w:rPr/>
        <w:t>13.20）</w:t>
      </w:r>
      <w:r>
        <w:rPr>
          <w:spacing w:val="-1"/>
        </w:rPr>
        <w:t>以单利计算。若 </w:t>
      </w:r>
      <w:r>
        <w:rPr/>
        <w:t>6</w:t>
      </w:r>
      <w:r>
        <w:rPr>
          <w:spacing w:val="-3"/>
        </w:rPr>
        <w:t> 个月后您 </w:t>
      </w:r>
      <w:r>
        <w:rPr>
          <w:spacing w:val="-3"/>
          <w:w w:val="95"/>
        </w:rPr>
        <w:t>仍未补交所欠保险费，则所欠保险费及利息将作为新的本金按照本条款约定利率计息。</w:t>
      </w:r>
    </w:p>
    <w:p>
      <w:pPr>
        <w:pStyle w:val="BodyText"/>
        <w:spacing w:line="309" w:lineRule="auto" w:before="57"/>
        <w:ind w:right="124"/>
      </w:pPr>
      <w:r>
        <w:rPr>
          <w:spacing w:val="-2"/>
          <w:w w:val="95"/>
        </w:rPr>
        <w:t>如果您在宽限期结束后仍未支付到期应交的保险费，除本合同另有约定外，本合同自宽限期   届满日的次日零时起效力中止。</w:t>
      </w:r>
    </w:p>
    <w:p>
      <w:pPr>
        <w:pStyle w:val="Heading2"/>
        <w:numPr>
          <w:ilvl w:val="0"/>
          <w:numId w:val="13"/>
        </w:numPr>
        <w:tabs>
          <w:tab w:pos="544" w:val="left" w:leader="none"/>
          <w:tab w:pos="545" w:val="left" w:leader="none"/>
        </w:tabs>
        <w:spacing w:line="314" w:lineRule="exact" w:before="0" w:after="0"/>
        <w:ind w:left="544" w:right="0" w:hanging="424"/>
        <w:jc w:val="left"/>
      </w:pPr>
      <w:bookmarkStart w:name="_TOC_250106" w:id="42"/>
      <w:bookmarkEnd w:id="42"/>
      <w:r>
        <w:rPr>
          <w:w w:val="95"/>
        </w:rPr>
        <w:t>保险金的领取</w:t>
      </w:r>
    </w:p>
    <w:p>
      <w:pPr>
        <w:pStyle w:val="Heading2"/>
        <w:numPr>
          <w:ilvl w:val="1"/>
          <w:numId w:val="13"/>
        </w:numPr>
        <w:tabs>
          <w:tab w:pos="696" w:val="left" w:leader="none"/>
        </w:tabs>
        <w:spacing w:line="356" w:lineRule="exact" w:before="0" w:after="0"/>
        <w:ind w:left="696" w:right="0" w:hanging="576"/>
        <w:jc w:val="left"/>
      </w:pPr>
      <w:bookmarkStart w:name="_TOC_250105" w:id="43"/>
      <w:bookmarkEnd w:id="43"/>
      <w:r>
        <w:rPr>
          <w:w w:val="95"/>
        </w:rPr>
        <w:t>受益人的指定和变更</w:t>
      </w:r>
    </w:p>
    <w:p>
      <w:pPr>
        <w:pStyle w:val="Heading2"/>
        <w:numPr>
          <w:ilvl w:val="2"/>
          <w:numId w:val="13"/>
        </w:numPr>
        <w:tabs>
          <w:tab w:pos="828" w:val="left" w:leader="none"/>
        </w:tabs>
        <w:spacing w:line="360" w:lineRule="exact" w:before="0" w:after="0"/>
        <w:ind w:left="828" w:right="0" w:hanging="708"/>
        <w:jc w:val="left"/>
      </w:pPr>
      <w:bookmarkStart w:name="_TOC_250104" w:id="44"/>
      <w:bookmarkEnd w:id="44"/>
      <w:r>
        <w:rPr>
          <w:w w:val="95"/>
        </w:rPr>
        <w:t>重大疾病保险金受益人</w:t>
      </w:r>
    </w:p>
    <w:p>
      <w:pPr>
        <w:pStyle w:val="BodyText"/>
        <w:spacing w:before="57"/>
      </w:pPr>
      <w:r>
        <w:rPr>
          <w:w w:val="95"/>
        </w:rPr>
        <w:t>除另有约定外，重大疾病保险金受益人为被保险人本人。</w:t>
      </w:r>
    </w:p>
    <w:p>
      <w:pPr>
        <w:pStyle w:val="Heading2"/>
        <w:numPr>
          <w:ilvl w:val="2"/>
          <w:numId w:val="13"/>
        </w:numPr>
        <w:tabs>
          <w:tab w:pos="828" w:val="left" w:leader="none"/>
        </w:tabs>
        <w:spacing w:line="240" w:lineRule="auto" w:before="13" w:after="0"/>
        <w:ind w:left="828" w:right="0" w:hanging="708"/>
        <w:jc w:val="left"/>
      </w:pPr>
      <w:bookmarkStart w:name="_TOC_250103" w:id="45"/>
      <w:bookmarkEnd w:id="45"/>
      <w:r>
        <w:rPr>
          <w:w w:val="95"/>
        </w:rPr>
        <w:t>身故保险金受益人</w:t>
      </w:r>
    </w:p>
    <w:p>
      <w:pPr>
        <w:pStyle w:val="BodyText"/>
        <w:spacing w:before="56"/>
      </w:pPr>
      <w:r>
        <w:rPr>
          <w:w w:val="95"/>
        </w:rPr>
        <w:t>您或者被保险人可指定一人或多人为身故保险金受益人。</w:t>
      </w:r>
    </w:p>
    <w:p>
      <w:pPr>
        <w:pStyle w:val="BodyText"/>
        <w:spacing w:line="312" w:lineRule="auto"/>
        <w:ind w:right="177"/>
      </w:pPr>
      <w:r>
        <w:rPr>
          <w:spacing w:val="-5"/>
          <w:w w:val="95"/>
        </w:rPr>
        <w:t>身故保险金受益人为多人时，可以确定受益顺序和受益份额，未确定受益顺序的，各受益人   按同一受益顺序享有受益权；未确定份额的，各受益人按照相等份额享有受益权。</w:t>
      </w:r>
    </w:p>
    <w:p>
      <w:pPr>
        <w:pStyle w:val="BodyText"/>
        <w:spacing w:before="17"/>
      </w:pPr>
      <w:r>
        <w:rPr>
          <w:w w:val="95"/>
        </w:rPr>
        <w:t>被保险人为无民事行为能力人或限制民事行为能力人的，由其监护人指定受益人。</w:t>
      </w:r>
    </w:p>
    <w:p>
      <w:pPr>
        <w:pStyle w:val="BodyText"/>
        <w:spacing w:line="309" w:lineRule="auto"/>
        <w:ind w:right="177"/>
        <w:jc w:val="both"/>
      </w:pPr>
      <w:r>
        <w:rPr>
          <w:w w:val="95"/>
        </w:rPr>
        <w:t>在本合同有效保险期间内，您或者被保险人在被保险人身故前可以变更身故保险金受益人</w:t>
      </w:r>
      <w:r>
        <w:rPr>
          <w:w w:val="85"/>
        </w:rPr>
        <w:t>、  </w:t>
      </w:r>
      <w:r>
        <w:rPr>
          <w:spacing w:val="-9"/>
          <w:w w:val="95"/>
        </w:rPr>
        <w:t>受益顺序、受益份额，但须书面通知本公司。本公司收到变更的书面通知后，将及时在保险   </w:t>
      </w:r>
      <w:r>
        <w:rPr>
          <w:spacing w:val="-14"/>
          <w:w w:val="95"/>
        </w:rPr>
        <w:t>单或者其他保险凭证上批注或者附贴批单，变更的生效时间以批注或者批单中载明的时间为</w:t>
      </w:r>
    </w:p>
    <w:p>
      <w:pPr>
        <w:spacing w:after="0" w:line="309" w:lineRule="auto"/>
        <w:jc w:val="both"/>
        <w:sectPr>
          <w:pgSz w:w="11910" w:h="16840"/>
          <w:pgMar w:header="0" w:footer="1047" w:top="1420" w:bottom="1240" w:left="1680" w:right="1620"/>
        </w:sectPr>
      </w:pPr>
    </w:p>
    <w:p>
      <w:pPr>
        <w:pStyle w:val="BodyText"/>
        <w:spacing w:before="8"/>
      </w:pPr>
      <w:bookmarkStart w:name="永久完全残疾保险金受益人" w:id="46"/>
      <w:bookmarkEnd w:id="46"/>
      <w:r>
        <w:rPr/>
      </w:r>
      <w:bookmarkStart w:name="保险事故的通知" w:id="47"/>
      <w:bookmarkEnd w:id="47"/>
      <w:r>
        <w:rPr/>
      </w:r>
      <w:bookmarkStart w:name="保险金申请" w:id="48"/>
      <w:bookmarkEnd w:id="48"/>
      <w:r>
        <w:rPr/>
      </w:r>
      <w:bookmarkStart w:name="重大疾病保险金的申请" w:id="49"/>
      <w:bookmarkEnd w:id="49"/>
      <w:r>
        <w:rPr/>
      </w:r>
      <w:bookmarkStart w:name="身故保险金的申请" w:id="50"/>
      <w:bookmarkEnd w:id="50"/>
      <w:r>
        <w:rPr/>
      </w:r>
      <w:bookmarkStart w:name="永久完全残疾保险金的申请" w:id="51"/>
      <w:bookmarkEnd w:id="51"/>
      <w:r>
        <w:rPr/>
      </w:r>
      <w:r>
        <w:rPr>
          <w:w w:val="95"/>
        </w:rPr>
        <w:t>准。</w:t>
      </w:r>
    </w:p>
    <w:p>
      <w:pPr>
        <w:pStyle w:val="BodyText"/>
        <w:spacing w:line="309" w:lineRule="auto" w:before="79"/>
        <w:ind w:right="197"/>
      </w:pPr>
      <w:r>
        <w:rPr>
          <w:spacing w:val="-5"/>
          <w:w w:val="95"/>
        </w:rPr>
        <w:t>您在指定和变更身故保险金受益人、受益顺序、受益份额时，须经被保险人或被保险人的监   护人书面同意。</w:t>
      </w:r>
    </w:p>
    <w:p>
      <w:pPr>
        <w:pStyle w:val="BodyText"/>
        <w:spacing w:line="309" w:lineRule="auto" w:before="21"/>
        <w:ind w:right="197"/>
      </w:pPr>
      <w:r>
        <w:rPr>
          <w:spacing w:val="-7"/>
          <w:w w:val="95"/>
        </w:rPr>
        <w:t>被保险人身故后，有下列情形之一的，保险金作为被保险人的遗产，由本公司依照《中华人   民共和国继承法》的规定履行给付保险金的义务：</w:t>
      </w:r>
    </w:p>
    <w:p>
      <w:pPr>
        <w:pStyle w:val="ListParagraph"/>
        <w:numPr>
          <w:ilvl w:val="3"/>
          <w:numId w:val="13"/>
        </w:numPr>
        <w:tabs>
          <w:tab w:pos="1114" w:val="left" w:leader="none"/>
        </w:tabs>
        <w:spacing w:line="240" w:lineRule="auto" w:before="19" w:after="0"/>
        <w:ind w:left="1113" w:right="0" w:hanging="573"/>
        <w:jc w:val="left"/>
        <w:rPr>
          <w:sz w:val="21"/>
        </w:rPr>
      </w:pPr>
      <w:r>
        <w:rPr>
          <w:w w:val="95"/>
          <w:sz w:val="21"/>
        </w:rPr>
        <w:t>没有指定受益人，或者受益人指定不明无法确定的；</w:t>
      </w:r>
    </w:p>
    <w:p>
      <w:pPr>
        <w:pStyle w:val="ListParagraph"/>
        <w:numPr>
          <w:ilvl w:val="3"/>
          <w:numId w:val="13"/>
        </w:numPr>
        <w:tabs>
          <w:tab w:pos="1114" w:val="left" w:leader="none"/>
        </w:tabs>
        <w:spacing w:line="240" w:lineRule="auto" w:before="80" w:after="0"/>
        <w:ind w:left="1113" w:right="0" w:hanging="573"/>
        <w:jc w:val="left"/>
        <w:rPr>
          <w:sz w:val="21"/>
        </w:rPr>
      </w:pPr>
      <w:r>
        <w:rPr>
          <w:w w:val="95"/>
          <w:sz w:val="21"/>
        </w:rPr>
        <w:t>受益人先于被保险人身故，没有其他受益人的；</w:t>
      </w:r>
    </w:p>
    <w:p>
      <w:pPr>
        <w:pStyle w:val="ListParagraph"/>
        <w:numPr>
          <w:ilvl w:val="3"/>
          <w:numId w:val="13"/>
        </w:numPr>
        <w:tabs>
          <w:tab w:pos="1114" w:val="left" w:leader="none"/>
        </w:tabs>
        <w:spacing w:line="240" w:lineRule="auto" w:before="80" w:after="0"/>
        <w:ind w:left="1113" w:right="0" w:hanging="573"/>
        <w:jc w:val="left"/>
        <w:rPr>
          <w:sz w:val="21"/>
        </w:rPr>
      </w:pPr>
      <w:r>
        <w:rPr>
          <w:w w:val="95"/>
          <w:sz w:val="21"/>
        </w:rPr>
        <w:t>受益人依法丧失受益权或者放弃受益权，没有其他受益人的。</w:t>
      </w:r>
    </w:p>
    <w:p>
      <w:pPr>
        <w:pStyle w:val="BodyText"/>
        <w:spacing w:line="312" w:lineRule="auto"/>
        <w:ind w:right="105"/>
      </w:pPr>
      <w:r>
        <w:rPr/>
        <w:t>受益人与被保险人在同一事故中身故，且不能确定身故先后顺序的，推定受益人身故在先。</w:t>
      </w:r>
      <w:r>
        <w:rPr>
          <w:spacing w:val="-6"/>
        </w:rPr>
        <w:t>受益人故意造成被保险人身故、伤残、疾病的，或者故意杀害被保险人未遂的，该受益人丧</w:t>
      </w:r>
      <w:r>
        <w:rPr>
          <w:spacing w:val="-6"/>
          <w:w w:val="95"/>
        </w:rPr>
        <w:t>失受益权。</w:t>
      </w:r>
    </w:p>
    <w:p>
      <w:pPr>
        <w:pStyle w:val="Heading2"/>
        <w:numPr>
          <w:ilvl w:val="2"/>
          <w:numId w:val="13"/>
        </w:numPr>
        <w:tabs>
          <w:tab w:pos="828" w:val="left" w:leader="none"/>
        </w:tabs>
        <w:spacing w:line="316" w:lineRule="exact" w:before="0" w:after="0"/>
        <w:ind w:left="828" w:right="0" w:hanging="708"/>
        <w:jc w:val="left"/>
      </w:pPr>
      <w:bookmarkStart w:name="_TOC_250102" w:id="52"/>
      <w:bookmarkEnd w:id="52"/>
      <w:r>
        <w:rPr>
          <w:w w:val="95"/>
        </w:rPr>
        <w:t>永久完全残疾保险金受益人</w:t>
      </w:r>
    </w:p>
    <w:p>
      <w:pPr>
        <w:pStyle w:val="BodyText"/>
        <w:spacing w:before="56"/>
      </w:pPr>
      <w:r>
        <w:rPr>
          <w:w w:val="95"/>
        </w:rPr>
        <w:t>除另有约定外，永久完全残疾保险金受益人为被保险人本人。</w:t>
      </w:r>
    </w:p>
    <w:p>
      <w:pPr>
        <w:pStyle w:val="Heading2"/>
        <w:numPr>
          <w:ilvl w:val="1"/>
          <w:numId w:val="17"/>
        </w:numPr>
        <w:tabs>
          <w:tab w:pos="696" w:val="left" w:leader="none"/>
        </w:tabs>
        <w:spacing w:line="240" w:lineRule="auto" w:before="13" w:after="0"/>
        <w:ind w:left="696" w:right="0" w:hanging="576"/>
        <w:jc w:val="left"/>
      </w:pPr>
      <w:bookmarkStart w:name="_TOC_250101" w:id="53"/>
      <w:bookmarkEnd w:id="53"/>
      <w:r>
        <w:rPr>
          <w:w w:val="95"/>
        </w:rPr>
        <w:t>保险事故的通知</w:t>
      </w:r>
    </w:p>
    <w:p>
      <w:pPr>
        <w:pStyle w:val="BodyText"/>
        <w:spacing w:line="309" w:lineRule="auto" w:before="59"/>
        <w:ind w:right="144"/>
        <w:jc w:val="both"/>
      </w:pPr>
      <w:r>
        <w:rPr>
          <w:spacing w:val="-2"/>
          <w:w w:val="95"/>
        </w:rPr>
        <w:t>您或者受益人知道保险事故后应当在十日内通知本公司。如果您或受益人故意或因重大过失   </w:t>
      </w:r>
      <w:r>
        <w:rPr>
          <w:spacing w:val="-7"/>
          <w:w w:val="95"/>
        </w:rPr>
        <w:t>未及时通知，致使保险事故的性质、原因等难以确定的，本公司对无法确定的部分，不承担   </w:t>
      </w:r>
      <w:r>
        <w:rPr>
          <w:spacing w:val="-10"/>
          <w:w w:val="95"/>
        </w:rPr>
        <w:t>给付保险金的责任，但本公司通过其他途径已经及时知道或者应当及时知道保险事故发生或   者虽未及时通知但不影响本公司确定保险事故的性质、原因、损失程度的除外。</w:t>
      </w:r>
    </w:p>
    <w:p>
      <w:pPr>
        <w:pStyle w:val="Heading2"/>
        <w:numPr>
          <w:ilvl w:val="1"/>
          <w:numId w:val="17"/>
        </w:numPr>
        <w:tabs>
          <w:tab w:pos="696" w:val="left" w:leader="none"/>
        </w:tabs>
        <w:spacing w:line="313" w:lineRule="exact" w:before="0" w:after="0"/>
        <w:ind w:left="696" w:right="0" w:hanging="576"/>
        <w:jc w:val="left"/>
      </w:pPr>
      <w:bookmarkStart w:name="_TOC_250100" w:id="54"/>
      <w:bookmarkEnd w:id="54"/>
      <w:r>
        <w:rPr>
          <w:w w:val="95"/>
        </w:rPr>
        <w:t>保险金申请</w:t>
      </w:r>
    </w:p>
    <w:p>
      <w:pPr>
        <w:pStyle w:val="Heading2"/>
        <w:numPr>
          <w:ilvl w:val="2"/>
          <w:numId w:val="17"/>
        </w:numPr>
        <w:tabs>
          <w:tab w:pos="651" w:val="left" w:leader="none"/>
        </w:tabs>
        <w:spacing w:line="360" w:lineRule="exact" w:before="0" w:after="0"/>
        <w:ind w:left="650" w:right="0" w:hanging="530"/>
        <w:jc w:val="left"/>
      </w:pPr>
      <w:bookmarkStart w:name="_TOC_250099" w:id="55"/>
      <w:bookmarkEnd w:id="55"/>
      <w:r>
        <w:rPr/>
        <w:t>． 重大疾病保险金的申请</w:t>
      </w:r>
    </w:p>
    <w:p>
      <w:pPr>
        <w:pStyle w:val="BodyText"/>
        <w:spacing w:before="59"/>
      </w:pPr>
      <w:r>
        <w:rPr>
          <w:w w:val="95"/>
        </w:rPr>
        <w:t>重大疾病保险金受益人作为申请人填写理赔申请书，并提供下列证明和资料的原件：</w:t>
      </w:r>
    </w:p>
    <w:p>
      <w:pPr>
        <w:pStyle w:val="ListParagraph"/>
        <w:numPr>
          <w:ilvl w:val="3"/>
          <w:numId w:val="17"/>
        </w:numPr>
        <w:tabs>
          <w:tab w:pos="1113" w:val="left" w:leader="none"/>
          <w:tab w:pos="1114" w:val="left" w:leader="none"/>
        </w:tabs>
        <w:spacing w:line="240" w:lineRule="auto" w:before="80" w:after="0"/>
        <w:ind w:left="1113" w:right="0" w:hanging="425"/>
        <w:jc w:val="left"/>
        <w:rPr>
          <w:sz w:val="21"/>
        </w:rPr>
      </w:pPr>
      <w:r>
        <w:rPr>
          <w:w w:val="95"/>
          <w:sz w:val="21"/>
        </w:rPr>
        <w:t>保险合同；</w:t>
      </w:r>
    </w:p>
    <w:p>
      <w:pPr>
        <w:pStyle w:val="ListParagraph"/>
        <w:numPr>
          <w:ilvl w:val="3"/>
          <w:numId w:val="17"/>
        </w:numPr>
        <w:tabs>
          <w:tab w:pos="1113" w:val="left" w:leader="none"/>
          <w:tab w:pos="1114" w:val="left" w:leader="none"/>
        </w:tabs>
        <w:spacing w:line="240" w:lineRule="auto" w:before="13" w:after="0"/>
        <w:ind w:left="1113" w:right="0" w:hanging="425"/>
        <w:jc w:val="left"/>
        <w:rPr>
          <w:sz w:val="21"/>
        </w:rPr>
      </w:pPr>
      <w:r>
        <w:rPr>
          <w:spacing w:val="-2"/>
          <w:sz w:val="21"/>
        </w:rPr>
        <w:t>受益人的</w:t>
      </w:r>
      <w:r>
        <w:rPr>
          <w:rFonts w:ascii="Microsoft JhengHei" w:eastAsia="Microsoft JhengHei" w:hint="eastAsia"/>
          <w:b/>
          <w:spacing w:val="-43"/>
          <w:sz w:val="21"/>
        </w:rPr>
        <w:t>有</w:t>
      </w:r>
      <w:r>
        <w:rPr>
          <w:spacing w:val="-105"/>
          <w:position w:val="1"/>
          <w:sz w:val="21"/>
        </w:rPr>
        <w:t>效身</w:t>
      </w:r>
      <w:r>
        <w:rPr>
          <w:spacing w:val="-79"/>
          <w:sz w:val="21"/>
        </w:rPr>
        <w:t>效身效身效身</w:t>
      </w:r>
      <w:r>
        <w:rPr>
          <w:spacing w:val="-105"/>
          <w:position w:val="1"/>
          <w:sz w:val="21"/>
        </w:rPr>
        <w:t>份证</w:t>
      </w:r>
      <w:r>
        <w:rPr>
          <w:spacing w:val="-79"/>
          <w:sz w:val="21"/>
        </w:rPr>
        <w:t>份证份证份证</w:t>
      </w:r>
      <w:r>
        <w:rPr>
          <w:spacing w:val="-209"/>
          <w:position w:val="1"/>
          <w:sz w:val="21"/>
        </w:rPr>
        <w:t>件</w:t>
      </w:r>
      <w:r>
        <w:rPr>
          <w:spacing w:val="-209"/>
          <w:sz w:val="21"/>
        </w:rPr>
        <w:t>件件</w:t>
      </w:r>
      <w:r>
        <w:rPr>
          <w:spacing w:val="-43"/>
          <w:sz w:val="21"/>
        </w:rPr>
        <w:t>件</w:t>
      </w:r>
      <w:r>
        <w:rPr>
          <w:sz w:val="21"/>
        </w:rPr>
        <w:t>（</w:t>
      </w:r>
      <w:r>
        <w:rPr>
          <w:spacing w:val="-20"/>
          <w:sz w:val="21"/>
        </w:rPr>
        <w:t>见释义 </w:t>
      </w:r>
      <w:r>
        <w:rPr>
          <w:sz w:val="21"/>
        </w:rPr>
        <w:t>13.21）；</w:t>
      </w:r>
    </w:p>
    <w:p>
      <w:pPr>
        <w:pStyle w:val="ListParagraph"/>
        <w:numPr>
          <w:ilvl w:val="3"/>
          <w:numId w:val="17"/>
        </w:numPr>
        <w:tabs>
          <w:tab w:pos="1113" w:val="left" w:leader="none"/>
          <w:tab w:pos="1114" w:val="left" w:leader="none"/>
        </w:tabs>
        <w:spacing w:line="240" w:lineRule="auto" w:before="56" w:after="0"/>
        <w:ind w:left="1113" w:right="0" w:hanging="425"/>
        <w:jc w:val="left"/>
        <w:rPr>
          <w:sz w:val="21"/>
        </w:rPr>
      </w:pPr>
      <w:r>
        <w:rPr>
          <w:w w:val="95"/>
          <w:sz w:val="21"/>
        </w:rPr>
        <w:t>重大疾病诊断证明书；</w:t>
      </w:r>
    </w:p>
    <w:p>
      <w:pPr>
        <w:pStyle w:val="ListParagraph"/>
        <w:numPr>
          <w:ilvl w:val="3"/>
          <w:numId w:val="17"/>
        </w:numPr>
        <w:tabs>
          <w:tab w:pos="1113" w:val="left" w:leader="none"/>
          <w:tab w:pos="1114" w:val="left" w:leader="none"/>
        </w:tabs>
        <w:spacing w:line="240" w:lineRule="auto" w:before="82" w:after="0"/>
        <w:ind w:left="1113" w:right="0" w:hanging="425"/>
        <w:jc w:val="left"/>
        <w:rPr>
          <w:sz w:val="21"/>
        </w:rPr>
      </w:pPr>
      <w:r>
        <w:rPr>
          <w:w w:val="95"/>
          <w:sz w:val="21"/>
        </w:rPr>
        <w:t>所能提供的与确认保险事故的性质、原因等有关的其他证明和资料。</w:t>
      </w:r>
    </w:p>
    <w:p>
      <w:pPr>
        <w:pStyle w:val="Heading2"/>
        <w:numPr>
          <w:ilvl w:val="2"/>
          <w:numId w:val="17"/>
        </w:numPr>
        <w:tabs>
          <w:tab w:pos="651" w:val="left" w:leader="none"/>
        </w:tabs>
        <w:spacing w:line="240" w:lineRule="auto" w:before="13" w:after="0"/>
        <w:ind w:left="650" w:right="0" w:hanging="530"/>
        <w:jc w:val="left"/>
      </w:pPr>
      <w:bookmarkStart w:name="_TOC_250098" w:id="56"/>
      <w:bookmarkEnd w:id="56"/>
      <w:r>
        <w:rPr>
          <w:spacing w:val="1"/>
        </w:rPr>
        <w:t>． 身故保险金的申请</w:t>
      </w:r>
    </w:p>
    <w:p>
      <w:pPr>
        <w:pStyle w:val="BodyText"/>
        <w:spacing w:before="56"/>
      </w:pPr>
      <w:r>
        <w:rPr>
          <w:w w:val="95"/>
        </w:rPr>
        <w:t>身故保险金受益人作为申请人填写理赔申请书，并提供下列证明和资料的原件：</w:t>
      </w:r>
    </w:p>
    <w:p>
      <w:pPr>
        <w:pStyle w:val="ListParagraph"/>
        <w:numPr>
          <w:ilvl w:val="3"/>
          <w:numId w:val="17"/>
        </w:numPr>
        <w:tabs>
          <w:tab w:pos="1113" w:val="left" w:leader="none"/>
          <w:tab w:pos="1114" w:val="left" w:leader="none"/>
        </w:tabs>
        <w:spacing w:line="240" w:lineRule="auto" w:before="80" w:after="0"/>
        <w:ind w:left="1113" w:right="0" w:hanging="425"/>
        <w:jc w:val="left"/>
        <w:rPr>
          <w:sz w:val="21"/>
        </w:rPr>
      </w:pPr>
      <w:r>
        <w:rPr>
          <w:w w:val="95"/>
          <w:sz w:val="21"/>
        </w:rPr>
        <w:t>保险合同；</w:t>
      </w:r>
    </w:p>
    <w:p>
      <w:pPr>
        <w:pStyle w:val="ListParagraph"/>
        <w:numPr>
          <w:ilvl w:val="3"/>
          <w:numId w:val="17"/>
        </w:numPr>
        <w:tabs>
          <w:tab w:pos="1113" w:val="left" w:leader="none"/>
          <w:tab w:pos="1114" w:val="left" w:leader="none"/>
        </w:tabs>
        <w:spacing w:line="240" w:lineRule="auto" w:before="82" w:after="0"/>
        <w:ind w:left="1113" w:right="0" w:hanging="425"/>
        <w:jc w:val="left"/>
        <w:rPr>
          <w:sz w:val="21"/>
        </w:rPr>
      </w:pPr>
      <w:r>
        <w:rPr>
          <w:w w:val="95"/>
          <w:sz w:val="21"/>
        </w:rPr>
        <w:t>受益人的有效身份证件；</w:t>
      </w:r>
    </w:p>
    <w:p>
      <w:pPr>
        <w:pStyle w:val="ListParagraph"/>
        <w:numPr>
          <w:ilvl w:val="3"/>
          <w:numId w:val="17"/>
        </w:numPr>
        <w:tabs>
          <w:tab w:pos="1113" w:val="left" w:leader="none"/>
          <w:tab w:pos="1114" w:val="left" w:leader="none"/>
        </w:tabs>
        <w:spacing w:line="309" w:lineRule="auto" w:before="79" w:after="0"/>
        <w:ind w:left="1113" w:right="197" w:hanging="425"/>
        <w:jc w:val="left"/>
        <w:rPr>
          <w:sz w:val="21"/>
        </w:rPr>
      </w:pPr>
      <w:r>
        <w:rPr>
          <w:spacing w:val="-3"/>
          <w:sz w:val="21"/>
        </w:rPr>
        <w:t>国务院卫生行政部门规定的医疗机构、公安部门或者其他有权机构出具的被保险</w:t>
      </w:r>
      <w:r>
        <w:rPr>
          <w:spacing w:val="-3"/>
          <w:w w:val="95"/>
          <w:sz w:val="21"/>
        </w:rPr>
        <w:t>人的死亡证明；</w:t>
      </w:r>
    </w:p>
    <w:p>
      <w:pPr>
        <w:pStyle w:val="ListParagraph"/>
        <w:numPr>
          <w:ilvl w:val="3"/>
          <w:numId w:val="17"/>
        </w:numPr>
        <w:tabs>
          <w:tab w:pos="1113" w:val="left" w:leader="none"/>
          <w:tab w:pos="1114" w:val="left" w:leader="none"/>
        </w:tabs>
        <w:spacing w:line="240" w:lineRule="auto" w:before="19" w:after="0"/>
        <w:ind w:left="1113" w:right="0" w:hanging="425"/>
        <w:jc w:val="left"/>
        <w:rPr>
          <w:sz w:val="21"/>
        </w:rPr>
      </w:pPr>
      <w:r>
        <w:rPr>
          <w:w w:val="95"/>
          <w:sz w:val="21"/>
        </w:rPr>
        <w:t>所能提供的与确认保险事故的性质、原因等有关的其他证明和资料。</w:t>
      </w:r>
    </w:p>
    <w:p>
      <w:pPr>
        <w:pStyle w:val="Heading2"/>
        <w:numPr>
          <w:ilvl w:val="2"/>
          <w:numId w:val="17"/>
        </w:numPr>
        <w:tabs>
          <w:tab w:pos="651" w:val="left" w:leader="none"/>
        </w:tabs>
        <w:spacing w:line="240" w:lineRule="auto" w:before="13" w:after="0"/>
        <w:ind w:left="650" w:right="0" w:hanging="530"/>
        <w:jc w:val="left"/>
      </w:pPr>
      <w:bookmarkStart w:name="_TOC_250097" w:id="57"/>
      <w:bookmarkEnd w:id="57"/>
      <w:r>
        <w:rPr/>
        <w:t>． 永久完全残疾保险金的申请</w:t>
      </w:r>
    </w:p>
    <w:p>
      <w:pPr>
        <w:pStyle w:val="BodyText"/>
        <w:spacing w:before="55"/>
        <w:ind w:left="225"/>
      </w:pPr>
      <w:r>
        <w:rPr>
          <w:w w:val="95"/>
        </w:rPr>
        <w:t>永久完全残疾保险金受益人作为申请人填写理赔申请书，并提供下列证明和资料的原件：</w:t>
      </w:r>
    </w:p>
    <w:p>
      <w:pPr>
        <w:pStyle w:val="ListParagraph"/>
        <w:numPr>
          <w:ilvl w:val="3"/>
          <w:numId w:val="17"/>
        </w:numPr>
        <w:tabs>
          <w:tab w:pos="967" w:val="left" w:leader="none"/>
          <w:tab w:pos="968" w:val="left" w:leader="none"/>
        </w:tabs>
        <w:spacing w:line="240" w:lineRule="auto" w:before="82" w:after="0"/>
        <w:ind w:left="967" w:right="0" w:hanging="423"/>
        <w:jc w:val="left"/>
        <w:rPr>
          <w:sz w:val="21"/>
        </w:rPr>
      </w:pPr>
      <w:r>
        <w:rPr>
          <w:w w:val="95"/>
          <w:sz w:val="21"/>
        </w:rPr>
        <w:t>保险合同；</w:t>
      </w:r>
    </w:p>
    <w:p>
      <w:pPr>
        <w:pStyle w:val="ListParagraph"/>
        <w:numPr>
          <w:ilvl w:val="3"/>
          <w:numId w:val="17"/>
        </w:numPr>
        <w:tabs>
          <w:tab w:pos="967" w:val="left" w:leader="none"/>
          <w:tab w:pos="968" w:val="left" w:leader="none"/>
        </w:tabs>
        <w:spacing w:line="240" w:lineRule="auto" w:before="80" w:after="0"/>
        <w:ind w:left="967" w:right="0" w:hanging="423"/>
        <w:jc w:val="left"/>
        <w:rPr>
          <w:sz w:val="21"/>
        </w:rPr>
      </w:pPr>
      <w:r>
        <w:rPr>
          <w:w w:val="95"/>
          <w:sz w:val="21"/>
        </w:rPr>
        <w:t>受益人的有效身份证件；</w:t>
      </w:r>
    </w:p>
    <w:p>
      <w:pPr>
        <w:pStyle w:val="ListParagraph"/>
        <w:numPr>
          <w:ilvl w:val="3"/>
          <w:numId w:val="17"/>
        </w:numPr>
        <w:tabs>
          <w:tab w:pos="967" w:val="left" w:leader="none"/>
          <w:tab w:pos="968" w:val="left" w:leader="none"/>
        </w:tabs>
        <w:spacing w:line="240" w:lineRule="auto" w:before="80" w:after="0"/>
        <w:ind w:left="967" w:right="0" w:hanging="423"/>
        <w:jc w:val="left"/>
        <w:rPr>
          <w:sz w:val="21"/>
        </w:rPr>
      </w:pPr>
      <w:r>
        <w:rPr>
          <w:w w:val="95"/>
          <w:sz w:val="21"/>
        </w:rPr>
        <w:t>法医鉴定书或医学鉴定诊断书；</w:t>
      </w:r>
    </w:p>
    <w:p>
      <w:pPr>
        <w:pStyle w:val="ListParagraph"/>
        <w:numPr>
          <w:ilvl w:val="3"/>
          <w:numId w:val="17"/>
        </w:numPr>
        <w:tabs>
          <w:tab w:pos="967" w:val="left" w:leader="none"/>
          <w:tab w:pos="968" w:val="left" w:leader="none"/>
        </w:tabs>
        <w:spacing w:line="240" w:lineRule="auto" w:before="80" w:after="0"/>
        <w:ind w:left="967" w:right="0" w:hanging="423"/>
        <w:jc w:val="left"/>
        <w:rPr>
          <w:sz w:val="21"/>
        </w:rPr>
      </w:pPr>
      <w:r>
        <w:rPr>
          <w:w w:val="95"/>
          <w:sz w:val="21"/>
        </w:rPr>
        <w:t>所能提供的与确认保险事故的性质、原因等有关的其他证明和资料。</w:t>
      </w:r>
    </w:p>
    <w:p>
      <w:pPr>
        <w:spacing w:after="0" w:line="240" w:lineRule="auto"/>
        <w:jc w:val="left"/>
        <w:rPr>
          <w:sz w:val="21"/>
        </w:rPr>
        <w:sectPr>
          <w:pgSz w:w="11910" w:h="16840"/>
          <w:pgMar w:header="0" w:footer="1047" w:top="1420" w:bottom="1240" w:left="1680" w:right="1600"/>
        </w:sectPr>
      </w:pPr>
    </w:p>
    <w:p>
      <w:pPr>
        <w:pStyle w:val="Heading2"/>
        <w:numPr>
          <w:ilvl w:val="1"/>
          <w:numId w:val="17"/>
        </w:numPr>
        <w:tabs>
          <w:tab w:pos="696" w:val="left" w:leader="none"/>
        </w:tabs>
        <w:spacing w:line="307" w:lineRule="exact" w:before="0" w:after="0"/>
        <w:ind w:left="696" w:right="0" w:hanging="576"/>
        <w:jc w:val="left"/>
      </w:pPr>
      <w:bookmarkStart w:name="_TOC_250096" w:id="58"/>
      <w:bookmarkStart w:name="特别注意事项" w:id="59"/>
      <w:r>
        <w:rPr>
          <w:b w:val="0"/>
        </w:rPr>
      </w:r>
      <w:bookmarkStart w:name="诉讼时效" w:id="60"/>
      <w:bookmarkEnd w:id="60"/>
      <w:r>
        <w:rPr>
          <w:b w:val="0"/>
        </w:rPr>
      </w:r>
      <w:bookmarkStart w:name="保险金的给付" w:id="61"/>
      <w:bookmarkEnd w:id="61"/>
      <w:r>
        <w:rPr>
          <w:b w:val="0"/>
        </w:rPr>
      </w:r>
      <w:bookmarkStart w:name="宣告死亡处理" w:id="62"/>
      <w:bookmarkEnd w:id="62"/>
      <w:r>
        <w:rPr>
          <w:b w:val="0"/>
        </w:rPr>
      </w:r>
      <w:bookmarkStart w:name="现金价值权益" w:id="63"/>
      <w:bookmarkEnd w:id="63"/>
      <w:r>
        <w:rPr>
          <w:b w:val="0"/>
        </w:rPr>
      </w:r>
      <w:bookmarkStart w:name="现金价值" w:id="64"/>
      <w:bookmarkEnd w:id="64"/>
      <w:r>
        <w:rPr>
          <w:b w:val="0"/>
        </w:rPr>
      </w:r>
      <w:bookmarkStart w:name="保险费自动垫交" w:id="65"/>
      <w:bookmarkEnd w:id="65"/>
      <w:r>
        <w:rPr>
          <w:b w:val="0"/>
        </w:rPr>
      </w:r>
      <w:bookmarkStart w:name="保单贷款" w:id="66"/>
      <w:bookmarkEnd w:id="66"/>
      <w:r>
        <w:rPr>
          <w:b w:val="0"/>
        </w:rPr>
      </w:r>
      <w:bookmarkStart w:name="保单贷款" w:id="67"/>
      <w:bookmarkEnd w:id="58"/>
      <w:r>
        <w:rPr>
          <w:w w:val="95"/>
        </w:rPr>
        <w:t>特别注意事项</w:t>
      </w:r>
    </w:p>
    <w:p>
      <w:pPr>
        <w:pStyle w:val="BodyText"/>
        <w:spacing w:line="309" w:lineRule="auto" w:before="56"/>
        <w:ind w:right="117"/>
      </w:pPr>
      <w:r>
        <w:rPr>
          <w:spacing w:val="-8"/>
          <w:w w:val="95"/>
        </w:rPr>
        <w:t>以上证明和资料不完整的，本公司将及时一次性通知受益人或者被保险人补充提供有关证明   和资料。</w:t>
      </w:r>
    </w:p>
    <w:p>
      <w:pPr>
        <w:pStyle w:val="BodyText"/>
        <w:spacing w:before="21"/>
      </w:pPr>
      <w:r>
        <w:rPr>
          <w:w w:val="95"/>
        </w:rPr>
        <w:t>保险金作为被保险人遗产时，继承人还必须提供可证明其合法继承权的相关权利文件。</w:t>
      </w:r>
    </w:p>
    <w:p>
      <w:pPr>
        <w:pStyle w:val="BodyText"/>
        <w:spacing w:line="309" w:lineRule="auto"/>
        <w:ind w:right="117"/>
        <w:jc w:val="both"/>
      </w:pPr>
      <w:r>
        <w:rPr>
          <w:spacing w:val="-9"/>
          <w:w w:val="95"/>
        </w:rPr>
        <w:t>受益人、被保险人或者继承人为无民事行为能力人或者限制民事行为能力人时，由其合法监   </w:t>
      </w:r>
      <w:r>
        <w:rPr>
          <w:spacing w:val="-14"/>
          <w:w w:val="95"/>
        </w:rPr>
        <w:t>护人代其申请领取保险金，其合法监护人还必须提供受益人或者继承人为无民事行为能力人   或者限制民事行为能力人的证明和监护人具有合法监护权的证明。</w:t>
      </w:r>
    </w:p>
    <w:p>
      <w:pPr>
        <w:pStyle w:val="Heading2"/>
        <w:numPr>
          <w:ilvl w:val="1"/>
          <w:numId w:val="17"/>
        </w:numPr>
        <w:tabs>
          <w:tab w:pos="696" w:val="left" w:leader="none"/>
        </w:tabs>
        <w:spacing w:line="318" w:lineRule="exact" w:before="0" w:after="0"/>
        <w:ind w:left="696" w:right="0" w:hanging="576"/>
        <w:jc w:val="left"/>
      </w:pPr>
      <w:bookmarkStart w:name="_TOC_250095" w:id="68"/>
      <w:bookmarkEnd w:id="68"/>
      <w:r>
        <w:rPr>
          <w:w w:val="95"/>
        </w:rPr>
        <w:t>诉讼时效</w:t>
      </w:r>
    </w:p>
    <w:p>
      <w:pPr>
        <w:pStyle w:val="BodyText"/>
        <w:spacing w:line="312" w:lineRule="auto" w:before="56"/>
        <w:ind w:right="129"/>
      </w:pPr>
      <w:r>
        <w:rPr/>
        <w:t>受益人向本公司请求给付保险金的诉讼时效期间为2年，自其知道或应当知道保险事故发生</w:t>
      </w:r>
      <w:r>
        <w:rPr>
          <w:w w:val="95"/>
        </w:rPr>
        <w:t>之日起计算。</w:t>
      </w:r>
    </w:p>
    <w:p>
      <w:pPr>
        <w:pStyle w:val="Heading2"/>
        <w:numPr>
          <w:ilvl w:val="1"/>
          <w:numId w:val="17"/>
        </w:numPr>
        <w:tabs>
          <w:tab w:pos="696" w:val="left" w:leader="none"/>
        </w:tabs>
        <w:spacing w:line="316" w:lineRule="exact" w:before="0" w:after="0"/>
        <w:ind w:left="696" w:right="0" w:hanging="576"/>
        <w:jc w:val="left"/>
      </w:pPr>
      <w:bookmarkStart w:name="_TOC_250094" w:id="69"/>
      <w:bookmarkEnd w:id="69"/>
      <w:r>
        <w:rPr>
          <w:w w:val="95"/>
        </w:rPr>
        <w:t>保险金的给付</w:t>
      </w:r>
    </w:p>
    <w:p>
      <w:pPr>
        <w:pStyle w:val="BodyText"/>
        <w:spacing w:line="309" w:lineRule="auto" w:before="57"/>
        <w:ind w:right="117"/>
        <w:jc w:val="both"/>
      </w:pPr>
      <w:r>
        <w:rPr>
          <w:spacing w:val="-4"/>
          <w:w w:val="95"/>
        </w:rPr>
        <w:t>本公司在收到理赔申请书及合同约定的证明和资料后，将及时作出核定；情形复杂的，在</w:t>
      </w:r>
      <w:r>
        <w:rPr>
          <w:w w:val="95"/>
        </w:rPr>
        <w:t>30   </w:t>
      </w:r>
      <w:r>
        <w:rPr>
          <w:spacing w:val="-8"/>
          <w:w w:val="95"/>
        </w:rPr>
        <w:t>日内作出核定，本合同另有约定的除外。对属于保险责任的，本公司在与受益人或被保险人   达成给付保险金的协议后10</w:t>
      </w:r>
      <w:r>
        <w:rPr>
          <w:spacing w:val="-16"/>
          <w:w w:val="95"/>
        </w:rPr>
        <w:t>日内，履行给付保险金的义务。本公司未及时履行前款规定义务</w:t>
      </w:r>
      <w:r>
        <w:rPr>
          <w:w w:val="80"/>
        </w:rPr>
        <w:t>，  </w:t>
      </w:r>
      <w:r>
        <w:rPr>
          <w:w w:val="95"/>
        </w:rPr>
        <w:t>对属于保险责任的，除支付保险金外，应当赔偿受益人或者被保险人因此受到的利息损失</w:t>
      </w:r>
      <w:r>
        <w:rPr>
          <w:w w:val="80"/>
        </w:rPr>
        <w:t>。  </w:t>
      </w:r>
      <w:r>
        <w:rPr>
          <w:spacing w:val="-6"/>
        </w:rPr>
        <w:t>利息按照本公司确定的利率按单利计算，且本公司确定的利率不低于中国人民银行公布的金</w:t>
      </w:r>
      <w:r>
        <w:rPr>
          <w:spacing w:val="-6"/>
          <w:w w:val="95"/>
        </w:rPr>
        <w:t>融机构人民币活期存款基准利率。</w:t>
      </w:r>
    </w:p>
    <w:p>
      <w:pPr>
        <w:pStyle w:val="BodyText"/>
        <w:spacing w:line="309" w:lineRule="auto" w:before="19"/>
        <w:ind w:right="129"/>
      </w:pPr>
      <w:r>
        <w:rPr/>
        <w:t>对不属于保险责任的，本公司自作出核定之日起3日内向受益人发出拒绝给付保险金通知书</w:t>
      </w:r>
      <w:r>
        <w:rPr>
          <w:w w:val="95"/>
        </w:rPr>
        <w:t>并说明理由。</w:t>
      </w:r>
    </w:p>
    <w:p>
      <w:pPr>
        <w:pStyle w:val="Heading2"/>
        <w:numPr>
          <w:ilvl w:val="1"/>
          <w:numId w:val="17"/>
        </w:numPr>
        <w:tabs>
          <w:tab w:pos="696" w:val="left" w:leader="none"/>
        </w:tabs>
        <w:spacing w:line="318" w:lineRule="exact" w:before="0" w:after="0"/>
        <w:ind w:left="696" w:right="0" w:hanging="576"/>
        <w:jc w:val="left"/>
      </w:pPr>
      <w:bookmarkStart w:name="_TOC_250093" w:id="70"/>
      <w:bookmarkEnd w:id="70"/>
      <w:r>
        <w:rPr>
          <w:w w:val="95"/>
        </w:rPr>
        <w:t>宣告死亡处理</w:t>
      </w:r>
    </w:p>
    <w:p>
      <w:pPr>
        <w:pStyle w:val="BodyText"/>
        <w:spacing w:line="309" w:lineRule="auto" w:before="59"/>
        <w:ind w:right="117"/>
      </w:pPr>
      <w:r>
        <w:rPr>
          <w:spacing w:val="-6"/>
          <w:w w:val="95"/>
        </w:rPr>
        <w:t>在本合同有效保险期间内，如果被保险人被法院宣告死亡，本公司以法院判决宣告之日作为   被保险人的死亡时间，按本合同的约定给付身故保险金，本合同终止。</w:t>
      </w:r>
    </w:p>
    <w:p>
      <w:pPr>
        <w:pStyle w:val="BodyText"/>
        <w:spacing w:line="309" w:lineRule="auto" w:before="19"/>
        <w:ind w:right="117"/>
      </w:pPr>
      <w:r>
        <w:rPr>
          <w:spacing w:val="-3"/>
          <w:w w:val="95"/>
        </w:rPr>
        <w:t>如果被保险人在宣告死亡后重新出现或身故保险金受益人确知被保险人未死亡的，身故保险   金受益人应于知道后30日内向本公司退还已给付的身故保险金，本合同的效力依法确定。</w:t>
      </w:r>
    </w:p>
    <w:p>
      <w:pPr>
        <w:pStyle w:val="Heading2"/>
        <w:numPr>
          <w:ilvl w:val="0"/>
          <w:numId w:val="18"/>
        </w:numPr>
        <w:tabs>
          <w:tab w:pos="551" w:val="left" w:leader="none"/>
          <w:tab w:pos="552" w:val="left" w:leader="none"/>
        </w:tabs>
        <w:spacing w:line="315" w:lineRule="exact" w:before="0" w:after="0"/>
        <w:ind w:left="552" w:right="0" w:hanging="432"/>
        <w:jc w:val="left"/>
      </w:pPr>
      <w:bookmarkStart w:name="_TOC_250092" w:id="71"/>
      <w:bookmarkEnd w:id="71"/>
      <w:r>
        <w:rPr>
          <w:w w:val="95"/>
        </w:rPr>
        <w:t>现金价值权益</w:t>
      </w:r>
    </w:p>
    <w:p>
      <w:pPr>
        <w:pStyle w:val="Heading2"/>
        <w:numPr>
          <w:ilvl w:val="1"/>
          <w:numId w:val="18"/>
        </w:numPr>
        <w:tabs>
          <w:tab w:pos="695" w:val="left" w:leader="none"/>
          <w:tab w:pos="696" w:val="left" w:leader="none"/>
        </w:tabs>
        <w:spacing w:line="360" w:lineRule="exact" w:before="0" w:after="0"/>
        <w:ind w:left="696" w:right="0" w:hanging="576"/>
        <w:jc w:val="left"/>
      </w:pPr>
      <w:bookmarkStart w:name="_TOC_250091" w:id="72"/>
      <w:bookmarkEnd w:id="72"/>
      <w:r>
        <w:rPr>
          <w:w w:val="95"/>
        </w:rPr>
        <w:t>现金价值</w:t>
      </w:r>
    </w:p>
    <w:p>
      <w:pPr>
        <w:pStyle w:val="BodyText"/>
        <w:spacing w:line="309" w:lineRule="auto" w:before="56"/>
        <w:ind w:right="117"/>
      </w:pPr>
      <w:r>
        <w:rPr>
          <w:spacing w:val="-5"/>
        </w:rPr>
        <w:t>本合同保单年度末的现金价值会在保险单上载明。您可以向本公司咨询保单年度内的现金价</w:t>
      </w:r>
      <w:r>
        <w:rPr>
          <w:spacing w:val="-5"/>
          <w:w w:val="95"/>
        </w:rPr>
        <w:t>值。</w:t>
      </w:r>
    </w:p>
    <w:p>
      <w:pPr>
        <w:pStyle w:val="Heading2"/>
        <w:numPr>
          <w:ilvl w:val="1"/>
          <w:numId w:val="18"/>
        </w:numPr>
        <w:tabs>
          <w:tab w:pos="695" w:val="left" w:leader="none"/>
          <w:tab w:pos="696" w:val="left" w:leader="none"/>
        </w:tabs>
        <w:spacing w:line="321" w:lineRule="exact" w:before="0" w:after="0"/>
        <w:ind w:left="696" w:right="0" w:hanging="576"/>
        <w:jc w:val="left"/>
      </w:pPr>
      <w:bookmarkStart w:name="_TOC_250090" w:id="73"/>
      <w:bookmarkEnd w:id="73"/>
      <w:r>
        <w:rPr>
          <w:w w:val="95"/>
        </w:rPr>
        <w:t>保险费自动垫交</w:t>
      </w:r>
    </w:p>
    <w:p>
      <w:pPr>
        <w:pStyle w:val="BodyText"/>
        <w:spacing w:line="309" w:lineRule="auto" w:before="57"/>
        <w:ind w:right="117"/>
        <w:jc w:val="both"/>
      </w:pPr>
      <w:r>
        <w:rPr>
          <w:spacing w:val="-4"/>
        </w:rPr>
        <w:t>如果您在保险费宽限期结束后仍未支付到期应交保险费，并且在投保时或宽限期届满前没有</w:t>
      </w:r>
      <w:r>
        <w:rPr>
          <w:spacing w:val="-11"/>
          <w:w w:val="95"/>
        </w:rPr>
        <w:t>书面声明反对保险费自动垫交，则在宽限期届满时本公司将用本合同当时所具有的现金价值   扣除您未偿还的各项欠款及其利息后的余额自动垫交到期应交的保险费，本合同继续有效</w:t>
      </w:r>
      <w:r>
        <w:rPr>
          <w:spacing w:val="-11"/>
          <w:w w:val="85"/>
        </w:rPr>
        <w:t>。  </w:t>
      </w:r>
      <w:r>
        <w:rPr>
          <w:spacing w:val="-11"/>
          <w:w w:val="95"/>
        </w:rPr>
        <w:t>所垫交的保险费视同贷款，按照保单贷款利率计算利息。</w:t>
      </w:r>
    </w:p>
    <w:p>
      <w:pPr>
        <w:pStyle w:val="BodyText"/>
        <w:spacing w:line="312" w:lineRule="auto" w:before="19"/>
        <w:ind w:right="117"/>
      </w:pPr>
      <w:r>
        <w:rPr/>
        <w:t>如果本合同当时所具有的现金价值扣除各项欠款及其利息后的余额不足以全额垫交到期应</w:t>
      </w:r>
      <w:r>
        <w:rPr>
          <w:spacing w:val="-7"/>
        </w:rPr>
        <w:t>交保险费，则本合同自宽限期届满日的 </w:t>
      </w:r>
      <w:r>
        <w:rPr/>
        <w:t>24</w:t>
      </w:r>
      <w:r>
        <w:rPr>
          <w:spacing w:val="-8"/>
        </w:rPr>
        <w:t> 时起效力中止。效力中止期间本公司不承担保险</w:t>
      </w:r>
      <w:r>
        <w:rPr>
          <w:spacing w:val="-8"/>
          <w:w w:val="95"/>
        </w:rPr>
        <w:t>责任。</w:t>
      </w:r>
    </w:p>
    <w:p>
      <w:pPr>
        <w:pStyle w:val="Heading2"/>
        <w:numPr>
          <w:ilvl w:val="1"/>
          <w:numId w:val="18"/>
        </w:numPr>
        <w:tabs>
          <w:tab w:pos="695" w:val="left" w:leader="none"/>
          <w:tab w:pos="696" w:val="left" w:leader="none"/>
        </w:tabs>
        <w:spacing w:line="316" w:lineRule="exact" w:before="0" w:after="0"/>
        <w:ind w:left="696" w:right="0" w:hanging="576"/>
        <w:jc w:val="left"/>
      </w:pPr>
      <w:bookmarkStart w:name="_TOC_250089" w:id="74"/>
      <w:bookmarkEnd w:id="74"/>
      <w:r>
        <w:rPr>
          <w:w w:val="95"/>
        </w:rPr>
        <w:t>保单贷款</w:t>
      </w:r>
    </w:p>
    <w:p>
      <w:pPr>
        <w:pStyle w:val="BodyText"/>
        <w:spacing w:line="309" w:lineRule="auto" w:before="57"/>
        <w:ind w:right="117"/>
      </w:pPr>
      <w:r>
        <w:rPr>
          <w:spacing w:val="-8"/>
          <w:w w:val="95"/>
        </w:rPr>
        <w:t>在本合同有效保险期间内，您可以书面形式凭保险合同向本公司申请并经本公司审核同意后   办理保单贷款，但须事先经被保险人书面同意。</w:t>
      </w:r>
    </w:p>
    <w:p>
      <w:pPr>
        <w:spacing w:after="0" w:line="309" w:lineRule="auto"/>
        <w:sectPr>
          <w:pgSz w:w="11910" w:h="16840"/>
          <w:pgMar w:header="0" w:footer="1047" w:top="1420" w:bottom="1240" w:left="1680" w:right="1680"/>
        </w:sectPr>
      </w:pPr>
    </w:p>
    <w:p>
      <w:pPr>
        <w:pStyle w:val="BodyText"/>
        <w:spacing w:line="302" w:lineRule="exact" w:before="0"/>
        <w:ind w:left="540"/>
      </w:pPr>
      <w:bookmarkStart w:name="未还款项" w:id="75"/>
      <w:bookmarkEnd w:id="75"/>
      <w:r>
        <w:rPr/>
      </w:r>
      <w:bookmarkStart w:name="合同效力的变动" w:id="76"/>
      <w:bookmarkEnd w:id="76"/>
      <w:r>
        <w:rPr/>
      </w:r>
      <w:bookmarkStart w:name="合同的变更" w:id="77"/>
      <w:bookmarkEnd w:id="77"/>
      <w:r>
        <w:rPr/>
      </w:r>
      <w:bookmarkStart w:name="合同内容的变更" w:id="78"/>
      <w:bookmarkEnd w:id="78"/>
      <w:r>
        <w:rPr/>
      </w:r>
      <w:bookmarkStart w:name="住所或通讯地址的变更" w:id="79"/>
      <w:bookmarkEnd w:id="79"/>
      <w:r>
        <w:rPr/>
      </w:r>
      <w:bookmarkStart w:name="被保险人职业或工种的变更" w:id="80"/>
      <w:bookmarkEnd w:id="80"/>
      <w:r>
        <w:rPr/>
      </w:r>
      <w:r>
        <w:rPr>
          <w:rFonts w:ascii="Microsoft JhengHei" w:eastAsia="Microsoft JhengHei" w:hint="eastAsia"/>
          <w:b/>
          <w:w w:val="95"/>
        </w:rPr>
        <w:t>贷款金额</w:t>
      </w:r>
      <w:r>
        <w:rPr>
          <w:w w:val="95"/>
        </w:rPr>
        <w:t>：贷款金额不得超过本合同当时所具有的现金价值的百分之八十。</w:t>
      </w:r>
    </w:p>
    <w:p>
      <w:pPr>
        <w:spacing w:line="355" w:lineRule="exact" w:before="0"/>
        <w:ind w:left="540" w:right="0" w:firstLine="0"/>
        <w:jc w:val="left"/>
        <w:rPr>
          <w:sz w:val="21"/>
        </w:rPr>
      </w:pPr>
      <w:r>
        <w:rPr>
          <w:rFonts w:ascii="Microsoft JhengHei" w:eastAsia="Microsoft JhengHei" w:hint="eastAsia"/>
          <w:b/>
          <w:w w:val="95"/>
          <w:sz w:val="21"/>
        </w:rPr>
        <w:t>贷款期限</w:t>
      </w:r>
      <w:r>
        <w:rPr>
          <w:w w:val="95"/>
          <w:sz w:val="21"/>
        </w:rPr>
        <w:t>：每次贷款的最长期限为六个月。</w:t>
      </w:r>
    </w:p>
    <w:p>
      <w:pPr>
        <w:pStyle w:val="BodyText"/>
        <w:spacing w:line="235" w:lineRule="auto" w:before="2"/>
        <w:ind w:left="540" w:right="1170"/>
      </w:pPr>
      <w:r>
        <w:rPr>
          <w:rFonts w:ascii="Microsoft JhengHei" w:eastAsia="Microsoft JhengHei" w:hint="eastAsia"/>
          <w:b/>
        </w:rPr>
        <w:t>贷款利率：</w:t>
      </w:r>
      <w:r>
        <w:rPr/>
        <w:t>保单贷款利率按照本条款约定利率执行，并在贷款协议中载明。</w:t>
      </w:r>
      <w:r>
        <w:rPr>
          <w:rFonts w:ascii="Microsoft JhengHei" w:eastAsia="Microsoft JhengHei" w:hint="eastAsia"/>
          <w:b/>
        </w:rPr>
        <w:t>贷款利息计算</w:t>
      </w:r>
      <w:r>
        <w:rPr>
          <w:rFonts w:ascii="Microsoft JhengHei" w:eastAsia="Microsoft JhengHei" w:hint="eastAsia"/>
          <w:b/>
          <w:w w:val="175"/>
        </w:rPr>
        <w:t>: </w:t>
      </w:r>
      <w:r>
        <w:rPr/>
        <w:t>在贷款期限内，按照本条款约定利率以单利计算利息。</w:t>
      </w:r>
    </w:p>
    <w:p>
      <w:pPr>
        <w:pStyle w:val="BodyText"/>
        <w:spacing w:line="276" w:lineRule="auto" w:before="0"/>
        <w:ind w:right="215" w:firstLine="412"/>
      </w:pPr>
      <w:r>
        <w:rPr>
          <w:rFonts w:ascii="Microsoft JhengHei" w:eastAsia="Microsoft JhengHei" w:hint="eastAsia"/>
          <w:b/>
        </w:rPr>
        <w:t>贷款偿还</w:t>
      </w:r>
      <w:r>
        <w:rPr>
          <w:spacing w:val="-9"/>
        </w:rPr>
        <w:t>：贷款本息在贷款到期时一并归还。如果您到期未能足额偿还贷款本息，则您</w:t>
      </w:r>
      <w:r>
        <w:rPr>
          <w:spacing w:val="-9"/>
          <w:w w:val="95"/>
        </w:rPr>
        <w:t>所欠的贷款本息将作为新的贷款本金按照本条款约定利率计息。</w:t>
      </w:r>
    </w:p>
    <w:p>
      <w:pPr>
        <w:pStyle w:val="BodyText"/>
        <w:spacing w:line="309" w:lineRule="auto" w:before="59"/>
        <w:ind w:right="217"/>
      </w:pPr>
      <w:r>
        <w:rPr>
          <w:spacing w:val="-3"/>
          <w:w w:val="95"/>
        </w:rPr>
        <w:t>当未还保单贷款本息和其他各项欠款及利息的总金额与本合同的现金价值相等时，本合同效   力即行中止。</w:t>
      </w:r>
    </w:p>
    <w:p>
      <w:pPr>
        <w:pStyle w:val="Heading2"/>
        <w:numPr>
          <w:ilvl w:val="0"/>
          <w:numId w:val="18"/>
        </w:numPr>
        <w:tabs>
          <w:tab w:pos="551" w:val="left" w:leader="none"/>
          <w:tab w:pos="552" w:val="left" w:leader="none"/>
        </w:tabs>
        <w:spacing w:line="318" w:lineRule="exact" w:before="0" w:after="0"/>
        <w:ind w:left="552" w:right="0" w:hanging="432"/>
        <w:jc w:val="left"/>
      </w:pPr>
      <w:bookmarkStart w:name="_TOC_250088" w:id="81"/>
      <w:bookmarkEnd w:id="81"/>
      <w:r>
        <w:rPr>
          <w:w w:val="95"/>
        </w:rPr>
        <w:t>未还款项</w:t>
      </w:r>
    </w:p>
    <w:p>
      <w:pPr>
        <w:pStyle w:val="BodyText"/>
        <w:spacing w:line="309" w:lineRule="auto" w:before="59"/>
        <w:ind w:right="219"/>
      </w:pPr>
      <w:r>
        <w:rPr>
          <w:spacing w:val="-6"/>
          <w:w w:val="95"/>
        </w:rPr>
        <w:t>本公司在给付各项保险金、退还现金价值或者返还保险费时，如果您有保单贷款或者其他各   项欠款，本公司在扣除上述各项欠款及应付利息后给付。</w:t>
      </w:r>
    </w:p>
    <w:p>
      <w:pPr>
        <w:pStyle w:val="Heading2"/>
        <w:numPr>
          <w:ilvl w:val="0"/>
          <w:numId w:val="18"/>
        </w:numPr>
        <w:tabs>
          <w:tab w:pos="544" w:val="left" w:leader="none"/>
          <w:tab w:pos="545" w:val="left" w:leader="none"/>
        </w:tabs>
        <w:spacing w:line="313" w:lineRule="exact" w:before="0" w:after="0"/>
        <w:ind w:left="544" w:right="0" w:hanging="424"/>
        <w:jc w:val="left"/>
      </w:pPr>
      <w:bookmarkStart w:name="_TOC_250087" w:id="82"/>
      <w:bookmarkEnd w:id="82"/>
      <w:r>
        <w:rPr>
          <w:w w:val="95"/>
        </w:rPr>
        <w:t>合同效力的变动</w:t>
      </w:r>
    </w:p>
    <w:p>
      <w:pPr>
        <w:pStyle w:val="Heading2"/>
        <w:numPr>
          <w:ilvl w:val="1"/>
          <w:numId w:val="19"/>
        </w:numPr>
        <w:tabs>
          <w:tab w:pos="696" w:val="left" w:leader="none"/>
        </w:tabs>
        <w:spacing w:line="355" w:lineRule="exact" w:before="0" w:after="0"/>
        <w:ind w:left="696" w:right="0" w:hanging="576"/>
        <w:jc w:val="left"/>
      </w:pPr>
      <w:bookmarkStart w:name="_TOC_250086" w:id="83"/>
      <w:bookmarkEnd w:id="83"/>
      <w:r>
        <w:rPr>
          <w:w w:val="95"/>
        </w:rPr>
        <w:t>合同的变更</w:t>
      </w:r>
    </w:p>
    <w:p>
      <w:pPr>
        <w:pStyle w:val="Heading2"/>
        <w:numPr>
          <w:ilvl w:val="2"/>
          <w:numId w:val="19"/>
        </w:numPr>
        <w:tabs>
          <w:tab w:pos="840" w:val="left" w:leader="none"/>
        </w:tabs>
        <w:spacing w:line="360" w:lineRule="exact" w:before="0" w:after="0"/>
        <w:ind w:left="840" w:right="0" w:hanging="720"/>
        <w:jc w:val="left"/>
      </w:pPr>
      <w:bookmarkStart w:name="_TOC_250085" w:id="84"/>
      <w:bookmarkEnd w:id="84"/>
      <w:r>
        <w:rPr>
          <w:w w:val="95"/>
        </w:rPr>
        <w:t>合同内容的变更</w:t>
      </w:r>
    </w:p>
    <w:p>
      <w:pPr>
        <w:pStyle w:val="BodyText"/>
        <w:spacing w:line="309" w:lineRule="auto" w:before="59"/>
        <w:ind w:right="217"/>
      </w:pPr>
      <w:r>
        <w:rPr>
          <w:spacing w:val="-6"/>
          <w:w w:val="95"/>
        </w:rPr>
        <w:t>在本合同有效保险期间内，经您和本公司协商一致，可以变更本合同的有关内容，本公司将   在保险单或其他保险凭证上批注或附贴批单，或者由您和本公司订立书面的变更协议。</w:t>
      </w:r>
    </w:p>
    <w:p>
      <w:pPr>
        <w:pStyle w:val="Heading2"/>
        <w:numPr>
          <w:ilvl w:val="2"/>
          <w:numId w:val="19"/>
        </w:numPr>
        <w:tabs>
          <w:tab w:pos="840" w:val="left" w:leader="none"/>
        </w:tabs>
        <w:spacing w:line="318" w:lineRule="exact" w:before="0" w:after="0"/>
        <w:ind w:left="840" w:right="0" w:hanging="720"/>
        <w:jc w:val="left"/>
      </w:pPr>
      <w:bookmarkStart w:name="_TOC_250084" w:id="85"/>
      <w:bookmarkEnd w:id="85"/>
      <w:r>
        <w:rPr>
          <w:w w:val="95"/>
        </w:rPr>
        <w:t>住所或通讯地址的变更</w:t>
      </w:r>
    </w:p>
    <w:p>
      <w:pPr>
        <w:pStyle w:val="BodyText"/>
        <w:spacing w:line="312" w:lineRule="auto" w:before="56"/>
        <w:ind w:right="114"/>
      </w:pPr>
      <w:r>
        <w:rPr>
          <w:spacing w:val="-6"/>
        </w:rPr>
        <w:t>为了保障您的合法权益，您的住所、通讯地址或者电话等联系方式变更时，请及时以书面形</w:t>
      </w:r>
      <w:r>
        <w:rPr>
          <w:spacing w:val="-11"/>
        </w:rPr>
        <w:t>式或者双方认可的其他形式通知本公司。如果您未以书面形式或者双方认可的其他形式通知</w:t>
      </w:r>
      <w:r>
        <w:rPr>
          <w:spacing w:val="-15"/>
          <w:w w:val="95"/>
        </w:rPr>
        <w:t>本公司，本公司按本合同载明的最后住所或者通讯地址发送的有关通知，均视为已送达给您。   变更住所或通讯地址时请填写保全业务申请书并提供您的有效身份证件原件。</w:t>
      </w:r>
    </w:p>
    <w:p>
      <w:pPr>
        <w:pStyle w:val="Heading2"/>
        <w:numPr>
          <w:ilvl w:val="2"/>
          <w:numId w:val="19"/>
        </w:numPr>
        <w:tabs>
          <w:tab w:pos="840" w:val="left" w:leader="none"/>
        </w:tabs>
        <w:spacing w:line="316" w:lineRule="exact" w:before="0" w:after="0"/>
        <w:ind w:left="840" w:right="0" w:hanging="720"/>
        <w:jc w:val="left"/>
      </w:pPr>
      <w:bookmarkStart w:name="_TOC_250083" w:id="86"/>
      <w:bookmarkEnd w:id="86"/>
      <w:r>
        <w:rPr>
          <w:w w:val="95"/>
        </w:rPr>
        <w:t>被保险人职业或工种的变更</w:t>
      </w:r>
    </w:p>
    <w:p>
      <w:pPr>
        <w:pStyle w:val="BodyText"/>
        <w:spacing w:line="309" w:lineRule="auto" w:before="57"/>
        <w:ind w:right="217"/>
      </w:pPr>
      <w:r>
        <w:rPr>
          <w:w w:val="95"/>
        </w:rPr>
        <w:t>本公司将按照事先公布的职业分类表确定被保险人的职业分类，您可以通过本公司的网站</w:t>
      </w:r>
      <w:r>
        <w:rPr>
          <w:w w:val="85"/>
        </w:rPr>
        <w:t>、  </w:t>
      </w:r>
      <w:r>
        <w:rPr>
          <w:w w:val="95"/>
        </w:rPr>
        <w:t>服务热线、服务场所工作人员查询到此表。</w:t>
      </w:r>
    </w:p>
    <w:p>
      <w:pPr>
        <w:pStyle w:val="BodyText"/>
        <w:spacing w:line="309" w:lineRule="auto" w:before="21"/>
        <w:ind w:right="217"/>
        <w:jc w:val="both"/>
      </w:pPr>
      <w:r>
        <w:rPr>
          <w:spacing w:val="-3"/>
        </w:rPr>
        <w:t>当被保险人的职业或工种发生变化时，您或被保险人应在 </w:t>
      </w:r>
      <w:r>
        <w:rPr/>
        <w:t>10</w:t>
      </w:r>
      <w:r>
        <w:rPr>
          <w:spacing w:val="-8"/>
        </w:rPr>
        <w:t> 日内以书面形式通知本公司。</w:t>
      </w:r>
      <w:r>
        <w:rPr>
          <w:spacing w:val="-11"/>
        </w:rPr>
        <w:t>被保险人所变更的职业或工种依照本公司职业分类其危险程度降低时，本公司自接到通知之</w:t>
      </w:r>
      <w:r>
        <w:rPr>
          <w:spacing w:val="-11"/>
          <w:w w:val="95"/>
        </w:rPr>
        <w:t>日起，按变更前后保险费差额退还保险费；其危险程度增加时，本公司自接到通知之日起</w:t>
      </w:r>
      <w:r>
        <w:rPr>
          <w:spacing w:val="-11"/>
          <w:w w:val="85"/>
        </w:rPr>
        <w:t>，  </w:t>
      </w:r>
      <w:r>
        <w:rPr>
          <w:spacing w:val="-16"/>
        </w:rPr>
        <w:t>按变更前后保险费差额补交保险费。但被保险人变更后的职业或工种依照本公司职业分类在</w:t>
      </w:r>
      <w:r>
        <w:rPr>
          <w:spacing w:val="-15"/>
          <w:w w:val="95"/>
        </w:rPr>
        <w:t>本合同拒保范围内的，本公司将在接到职业或工种变更通知后解除本合同、退还保险单的现   金价值。</w:t>
      </w:r>
    </w:p>
    <w:p>
      <w:pPr>
        <w:pStyle w:val="BodyText"/>
        <w:spacing w:before="18"/>
      </w:pPr>
      <w:r>
        <w:rPr>
          <w:w w:val="95"/>
        </w:rPr>
        <w:t>保险事故发生时，本公司将按被保险人实际从事的职业或工种核定保险责任。</w:t>
      </w:r>
    </w:p>
    <w:p>
      <w:pPr>
        <w:pStyle w:val="BodyText"/>
        <w:spacing w:line="309" w:lineRule="auto" w:before="79"/>
        <w:ind w:right="114"/>
        <w:jc w:val="both"/>
      </w:pPr>
      <w:r>
        <w:rPr>
          <w:spacing w:val="-7"/>
        </w:rPr>
        <w:t>被保险人的职业或工种变更后，依照本公司职业分类表其危险程度增加而未依前项约定通知本公司而发Th</w:t>
      </w:r>
      <w:r>
        <w:rPr>
          <w:spacing w:val="-11"/>
        </w:rPr>
        <w:t>保险事故的，本公司按实交保险费与应交保险费的比例计算给付保险金；其危</w:t>
      </w:r>
      <w:r>
        <w:rPr>
          <w:spacing w:val="-15"/>
        </w:rPr>
        <w:t>险程度降低而未依前项约定通知本公司而发生保险事故的，本公司将给付本合同约定的保险</w:t>
      </w:r>
      <w:r>
        <w:rPr>
          <w:spacing w:val="-10"/>
        </w:rPr>
        <w:t>金，并无息退还实交保险费和应交保险费的差值。但被保险人职业或工种变更后在本合同拒</w:t>
      </w:r>
      <w:r>
        <w:rPr>
          <w:spacing w:val="-17"/>
          <w:w w:val="95"/>
        </w:rPr>
        <w:t>保范围内的，本公司不承担给付保险金的责任，并有权解除本合同、退还保险单的现金价值。</w:t>
      </w:r>
    </w:p>
    <w:p>
      <w:pPr>
        <w:spacing w:after="0" w:line="309" w:lineRule="auto"/>
        <w:jc w:val="both"/>
        <w:sectPr>
          <w:pgSz w:w="11910" w:h="16840"/>
          <w:pgMar w:header="0" w:footer="1047" w:top="1420" w:bottom="1240" w:left="1680" w:right="1580"/>
        </w:sectPr>
      </w:pPr>
    </w:p>
    <w:p>
      <w:pPr>
        <w:pStyle w:val="Heading2"/>
        <w:numPr>
          <w:ilvl w:val="1"/>
          <w:numId w:val="20"/>
        </w:numPr>
        <w:tabs>
          <w:tab w:pos="696" w:val="left" w:leader="none"/>
        </w:tabs>
        <w:spacing w:line="307" w:lineRule="exact" w:before="0" w:after="0"/>
        <w:ind w:left="696" w:right="0" w:hanging="576"/>
        <w:jc w:val="left"/>
      </w:pPr>
      <w:bookmarkStart w:name="_TOC_250082" w:id="87"/>
      <w:bookmarkStart w:name="合同效力的中止" w:id="88"/>
      <w:r>
        <w:rPr>
          <w:b w:val="0"/>
        </w:rPr>
      </w:r>
      <w:bookmarkStart w:name="合同效力的恢复" w:id="89"/>
      <w:bookmarkEnd w:id="89"/>
      <w:r>
        <w:rPr>
          <w:b w:val="0"/>
        </w:rPr>
      </w:r>
      <w:bookmarkStart w:name="合同的解除——退保" w:id="90"/>
      <w:bookmarkEnd w:id="90"/>
      <w:r>
        <w:rPr>
          <w:b w:val="0"/>
        </w:rPr>
      </w:r>
      <w:bookmarkStart w:name="犹豫期" w:id="91"/>
      <w:bookmarkEnd w:id="91"/>
      <w:r>
        <w:rPr>
          <w:b w:val="0"/>
        </w:rPr>
      </w:r>
      <w:bookmarkStart w:name="犹豫期之后退保" w:id="92"/>
      <w:bookmarkEnd w:id="92"/>
      <w:r>
        <w:rPr>
          <w:b w:val="0"/>
        </w:rPr>
      </w:r>
      <w:bookmarkStart w:name="合同效力的终止" w:id="93"/>
      <w:bookmarkEnd w:id="93"/>
      <w:r>
        <w:rPr>
          <w:b w:val="0"/>
        </w:rPr>
      </w:r>
      <w:bookmarkStart w:name="委托代办业务" w:id="94"/>
      <w:bookmarkEnd w:id="94"/>
      <w:r>
        <w:rPr>
          <w:b w:val="0"/>
        </w:rPr>
      </w:r>
      <w:bookmarkStart w:name="如实告知义务" w:id="95"/>
      <w:bookmarkEnd w:id="95"/>
      <w:r>
        <w:rPr>
          <w:b w:val="0"/>
        </w:rPr>
      </w:r>
      <w:bookmarkStart w:name="明确说明与如实告知" w:id="96"/>
      <w:bookmarkEnd w:id="96"/>
      <w:r>
        <w:rPr>
          <w:b w:val="0"/>
        </w:rPr>
      </w:r>
      <w:bookmarkStart w:name="明确说明与如实告知" w:id="97"/>
      <w:bookmarkEnd w:id="87"/>
      <w:r>
        <w:rPr>
          <w:w w:val="95"/>
        </w:rPr>
        <w:t>合同效力的中止</w:t>
      </w:r>
    </w:p>
    <w:p>
      <w:pPr>
        <w:pStyle w:val="BodyText"/>
        <w:spacing w:line="309" w:lineRule="auto" w:before="56"/>
        <w:ind w:right="104"/>
      </w:pPr>
      <w:r>
        <w:rPr>
          <w:spacing w:val="-3"/>
          <w:w w:val="95"/>
        </w:rPr>
        <w:t>如果您在保险费支付宽限期结束后未支付到期应交的保险费，除本合同另有约定外，本合同   自宽限期届满日的次日零时起效力中止。</w:t>
      </w:r>
    </w:p>
    <w:p>
      <w:pPr>
        <w:pStyle w:val="BodyText"/>
        <w:spacing w:before="21"/>
      </w:pPr>
      <w:r>
        <w:rPr>
          <w:w w:val="95"/>
        </w:rPr>
        <w:t>在本合同效力中止期间，本公司不承担保险责任。</w:t>
      </w:r>
    </w:p>
    <w:p>
      <w:pPr>
        <w:pStyle w:val="Heading2"/>
        <w:numPr>
          <w:ilvl w:val="1"/>
          <w:numId w:val="20"/>
        </w:numPr>
        <w:tabs>
          <w:tab w:pos="696" w:val="left" w:leader="none"/>
        </w:tabs>
        <w:spacing w:line="240" w:lineRule="auto" w:before="13" w:after="0"/>
        <w:ind w:left="696" w:right="0" w:hanging="576"/>
        <w:jc w:val="left"/>
      </w:pPr>
      <w:bookmarkStart w:name="_TOC_250081" w:id="98"/>
      <w:bookmarkEnd w:id="98"/>
      <w:r>
        <w:rPr>
          <w:w w:val="95"/>
        </w:rPr>
        <w:t>合同效力的恢复</w:t>
      </w:r>
    </w:p>
    <w:p>
      <w:pPr>
        <w:pStyle w:val="BodyText"/>
        <w:spacing w:line="309" w:lineRule="auto" w:before="56"/>
        <w:ind w:right="157"/>
        <w:jc w:val="both"/>
      </w:pPr>
      <w:r>
        <w:rPr>
          <w:spacing w:val="-7"/>
        </w:rPr>
        <w:t>本合同效力中止后 </w:t>
      </w:r>
      <w:r>
        <w:rPr/>
        <w:t>2</w:t>
      </w:r>
      <w:r>
        <w:rPr>
          <w:spacing w:val="-13"/>
        </w:rPr>
        <w:t> 年内，您申请恢复合同效力的，应填写复效申请书，并按本公司的规定</w:t>
      </w:r>
      <w:r>
        <w:rPr>
          <w:spacing w:val="-16"/>
        </w:rPr>
        <w:t>提供被保险人健康声明书或本公司指定的医院出具的体检报告书。经本公司与您协商并达成</w:t>
      </w:r>
      <w:r>
        <w:rPr>
          <w:spacing w:val="-16"/>
          <w:w w:val="95"/>
        </w:rPr>
        <w:t>协议，自您补交各项欠款及应付利息后的次日零时起，本合同效力恢复。</w:t>
      </w:r>
    </w:p>
    <w:p>
      <w:pPr>
        <w:pStyle w:val="BodyText"/>
        <w:spacing w:line="312" w:lineRule="auto" w:before="19"/>
        <w:ind w:right="157"/>
      </w:pPr>
      <w:r>
        <w:rPr>
          <w:spacing w:val="-5"/>
        </w:rPr>
        <w:t>自本合同效力中止之日起满 </w:t>
      </w:r>
      <w:r>
        <w:rPr/>
        <w:t>2</w:t>
      </w:r>
      <w:r>
        <w:rPr>
          <w:spacing w:val="-13"/>
        </w:rPr>
        <w:t> 年您和本公司未达成协议的，本公司有权解除合同，本合同自</w:t>
      </w:r>
      <w:r>
        <w:rPr>
          <w:spacing w:val="-13"/>
          <w:w w:val="95"/>
        </w:rPr>
        <w:t>解除之日起终止。本公司解除合同的，向您退还合同效力中止时的现金价值。</w:t>
      </w:r>
    </w:p>
    <w:p>
      <w:pPr>
        <w:pStyle w:val="Heading2"/>
        <w:numPr>
          <w:ilvl w:val="1"/>
          <w:numId w:val="20"/>
        </w:numPr>
        <w:tabs>
          <w:tab w:pos="696" w:val="left" w:leader="none"/>
        </w:tabs>
        <w:spacing w:line="311" w:lineRule="exact" w:before="0" w:after="0"/>
        <w:ind w:left="696" w:right="0" w:hanging="576"/>
        <w:jc w:val="left"/>
      </w:pPr>
      <w:bookmarkStart w:name="_TOC_250080" w:id="99"/>
      <w:bookmarkEnd w:id="99"/>
      <w:r>
        <w:rPr>
          <w:w w:val="95"/>
        </w:rPr>
        <w:t>合同的解除——退保</w:t>
      </w:r>
    </w:p>
    <w:p>
      <w:pPr>
        <w:pStyle w:val="Heading2"/>
        <w:numPr>
          <w:ilvl w:val="2"/>
          <w:numId w:val="20"/>
        </w:numPr>
        <w:tabs>
          <w:tab w:pos="840" w:val="left" w:leader="none"/>
        </w:tabs>
        <w:spacing w:line="360" w:lineRule="exact" w:before="0" w:after="0"/>
        <w:ind w:left="840" w:right="0" w:hanging="720"/>
        <w:jc w:val="left"/>
      </w:pPr>
      <w:bookmarkStart w:name="_TOC_250079" w:id="100"/>
      <w:bookmarkEnd w:id="100"/>
      <w:r>
        <w:rPr>
          <w:w w:val="95"/>
        </w:rPr>
        <w:t>犹豫期</w:t>
      </w:r>
    </w:p>
    <w:p>
      <w:pPr>
        <w:pStyle w:val="BodyText"/>
        <w:spacing w:line="312" w:lineRule="auto" w:before="56"/>
        <w:ind w:right="157"/>
        <w:jc w:val="both"/>
      </w:pPr>
      <w:r>
        <w:rPr>
          <w:spacing w:val="-3"/>
        </w:rPr>
        <w:t>自您签收到本合同之日起，本公司给予您 </w:t>
      </w:r>
      <w:r>
        <w:rPr/>
        <w:t>10</w:t>
      </w:r>
      <w:r>
        <w:rPr>
          <w:spacing w:val="-8"/>
        </w:rPr>
        <w:t> 日的犹豫期。在此期间请您认真审视本合同， </w:t>
      </w:r>
      <w:r>
        <w:rPr>
          <w:spacing w:val="-13"/>
          <w:w w:val="95"/>
        </w:rPr>
        <w:t>如果您认为本合同与您的需求不相符，您可以在此期间提出解除本合同，本公司将退还您已   支付的全部保险费。</w:t>
      </w:r>
    </w:p>
    <w:p>
      <w:pPr>
        <w:pStyle w:val="BodyText"/>
        <w:spacing w:line="309" w:lineRule="auto" w:before="17"/>
        <w:ind w:right="157"/>
        <w:jc w:val="both"/>
      </w:pPr>
      <w:r>
        <w:rPr>
          <w:spacing w:val="-8"/>
          <w:w w:val="95"/>
        </w:rPr>
        <w:t>解除本合同时，您须填写申请书，并提供本合同、您的有效身份证明文件原件及您所交保险   </w:t>
      </w:r>
      <w:r>
        <w:rPr>
          <w:spacing w:val="-16"/>
          <w:w w:val="95"/>
        </w:rPr>
        <w:t>费的发票。自本公司收到您的申请书时起，本合同即被解除，本合同解除前发生的保险事故</w:t>
      </w:r>
      <w:r>
        <w:rPr>
          <w:w w:val="80"/>
        </w:rPr>
        <w:t>，  </w:t>
      </w:r>
      <w:r>
        <w:rPr>
          <w:w w:val="95"/>
        </w:rPr>
        <w:t>本公司不承担给付保险金的责任。</w:t>
      </w:r>
    </w:p>
    <w:p>
      <w:pPr>
        <w:pStyle w:val="Heading2"/>
        <w:numPr>
          <w:ilvl w:val="2"/>
          <w:numId w:val="20"/>
        </w:numPr>
        <w:tabs>
          <w:tab w:pos="840" w:val="left" w:leader="none"/>
        </w:tabs>
        <w:spacing w:line="318" w:lineRule="exact" w:before="0" w:after="0"/>
        <w:ind w:left="840" w:right="0" w:hanging="720"/>
        <w:jc w:val="left"/>
      </w:pPr>
      <w:bookmarkStart w:name="_TOC_250078" w:id="101"/>
      <w:bookmarkEnd w:id="101"/>
      <w:r>
        <w:rPr>
          <w:w w:val="95"/>
        </w:rPr>
        <w:t>犹豫期之后退保</w:t>
      </w:r>
    </w:p>
    <w:p>
      <w:pPr>
        <w:pStyle w:val="BodyText"/>
        <w:spacing w:line="326" w:lineRule="auto" w:before="66"/>
        <w:ind w:right="161"/>
      </w:pPr>
      <w:r>
        <w:rPr>
          <w:spacing w:val="-3"/>
          <w:w w:val="95"/>
        </w:rPr>
        <w:t>如被保险人未发生保险事故，且您在犹豫期后申请解除本合同，请填写保全业务申请书，并   向本公司提供下列证明和资料的原件：</w:t>
      </w:r>
    </w:p>
    <w:p>
      <w:pPr>
        <w:pStyle w:val="ListParagraph"/>
        <w:numPr>
          <w:ilvl w:val="3"/>
          <w:numId w:val="20"/>
        </w:numPr>
        <w:tabs>
          <w:tab w:pos="748" w:val="left" w:leader="none"/>
          <w:tab w:pos="749" w:val="left" w:leader="none"/>
        </w:tabs>
        <w:spacing w:line="240" w:lineRule="auto" w:before="24" w:after="0"/>
        <w:ind w:left="748" w:right="0" w:hanging="420"/>
        <w:jc w:val="left"/>
        <w:rPr>
          <w:sz w:val="21"/>
        </w:rPr>
      </w:pPr>
      <w:r>
        <w:rPr>
          <w:w w:val="95"/>
          <w:sz w:val="21"/>
        </w:rPr>
        <w:t>保险合同；</w:t>
      </w:r>
    </w:p>
    <w:p>
      <w:pPr>
        <w:pStyle w:val="ListParagraph"/>
        <w:numPr>
          <w:ilvl w:val="3"/>
          <w:numId w:val="20"/>
        </w:numPr>
        <w:tabs>
          <w:tab w:pos="748" w:val="left" w:leader="none"/>
          <w:tab w:pos="749" w:val="left" w:leader="none"/>
        </w:tabs>
        <w:spacing w:line="240" w:lineRule="auto" w:before="99" w:after="0"/>
        <w:ind w:left="748" w:right="0" w:hanging="420"/>
        <w:jc w:val="left"/>
        <w:rPr>
          <w:sz w:val="21"/>
        </w:rPr>
      </w:pPr>
      <w:r>
        <w:rPr>
          <w:w w:val="95"/>
          <w:sz w:val="21"/>
        </w:rPr>
        <w:t>您的有效身份证件。</w:t>
      </w:r>
    </w:p>
    <w:p>
      <w:pPr>
        <w:pStyle w:val="BodyText"/>
        <w:spacing w:line="273" w:lineRule="auto" w:before="67"/>
        <w:ind w:right="159"/>
      </w:pPr>
      <w:r>
        <w:rPr>
          <w:spacing w:val="-5"/>
          <w:w w:val="95"/>
        </w:rPr>
        <w:t>自本公司收到退保的保全业务申请书时起，本合同终止。本公司自收到退保的保全业务申请   </w:t>
      </w:r>
      <w:r>
        <w:rPr>
          <w:spacing w:val="-16"/>
        </w:rPr>
        <w:t>书之日起 </w:t>
      </w:r>
      <w:r>
        <w:rPr/>
        <w:t>30</w:t>
      </w:r>
      <w:r>
        <w:rPr>
          <w:spacing w:val="-8"/>
        </w:rPr>
        <w:t> 日内向您退还本合同终止时的现金价值。</w:t>
      </w:r>
    </w:p>
    <w:p>
      <w:pPr>
        <w:pStyle w:val="BodyText"/>
        <w:spacing w:before="31"/>
        <w:jc w:val="both"/>
      </w:pPr>
      <w:r>
        <w:rPr>
          <w:w w:val="95"/>
        </w:rPr>
        <w:t>您在犹豫期后解除合同会遭受一定损失。</w:t>
      </w:r>
    </w:p>
    <w:p>
      <w:pPr>
        <w:pStyle w:val="Heading2"/>
        <w:spacing w:before="13"/>
        <w:ind w:left="120" w:firstLine="0"/>
        <w:jc w:val="both"/>
      </w:pPr>
      <w:bookmarkStart w:name="_TOC_250077" w:id="102"/>
      <w:r>
        <w:rPr>
          <w:spacing w:val="2"/>
          <w:w w:val="83"/>
        </w:rPr>
        <w:t>9</w:t>
      </w:r>
      <w:r>
        <w:rPr>
          <w:spacing w:val="0"/>
          <w:w w:val="195"/>
        </w:rPr>
        <w:t>.</w:t>
      </w:r>
      <w:r>
        <w:rPr>
          <w:spacing w:val="0"/>
          <w:w w:val="83"/>
        </w:rPr>
        <w:t>5</w:t>
      </w:r>
      <w:r>
        <w:rPr>
          <w:w w:val="195"/>
        </w:rPr>
        <w:t>.</w:t>
      </w:r>
      <w:r>
        <w:rPr>
          <w:spacing w:val="-2"/>
        </w:rPr>
        <w:t>   </w:t>
      </w:r>
      <w:bookmarkEnd w:id="102"/>
      <w:r>
        <w:rPr>
          <w:w w:val="99"/>
        </w:rPr>
        <w:t>合同效力的终止</w:t>
      </w:r>
    </w:p>
    <w:p>
      <w:pPr>
        <w:pStyle w:val="BodyText"/>
        <w:spacing w:before="56"/>
        <w:jc w:val="both"/>
      </w:pPr>
      <w:r>
        <w:rPr>
          <w:w w:val="95"/>
        </w:rPr>
        <w:t>本合同将于下述情况之一出现自动终止：</w:t>
      </w:r>
    </w:p>
    <w:p>
      <w:pPr>
        <w:pStyle w:val="BodyText"/>
        <w:ind w:left="213"/>
        <w:jc w:val="both"/>
      </w:pPr>
      <w:r>
        <w:rPr>
          <w:w w:val="95"/>
        </w:rPr>
        <w:t>1．本合同满期；</w:t>
      </w:r>
    </w:p>
    <w:p>
      <w:pPr>
        <w:pStyle w:val="BodyText"/>
        <w:spacing w:before="82"/>
        <w:ind w:left="213"/>
        <w:jc w:val="both"/>
      </w:pPr>
      <w:r>
        <w:rPr>
          <w:w w:val="95"/>
        </w:rPr>
        <w:t>2．本合同其他条款所列合同终止情况。</w:t>
      </w:r>
    </w:p>
    <w:p>
      <w:pPr>
        <w:pStyle w:val="Heading2"/>
        <w:numPr>
          <w:ilvl w:val="0"/>
          <w:numId w:val="21"/>
        </w:numPr>
        <w:tabs>
          <w:tab w:pos="545" w:val="left" w:leader="none"/>
        </w:tabs>
        <w:spacing w:line="240" w:lineRule="auto" w:before="10" w:after="0"/>
        <w:ind w:left="544" w:right="0" w:hanging="424"/>
        <w:jc w:val="both"/>
      </w:pPr>
      <w:bookmarkStart w:name="_TOC_250076" w:id="103"/>
      <w:bookmarkEnd w:id="103"/>
      <w:r>
        <w:rPr>
          <w:w w:val="95"/>
        </w:rPr>
        <w:t>委托代办业务</w:t>
      </w:r>
    </w:p>
    <w:p>
      <w:pPr>
        <w:pStyle w:val="BodyText"/>
        <w:spacing w:line="309" w:lineRule="auto" w:before="58"/>
        <w:ind w:right="157"/>
        <w:jc w:val="both"/>
      </w:pPr>
      <w:r>
        <w:rPr>
          <w:spacing w:val="-8"/>
        </w:rPr>
        <w:t>若委托他人代办保险业务的，须提供委托人亲笔签名的授权委托书及委托人与受托人的有效</w:t>
      </w:r>
      <w:r>
        <w:rPr>
          <w:spacing w:val="-12"/>
          <w:w w:val="95"/>
        </w:rPr>
        <w:t>身份证件原件。本公司有权要求委托人对其签名的授权委托书进行公证，若本公司要求提供   经公证的授权委托书的，受托人应当提供。</w:t>
      </w:r>
    </w:p>
    <w:p>
      <w:pPr>
        <w:pStyle w:val="Heading2"/>
        <w:numPr>
          <w:ilvl w:val="0"/>
          <w:numId w:val="21"/>
        </w:numPr>
        <w:tabs>
          <w:tab w:pos="545" w:val="left" w:leader="none"/>
        </w:tabs>
        <w:spacing w:line="314" w:lineRule="exact" w:before="0" w:after="0"/>
        <w:ind w:left="544" w:right="0" w:hanging="424"/>
        <w:jc w:val="left"/>
      </w:pPr>
      <w:bookmarkStart w:name="_TOC_250075" w:id="104"/>
      <w:bookmarkEnd w:id="104"/>
      <w:r>
        <w:rPr>
          <w:w w:val="95"/>
        </w:rPr>
        <w:t>如实告知义务</w:t>
      </w:r>
    </w:p>
    <w:p>
      <w:pPr>
        <w:pStyle w:val="Heading2"/>
        <w:numPr>
          <w:ilvl w:val="1"/>
          <w:numId w:val="21"/>
        </w:numPr>
        <w:tabs>
          <w:tab w:pos="552" w:val="left" w:leader="none"/>
        </w:tabs>
        <w:spacing w:line="362" w:lineRule="exact" w:before="0" w:after="0"/>
        <w:ind w:left="552" w:right="0" w:hanging="432"/>
        <w:jc w:val="left"/>
      </w:pPr>
      <w:bookmarkStart w:name="_TOC_250074" w:id="105"/>
      <w:bookmarkEnd w:id="105"/>
      <w:r>
        <w:rPr>
          <w:w w:val="95"/>
        </w:rPr>
        <w:t>明确说明与如实告知</w:t>
      </w:r>
    </w:p>
    <w:p>
      <w:pPr>
        <w:pStyle w:val="BodyText"/>
        <w:spacing w:line="309" w:lineRule="auto" w:before="56"/>
        <w:ind w:right="157"/>
        <w:jc w:val="both"/>
      </w:pPr>
      <w:r>
        <w:rPr>
          <w:spacing w:val="-9"/>
          <w:w w:val="95"/>
        </w:rPr>
        <w:t>订立本合同时，本公司应当向您明确说明本合同的内容。对保险条款中免除本公司责任的条   </w:t>
      </w:r>
      <w:r>
        <w:rPr>
          <w:spacing w:val="-11"/>
          <w:w w:val="95"/>
        </w:rPr>
        <w:t>款，本公司在订立合同时应当在投保单、保险单或者其他保险凭证上作出足以引起您注意的   提示，并对该条款的内容以书面或口头形式向您作出明确说明，未作提示或者明确说明的</w:t>
      </w:r>
      <w:r>
        <w:rPr>
          <w:spacing w:val="-11"/>
          <w:w w:val="85"/>
        </w:rPr>
        <w:t>，</w:t>
      </w:r>
    </w:p>
    <w:p>
      <w:pPr>
        <w:spacing w:after="0" w:line="309" w:lineRule="auto"/>
        <w:jc w:val="both"/>
        <w:sectPr>
          <w:pgSz w:w="11910" w:h="16840"/>
          <w:pgMar w:header="0" w:footer="1047" w:top="1420" w:bottom="1240" w:left="1680" w:right="1640"/>
        </w:sectPr>
      </w:pPr>
    </w:p>
    <w:p>
      <w:pPr>
        <w:pStyle w:val="BodyText"/>
        <w:spacing w:before="8"/>
      </w:pPr>
      <w:bookmarkStart w:name="合同解除权的限制" w:id="106"/>
      <w:bookmarkEnd w:id="106"/>
      <w:r>
        <w:rPr/>
      </w:r>
      <w:bookmarkStart w:name="被保险人年龄确定错误处理" w:id="107"/>
      <w:bookmarkEnd w:id="107"/>
      <w:r>
        <w:rPr/>
      </w:r>
      <w:bookmarkStart w:name="争议处理" w:id="108"/>
      <w:bookmarkEnd w:id="108"/>
      <w:r>
        <w:rPr/>
      </w:r>
      <w:bookmarkStart w:name="释义" w:id="109"/>
      <w:bookmarkEnd w:id="109"/>
      <w:r>
        <w:rPr/>
      </w:r>
      <w:bookmarkStart w:name="周岁" w:id="110"/>
      <w:bookmarkEnd w:id="110"/>
      <w:r>
        <w:rPr/>
      </w:r>
      <w:bookmarkStart w:name="保单年度" w:id="111"/>
      <w:bookmarkEnd w:id="111"/>
      <w:r>
        <w:rPr/>
      </w:r>
      <w:bookmarkStart w:name="保险费约定支付日" w:id="112"/>
      <w:bookmarkEnd w:id="112"/>
      <w:r>
        <w:rPr/>
      </w:r>
      <w:r>
        <w:rPr>
          <w:w w:val="95"/>
        </w:rPr>
        <w:t>该条款不产生效力。</w:t>
      </w:r>
    </w:p>
    <w:p>
      <w:pPr>
        <w:pStyle w:val="BodyText"/>
        <w:spacing w:before="79"/>
      </w:pPr>
      <w:r>
        <w:rPr>
          <w:w w:val="95"/>
        </w:rPr>
        <w:t>本公司会就您与被保险人的有关情况提出询问，您应当如实告知。</w:t>
      </w:r>
    </w:p>
    <w:p>
      <w:pPr>
        <w:pStyle w:val="BodyText"/>
        <w:spacing w:line="312" w:lineRule="auto" w:before="79"/>
        <w:ind w:right="119"/>
      </w:pPr>
      <w:r>
        <w:rPr>
          <w:spacing w:val="-4"/>
          <w:w w:val="95"/>
        </w:rPr>
        <w:t>如果您故意或者因重大过失未履行前款规定的如实告知义务，足以影响本公司决定是否同意   承保或者提高保险费率的，本公司有权解除本合同。</w:t>
      </w:r>
    </w:p>
    <w:p>
      <w:pPr>
        <w:pStyle w:val="BodyText"/>
        <w:spacing w:line="309" w:lineRule="auto" w:before="16"/>
        <w:ind w:right="119"/>
      </w:pPr>
      <w:r>
        <w:rPr>
          <w:spacing w:val="-4"/>
          <w:w w:val="95"/>
        </w:rPr>
        <w:t>如果您故意不履行如实告知义务，对于本合同解除前发</w:t>
      </w:r>
      <w:r>
        <w:rPr>
          <w:w w:val="95"/>
        </w:rPr>
        <w:t>Th</w:t>
      </w:r>
      <w:r>
        <w:rPr>
          <w:spacing w:val="-7"/>
          <w:w w:val="95"/>
        </w:rPr>
        <w:t>的保险事故，本公司不承担给付保   险金的责任，并不退还保险费。</w:t>
      </w:r>
    </w:p>
    <w:p>
      <w:pPr>
        <w:pStyle w:val="BodyText"/>
        <w:spacing w:line="309" w:lineRule="auto" w:before="19"/>
        <w:ind w:right="119"/>
      </w:pPr>
      <w:r>
        <w:rPr>
          <w:spacing w:val="-3"/>
          <w:w w:val="95"/>
        </w:rPr>
        <w:t>如果您因重大过失未履行如实告知义务，对保险事故的发</w:t>
      </w:r>
      <w:r>
        <w:rPr>
          <w:w w:val="95"/>
        </w:rPr>
        <w:t>Th</w:t>
      </w:r>
      <w:r>
        <w:rPr>
          <w:spacing w:val="-7"/>
          <w:w w:val="95"/>
        </w:rPr>
        <w:t>有严重影响的，对于本合同解除   前发Th的保险事故，本公司不承担给付保险金的责任，但应当向您退还保险费。</w:t>
      </w:r>
    </w:p>
    <w:p>
      <w:pPr>
        <w:pStyle w:val="BodyText"/>
        <w:spacing w:line="312" w:lineRule="auto" w:before="19"/>
        <w:ind w:right="121"/>
      </w:pPr>
      <w:r>
        <w:rPr>
          <w:spacing w:val="-3"/>
          <w:w w:val="95"/>
        </w:rPr>
        <w:t>在合同订立时已经知道您未如实告知的情况的，本公司不得解除合同；发生保险事故的，本   公司承担给付保险金的责任。</w:t>
      </w:r>
    </w:p>
    <w:p>
      <w:pPr>
        <w:pStyle w:val="Heading2"/>
        <w:numPr>
          <w:ilvl w:val="1"/>
          <w:numId w:val="21"/>
        </w:numPr>
        <w:tabs>
          <w:tab w:pos="552" w:val="left" w:leader="none"/>
        </w:tabs>
        <w:spacing w:line="316" w:lineRule="exact" w:before="0" w:after="0"/>
        <w:ind w:left="552" w:right="0" w:hanging="432"/>
        <w:jc w:val="left"/>
      </w:pPr>
      <w:bookmarkStart w:name="_TOC_250073" w:id="113"/>
      <w:bookmarkEnd w:id="113"/>
      <w:r>
        <w:rPr>
          <w:w w:val="95"/>
        </w:rPr>
        <w:t>合同解除权的限制</w:t>
      </w:r>
    </w:p>
    <w:p>
      <w:pPr>
        <w:pStyle w:val="BodyText"/>
        <w:spacing w:before="57"/>
      </w:pPr>
      <w:r>
        <w:rPr/>
        <w:t>前款规定的合同解除权，自本公司知道有解除事由之日起，超过 30 日不行使而消灭。自本</w:t>
      </w:r>
    </w:p>
    <w:p>
      <w:pPr>
        <w:pStyle w:val="BodyText"/>
        <w:spacing w:line="309" w:lineRule="auto"/>
        <w:ind w:right="119"/>
      </w:pPr>
      <w:r>
        <w:rPr>
          <w:spacing w:val="-6"/>
        </w:rPr>
        <w:t>合同成立之日起超过 </w:t>
      </w:r>
      <w:r>
        <w:rPr/>
        <w:t>2</w:t>
      </w:r>
      <w:r>
        <w:rPr>
          <w:spacing w:val="-13"/>
        </w:rPr>
        <w:t> 年的，本公司不得解除合同；发生保险事故的，本公司承担给付保险</w:t>
      </w:r>
      <w:r>
        <w:rPr>
          <w:spacing w:val="-13"/>
          <w:w w:val="95"/>
        </w:rPr>
        <w:t>金的责任。</w:t>
      </w:r>
    </w:p>
    <w:p>
      <w:pPr>
        <w:pStyle w:val="Heading2"/>
        <w:numPr>
          <w:ilvl w:val="1"/>
          <w:numId w:val="21"/>
        </w:numPr>
        <w:tabs>
          <w:tab w:pos="552" w:val="left" w:leader="none"/>
        </w:tabs>
        <w:spacing w:line="321" w:lineRule="exact" w:before="0" w:after="0"/>
        <w:ind w:left="552" w:right="0" w:hanging="432"/>
        <w:jc w:val="left"/>
      </w:pPr>
      <w:bookmarkStart w:name="_TOC_250072" w:id="114"/>
      <w:bookmarkEnd w:id="114"/>
      <w:r>
        <w:rPr>
          <w:w w:val="95"/>
        </w:rPr>
        <w:t>被保险人年龄确定错误处理</w:t>
      </w:r>
    </w:p>
    <w:p>
      <w:pPr>
        <w:pStyle w:val="BodyText"/>
        <w:spacing w:line="309" w:lineRule="auto" w:before="56"/>
        <w:ind w:right="121"/>
      </w:pPr>
      <w:r>
        <w:rPr>
          <w:spacing w:val="-8"/>
          <w:w w:val="95"/>
        </w:rPr>
        <w:t>您在申请投保时，应将与有效身份证件相符的被保险人的真实年龄在投保单上填明，如果发   生错误将按照下列方式处理：</w:t>
      </w:r>
    </w:p>
    <w:p>
      <w:pPr>
        <w:pStyle w:val="BodyText"/>
        <w:spacing w:line="312" w:lineRule="auto" w:before="18"/>
        <w:ind w:right="117"/>
        <w:jc w:val="both"/>
      </w:pPr>
      <w:r>
        <w:rPr/>
        <w:t>（1）如果您申报的被保险人年龄不真实，并且其真实年龄不符合本合同约定投保年龄限制</w:t>
      </w:r>
      <w:r>
        <w:rPr>
          <w:spacing w:val="-9"/>
          <w:w w:val="95"/>
        </w:rPr>
        <w:t>的，本公司有权解除合同。对于解除本合同的，本合同自解除之日起终止，本公司向您退还   </w:t>
      </w:r>
      <w:r>
        <w:rPr>
          <w:spacing w:val="-12"/>
          <w:w w:val="95"/>
        </w:rPr>
        <w:t>本合同终止时的现金价值。对于本合同解除前发</w:t>
      </w:r>
      <w:r>
        <w:rPr>
          <w:w w:val="95"/>
        </w:rPr>
        <w:t>Th</w:t>
      </w:r>
      <w:r>
        <w:rPr>
          <w:spacing w:val="-7"/>
          <w:w w:val="95"/>
        </w:rPr>
        <w:t>的保险事故，本公司不承担给付保险金的   </w:t>
      </w:r>
      <w:r>
        <w:rPr>
          <w:spacing w:val="-7"/>
        </w:rPr>
        <w:t>责任。本公司行使合同解除权适用“11.2</w:t>
      </w:r>
      <w:r>
        <w:rPr>
          <w:spacing w:val="-8"/>
        </w:rPr>
        <w:t> 合同解除权的限制”的规定。</w:t>
      </w:r>
    </w:p>
    <w:p>
      <w:pPr>
        <w:pStyle w:val="BodyText"/>
        <w:spacing w:line="309" w:lineRule="auto" w:before="16"/>
        <w:ind w:right="117"/>
        <w:jc w:val="both"/>
      </w:pPr>
      <w:r>
        <w:rPr/>
        <w:t>（2）如果您申报的被保险人年龄不真实，致使您实交的保险费少于应交保险费的，本公司</w:t>
      </w:r>
      <w:r>
        <w:rPr>
          <w:spacing w:val="-4"/>
          <w:w w:val="95"/>
        </w:rPr>
        <w:t>有权更正并要求您补交保险费。如果已发</w:t>
      </w:r>
      <w:r>
        <w:rPr>
          <w:w w:val="95"/>
        </w:rPr>
        <w:t>Th</w:t>
      </w:r>
      <w:r>
        <w:rPr>
          <w:spacing w:val="-7"/>
          <w:w w:val="95"/>
        </w:rPr>
        <w:t>保险事故，本公司将按实交保险费和应交保险费   的比例给付保险金。</w:t>
      </w:r>
    </w:p>
    <w:p>
      <w:pPr>
        <w:pStyle w:val="BodyText"/>
        <w:spacing w:line="309" w:lineRule="auto" w:before="21"/>
        <w:ind w:right="129"/>
      </w:pPr>
      <w:r>
        <w:rPr/>
        <w:t>（3）如果您申报的被保险人年龄不真实，致使您实交的保险费多于应交保险费的，本公司</w:t>
      </w:r>
      <w:r>
        <w:rPr>
          <w:w w:val="95"/>
        </w:rPr>
        <w:t>将无息退还多收的保险费。</w:t>
      </w:r>
    </w:p>
    <w:p>
      <w:pPr>
        <w:pStyle w:val="Heading2"/>
        <w:numPr>
          <w:ilvl w:val="0"/>
          <w:numId w:val="21"/>
        </w:numPr>
        <w:tabs>
          <w:tab w:pos="545" w:val="left" w:leader="none"/>
        </w:tabs>
        <w:spacing w:line="318" w:lineRule="exact" w:before="0" w:after="0"/>
        <w:ind w:left="544" w:right="0" w:hanging="424"/>
        <w:jc w:val="left"/>
      </w:pPr>
      <w:bookmarkStart w:name="_TOC_250071" w:id="115"/>
      <w:bookmarkEnd w:id="115"/>
      <w:r>
        <w:rPr>
          <w:w w:val="95"/>
        </w:rPr>
        <w:t>争议处理</w:t>
      </w:r>
    </w:p>
    <w:p>
      <w:pPr>
        <w:pStyle w:val="BodyText"/>
        <w:spacing w:line="312" w:lineRule="auto" w:before="56"/>
        <w:ind w:right="117"/>
      </w:pPr>
      <w:r>
        <w:rPr>
          <w:spacing w:val="-7"/>
          <w:w w:val="95"/>
        </w:rPr>
        <w:t>在本合同履行过程中，双方发生争议的，应协商解决。不能协商解决的，可以达成仲裁协议   通过仲裁解决，也可直接向有管辖权的人民法院提起诉讼。</w:t>
      </w:r>
    </w:p>
    <w:p>
      <w:pPr>
        <w:pStyle w:val="Heading2"/>
        <w:numPr>
          <w:ilvl w:val="0"/>
          <w:numId w:val="21"/>
        </w:numPr>
        <w:tabs>
          <w:tab w:pos="545" w:val="left" w:leader="none"/>
        </w:tabs>
        <w:spacing w:line="311" w:lineRule="exact" w:before="0" w:after="0"/>
        <w:ind w:left="544" w:right="0" w:hanging="424"/>
        <w:jc w:val="left"/>
      </w:pPr>
      <w:bookmarkStart w:name="_TOC_250070" w:id="116"/>
      <w:bookmarkEnd w:id="116"/>
      <w:r>
        <w:rPr>
          <w:w w:val="95"/>
        </w:rPr>
        <w:t>释义</w:t>
      </w:r>
    </w:p>
    <w:p>
      <w:pPr>
        <w:pStyle w:val="Heading2"/>
        <w:numPr>
          <w:ilvl w:val="1"/>
          <w:numId w:val="21"/>
        </w:numPr>
        <w:tabs>
          <w:tab w:pos="552" w:val="left" w:leader="none"/>
        </w:tabs>
        <w:spacing w:line="360" w:lineRule="exact" w:before="0" w:after="0"/>
        <w:ind w:left="552" w:right="0" w:hanging="432"/>
        <w:jc w:val="left"/>
      </w:pPr>
      <w:bookmarkStart w:name="_TOC_250069" w:id="117"/>
      <w:bookmarkEnd w:id="117"/>
      <w:r>
        <w:rPr>
          <w:w w:val="95"/>
        </w:rPr>
        <w:t>周岁</w:t>
      </w:r>
    </w:p>
    <w:p>
      <w:pPr>
        <w:pStyle w:val="BodyText"/>
        <w:spacing w:line="309" w:lineRule="auto" w:before="55"/>
        <w:ind w:right="119"/>
      </w:pPr>
      <w:r>
        <w:rPr>
          <w:spacing w:val="-5"/>
        </w:rPr>
        <w:t>指以法定身份证明文件中记载的出生日期为基础, 按照公历的年、月、日，从周岁生日的第</w:t>
      </w:r>
      <w:r>
        <w:rPr>
          <w:spacing w:val="-5"/>
          <w:w w:val="95"/>
        </w:rPr>
        <w:t>二天起计算的年龄。</w:t>
      </w:r>
    </w:p>
    <w:p>
      <w:pPr>
        <w:pStyle w:val="Heading2"/>
        <w:numPr>
          <w:ilvl w:val="1"/>
          <w:numId w:val="21"/>
        </w:numPr>
        <w:tabs>
          <w:tab w:pos="552" w:val="left" w:leader="none"/>
        </w:tabs>
        <w:spacing w:line="318" w:lineRule="exact" w:before="0" w:after="0"/>
        <w:ind w:left="552" w:right="0" w:hanging="432"/>
        <w:jc w:val="left"/>
      </w:pPr>
      <w:bookmarkStart w:name="_TOC_250068" w:id="118"/>
      <w:bookmarkEnd w:id="118"/>
      <w:r>
        <w:rPr>
          <w:w w:val="95"/>
        </w:rPr>
        <w:t>保单年度</w:t>
      </w:r>
    </w:p>
    <w:p>
      <w:pPr>
        <w:pStyle w:val="BodyText"/>
        <w:spacing w:line="309" w:lineRule="auto" w:before="59"/>
        <w:ind w:right="235"/>
      </w:pPr>
      <w:r>
        <w:rPr/>
        <w:t>从保险合同生效日或者年生效对应日零时起至下一年度保险合同生效对应日零时止为一个</w:t>
      </w:r>
      <w:r>
        <w:rPr>
          <w:w w:val="95"/>
        </w:rPr>
        <w:t>保单年度。如果当月无对应的同一日，则以该月最后一日为对应日。</w:t>
      </w:r>
    </w:p>
    <w:p>
      <w:pPr>
        <w:pStyle w:val="Heading2"/>
        <w:numPr>
          <w:ilvl w:val="1"/>
          <w:numId w:val="21"/>
        </w:numPr>
        <w:tabs>
          <w:tab w:pos="552" w:val="left" w:leader="none"/>
        </w:tabs>
        <w:spacing w:line="318" w:lineRule="exact" w:before="0" w:after="0"/>
        <w:ind w:left="552" w:right="0" w:hanging="432"/>
        <w:jc w:val="left"/>
      </w:pPr>
      <w:bookmarkStart w:name="_TOC_250067" w:id="119"/>
      <w:bookmarkEnd w:id="119"/>
      <w:r>
        <w:rPr>
          <w:w w:val="95"/>
        </w:rPr>
        <w:t>保险费约定支付日</w:t>
      </w:r>
    </w:p>
    <w:p>
      <w:pPr>
        <w:pStyle w:val="BodyText"/>
        <w:spacing w:line="309" w:lineRule="auto" w:before="57"/>
        <w:ind w:right="117"/>
      </w:pPr>
      <w:r>
        <w:rPr>
          <w:spacing w:val="-5"/>
          <w:w w:val="95"/>
        </w:rPr>
        <w:t>保险合同生效日在每月、每季、每半年或者每年</w:t>
      </w:r>
      <w:r>
        <w:rPr>
          <w:w w:val="95"/>
        </w:rPr>
        <w:t>（根据交费方式确定</w:t>
      </w:r>
      <w:r>
        <w:rPr>
          <w:spacing w:val="-17"/>
          <w:w w:val="95"/>
        </w:rPr>
        <w:t>）</w:t>
      </w:r>
      <w:r>
        <w:rPr>
          <w:spacing w:val="-4"/>
          <w:w w:val="95"/>
        </w:rPr>
        <w:t>的对应日。如果当月   无对应的同一日，则以该月最后一日为对应日。</w:t>
      </w:r>
    </w:p>
    <w:p>
      <w:pPr>
        <w:spacing w:after="0" w:line="309" w:lineRule="auto"/>
        <w:sectPr>
          <w:pgSz w:w="11910" w:h="16840"/>
          <w:pgMar w:header="0" w:footer="1047" w:top="1420" w:bottom="1240" w:left="1680" w:right="1680"/>
        </w:sectPr>
      </w:pPr>
    </w:p>
    <w:p>
      <w:pPr>
        <w:pStyle w:val="Heading2"/>
        <w:numPr>
          <w:ilvl w:val="1"/>
          <w:numId w:val="21"/>
        </w:numPr>
        <w:tabs>
          <w:tab w:pos="552" w:val="left" w:leader="none"/>
        </w:tabs>
        <w:spacing w:line="307" w:lineRule="exact" w:before="0" w:after="0"/>
        <w:ind w:left="552" w:right="0" w:hanging="432"/>
        <w:jc w:val="left"/>
      </w:pPr>
      <w:bookmarkStart w:name="_TOC_250066" w:id="120"/>
      <w:bookmarkStart w:name="初次发生" w:id="121"/>
      <w:r>
        <w:rPr>
          <w:b w:val="0"/>
        </w:rPr>
      </w:r>
      <w:bookmarkStart w:name="医院" w:id="122"/>
      <w:bookmarkEnd w:id="122"/>
      <w:r>
        <w:rPr>
          <w:b w:val="0"/>
        </w:rPr>
      </w:r>
      <w:bookmarkStart w:name="45种重大疾病" w:id="123"/>
      <w:bookmarkEnd w:id="123"/>
      <w:r>
        <w:rPr>
          <w:b w:val="0"/>
        </w:rPr>
      </w:r>
      <w:bookmarkStart w:name="恶性肿瘤" w:id="124"/>
      <w:bookmarkEnd w:id="124"/>
      <w:r>
        <w:rPr>
          <w:b w:val="0"/>
        </w:rPr>
      </w:r>
      <w:bookmarkStart w:name="急性心肌梗塞" w:id="125"/>
      <w:bookmarkEnd w:id="125"/>
      <w:r>
        <w:rPr>
          <w:b w:val="0"/>
        </w:rPr>
      </w:r>
      <w:bookmarkStart w:name="脑中风后遗症" w:id="126"/>
      <w:bookmarkEnd w:id="126"/>
      <w:r>
        <w:rPr>
          <w:b w:val="0"/>
        </w:rPr>
      </w:r>
      <w:bookmarkStart w:name="重大器官移植术或造血干细胞移植术" w:id="127"/>
      <w:bookmarkEnd w:id="127"/>
      <w:r>
        <w:rPr>
          <w:b w:val="0"/>
        </w:rPr>
      </w:r>
      <w:bookmarkStart w:name="重大器官移植术或造血干细胞移植术" w:id="128"/>
      <w:bookmarkEnd w:id="120"/>
      <w:r>
        <w:rPr>
          <w:w w:val="95"/>
        </w:rPr>
        <w:t>初次发生</w:t>
      </w:r>
    </w:p>
    <w:p>
      <w:pPr>
        <w:pStyle w:val="BodyText"/>
        <w:spacing w:line="312" w:lineRule="auto" w:before="56"/>
        <w:ind w:right="197"/>
        <w:jc w:val="both"/>
      </w:pPr>
      <w:r>
        <w:rPr>
          <w:spacing w:val="-4"/>
        </w:rPr>
        <w:t>指被保险人初次出现与约定重大疾病相关的症状或体征，而该症状或体征已足以引起一般人</w:t>
      </w:r>
      <w:r>
        <w:rPr>
          <w:spacing w:val="-11"/>
          <w:w w:val="95"/>
        </w:rPr>
        <w:t>士注意并去医院寻求医疗检查，且被诊断为约定的重大疾病或者在其后发展为约定的重大疾   病。</w:t>
      </w:r>
    </w:p>
    <w:p>
      <w:pPr>
        <w:pStyle w:val="Heading2"/>
        <w:numPr>
          <w:ilvl w:val="1"/>
          <w:numId w:val="21"/>
        </w:numPr>
        <w:tabs>
          <w:tab w:pos="552" w:val="left" w:leader="none"/>
        </w:tabs>
        <w:spacing w:line="316" w:lineRule="exact" w:before="0" w:after="0"/>
        <w:ind w:left="552" w:right="0" w:hanging="432"/>
        <w:jc w:val="both"/>
      </w:pPr>
      <w:bookmarkStart w:name="_TOC_250065" w:id="129"/>
      <w:bookmarkEnd w:id="129"/>
      <w:r>
        <w:rPr>
          <w:w w:val="95"/>
        </w:rPr>
        <w:t>医院</w:t>
      </w:r>
    </w:p>
    <w:p>
      <w:pPr>
        <w:pStyle w:val="BodyText"/>
        <w:spacing w:before="57"/>
        <w:jc w:val="both"/>
      </w:pPr>
      <w:r>
        <w:rPr>
          <w:w w:val="95"/>
        </w:rPr>
        <w:t>指国家卫生机构认可的公立二级甲等（含）以上的医院。</w:t>
      </w:r>
    </w:p>
    <w:p>
      <w:pPr>
        <w:pStyle w:val="Heading2"/>
        <w:spacing w:line="360" w:lineRule="exact" w:before="13"/>
        <w:ind w:left="120" w:firstLine="0"/>
        <w:jc w:val="both"/>
      </w:pPr>
      <w:bookmarkStart w:name="_TOC_250064" w:id="130"/>
      <w:r>
        <w:rPr>
          <w:spacing w:val="2"/>
          <w:w w:val="83"/>
        </w:rPr>
        <w:t>1</w:t>
      </w:r>
      <w:r>
        <w:rPr>
          <w:spacing w:val="0"/>
          <w:w w:val="83"/>
        </w:rPr>
        <w:t>3</w:t>
      </w:r>
      <w:r>
        <w:rPr>
          <w:spacing w:val="0"/>
          <w:w w:val="195"/>
        </w:rPr>
        <w:t>.</w:t>
      </w:r>
      <w:r>
        <w:rPr>
          <w:spacing w:val="7"/>
          <w:w w:val="83"/>
        </w:rPr>
        <w:t>6</w:t>
      </w:r>
      <w:r>
        <w:rPr>
          <w:spacing w:val="2"/>
          <w:w w:val="83"/>
        </w:rPr>
        <w:t>4</w:t>
      </w:r>
      <w:r>
        <w:rPr>
          <w:w w:val="83"/>
        </w:rPr>
        <w:t>5</w:t>
      </w:r>
      <w:r>
        <w:rPr>
          <w:spacing w:val="-1"/>
        </w:rPr>
        <w:t> </w:t>
      </w:r>
      <w:bookmarkEnd w:id="130"/>
      <w:r>
        <w:rPr>
          <w:w w:val="99"/>
        </w:rPr>
        <w:t>种重大疾病</w:t>
      </w:r>
    </w:p>
    <w:p>
      <w:pPr>
        <w:pStyle w:val="BodyText"/>
        <w:spacing w:line="360" w:lineRule="exact" w:before="0"/>
        <w:jc w:val="both"/>
      </w:pPr>
      <w:r>
        <w:rPr>
          <w:w w:val="95"/>
        </w:rPr>
        <w:t>本合同所保障的重大疾病，是指被保险人在本合同的责任有效期间内经</w:t>
      </w:r>
      <w:r>
        <w:rPr>
          <w:rFonts w:ascii="Microsoft JhengHei" w:eastAsia="Microsoft JhengHei" w:hint="eastAsia"/>
          <w:b/>
          <w:w w:val="95"/>
        </w:rPr>
        <w:t>专科医生</w:t>
      </w:r>
      <w:r>
        <w:rPr>
          <w:w w:val="95"/>
        </w:rPr>
        <w:t>（见释义</w:t>
      </w:r>
    </w:p>
    <w:p>
      <w:pPr>
        <w:pStyle w:val="BodyText"/>
        <w:spacing w:line="312" w:lineRule="auto" w:before="57"/>
        <w:ind w:right="209"/>
      </w:pPr>
      <w:r>
        <w:rPr/>
        <w:t>13.22）明确诊断初次患下列疾病或初次达到下列疾病状态或在医院初次接受下列手术，其中第1 至25 种重大疾病为中国保险行业协会颁布的《重大疾病保险的疾病定义使用规范</w:t>
      </w:r>
      <w:r>
        <w:rPr>
          <w:w w:val="90"/>
        </w:rPr>
        <w:t>》</w:t>
      </w:r>
    </w:p>
    <w:p>
      <w:pPr>
        <w:pStyle w:val="BodyText"/>
        <w:spacing w:line="309" w:lineRule="auto" w:before="17"/>
        <w:ind w:right="140"/>
      </w:pPr>
      <w:r>
        <w:rPr>
          <w:w w:val="99"/>
        </w:rPr>
        <w:t>（以下简称“规范”）规定的疾病，且疾病名称和疾病定义与“规范”一致，第26至45种重</w:t>
      </w:r>
      <w:r>
        <w:rPr>
          <w:w w:val="95"/>
        </w:rPr>
        <w:t>大疾病为“规范”规定范围之外的疾病。重大疾病的名称及定义如下：</w:t>
      </w:r>
    </w:p>
    <w:p>
      <w:pPr>
        <w:pStyle w:val="Heading2"/>
        <w:numPr>
          <w:ilvl w:val="2"/>
          <w:numId w:val="22"/>
        </w:numPr>
        <w:tabs>
          <w:tab w:pos="840" w:val="left" w:leader="none"/>
        </w:tabs>
        <w:spacing w:line="318" w:lineRule="exact" w:before="0" w:after="0"/>
        <w:ind w:left="840" w:right="0" w:hanging="720"/>
        <w:jc w:val="left"/>
      </w:pPr>
      <w:bookmarkStart w:name="_TOC_250063" w:id="131"/>
      <w:bookmarkEnd w:id="131"/>
      <w:r>
        <w:rPr>
          <w:w w:val="95"/>
        </w:rPr>
        <w:t>恶性肿瘤</w:t>
      </w:r>
    </w:p>
    <w:p>
      <w:pPr>
        <w:pStyle w:val="BodyText"/>
        <w:spacing w:line="312" w:lineRule="auto" w:before="57"/>
        <w:ind w:right="197"/>
        <w:jc w:val="both"/>
      </w:pPr>
      <w:r>
        <w:rPr>
          <w:spacing w:val="-4"/>
          <w:w w:val="95"/>
        </w:rPr>
        <w:t>指恶性细胞不受控制的进行性增长和扩散，浸润和破坏周围正常组织，可以经血管、淋巴管   </w:t>
      </w:r>
      <w:r>
        <w:rPr>
          <w:spacing w:val="-9"/>
        </w:rPr>
        <w:t>和体腔扩散转移到身体其它部位的疾病。经病理学检查结果明确诊断，临床诊断属于世界卫</w:t>
      </w:r>
      <w:r>
        <w:rPr>
          <w:spacing w:val="-14"/>
          <w:w w:val="95"/>
        </w:rPr>
        <w:t>生组织《疾病和有关健康问题的国际统计分类》</w:t>
      </w:r>
      <w:r>
        <w:rPr>
          <w:w w:val="95"/>
        </w:rPr>
        <w:t>（ICD-10）的恶性肿瘤范畴。</w:t>
      </w:r>
    </w:p>
    <w:p>
      <w:pPr>
        <w:pStyle w:val="BodyText"/>
        <w:spacing w:before="17"/>
        <w:jc w:val="both"/>
      </w:pPr>
      <w:r>
        <w:rPr>
          <w:w w:val="95"/>
        </w:rPr>
        <w:t>下列疾病不在本合同保障范围内：</w:t>
      </w:r>
    </w:p>
    <w:p>
      <w:pPr>
        <w:pStyle w:val="BodyText"/>
        <w:jc w:val="both"/>
      </w:pPr>
      <w:r>
        <w:rPr>
          <w:w w:val="95"/>
        </w:rPr>
        <w:t>（1）原位癌；</w:t>
      </w:r>
    </w:p>
    <w:p>
      <w:pPr>
        <w:pStyle w:val="BodyText"/>
        <w:jc w:val="both"/>
      </w:pPr>
      <w:r>
        <w:rPr/>
        <w:t>（2）相当于 Binet 分期方案 A 期程度的慢性淋巴细胞白血病；</w:t>
      </w:r>
    </w:p>
    <w:p>
      <w:pPr>
        <w:pStyle w:val="BodyText"/>
        <w:jc w:val="both"/>
      </w:pPr>
      <w:r>
        <w:rPr/>
        <w:t>（3）相当于 Ann Arbor 分期方案 I 期程度的何杰金氏病；</w:t>
      </w:r>
    </w:p>
    <w:p>
      <w:pPr>
        <w:pStyle w:val="BodyText"/>
        <w:spacing w:before="83"/>
        <w:jc w:val="both"/>
      </w:pPr>
      <w:r>
        <w:rPr>
          <w:w w:val="99"/>
        </w:rPr>
        <w:t>（</w:t>
      </w:r>
      <w:r>
        <w:rPr>
          <w:spacing w:val="0"/>
          <w:w w:val="99"/>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pStyle w:val="BodyText"/>
        <w:spacing w:before="6"/>
        <w:ind w:left="0"/>
        <w:rPr>
          <w:sz w:val="15"/>
        </w:rPr>
      </w:pPr>
    </w:p>
    <w:p>
      <w:pPr>
        <w:spacing w:before="0"/>
        <w:ind w:left="120" w:right="0" w:firstLine="0"/>
        <w:jc w:val="both"/>
        <w:rPr>
          <w:sz w:val="21"/>
        </w:rPr>
      </w:pPr>
      <w:r>
        <w:rPr>
          <w:w w:val="99"/>
          <w:sz w:val="21"/>
        </w:rPr>
        <w:t>（</w:t>
      </w:r>
      <w:r>
        <w:rPr>
          <w:spacing w:val="0"/>
          <w:w w:val="99"/>
          <w:sz w:val="21"/>
        </w:rPr>
        <w:t>5</w:t>
      </w:r>
      <w:r>
        <w:rPr>
          <w:spacing w:val="11"/>
          <w:w w:val="99"/>
          <w:sz w:val="21"/>
        </w:rPr>
        <w:t>）</w:t>
      </w:r>
      <w:r>
        <w:rPr>
          <w:rFonts w:ascii="Times New Roman" w:eastAsia="Times New Roman"/>
          <w:i/>
          <w:spacing w:val="-56"/>
          <w:sz w:val="24"/>
        </w:rPr>
        <w:t>TN</w:t>
      </w:r>
      <w:r>
        <w:rPr>
          <w:rFonts w:ascii="Times New Roman" w:eastAsia="Times New Roman"/>
          <w:i/>
          <w:sz w:val="24"/>
        </w:rPr>
        <w:t>M</w:t>
      </w:r>
      <w:r>
        <w:rPr>
          <w:rFonts w:ascii="Times New Roman" w:eastAsia="Times New Roman"/>
          <w:i/>
          <w:spacing w:val="-23"/>
          <w:sz w:val="24"/>
        </w:rPr>
        <w:t> </w:t>
      </w:r>
      <w:r>
        <w:rPr>
          <w:spacing w:val="2"/>
          <w:w w:val="99"/>
          <w:sz w:val="21"/>
        </w:rPr>
        <w:t>分期为</w:t>
      </w:r>
      <w:r>
        <w:rPr>
          <w:rFonts w:ascii="Times New Roman" w:eastAsia="Times New Roman"/>
          <w:i/>
          <w:spacing w:val="-69"/>
          <w:sz w:val="24"/>
        </w:rPr>
        <w:t>T</w:t>
      </w:r>
      <w:r>
        <w:rPr>
          <w:rFonts w:ascii="Times New Roman" w:eastAsia="Times New Roman"/>
          <w:spacing w:val="5"/>
          <w:w w:val="99"/>
          <w:position w:val="-5"/>
          <w:sz w:val="14"/>
        </w:rPr>
        <w:t>1</w:t>
      </w:r>
      <w:r>
        <w:rPr>
          <w:rFonts w:ascii="Times New Roman" w:eastAsia="Times New Roman"/>
          <w:i/>
          <w:spacing w:val="-28"/>
          <w:sz w:val="24"/>
        </w:rPr>
        <w:t>N</w:t>
      </w:r>
      <w:r>
        <w:rPr>
          <w:rFonts w:ascii="Times New Roman" w:eastAsia="Times New Roman"/>
          <w:spacing w:val="7"/>
          <w:w w:val="99"/>
          <w:position w:val="-5"/>
          <w:sz w:val="14"/>
        </w:rPr>
        <w:t>0</w:t>
      </w:r>
      <w:r>
        <w:rPr>
          <w:rFonts w:ascii="Times New Roman" w:eastAsia="Times New Roman"/>
          <w:i/>
          <w:spacing w:val="-15"/>
          <w:sz w:val="24"/>
        </w:rPr>
        <w:t>M</w:t>
      </w:r>
      <w:r>
        <w:rPr>
          <w:rFonts w:ascii="Times New Roman" w:eastAsia="Times New Roman"/>
          <w:w w:val="99"/>
          <w:position w:val="-5"/>
          <w:sz w:val="14"/>
        </w:rPr>
        <w:t>0</w:t>
      </w:r>
      <w:r>
        <w:rPr>
          <w:rFonts w:ascii="Times New Roman" w:eastAsia="Times New Roman"/>
          <w:spacing w:val="-2"/>
          <w:position w:val="-5"/>
          <w:sz w:val="14"/>
        </w:rPr>
        <w:t> </w:t>
      </w:r>
      <w:r>
        <w:rPr>
          <w:w w:val="99"/>
          <w:sz w:val="21"/>
        </w:rPr>
        <w:t>期或更轻分期的前列腺癌（</w:t>
      </w:r>
      <w:r>
        <w:rPr>
          <w:spacing w:val="-1"/>
          <w:w w:val="99"/>
          <w:sz w:val="21"/>
        </w:rPr>
        <w:t>注</w:t>
      </w:r>
      <w:r>
        <w:rPr>
          <w:spacing w:val="-104"/>
          <w:w w:val="99"/>
          <w:sz w:val="21"/>
        </w:rPr>
        <w:t>）</w:t>
      </w:r>
      <w:r>
        <w:rPr>
          <w:w w:val="99"/>
          <w:sz w:val="21"/>
        </w:rPr>
        <w:t>；</w:t>
      </w:r>
    </w:p>
    <w:p>
      <w:pPr>
        <w:pStyle w:val="BodyText"/>
        <w:spacing w:before="165"/>
        <w:jc w:val="both"/>
      </w:pPr>
      <w:r>
        <w:rPr>
          <w:w w:val="95"/>
        </w:rPr>
        <w:t>（6）感染艾滋病病毒或患艾滋病期间所患恶性肿瘤。</w:t>
      </w:r>
    </w:p>
    <w:p>
      <w:pPr>
        <w:pStyle w:val="Heading2"/>
        <w:numPr>
          <w:ilvl w:val="2"/>
          <w:numId w:val="22"/>
        </w:numPr>
        <w:tabs>
          <w:tab w:pos="840" w:val="left" w:leader="none"/>
        </w:tabs>
        <w:spacing w:line="240" w:lineRule="auto" w:before="13" w:after="0"/>
        <w:ind w:left="840" w:right="0" w:hanging="720"/>
        <w:jc w:val="both"/>
      </w:pPr>
      <w:bookmarkStart w:name="_TOC_250062" w:id="132"/>
      <w:bookmarkEnd w:id="132"/>
      <w:r>
        <w:rPr>
          <w:w w:val="95"/>
        </w:rPr>
        <w:t>急性心肌梗塞</w:t>
      </w:r>
    </w:p>
    <w:p>
      <w:pPr>
        <w:pStyle w:val="BodyText"/>
        <w:spacing w:before="56"/>
        <w:jc w:val="both"/>
      </w:pPr>
      <w:r>
        <w:rPr>
          <w:w w:val="95"/>
        </w:rPr>
        <w:t>指因冠状动脉阻塞导致的相应区域供血不足造成部分心肌坏死。须满足下列至少三项条件：</w:t>
      </w:r>
    </w:p>
    <w:p>
      <w:pPr>
        <w:pStyle w:val="BodyText"/>
        <w:spacing w:before="82"/>
        <w:jc w:val="both"/>
      </w:pPr>
      <w:r>
        <w:rPr>
          <w:w w:val="95"/>
        </w:rPr>
        <w:t>（1）典型临床表现，例如急性胸痛等；</w:t>
      </w:r>
    </w:p>
    <w:p>
      <w:pPr>
        <w:pStyle w:val="BodyText"/>
        <w:jc w:val="both"/>
      </w:pPr>
      <w:r>
        <w:rPr>
          <w:w w:val="95"/>
        </w:rPr>
        <w:t>（2）新近的心电图改变提示急性心肌梗塞；</w:t>
      </w:r>
    </w:p>
    <w:p>
      <w:pPr>
        <w:pStyle w:val="BodyText"/>
        <w:jc w:val="both"/>
      </w:pPr>
      <w:r>
        <w:rPr>
          <w:w w:val="95"/>
        </w:rPr>
        <w:t>（3）心肌酶或肌钙蛋白有诊断意义的升高，或呈符合急性心肌梗塞的动态性变化；</w:t>
      </w:r>
    </w:p>
    <w:p>
      <w:pPr>
        <w:pStyle w:val="BodyText"/>
        <w:jc w:val="both"/>
      </w:pPr>
      <w:r>
        <w:rPr/>
        <w:t>（4）发病 90 天后，经检查证实左心室功能降低，如左心室射血分数低于 50%。</w:t>
      </w:r>
    </w:p>
    <w:p>
      <w:pPr>
        <w:pStyle w:val="Heading2"/>
        <w:numPr>
          <w:ilvl w:val="2"/>
          <w:numId w:val="22"/>
        </w:numPr>
        <w:tabs>
          <w:tab w:pos="840" w:val="left" w:leader="none"/>
        </w:tabs>
        <w:spacing w:line="240" w:lineRule="auto" w:before="16" w:after="0"/>
        <w:ind w:left="840" w:right="0" w:hanging="720"/>
        <w:jc w:val="both"/>
      </w:pPr>
      <w:bookmarkStart w:name="_TOC_250061" w:id="133"/>
      <w:bookmarkEnd w:id="133"/>
      <w:r>
        <w:rPr>
          <w:w w:val="95"/>
        </w:rPr>
        <w:t>脑中风后遗症</w:t>
      </w:r>
    </w:p>
    <w:p>
      <w:pPr>
        <w:pStyle w:val="BodyText"/>
        <w:spacing w:line="309" w:lineRule="auto" w:before="56"/>
        <w:ind w:right="197"/>
      </w:pPr>
      <w:r>
        <w:rPr>
          <w:w w:val="95"/>
        </w:rPr>
        <w:t>指因脑血管的突发病变引起脑血管出血、栓塞或梗塞，并导致神经系统永久性的功能障碍</w:t>
      </w:r>
      <w:r>
        <w:rPr>
          <w:w w:val="90"/>
        </w:rPr>
        <w:t>。  </w:t>
      </w:r>
      <w:r>
        <w:rPr>
          <w:spacing w:val="-3"/>
        </w:rPr>
        <w:t>神经系统永久性的功能障碍，指疾病确诊 </w:t>
      </w:r>
      <w:r>
        <w:rPr/>
        <w:t>180</w:t>
      </w:r>
      <w:r>
        <w:rPr>
          <w:spacing w:val="-8"/>
        </w:rPr>
        <w:t> 天后，仍遗留下列一种或一种以上障碍：</w:t>
      </w:r>
    </w:p>
    <w:p>
      <w:pPr>
        <w:pStyle w:val="BodyText"/>
        <w:spacing w:before="19"/>
      </w:pPr>
      <w:r>
        <w:rPr>
          <w:w w:val="99"/>
        </w:rPr>
        <w:t>（</w:t>
      </w:r>
      <w:r>
        <w:rPr>
          <w:spacing w:val="0"/>
          <w:w w:val="99"/>
        </w:rPr>
        <w:t>1</w:t>
      </w:r>
      <w:r>
        <w:rPr>
          <w:spacing w:val="1"/>
          <w:w w:val="99"/>
        </w:rPr>
        <w:t>）</w:t>
      </w:r>
      <w:r>
        <w:rPr>
          <w:spacing w:val="-17"/>
          <w:w w:val="99"/>
        </w:rPr>
        <w:t>一肢或一肢以上肢体机能完全丧失</w:t>
      </w:r>
      <w:r>
        <w:rPr>
          <w:spacing w:val="1"/>
          <w:w w:val="99"/>
        </w:rPr>
        <w:t>（</w:t>
      </w:r>
      <w:r>
        <w:rPr>
          <w:w w:val="99"/>
        </w:rPr>
        <w:t>见释义</w:t>
      </w:r>
      <w:r>
        <w:rPr>
          <w:spacing w:val="-53"/>
        </w:rPr>
        <w:t> </w:t>
      </w:r>
      <w:r>
        <w:rPr>
          <w:spacing w:val="0"/>
          <w:w w:val="99"/>
        </w:rPr>
        <w:t>13.</w:t>
      </w:r>
      <w:r>
        <w:rPr>
          <w:spacing w:val="-2"/>
          <w:w w:val="99"/>
        </w:rPr>
        <w:t>2</w:t>
      </w:r>
      <w:r>
        <w:rPr>
          <w:spacing w:val="0"/>
          <w:w w:val="99"/>
        </w:rPr>
        <w:t>3</w:t>
      </w:r>
      <w:r>
        <w:rPr>
          <w:spacing w:val="-106"/>
          <w:w w:val="99"/>
        </w:rPr>
        <w:t>）</w:t>
      </w:r>
      <w:r>
        <w:rPr>
          <w:w w:val="99"/>
        </w:rPr>
        <w:t>；</w:t>
      </w:r>
    </w:p>
    <w:p>
      <w:pPr>
        <w:pStyle w:val="BodyText"/>
      </w:pPr>
      <w:r>
        <w:rPr>
          <w:w w:val="99"/>
        </w:rPr>
        <w:t>（</w:t>
      </w:r>
      <w:r>
        <w:rPr>
          <w:spacing w:val="0"/>
          <w:w w:val="99"/>
        </w:rPr>
        <w:t>2</w:t>
      </w:r>
      <w:r>
        <w:rPr>
          <w:spacing w:val="-4"/>
          <w:w w:val="99"/>
        </w:rPr>
        <w:t>）</w:t>
      </w:r>
      <w:r>
        <w:rPr>
          <w:spacing w:val="-25"/>
          <w:w w:val="99"/>
        </w:rPr>
        <w:t>语言能力或咀嚼吞咽能力完全丧失</w:t>
      </w:r>
      <w:r>
        <w:rPr>
          <w:spacing w:val="1"/>
          <w:w w:val="99"/>
        </w:rPr>
        <w:t>（</w:t>
      </w:r>
      <w:r>
        <w:rPr>
          <w:w w:val="99"/>
        </w:rPr>
        <w:t>见释义</w:t>
      </w:r>
      <w:r>
        <w:rPr>
          <w:spacing w:val="-53"/>
        </w:rPr>
        <w:t> </w:t>
      </w:r>
      <w:r>
        <w:rPr>
          <w:spacing w:val="0"/>
          <w:w w:val="99"/>
        </w:rPr>
        <w:t>13.</w:t>
      </w:r>
      <w:r>
        <w:rPr>
          <w:spacing w:val="-2"/>
          <w:w w:val="99"/>
        </w:rPr>
        <w:t>2</w:t>
      </w:r>
      <w:r>
        <w:rPr>
          <w:spacing w:val="0"/>
          <w:w w:val="99"/>
        </w:rPr>
        <w:t>4</w:t>
      </w:r>
      <w:r>
        <w:rPr>
          <w:spacing w:val="-106"/>
          <w:w w:val="99"/>
        </w:rPr>
        <w:t>）</w:t>
      </w:r>
      <w:r>
        <w:rPr>
          <w:w w:val="99"/>
        </w:rPr>
        <w:t>；</w:t>
      </w:r>
    </w:p>
    <w:p>
      <w:pPr>
        <w:pStyle w:val="BodyText"/>
        <w:spacing w:line="312" w:lineRule="auto"/>
        <w:ind w:right="202"/>
      </w:pPr>
      <w:r>
        <w:rPr/>
        <w:t>（3）</w:t>
      </w:r>
      <w:r>
        <w:rPr>
          <w:spacing w:val="-17"/>
        </w:rPr>
        <w:t>自主生活能力完全丧失，无法独立完成六项基本日常生活</w:t>
      </w:r>
      <w:r>
        <w:rPr/>
        <w:t>（</w:t>
      </w:r>
      <w:r>
        <w:rPr>
          <w:spacing w:val="5"/>
        </w:rPr>
        <w:t>见释义  </w:t>
      </w:r>
      <w:r>
        <w:rPr/>
        <w:t>13.25）活动中的</w:t>
      </w:r>
      <w:r>
        <w:rPr>
          <w:w w:val="95"/>
        </w:rPr>
        <w:t>三项或三项以上。</w:t>
      </w:r>
    </w:p>
    <w:p>
      <w:pPr>
        <w:pStyle w:val="Heading2"/>
        <w:numPr>
          <w:ilvl w:val="2"/>
          <w:numId w:val="22"/>
        </w:numPr>
        <w:tabs>
          <w:tab w:pos="840" w:val="left" w:leader="none"/>
        </w:tabs>
        <w:spacing w:line="316" w:lineRule="exact" w:before="0" w:after="0"/>
        <w:ind w:left="840" w:right="0" w:hanging="720"/>
        <w:jc w:val="both"/>
      </w:pPr>
      <w:bookmarkStart w:name="_TOC_250060" w:id="134"/>
      <w:bookmarkEnd w:id="134"/>
      <w:r>
        <w:rPr>
          <w:w w:val="95"/>
        </w:rPr>
        <w:t>重大器官移植术或造血干细胞移植术</w:t>
      </w:r>
    </w:p>
    <w:p>
      <w:pPr>
        <w:pStyle w:val="BodyText"/>
        <w:spacing w:before="56"/>
        <w:jc w:val="both"/>
      </w:pPr>
      <w:r>
        <w:rPr>
          <w:w w:val="95"/>
        </w:rPr>
        <w:t>重大器官移植术，指因相应器官功能衰竭，已经实施了肾脏、肝脏、心脏或肺脏的异体移植</w:t>
      </w:r>
    </w:p>
    <w:p>
      <w:pPr>
        <w:spacing w:after="0"/>
        <w:jc w:val="both"/>
        <w:sectPr>
          <w:pgSz w:w="11910" w:h="16840"/>
          <w:pgMar w:header="0" w:footer="1047" w:top="1420" w:bottom="1240" w:left="1680" w:right="1600"/>
        </w:sectPr>
      </w:pPr>
    </w:p>
    <w:p>
      <w:pPr>
        <w:pStyle w:val="BodyText"/>
        <w:spacing w:before="8"/>
      </w:pPr>
      <w:bookmarkStart w:name="冠状动脉搭桥术（或称冠状动脉旁路移植术）" w:id="135"/>
      <w:bookmarkEnd w:id="135"/>
      <w:r>
        <w:rPr/>
      </w:r>
      <w:bookmarkStart w:name="终末期肾病（或称慢性肾功能衰竭尿毒症期）" w:id="136"/>
      <w:bookmarkEnd w:id="136"/>
      <w:r>
        <w:rPr/>
      </w:r>
      <w:bookmarkStart w:name="多个肢体缺失" w:id="137"/>
      <w:bookmarkEnd w:id="137"/>
      <w:r>
        <w:rPr/>
      </w:r>
      <w:bookmarkStart w:name="急性或亚急性重症肝炎" w:id="138"/>
      <w:bookmarkEnd w:id="138"/>
      <w:r>
        <w:rPr/>
      </w:r>
      <w:bookmarkStart w:name="良性脑肿瘤" w:id="139"/>
      <w:bookmarkEnd w:id="139"/>
      <w:r>
        <w:rPr/>
      </w:r>
      <w:bookmarkStart w:name="慢性肝功能衰竭失代偿期" w:id="140"/>
      <w:bookmarkEnd w:id="140"/>
      <w:r>
        <w:rPr/>
      </w:r>
      <w:bookmarkStart w:name="脑炎后遗症或脑膜炎后遗症" w:id="141"/>
      <w:bookmarkEnd w:id="141"/>
      <w:r>
        <w:rPr/>
      </w:r>
      <w:r>
        <w:rPr>
          <w:w w:val="95"/>
        </w:rPr>
        <w:t>手术。</w:t>
      </w:r>
    </w:p>
    <w:p>
      <w:pPr>
        <w:pStyle w:val="BodyText"/>
        <w:spacing w:line="309" w:lineRule="auto" w:before="79"/>
        <w:ind w:right="117"/>
      </w:pPr>
      <w:r>
        <w:rPr>
          <w:spacing w:val="-7"/>
        </w:rPr>
        <w:t>造血干细胞移植术，指因造血功能损害或造血系统恶性肿瘤，已经实施了造血干细胞</w:t>
      </w:r>
      <w:r>
        <w:rPr/>
        <w:t>（包括</w:t>
      </w:r>
      <w:r>
        <w:rPr>
          <w:w w:val="95"/>
        </w:rPr>
        <w:t>骨髓造血干细胞、外周血造血干细胞和脐血造血干细胞）的异体移植手术。</w:t>
      </w:r>
    </w:p>
    <w:p>
      <w:pPr>
        <w:pStyle w:val="Heading2"/>
        <w:numPr>
          <w:ilvl w:val="2"/>
          <w:numId w:val="22"/>
        </w:numPr>
        <w:tabs>
          <w:tab w:pos="840" w:val="left" w:leader="none"/>
        </w:tabs>
        <w:spacing w:line="321" w:lineRule="exact" w:before="0" w:after="0"/>
        <w:ind w:left="840" w:right="0" w:hanging="720"/>
        <w:jc w:val="left"/>
      </w:pPr>
      <w:bookmarkStart w:name="_TOC_250059" w:id="142"/>
      <w:bookmarkEnd w:id="142"/>
      <w:r>
        <w:rPr>
          <w:w w:val="95"/>
        </w:rPr>
        <w:t>冠状动脉搭桥术（或称冠状动脉旁路移植术）</w:t>
      </w:r>
    </w:p>
    <w:p>
      <w:pPr>
        <w:pStyle w:val="BodyText"/>
        <w:spacing w:before="57"/>
      </w:pPr>
      <w:r>
        <w:rPr>
          <w:w w:val="95"/>
        </w:rPr>
        <w:t>指为治疗严重的冠心病，实际实施了开胸进行的冠状动脉血管旁路移植的手术。</w:t>
      </w:r>
    </w:p>
    <w:p>
      <w:pPr>
        <w:pStyle w:val="BodyText"/>
        <w:spacing w:line="309" w:lineRule="auto"/>
        <w:ind w:right="117"/>
      </w:pPr>
      <w:r>
        <w:rPr>
          <w:spacing w:val="-6"/>
          <w:w w:val="95"/>
        </w:rPr>
        <w:t>冠状动脉支架植入术、心导管球囊扩张术、激光射频技术及其他非开胸的介入手术、腔镜手   术不在本合同保障范围内。</w:t>
      </w:r>
    </w:p>
    <w:p>
      <w:pPr>
        <w:pStyle w:val="Heading2"/>
        <w:numPr>
          <w:ilvl w:val="2"/>
          <w:numId w:val="22"/>
        </w:numPr>
        <w:tabs>
          <w:tab w:pos="840" w:val="left" w:leader="none"/>
        </w:tabs>
        <w:spacing w:line="318" w:lineRule="exact" w:before="0" w:after="0"/>
        <w:ind w:left="840" w:right="0" w:hanging="720"/>
        <w:jc w:val="left"/>
      </w:pPr>
      <w:bookmarkStart w:name="_TOC_250058" w:id="143"/>
      <w:bookmarkEnd w:id="143"/>
      <w:r>
        <w:rPr>
          <w:w w:val="95"/>
        </w:rPr>
        <w:t>终末期肾病（或称慢性肾功能衰竭尿毒症期）</w:t>
      </w:r>
    </w:p>
    <w:p>
      <w:pPr>
        <w:pStyle w:val="BodyText"/>
        <w:spacing w:line="312" w:lineRule="auto" w:before="56"/>
        <w:ind w:right="119"/>
      </w:pPr>
      <w:r>
        <w:rPr>
          <w:spacing w:val="-2"/>
        </w:rPr>
        <w:t>指双肾功能慢性不可逆性衰竭，达到尿毒症期，经诊断后已经进行了至少 </w:t>
      </w:r>
      <w:r>
        <w:rPr/>
        <w:t>90</w:t>
      </w:r>
      <w:r>
        <w:rPr>
          <w:spacing w:val="-9"/>
        </w:rPr>
        <w:t> 天的规律性透</w:t>
      </w:r>
      <w:r>
        <w:rPr>
          <w:spacing w:val="-9"/>
          <w:w w:val="95"/>
        </w:rPr>
        <w:t>析治疗或实施了肾脏移植手术。</w:t>
      </w:r>
    </w:p>
    <w:p>
      <w:pPr>
        <w:pStyle w:val="Heading2"/>
        <w:numPr>
          <w:ilvl w:val="2"/>
          <w:numId w:val="22"/>
        </w:numPr>
        <w:tabs>
          <w:tab w:pos="840" w:val="left" w:leader="none"/>
        </w:tabs>
        <w:spacing w:line="316" w:lineRule="exact" w:before="0" w:after="0"/>
        <w:ind w:left="840" w:right="0" w:hanging="720"/>
        <w:jc w:val="left"/>
      </w:pPr>
      <w:bookmarkStart w:name="_TOC_250057" w:id="144"/>
      <w:bookmarkEnd w:id="144"/>
      <w:r>
        <w:rPr>
          <w:w w:val="95"/>
        </w:rPr>
        <w:t>多个肢体缺失</w:t>
      </w:r>
    </w:p>
    <w:p>
      <w:pPr>
        <w:pStyle w:val="BodyText"/>
        <w:spacing w:line="309" w:lineRule="auto" w:before="57"/>
        <w:ind w:right="121"/>
      </w:pPr>
      <w:r>
        <w:rPr>
          <w:spacing w:val="-2"/>
          <w:w w:val="95"/>
        </w:rPr>
        <w:t>指因疾病或意外伤害导致两个或两个以上肢体自腕关节或踝关节近端</w:t>
      </w:r>
      <w:r>
        <w:rPr>
          <w:w w:val="95"/>
        </w:rPr>
        <w:t>（靠近躯干端</w:t>
      </w:r>
      <w:r>
        <w:rPr>
          <w:spacing w:val="-46"/>
          <w:w w:val="95"/>
        </w:rPr>
        <w:t>）</w:t>
      </w:r>
      <w:r>
        <w:rPr>
          <w:w w:val="95"/>
        </w:rPr>
        <w:t>以上完   全性断离。</w:t>
      </w:r>
    </w:p>
    <w:p>
      <w:pPr>
        <w:pStyle w:val="Heading2"/>
        <w:numPr>
          <w:ilvl w:val="2"/>
          <w:numId w:val="22"/>
        </w:numPr>
        <w:tabs>
          <w:tab w:pos="840" w:val="left" w:leader="none"/>
        </w:tabs>
        <w:spacing w:line="318" w:lineRule="exact" w:before="0" w:after="0"/>
        <w:ind w:left="840" w:right="0" w:hanging="720"/>
        <w:jc w:val="left"/>
      </w:pPr>
      <w:bookmarkStart w:name="_TOC_250056" w:id="145"/>
      <w:bookmarkEnd w:id="145"/>
      <w:r>
        <w:rPr>
          <w:w w:val="95"/>
        </w:rPr>
        <w:t>急性或亚急性重症肝炎</w:t>
      </w:r>
    </w:p>
    <w:p>
      <w:pPr>
        <w:pStyle w:val="BodyText"/>
        <w:spacing w:line="309" w:lineRule="auto" w:before="59"/>
        <w:ind w:right="117"/>
      </w:pPr>
      <w:r>
        <w:rPr>
          <w:spacing w:val="-5"/>
        </w:rPr>
        <w:t>指因肝炎病毒感染引起肝脏组织弥漫性坏死，导致急性肝功能衰竭，且经血清学或病毒学检</w:t>
      </w:r>
      <w:r>
        <w:rPr>
          <w:spacing w:val="-5"/>
          <w:w w:val="95"/>
        </w:rPr>
        <w:t>查证实，并须满足下列全部条件：</w:t>
      </w:r>
    </w:p>
    <w:p>
      <w:pPr>
        <w:pStyle w:val="BodyText"/>
        <w:spacing w:before="19"/>
      </w:pPr>
      <w:r>
        <w:rPr>
          <w:w w:val="95"/>
        </w:rPr>
        <w:t>（1）重度黄疸或黄疸迅速加重；</w:t>
      </w:r>
    </w:p>
    <w:p>
      <w:pPr>
        <w:pStyle w:val="BodyText"/>
      </w:pPr>
      <w:r>
        <w:rPr>
          <w:w w:val="95"/>
        </w:rPr>
        <w:t>（2）肝性脑病；</w:t>
      </w:r>
    </w:p>
    <w:p>
      <w:pPr>
        <w:pStyle w:val="BodyText"/>
      </w:pPr>
      <w:r>
        <w:rPr/>
        <w:t>（3）B 超或其他影像学检查显示肝脏体积急速萎缩；</w:t>
      </w:r>
    </w:p>
    <w:p>
      <w:pPr>
        <w:pStyle w:val="BodyText"/>
      </w:pPr>
      <w:r>
        <w:rPr>
          <w:w w:val="95"/>
        </w:rPr>
        <w:t>（4）肝功能指标进行性恶化。</w:t>
      </w:r>
    </w:p>
    <w:p>
      <w:pPr>
        <w:pStyle w:val="Heading2"/>
        <w:numPr>
          <w:ilvl w:val="2"/>
          <w:numId w:val="22"/>
        </w:numPr>
        <w:tabs>
          <w:tab w:pos="840" w:val="left" w:leader="none"/>
        </w:tabs>
        <w:spacing w:line="240" w:lineRule="auto" w:before="16" w:after="0"/>
        <w:ind w:left="840" w:right="0" w:hanging="720"/>
        <w:jc w:val="left"/>
      </w:pPr>
      <w:bookmarkStart w:name="_TOC_250055" w:id="146"/>
      <w:bookmarkEnd w:id="146"/>
      <w:r>
        <w:rPr>
          <w:w w:val="95"/>
        </w:rPr>
        <w:t>良性脑肿瘤</w:t>
      </w:r>
    </w:p>
    <w:p>
      <w:pPr>
        <w:pStyle w:val="BodyText"/>
        <w:spacing w:line="309" w:lineRule="auto" w:before="56"/>
        <w:ind w:right="117"/>
        <w:jc w:val="both"/>
      </w:pPr>
      <w:r>
        <w:rPr>
          <w:spacing w:val="-7"/>
        </w:rPr>
        <w:t>指脑的良性肿瘤，已经引起颅内压增高，临床表现为视神经乳头水肿、精神症状、癫痫及运</w:t>
      </w:r>
      <w:r>
        <w:rPr>
          <w:spacing w:val="-5"/>
          <w:w w:val="99"/>
        </w:rPr>
        <w:t>动感觉障碍等，并危及生命。须由头颅断层扫描</w:t>
      </w:r>
      <w:r>
        <w:rPr>
          <w:spacing w:val="1"/>
          <w:w w:val="99"/>
        </w:rPr>
        <w:t>（</w:t>
      </w:r>
      <w:r>
        <w:rPr>
          <w:spacing w:val="0"/>
          <w:w w:val="99"/>
        </w:rPr>
        <w:t>C</w:t>
      </w:r>
      <w:r>
        <w:rPr>
          <w:spacing w:val="-2"/>
          <w:w w:val="99"/>
        </w:rPr>
        <w:t>T</w:t>
      </w:r>
      <w:r>
        <w:rPr>
          <w:spacing w:val="-104"/>
          <w:w w:val="99"/>
        </w:rPr>
        <w:t>）</w:t>
      </w:r>
      <w:r>
        <w:rPr>
          <w:spacing w:val="-5"/>
          <w:w w:val="99"/>
        </w:rPr>
        <w:t>、核磁共振检查</w:t>
      </w:r>
      <w:r>
        <w:rPr>
          <w:w w:val="99"/>
        </w:rPr>
        <w:t>（</w:t>
      </w:r>
      <w:r>
        <w:rPr>
          <w:spacing w:val="0"/>
          <w:w w:val="99"/>
        </w:rPr>
        <w:t>MR</w:t>
      </w:r>
      <w:r>
        <w:rPr>
          <w:spacing w:val="-2"/>
          <w:w w:val="99"/>
        </w:rPr>
        <w:t>I</w:t>
      </w:r>
      <w:r>
        <w:rPr>
          <w:spacing w:val="-15"/>
          <w:w w:val="99"/>
        </w:rPr>
        <w:t>）</w:t>
      </w:r>
      <w:r>
        <w:rPr>
          <w:w w:val="99"/>
        </w:rPr>
        <w:t>或正电子发射</w:t>
      </w:r>
      <w:r>
        <w:rPr>
          <w:w w:val="95"/>
        </w:rPr>
        <w:t>断层扫描（PET）等影像学检查证实，并须满足下列至少一项条件：</w:t>
      </w:r>
    </w:p>
    <w:p>
      <w:pPr>
        <w:pStyle w:val="BodyText"/>
        <w:spacing w:before="21"/>
      </w:pPr>
      <w:r>
        <w:rPr>
          <w:w w:val="95"/>
        </w:rPr>
        <w:t>（1）实际实施了开颅进行的脑肿瘤完全切除或部分切除的手术；</w:t>
      </w:r>
    </w:p>
    <w:p>
      <w:pPr>
        <w:pStyle w:val="BodyText"/>
      </w:pPr>
      <w:r>
        <w:rPr>
          <w:w w:val="95"/>
        </w:rPr>
        <w:t>（2）实际实施了对脑肿瘤进行的放射治疗。</w:t>
      </w:r>
    </w:p>
    <w:p>
      <w:pPr>
        <w:pStyle w:val="BodyText"/>
      </w:pPr>
      <w:r>
        <w:rPr>
          <w:w w:val="95"/>
        </w:rPr>
        <w:t>脑垂体瘤、脑囊肿、脑血管性疾病不在本合同保障范围内。</w:t>
      </w:r>
    </w:p>
    <w:p>
      <w:pPr>
        <w:pStyle w:val="Heading2"/>
        <w:numPr>
          <w:ilvl w:val="2"/>
          <w:numId w:val="22"/>
        </w:numPr>
        <w:tabs>
          <w:tab w:pos="960" w:val="left" w:leader="none"/>
        </w:tabs>
        <w:spacing w:line="240" w:lineRule="auto" w:before="13" w:after="0"/>
        <w:ind w:left="960" w:right="0" w:hanging="840"/>
        <w:jc w:val="left"/>
      </w:pPr>
      <w:bookmarkStart w:name="_TOC_250054" w:id="147"/>
      <w:bookmarkEnd w:id="147"/>
      <w:r>
        <w:rPr>
          <w:w w:val="95"/>
        </w:rPr>
        <w:t>慢性肝功能衰竭失代偿期</w:t>
      </w:r>
    </w:p>
    <w:p>
      <w:pPr>
        <w:pStyle w:val="BodyText"/>
        <w:spacing w:before="58"/>
      </w:pPr>
      <w:r>
        <w:rPr>
          <w:w w:val="95"/>
        </w:rPr>
        <w:t>指因慢性肝脏疾病导致肝功能衰竭。须满足下列全部条件：</w:t>
      </w:r>
    </w:p>
    <w:p>
      <w:pPr>
        <w:pStyle w:val="BodyText"/>
        <w:spacing w:before="79"/>
      </w:pPr>
      <w:r>
        <w:rPr>
          <w:w w:val="95"/>
        </w:rPr>
        <w:t>（1）持续性黄疸；</w:t>
      </w:r>
    </w:p>
    <w:p>
      <w:pPr>
        <w:pStyle w:val="BodyText"/>
        <w:spacing w:before="79"/>
      </w:pPr>
      <w:r>
        <w:rPr>
          <w:w w:val="95"/>
        </w:rPr>
        <w:t>（2）腹水；</w:t>
      </w:r>
    </w:p>
    <w:p>
      <w:pPr>
        <w:pStyle w:val="BodyText"/>
        <w:spacing w:before="79"/>
      </w:pPr>
      <w:r>
        <w:rPr>
          <w:w w:val="95"/>
        </w:rPr>
        <w:t>（3）肝性脑病；</w:t>
      </w:r>
    </w:p>
    <w:p>
      <w:pPr>
        <w:pStyle w:val="BodyText"/>
        <w:spacing w:before="79"/>
      </w:pPr>
      <w:r>
        <w:rPr>
          <w:w w:val="95"/>
        </w:rPr>
        <w:t>（4）充血性脾肿大伴脾功能亢进或食管胃底静脉曲张。</w:t>
      </w:r>
    </w:p>
    <w:p>
      <w:pPr>
        <w:pStyle w:val="BodyText"/>
        <w:spacing w:before="79"/>
      </w:pPr>
      <w:r>
        <w:rPr>
          <w:w w:val="95"/>
        </w:rPr>
        <w:t>因酗酒或药物滥用导致的肝功能衰竭不在本合同保障范围内。</w:t>
      </w:r>
    </w:p>
    <w:p>
      <w:pPr>
        <w:pStyle w:val="Heading2"/>
        <w:numPr>
          <w:ilvl w:val="2"/>
          <w:numId w:val="22"/>
        </w:numPr>
        <w:tabs>
          <w:tab w:pos="960" w:val="left" w:leader="none"/>
        </w:tabs>
        <w:spacing w:line="240" w:lineRule="auto" w:before="15" w:after="0"/>
        <w:ind w:left="960" w:right="0" w:hanging="840"/>
        <w:jc w:val="left"/>
      </w:pPr>
      <w:bookmarkStart w:name="_TOC_250053" w:id="148"/>
      <w:bookmarkEnd w:id="148"/>
      <w:r>
        <w:rPr>
          <w:w w:val="95"/>
        </w:rPr>
        <w:t>脑炎后遗症或脑膜炎后遗症</w:t>
      </w:r>
    </w:p>
    <w:p>
      <w:pPr>
        <w:pStyle w:val="BodyText"/>
        <w:spacing w:line="273" w:lineRule="auto" w:before="13"/>
        <w:ind w:right="117"/>
      </w:pPr>
      <w:r>
        <w:rPr>
          <w:spacing w:val="-4"/>
          <w:w w:val="95"/>
        </w:rPr>
        <w:t>指因患脑炎或脑膜炎导致的神经系统永久性的功能障碍。神经系统永久性的功能障碍，指疾   病确诊180天后，仍遗留下列一种或一种以上障碍：</w:t>
      </w:r>
    </w:p>
    <w:p>
      <w:pPr>
        <w:pStyle w:val="BodyText"/>
        <w:spacing w:before="5"/>
      </w:pPr>
      <w:r>
        <w:rPr>
          <w:w w:val="95"/>
        </w:rPr>
        <w:t>（1）一肢或一肢以上肢体机能完全丧失；</w:t>
      </w:r>
    </w:p>
    <w:p>
      <w:pPr>
        <w:pStyle w:val="BodyText"/>
        <w:spacing w:before="34"/>
      </w:pPr>
      <w:r>
        <w:rPr>
          <w:w w:val="95"/>
        </w:rPr>
        <w:t>（2）语言能力或咀嚼吞咽能力完全丧失；</w:t>
      </w:r>
    </w:p>
    <w:p>
      <w:pPr>
        <w:spacing w:after="0"/>
        <w:sectPr>
          <w:footerReference w:type="default" r:id="rId8"/>
          <w:pgSz w:w="11910" w:h="16840"/>
          <w:pgMar w:footer="1047" w:header="0" w:top="1420" w:bottom="1240" w:left="1680" w:right="1680"/>
          <w:pgNumType w:start="10"/>
        </w:sectPr>
      </w:pPr>
    </w:p>
    <w:p>
      <w:pPr>
        <w:pStyle w:val="BodyText"/>
        <w:spacing w:before="8"/>
      </w:pPr>
      <w:bookmarkStart w:name="深度昏迷" w:id="149"/>
      <w:bookmarkEnd w:id="149"/>
      <w:r>
        <w:rPr/>
      </w:r>
      <w:bookmarkStart w:name="双耳失聪" w:id="150"/>
      <w:bookmarkEnd w:id="150"/>
      <w:r>
        <w:rPr/>
      </w:r>
      <w:bookmarkStart w:name="双目失明" w:id="151"/>
      <w:bookmarkEnd w:id="151"/>
      <w:r>
        <w:rPr/>
      </w:r>
      <w:bookmarkStart w:name="瘫痪" w:id="152"/>
      <w:bookmarkEnd w:id="152"/>
      <w:r>
        <w:rPr/>
      </w:r>
      <w:bookmarkStart w:name="心脏瓣膜手术" w:id="153"/>
      <w:bookmarkEnd w:id="153"/>
      <w:r>
        <w:rPr/>
      </w:r>
      <w:bookmarkStart w:name="严重阿尔茨海默病" w:id="154"/>
      <w:bookmarkEnd w:id="154"/>
      <w:r>
        <w:rPr/>
      </w:r>
      <w:bookmarkStart w:name="严重脑损伤" w:id="155"/>
      <w:bookmarkEnd w:id="155"/>
      <w:r>
        <w:rPr/>
      </w:r>
      <w:r>
        <w:rPr>
          <w:w w:val="95"/>
        </w:rPr>
        <w:t>（3）自主生活能力完全丧失，无法独立完成六项基本日常生活活动中的三项或三项以上。</w:t>
      </w:r>
    </w:p>
    <w:p>
      <w:pPr>
        <w:pStyle w:val="Heading2"/>
        <w:numPr>
          <w:ilvl w:val="2"/>
          <w:numId w:val="22"/>
        </w:numPr>
        <w:tabs>
          <w:tab w:pos="960" w:val="left" w:leader="none"/>
        </w:tabs>
        <w:spacing w:line="240" w:lineRule="auto" w:before="9" w:after="0"/>
        <w:ind w:left="960" w:right="0" w:hanging="840"/>
        <w:jc w:val="left"/>
      </w:pPr>
      <w:bookmarkStart w:name="_TOC_250052" w:id="156"/>
      <w:bookmarkEnd w:id="156"/>
      <w:r>
        <w:rPr>
          <w:w w:val="95"/>
        </w:rPr>
        <w:t>深度昏迷</w:t>
      </w:r>
    </w:p>
    <w:p>
      <w:pPr>
        <w:pStyle w:val="BodyText"/>
        <w:spacing w:line="312" w:lineRule="auto" w:before="56"/>
        <w:ind w:right="117"/>
        <w:jc w:val="both"/>
      </w:pPr>
      <w:r>
        <w:rPr>
          <w:spacing w:val="-5"/>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分以下，且已经持续使用呼吸机及其他</w:t>
      </w:r>
      <w:r>
        <w:rPr>
          <w:spacing w:val="-15"/>
        </w:rPr>
        <w:t>生命维持系统 </w:t>
      </w:r>
      <w:r>
        <w:rPr/>
        <w:t>96</w:t>
      </w:r>
      <w:r>
        <w:rPr>
          <w:spacing w:val="-10"/>
        </w:rPr>
        <w:t> 小时以上。</w:t>
      </w:r>
    </w:p>
    <w:p>
      <w:pPr>
        <w:pStyle w:val="BodyText"/>
        <w:spacing w:before="16"/>
      </w:pPr>
      <w:r>
        <w:rPr>
          <w:w w:val="95"/>
        </w:rPr>
        <w:t>因酗酒或药物滥用导致的深度昏迷不在本合同保障范围内。</w:t>
      </w:r>
    </w:p>
    <w:p>
      <w:pPr>
        <w:pStyle w:val="Heading2"/>
        <w:numPr>
          <w:ilvl w:val="2"/>
          <w:numId w:val="22"/>
        </w:numPr>
        <w:tabs>
          <w:tab w:pos="960" w:val="left" w:leader="none"/>
        </w:tabs>
        <w:spacing w:line="240" w:lineRule="auto" w:before="13" w:after="0"/>
        <w:ind w:left="960" w:right="0" w:hanging="840"/>
        <w:jc w:val="left"/>
      </w:pPr>
      <w:bookmarkStart w:name="_TOC_250051" w:id="157"/>
      <w:bookmarkEnd w:id="157"/>
      <w:r>
        <w:rPr>
          <w:w w:val="95"/>
        </w:rPr>
        <w:t>双耳失聪</w:t>
      </w:r>
    </w:p>
    <w:p>
      <w:pPr>
        <w:pStyle w:val="BodyText"/>
        <w:spacing w:line="312" w:lineRule="auto" w:before="56"/>
        <w:ind w:right="115"/>
        <w:jc w:val="both"/>
      </w:pPr>
      <w:r>
        <w:rPr>
          <w:spacing w:val="-9"/>
        </w:rPr>
        <w:t>指因疾病或意外伤害导致双耳听力永久不可逆</w:t>
      </w:r>
      <w:r>
        <w:rPr/>
        <w:t>（</w:t>
      </w:r>
      <w:r>
        <w:rPr>
          <w:spacing w:val="-15"/>
        </w:rPr>
        <w:t>见释义 </w:t>
      </w:r>
      <w:r>
        <w:rPr/>
        <w:t>13.26）</w:t>
      </w:r>
      <w:r>
        <w:rPr>
          <w:spacing w:val="-12"/>
        </w:rPr>
        <w:t>性丧失，在 </w:t>
      </w:r>
      <w:r>
        <w:rPr/>
        <w:t>500</w:t>
      </w:r>
      <w:r>
        <w:rPr>
          <w:spacing w:val="-18"/>
        </w:rPr>
        <w:t> 赫兹、</w:t>
      </w:r>
      <w:r>
        <w:rPr/>
        <w:t>1000 </w:t>
      </w:r>
      <w:r>
        <w:rPr>
          <w:spacing w:val="-14"/>
        </w:rPr>
        <w:t>赫兹和 </w:t>
      </w:r>
      <w:r>
        <w:rPr/>
        <w:t>2000</w:t>
      </w:r>
      <w:r>
        <w:rPr>
          <w:spacing w:val="-13"/>
        </w:rPr>
        <w:t> 赫兹语音频率下，平均听阈大于 </w:t>
      </w:r>
      <w:r>
        <w:rPr/>
        <w:t>90</w:t>
      </w:r>
      <w:r>
        <w:rPr>
          <w:spacing w:val="-12"/>
        </w:rPr>
        <w:t> 分贝，且经纯音听力测试、声导抗检测或听</w:t>
      </w:r>
      <w:r>
        <w:rPr>
          <w:spacing w:val="-12"/>
          <w:w w:val="95"/>
        </w:rPr>
        <w:t>觉诱发电位检测等证实。</w:t>
      </w:r>
    </w:p>
    <w:p>
      <w:pPr>
        <w:pStyle w:val="BodyText"/>
        <w:spacing w:line="309" w:lineRule="auto" w:before="16"/>
        <w:ind w:right="121"/>
      </w:pPr>
      <w:r>
        <w:rPr>
          <w:w w:val="95"/>
        </w:rPr>
        <w:t>本合同仅对三周岁以上的</w:t>
      </w:r>
      <w:hyperlink r:id="rId9">
        <w:r>
          <w:rPr>
            <w:w w:val="95"/>
          </w:rPr>
          <w:t>被</w:t>
        </w:r>
      </w:hyperlink>
      <w:hyperlink r:id="rId9">
        <w:r>
          <w:rPr>
            <w:w w:val="95"/>
          </w:rPr>
          <w:t>保险</w:t>
        </w:r>
      </w:hyperlink>
      <w:r>
        <w:rPr>
          <w:w w:val="95"/>
        </w:rPr>
        <w:t>人予以</w:t>
      </w:r>
      <w:hyperlink r:id="rId9">
        <w:r>
          <w:rPr>
            <w:w w:val="95"/>
          </w:rPr>
          <w:t>理赔</w:t>
        </w:r>
      </w:hyperlink>
      <w:r>
        <w:rPr>
          <w:spacing w:val="-11"/>
          <w:w w:val="95"/>
        </w:rPr>
        <w:t>。先天性疾病所致的听力丧失不在本合同</w:t>
      </w:r>
      <w:hyperlink r:id="rId9">
        <w:r>
          <w:rPr>
            <w:w w:val="95"/>
          </w:rPr>
          <w:t>保障</w:t>
        </w:r>
      </w:hyperlink>
      <w:r>
        <w:rPr>
          <w:w w:val="95"/>
        </w:rPr>
        <w:t>范   围内。</w:t>
      </w:r>
    </w:p>
    <w:p>
      <w:pPr>
        <w:pStyle w:val="Heading2"/>
        <w:numPr>
          <w:ilvl w:val="2"/>
          <w:numId w:val="22"/>
        </w:numPr>
        <w:tabs>
          <w:tab w:pos="960" w:val="left" w:leader="none"/>
        </w:tabs>
        <w:spacing w:line="318" w:lineRule="exact" w:before="0" w:after="0"/>
        <w:ind w:left="960" w:right="0" w:hanging="840"/>
        <w:jc w:val="left"/>
      </w:pPr>
      <w:bookmarkStart w:name="_TOC_250050" w:id="158"/>
      <w:bookmarkEnd w:id="158"/>
      <w:r>
        <w:rPr>
          <w:w w:val="95"/>
        </w:rPr>
        <w:t>双目失明</w:t>
      </w:r>
    </w:p>
    <w:p>
      <w:pPr>
        <w:pStyle w:val="BodyText"/>
        <w:spacing w:line="309" w:lineRule="auto" w:before="59"/>
        <w:ind w:right="117"/>
      </w:pPr>
      <w:r>
        <w:rPr>
          <w:spacing w:val="-4"/>
        </w:rPr>
        <w:t>指因疾病或意外伤害导致双眼视力永久不可逆性丧失，双眼中较好眼须满足下列至少一项条</w:t>
      </w:r>
      <w:r>
        <w:rPr>
          <w:spacing w:val="-4"/>
          <w:w w:val="95"/>
        </w:rPr>
        <w:t>件：</w:t>
      </w:r>
    </w:p>
    <w:p>
      <w:pPr>
        <w:pStyle w:val="BodyText"/>
        <w:spacing w:before="19"/>
      </w:pPr>
      <w:r>
        <w:rPr>
          <w:w w:val="95"/>
        </w:rPr>
        <w:t>（1）眼球缺失或摘除；</w:t>
      </w:r>
    </w:p>
    <w:p>
      <w:pPr>
        <w:pStyle w:val="BodyText"/>
      </w:pPr>
      <w:r>
        <w:rPr>
          <w:w w:val="99"/>
        </w:rPr>
        <w:t>（</w:t>
      </w:r>
      <w:r>
        <w:rPr>
          <w:spacing w:val="0"/>
          <w:w w:val="99"/>
        </w:rPr>
        <w:t>2</w:t>
      </w:r>
      <w:r>
        <w:rPr>
          <w:spacing w:val="1"/>
          <w:w w:val="99"/>
        </w:rPr>
        <w:t>）</w:t>
      </w:r>
      <w:r>
        <w:rPr>
          <w:w w:val="99"/>
        </w:rPr>
        <w:t>矫正视力低于</w:t>
      </w:r>
      <w:r>
        <w:rPr>
          <w:spacing w:val="-53"/>
        </w:rPr>
        <w:t> </w:t>
      </w:r>
      <w:r>
        <w:rPr>
          <w:spacing w:val="0"/>
          <w:w w:val="99"/>
        </w:rPr>
        <w:t>0.0</w:t>
      </w:r>
      <w:r>
        <w:rPr>
          <w:spacing w:val="-2"/>
          <w:w w:val="99"/>
        </w:rPr>
        <w:t>2</w:t>
      </w:r>
      <w:r>
        <w:rPr>
          <w:spacing w:val="1"/>
          <w:w w:val="99"/>
        </w:rPr>
        <w:t>（</w:t>
      </w:r>
      <w:r>
        <w:rPr>
          <w:w w:val="99"/>
        </w:rPr>
        <w:t>采用国际标准视力表，如果使用其他视力表应进行换算</w:t>
      </w:r>
      <w:r>
        <w:rPr>
          <w:spacing w:val="-104"/>
          <w:w w:val="99"/>
        </w:rPr>
        <w:t>）</w:t>
      </w:r>
      <w:r>
        <w:rPr>
          <w:w w:val="99"/>
        </w:rPr>
        <w:t>；</w:t>
      </w:r>
    </w:p>
    <w:p>
      <w:pPr>
        <w:pStyle w:val="BodyText"/>
      </w:pPr>
      <w:r>
        <w:rPr/>
        <w:t>（3）视野半径小于 5 度。</w:t>
      </w:r>
    </w:p>
    <w:p>
      <w:pPr>
        <w:pStyle w:val="BodyText"/>
        <w:spacing w:line="309" w:lineRule="auto" w:before="83"/>
        <w:ind w:right="121"/>
      </w:pPr>
      <w:r>
        <w:rPr>
          <w:w w:val="95"/>
        </w:rPr>
        <w:t>本合同仅对三周岁以上的</w:t>
      </w:r>
      <w:hyperlink r:id="rId9">
        <w:r>
          <w:rPr>
            <w:w w:val="95"/>
          </w:rPr>
          <w:t>被</w:t>
        </w:r>
      </w:hyperlink>
      <w:hyperlink r:id="rId9">
        <w:r>
          <w:rPr>
            <w:w w:val="95"/>
          </w:rPr>
          <w:t>保险</w:t>
        </w:r>
      </w:hyperlink>
      <w:r>
        <w:rPr>
          <w:w w:val="95"/>
        </w:rPr>
        <w:t>人予以</w:t>
      </w:r>
      <w:hyperlink r:id="rId9">
        <w:r>
          <w:rPr>
            <w:w w:val="95"/>
          </w:rPr>
          <w:t>理赔</w:t>
        </w:r>
      </w:hyperlink>
      <w:r>
        <w:rPr>
          <w:spacing w:val="-11"/>
          <w:w w:val="95"/>
        </w:rPr>
        <w:t>。先天性疾病所致的视力丧失不在本合同</w:t>
      </w:r>
      <w:hyperlink r:id="rId9">
        <w:r>
          <w:rPr>
            <w:w w:val="95"/>
          </w:rPr>
          <w:t>保障</w:t>
        </w:r>
      </w:hyperlink>
      <w:r>
        <w:rPr>
          <w:w w:val="95"/>
        </w:rPr>
        <w:t>范   围内。</w:t>
      </w:r>
    </w:p>
    <w:p>
      <w:pPr>
        <w:pStyle w:val="Heading2"/>
        <w:numPr>
          <w:ilvl w:val="2"/>
          <w:numId w:val="22"/>
        </w:numPr>
        <w:tabs>
          <w:tab w:pos="960" w:val="left" w:leader="none"/>
        </w:tabs>
        <w:spacing w:line="318" w:lineRule="exact" w:before="0" w:after="0"/>
        <w:ind w:left="960" w:right="0" w:hanging="840"/>
        <w:jc w:val="left"/>
      </w:pPr>
      <w:bookmarkStart w:name="_TOC_250049" w:id="159"/>
      <w:bookmarkEnd w:id="159"/>
      <w:r>
        <w:rPr>
          <w:w w:val="95"/>
        </w:rPr>
        <w:t>瘫痪</w:t>
      </w:r>
    </w:p>
    <w:p>
      <w:pPr>
        <w:pStyle w:val="BodyText"/>
        <w:spacing w:line="312" w:lineRule="auto" w:before="56"/>
        <w:ind w:right="117"/>
        <w:jc w:val="both"/>
      </w:pPr>
      <w:r>
        <w:rPr>
          <w:w w:val="95"/>
        </w:rPr>
        <w:t>指因疾病或意外伤害导致两肢或两肢以上肢体机能永久完全丧失。肢体机能永久完全丧失</w:t>
      </w:r>
      <w:r>
        <w:rPr>
          <w:w w:val="90"/>
        </w:rPr>
        <w:t>，  </w:t>
      </w:r>
      <w:r>
        <w:rPr>
          <w:spacing w:val="-12"/>
        </w:rPr>
        <w:t>指疾病确诊 </w:t>
      </w:r>
      <w:r>
        <w:rPr/>
        <w:t>180</w:t>
      </w:r>
      <w:r>
        <w:rPr>
          <w:spacing w:val="-15"/>
        </w:rPr>
        <w:t> 天后或意外伤害发生 </w:t>
      </w:r>
      <w:r>
        <w:rPr/>
        <w:t>180</w:t>
      </w:r>
      <w:r>
        <w:rPr>
          <w:spacing w:val="-9"/>
        </w:rPr>
        <w:t> 天后，每肢三大关节中的两大关节仍然完全僵硬</w:t>
      </w:r>
      <w:r>
        <w:rPr>
          <w:w w:val="90"/>
        </w:rPr>
        <w:t>， </w:t>
      </w:r>
      <w:r>
        <w:rPr>
          <w:w w:val="95"/>
        </w:rPr>
        <w:t>或不能随意识活动。</w:t>
      </w:r>
    </w:p>
    <w:p>
      <w:pPr>
        <w:pStyle w:val="Heading2"/>
        <w:numPr>
          <w:ilvl w:val="2"/>
          <w:numId w:val="22"/>
        </w:numPr>
        <w:tabs>
          <w:tab w:pos="960" w:val="left" w:leader="none"/>
        </w:tabs>
        <w:spacing w:line="316" w:lineRule="exact" w:before="0" w:after="0"/>
        <w:ind w:left="960" w:right="0" w:hanging="840"/>
        <w:jc w:val="left"/>
      </w:pPr>
      <w:bookmarkStart w:name="_TOC_250048" w:id="160"/>
      <w:bookmarkEnd w:id="160"/>
      <w:r>
        <w:rPr>
          <w:w w:val="95"/>
        </w:rPr>
        <w:t>心脏瓣膜手术</w:t>
      </w:r>
    </w:p>
    <w:p>
      <w:pPr>
        <w:pStyle w:val="BodyText"/>
        <w:spacing w:before="57"/>
      </w:pPr>
      <w:r>
        <w:rPr>
          <w:w w:val="95"/>
        </w:rPr>
        <w:t>指为治疗心脏瓣膜疾病，实际实施了开胸进行的心脏瓣膜置换或修复的手术。</w:t>
      </w:r>
    </w:p>
    <w:p>
      <w:pPr>
        <w:pStyle w:val="Heading2"/>
        <w:numPr>
          <w:ilvl w:val="2"/>
          <w:numId w:val="22"/>
        </w:numPr>
        <w:tabs>
          <w:tab w:pos="960" w:val="left" w:leader="none"/>
        </w:tabs>
        <w:spacing w:line="240" w:lineRule="auto" w:before="13" w:after="0"/>
        <w:ind w:left="960" w:right="0" w:hanging="840"/>
        <w:jc w:val="left"/>
      </w:pPr>
      <w:bookmarkStart w:name="_TOC_250047" w:id="161"/>
      <w:bookmarkEnd w:id="161"/>
      <w:r>
        <w:rPr>
          <w:w w:val="95"/>
        </w:rPr>
        <w:t>严重阿尔茨海默病</w:t>
      </w:r>
    </w:p>
    <w:p>
      <w:pPr>
        <w:pStyle w:val="BodyText"/>
        <w:spacing w:line="309" w:lineRule="auto" w:before="58"/>
        <w:ind w:right="116"/>
        <w:jc w:val="both"/>
      </w:pPr>
      <w:r>
        <w:rPr>
          <w:spacing w:val="-14"/>
          <w:w w:val="95"/>
        </w:rPr>
        <w:t>指因大脑进行性、不可逆性改变导致智能严重衰退或丧失，临床表现为明显的认知能力障碍</w:t>
      </w:r>
      <w:r>
        <w:rPr>
          <w:w w:val="90"/>
        </w:rPr>
        <w:t>、</w:t>
      </w:r>
      <w:r>
        <w:rPr>
          <w:spacing w:val="1"/>
          <w:w w:val="99"/>
        </w:rPr>
        <w:t>行</w:t>
      </w:r>
      <w:r>
        <w:rPr>
          <w:w w:val="99"/>
        </w:rPr>
        <w:t>为异常和社交能力减退，其日常生活必须持续受到他人监护。须从头颅断层扫描</w:t>
      </w:r>
      <w:r>
        <w:rPr>
          <w:spacing w:val="10"/>
          <w:w w:val="99"/>
        </w:rPr>
        <w:t>（</w:t>
      </w:r>
      <w:r>
        <w:rPr>
          <w:spacing w:val="0"/>
          <w:w w:val="99"/>
        </w:rPr>
        <w:t>C</w:t>
      </w:r>
      <w:r>
        <w:rPr>
          <w:spacing w:val="-2"/>
          <w:w w:val="99"/>
        </w:rPr>
        <w:t>T</w:t>
      </w:r>
      <w:r>
        <w:rPr>
          <w:spacing w:val="-104"/>
          <w:w w:val="99"/>
        </w:rPr>
        <w:t>）</w:t>
      </w:r>
      <w:r>
        <w:rPr>
          <w:w w:val="99"/>
        </w:rPr>
        <w:t>、</w:t>
      </w:r>
      <w:r>
        <w:rPr/>
        <w:t>核</w:t>
      </w:r>
      <w:r>
        <w:rPr>
          <w:spacing w:val="-4"/>
        </w:rPr>
        <w:t>磁共振检查</w:t>
      </w:r>
      <w:r>
        <w:rPr>
          <w:spacing w:val="-5"/>
        </w:rPr>
        <w:t>（MRI）</w:t>
      </w:r>
      <w:r>
        <w:rPr>
          <w:spacing w:val="-2"/>
        </w:rPr>
        <w:t>或正电子发射断层扫描</w:t>
      </w:r>
      <w:r>
        <w:rPr>
          <w:spacing w:val="-4"/>
        </w:rPr>
        <w:t>（PET）</w:t>
      </w:r>
      <w:r>
        <w:rPr>
          <w:spacing w:val="-2"/>
        </w:rPr>
        <w:t>等影像学检查证实，且自主生活能力完</w:t>
      </w:r>
      <w:r>
        <w:rPr>
          <w:w w:val="95"/>
        </w:rPr>
        <w:t>全丧失，无法独立完成六项基本日常生活活动中的三项或三项以上。</w:t>
      </w:r>
    </w:p>
    <w:p>
      <w:pPr>
        <w:pStyle w:val="BodyText"/>
        <w:spacing w:before="19"/>
      </w:pPr>
      <w:r>
        <w:rPr>
          <w:w w:val="95"/>
        </w:rPr>
        <w:t>神经官能症和精神疾病不在本合同保障范围内。</w:t>
      </w:r>
    </w:p>
    <w:p>
      <w:pPr>
        <w:pStyle w:val="Heading2"/>
        <w:numPr>
          <w:ilvl w:val="2"/>
          <w:numId w:val="22"/>
        </w:numPr>
        <w:tabs>
          <w:tab w:pos="960" w:val="left" w:leader="none"/>
        </w:tabs>
        <w:spacing w:line="240" w:lineRule="auto" w:before="13" w:after="0"/>
        <w:ind w:left="960" w:right="0" w:hanging="840"/>
        <w:jc w:val="left"/>
      </w:pPr>
      <w:bookmarkStart w:name="_TOC_250046" w:id="162"/>
      <w:bookmarkEnd w:id="162"/>
      <w:r>
        <w:rPr>
          <w:w w:val="95"/>
        </w:rPr>
        <w:t>严重脑损伤</w:t>
      </w:r>
    </w:p>
    <w:p>
      <w:pPr>
        <w:pStyle w:val="BodyText"/>
        <w:spacing w:line="309" w:lineRule="auto" w:before="58"/>
        <w:ind w:right="116"/>
        <w:jc w:val="both"/>
      </w:pPr>
      <w:r>
        <w:rPr>
          <w:spacing w:val="-6"/>
        </w:rPr>
        <w:t>指因头部遭受机械性外力，引起脑重要部位损伤，导致神经系统永久性的功能障碍。须由头</w:t>
      </w:r>
      <w:r>
        <w:rPr>
          <w:spacing w:val="-3"/>
          <w:w w:val="99"/>
        </w:rPr>
        <w:t>颅断层扫描</w:t>
      </w:r>
      <w:r>
        <w:rPr>
          <w:w w:val="99"/>
        </w:rPr>
        <w:t>（</w:t>
      </w:r>
      <w:r>
        <w:rPr>
          <w:spacing w:val="0"/>
          <w:w w:val="99"/>
        </w:rPr>
        <w:t>CT</w:t>
      </w:r>
      <w:r>
        <w:rPr>
          <w:spacing w:val="-104"/>
          <w:w w:val="99"/>
        </w:rPr>
        <w:t>）</w:t>
      </w:r>
      <w:r>
        <w:rPr>
          <w:spacing w:val="-5"/>
          <w:w w:val="99"/>
        </w:rPr>
        <w:t>、核磁共振检查</w:t>
      </w:r>
      <w:r>
        <w:rPr>
          <w:w w:val="99"/>
        </w:rPr>
        <w:t>（</w:t>
      </w:r>
      <w:r>
        <w:rPr>
          <w:spacing w:val="0"/>
          <w:w w:val="99"/>
        </w:rPr>
        <w:t>MR</w:t>
      </w:r>
      <w:r>
        <w:rPr>
          <w:spacing w:val="-2"/>
          <w:w w:val="99"/>
        </w:rPr>
        <w:t>I</w:t>
      </w:r>
      <w:r>
        <w:rPr>
          <w:spacing w:val="-15"/>
          <w:w w:val="99"/>
        </w:rPr>
        <w:t>）</w:t>
      </w:r>
      <w:r>
        <w:rPr>
          <w:spacing w:val="-2"/>
          <w:w w:val="99"/>
        </w:rPr>
        <w:t>或正电子发射断层扫描</w:t>
      </w:r>
      <w:r>
        <w:rPr>
          <w:w w:val="99"/>
        </w:rPr>
        <w:t>（</w:t>
      </w:r>
      <w:r>
        <w:rPr>
          <w:spacing w:val="0"/>
          <w:w w:val="99"/>
        </w:rPr>
        <w:t>PET</w:t>
      </w:r>
      <w:r>
        <w:rPr>
          <w:spacing w:val="-17"/>
          <w:w w:val="99"/>
        </w:rPr>
        <w:t>）</w:t>
      </w:r>
      <w:r>
        <w:rPr>
          <w:w w:val="99"/>
        </w:rPr>
        <w:t>等影像学检查证实</w:t>
      </w:r>
      <w:r>
        <w:rPr>
          <w:w w:val="49"/>
        </w:rPr>
        <w:t>。</w:t>
      </w:r>
      <w:r>
        <w:rPr>
          <w:spacing w:val="-3"/>
        </w:rPr>
        <w:t>神经性系统永久性的功能障碍，指脑损伤 </w:t>
      </w:r>
      <w:r>
        <w:rPr/>
        <w:t>180</w:t>
      </w:r>
      <w:r>
        <w:rPr>
          <w:spacing w:val="-8"/>
        </w:rPr>
        <w:t> 天后，仍遗留下列一种或一种以上障碍：</w:t>
      </w:r>
    </w:p>
    <w:p>
      <w:pPr>
        <w:pStyle w:val="BodyText"/>
        <w:spacing w:before="19"/>
        <w:jc w:val="both"/>
      </w:pPr>
      <w:r>
        <w:rPr>
          <w:w w:val="95"/>
        </w:rPr>
        <w:t>（1）一肢或一肢以上肢体机能完全丧失；</w:t>
      </w:r>
    </w:p>
    <w:p>
      <w:pPr>
        <w:pStyle w:val="BodyText"/>
        <w:jc w:val="both"/>
      </w:pPr>
      <w:r>
        <w:rPr>
          <w:w w:val="95"/>
        </w:rPr>
        <w:t>（2）语言能力或咀嚼吞咽能力完全丧失；</w:t>
      </w:r>
    </w:p>
    <w:p>
      <w:pPr>
        <w:pStyle w:val="BodyText"/>
        <w:jc w:val="both"/>
      </w:pPr>
      <w:r>
        <w:rPr>
          <w:w w:val="95"/>
        </w:rPr>
        <w:t>（3）自主生活能力完全丧失，无法独立完成六项基本日常生活活动中的三项或三项以上。</w:t>
      </w:r>
    </w:p>
    <w:p>
      <w:pPr>
        <w:spacing w:after="0"/>
        <w:jc w:val="both"/>
        <w:sectPr>
          <w:pgSz w:w="11910" w:h="16840"/>
          <w:pgMar w:header="0" w:footer="1047" w:top="1380" w:bottom="1240" w:left="1680" w:right="1680"/>
        </w:sectPr>
      </w:pPr>
    </w:p>
    <w:p>
      <w:pPr>
        <w:pStyle w:val="Heading2"/>
        <w:numPr>
          <w:ilvl w:val="2"/>
          <w:numId w:val="22"/>
        </w:numPr>
        <w:tabs>
          <w:tab w:pos="960" w:val="left" w:leader="none"/>
        </w:tabs>
        <w:spacing w:line="307" w:lineRule="exact" w:before="0" w:after="0"/>
        <w:ind w:left="960" w:right="0" w:hanging="840"/>
        <w:jc w:val="left"/>
      </w:pPr>
      <w:bookmarkStart w:name="_TOC_250045" w:id="163"/>
      <w:bookmarkStart w:name="严重帕金森病" w:id="164"/>
      <w:r>
        <w:rPr>
          <w:b w:val="0"/>
        </w:rPr>
      </w:r>
      <w:bookmarkStart w:name="严重III度烧伤" w:id="165"/>
      <w:bookmarkEnd w:id="165"/>
      <w:r>
        <w:rPr>
          <w:b w:val="0"/>
        </w:rPr>
      </w:r>
      <w:bookmarkStart w:name="严重原发性肺动脉高压" w:id="166"/>
      <w:bookmarkEnd w:id="166"/>
      <w:r>
        <w:rPr>
          <w:b w:val="0"/>
        </w:rPr>
      </w:r>
      <w:bookmarkStart w:name="严重运动神经元病" w:id="167"/>
      <w:bookmarkEnd w:id="167"/>
      <w:r>
        <w:rPr>
          <w:b w:val="0"/>
        </w:rPr>
      </w:r>
      <w:bookmarkStart w:name="语言能力丧失" w:id="168"/>
      <w:bookmarkEnd w:id="168"/>
      <w:r>
        <w:rPr>
          <w:b w:val="0"/>
        </w:rPr>
      </w:r>
      <w:bookmarkStart w:name="重型再生障碍性贫血" w:id="169"/>
      <w:bookmarkEnd w:id="169"/>
      <w:r>
        <w:rPr>
          <w:b w:val="0"/>
        </w:rPr>
      </w:r>
      <w:bookmarkStart w:name="主动脉手术" w:id="170"/>
      <w:bookmarkEnd w:id="170"/>
      <w:r>
        <w:rPr>
          <w:b w:val="0"/>
        </w:rPr>
      </w:r>
      <w:bookmarkStart w:name="严重多发性硬化" w:id="171"/>
      <w:bookmarkEnd w:id="171"/>
      <w:r>
        <w:rPr>
          <w:b w:val="0"/>
        </w:rPr>
      </w:r>
      <w:bookmarkStart w:name="严重多发性硬化" w:id="172"/>
      <w:bookmarkEnd w:id="163"/>
      <w:r>
        <w:rPr>
          <w:w w:val="95"/>
        </w:rPr>
        <w:t>严重帕金森病</w:t>
      </w:r>
    </w:p>
    <w:p>
      <w:pPr>
        <w:pStyle w:val="BodyText"/>
        <w:spacing w:line="309" w:lineRule="auto" w:before="56"/>
        <w:ind w:right="117"/>
      </w:pPr>
      <w:r>
        <w:rPr>
          <w:spacing w:val="-5"/>
        </w:rPr>
        <w:t>是一种中枢神经系统的退行性疾病，临床表现为震颤麻痹、共济失调等。须满足下列全部条</w:t>
      </w:r>
      <w:r>
        <w:rPr>
          <w:spacing w:val="-5"/>
          <w:w w:val="95"/>
        </w:rPr>
        <w:t>件：</w:t>
      </w:r>
    </w:p>
    <w:p>
      <w:pPr>
        <w:pStyle w:val="BodyText"/>
        <w:spacing w:before="21"/>
      </w:pPr>
      <w:r>
        <w:rPr>
          <w:w w:val="95"/>
        </w:rPr>
        <w:t>（1）药物治疗无法控制病情；</w:t>
      </w:r>
    </w:p>
    <w:p>
      <w:pPr>
        <w:pStyle w:val="BodyText"/>
        <w:spacing w:line="309" w:lineRule="auto"/>
        <w:ind w:right="129"/>
      </w:pPr>
      <w:r>
        <w:rPr/>
        <w:t>（2）自主生活能力完全丧失，无法独立完成六项基本日常生活活动中的三项或三项以上。</w:t>
      </w:r>
      <w:r>
        <w:rPr>
          <w:w w:val="95"/>
        </w:rPr>
        <w:t>继发性帕金森综合症不在本合同保障范围内。</w:t>
      </w:r>
    </w:p>
    <w:p>
      <w:pPr>
        <w:pStyle w:val="Heading2"/>
        <w:numPr>
          <w:ilvl w:val="2"/>
          <w:numId w:val="22"/>
        </w:numPr>
        <w:tabs>
          <w:tab w:pos="960" w:val="left" w:leader="none"/>
        </w:tabs>
        <w:spacing w:line="318" w:lineRule="exact" w:before="0" w:after="0"/>
        <w:ind w:left="960" w:right="0" w:hanging="840"/>
        <w:jc w:val="left"/>
      </w:pPr>
      <w:bookmarkStart w:name="_TOC_250044" w:id="173"/>
      <w:r>
        <w:rPr>
          <w:spacing w:val="-14"/>
          <w:w w:val="115"/>
        </w:rPr>
        <w:t>严重 </w:t>
      </w:r>
      <w:r>
        <w:rPr>
          <w:w w:val="115"/>
        </w:rPr>
        <w:t>III</w:t>
      </w:r>
      <w:bookmarkEnd w:id="173"/>
      <w:r>
        <w:rPr>
          <w:spacing w:val="-11"/>
          <w:w w:val="115"/>
        </w:rPr>
        <w:t> 度烧伤</w:t>
      </w:r>
    </w:p>
    <w:p>
      <w:pPr>
        <w:pStyle w:val="BodyText"/>
        <w:spacing w:line="309" w:lineRule="auto" w:before="56"/>
        <w:ind w:right="119"/>
      </w:pPr>
      <w:r>
        <w:rPr>
          <w:spacing w:val="-8"/>
        </w:rPr>
        <w:t>指烧伤程度为 </w:t>
      </w:r>
      <w:r>
        <w:rPr/>
        <w:t>III</w:t>
      </w:r>
      <w:r>
        <w:rPr>
          <w:spacing w:val="-22"/>
        </w:rPr>
        <w:t> 度，且 </w:t>
      </w:r>
      <w:r>
        <w:rPr/>
        <w:t>III</w:t>
      </w:r>
      <w:r>
        <w:rPr>
          <w:spacing w:val="-11"/>
        </w:rPr>
        <w:t> 度烧伤的面积达到全身体表面积的 </w:t>
      </w:r>
      <w:r>
        <w:rPr/>
        <w:t>20</w:t>
      </w:r>
      <w:r>
        <w:rPr>
          <w:spacing w:val="-18"/>
        </w:rPr>
        <w:t>%或 </w:t>
      </w:r>
      <w:r>
        <w:rPr/>
        <w:t>20%以上。体表面积</w:t>
      </w:r>
      <w:r>
        <w:rPr>
          <w:w w:val="95"/>
        </w:rPr>
        <w:t>根据《中国新九分法》计算。</w:t>
      </w:r>
    </w:p>
    <w:p>
      <w:pPr>
        <w:pStyle w:val="Heading2"/>
        <w:numPr>
          <w:ilvl w:val="2"/>
          <w:numId w:val="22"/>
        </w:numPr>
        <w:tabs>
          <w:tab w:pos="960" w:val="left" w:leader="none"/>
        </w:tabs>
        <w:spacing w:line="321" w:lineRule="exact" w:before="0" w:after="0"/>
        <w:ind w:left="960" w:right="0" w:hanging="840"/>
        <w:jc w:val="left"/>
      </w:pPr>
      <w:bookmarkStart w:name="_TOC_250043" w:id="174"/>
      <w:bookmarkEnd w:id="174"/>
      <w:r>
        <w:rPr>
          <w:w w:val="95"/>
        </w:rPr>
        <w:t>严重原发性肺动脉高压</w:t>
      </w:r>
    </w:p>
    <w:p>
      <w:pPr>
        <w:pStyle w:val="BodyText"/>
        <w:spacing w:line="309" w:lineRule="auto" w:before="57"/>
        <w:ind w:right="119"/>
        <w:jc w:val="both"/>
      </w:pPr>
      <w:r>
        <w:rPr>
          <w:spacing w:val="-5"/>
          <w:w w:val="95"/>
        </w:rPr>
        <w:t>指不明原因的肺动脉压力持续性增高，进行性发展而导致的慢性疾病，已经造成永久不可逆   </w:t>
      </w:r>
      <w:r>
        <w:rPr>
          <w:spacing w:val="-7"/>
        </w:rPr>
        <w:t>性的体力活动能力受限，达到美国纽约心脏病学会心功能状态分级 </w:t>
      </w:r>
      <w:r>
        <w:rPr/>
        <w:t>IV</w:t>
      </w:r>
      <w:r>
        <w:rPr>
          <w:spacing w:val="-8"/>
        </w:rPr>
        <w:t> 级，且静息状态下肺</w:t>
      </w:r>
      <w:r>
        <w:rPr>
          <w:spacing w:val="-15"/>
        </w:rPr>
        <w:t>动脉平均压超过 </w:t>
      </w:r>
      <w:r>
        <w:rPr/>
        <w:t>30mmHg。</w:t>
      </w:r>
    </w:p>
    <w:p>
      <w:pPr>
        <w:pStyle w:val="Heading2"/>
        <w:numPr>
          <w:ilvl w:val="2"/>
          <w:numId w:val="22"/>
        </w:numPr>
        <w:tabs>
          <w:tab w:pos="960" w:val="left" w:leader="none"/>
        </w:tabs>
        <w:spacing w:line="318" w:lineRule="exact" w:before="0" w:after="0"/>
        <w:ind w:left="960" w:right="0" w:hanging="840"/>
        <w:jc w:val="left"/>
      </w:pPr>
      <w:bookmarkStart w:name="_TOC_250042" w:id="175"/>
      <w:bookmarkEnd w:id="175"/>
      <w:r>
        <w:rPr>
          <w:w w:val="95"/>
        </w:rPr>
        <w:t>严重运动神经元病</w:t>
      </w:r>
    </w:p>
    <w:p>
      <w:pPr>
        <w:pStyle w:val="BodyText"/>
        <w:spacing w:line="309" w:lineRule="auto" w:before="59"/>
        <w:ind w:right="116"/>
        <w:jc w:val="both"/>
      </w:pPr>
      <w:r>
        <w:rPr>
          <w:spacing w:val="-8"/>
          <w:w w:val="95"/>
        </w:rPr>
        <w:t>是一组中枢神经系统神经元的进行性变性疾病，包括进行性脊肌萎缩症、进行性延髓麻痹症</w:t>
      </w:r>
      <w:r>
        <w:rPr>
          <w:w w:val="80"/>
        </w:rPr>
        <w:t>、  </w:t>
      </w:r>
      <w:r>
        <w:rPr>
          <w:spacing w:val="-7"/>
          <w:w w:val="95"/>
        </w:rPr>
        <w:t>原发性侧索硬化症、肌萎缩性侧索硬化症。须满足自主生活能力完全丧失，无法独立完成六   项基本日常生活活动中的三项或三项以上的条件。</w:t>
      </w:r>
    </w:p>
    <w:p>
      <w:pPr>
        <w:pStyle w:val="Heading2"/>
        <w:numPr>
          <w:ilvl w:val="2"/>
          <w:numId w:val="22"/>
        </w:numPr>
        <w:tabs>
          <w:tab w:pos="960" w:val="left" w:leader="none"/>
        </w:tabs>
        <w:spacing w:line="318" w:lineRule="exact" w:before="0" w:after="0"/>
        <w:ind w:left="960" w:right="0" w:hanging="840"/>
        <w:jc w:val="left"/>
      </w:pPr>
      <w:bookmarkStart w:name="_TOC_250041" w:id="176"/>
      <w:bookmarkEnd w:id="176"/>
      <w:r>
        <w:rPr>
          <w:w w:val="95"/>
        </w:rPr>
        <w:t>语言能力丧失</w:t>
      </w:r>
    </w:p>
    <w:p>
      <w:pPr>
        <w:pStyle w:val="BodyText"/>
        <w:spacing w:line="309" w:lineRule="auto" w:before="56"/>
        <w:ind w:right="119"/>
      </w:pPr>
      <w:r>
        <w:rPr>
          <w:spacing w:val="-2"/>
        </w:rPr>
        <w:t>指因疾病或意外伤害导致完全丧失语言能力，经过积极治疗至少 </w:t>
      </w:r>
      <w:r>
        <w:rPr/>
        <w:t>12</w:t>
      </w:r>
      <w:r>
        <w:rPr>
          <w:spacing w:val="-19"/>
        </w:rPr>
        <w:t> 个月</w:t>
      </w:r>
      <w:r>
        <w:rPr/>
        <w:t>（声带完全切除不</w:t>
      </w:r>
      <w:r>
        <w:rPr>
          <w:spacing w:val="-1"/>
          <w:w w:val="99"/>
        </w:rPr>
        <w:t>受此时间限制</w:t>
      </w:r>
      <w:r>
        <w:rPr>
          <w:spacing w:val="-104"/>
          <w:w w:val="99"/>
        </w:rPr>
        <w:t>）</w:t>
      </w:r>
      <w:r>
        <w:rPr>
          <w:w w:val="99"/>
        </w:rPr>
        <w:t>，仍无法通过现有医疗手段恢复。</w:t>
      </w:r>
    </w:p>
    <w:p>
      <w:pPr>
        <w:pStyle w:val="BodyText"/>
        <w:spacing w:before="21"/>
      </w:pPr>
      <w:r>
        <w:rPr>
          <w:w w:val="95"/>
        </w:rPr>
        <w:t>精神心理因素所致的语言能力丧失不在本合同保障范围内。</w:t>
      </w:r>
    </w:p>
    <w:p>
      <w:pPr>
        <w:pStyle w:val="BodyText"/>
        <w:spacing w:line="309" w:lineRule="auto"/>
        <w:ind w:right="121"/>
      </w:pPr>
      <w:r>
        <w:rPr>
          <w:w w:val="95"/>
        </w:rPr>
        <w:t>本合同仅对三周岁以上的</w:t>
      </w:r>
      <w:hyperlink r:id="rId9">
        <w:r>
          <w:rPr>
            <w:w w:val="95"/>
          </w:rPr>
          <w:t>被</w:t>
        </w:r>
      </w:hyperlink>
      <w:hyperlink r:id="rId9">
        <w:r>
          <w:rPr>
            <w:w w:val="95"/>
          </w:rPr>
          <w:t>保险</w:t>
        </w:r>
      </w:hyperlink>
      <w:r>
        <w:rPr>
          <w:w w:val="95"/>
        </w:rPr>
        <w:t>人予以</w:t>
      </w:r>
      <w:hyperlink r:id="rId9">
        <w:r>
          <w:rPr>
            <w:w w:val="95"/>
          </w:rPr>
          <w:t>理赔</w:t>
        </w:r>
      </w:hyperlink>
      <w:r>
        <w:rPr>
          <w:spacing w:val="-11"/>
          <w:w w:val="95"/>
        </w:rPr>
        <w:t>。先天性失聪导致的语言能力丧失不在本合同</w:t>
      </w:r>
      <w:hyperlink r:id="rId9">
        <w:r>
          <w:rPr>
            <w:w w:val="95"/>
          </w:rPr>
          <w:t>保   </w:t>
        </w:r>
      </w:hyperlink>
      <w:hyperlink r:id="rId9">
        <w:r>
          <w:rPr>
            <w:w w:val="95"/>
          </w:rPr>
          <w:t>障</w:t>
        </w:r>
      </w:hyperlink>
      <w:r>
        <w:rPr>
          <w:w w:val="95"/>
        </w:rPr>
        <w:t>范围内。</w:t>
      </w:r>
    </w:p>
    <w:p>
      <w:pPr>
        <w:pStyle w:val="Heading2"/>
        <w:numPr>
          <w:ilvl w:val="2"/>
          <w:numId w:val="22"/>
        </w:numPr>
        <w:tabs>
          <w:tab w:pos="960" w:val="left" w:leader="none"/>
        </w:tabs>
        <w:spacing w:line="318" w:lineRule="exact" w:before="0" w:after="0"/>
        <w:ind w:left="960" w:right="0" w:hanging="840"/>
        <w:jc w:val="left"/>
      </w:pPr>
      <w:bookmarkStart w:name="_TOC_250040" w:id="177"/>
      <w:bookmarkEnd w:id="177"/>
      <w:r>
        <w:rPr>
          <w:w w:val="95"/>
        </w:rPr>
        <w:t>重型再生障碍性贫血</w:t>
      </w:r>
    </w:p>
    <w:p>
      <w:pPr>
        <w:pStyle w:val="BodyText"/>
        <w:spacing w:line="309" w:lineRule="auto" w:before="59"/>
        <w:ind w:right="119"/>
      </w:pPr>
      <w:r>
        <w:rPr>
          <w:spacing w:val="-5"/>
          <w:w w:val="95"/>
        </w:rPr>
        <w:t>指因骨髓造血功能慢性持续性衰竭导致的贫血、中性粒细胞减少及血小板减少。须满足下列   全部条件：</w:t>
      </w:r>
    </w:p>
    <w:p>
      <w:pPr>
        <w:pStyle w:val="BodyText"/>
        <w:spacing w:before="19"/>
      </w:pPr>
      <w:r>
        <w:rPr>
          <w:w w:val="95"/>
        </w:rPr>
        <w:t>（1）骨髓穿刺检查或骨髓活检结果支持诊断；</w:t>
      </w:r>
    </w:p>
    <w:p>
      <w:pPr>
        <w:pStyle w:val="BodyText"/>
        <w:spacing w:before="79"/>
      </w:pPr>
      <w:r>
        <w:rPr>
          <w:w w:val="95"/>
        </w:rPr>
        <w:t>（2）外周血象须具备以下三项条件：</w:t>
      </w:r>
    </w:p>
    <w:p>
      <w:pPr>
        <w:pStyle w:val="BodyText"/>
        <w:spacing w:before="4"/>
        <w:ind w:left="0"/>
        <w:rPr>
          <w:sz w:val="18"/>
        </w:rPr>
      </w:pPr>
    </w:p>
    <w:p>
      <w:pPr>
        <w:spacing w:line="379" w:lineRule="auto" w:before="1"/>
        <w:ind w:left="960" w:right="4315" w:firstLine="0"/>
        <w:jc w:val="left"/>
        <w:rPr>
          <w:sz w:val="21"/>
        </w:rPr>
      </w:pPr>
      <w:r>
        <w:rPr>
          <w:sz w:val="21"/>
        </w:rPr>
        <w:t>中性粒细胞绝对值</w:t>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 网织红细胞</w:t>
      </w:r>
      <w:r>
        <w:rPr>
          <w:rFonts w:ascii="Trebuchet MS" w:hAnsi="Trebuchet MS" w:eastAsia="Trebuchet MS"/>
          <w:sz w:val="24"/>
        </w:rPr>
        <w:t>&lt; </w:t>
      </w:r>
      <w:r>
        <w:rPr>
          <w:rFonts w:ascii="Times New Roman" w:hAnsi="Times New Roman" w:eastAsia="Times New Roman"/>
          <w:sz w:val="24"/>
        </w:rPr>
        <w:t>1% </w:t>
      </w:r>
      <w:r>
        <w:rPr>
          <w:sz w:val="21"/>
        </w:rPr>
        <w:t>；</w:t>
      </w:r>
    </w:p>
    <w:p>
      <w:pPr>
        <w:spacing w:before="48"/>
        <w:ind w:left="960" w:right="0" w:firstLine="0"/>
        <w:jc w:val="left"/>
        <w:rPr>
          <w:rFonts w:ascii="Times New Roman" w:hAnsi="Times New Roman" w:eastAsia="Times New Roman"/>
          <w:i/>
          <w:sz w:val="24"/>
        </w:rPr>
      </w:pPr>
      <w:r>
        <w:rPr>
          <w:sz w:val="21"/>
        </w:rPr>
        <w:t>血小板绝对值</w:t>
      </w:r>
      <w:r>
        <w:rPr>
          <w:rFonts w:ascii="Trebuchet MS" w:hAnsi="Trebuchet MS" w:eastAsia="Trebuchet MS"/>
          <w:sz w:val="24"/>
        </w:rPr>
        <w:t>≤ </w:t>
      </w:r>
      <w:r>
        <w:rPr>
          <w:rFonts w:ascii="Times New Roman" w:hAnsi="Times New Roman" w:eastAsia="Times New Roman"/>
          <w:sz w:val="24"/>
        </w:rPr>
        <w:t>20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pStyle w:val="BodyText"/>
        <w:spacing w:before="5"/>
        <w:ind w:left="0"/>
        <w:rPr>
          <w:rFonts w:ascii="Times New Roman"/>
          <w:i/>
          <w:sz w:val="11"/>
        </w:rPr>
      </w:pPr>
    </w:p>
    <w:p>
      <w:pPr>
        <w:pStyle w:val="Heading2"/>
        <w:numPr>
          <w:ilvl w:val="2"/>
          <w:numId w:val="22"/>
        </w:numPr>
        <w:tabs>
          <w:tab w:pos="960" w:val="left" w:leader="none"/>
        </w:tabs>
        <w:spacing w:line="334" w:lineRule="exact" w:before="0" w:after="0"/>
        <w:ind w:left="960" w:right="0" w:hanging="840"/>
        <w:jc w:val="left"/>
      </w:pPr>
      <w:bookmarkStart w:name="_TOC_250039" w:id="178"/>
      <w:bookmarkEnd w:id="178"/>
      <w:r>
        <w:rPr>
          <w:w w:val="95"/>
        </w:rPr>
        <w:t>主动脉手术</w:t>
      </w:r>
    </w:p>
    <w:p>
      <w:pPr>
        <w:pStyle w:val="BodyText"/>
        <w:spacing w:line="309" w:lineRule="auto" w:before="56"/>
        <w:ind w:right="117"/>
      </w:pPr>
      <w:r>
        <w:rPr>
          <w:spacing w:val="-6"/>
          <w:w w:val="95"/>
        </w:rPr>
        <w:t>指为治疗主动脉疾病，实际实施了开胸或开腹进行的切除、置换、修补病损主动脉血管的手   术。主动脉指胸主动脉和腹主动脉，不包括胸主动脉和腹主动脉的分支血管。</w:t>
      </w:r>
    </w:p>
    <w:p>
      <w:pPr>
        <w:pStyle w:val="BodyText"/>
        <w:spacing w:before="19"/>
      </w:pPr>
      <w:r>
        <w:rPr>
          <w:w w:val="95"/>
        </w:rPr>
        <w:t>动脉内血管成形术不在本合同保障范围内。</w:t>
      </w:r>
    </w:p>
    <w:p>
      <w:pPr>
        <w:pStyle w:val="Heading2"/>
        <w:numPr>
          <w:ilvl w:val="2"/>
          <w:numId w:val="22"/>
        </w:numPr>
        <w:tabs>
          <w:tab w:pos="960" w:val="left" w:leader="none"/>
        </w:tabs>
        <w:spacing w:line="240" w:lineRule="auto" w:before="13" w:after="0"/>
        <w:ind w:left="960" w:right="0" w:hanging="840"/>
        <w:jc w:val="left"/>
      </w:pPr>
      <w:bookmarkStart w:name="_TOC_250038" w:id="179"/>
      <w:bookmarkEnd w:id="179"/>
      <w:r>
        <w:rPr>
          <w:w w:val="95"/>
        </w:rPr>
        <w:t>严重多发性硬化</w:t>
      </w:r>
    </w:p>
    <w:p>
      <w:pPr>
        <w:pStyle w:val="BodyText"/>
        <w:spacing w:before="58"/>
      </w:pPr>
      <w:r>
        <w:rPr>
          <w:w w:val="95"/>
        </w:rPr>
        <w:t>为中枢神经系统白质多灶性脱髓鞘病变，病变有时累及灰质。多发性硬化必须明确诊断，并</w:t>
      </w:r>
    </w:p>
    <w:p>
      <w:pPr>
        <w:spacing w:after="0"/>
        <w:sectPr>
          <w:pgSz w:w="11910" w:h="16840"/>
          <w:pgMar w:header="0" w:footer="1047" w:top="1420" w:bottom="1240" w:left="1680" w:right="1680"/>
        </w:sectPr>
      </w:pPr>
    </w:p>
    <w:p>
      <w:pPr>
        <w:pStyle w:val="BodyText"/>
        <w:spacing w:before="8"/>
        <w:jc w:val="both"/>
      </w:pPr>
      <w:bookmarkStart w:name="慢性呼吸功能衰竭" w:id="180"/>
      <w:bookmarkEnd w:id="180"/>
      <w:r>
        <w:rPr/>
      </w:r>
      <w:bookmarkStart w:name="严重冠心病" w:id="181"/>
      <w:bookmarkEnd w:id="181"/>
      <w:r>
        <w:rPr/>
      </w:r>
      <w:bookmarkStart w:name="脊髓灰质炎" w:id="182"/>
      <w:bookmarkEnd w:id="182"/>
      <w:r>
        <w:rPr/>
      </w:r>
      <w:bookmarkStart w:name="严重类风湿性关节炎" w:id="183"/>
      <w:bookmarkEnd w:id="183"/>
      <w:r>
        <w:rPr/>
      </w:r>
      <w:bookmarkStart w:name="系统性红斑狼疮－III型或以上狼疮性肾炎" w:id="184"/>
      <w:bookmarkEnd w:id="184"/>
      <w:r>
        <w:rPr/>
      </w:r>
      <w:r>
        <w:rPr>
          <w:w w:val="95"/>
        </w:rPr>
        <w:t>且已经造成永久不可逆的神经系统功能损害。永久不可逆的神经系统损害指被保险人持续</w:t>
      </w:r>
    </w:p>
    <w:p>
      <w:pPr>
        <w:pStyle w:val="BodyText"/>
        <w:spacing w:before="79"/>
        <w:jc w:val="both"/>
      </w:pPr>
      <w:r>
        <w:rPr/>
        <w:t>180 天无法独立完成下列基本日常生活活动：</w:t>
      </w:r>
    </w:p>
    <w:p>
      <w:pPr>
        <w:pStyle w:val="BodyText"/>
        <w:spacing w:before="79"/>
        <w:jc w:val="both"/>
      </w:pPr>
      <w:r>
        <w:rPr>
          <w:w w:val="95"/>
        </w:rPr>
        <w:t>（1）移动：自己从一个房间到另一个房间；或者</w:t>
      </w:r>
    </w:p>
    <w:p>
      <w:pPr>
        <w:pStyle w:val="BodyText"/>
        <w:spacing w:before="82"/>
        <w:jc w:val="both"/>
      </w:pPr>
      <w:r>
        <w:rPr>
          <w:w w:val="95"/>
        </w:rPr>
        <w:t>（2）进食：自己从已准备好的碗或碟中取食物放入口中。</w:t>
      </w:r>
    </w:p>
    <w:p>
      <w:pPr>
        <w:pStyle w:val="Heading2"/>
        <w:numPr>
          <w:ilvl w:val="2"/>
          <w:numId w:val="22"/>
        </w:numPr>
        <w:tabs>
          <w:tab w:pos="960" w:val="left" w:leader="none"/>
        </w:tabs>
        <w:spacing w:line="240" w:lineRule="auto" w:before="13" w:after="0"/>
        <w:ind w:left="960" w:right="0" w:hanging="840"/>
        <w:jc w:val="both"/>
      </w:pPr>
      <w:bookmarkStart w:name="_TOC_250037" w:id="185"/>
      <w:bookmarkEnd w:id="185"/>
      <w:r>
        <w:rPr>
          <w:w w:val="95"/>
        </w:rPr>
        <w:t>慢性呼吸功能衰竭</w:t>
      </w:r>
    </w:p>
    <w:p>
      <w:pPr>
        <w:pStyle w:val="BodyText"/>
        <w:spacing w:line="309" w:lineRule="auto" w:before="56"/>
        <w:ind w:right="119"/>
      </w:pPr>
      <w:r>
        <w:rPr>
          <w:spacing w:val="-4"/>
          <w:w w:val="95"/>
        </w:rPr>
        <w:t>为慢性肺部疾病导致永久不可逆性的慢性呼吸功能衰竭。慢性呼吸功能衰竭必须明确诊断并   满足下列全部条件：</w:t>
      </w:r>
    </w:p>
    <w:p>
      <w:pPr>
        <w:pStyle w:val="BodyText"/>
        <w:spacing w:before="19"/>
        <w:jc w:val="both"/>
      </w:pPr>
      <w:r>
        <w:rPr>
          <w:w w:val="95"/>
        </w:rPr>
        <w:t>（1）休息时出现呼吸困难；</w:t>
      </w:r>
    </w:p>
    <w:p>
      <w:pPr>
        <w:pStyle w:val="BodyText"/>
        <w:jc w:val="both"/>
      </w:pPr>
      <w:r>
        <w:rPr/>
        <w:t>（2）动脉血氧分压 （PaO 2 ）&lt; 50mmHg；</w:t>
      </w:r>
    </w:p>
    <w:p>
      <w:pPr>
        <w:pStyle w:val="BodyText"/>
        <w:spacing w:before="83"/>
        <w:jc w:val="both"/>
      </w:pPr>
      <w:r>
        <w:rPr/>
        <w:t>（3）动脉血氧饱和度 （SaO 2 ）&lt; 80％；</w:t>
      </w:r>
    </w:p>
    <w:p>
      <w:pPr>
        <w:pStyle w:val="BodyText"/>
        <w:jc w:val="both"/>
      </w:pPr>
      <w:r>
        <w:rPr>
          <w:w w:val="95"/>
        </w:rPr>
        <w:t>（4）因缺氧必须接受持续的输氧治疗。</w:t>
      </w:r>
    </w:p>
    <w:p>
      <w:pPr>
        <w:pStyle w:val="Heading2"/>
        <w:numPr>
          <w:ilvl w:val="2"/>
          <w:numId w:val="22"/>
        </w:numPr>
        <w:tabs>
          <w:tab w:pos="960" w:val="left" w:leader="none"/>
        </w:tabs>
        <w:spacing w:line="240" w:lineRule="auto" w:before="13" w:after="0"/>
        <w:ind w:left="960" w:right="0" w:hanging="840"/>
        <w:jc w:val="both"/>
      </w:pPr>
      <w:bookmarkStart w:name="_TOC_250036" w:id="186"/>
      <w:bookmarkEnd w:id="186"/>
      <w:r>
        <w:rPr>
          <w:w w:val="95"/>
        </w:rPr>
        <w:t>严重冠心病</w:t>
      </w:r>
    </w:p>
    <w:p>
      <w:pPr>
        <w:pStyle w:val="BodyText"/>
        <w:spacing w:line="312" w:lineRule="auto" w:before="56"/>
        <w:ind w:right="117"/>
        <w:jc w:val="both"/>
      </w:pPr>
      <w:r>
        <w:rPr>
          <w:spacing w:val="-3"/>
        </w:rPr>
        <w:t>指经根据冠状动脉造影检查结果明确诊断为三支主要血管严重狭窄性病变</w:t>
      </w:r>
      <w:r>
        <w:rPr/>
        <w:t>（至少一支血管管</w:t>
      </w:r>
      <w:r>
        <w:rPr>
          <w:spacing w:val="-10"/>
        </w:rPr>
        <w:t>腔直径减少 </w:t>
      </w:r>
      <w:r>
        <w:rPr/>
        <w:t>75</w:t>
      </w:r>
      <w:r>
        <w:rPr>
          <w:spacing w:val="-4"/>
        </w:rPr>
        <w:t>％以上和其他两支血管管腔直径减少 </w:t>
      </w:r>
      <w:r>
        <w:rPr/>
        <w:t>60％以上</w:t>
      </w:r>
      <w:r>
        <w:rPr>
          <w:spacing w:val="-106"/>
        </w:rPr>
        <w:t>）</w:t>
      </w:r>
      <w:r>
        <w:rPr>
          <w:spacing w:val="-11"/>
        </w:rPr>
        <w:t>。冠状动脉的主要血管指左冠</w:t>
      </w:r>
      <w:r>
        <w:rPr>
          <w:spacing w:val="-13"/>
          <w:w w:val="95"/>
        </w:rPr>
        <w:t>状动脉主干、前降支、左旋支及右冠状动脉。前降支、左旋支及右冠状动脉的分支血管的狭   窄不作为本保障的衡量指标。</w:t>
      </w:r>
    </w:p>
    <w:p>
      <w:pPr>
        <w:pStyle w:val="Heading2"/>
        <w:numPr>
          <w:ilvl w:val="2"/>
          <w:numId w:val="22"/>
        </w:numPr>
        <w:tabs>
          <w:tab w:pos="960" w:val="left" w:leader="none"/>
        </w:tabs>
        <w:spacing w:line="316" w:lineRule="exact" w:before="0" w:after="0"/>
        <w:ind w:left="960" w:right="0" w:hanging="840"/>
        <w:jc w:val="left"/>
      </w:pPr>
      <w:bookmarkStart w:name="_TOC_250035" w:id="187"/>
      <w:bookmarkEnd w:id="187"/>
      <w:r>
        <w:rPr>
          <w:w w:val="95"/>
        </w:rPr>
        <w:t>脊髓灰质炎</w:t>
      </w:r>
    </w:p>
    <w:p>
      <w:pPr>
        <w:pStyle w:val="BodyText"/>
        <w:spacing w:line="312" w:lineRule="auto" w:before="57"/>
        <w:ind w:right="116"/>
        <w:jc w:val="both"/>
      </w:pPr>
      <w:r>
        <w:rPr>
          <w:spacing w:val="-5"/>
          <w:w w:val="95"/>
        </w:rPr>
        <w:t>是由于脊髓灰质炎病毒感染所致的瘫痪性疾病，临床表现为运动功能损害或呼吸无力。脊髓   </w:t>
      </w:r>
      <w:r>
        <w:rPr>
          <w:spacing w:val="-12"/>
        </w:rPr>
        <w:t>灰质炎必须明确诊断。本保单仅对脊髓灰质炎造成的神经系统功能损害导致被保险人一肢或</w:t>
      </w:r>
      <w:r>
        <w:rPr>
          <w:spacing w:val="-16"/>
        </w:rPr>
        <w:t>一肢以上肢体机能永久完全丧失的情况予以理赔。肢体机能永久完全丧失，指疾病确诊 </w:t>
      </w:r>
      <w:r>
        <w:rPr/>
        <w:t>180 </w:t>
      </w:r>
      <w:r>
        <w:rPr>
          <w:w w:val="95"/>
        </w:rPr>
        <w:t>天后，每肢三大关节中的两大关节仍然完全僵硬，或不能随意识活动。</w:t>
      </w:r>
    </w:p>
    <w:p>
      <w:pPr>
        <w:pStyle w:val="Heading2"/>
        <w:numPr>
          <w:ilvl w:val="2"/>
          <w:numId w:val="22"/>
        </w:numPr>
        <w:tabs>
          <w:tab w:pos="960" w:val="left" w:leader="none"/>
        </w:tabs>
        <w:spacing w:line="316" w:lineRule="exact" w:before="0" w:after="0"/>
        <w:ind w:left="960" w:right="0" w:hanging="840"/>
        <w:jc w:val="left"/>
      </w:pPr>
      <w:bookmarkStart w:name="_TOC_250034" w:id="188"/>
      <w:bookmarkEnd w:id="188"/>
      <w:r>
        <w:rPr>
          <w:w w:val="95"/>
        </w:rPr>
        <w:t>严重类风湿性关节炎</w:t>
      </w:r>
    </w:p>
    <w:p>
      <w:pPr>
        <w:pStyle w:val="BodyText"/>
        <w:spacing w:line="312" w:lineRule="auto" w:before="56"/>
        <w:ind w:right="119"/>
        <w:jc w:val="both"/>
      </w:pPr>
      <w:r>
        <w:rPr>
          <w:spacing w:val="-5"/>
          <w:w w:val="95"/>
        </w:rPr>
        <w:t>为广泛分布的慢性进行性多关节病变，表现为关节严重变形，侵犯至少三个主要关节或关节   </w:t>
      </w:r>
      <w:r>
        <w:rPr>
          <w:spacing w:val="-5"/>
        </w:rPr>
        <w:t>组【如：双手（多手指）关节、双足（多足趾）</w:t>
      </w:r>
      <w:r>
        <w:rPr>
          <w:spacing w:val="-11"/>
        </w:rPr>
        <w:t>关节、双腕关节、双膝关节和双髋关节】。</w:t>
      </w:r>
      <w:r>
        <w:rPr>
          <w:spacing w:val="-13"/>
        </w:rPr>
        <w:t>类风湿性关节炎必须明确诊断并且已经达到类风湿性关节炎功能分类 </w:t>
      </w:r>
      <w:r>
        <w:rPr/>
        <w:t>IV</w:t>
      </w:r>
      <w:r>
        <w:rPr>
          <w:spacing w:val="-8"/>
        </w:rPr>
        <w:t> 级的永久不可逆性</w:t>
      </w:r>
      <w:r>
        <w:rPr>
          <w:spacing w:val="-8"/>
          <w:w w:val="95"/>
        </w:rPr>
        <w:t>关节功能障碍（生活不能自理，且丧失工作能力）并且满足下列全部条件：</w:t>
      </w:r>
    </w:p>
    <w:p>
      <w:pPr>
        <w:pStyle w:val="BodyText"/>
        <w:spacing w:before="17"/>
        <w:jc w:val="both"/>
      </w:pPr>
      <w:r>
        <w:rPr>
          <w:w w:val="95"/>
        </w:rPr>
        <w:t>（1）晨僵；</w:t>
      </w:r>
    </w:p>
    <w:p>
      <w:pPr>
        <w:pStyle w:val="BodyText"/>
        <w:jc w:val="both"/>
      </w:pPr>
      <w:r>
        <w:rPr>
          <w:w w:val="95"/>
        </w:rPr>
        <w:t>（2）对称性关节炎；</w:t>
      </w:r>
    </w:p>
    <w:p>
      <w:pPr>
        <w:pStyle w:val="BodyText"/>
        <w:spacing w:before="82"/>
        <w:jc w:val="both"/>
      </w:pPr>
      <w:r>
        <w:rPr>
          <w:w w:val="95"/>
        </w:rPr>
        <w:t>（3）类风湿性皮下结节；</w:t>
      </w:r>
    </w:p>
    <w:p>
      <w:pPr>
        <w:pStyle w:val="BodyText"/>
        <w:jc w:val="both"/>
      </w:pPr>
      <w:r>
        <w:rPr>
          <w:w w:val="95"/>
        </w:rPr>
        <w:t>（4）类风湿因子滴度升高；</w:t>
      </w:r>
    </w:p>
    <w:p>
      <w:pPr>
        <w:pStyle w:val="BodyText"/>
        <w:jc w:val="both"/>
      </w:pPr>
      <w:r>
        <w:rPr/>
        <w:t>（5）X 线显示严重的关节（软骨和骨）破坏和关节畸形。</w:t>
      </w:r>
    </w:p>
    <w:p>
      <w:pPr>
        <w:pStyle w:val="Heading2"/>
        <w:numPr>
          <w:ilvl w:val="2"/>
          <w:numId w:val="22"/>
        </w:numPr>
        <w:tabs>
          <w:tab w:pos="960" w:val="left" w:leader="none"/>
        </w:tabs>
        <w:spacing w:line="240" w:lineRule="auto" w:before="13" w:after="0"/>
        <w:ind w:left="960" w:right="0" w:hanging="840"/>
        <w:jc w:val="both"/>
      </w:pPr>
      <w:bookmarkStart w:name="_TOC_250033" w:id="189"/>
      <w:r>
        <w:rPr>
          <w:spacing w:val="2"/>
          <w:w w:val="105"/>
        </w:rPr>
        <w:t>系统性红斑狼疮 － </w:t>
      </w:r>
      <w:r>
        <w:rPr>
          <w:w w:val="105"/>
        </w:rPr>
        <w:t>III</w:t>
      </w:r>
      <w:bookmarkEnd w:id="189"/>
      <w:r>
        <w:rPr>
          <w:spacing w:val="-4"/>
          <w:w w:val="105"/>
        </w:rPr>
        <w:t> 型或以上狼疮性肾炎</w:t>
      </w:r>
    </w:p>
    <w:p>
      <w:pPr>
        <w:pStyle w:val="BodyText"/>
        <w:spacing w:line="309" w:lineRule="auto" w:before="56"/>
        <w:ind w:right="119"/>
      </w:pPr>
      <w:r>
        <w:rPr>
          <w:spacing w:val="-8"/>
          <w:w w:val="95"/>
        </w:rPr>
        <w:t>是由多种因素引起，累及多系统的自身免疫性疾病。其特点是生成自身抗体对抗多种自身抗   原。多见于育龄妇女。</w:t>
      </w:r>
    </w:p>
    <w:p>
      <w:pPr>
        <w:pStyle w:val="BodyText"/>
        <w:spacing w:before="21"/>
      </w:pPr>
      <w:r>
        <w:rPr>
          <w:spacing w:val="-3"/>
        </w:rPr>
        <w:t>本保单所指的系统性红斑狼疮仅限于累及肾脏</w:t>
      </w:r>
      <w:r>
        <w:rPr/>
        <w:t>（</w:t>
      </w:r>
      <w:r>
        <w:rPr>
          <w:spacing w:val="-11"/>
        </w:rPr>
        <w:t>经肾脏活检确认的，符合 </w:t>
      </w:r>
      <w:r>
        <w:rPr/>
        <w:t>WHO</w:t>
      </w:r>
      <w:r>
        <w:rPr>
          <w:spacing w:val="-9"/>
        </w:rPr>
        <w:t> 诊断标准定义</w:t>
      </w:r>
    </w:p>
    <w:p>
      <w:pPr>
        <w:pStyle w:val="BodyText"/>
        <w:spacing w:line="309" w:lineRule="auto" w:before="79"/>
        <w:ind w:right="116"/>
      </w:pPr>
      <w:r>
        <w:rPr/>
        <w:t>III</w:t>
      </w:r>
      <w:r>
        <w:rPr>
          <w:spacing w:val="-40"/>
        </w:rPr>
        <w:t> 型或 </w:t>
      </w:r>
      <w:r>
        <w:rPr/>
        <w:t>III</w:t>
      </w:r>
      <w:r>
        <w:rPr>
          <w:spacing w:val="-11"/>
        </w:rPr>
        <w:t> 型以上狼疮性肾炎</w:t>
      </w:r>
      <w:r>
        <w:rPr>
          <w:spacing w:val="-48"/>
        </w:rPr>
        <w:t>）</w:t>
      </w:r>
      <w:r>
        <w:rPr>
          <w:spacing w:val="-9"/>
        </w:rPr>
        <w:t>的系统性红斑狼疮。其他类型的红斑性狼疮，如盘状狼疮</w:t>
      </w:r>
      <w:r>
        <w:rPr>
          <w:w w:val="85"/>
        </w:rPr>
        <w:t>、</w:t>
      </w:r>
      <w:r>
        <w:rPr>
          <w:w w:val="95"/>
        </w:rPr>
        <w:t>仅累及血液及关节的狼疮不在本合同保障范围內。</w:t>
      </w:r>
    </w:p>
    <w:p>
      <w:pPr>
        <w:pStyle w:val="BodyText"/>
        <w:spacing w:before="18"/>
        <w:jc w:val="both"/>
      </w:pPr>
      <w:r>
        <w:rPr>
          <w:w w:val="95"/>
        </w:rPr>
        <w:t>世界卫生组织（WHO）狼疮性肾炎分型：</w:t>
      </w:r>
    </w:p>
    <w:p>
      <w:pPr>
        <w:pStyle w:val="ListParagraph"/>
        <w:numPr>
          <w:ilvl w:val="0"/>
          <w:numId w:val="23"/>
        </w:numPr>
        <w:tabs>
          <w:tab w:pos="276" w:val="left" w:leader="none"/>
        </w:tabs>
        <w:spacing w:line="240" w:lineRule="auto" w:before="79" w:after="0"/>
        <w:ind w:left="276" w:right="0" w:hanging="156"/>
        <w:jc w:val="both"/>
        <w:rPr>
          <w:sz w:val="21"/>
        </w:rPr>
      </w:pPr>
      <w:r>
        <w:rPr>
          <w:spacing w:val="2"/>
          <w:sz w:val="21"/>
        </w:rPr>
        <w:t>型    微小病变型</w:t>
      </w:r>
    </w:p>
    <w:p>
      <w:pPr>
        <w:spacing w:after="0" w:line="240" w:lineRule="auto"/>
        <w:jc w:val="both"/>
        <w:rPr>
          <w:sz w:val="21"/>
        </w:rPr>
        <w:sectPr>
          <w:pgSz w:w="11910" w:h="16840"/>
          <w:pgMar w:header="0" w:footer="1047" w:top="1420" w:bottom="1240" w:left="1680" w:right="1680"/>
        </w:sectPr>
      </w:pPr>
    </w:p>
    <w:p>
      <w:pPr>
        <w:pStyle w:val="ListParagraph"/>
        <w:numPr>
          <w:ilvl w:val="0"/>
          <w:numId w:val="23"/>
        </w:numPr>
        <w:tabs>
          <w:tab w:pos="382" w:val="left" w:leader="none"/>
          <w:tab w:pos="959" w:val="left" w:leader="none"/>
        </w:tabs>
        <w:spacing w:line="240" w:lineRule="auto" w:before="8" w:after="0"/>
        <w:ind w:left="381" w:right="0" w:hanging="261"/>
        <w:jc w:val="left"/>
        <w:rPr>
          <w:sz w:val="21"/>
        </w:rPr>
      </w:pPr>
      <w:bookmarkStart w:name="严重溃疡性结肠炎" w:id="190"/>
      <w:bookmarkEnd w:id="190"/>
      <w:r>
        <w:rPr/>
      </w:r>
      <w:bookmarkStart w:name="经输血导致的人类免疫缺陷病毒（HIV）感染" w:id="191"/>
      <w:bookmarkEnd w:id="191"/>
      <w:r>
        <w:rPr/>
      </w:r>
      <w:bookmarkStart w:name="严重弥漫性系统性硬皮病" w:id="192"/>
      <w:bookmarkEnd w:id="192"/>
      <w:r>
        <w:rPr/>
      </w:r>
      <w:bookmarkStart w:name="全身性重症肌无力" w:id="193"/>
      <w:bookmarkEnd w:id="193"/>
      <w:r>
        <w:rPr/>
      </w:r>
      <w:bookmarkStart w:name="持续植物人状态" w:id="194"/>
      <w:bookmarkEnd w:id="194"/>
      <w:r>
        <w:rPr/>
      </w:r>
      <w:bookmarkStart w:name="持续植物人状态" w:id="195"/>
      <w:bookmarkEnd w:id="195"/>
      <w:r>
        <w:rPr>
          <w:sz w:val="21"/>
        </w:rPr>
        <w:t>型</w:t>
      </w:r>
      <w:r>
        <w:rPr>
          <w:sz w:val="21"/>
        </w:rPr>
        <w:tab/>
      </w:r>
      <w:r>
        <w:rPr>
          <w:w w:val="95"/>
          <w:sz w:val="21"/>
        </w:rPr>
        <w:t>系膜病变型</w:t>
      </w:r>
    </w:p>
    <w:p>
      <w:pPr>
        <w:pStyle w:val="ListParagraph"/>
        <w:numPr>
          <w:ilvl w:val="0"/>
          <w:numId w:val="23"/>
        </w:numPr>
        <w:tabs>
          <w:tab w:pos="488" w:val="left" w:leader="none"/>
          <w:tab w:pos="959" w:val="left" w:leader="none"/>
        </w:tabs>
        <w:spacing w:line="240" w:lineRule="auto" w:before="79" w:after="0"/>
        <w:ind w:left="487" w:right="0" w:hanging="367"/>
        <w:jc w:val="left"/>
        <w:rPr>
          <w:sz w:val="21"/>
        </w:rPr>
      </w:pPr>
      <w:r>
        <w:rPr>
          <w:sz w:val="21"/>
        </w:rPr>
        <w:t>型</w:t>
        <w:tab/>
      </w:r>
      <w:r>
        <w:rPr>
          <w:w w:val="95"/>
          <w:sz w:val="21"/>
        </w:rPr>
        <w:t>局灶及节段增生型</w:t>
      </w:r>
    </w:p>
    <w:p>
      <w:pPr>
        <w:pStyle w:val="ListParagraph"/>
        <w:numPr>
          <w:ilvl w:val="0"/>
          <w:numId w:val="23"/>
        </w:numPr>
        <w:tabs>
          <w:tab w:pos="382" w:val="left" w:leader="none"/>
          <w:tab w:pos="959" w:val="left" w:leader="none"/>
        </w:tabs>
        <w:spacing w:line="240" w:lineRule="auto" w:before="79" w:after="0"/>
        <w:ind w:left="381" w:right="0" w:hanging="261"/>
        <w:jc w:val="left"/>
        <w:rPr>
          <w:sz w:val="21"/>
        </w:rPr>
      </w:pPr>
      <w:r>
        <w:rPr>
          <w:sz w:val="21"/>
        </w:rPr>
        <w:t>型</w:t>
        <w:tab/>
      </w:r>
      <w:r>
        <w:rPr>
          <w:w w:val="95"/>
          <w:sz w:val="21"/>
        </w:rPr>
        <w:t>弥漫增生型</w:t>
      </w:r>
    </w:p>
    <w:p>
      <w:pPr>
        <w:pStyle w:val="ListParagraph"/>
        <w:numPr>
          <w:ilvl w:val="0"/>
          <w:numId w:val="23"/>
        </w:numPr>
        <w:tabs>
          <w:tab w:pos="276" w:val="left" w:leader="none"/>
          <w:tab w:pos="959" w:val="left" w:leader="none"/>
        </w:tabs>
        <w:spacing w:line="240" w:lineRule="auto" w:before="82" w:after="0"/>
        <w:ind w:left="276" w:right="0" w:hanging="156"/>
        <w:jc w:val="left"/>
        <w:rPr>
          <w:sz w:val="21"/>
        </w:rPr>
      </w:pPr>
      <w:r>
        <w:rPr>
          <w:sz w:val="21"/>
        </w:rPr>
        <w:t>型</w:t>
        <w:tab/>
      </w:r>
      <w:r>
        <w:rPr>
          <w:w w:val="95"/>
          <w:sz w:val="21"/>
        </w:rPr>
        <w:t>膜型</w:t>
      </w:r>
    </w:p>
    <w:p>
      <w:pPr>
        <w:pStyle w:val="ListParagraph"/>
        <w:numPr>
          <w:ilvl w:val="0"/>
          <w:numId w:val="23"/>
        </w:numPr>
        <w:tabs>
          <w:tab w:pos="382" w:val="left" w:leader="none"/>
          <w:tab w:pos="959" w:val="left" w:leader="none"/>
        </w:tabs>
        <w:spacing w:line="240" w:lineRule="auto" w:before="80" w:after="0"/>
        <w:ind w:left="381" w:right="0" w:hanging="261"/>
        <w:jc w:val="left"/>
        <w:rPr>
          <w:sz w:val="21"/>
        </w:rPr>
      </w:pPr>
      <w:r>
        <w:rPr>
          <w:sz w:val="21"/>
        </w:rPr>
        <w:t>型</w:t>
        <w:tab/>
      </w:r>
      <w:r>
        <w:rPr>
          <w:w w:val="95"/>
          <w:sz w:val="21"/>
        </w:rPr>
        <w:t>肾小球硬化型</w:t>
      </w:r>
    </w:p>
    <w:p>
      <w:pPr>
        <w:pStyle w:val="Heading2"/>
        <w:numPr>
          <w:ilvl w:val="2"/>
          <w:numId w:val="22"/>
        </w:numPr>
        <w:tabs>
          <w:tab w:pos="960" w:val="left" w:leader="none"/>
        </w:tabs>
        <w:spacing w:line="240" w:lineRule="auto" w:before="13" w:after="0"/>
        <w:ind w:left="960" w:right="0" w:hanging="840"/>
        <w:jc w:val="left"/>
      </w:pPr>
      <w:bookmarkStart w:name="_TOC_250032" w:id="196"/>
      <w:bookmarkEnd w:id="196"/>
      <w:r>
        <w:rPr>
          <w:w w:val="95"/>
        </w:rPr>
        <w:t>严重溃疡性结肠炎</w:t>
      </w:r>
    </w:p>
    <w:p>
      <w:pPr>
        <w:pStyle w:val="BodyText"/>
        <w:spacing w:line="309" w:lineRule="auto" w:before="56"/>
        <w:ind w:right="197"/>
        <w:jc w:val="both"/>
      </w:pPr>
      <w:r>
        <w:rPr>
          <w:spacing w:val="-4"/>
        </w:rPr>
        <w:t>指伴有致命性电解质紊乱的急性暴发性溃疡性结肠炎，病变累及全结肠，表现为严重的血便</w:t>
      </w:r>
      <w:r>
        <w:rPr>
          <w:spacing w:val="-11"/>
          <w:w w:val="95"/>
        </w:rPr>
        <w:t>和系统性症状体征，治疗通常采取全结肠切除和回肠造瘘术。溃疡性结肠炎必须根据组织病   理学特点诊断，并且被保险人已经接受了结肠切除和回肠造瘘术。</w:t>
      </w:r>
    </w:p>
    <w:p>
      <w:pPr>
        <w:pStyle w:val="Heading2"/>
        <w:numPr>
          <w:ilvl w:val="2"/>
          <w:numId w:val="22"/>
        </w:numPr>
        <w:tabs>
          <w:tab w:pos="960" w:val="left" w:leader="none"/>
        </w:tabs>
        <w:spacing w:line="321" w:lineRule="exact" w:before="0" w:after="0"/>
        <w:ind w:left="960" w:right="0" w:hanging="840"/>
        <w:jc w:val="left"/>
      </w:pPr>
      <w:bookmarkStart w:name="_TOC_250031" w:id="197"/>
      <w:r>
        <w:rPr>
          <w:w w:val="99"/>
        </w:rPr>
        <w:t>经输血导致的人类免疫缺陷病毒</w:t>
      </w:r>
      <w:r>
        <w:rPr>
          <w:spacing w:val="13"/>
          <w:w w:val="99"/>
        </w:rPr>
        <w:t>（</w:t>
      </w:r>
      <w:r>
        <w:rPr>
          <w:spacing w:val="0"/>
          <w:w w:val="63"/>
        </w:rPr>
        <w:t>H</w:t>
      </w:r>
      <w:r>
        <w:rPr>
          <w:spacing w:val="0"/>
          <w:w w:val="162"/>
        </w:rPr>
        <w:t>I</w:t>
      </w:r>
      <w:r>
        <w:rPr>
          <w:spacing w:val="0"/>
          <w:w w:val="72"/>
        </w:rPr>
        <w:t>V</w:t>
      </w:r>
      <w:r>
        <w:rPr>
          <w:spacing w:val="1"/>
          <w:w w:val="99"/>
        </w:rPr>
        <w:t>）</w:t>
      </w:r>
      <w:bookmarkEnd w:id="197"/>
      <w:r>
        <w:rPr>
          <w:w w:val="99"/>
        </w:rPr>
        <w:t>感染</w:t>
      </w:r>
    </w:p>
    <w:p>
      <w:pPr>
        <w:pStyle w:val="BodyText"/>
        <w:spacing w:before="56"/>
      </w:pPr>
      <w:r>
        <w:rPr>
          <w:w w:val="95"/>
        </w:rPr>
        <w:t>被保险人感染上人类免疫缺陷病毒（HIV）并且满足下列全部条件：</w:t>
      </w:r>
    </w:p>
    <w:p>
      <w:pPr>
        <w:pStyle w:val="BodyText"/>
        <w:spacing w:before="79"/>
      </w:pPr>
      <w:r>
        <w:rPr/>
        <w:t>（1）在保障起始日或复效日之后，被保险人因输血而感染 HIV；</w:t>
      </w:r>
    </w:p>
    <w:p>
      <w:pPr>
        <w:pStyle w:val="BodyText"/>
        <w:spacing w:line="309" w:lineRule="auto" w:before="79"/>
        <w:ind w:right="209"/>
      </w:pPr>
      <w:r>
        <w:rPr/>
        <w:t>（2）提供输血治疗的输血中心或医院出具该项输血感染属医疗责任事故的报告，或者法院</w:t>
      </w:r>
      <w:r>
        <w:rPr>
          <w:w w:val="95"/>
        </w:rPr>
        <w:t>终审裁定为医疗责任并且不准上诉；</w:t>
      </w:r>
    </w:p>
    <w:p>
      <w:pPr>
        <w:pStyle w:val="BodyText"/>
        <w:spacing w:before="21"/>
      </w:pPr>
      <w:r>
        <w:rPr>
          <w:w w:val="95"/>
        </w:rPr>
        <w:t>（3）受感染的被保险人不是血友病患者。</w:t>
      </w:r>
    </w:p>
    <w:p>
      <w:pPr>
        <w:pStyle w:val="BodyText"/>
        <w:spacing w:line="309" w:lineRule="auto"/>
        <w:ind w:right="197"/>
      </w:pPr>
      <w:r>
        <w:rPr/>
        <w:t>在任何治愈艾滋病（AIDS）</w:t>
      </w:r>
      <w:r>
        <w:rPr>
          <w:spacing w:val="-14"/>
        </w:rPr>
        <w:t>或阻止 </w:t>
      </w:r>
      <w:r>
        <w:rPr/>
        <w:t>HIV</w:t>
      </w:r>
      <w:r>
        <w:rPr>
          <w:spacing w:val="-11"/>
        </w:rPr>
        <w:t> 病毒作用的疗法被发现以后，或能防止 </w:t>
      </w:r>
      <w:r>
        <w:rPr/>
        <w:t>AIDS</w:t>
      </w:r>
      <w:r>
        <w:rPr>
          <w:spacing w:val="-14"/>
        </w:rPr>
        <w:t> 发生的</w:t>
      </w:r>
      <w:r>
        <w:rPr>
          <w:spacing w:val="-14"/>
          <w:w w:val="95"/>
        </w:rPr>
        <w:t>医疗方法被研究出来以后，本保障将不再予以赔付。</w:t>
      </w:r>
    </w:p>
    <w:p>
      <w:pPr>
        <w:pStyle w:val="BodyText"/>
        <w:spacing w:line="309" w:lineRule="auto" w:before="19"/>
        <w:ind w:right="197"/>
        <w:jc w:val="both"/>
      </w:pPr>
      <w:r>
        <w:rPr>
          <w:spacing w:val="-4"/>
        </w:rPr>
        <w:t>任何因其他传播方式</w:t>
      </w:r>
      <w:r>
        <w:rPr/>
        <w:t>（</w:t>
      </w:r>
      <w:r>
        <w:rPr>
          <w:spacing w:val="-6"/>
        </w:rPr>
        <w:t>包括：性传播或静脉注射毒品</w:t>
      </w:r>
      <w:r>
        <w:rPr>
          <w:spacing w:val="-32"/>
        </w:rPr>
        <w:t>）</w:t>
      </w:r>
      <w:r>
        <w:rPr>
          <w:spacing w:val="-15"/>
        </w:rPr>
        <w:t>导致的 </w:t>
      </w:r>
      <w:r>
        <w:rPr/>
        <w:t>HIV</w:t>
      </w:r>
      <w:r>
        <w:rPr>
          <w:spacing w:val="-8"/>
        </w:rPr>
        <w:t> 感染不在本合同保障范围</w:t>
      </w:r>
      <w:r>
        <w:rPr>
          <w:spacing w:val="-11"/>
          <w:w w:val="95"/>
        </w:rPr>
        <w:t>内。保险公司必须拥有获得使用被保险人的所有血液样本的权利和能够对这些样本进行独立   检验的权利。</w:t>
      </w:r>
    </w:p>
    <w:p>
      <w:pPr>
        <w:pStyle w:val="Heading2"/>
        <w:numPr>
          <w:ilvl w:val="2"/>
          <w:numId w:val="22"/>
        </w:numPr>
        <w:tabs>
          <w:tab w:pos="960" w:val="left" w:leader="none"/>
        </w:tabs>
        <w:spacing w:line="321" w:lineRule="exact" w:before="0" w:after="0"/>
        <w:ind w:left="960" w:right="0" w:hanging="840"/>
        <w:jc w:val="left"/>
      </w:pPr>
      <w:bookmarkStart w:name="_TOC_250030" w:id="198"/>
      <w:bookmarkEnd w:id="198"/>
      <w:r>
        <w:rPr>
          <w:w w:val="95"/>
        </w:rPr>
        <w:t>严重弥漫性系统性硬皮病</w:t>
      </w:r>
    </w:p>
    <w:p>
      <w:pPr>
        <w:pStyle w:val="BodyText"/>
        <w:spacing w:line="309" w:lineRule="auto" w:before="56"/>
        <w:ind w:right="199"/>
        <w:jc w:val="both"/>
      </w:pPr>
      <w:r>
        <w:rPr/>
        <w:t>是一种系统性胶原血管病引起进行性的皮肤/血管和内脏器官的弥漫性纤维化。诊断必须明</w:t>
      </w:r>
      <w:r>
        <w:rPr>
          <w:spacing w:val="-4"/>
          <w:w w:val="95"/>
        </w:rPr>
        <w:t>确并由活检和血清学证据支持并且疾病已经影响到心脏、肺或肾脏等内脏器官并且达到下列   标准之一。</w:t>
      </w:r>
    </w:p>
    <w:p>
      <w:pPr>
        <w:pStyle w:val="BodyText"/>
        <w:spacing w:before="21"/>
      </w:pPr>
      <w:r>
        <w:rPr>
          <w:w w:val="95"/>
        </w:rPr>
        <w:t>（1）肺纤维化，已经出现肺动脉高压、肺心病；</w:t>
      </w:r>
    </w:p>
    <w:p>
      <w:pPr>
        <w:pStyle w:val="BodyText"/>
      </w:pPr>
      <w:r>
        <w:rPr/>
        <w:t>（2）心脏损害，心脏功能衰竭程度达到纽约心脏病学会的心功能分级标准之心功能 IV 级；</w:t>
      </w:r>
    </w:p>
    <w:p>
      <w:pPr>
        <w:pStyle w:val="BodyText"/>
        <w:spacing w:line="309" w:lineRule="auto"/>
        <w:ind w:right="2729"/>
      </w:pPr>
      <w:r>
        <w:rPr/>
        <w:t>（3）肾脏受损导致双肾功能慢性不可逆衰竭，达到尿毒症期。</w:t>
      </w:r>
      <w:r>
        <w:rPr>
          <w:w w:val="95"/>
        </w:rPr>
        <w:t>下列疾病除外：</w:t>
      </w:r>
    </w:p>
    <w:p>
      <w:pPr>
        <w:pStyle w:val="BodyText"/>
        <w:spacing w:before="21"/>
      </w:pPr>
      <w:r>
        <w:rPr>
          <w:w w:val="95"/>
        </w:rPr>
        <w:t>（1）局限硬皮病；</w:t>
      </w:r>
    </w:p>
    <w:p>
      <w:pPr>
        <w:pStyle w:val="BodyText"/>
        <w:spacing w:before="79"/>
      </w:pPr>
      <w:r>
        <w:rPr>
          <w:w w:val="95"/>
        </w:rPr>
        <w:t>（2）嗜酸细胞筋膜炎；</w:t>
      </w:r>
    </w:p>
    <w:p>
      <w:pPr>
        <w:pStyle w:val="BodyText"/>
        <w:spacing w:before="79"/>
      </w:pPr>
      <w:r>
        <w:rPr/>
        <w:t>（3）CREST 综合征。</w:t>
      </w:r>
    </w:p>
    <w:p>
      <w:pPr>
        <w:pStyle w:val="Heading2"/>
        <w:numPr>
          <w:ilvl w:val="2"/>
          <w:numId w:val="22"/>
        </w:numPr>
        <w:tabs>
          <w:tab w:pos="960" w:val="left" w:leader="none"/>
        </w:tabs>
        <w:spacing w:line="240" w:lineRule="auto" w:before="13" w:after="0"/>
        <w:ind w:left="960" w:right="0" w:hanging="840"/>
        <w:jc w:val="left"/>
      </w:pPr>
      <w:bookmarkStart w:name="_TOC_250029" w:id="199"/>
      <w:bookmarkEnd w:id="199"/>
      <w:r>
        <w:rPr>
          <w:w w:val="95"/>
        </w:rPr>
        <w:t>全身性重症肌无力</w:t>
      </w:r>
    </w:p>
    <w:p>
      <w:pPr>
        <w:pStyle w:val="BodyText"/>
        <w:spacing w:line="309" w:lineRule="auto" w:before="56"/>
        <w:ind w:right="105"/>
      </w:pPr>
      <w:r>
        <w:rPr/>
        <w:t>是一种神经肌肉接头传递障碍所致的疾病，表现为局部或全身骨骼肌（特别是眼外肌）极易</w:t>
      </w:r>
      <w:r>
        <w:rPr>
          <w:w w:val="95"/>
        </w:rPr>
        <w:t>疲劳。疾病可以累及呼吸肌、上肢或下肢的近端肌群或全身肌肉，必须满足下列全部条件：</w:t>
      </w:r>
    </w:p>
    <w:p>
      <w:pPr>
        <w:pStyle w:val="BodyText"/>
        <w:spacing w:before="21"/>
      </w:pPr>
      <w:r>
        <w:rPr>
          <w:w w:val="95"/>
        </w:rPr>
        <w:t>（1）经药物治疗和胸腺切除治疗一年以上仍无法控制病情；</w:t>
      </w:r>
    </w:p>
    <w:p>
      <w:pPr>
        <w:pStyle w:val="BodyText"/>
      </w:pPr>
      <w:r>
        <w:rPr>
          <w:w w:val="95"/>
        </w:rPr>
        <w:t>（2）自主生活能力完全丧失，无法独立完成六项基本日常生活活动中的三项或三项以上。</w:t>
      </w:r>
    </w:p>
    <w:p>
      <w:pPr>
        <w:pStyle w:val="Heading2"/>
        <w:numPr>
          <w:ilvl w:val="2"/>
          <w:numId w:val="22"/>
        </w:numPr>
        <w:tabs>
          <w:tab w:pos="1065" w:val="left" w:leader="none"/>
          <w:tab w:pos="1066" w:val="left" w:leader="none"/>
        </w:tabs>
        <w:spacing w:line="240" w:lineRule="auto" w:before="13" w:after="0"/>
        <w:ind w:left="1065" w:right="0" w:hanging="945"/>
        <w:jc w:val="left"/>
      </w:pPr>
      <w:bookmarkStart w:name="_TOC_250028" w:id="200"/>
      <w:bookmarkEnd w:id="200"/>
      <w:r>
        <w:rPr>
          <w:w w:val="95"/>
        </w:rPr>
        <w:t>持续植物人状态</w:t>
      </w:r>
    </w:p>
    <w:p>
      <w:pPr>
        <w:pStyle w:val="BodyText"/>
        <w:spacing w:line="309" w:lineRule="auto" w:before="56"/>
        <w:ind w:right="197"/>
      </w:pPr>
      <w:r>
        <w:rPr>
          <w:spacing w:val="-3"/>
          <w:w w:val="95"/>
        </w:rPr>
        <w:t>指因疾病或者意外导致被保险人躯体反射和自主反射全部丧失的深昏迷，但呼吸和心跳是正   常的，此时完全依赖支持疗法（如流质食物、静脉注射营养液等）</w:t>
      </w:r>
      <w:r>
        <w:rPr>
          <w:spacing w:val="-12"/>
          <w:w w:val="95"/>
        </w:rPr>
        <w:t>维持生命的临床状态，需</w:t>
      </w:r>
    </w:p>
    <w:p>
      <w:pPr>
        <w:spacing w:after="0" w:line="309" w:lineRule="auto"/>
        <w:sectPr>
          <w:pgSz w:w="11910" w:h="16840"/>
          <w:pgMar w:header="0" w:footer="1047" w:top="1420" w:bottom="1240" w:left="1680" w:right="1600"/>
        </w:sectPr>
      </w:pPr>
    </w:p>
    <w:p>
      <w:pPr>
        <w:pStyle w:val="BodyText"/>
        <w:spacing w:before="8"/>
      </w:pPr>
      <w:bookmarkStart w:name="严重心肌病" w:id="201"/>
      <w:bookmarkEnd w:id="201"/>
      <w:r>
        <w:rPr/>
      </w:r>
      <w:bookmarkStart w:name="丝虫病所致象皮病" w:id="202"/>
      <w:bookmarkEnd w:id="202"/>
      <w:r>
        <w:rPr/>
      </w:r>
      <w:bookmarkStart w:name="严重克隆病" w:id="203"/>
      <w:bookmarkEnd w:id="203"/>
      <w:r>
        <w:rPr/>
      </w:r>
      <w:bookmarkStart w:name="重症坏死性筋膜炎" w:id="204"/>
      <w:bookmarkEnd w:id="204"/>
      <w:r>
        <w:rPr/>
      </w:r>
      <w:bookmarkStart w:name="II级重症急性胰腺炎" w:id="205"/>
      <w:bookmarkEnd w:id="205"/>
      <w:r>
        <w:rPr/>
      </w:r>
      <w:bookmarkStart w:name="1型糖尿病" w:id="206"/>
      <w:bookmarkEnd w:id="206"/>
      <w:r>
        <w:rPr/>
      </w:r>
      <w:bookmarkStart w:name="严重原发性硬化性胆管炎" w:id="207"/>
      <w:bookmarkEnd w:id="207"/>
      <w:r>
        <w:rPr/>
      </w:r>
      <w:r>
        <w:rPr>
          <w:w w:val="95"/>
        </w:rPr>
        <w:t>经我司认可的神经病学专科医生明确诊断，并同时具备下列条件：</w:t>
      </w:r>
    </w:p>
    <w:p>
      <w:pPr>
        <w:pStyle w:val="ListParagraph"/>
        <w:numPr>
          <w:ilvl w:val="0"/>
          <w:numId w:val="24"/>
        </w:numPr>
        <w:tabs>
          <w:tab w:pos="749" w:val="left" w:leader="none"/>
        </w:tabs>
        <w:spacing w:line="240" w:lineRule="auto" w:before="79" w:after="0"/>
        <w:ind w:left="748" w:right="0" w:hanging="628"/>
        <w:jc w:val="left"/>
        <w:rPr>
          <w:sz w:val="21"/>
        </w:rPr>
      </w:pPr>
      <w:r>
        <w:rPr>
          <w:spacing w:val="-4"/>
          <w:sz w:val="21"/>
        </w:rPr>
        <w:t>诊断为植物人状态后并继续维持治疗 </w:t>
      </w:r>
      <w:r>
        <w:rPr>
          <w:sz w:val="21"/>
        </w:rPr>
        <w:t>180</w:t>
      </w:r>
      <w:r>
        <w:rPr>
          <w:spacing w:val="-12"/>
          <w:sz w:val="21"/>
        </w:rPr>
        <w:t> 天以上；</w:t>
      </w:r>
    </w:p>
    <w:p>
      <w:pPr>
        <w:pStyle w:val="ListParagraph"/>
        <w:numPr>
          <w:ilvl w:val="0"/>
          <w:numId w:val="24"/>
        </w:numPr>
        <w:tabs>
          <w:tab w:pos="749" w:val="left" w:leader="none"/>
        </w:tabs>
        <w:spacing w:line="240" w:lineRule="auto" w:before="79" w:after="0"/>
        <w:ind w:left="748" w:right="0" w:hanging="628"/>
        <w:jc w:val="left"/>
        <w:rPr>
          <w:sz w:val="21"/>
        </w:rPr>
      </w:pPr>
      <w:r>
        <w:rPr>
          <w:spacing w:val="-20"/>
          <w:sz w:val="21"/>
        </w:rPr>
        <w:t>治疗 </w:t>
      </w:r>
      <w:r>
        <w:rPr>
          <w:sz w:val="21"/>
        </w:rPr>
        <w:t>180</w:t>
      </w:r>
      <w:r>
        <w:rPr>
          <w:spacing w:val="-8"/>
          <w:sz w:val="21"/>
        </w:rPr>
        <w:t> 天前后的脑电图检查均为等电位</w:t>
      </w:r>
      <w:r>
        <w:rPr>
          <w:sz w:val="21"/>
        </w:rPr>
        <w:t>（完全平坦</w:t>
      </w:r>
      <w:r>
        <w:rPr>
          <w:spacing w:val="-104"/>
          <w:sz w:val="21"/>
        </w:rPr>
        <w:t>）</w:t>
      </w:r>
      <w:r>
        <w:rPr>
          <w:sz w:val="21"/>
        </w:rPr>
        <w:t>。</w:t>
      </w:r>
    </w:p>
    <w:p>
      <w:pPr>
        <w:pStyle w:val="Heading2"/>
        <w:numPr>
          <w:ilvl w:val="2"/>
          <w:numId w:val="22"/>
        </w:numPr>
        <w:tabs>
          <w:tab w:pos="960" w:val="left" w:leader="none"/>
        </w:tabs>
        <w:spacing w:line="240" w:lineRule="auto" w:before="15" w:after="0"/>
        <w:ind w:left="960" w:right="0" w:hanging="840"/>
        <w:jc w:val="left"/>
      </w:pPr>
      <w:bookmarkStart w:name="_TOC_250027" w:id="208"/>
      <w:bookmarkEnd w:id="208"/>
      <w:r>
        <w:rPr>
          <w:w w:val="95"/>
        </w:rPr>
        <w:t>严重心肌病</w:t>
      </w:r>
    </w:p>
    <w:p>
      <w:pPr>
        <w:pStyle w:val="BodyText"/>
        <w:spacing w:line="309" w:lineRule="auto" w:before="56"/>
        <w:ind w:right="217"/>
        <w:jc w:val="both"/>
      </w:pPr>
      <w:r>
        <w:rPr>
          <w:spacing w:val="-3"/>
          <w:w w:val="95"/>
        </w:rPr>
        <w:t>指被保人因心肌病导致慢性心功能损害造成永久不可逆性的心功能衰竭。心功能衰竭程度达   </w:t>
      </w:r>
      <w:r>
        <w:rPr>
          <w:spacing w:val="-6"/>
        </w:rPr>
        <w:t>到纽约心脏病学会的心功能分级标准之心功能 </w:t>
      </w:r>
      <w:r>
        <w:rPr/>
        <w:t>IV</w:t>
      </w:r>
      <w:r>
        <w:rPr>
          <w:spacing w:val="-8"/>
        </w:rPr>
        <w:t> 级。被保险人永久不可逆性的体力活动能</w:t>
      </w:r>
      <w:r>
        <w:rPr>
          <w:spacing w:val="-8"/>
          <w:w w:val="95"/>
        </w:rPr>
        <w:t>力受限，不能从事任何体力活动。</w:t>
      </w:r>
    </w:p>
    <w:p>
      <w:pPr>
        <w:pStyle w:val="Heading2"/>
        <w:numPr>
          <w:ilvl w:val="2"/>
          <w:numId w:val="22"/>
        </w:numPr>
        <w:tabs>
          <w:tab w:pos="960" w:val="left" w:leader="none"/>
        </w:tabs>
        <w:spacing w:line="318" w:lineRule="exact" w:before="0" w:after="0"/>
        <w:ind w:left="960" w:right="0" w:hanging="840"/>
        <w:jc w:val="left"/>
      </w:pPr>
      <w:bookmarkStart w:name="_TOC_250026" w:id="209"/>
      <w:bookmarkEnd w:id="209"/>
      <w:r>
        <w:rPr>
          <w:w w:val="95"/>
        </w:rPr>
        <w:t>丝虫病所致象皮病</w:t>
      </w:r>
    </w:p>
    <w:p>
      <w:pPr>
        <w:pStyle w:val="BodyText"/>
        <w:spacing w:line="312" w:lineRule="auto" w:before="56"/>
        <w:ind w:right="217"/>
        <w:jc w:val="both"/>
      </w:pPr>
      <w:r>
        <w:rPr>
          <w:spacing w:val="1"/>
          <w:w w:val="95"/>
        </w:rPr>
        <w:t>指因丝虫感染导致淋巴阻塞性出现严重淋巴水肿，达到国际淋巴学会淋巴肿分期第 </w:t>
      </w:r>
      <w:r>
        <w:rPr>
          <w:w w:val="95"/>
        </w:rPr>
        <w:t>III</w:t>
      </w:r>
      <w:r>
        <w:rPr>
          <w:spacing w:val="43"/>
          <w:w w:val="95"/>
        </w:rPr>
        <w:t> 期</w:t>
      </w:r>
      <w:r>
        <w:rPr>
          <w:w w:val="90"/>
        </w:rPr>
        <w:t>， </w:t>
      </w:r>
      <w:r>
        <w:rPr>
          <w:spacing w:val="-6"/>
        </w:rPr>
        <w:t>临床表现为肢体象皮肿，患肢较健肢增粗 </w:t>
      </w:r>
      <w:r>
        <w:rPr/>
        <w:t>30%</w:t>
      </w:r>
      <w:r>
        <w:rPr>
          <w:spacing w:val="-5"/>
        </w:rPr>
        <w:t>以上，日常生活不能自理。此病症须经本公司</w:t>
      </w:r>
      <w:r>
        <w:rPr>
          <w:spacing w:val="-5"/>
          <w:w w:val="95"/>
        </w:rPr>
        <w:t>认可的的专科医生根据临床表现和微丝蚴的化验结果确诊。</w:t>
      </w:r>
    </w:p>
    <w:p>
      <w:pPr>
        <w:pStyle w:val="Heading2"/>
        <w:numPr>
          <w:ilvl w:val="2"/>
          <w:numId w:val="22"/>
        </w:numPr>
        <w:tabs>
          <w:tab w:pos="960" w:val="left" w:leader="none"/>
        </w:tabs>
        <w:spacing w:line="316" w:lineRule="exact" w:before="0" w:after="0"/>
        <w:ind w:left="960" w:right="0" w:hanging="840"/>
        <w:jc w:val="left"/>
      </w:pPr>
      <w:bookmarkStart w:name="_TOC_250025" w:id="210"/>
      <w:bookmarkEnd w:id="210"/>
      <w:r>
        <w:rPr>
          <w:w w:val="95"/>
        </w:rPr>
        <w:t>严重克隆病</w:t>
      </w:r>
    </w:p>
    <w:p>
      <w:pPr>
        <w:pStyle w:val="BodyText"/>
        <w:spacing w:line="309" w:lineRule="auto" w:before="57"/>
        <w:ind w:right="219"/>
      </w:pPr>
      <w:r>
        <w:rPr>
          <w:spacing w:val="-6"/>
          <w:w w:val="95"/>
        </w:rPr>
        <w:t>是一种慢性肉芽肿性肠炎，具有特征性的克隆病病理组织学变化。诊断必须由病理检查结果   证实。被保险人所患的克隆病必须已经造成瘘管形成并伴有肠梗阻或肠穿孔。</w:t>
      </w:r>
    </w:p>
    <w:p>
      <w:pPr>
        <w:pStyle w:val="Heading2"/>
        <w:numPr>
          <w:ilvl w:val="2"/>
          <w:numId w:val="22"/>
        </w:numPr>
        <w:tabs>
          <w:tab w:pos="960" w:val="left" w:leader="none"/>
        </w:tabs>
        <w:spacing w:line="321" w:lineRule="exact" w:before="0" w:after="0"/>
        <w:ind w:left="960" w:right="0" w:hanging="840"/>
        <w:jc w:val="left"/>
      </w:pPr>
      <w:bookmarkStart w:name="_TOC_250024" w:id="211"/>
      <w:bookmarkEnd w:id="211"/>
      <w:r>
        <w:rPr>
          <w:w w:val="95"/>
        </w:rPr>
        <w:t>重症坏死性筋膜炎</w:t>
      </w:r>
    </w:p>
    <w:p>
      <w:pPr>
        <w:pStyle w:val="BodyText"/>
        <w:spacing w:line="309" w:lineRule="auto" w:before="56"/>
        <w:ind w:right="217"/>
      </w:pPr>
      <w:r>
        <w:rPr>
          <w:w w:val="95"/>
        </w:rPr>
        <w:t>是一种由细菌侵入皮下组织和筋膜引起的急性坏死性软组织感染，可伴有毒血症、败血症</w:t>
      </w:r>
      <w:r>
        <w:rPr>
          <w:w w:val="85"/>
        </w:rPr>
        <w:t>、  </w:t>
      </w:r>
      <w:r>
        <w:rPr>
          <w:w w:val="95"/>
        </w:rPr>
        <w:t>中毒性休克、弥漫性血管内凝血及多器官衰竭。必须满足以下所有条件：</w:t>
      </w:r>
    </w:p>
    <w:p>
      <w:pPr>
        <w:pStyle w:val="BodyText"/>
        <w:spacing w:before="18"/>
      </w:pPr>
      <w:r>
        <w:rPr>
          <w:w w:val="95"/>
        </w:rPr>
        <w:t>（1）细菌培养和临床表现符合坏死性筋膜炎诊断标准；</w:t>
      </w:r>
    </w:p>
    <w:p>
      <w:pPr>
        <w:pStyle w:val="BodyText"/>
        <w:spacing w:before="79"/>
      </w:pPr>
      <w:r>
        <w:rPr>
          <w:w w:val="95"/>
        </w:rPr>
        <w:t>（2）病情迅速恶化，有脓毒血症表现；</w:t>
      </w:r>
    </w:p>
    <w:p>
      <w:pPr>
        <w:pStyle w:val="BodyText"/>
        <w:spacing w:before="79"/>
      </w:pPr>
      <w:r>
        <w:rPr>
          <w:w w:val="95"/>
        </w:rPr>
        <w:t>（3）受感染肢体被截肢（自腕关节或踝关节近端</w:t>
      </w:r>
      <w:r>
        <w:rPr>
          <w:spacing w:val="-104"/>
          <w:w w:val="95"/>
        </w:rPr>
        <w:t>）</w:t>
      </w:r>
      <w:r>
        <w:rPr>
          <w:w w:val="95"/>
        </w:rPr>
        <w:t>。</w:t>
      </w:r>
    </w:p>
    <w:p>
      <w:pPr>
        <w:pStyle w:val="Heading2"/>
        <w:numPr>
          <w:ilvl w:val="2"/>
          <w:numId w:val="22"/>
        </w:numPr>
        <w:tabs>
          <w:tab w:pos="1065" w:val="left" w:leader="none"/>
          <w:tab w:pos="1066" w:val="left" w:leader="none"/>
        </w:tabs>
        <w:spacing w:line="240" w:lineRule="auto" w:before="15" w:after="0"/>
        <w:ind w:left="1065" w:right="0" w:hanging="945"/>
        <w:jc w:val="left"/>
      </w:pPr>
      <w:bookmarkStart w:name="_TOC_250023" w:id="212"/>
      <w:r>
        <w:rPr>
          <w:w w:val="120"/>
        </w:rPr>
        <w:t>II</w:t>
      </w:r>
      <w:r>
        <w:rPr>
          <w:spacing w:val="-40"/>
          <w:w w:val="120"/>
        </w:rPr>
        <w:t> </w:t>
      </w:r>
      <w:bookmarkEnd w:id="212"/>
      <w:r>
        <w:rPr>
          <w:w w:val="105"/>
        </w:rPr>
        <w:t>级重症急性胰腺炎</w:t>
      </w:r>
    </w:p>
    <w:p>
      <w:pPr>
        <w:pStyle w:val="BodyText"/>
        <w:spacing w:line="309" w:lineRule="auto" w:before="56"/>
        <w:ind w:right="217"/>
      </w:pPr>
      <w:r>
        <w:rPr>
          <w:spacing w:val="-4"/>
        </w:rPr>
        <w:t>Ⅱ级重症急性胰腺炎是指急性胰腺炎伴有脏器功能障碍。被保险人所患的Ⅱ级重症急性胰腺</w:t>
      </w:r>
      <w:r>
        <w:rPr>
          <w:spacing w:val="-8"/>
        </w:rPr>
        <w:t>炎必须明确诊断，按 </w:t>
      </w:r>
      <w:r>
        <w:rPr/>
        <w:t>APACHE</w:t>
      </w:r>
      <w:r>
        <w:rPr>
          <w:spacing w:val="-8"/>
        </w:rPr>
        <w:t>Ⅱ评分达到 </w:t>
      </w:r>
      <w:r>
        <w:rPr/>
        <w:t>8</w:t>
      </w:r>
      <w:r>
        <w:rPr>
          <w:spacing w:val="-25"/>
        </w:rPr>
        <w:t> 分或 </w:t>
      </w:r>
      <w:r>
        <w:rPr/>
        <w:t>8</w:t>
      </w:r>
      <w:r>
        <w:rPr>
          <w:spacing w:val="-17"/>
        </w:rPr>
        <w:t> 分以上和 </w:t>
      </w:r>
      <w:r>
        <w:rPr/>
        <w:t>Balthazar</w:t>
      </w:r>
      <w:r>
        <w:rPr>
          <w:spacing w:val="-7"/>
        </w:rPr>
        <w:t> 分级系统达到Ⅱ级或</w:t>
      </w:r>
    </w:p>
    <w:p>
      <w:pPr>
        <w:pStyle w:val="BodyText"/>
        <w:spacing w:line="312" w:lineRule="auto" w:before="19"/>
        <w:ind w:left="540" w:right="114" w:hanging="420"/>
      </w:pPr>
      <w:r>
        <w:rPr>
          <w:spacing w:val="-13"/>
          <w:w w:val="95"/>
        </w:rPr>
        <w:t>Ⅱ级以上，并且接受了外科剖腹手术治疗，以进行坏死组织清除、坏死病灶切除或胰腺切除。   因酗酒或饮酒过量所致的急性坏死性胰腺炎以及腹腔镜手术不在本合同保障范围内。</w:t>
      </w:r>
    </w:p>
    <w:p>
      <w:pPr>
        <w:pStyle w:val="Heading2"/>
        <w:numPr>
          <w:ilvl w:val="2"/>
          <w:numId w:val="22"/>
        </w:numPr>
        <w:tabs>
          <w:tab w:pos="960" w:val="left" w:leader="none"/>
        </w:tabs>
        <w:spacing w:line="316" w:lineRule="exact" w:before="0" w:after="0"/>
        <w:ind w:left="960" w:right="0" w:hanging="840"/>
        <w:jc w:val="left"/>
      </w:pPr>
      <w:bookmarkStart w:name="_TOC_250022" w:id="213"/>
      <w:r>
        <w:rPr/>
        <w:t>1</w:t>
      </w:r>
      <w:bookmarkEnd w:id="213"/>
      <w:r>
        <w:rPr>
          <w:spacing w:val="-5"/>
        </w:rPr>
        <w:t> 型糖尿病</w:t>
      </w:r>
    </w:p>
    <w:p>
      <w:pPr>
        <w:pStyle w:val="BodyText"/>
        <w:spacing w:before="56"/>
      </w:pPr>
      <w:r>
        <w:rPr/>
        <w:t>1 型糖尿病的特征为由于胰岛素分泌绝对不足引起严重胰岛素缺乏导致慢性血糖升高，需要</w:t>
      </w:r>
    </w:p>
    <w:p>
      <w:pPr>
        <w:pStyle w:val="BodyText"/>
        <w:spacing w:line="312" w:lineRule="auto" w:before="79"/>
        <w:ind w:right="215"/>
      </w:pPr>
      <w:r>
        <w:rPr>
          <w:spacing w:val="-1"/>
        </w:rPr>
        <w:t>依赖外源性胰岛素进行机体的葡萄糖代谢和维持生命。被保险人的 </w:t>
      </w:r>
      <w:r>
        <w:rPr/>
        <w:t>1</w:t>
      </w:r>
      <w:r>
        <w:rPr>
          <w:spacing w:val="-5"/>
        </w:rPr>
        <w:t> 型糖尿病必须明确诊</w:t>
      </w:r>
      <w:r>
        <w:rPr>
          <w:spacing w:val="-9"/>
        </w:rPr>
        <w:t>断，而且有血胰岛素测定及血 </w:t>
      </w:r>
      <w:r>
        <w:rPr/>
        <w:t>C</w:t>
      </w:r>
      <w:r>
        <w:rPr>
          <w:spacing w:val="-23"/>
        </w:rPr>
        <w:t> 肽或尿 </w:t>
      </w:r>
      <w:r>
        <w:rPr/>
        <w:t>C</w:t>
      </w:r>
      <w:r>
        <w:rPr>
          <w:spacing w:val="-8"/>
        </w:rPr>
        <w:t> 肽测定结果支持诊断，并且满足下列全部条件：</w:t>
      </w:r>
    </w:p>
    <w:p>
      <w:pPr>
        <w:pStyle w:val="BodyText"/>
        <w:spacing w:before="16"/>
        <w:ind w:left="540"/>
      </w:pPr>
      <w:r>
        <w:rPr/>
        <w:t>（1）已经持续性地接受外源性胰岛素注射治疗连续 180 天以上；</w:t>
      </w:r>
    </w:p>
    <w:p>
      <w:pPr>
        <w:pStyle w:val="BodyText"/>
        <w:spacing w:before="79"/>
        <w:ind w:left="540"/>
      </w:pPr>
      <w:r>
        <w:rPr>
          <w:w w:val="95"/>
        </w:rPr>
        <w:t>（2）因需要已经接受了下列治疗：</w:t>
      </w:r>
    </w:p>
    <w:p>
      <w:pPr>
        <w:pStyle w:val="ListParagraph"/>
        <w:numPr>
          <w:ilvl w:val="0"/>
          <w:numId w:val="25"/>
        </w:numPr>
        <w:tabs>
          <w:tab w:pos="1380" w:val="left" w:leader="none"/>
        </w:tabs>
        <w:spacing w:line="240" w:lineRule="auto" w:before="79" w:after="0"/>
        <w:ind w:left="1380" w:right="0" w:hanging="267"/>
        <w:jc w:val="left"/>
        <w:rPr>
          <w:sz w:val="21"/>
        </w:rPr>
      </w:pPr>
      <w:r>
        <w:rPr>
          <w:w w:val="95"/>
          <w:sz w:val="21"/>
        </w:rPr>
        <w:t>因严重心律失常植入了心脏起搏器；或</w:t>
      </w:r>
    </w:p>
    <w:p>
      <w:pPr>
        <w:pStyle w:val="ListParagraph"/>
        <w:numPr>
          <w:ilvl w:val="0"/>
          <w:numId w:val="25"/>
        </w:numPr>
        <w:tabs>
          <w:tab w:pos="1380" w:val="left" w:leader="none"/>
        </w:tabs>
        <w:spacing w:line="290" w:lineRule="exact" w:before="62" w:after="0"/>
        <w:ind w:left="1380" w:right="0" w:hanging="267"/>
        <w:jc w:val="left"/>
        <w:rPr>
          <w:sz w:val="21"/>
        </w:rPr>
      </w:pPr>
      <w:r>
        <w:rPr>
          <w:w w:val="95"/>
          <w:sz w:val="21"/>
        </w:rPr>
        <w:t>因坏疽自跖趾关节或以上切除了一趾或多趾。</w:t>
      </w:r>
    </w:p>
    <w:p>
      <w:pPr>
        <w:pStyle w:val="Heading2"/>
        <w:numPr>
          <w:ilvl w:val="2"/>
          <w:numId w:val="22"/>
        </w:numPr>
        <w:tabs>
          <w:tab w:pos="960" w:val="left" w:leader="none"/>
        </w:tabs>
        <w:spacing w:line="364" w:lineRule="exact" w:before="0" w:after="0"/>
        <w:ind w:left="960" w:right="0" w:hanging="840"/>
        <w:jc w:val="left"/>
      </w:pPr>
      <w:bookmarkStart w:name="_TOC_250021" w:id="214"/>
      <w:bookmarkEnd w:id="214"/>
      <w:r>
        <w:rPr>
          <w:w w:val="95"/>
        </w:rPr>
        <w:t>严重原发性硬化性胆管炎</w:t>
      </w:r>
    </w:p>
    <w:p>
      <w:pPr>
        <w:pStyle w:val="BodyText"/>
        <w:spacing w:line="309" w:lineRule="auto" w:before="59"/>
        <w:ind w:right="219"/>
      </w:pPr>
      <w:r>
        <w:rPr>
          <w:spacing w:val="-6"/>
          <w:w w:val="95"/>
        </w:rPr>
        <w:t>为一种特发型淤胆性疾病，特点为肝内及肝外胆道系统胆管壁增厚和管腔狭窄。必须满足以   下所有条件：</w:t>
      </w:r>
    </w:p>
    <w:p>
      <w:pPr>
        <w:pStyle w:val="BodyText"/>
        <w:spacing w:before="19"/>
        <w:ind w:left="540"/>
      </w:pPr>
      <w:r>
        <w:rPr>
          <w:w w:val="95"/>
        </w:rPr>
        <w:t>(1)诊断由逆行胰胆管造影（ERCP）或经皮胆管造影（PTC）确认；</w:t>
      </w:r>
    </w:p>
    <w:p>
      <w:pPr>
        <w:pStyle w:val="BodyText"/>
        <w:ind w:left="540"/>
      </w:pPr>
      <w:r>
        <w:rPr>
          <w:w w:val="95"/>
        </w:rPr>
        <w:t>(2)持续性黄疸伴碱性磷酸酶（ALP）显著升高；</w:t>
      </w:r>
    </w:p>
    <w:p>
      <w:pPr>
        <w:pStyle w:val="BodyText"/>
        <w:ind w:left="540"/>
      </w:pPr>
      <w:r>
        <w:rPr>
          <w:w w:val="95"/>
        </w:rPr>
        <w:t>(3)出现继发性胆汁性肝硬化和门静脉高压。</w:t>
      </w:r>
    </w:p>
    <w:p>
      <w:pPr>
        <w:spacing w:after="0"/>
        <w:sectPr>
          <w:pgSz w:w="11910" w:h="16840"/>
          <w:pgMar w:header="0" w:footer="1047" w:top="1420" w:bottom="1240" w:left="1680" w:right="1580"/>
        </w:sectPr>
      </w:pPr>
    </w:p>
    <w:p>
      <w:pPr>
        <w:pStyle w:val="Heading2"/>
        <w:numPr>
          <w:ilvl w:val="2"/>
          <w:numId w:val="22"/>
        </w:numPr>
        <w:tabs>
          <w:tab w:pos="960" w:val="left" w:leader="none"/>
        </w:tabs>
        <w:spacing w:line="307" w:lineRule="exact" w:before="0" w:after="0"/>
        <w:ind w:left="960" w:right="0" w:hanging="840"/>
        <w:jc w:val="left"/>
      </w:pPr>
      <w:bookmarkStart w:name="_TOC_250020" w:id="215"/>
      <w:bookmarkStart w:name="特发性慢性肾上腺皮质功能减退" w:id="216"/>
      <w:r>
        <w:rPr>
          <w:b w:val="0"/>
        </w:rPr>
      </w:r>
      <w:bookmarkStart w:name="嗜铬细胞瘤" w:id="217"/>
      <w:bookmarkEnd w:id="217"/>
      <w:r>
        <w:rPr>
          <w:b w:val="0"/>
        </w:rPr>
      </w:r>
      <w:bookmarkStart w:name="本条款约定确诊日" w:id="218"/>
      <w:bookmarkEnd w:id="218"/>
      <w:r>
        <w:rPr>
          <w:b w:val="0"/>
        </w:rPr>
      </w:r>
      <w:bookmarkStart w:name="白血病" w:id="219"/>
      <w:bookmarkEnd w:id="219"/>
      <w:r>
        <w:rPr>
          <w:b w:val="0"/>
        </w:rPr>
      </w:r>
      <w:bookmarkStart w:name="特定呼吸系统重大疾病" w:id="220"/>
      <w:bookmarkEnd w:id="220"/>
      <w:r>
        <w:rPr>
          <w:b w:val="0"/>
        </w:rPr>
      </w:r>
      <w:bookmarkStart w:name="永久完全残疾" w:id="221"/>
      <w:bookmarkEnd w:id="221"/>
      <w:r>
        <w:rPr>
          <w:b w:val="0"/>
        </w:rPr>
      </w:r>
      <w:bookmarkStart w:name="永久完全残疾" w:id="222"/>
      <w:bookmarkEnd w:id="215"/>
      <w:r>
        <w:rPr>
          <w:w w:val="95"/>
        </w:rPr>
        <w:t>特发性慢性肾上腺皮质功能减退</w:t>
      </w:r>
    </w:p>
    <w:p>
      <w:pPr>
        <w:pStyle w:val="BodyText"/>
        <w:spacing w:line="309" w:lineRule="auto" w:before="56"/>
        <w:ind w:right="197"/>
      </w:pPr>
      <w:r>
        <w:rPr>
          <w:spacing w:val="-4"/>
        </w:rPr>
        <w:t>指自身免疫性肾上腺炎</w:t>
      </w:r>
      <w:r>
        <w:rPr/>
        <w:t>（</w:t>
      </w:r>
      <w:r>
        <w:rPr>
          <w:spacing w:val="-6"/>
        </w:rPr>
        <w:t>既往称：特发性肾上腺皮质萎缩</w:t>
      </w:r>
      <w:r>
        <w:rPr>
          <w:spacing w:val="-29"/>
        </w:rPr>
        <w:t>）</w:t>
      </w:r>
      <w:r>
        <w:rPr/>
        <w:t>导致肾上腺萎缩和慢性肾上腺皮</w:t>
      </w:r>
      <w:r>
        <w:rPr>
          <w:w w:val="95"/>
        </w:rPr>
        <w:t>质功能减退。必须满足以下所有条件：</w:t>
      </w:r>
    </w:p>
    <w:p>
      <w:pPr>
        <w:pStyle w:val="BodyText"/>
        <w:spacing w:before="21"/>
        <w:jc w:val="both"/>
      </w:pPr>
      <w:r>
        <w:rPr>
          <w:w w:val="95"/>
        </w:rPr>
        <w:t>(1)明确诊断，符合所有以下诊断标准：</w:t>
      </w:r>
    </w:p>
    <w:p>
      <w:pPr>
        <w:pStyle w:val="BodyText"/>
        <w:ind w:left="540"/>
      </w:pPr>
      <w:r>
        <w:rPr>
          <w:w w:val="95"/>
        </w:rPr>
        <w:t>①血浆促肾上腺皮质激素(ACTH)水平测定，&gt;100pg/ml；</w:t>
      </w:r>
    </w:p>
    <w:p>
      <w:pPr>
        <w:pStyle w:val="BodyText"/>
        <w:ind w:left="540"/>
      </w:pPr>
      <w:r>
        <w:rPr>
          <w:w w:val="95"/>
        </w:rPr>
        <w:t>②血浆肾素活性、血管紧张素II和醛固酮测定，显示为原发性肾上腺皮质功能减退症；</w:t>
      </w:r>
    </w:p>
    <w:p>
      <w:pPr>
        <w:pStyle w:val="BodyText"/>
        <w:ind w:left="540"/>
      </w:pPr>
      <w:r>
        <w:rPr>
          <w:w w:val="95"/>
        </w:rPr>
        <w:t>③促肾上腺皮质激素(ACTH)刺激试验显示为原发性肾上腺皮质功能减退症。</w:t>
      </w:r>
    </w:p>
    <w:p>
      <w:pPr>
        <w:pStyle w:val="BodyText"/>
        <w:jc w:val="both"/>
      </w:pPr>
      <w:r>
        <w:rPr>
          <w:w w:val="95"/>
        </w:rPr>
        <w:t>(2)已经采用皮质类固醇替代治疗180天以上。</w:t>
      </w:r>
    </w:p>
    <w:p>
      <w:pPr>
        <w:pStyle w:val="BodyText"/>
        <w:spacing w:line="312" w:lineRule="auto"/>
        <w:ind w:right="209"/>
      </w:pPr>
      <w:r>
        <w:rPr/>
        <w:t>肾上腺结核、HIV感染或艾滋病、感染、肿瘤所致的原发性肾上腺皮质功能减退和继发性肾</w:t>
      </w:r>
      <w:r>
        <w:rPr>
          <w:w w:val="95"/>
        </w:rPr>
        <w:t>上腺皮质功能减退不在本合同保障范围内。</w:t>
      </w:r>
    </w:p>
    <w:p>
      <w:pPr>
        <w:pStyle w:val="Heading2"/>
        <w:numPr>
          <w:ilvl w:val="2"/>
          <w:numId w:val="22"/>
        </w:numPr>
        <w:tabs>
          <w:tab w:pos="960" w:val="left" w:leader="none"/>
        </w:tabs>
        <w:spacing w:line="316" w:lineRule="exact" w:before="0" w:after="0"/>
        <w:ind w:left="960" w:right="0" w:hanging="840"/>
        <w:jc w:val="left"/>
      </w:pPr>
      <w:bookmarkStart w:name="_TOC_250019" w:id="223"/>
      <w:bookmarkEnd w:id="223"/>
      <w:r>
        <w:rPr>
          <w:w w:val="95"/>
        </w:rPr>
        <w:t>嗜铬细胞瘤</w:t>
      </w:r>
    </w:p>
    <w:p>
      <w:pPr>
        <w:pStyle w:val="BodyText"/>
        <w:spacing w:line="309" w:lineRule="auto" w:before="56"/>
        <w:ind w:right="201"/>
      </w:pPr>
      <w:r>
        <w:rPr>
          <w:spacing w:val="-3"/>
          <w:w w:val="95"/>
        </w:rPr>
        <w:t>指发生在肾上腺或肾上腺外嗜铬组织的以分泌过多的儿茶酚胺为表现的神经内分泌肿瘤。嗜   铬细胞瘤必须由内分泌专科医生诊断，并且满足以下所有条件：</w:t>
      </w:r>
    </w:p>
    <w:p>
      <w:pPr>
        <w:pStyle w:val="BodyText"/>
        <w:spacing w:before="19"/>
        <w:ind w:left="328"/>
      </w:pPr>
      <w:r>
        <w:rPr>
          <w:w w:val="95"/>
        </w:rPr>
        <w:t>（1）临床有高血压症候群表现；</w:t>
      </w:r>
    </w:p>
    <w:p>
      <w:pPr>
        <w:pStyle w:val="BodyText"/>
        <w:spacing w:before="83"/>
        <w:ind w:left="328"/>
      </w:pPr>
      <w:r>
        <w:rPr>
          <w:w w:val="95"/>
        </w:rPr>
        <w:t>（2）已经实施了嗜铬细胞瘤切除手术。</w:t>
      </w:r>
    </w:p>
    <w:p>
      <w:pPr>
        <w:pStyle w:val="Heading2"/>
        <w:numPr>
          <w:ilvl w:val="1"/>
          <w:numId w:val="26"/>
        </w:numPr>
        <w:tabs>
          <w:tab w:pos="552" w:val="left" w:leader="none"/>
        </w:tabs>
        <w:spacing w:line="240" w:lineRule="auto" w:before="13" w:after="0"/>
        <w:ind w:left="552" w:right="0" w:hanging="432"/>
        <w:jc w:val="both"/>
      </w:pPr>
      <w:bookmarkStart w:name="_TOC_250018" w:id="224"/>
      <w:bookmarkEnd w:id="224"/>
      <w:r>
        <w:rPr>
          <w:w w:val="95"/>
        </w:rPr>
        <w:t>本条款约定确诊日</w:t>
      </w:r>
    </w:p>
    <w:p>
      <w:pPr>
        <w:pStyle w:val="BodyText"/>
        <w:spacing w:before="55"/>
        <w:jc w:val="both"/>
      </w:pPr>
      <w:r>
        <w:rPr>
          <w:w w:val="95"/>
        </w:rPr>
        <w:t>本条款约定确诊日以明确诊断该类疾病的病检标本提取日为准。</w:t>
      </w:r>
    </w:p>
    <w:p>
      <w:pPr>
        <w:pStyle w:val="Heading2"/>
        <w:numPr>
          <w:ilvl w:val="1"/>
          <w:numId w:val="26"/>
        </w:numPr>
        <w:tabs>
          <w:tab w:pos="552" w:val="left" w:leader="none"/>
        </w:tabs>
        <w:spacing w:line="240" w:lineRule="auto" w:before="13" w:after="0"/>
        <w:ind w:left="552" w:right="0" w:hanging="432"/>
        <w:jc w:val="both"/>
      </w:pPr>
      <w:bookmarkStart w:name="_TOC_250017" w:id="225"/>
      <w:bookmarkEnd w:id="225"/>
      <w:r>
        <w:rPr>
          <w:w w:val="95"/>
        </w:rPr>
        <w:t>白血病</w:t>
      </w:r>
    </w:p>
    <w:p>
      <w:pPr>
        <w:pStyle w:val="BodyText"/>
        <w:spacing w:line="312" w:lineRule="auto" w:before="56"/>
        <w:ind w:right="197"/>
        <w:jc w:val="both"/>
      </w:pPr>
      <w:r>
        <w:rPr>
          <w:spacing w:val="-7"/>
          <w:w w:val="95"/>
        </w:rPr>
        <w:t>本合同所所指白血病，是指原发于血液及造血组织的恶性肿瘤，其特征为白细胞不受控制的   </w:t>
      </w:r>
      <w:r>
        <w:rPr>
          <w:spacing w:val="-11"/>
          <w:w w:val="95"/>
        </w:rPr>
        <w:t>进行性增长和扩散，可经血管转移到身体其它部位。经病理学检查结果明确诊断，属于世界   卫生组织《疾病和有关健康问题的国际统计分类》（ICD-10）的白血病范畴。</w:t>
      </w:r>
    </w:p>
    <w:p>
      <w:pPr>
        <w:pStyle w:val="BodyText"/>
        <w:spacing w:line="251" w:lineRule="exact" w:before="0"/>
        <w:ind w:left="480"/>
      </w:pPr>
      <w:r>
        <w:rPr>
          <w:w w:val="95"/>
        </w:rPr>
        <w:t>下列疾病不在本合同保障范围内：</w:t>
      </w:r>
    </w:p>
    <w:p>
      <w:pPr>
        <w:pStyle w:val="BodyText"/>
        <w:spacing w:before="76"/>
        <w:ind w:left="480"/>
      </w:pPr>
      <w:r>
        <w:rPr/>
        <w:t>（1）相当于 Binet 分期方案 A 期程度的慢性淋巴细胞白血病；</w:t>
      </w:r>
    </w:p>
    <w:p>
      <w:pPr>
        <w:pStyle w:val="BodyText"/>
        <w:spacing w:before="82"/>
        <w:ind w:left="480"/>
      </w:pPr>
      <w:r>
        <w:rPr>
          <w:w w:val="95"/>
        </w:rPr>
        <w:t>（2）感染艾滋病病毒或患艾滋病期间所患的恶性肿瘤。</w:t>
      </w:r>
    </w:p>
    <w:p>
      <w:pPr>
        <w:pStyle w:val="Heading2"/>
        <w:numPr>
          <w:ilvl w:val="1"/>
          <w:numId w:val="26"/>
        </w:numPr>
        <w:tabs>
          <w:tab w:pos="552" w:val="left" w:leader="none"/>
        </w:tabs>
        <w:spacing w:line="360" w:lineRule="exact" w:before="13" w:after="0"/>
        <w:ind w:left="552" w:right="0" w:hanging="432"/>
        <w:jc w:val="both"/>
      </w:pPr>
      <w:bookmarkStart w:name="_TOC_250016" w:id="226"/>
      <w:bookmarkEnd w:id="226"/>
      <w:r>
        <w:rPr>
          <w:w w:val="95"/>
        </w:rPr>
        <w:t>特定呼吸系统重大疾病</w:t>
      </w:r>
    </w:p>
    <w:p>
      <w:pPr>
        <w:pStyle w:val="BodyText"/>
        <w:spacing w:line="360" w:lineRule="exact" w:before="0"/>
        <w:jc w:val="both"/>
      </w:pPr>
      <w:r>
        <w:rPr>
          <w:spacing w:val="-1"/>
          <w:w w:val="99"/>
        </w:rPr>
        <w:t>本合同所指特定呼吸系统重大疾病包括：</w:t>
      </w:r>
      <w:r>
        <w:rPr>
          <w:rFonts w:ascii="Microsoft JhengHei" w:eastAsia="Microsoft JhengHei" w:hint="eastAsia"/>
          <w:b/>
          <w:w w:val="99"/>
        </w:rPr>
        <w:t>肺癌</w:t>
      </w:r>
      <w:r>
        <w:rPr>
          <w:spacing w:val="1"/>
          <w:w w:val="99"/>
        </w:rPr>
        <w:t>（</w:t>
      </w:r>
      <w:r>
        <w:rPr>
          <w:w w:val="99"/>
        </w:rPr>
        <w:t>注</w:t>
      </w:r>
      <w:r>
        <w:rPr>
          <w:spacing w:val="0"/>
          <w:w w:val="99"/>
        </w:rPr>
        <w:t>1</w:t>
      </w:r>
      <w:r>
        <w:rPr>
          <w:spacing w:val="-104"/>
          <w:w w:val="99"/>
        </w:rPr>
        <w:t>）</w:t>
      </w:r>
      <w:r>
        <w:rPr>
          <w:w w:val="99"/>
        </w:rPr>
        <w:t>，</w:t>
      </w:r>
      <w:r>
        <w:rPr/>
        <w:t> </w:t>
      </w:r>
      <w:r>
        <w:rPr>
          <w:spacing w:val="-1"/>
          <w:w w:val="99"/>
        </w:rPr>
        <w:t>严重原发性肺动脉高压</w:t>
      </w:r>
      <w:r>
        <w:rPr>
          <w:spacing w:val="1"/>
          <w:w w:val="99"/>
        </w:rPr>
        <w:t>（</w:t>
      </w:r>
      <w:r>
        <w:rPr>
          <w:w w:val="99"/>
        </w:rPr>
        <w:t>见释义</w:t>
      </w:r>
    </w:p>
    <w:p>
      <w:pPr>
        <w:pStyle w:val="BodyText"/>
        <w:spacing w:before="56"/>
        <w:jc w:val="both"/>
      </w:pPr>
      <w:r>
        <w:rPr>
          <w:spacing w:val="0"/>
          <w:w w:val="99"/>
        </w:rPr>
        <w:t>13.</w:t>
      </w:r>
      <w:r>
        <w:rPr>
          <w:spacing w:val="-2"/>
          <w:w w:val="99"/>
        </w:rPr>
        <w:t>6</w:t>
      </w:r>
      <w:r>
        <w:rPr>
          <w:spacing w:val="0"/>
          <w:w w:val="99"/>
        </w:rPr>
        <w:t>.2</w:t>
      </w:r>
      <w:r>
        <w:rPr>
          <w:spacing w:val="-2"/>
          <w:w w:val="99"/>
        </w:rPr>
        <w:t>1</w:t>
      </w:r>
      <w:r>
        <w:rPr>
          <w:spacing w:val="-104"/>
          <w:w w:val="99"/>
        </w:rPr>
        <w:t>）</w:t>
      </w:r>
      <w:r>
        <w:rPr>
          <w:w w:val="99"/>
        </w:rPr>
        <w:t>，</w:t>
      </w:r>
      <w:r>
        <w:rPr/>
        <w:t> </w:t>
      </w:r>
      <w:r>
        <w:rPr>
          <w:spacing w:val="-1"/>
          <w:w w:val="99"/>
        </w:rPr>
        <w:t>慢性呼吸功能衰竭</w:t>
      </w:r>
      <w:r>
        <w:rPr>
          <w:spacing w:val="1"/>
          <w:w w:val="99"/>
        </w:rPr>
        <w:t>（</w:t>
      </w:r>
      <w:r>
        <w:rPr>
          <w:spacing w:val="-1"/>
          <w:w w:val="99"/>
        </w:rPr>
        <w:t>见释义</w:t>
      </w:r>
      <w:r>
        <w:rPr>
          <w:spacing w:val="0"/>
          <w:w w:val="99"/>
        </w:rPr>
        <w:t>13.</w:t>
      </w:r>
      <w:r>
        <w:rPr>
          <w:spacing w:val="-2"/>
          <w:w w:val="99"/>
        </w:rPr>
        <w:t>6</w:t>
      </w:r>
      <w:r>
        <w:rPr>
          <w:spacing w:val="0"/>
          <w:w w:val="99"/>
        </w:rPr>
        <w:t>.27</w:t>
      </w:r>
      <w:r>
        <w:rPr>
          <w:w w:val="99"/>
        </w:rPr>
        <w:t>）</w:t>
      </w:r>
    </w:p>
    <w:p>
      <w:pPr>
        <w:pStyle w:val="BodyText"/>
        <w:spacing w:line="297" w:lineRule="auto" w:before="15"/>
        <w:ind w:right="199"/>
        <w:jc w:val="both"/>
      </w:pPr>
      <w:r>
        <w:rPr>
          <w:rFonts w:ascii="Microsoft JhengHei" w:eastAsia="Microsoft JhengHei" w:hint="eastAsia"/>
          <w:b/>
          <w:w w:val="95"/>
        </w:rPr>
        <w:t>注1：肺癌：</w:t>
      </w:r>
      <w:r>
        <w:rPr>
          <w:w w:val="95"/>
        </w:rPr>
        <w:t>肺癌是指原发于肺部组织的恶性细胞不受控制的进行性增长和扩散，浸润和破   </w:t>
      </w:r>
      <w:r>
        <w:rPr>
          <w:spacing w:val="-7"/>
          <w:w w:val="95"/>
        </w:rPr>
        <w:t>坏周围正常组织，可以经血管、淋巴管和体腔扩散转移到身体其它部位的疾病。肺癌必须经   </w:t>
      </w:r>
      <w:r>
        <w:rPr>
          <w:spacing w:val="-12"/>
          <w:w w:val="95"/>
        </w:rPr>
        <w:t>组织病理学检查结果明确诊断，临床诊断属于世界卫生组织《疾病和有关健康问题的国际统   </w:t>
      </w:r>
      <w:r>
        <w:rPr>
          <w:spacing w:val="-35"/>
          <w:w w:val="95"/>
        </w:rPr>
        <w:t>计分类》</w:t>
      </w:r>
      <w:r>
        <w:rPr>
          <w:w w:val="95"/>
        </w:rPr>
        <w:t>（ICD-10）的恶性肿瘤范畴。</w:t>
      </w:r>
    </w:p>
    <w:p>
      <w:pPr>
        <w:pStyle w:val="BodyText"/>
        <w:spacing w:line="309" w:lineRule="auto" w:before="29"/>
        <w:ind w:right="197"/>
      </w:pPr>
      <w:r>
        <w:rPr>
          <w:spacing w:val="-11"/>
        </w:rPr>
        <w:t>肺的原位癌、交界性肿瘤、转移性恶性肿瘤或其他非源于肺组织的恶性病变不在本合同保障</w:t>
      </w:r>
      <w:r>
        <w:rPr>
          <w:spacing w:val="-11"/>
          <w:w w:val="95"/>
        </w:rPr>
        <w:t>范围内。</w:t>
      </w:r>
    </w:p>
    <w:p>
      <w:pPr>
        <w:pStyle w:val="Heading2"/>
        <w:numPr>
          <w:ilvl w:val="1"/>
          <w:numId w:val="27"/>
        </w:numPr>
        <w:tabs>
          <w:tab w:pos="959" w:val="left" w:leader="none"/>
          <w:tab w:pos="960" w:val="left" w:leader="none"/>
        </w:tabs>
        <w:spacing w:line="321" w:lineRule="exact" w:before="0" w:after="0"/>
        <w:ind w:left="120" w:right="0" w:firstLine="0"/>
        <w:jc w:val="left"/>
      </w:pPr>
      <w:bookmarkStart w:name="_TOC_250015" w:id="227"/>
      <w:bookmarkEnd w:id="227"/>
      <w:r>
        <w:rPr>
          <w:w w:val="95"/>
        </w:rPr>
        <w:t>永久完全残疾</w:t>
      </w:r>
    </w:p>
    <w:p>
      <w:pPr>
        <w:pStyle w:val="BodyText"/>
        <w:spacing w:before="57"/>
      </w:pPr>
      <w:r>
        <w:rPr>
          <w:w w:val="95"/>
        </w:rPr>
        <w:t>永久完全残疾是指被保险人发生下列情况之一者，其定义为：</w:t>
      </w:r>
    </w:p>
    <w:p>
      <w:pPr>
        <w:pStyle w:val="ListParagraph"/>
        <w:numPr>
          <w:ilvl w:val="2"/>
          <w:numId w:val="27"/>
        </w:numPr>
        <w:tabs>
          <w:tab w:pos="968" w:val="left" w:leader="none"/>
        </w:tabs>
        <w:spacing w:line="232" w:lineRule="auto" w:before="24" w:after="0"/>
        <w:ind w:left="960" w:right="164" w:hanging="416"/>
        <w:jc w:val="left"/>
        <w:rPr>
          <w:sz w:val="21"/>
        </w:rPr>
      </w:pPr>
      <w:r>
        <w:rPr>
          <w:spacing w:val="-8"/>
          <w:sz w:val="21"/>
        </w:rPr>
        <w:t>中枢神经系统机能或胸、腹部脏器机能极度障碍，终身不能从事任何工作，</w:t>
      </w:r>
      <w:r>
        <w:rPr>
          <w:rFonts w:ascii="Microsoft JhengHei" w:eastAsia="Microsoft JhengHei" w:hint="eastAsia"/>
          <w:b/>
          <w:spacing w:val="-14"/>
          <w:sz w:val="21"/>
        </w:rPr>
        <w:t>维持生</w:t>
      </w:r>
      <w:r>
        <w:rPr>
          <w:rFonts w:ascii="Microsoft JhengHei" w:eastAsia="Microsoft JhengHei" w:hint="eastAsia"/>
          <w:b/>
          <w:spacing w:val="-23"/>
          <w:sz w:val="21"/>
        </w:rPr>
        <w:t>命必要的日常生活活动全需他人扶助 </w:t>
      </w:r>
      <w:r>
        <w:rPr>
          <w:spacing w:val="-21"/>
          <w:sz w:val="21"/>
        </w:rPr>
        <w:t>(注 </w:t>
      </w:r>
      <w:r>
        <w:rPr>
          <w:sz w:val="21"/>
        </w:rPr>
        <w:t>1)；</w:t>
      </w:r>
    </w:p>
    <w:p>
      <w:pPr>
        <w:pStyle w:val="ListParagraph"/>
        <w:numPr>
          <w:ilvl w:val="2"/>
          <w:numId w:val="27"/>
        </w:numPr>
        <w:tabs>
          <w:tab w:pos="968" w:val="left" w:leader="none"/>
        </w:tabs>
        <w:spacing w:line="355" w:lineRule="exact" w:before="0" w:after="0"/>
        <w:ind w:left="960" w:right="0" w:hanging="416"/>
        <w:jc w:val="left"/>
        <w:rPr>
          <w:sz w:val="21"/>
        </w:rPr>
      </w:pPr>
      <w:r>
        <w:rPr>
          <w:spacing w:val="-2"/>
          <w:sz w:val="21"/>
        </w:rPr>
        <w:t>双目永久完全</w:t>
      </w:r>
      <w:r>
        <w:rPr>
          <w:rFonts w:ascii="Microsoft JhengHei" w:eastAsia="Microsoft JhengHei" w:hint="eastAsia"/>
          <w:b/>
          <w:spacing w:val="-39"/>
          <w:sz w:val="21"/>
        </w:rPr>
        <w:t>失明</w:t>
      </w:r>
      <w:r>
        <w:rPr>
          <w:spacing w:val="-20"/>
          <w:sz w:val="21"/>
        </w:rPr>
        <w:t>(注 </w:t>
      </w:r>
      <w:r>
        <w:rPr>
          <w:sz w:val="21"/>
        </w:rPr>
        <w:t>2)；</w:t>
      </w:r>
    </w:p>
    <w:p>
      <w:pPr>
        <w:pStyle w:val="ListParagraph"/>
        <w:numPr>
          <w:ilvl w:val="2"/>
          <w:numId w:val="27"/>
        </w:numPr>
        <w:tabs>
          <w:tab w:pos="968" w:val="left" w:leader="none"/>
        </w:tabs>
        <w:spacing w:line="240" w:lineRule="auto" w:before="57" w:after="0"/>
        <w:ind w:left="960" w:right="0" w:hanging="416"/>
        <w:jc w:val="left"/>
        <w:rPr>
          <w:sz w:val="21"/>
        </w:rPr>
      </w:pPr>
      <w:r>
        <w:rPr>
          <w:w w:val="95"/>
          <w:sz w:val="21"/>
        </w:rPr>
        <w:t>两上肢腕关节以上缺失或两下肢踝关节以上缺失；</w:t>
      </w:r>
    </w:p>
    <w:p>
      <w:pPr>
        <w:spacing w:after="0" w:line="240" w:lineRule="auto"/>
        <w:jc w:val="left"/>
        <w:rPr>
          <w:sz w:val="21"/>
        </w:rPr>
        <w:sectPr>
          <w:pgSz w:w="11910" w:h="16840"/>
          <w:pgMar w:header="0" w:footer="1047" w:top="1420" w:bottom="1240" w:left="1680" w:right="1600"/>
        </w:sectPr>
      </w:pPr>
    </w:p>
    <w:p>
      <w:pPr>
        <w:pStyle w:val="ListParagraph"/>
        <w:numPr>
          <w:ilvl w:val="2"/>
          <w:numId w:val="27"/>
        </w:numPr>
        <w:tabs>
          <w:tab w:pos="968" w:val="left" w:leader="none"/>
        </w:tabs>
        <w:spacing w:line="240" w:lineRule="auto" w:before="28" w:after="0"/>
        <w:ind w:left="960" w:right="0" w:hanging="416"/>
        <w:jc w:val="left"/>
        <w:rPr>
          <w:sz w:val="21"/>
        </w:rPr>
      </w:pPr>
      <w:bookmarkStart w:name="毒品" w:id="228"/>
      <w:bookmarkEnd w:id="228"/>
      <w:r>
        <w:rPr/>
      </w:r>
      <w:bookmarkStart w:name="酒后驾驶" w:id="229"/>
      <w:bookmarkEnd w:id="229"/>
      <w:r>
        <w:rPr/>
      </w:r>
      <w:bookmarkStart w:name="无合法有效驾驶证驾驶" w:id="230"/>
      <w:bookmarkEnd w:id="230"/>
      <w:r>
        <w:rPr/>
      </w:r>
      <w:bookmarkStart w:name="无有效行驶证" w:id="231"/>
      <w:bookmarkEnd w:id="231"/>
      <w:r>
        <w:rPr/>
      </w:r>
      <w:bookmarkStart w:name="感染艾滋病病毒或患艾滋病" w:id="232"/>
      <w:bookmarkEnd w:id="232"/>
      <w:r>
        <w:rPr/>
      </w:r>
      <w:bookmarkStart w:name="感染艾滋病病毒或患艾滋病" w:id="233"/>
      <w:bookmarkEnd w:id="233"/>
      <w:r>
        <w:rPr>
          <w:w w:val="95"/>
          <w:sz w:val="21"/>
        </w:rPr>
        <w:t>一上肢腕关节以上缺失及一下肢踝关节以上缺失；</w:t>
      </w:r>
    </w:p>
    <w:p>
      <w:pPr>
        <w:pStyle w:val="ListParagraph"/>
        <w:numPr>
          <w:ilvl w:val="2"/>
          <w:numId w:val="27"/>
        </w:numPr>
        <w:tabs>
          <w:tab w:pos="968" w:val="left" w:leader="none"/>
        </w:tabs>
        <w:spacing w:line="240" w:lineRule="auto" w:before="63" w:after="0"/>
        <w:ind w:left="960" w:right="0" w:hanging="416"/>
        <w:jc w:val="left"/>
        <w:rPr>
          <w:sz w:val="21"/>
        </w:rPr>
      </w:pPr>
      <w:r>
        <w:rPr>
          <w:w w:val="95"/>
          <w:sz w:val="21"/>
        </w:rPr>
        <w:t>一目永久完全失明及一上肢腕关节以上缺失；</w:t>
      </w:r>
    </w:p>
    <w:p>
      <w:pPr>
        <w:pStyle w:val="ListParagraph"/>
        <w:numPr>
          <w:ilvl w:val="2"/>
          <w:numId w:val="27"/>
        </w:numPr>
        <w:tabs>
          <w:tab w:pos="968" w:val="left" w:leader="none"/>
        </w:tabs>
        <w:spacing w:line="240" w:lineRule="auto" w:before="63" w:after="0"/>
        <w:ind w:left="960" w:right="0" w:hanging="416"/>
        <w:jc w:val="left"/>
        <w:rPr>
          <w:sz w:val="21"/>
        </w:rPr>
      </w:pPr>
      <w:r>
        <w:rPr>
          <w:w w:val="95"/>
          <w:sz w:val="21"/>
        </w:rPr>
        <w:t>一目永久完全失明及一下肢踝关节以上缺失；</w:t>
      </w:r>
    </w:p>
    <w:p>
      <w:pPr>
        <w:pStyle w:val="ListParagraph"/>
        <w:numPr>
          <w:ilvl w:val="2"/>
          <w:numId w:val="27"/>
        </w:numPr>
        <w:tabs>
          <w:tab w:pos="968" w:val="left" w:leader="none"/>
        </w:tabs>
        <w:spacing w:line="360" w:lineRule="exact" w:before="0" w:after="0"/>
        <w:ind w:left="960" w:right="0" w:hanging="416"/>
        <w:jc w:val="left"/>
        <w:rPr>
          <w:sz w:val="21"/>
        </w:rPr>
      </w:pPr>
      <w:r>
        <w:rPr>
          <w:spacing w:val="-4"/>
          <w:sz w:val="21"/>
        </w:rPr>
        <w:t>四肢</w:t>
      </w:r>
      <w:r>
        <w:rPr>
          <w:rFonts w:ascii="Microsoft JhengHei" w:eastAsia="Microsoft JhengHei" w:hint="eastAsia"/>
          <w:b/>
          <w:spacing w:val="-20"/>
          <w:sz w:val="21"/>
        </w:rPr>
        <w:t>关节机能永久完全丧失 </w:t>
      </w:r>
      <w:r>
        <w:rPr>
          <w:spacing w:val="-20"/>
          <w:sz w:val="21"/>
        </w:rPr>
        <w:t>(注 </w:t>
      </w:r>
      <w:r>
        <w:rPr>
          <w:sz w:val="21"/>
        </w:rPr>
        <w:t>3)；</w:t>
      </w:r>
    </w:p>
    <w:p>
      <w:pPr>
        <w:pStyle w:val="ListParagraph"/>
        <w:numPr>
          <w:ilvl w:val="2"/>
          <w:numId w:val="27"/>
        </w:numPr>
        <w:tabs>
          <w:tab w:pos="961" w:val="left" w:leader="none"/>
        </w:tabs>
        <w:spacing w:line="360" w:lineRule="exact" w:before="0" w:after="0"/>
        <w:ind w:left="960" w:right="0" w:hanging="416"/>
        <w:jc w:val="left"/>
        <w:rPr>
          <w:sz w:val="21"/>
        </w:rPr>
      </w:pPr>
      <w:r>
        <w:rPr>
          <w:rFonts w:ascii="Microsoft JhengHei" w:eastAsia="Microsoft JhengHei" w:hint="eastAsia"/>
          <w:b/>
          <w:spacing w:val="-24"/>
          <w:sz w:val="21"/>
        </w:rPr>
        <w:t>咀嚼或吞咽机能永久完全丧失</w:t>
      </w:r>
      <w:r>
        <w:rPr>
          <w:spacing w:val="-24"/>
          <w:sz w:val="21"/>
        </w:rPr>
        <w:t>(注 </w:t>
      </w:r>
      <w:r>
        <w:rPr>
          <w:sz w:val="21"/>
        </w:rPr>
        <w:t>4)。</w:t>
      </w:r>
    </w:p>
    <w:p>
      <w:pPr>
        <w:pStyle w:val="BodyText"/>
        <w:spacing w:before="56"/>
      </w:pPr>
      <w:r>
        <w:rPr>
          <w:w w:val="95"/>
        </w:rPr>
        <w:t>注：</w:t>
      </w:r>
    </w:p>
    <w:p>
      <w:pPr>
        <w:pStyle w:val="BodyText"/>
        <w:spacing w:line="309" w:lineRule="auto"/>
        <w:ind w:left="540" w:right="218"/>
        <w:jc w:val="both"/>
      </w:pPr>
      <w:r>
        <w:rPr>
          <w:spacing w:val="45"/>
          <w:w w:val="95"/>
        </w:rPr>
        <w:t>注 </w:t>
      </w:r>
      <w:r>
        <w:rPr>
          <w:spacing w:val="-24"/>
          <w:w w:val="95"/>
        </w:rPr>
        <w:t>1</w:t>
      </w:r>
      <w:r>
        <w:rPr>
          <w:spacing w:val="-9"/>
          <w:w w:val="95"/>
        </w:rPr>
        <w:t>：维持生命必要的日常生活活动全需他人扶助是指食物摄取、大小便始末、穿衣服</w:t>
      </w:r>
      <w:r>
        <w:rPr>
          <w:w w:val="80"/>
        </w:rPr>
        <w:t>、</w:t>
      </w:r>
      <w:r>
        <w:rPr>
          <w:w w:val="95"/>
        </w:rPr>
        <w:t>起居、步行、入浴等，皆不能自己为之，需要他人帮助。</w:t>
      </w:r>
    </w:p>
    <w:p>
      <w:pPr>
        <w:pStyle w:val="BodyText"/>
        <w:spacing w:line="312" w:lineRule="auto" w:before="19"/>
        <w:ind w:left="540" w:right="217"/>
        <w:jc w:val="both"/>
      </w:pPr>
      <w:r>
        <w:rPr>
          <w:spacing w:val="-32"/>
        </w:rPr>
        <w:t>注 </w:t>
      </w:r>
      <w:r>
        <w:rPr>
          <w:spacing w:val="-5"/>
        </w:rPr>
        <w:t>2：失明包括眼球缺失或摘除、或不能辨别明暗、或仅能辨别眼前手动者。最佳矫正</w:t>
      </w:r>
      <w:r>
        <w:rPr>
          <w:spacing w:val="-10"/>
        </w:rPr>
        <w:t>视力低于国际标准视力表零点零二，或视野半径小于五度，并由公司指定有资格的眼科</w:t>
      </w:r>
      <w:r>
        <w:rPr>
          <w:spacing w:val="-10"/>
          <w:w w:val="95"/>
        </w:rPr>
        <w:t>医师出具医疗诊断证明。</w:t>
      </w:r>
    </w:p>
    <w:p>
      <w:pPr>
        <w:pStyle w:val="BodyText"/>
        <w:spacing w:before="17"/>
        <w:ind w:left="540"/>
      </w:pPr>
      <w:r>
        <w:rPr/>
        <w:t>注 3：关节机能的丧失是指关节永久完全僵硬、或麻痹、或关节不能随意识活动。</w:t>
      </w:r>
    </w:p>
    <w:p>
      <w:pPr>
        <w:pStyle w:val="BodyText"/>
        <w:spacing w:line="309" w:lineRule="auto"/>
        <w:ind w:left="540" w:right="217"/>
        <w:jc w:val="both"/>
      </w:pPr>
      <w:r>
        <w:rPr>
          <w:spacing w:val="-31"/>
        </w:rPr>
        <w:t>注 </w:t>
      </w:r>
      <w:r>
        <w:rPr>
          <w:spacing w:val="-6"/>
        </w:rPr>
        <w:t>4：咀嚼、吞咽机能的丧失是指由于牙齿以外的原因引起器质障碍或机能障碍，以致</w:t>
      </w:r>
      <w:r>
        <w:rPr>
          <w:spacing w:val="-6"/>
          <w:w w:val="95"/>
        </w:rPr>
        <w:t>不能作咀嚼、吞咽运动，除流质食物外不能摄取或吞咽的状态。</w:t>
      </w:r>
    </w:p>
    <w:p>
      <w:pPr>
        <w:pStyle w:val="BodyText"/>
        <w:spacing w:line="309" w:lineRule="auto" w:before="22"/>
        <w:ind w:left="540" w:right="217"/>
        <w:jc w:val="both"/>
      </w:pPr>
      <w:r>
        <w:rPr>
          <w:spacing w:val="-12"/>
        </w:rPr>
        <w:t>所谓「永久完全」是指经 </w:t>
      </w:r>
      <w:r>
        <w:rPr/>
        <w:t>180</w:t>
      </w:r>
      <w:r>
        <w:rPr>
          <w:spacing w:val="-10"/>
        </w:rPr>
        <w:t> 天的治疗以后，机能仍完全丧失，但眼球摘除等明显无法</w:t>
      </w:r>
      <w:r>
        <w:rPr>
          <w:spacing w:val="-10"/>
          <w:w w:val="95"/>
        </w:rPr>
        <w:t>复原的情况，不受此限。</w:t>
      </w:r>
    </w:p>
    <w:p>
      <w:pPr>
        <w:pStyle w:val="Heading2"/>
        <w:numPr>
          <w:ilvl w:val="1"/>
          <w:numId w:val="27"/>
        </w:numPr>
        <w:tabs>
          <w:tab w:pos="959" w:val="left" w:leader="none"/>
          <w:tab w:pos="960" w:val="left" w:leader="none"/>
        </w:tabs>
        <w:spacing w:line="318" w:lineRule="exact" w:before="0" w:after="0"/>
        <w:ind w:left="120" w:right="0" w:firstLine="0"/>
        <w:jc w:val="left"/>
      </w:pPr>
      <w:bookmarkStart w:name="_TOC_250014" w:id="234"/>
      <w:bookmarkEnd w:id="234"/>
      <w:r>
        <w:rPr>
          <w:w w:val="95"/>
        </w:rPr>
        <w:t>毒品</w:t>
      </w:r>
    </w:p>
    <w:p>
      <w:pPr>
        <w:pStyle w:val="BodyText"/>
        <w:spacing w:line="309" w:lineRule="auto" w:before="56"/>
        <w:ind w:right="219"/>
        <w:jc w:val="both"/>
      </w:pPr>
      <w:r>
        <w:rPr>
          <w:spacing w:val="-3"/>
          <w:w w:val="95"/>
        </w:rPr>
        <w:t>指中华人民共和国刑法规定的鸦片、海洛因、甲基苯丙胺</w:t>
      </w:r>
      <w:r>
        <w:rPr>
          <w:w w:val="95"/>
        </w:rPr>
        <w:t>（冰毒</w:t>
      </w:r>
      <w:r>
        <w:rPr>
          <w:spacing w:val="-12"/>
          <w:w w:val="95"/>
        </w:rPr>
        <w:t>）</w:t>
      </w:r>
      <w:r>
        <w:rPr>
          <w:spacing w:val="-7"/>
          <w:w w:val="95"/>
        </w:rPr>
        <w:t>、吗啡、大麻、可卡因以   </w:t>
      </w:r>
      <w:r>
        <w:rPr>
          <w:spacing w:val="-10"/>
          <w:w w:val="95"/>
        </w:rPr>
        <w:t>及国家规定管制的其他能够使人形成瘾癖的麻醉药品和精神药品，但不包括由医生开具并遵   守医嘱使用的用于治疗疾病但含有毒品成分的处方药品。</w:t>
      </w:r>
    </w:p>
    <w:p>
      <w:pPr>
        <w:pStyle w:val="Heading2"/>
        <w:numPr>
          <w:ilvl w:val="1"/>
          <w:numId w:val="27"/>
        </w:numPr>
        <w:tabs>
          <w:tab w:pos="959" w:val="left" w:leader="none"/>
          <w:tab w:pos="960" w:val="left" w:leader="none"/>
        </w:tabs>
        <w:spacing w:line="321" w:lineRule="exact" w:before="0" w:after="0"/>
        <w:ind w:left="120" w:right="0" w:firstLine="0"/>
        <w:jc w:val="left"/>
      </w:pPr>
      <w:bookmarkStart w:name="_TOC_250013" w:id="235"/>
      <w:bookmarkEnd w:id="235"/>
      <w:r>
        <w:rPr>
          <w:w w:val="95"/>
        </w:rPr>
        <w:t>酒后驾驶</w:t>
      </w:r>
    </w:p>
    <w:p>
      <w:pPr>
        <w:pStyle w:val="BodyText"/>
        <w:spacing w:line="309" w:lineRule="auto" w:before="57"/>
        <w:ind w:right="114"/>
      </w:pPr>
      <w:r>
        <w:rPr>
          <w:spacing w:val="-10"/>
        </w:rPr>
        <w:t>指经检测或鉴定，发生事故时车辆驾驶人员每百毫升血液中的酒精含量达到或超过一定的标</w:t>
      </w:r>
      <w:r>
        <w:rPr>
          <w:spacing w:val="-16"/>
          <w:w w:val="95"/>
        </w:rPr>
        <w:t>准，公安机关交通管理部门依据《道路交通安全法》的规定认定为饮酒后驾驶或醉酒后驾驶。</w:t>
      </w:r>
    </w:p>
    <w:p>
      <w:pPr>
        <w:pStyle w:val="Heading2"/>
        <w:numPr>
          <w:ilvl w:val="1"/>
          <w:numId w:val="27"/>
        </w:numPr>
        <w:tabs>
          <w:tab w:pos="959" w:val="left" w:leader="none"/>
          <w:tab w:pos="960" w:val="left" w:leader="none"/>
        </w:tabs>
        <w:spacing w:line="318" w:lineRule="exact" w:before="0" w:after="0"/>
        <w:ind w:left="120" w:right="0" w:firstLine="0"/>
        <w:jc w:val="left"/>
      </w:pPr>
      <w:bookmarkStart w:name="_TOC_250012" w:id="236"/>
      <w:bookmarkEnd w:id="236"/>
      <w:r>
        <w:rPr>
          <w:w w:val="95"/>
        </w:rPr>
        <w:t>无合法有效驾驶证驾驶</w:t>
      </w:r>
    </w:p>
    <w:p>
      <w:pPr>
        <w:pStyle w:val="BodyText"/>
        <w:spacing w:before="59"/>
      </w:pPr>
      <w:r>
        <w:rPr>
          <w:w w:val="95"/>
        </w:rPr>
        <w:t>指下列情形之一：</w:t>
      </w:r>
    </w:p>
    <w:p>
      <w:pPr>
        <w:pStyle w:val="ListParagraph"/>
        <w:numPr>
          <w:ilvl w:val="0"/>
          <w:numId w:val="28"/>
        </w:numPr>
        <w:tabs>
          <w:tab w:pos="840" w:val="left" w:leader="none"/>
        </w:tabs>
        <w:spacing w:line="240" w:lineRule="auto" w:before="80" w:after="0"/>
        <w:ind w:left="840" w:right="0" w:hanging="720"/>
        <w:jc w:val="left"/>
        <w:rPr>
          <w:sz w:val="21"/>
        </w:rPr>
      </w:pPr>
      <w:r>
        <w:rPr>
          <w:w w:val="95"/>
          <w:sz w:val="21"/>
        </w:rPr>
        <w:t>没有取得驾驶资格；</w:t>
      </w:r>
    </w:p>
    <w:p>
      <w:pPr>
        <w:pStyle w:val="ListParagraph"/>
        <w:numPr>
          <w:ilvl w:val="0"/>
          <w:numId w:val="28"/>
        </w:numPr>
        <w:tabs>
          <w:tab w:pos="840" w:val="left" w:leader="none"/>
        </w:tabs>
        <w:spacing w:line="240" w:lineRule="auto" w:before="80" w:after="0"/>
        <w:ind w:left="840" w:right="0" w:hanging="720"/>
        <w:jc w:val="left"/>
        <w:rPr>
          <w:sz w:val="21"/>
        </w:rPr>
      </w:pPr>
      <w:r>
        <w:rPr>
          <w:w w:val="95"/>
          <w:sz w:val="21"/>
        </w:rPr>
        <w:t>驾驶与驾驶证准驾车型不相符合的车辆；</w:t>
      </w:r>
    </w:p>
    <w:p>
      <w:pPr>
        <w:pStyle w:val="ListParagraph"/>
        <w:numPr>
          <w:ilvl w:val="0"/>
          <w:numId w:val="28"/>
        </w:numPr>
        <w:tabs>
          <w:tab w:pos="840" w:val="left" w:leader="none"/>
        </w:tabs>
        <w:spacing w:line="240" w:lineRule="auto" w:before="80" w:after="0"/>
        <w:ind w:left="840" w:right="0" w:hanging="720"/>
        <w:jc w:val="left"/>
        <w:rPr>
          <w:sz w:val="21"/>
        </w:rPr>
      </w:pPr>
      <w:r>
        <w:rPr>
          <w:w w:val="95"/>
          <w:sz w:val="21"/>
        </w:rPr>
        <w:t>持审验不合格的驾驶证驾驶；</w:t>
      </w:r>
    </w:p>
    <w:p>
      <w:pPr>
        <w:pStyle w:val="ListParagraph"/>
        <w:numPr>
          <w:ilvl w:val="0"/>
          <w:numId w:val="28"/>
        </w:numPr>
        <w:tabs>
          <w:tab w:pos="840" w:val="left" w:leader="none"/>
        </w:tabs>
        <w:spacing w:line="240" w:lineRule="auto" w:before="82" w:after="0"/>
        <w:ind w:left="840" w:right="0" w:hanging="720"/>
        <w:jc w:val="left"/>
        <w:rPr>
          <w:sz w:val="21"/>
        </w:rPr>
      </w:pPr>
      <w:r>
        <w:rPr>
          <w:w w:val="95"/>
          <w:sz w:val="21"/>
        </w:rPr>
        <w:t>持学习驾驶证学习驾车时，无教练员随车指导，或不按指定时间、路线学习驾车。</w:t>
      </w:r>
    </w:p>
    <w:p>
      <w:pPr>
        <w:pStyle w:val="ListParagraph"/>
        <w:numPr>
          <w:ilvl w:val="1"/>
          <w:numId w:val="27"/>
        </w:numPr>
        <w:tabs>
          <w:tab w:pos="959" w:val="left" w:leader="none"/>
          <w:tab w:pos="960" w:val="left" w:leader="none"/>
        </w:tabs>
        <w:spacing w:line="276" w:lineRule="auto" w:before="13" w:after="0"/>
        <w:ind w:left="120" w:right="6423" w:firstLine="0"/>
        <w:jc w:val="left"/>
        <w:rPr>
          <w:sz w:val="21"/>
        </w:rPr>
      </w:pPr>
      <w:r>
        <w:rPr>
          <w:rFonts w:ascii="Microsoft JhengHei" w:eastAsia="Microsoft JhengHei" w:hint="eastAsia"/>
          <w:b/>
          <w:sz w:val="21"/>
        </w:rPr>
        <w:t>无有效行驶证</w:t>
      </w:r>
      <w:r>
        <w:rPr>
          <w:w w:val="95"/>
          <w:sz w:val="21"/>
        </w:rPr>
        <w:t>指下列情形之一：</w:t>
      </w:r>
    </w:p>
    <w:p>
      <w:pPr>
        <w:pStyle w:val="ListParagraph"/>
        <w:numPr>
          <w:ilvl w:val="0"/>
          <w:numId w:val="29"/>
        </w:numPr>
        <w:tabs>
          <w:tab w:pos="840" w:val="left" w:leader="none"/>
        </w:tabs>
        <w:spacing w:line="240" w:lineRule="auto" w:before="48" w:after="0"/>
        <w:ind w:left="840" w:right="0" w:hanging="720"/>
        <w:jc w:val="left"/>
        <w:rPr>
          <w:sz w:val="21"/>
        </w:rPr>
      </w:pPr>
      <w:r>
        <w:rPr>
          <w:w w:val="95"/>
          <w:sz w:val="21"/>
        </w:rPr>
        <w:t>机动车被依法注销登记的；</w:t>
      </w:r>
    </w:p>
    <w:p>
      <w:pPr>
        <w:pStyle w:val="ListParagraph"/>
        <w:numPr>
          <w:ilvl w:val="0"/>
          <w:numId w:val="29"/>
        </w:numPr>
        <w:tabs>
          <w:tab w:pos="840" w:val="left" w:leader="none"/>
        </w:tabs>
        <w:spacing w:line="240" w:lineRule="auto" w:before="80" w:after="0"/>
        <w:ind w:left="840" w:right="0" w:hanging="720"/>
        <w:jc w:val="left"/>
        <w:rPr>
          <w:sz w:val="21"/>
        </w:rPr>
      </w:pPr>
      <w:r>
        <w:rPr>
          <w:w w:val="95"/>
          <w:sz w:val="21"/>
        </w:rPr>
        <w:t>未依法按时进行或通过机动车安全技术检验。</w:t>
      </w:r>
    </w:p>
    <w:p>
      <w:pPr>
        <w:pStyle w:val="Heading2"/>
        <w:numPr>
          <w:ilvl w:val="1"/>
          <w:numId w:val="27"/>
        </w:numPr>
        <w:tabs>
          <w:tab w:pos="959" w:val="left" w:leader="none"/>
          <w:tab w:pos="960" w:val="left" w:leader="none"/>
        </w:tabs>
        <w:spacing w:line="240" w:lineRule="auto" w:before="13" w:after="0"/>
        <w:ind w:left="120" w:right="0" w:firstLine="0"/>
        <w:jc w:val="left"/>
      </w:pPr>
      <w:bookmarkStart w:name="_TOC_250011" w:id="237"/>
      <w:bookmarkEnd w:id="237"/>
      <w:r>
        <w:rPr>
          <w:w w:val="95"/>
        </w:rPr>
        <w:t>感染艾滋病病毒或患艾滋病</w:t>
      </w:r>
    </w:p>
    <w:p>
      <w:pPr>
        <w:pStyle w:val="BodyText"/>
        <w:spacing w:line="309" w:lineRule="auto" w:before="58"/>
        <w:ind w:right="229"/>
      </w:pPr>
      <w:r>
        <w:rPr/>
        <w:t>艾滋病病毒指人类免疫缺陷病毒，英文缩写为HIV。艾滋病指人类免疫缺陷病毒引起的获得</w:t>
      </w:r>
      <w:r>
        <w:rPr>
          <w:w w:val="95"/>
        </w:rPr>
        <w:t>性免疫缺陷综合症，英文缩写为AIDS。</w:t>
      </w:r>
    </w:p>
    <w:p>
      <w:pPr>
        <w:pStyle w:val="BodyText"/>
        <w:spacing w:line="309" w:lineRule="auto" w:before="19"/>
        <w:ind w:right="217"/>
      </w:pPr>
      <w:r>
        <w:rPr>
          <w:w w:val="95"/>
        </w:rPr>
        <w:t>在人体血液或其他样本中检测到艾滋病病毒或其抗体呈阳性，没有出现临床症状或体征的</w:t>
      </w:r>
      <w:r>
        <w:rPr>
          <w:w w:val="85"/>
        </w:rPr>
        <w:t>，  </w:t>
      </w:r>
      <w:r>
        <w:rPr>
          <w:w w:val="95"/>
        </w:rPr>
        <w:t>为感染艾滋病病毒；如果同时出现了明显临床症状或体征的，为患艾滋病。</w:t>
      </w:r>
    </w:p>
    <w:p>
      <w:pPr>
        <w:spacing w:after="0" w:line="309" w:lineRule="auto"/>
        <w:sectPr>
          <w:pgSz w:w="11910" w:h="16840"/>
          <w:pgMar w:header="0" w:footer="1047" w:top="1400" w:bottom="1240" w:left="1680" w:right="1580"/>
        </w:sectPr>
      </w:pPr>
    </w:p>
    <w:p>
      <w:pPr>
        <w:pStyle w:val="Heading2"/>
        <w:numPr>
          <w:ilvl w:val="1"/>
          <w:numId w:val="27"/>
        </w:numPr>
        <w:tabs>
          <w:tab w:pos="959" w:val="left" w:leader="none"/>
          <w:tab w:pos="960" w:val="left" w:leader="none"/>
        </w:tabs>
        <w:spacing w:line="307" w:lineRule="exact" w:before="0" w:after="0"/>
        <w:ind w:left="120" w:right="0" w:firstLine="0"/>
        <w:jc w:val="left"/>
      </w:pPr>
      <w:bookmarkStart w:name="_TOC_250010" w:id="238"/>
      <w:bookmarkStart w:name="遗传性疾病" w:id="239"/>
      <w:r>
        <w:rPr>
          <w:b w:val="0"/>
        </w:rPr>
      </w:r>
      <w:bookmarkStart w:name="先天性畸形、变形或染色体异常" w:id="240"/>
      <w:bookmarkEnd w:id="240"/>
      <w:r>
        <w:rPr>
          <w:b w:val="0"/>
        </w:rPr>
      </w:r>
      <w:bookmarkStart w:name="现金价值" w:id="241"/>
      <w:bookmarkEnd w:id="241"/>
      <w:r>
        <w:rPr>
          <w:b w:val="0"/>
        </w:rPr>
      </w:r>
      <w:bookmarkStart w:name="银行转账交费" w:id="242"/>
      <w:bookmarkEnd w:id="242"/>
      <w:r>
        <w:rPr>
          <w:b w:val="0"/>
        </w:rPr>
      </w:r>
      <w:bookmarkStart w:name="本条款约定利率" w:id="243"/>
      <w:bookmarkEnd w:id="243"/>
      <w:r>
        <w:rPr>
          <w:b w:val="0"/>
        </w:rPr>
      </w:r>
      <w:bookmarkStart w:name="有效身份证件" w:id="244"/>
      <w:bookmarkEnd w:id="244"/>
      <w:r>
        <w:rPr>
          <w:b w:val="0"/>
        </w:rPr>
      </w:r>
      <w:bookmarkStart w:name="专科医生" w:id="245"/>
      <w:bookmarkEnd w:id="245"/>
      <w:r>
        <w:rPr>
          <w:b w:val="0"/>
        </w:rPr>
      </w:r>
      <w:bookmarkStart w:name="肢体机能完全丧失" w:id="246"/>
      <w:bookmarkEnd w:id="246"/>
      <w:r>
        <w:rPr>
          <w:b w:val="0"/>
        </w:rPr>
      </w:r>
      <w:bookmarkStart w:name="语言能力或咀嚼吞咽能力完全丧失" w:id="247"/>
      <w:bookmarkEnd w:id="247"/>
      <w:r>
        <w:rPr>
          <w:b w:val="0"/>
        </w:rPr>
      </w:r>
      <w:bookmarkStart w:name="六项基本日常生活活动" w:id="248"/>
      <w:bookmarkEnd w:id="248"/>
      <w:r>
        <w:rPr>
          <w:b w:val="0"/>
        </w:rPr>
      </w:r>
      <w:bookmarkStart w:name="永久不可逆" w:id="249"/>
      <w:bookmarkEnd w:id="249"/>
      <w:r>
        <w:rPr>
          <w:b w:val="0"/>
        </w:rPr>
      </w:r>
      <w:bookmarkStart w:name="永久不可逆" w:id="250"/>
      <w:bookmarkEnd w:id="238"/>
      <w:r>
        <w:rPr>
          <w:w w:val="95"/>
        </w:rPr>
        <w:t>遗传性疾病</w:t>
      </w:r>
    </w:p>
    <w:p>
      <w:pPr>
        <w:pStyle w:val="BodyText"/>
        <w:spacing w:line="309" w:lineRule="auto" w:before="56"/>
        <w:ind w:right="117"/>
      </w:pPr>
      <w:r>
        <w:rPr>
          <w:spacing w:val="-3"/>
          <w:w w:val="95"/>
        </w:rPr>
        <w:t>指生殖细胞或受精卵的遗传物质</w:t>
      </w:r>
      <w:r>
        <w:rPr>
          <w:w w:val="95"/>
        </w:rPr>
        <w:t>（染色体和基因</w:t>
      </w:r>
      <w:r>
        <w:rPr>
          <w:spacing w:val="-29"/>
          <w:w w:val="95"/>
        </w:rPr>
        <w:t>）</w:t>
      </w:r>
      <w:r>
        <w:rPr>
          <w:spacing w:val="-3"/>
          <w:w w:val="95"/>
        </w:rPr>
        <w:t>发生突变或畸变所引起的疾病，通常具有   由亲代传至后代的垂直传递的特征。</w:t>
      </w:r>
    </w:p>
    <w:p>
      <w:pPr>
        <w:pStyle w:val="Heading2"/>
        <w:numPr>
          <w:ilvl w:val="1"/>
          <w:numId w:val="27"/>
        </w:numPr>
        <w:tabs>
          <w:tab w:pos="959" w:val="left" w:leader="none"/>
          <w:tab w:pos="960" w:val="left" w:leader="none"/>
        </w:tabs>
        <w:spacing w:line="321" w:lineRule="exact" w:before="0" w:after="0"/>
        <w:ind w:left="120" w:right="0" w:firstLine="0"/>
        <w:jc w:val="left"/>
      </w:pPr>
      <w:bookmarkStart w:name="_TOC_250009" w:id="251"/>
      <w:bookmarkEnd w:id="251"/>
      <w:r>
        <w:rPr>
          <w:w w:val="95"/>
        </w:rPr>
        <w:t>先天性畸形、变形或染色体异常</w:t>
      </w:r>
    </w:p>
    <w:p>
      <w:pPr>
        <w:pStyle w:val="BodyText"/>
        <w:spacing w:line="309" w:lineRule="auto" w:before="57"/>
        <w:ind w:right="119"/>
      </w:pPr>
      <w:r>
        <w:rPr>
          <w:spacing w:val="-6"/>
          <w:w w:val="95"/>
        </w:rPr>
        <w:t>指被保险人出生时就具有的畸形、变形或染色体异常。先天性畸形、变形和染色体异常依照   世界卫生组织《疾病和有关健康问题的国际统计分类》（ICD-10）确定。</w:t>
      </w:r>
    </w:p>
    <w:p>
      <w:pPr>
        <w:pStyle w:val="Heading2"/>
        <w:numPr>
          <w:ilvl w:val="1"/>
          <w:numId w:val="27"/>
        </w:numPr>
        <w:tabs>
          <w:tab w:pos="959" w:val="left" w:leader="none"/>
          <w:tab w:pos="960" w:val="left" w:leader="none"/>
        </w:tabs>
        <w:spacing w:line="318" w:lineRule="exact" w:before="0" w:after="0"/>
        <w:ind w:left="120" w:right="0" w:firstLine="0"/>
        <w:jc w:val="left"/>
      </w:pPr>
      <w:bookmarkStart w:name="_TOC_250008" w:id="252"/>
      <w:bookmarkEnd w:id="252"/>
      <w:r>
        <w:rPr>
          <w:w w:val="95"/>
        </w:rPr>
        <w:t>现金价值</w:t>
      </w:r>
    </w:p>
    <w:p>
      <w:pPr>
        <w:pStyle w:val="BodyText"/>
        <w:spacing w:line="309" w:lineRule="auto" w:before="56"/>
        <w:ind w:right="117"/>
      </w:pPr>
      <w:r>
        <w:rPr>
          <w:spacing w:val="-6"/>
          <w:w w:val="95"/>
        </w:rPr>
        <w:t>指保险单所具有的价值，通常体现为解除合同时，根据精算原理计算的，由本公司退还的那   部分金额。</w:t>
      </w:r>
    </w:p>
    <w:p>
      <w:pPr>
        <w:pStyle w:val="Heading2"/>
        <w:numPr>
          <w:ilvl w:val="1"/>
          <w:numId w:val="27"/>
        </w:numPr>
        <w:tabs>
          <w:tab w:pos="959" w:val="left" w:leader="none"/>
          <w:tab w:pos="960" w:val="left" w:leader="none"/>
        </w:tabs>
        <w:spacing w:line="321" w:lineRule="exact" w:before="0" w:after="0"/>
        <w:ind w:left="120" w:right="0" w:firstLine="0"/>
        <w:jc w:val="left"/>
      </w:pPr>
      <w:bookmarkStart w:name="_TOC_250007" w:id="253"/>
      <w:bookmarkEnd w:id="253"/>
      <w:r>
        <w:rPr>
          <w:w w:val="95"/>
        </w:rPr>
        <w:t>银行转账交费</w:t>
      </w:r>
    </w:p>
    <w:p>
      <w:pPr>
        <w:pStyle w:val="BodyText"/>
        <w:spacing w:line="309" w:lineRule="auto" w:before="57"/>
        <w:ind w:right="117"/>
      </w:pPr>
      <w:r>
        <w:rPr>
          <w:w w:val="95"/>
        </w:rPr>
        <w:t>指投保人将保险费存入本公司指定银行的活期账户内，本公司通过银行转账将保险费划转</w:t>
      </w:r>
      <w:r>
        <w:rPr>
          <w:w w:val="85"/>
        </w:rPr>
        <w:t>，  </w:t>
      </w:r>
      <w:r>
        <w:rPr>
          <w:w w:val="95"/>
        </w:rPr>
        <w:t>继而完成投保人续交保险费的交纳。</w:t>
      </w:r>
    </w:p>
    <w:p>
      <w:pPr>
        <w:pStyle w:val="Heading2"/>
        <w:numPr>
          <w:ilvl w:val="1"/>
          <w:numId w:val="27"/>
        </w:numPr>
        <w:tabs>
          <w:tab w:pos="959" w:val="left" w:leader="none"/>
          <w:tab w:pos="960" w:val="left" w:leader="none"/>
        </w:tabs>
        <w:spacing w:line="318" w:lineRule="exact" w:before="0" w:after="0"/>
        <w:ind w:left="120" w:right="0" w:firstLine="0"/>
        <w:jc w:val="left"/>
      </w:pPr>
      <w:bookmarkStart w:name="_TOC_250006" w:id="254"/>
      <w:bookmarkEnd w:id="254"/>
      <w:r>
        <w:rPr>
          <w:w w:val="95"/>
        </w:rPr>
        <w:t>本条款约定利率</w:t>
      </w:r>
    </w:p>
    <w:p>
      <w:pPr>
        <w:pStyle w:val="BodyText"/>
        <w:spacing w:line="312" w:lineRule="auto" w:before="56"/>
        <w:ind w:right="117"/>
      </w:pPr>
      <w:r>
        <w:rPr>
          <w:w w:val="95"/>
        </w:rPr>
        <w:t>按“同期中国人民银行每月第一个营业日适用的人民币六个月期贷款利率与4.5%之较大者”  计算。</w:t>
      </w:r>
    </w:p>
    <w:p>
      <w:pPr>
        <w:pStyle w:val="Heading2"/>
        <w:numPr>
          <w:ilvl w:val="1"/>
          <w:numId w:val="27"/>
        </w:numPr>
        <w:tabs>
          <w:tab w:pos="959" w:val="left" w:leader="none"/>
          <w:tab w:pos="960" w:val="left" w:leader="none"/>
        </w:tabs>
        <w:spacing w:line="316" w:lineRule="exact" w:before="0" w:after="0"/>
        <w:ind w:left="120" w:right="0" w:firstLine="0"/>
        <w:jc w:val="left"/>
      </w:pPr>
      <w:bookmarkStart w:name="_TOC_250005" w:id="255"/>
      <w:bookmarkEnd w:id="255"/>
      <w:r>
        <w:rPr>
          <w:w w:val="95"/>
        </w:rPr>
        <w:t>有效身份证件</w:t>
      </w:r>
    </w:p>
    <w:p>
      <w:pPr>
        <w:pStyle w:val="BodyText"/>
        <w:spacing w:line="309" w:lineRule="auto" w:before="57"/>
        <w:ind w:right="117"/>
        <w:jc w:val="both"/>
      </w:pPr>
      <w:r>
        <w:rPr>
          <w:spacing w:val="-4"/>
        </w:rPr>
        <w:t>指由中华人民共和国政府主管部门规定的能够证明个人身份的证件，如：居民身份证、中华</w:t>
      </w:r>
      <w:r>
        <w:rPr>
          <w:spacing w:val="-8"/>
          <w:w w:val="95"/>
        </w:rPr>
        <w:t>人民共和国政府主管部门颁发或者认可的有效护照、军官证、警官证、士兵证、户口簿或者   其他身份证明文件。</w:t>
      </w:r>
    </w:p>
    <w:p>
      <w:pPr>
        <w:pStyle w:val="Heading2"/>
        <w:numPr>
          <w:ilvl w:val="1"/>
          <w:numId w:val="27"/>
        </w:numPr>
        <w:tabs>
          <w:tab w:pos="959" w:val="left" w:leader="none"/>
          <w:tab w:pos="960" w:val="left" w:leader="none"/>
        </w:tabs>
        <w:spacing w:line="318" w:lineRule="exact" w:before="0" w:after="0"/>
        <w:ind w:left="120" w:right="0" w:firstLine="0"/>
        <w:jc w:val="left"/>
      </w:pPr>
      <w:bookmarkStart w:name="_TOC_250004" w:id="256"/>
      <w:bookmarkEnd w:id="256"/>
      <w:r>
        <w:rPr>
          <w:w w:val="95"/>
        </w:rPr>
        <w:t>专科医生</w:t>
      </w:r>
    </w:p>
    <w:p>
      <w:pPr>
        <w:pStyle w:val="BodyText"/>
        <w:spacing w:before="59"/>
      </w:pPr>
      <w:r>
        <w:rPr>
          <w:spacing w:val="-1"/>
          <w:w w:val="99"/>
        </w:rPr>
        <w:t>专科医生应当同时满足以下四项资格条件</w:t>
      </w:r>
      <w:r>
        <w:rPr>
          <w:spacing w:val="-204"/>
          <w:w w:val="99"/>
        </w:rPr>
        <w:t>：</w:t>
      </w:r>
      <w:r>
        <w:rPr>
          <w:w w:val="99"/>
        </w:rPr>
        <w:t>（</w:t>
      </w:r>
      <w:r>
        <w:rPr>
          <w:spacing w:val="0"/>
          <w:w w:val="99"/>
        </w:rPr>
        <w:t>1</w:t>
      </w:r>
      <w:r>
        <w:rPr>
          <w:spacing w:val="-101"/>
          <w:w w:val="99"/>
        </w:rPr>
        <w:t>）</w:t>
      </w:r>
      <w:r>
        <w:rPr>
          <w:spacing w:val="-14"/>
          <w:w w:val="99"/>
        </w:rPr>
        <w:t>具有有效的中华人民共和国《医师资格证书》</w:t>
      </w:r>
      <w:r>
        <w:rPr>
          <w:w w:val="49"/>
        </w:rPr>
        <w:t>；</w:t>
      </w:r>
    </w:p>
    <w:p>
      <w:pPr>
        <w:pStyle w:val="BodyText"/>
        <w:spacing w:line="309" w:lineRule="auto"/>
        <w:ind w:right="117"/>
        <w:jc w:val="both"/>
      </w:pPr>
      <w:r>
        <w:rPr>
          <w:w w:val="99"/>
        </w:rPr>
        <w:t>（</w:t>
      </w:r>
      <w:r>
        <w:rPr>
          <w:spacing w:val="0"/>
          <w:w w:val="99"/>
        </w:rPr>
        <w:t>2</w:t>
      </w:r>
      <w:r>
        <w:rPr>
          <w:spacing w:val="-17"/>
          <w:w w:val="99"/>
        </w:rPr>
        <w:t>）</w:t>
      </w:r>
      <w:r>
        <w:rPr>
          <w:spacing w:val="-9"/>
          <w:w w:val="99"/>
        </w:rPr>
        <w:t>具有有效的中华人民共和国《医师执业证书》，并按期到相关部门登记注册</w:t>
      </w:r>
      <w:r>
        <w:rPr>
          <w:spacing w:val="-123"/>
          <w:w w:val="99"/>
        </w:rPr>
        <w:t>；</w:t>
      </w:r>
      <w:r>
        <w:rPr>
          <w:w w:val="99"/>
        </w:rPr>
        <w:t>（</w:t>
      </w:r>
      <w:r>
        <w:rPr>
          <w:spacing w:val="0"/>
          <w:w w:val="99"/>
        </w:rPr>
        <w:t>3</w:t>
      </w:r>
      <w:r>
        <w:rPr>
          <w:spacing w:val="-17"/>
          <w:w w:val="99"/>
        </w:rPr>
        <w:t>）</w:t>
      </w:r>
      <w:r>
        <w:rPr>
          <w:w w:val="99"/>
        </w:rPr>
        <w:t>具有</w:t>
      </w:r>
      <w:r>
        <w:rPr>
          <w:spacing w:val="-8"/>
          <w:w w:val="99"/>
        </w:rPr>
        <w:t>有效的中华人民共和国主治医师或主治医师以上职称的《医师职称证书》；</w:t>
      </w:r>
      <w:r>
        <w:rPr>
          <w:w w:val="99"/>
        </w:rPr>
        <w:t>（</w:t>
      </w:r>
      <w:r>
        <w:rPr>
          <w:spacing w:val="0"/>
          <w:w w:val="99"/>
        </w:rPr>
        <w:t>4</w:t>
      </w:r>
      <w:r>
        <w:rPr>
          <w:spacing w:val="1"/>
          <w:w w:val="99"/>
        </w:rPr>
        <w:t>）</w:t>
      </w:r>
      <w:r>
        <w:rPr>
          <w:w w:val="99"/>
        </w:rPr>
        <w:t>在二级或二</w:t>
      </w:r>
      <w:r>
        <w:rPr>
          <w:w w:val="95"/>
        </w:rPr>
        <w:t>级以上医院的相应科室从事临床工作三年以上。</w:t>
      </w:r>
    </w:p>
    <w:p>
      <w:pPr>
        <w:pStyle w:val="Heading2"/>
        <w:numPr>
          <w:ilvl w:val="1"/>
          <w:numId w:val="27"/>
        </w:numPr>
        <w:tabs>
          <w:tab w:pos="959" w:val="left" w:leader="none"/>
          <w:tab w:pos="960" w:val="left" w:leader="none"/>
        </w:tabs>
        <w:spacing w:line="321" w:lineRule="exact" w:before="0" w:after="0"/>
        <w:ind w:left="120" w:right="0" w:firstLine="0"/>
        <w:jc w:val="left"/>
      </w:pPr>
      <w:bookmarkStart w:name="_TOC_250003" w:id="257"/>
      <w:bookmarkEnd w:id="257"/>
      <w:r>
        <w:rPr>
          <w:w w:val="95"/>
        </w:rPr>
        <w:t>肢体机能完全丧失</w:t>
      </w:r>
    </w:p>
    <w:p>
      <w:pPr>
        <w:pStyle w:val="BodyText"/>
        <w:spacing w:line="309" w:lineRule="auto" w:before="57"/>
        <w:ind w:right="117"/>
      </w:pPr>
      <w:r>
        <w:rPr>
          <w:spacing w:val="-5"/>
          <w:w w:val="95"/>
        </w:rPr>
        <w:t>指肢体的三大关节中的两大关节僵硬，或不能随意识活动。肢体是指包括肩关节的整个上肢   或包括髋关节的整个下肢。</w:t>
      </w:r>
    </w:p>
    <w:p>
      <w:pPr>
        <w:pStyle w:val="Heading2"/>
        <w:numPr>
          <w:ilvl w:val="1"/>
          <w:numId w:val="27"/>
        </w:numPr>
        <w:tabs>
          <w:tab w:pos="959" w:val="left" w:leader="none"/>
          <w:tab w:pos="960" w:val="left" w:leader="none"/>
        </w:tabs>
        <w:spacing w:line="318" w:lineRule="exact" w:before="0" w:after="0"/>
        <w:ind w:left="120" w:right="0" w:firstLine="0"/>
        <w:jc w:val="left"/>
      </w:pPr>
      <w:bookmarkStart w:name="_TOC_250002" w:id="258"/>
      <w:bookmarkEnd w:id="258"/>
      <w:r>
        <w:rPr>
          <w:w w:val="95"/>
        </w:rPr>
        <w:t>语言能力或咀嚼吞咽能力完全丧失</w:t>
      </w:r>
    </w:p>
    <w:p>
      <w:pPr>
        <w:pStyle w:val="BodyText"/>
        <w:spacing w:line="309" w:lineRule="auto" w:before="59"/>
        <w:ind w:right="121"/>
      </w:pPr>
      <w:r>
        <w:rPr>
          <w:spacing w:val="-3"/>
          <w:w w:val="95"/>
        </w:rPr>
        <w:t>语言能力完全丧失，指无法发出四种声音</w:t>
      </w:r>
      <w:r>
        <w:rPr>
          <w:w w:val="95"/>
        </w:rPr>
        <w:t>（</w:t>
      </w:r>
      <w:r>
        <w:rPr>
          <w:spacing w:val="-6"/>
          <w:w w:val="95"/>
        </w:rPr>
        <w:t>包括口唇音、齿舌音、口盖音和喉头音</w:t>
      </w:r>
      <w:r>
        <w:rPr>
          <w:spacing w:val="-20"/>
          <w:w w:val="95"/>
        </w:rPr>
        <w:t>）</w:t>
      </w:r>
      <w:r>
        <w:rPr>
          <w:w w:val="95"/>
        </w:rPr>
        <w:t>中的任   何三种、或声带全部切除，或因大脑语言中枢受伤害而患失语症。</w:t>
      </w:r>
    </w:p>
    <w:p>
      <w:pPr>
        <w:pStyle w:val="BodyText"/>
        <w:spacing w:line="309" w:lineRule="auto" w:before="19"/>
        <w:ind w:right="117"/>
      </w:pPr>
      <w:r>
        <w:rPr>
          <w:spacing w:val="-7"/>
          <w:w w:val="95"/>
        </w:rPr>
        <w:t>咀嚼吞咽能力完全丧失，指因牙齿以外的原因导致器质障碍或机能障碍，以致不能作咀嚼吞   咽动作，除流质食物外不能摄取或吞咽的状态。</w:t>
      </w:r>
    </w:p>
    <w:p>
      <w:pPr>
        <w:pStyle w:val="Heading2"/>
        <w:numPr>
          <w:ilvl w:val="1"/>
          <w:numId w:val="27"/>
        </w:numPr>
        <w:tabs>
          <w:tab w:pos="959" w:val="left" w:leader="none"/>
          <w:tab w:pos="960" w:val="left" w:leader="none"/>
        </w:tabs>
        <w:spacing w:line="318" w:lineRule="exact" w:before="0" w:after="0"/>
        <w:ind w:left="120" w:right="0" w:firstLine="0"/>
        <w:jc w:val="left"/>
      </w:pPr>
      <w:bookmarkStart w:name="_TOC_250001" w:id="259"/>
      <w:bookmarkEnd w:id="259"/>
      <w:r>
        <w:rPr>
          <w:w w:val="95"/>
        </w:rPr>
        <w:t>六项基本日常生活活动</w:t>
      </w:r>
    </w:p>
    <w:p>
      <w:pPr>
        <w:pStyle w:val="BodyText"/>
        <w:spacing w:line="312" w:lineRule="auto" w:before="57"/>
        <w:ind w:right="117"/>
        <w:jc w:val="both"/>
      </w:pPr>
      <w:r>
        <w:rPr>
          <w:spacing w:val="-1"/>
          <w:w w:val="99"/>
        </w:rPr>
        <w:t>六项基本日常生活活动是指</w:t>
      </w:r>
      <w:r>
        <w:rPr>
          <w:spacing w:val="-120"/>
          <w:w w:val="99"/>
        </w:rPr>
        <w:t>：</w:t>
      </w:r>
      <w:r>
        <w:rPr>
          <w:spacing w:val="1"/>
          <w:w w:val="99"/>
        </w:rPr>
        <w:t>（</w:t>
      </w:r>
      <w:r>
        <w:rPr>
          <w:spacing w:val="0"/>
          <w:w w:val="99"/>
        </w:rPr>
        <w:t>1</w:t>
      </w:r>
      <w:r>
        <w:rPr>
          <w:spacing w:val="-15"/>
          <w:w w:val="99"/>
        </w:rPr>
        <w:t>）</w:t>
      </w:r>
      <w:r>
        <w:rPr>
          <w:spacing w:val="-3"/>
          <w:w w:val="99"/>
        </w:rPr>
        <w:t>穿衣：自己能够穿衣及脱衣</w:t>
      </w:r>
      <w:r>
        <w:rPr>
          <w:spacing w:val="-118"/>
          <w:w w:val="99"/>
        </w:rPr>
        <w:t>；</w:t>
      </w:r>
      <w:r>
        <w:rPr>
          <w:w w:val="99"/>
        </w:rPr>
        <w:t>（</w:t>
      </w:r>
      <w:r>
        <w:rPr>
          <w:spacing w:val="0"/>
          <w:w w:val="99"/>
        </w:rPr>
        <w:t>2</w:t>
      </w:r>
      <w:r>
        <w:rPr>
          <w:spacing w:val="-15"/>
          <w:w w:val="99"/>
        </w:rPr>
        <w:t>）</w:t>
      </w:r>
      <w:r>
        <w:rPr>
          <w:spacing w:val="-3"/>
          <w:w w:val="99"/>
        </w:rPr>
        <w:t>移动：自己从一个房间</w:t>
      </w:r>
      <w:r>
        <w:rPr>
          <w:spacing w:val="-16"/>
          <w:w w:val="99"/>
        </w:rPr>
        <w:t>到另一个房间；</w:t>
      </w:r>
      <w:r>
        <w:rPr>
          <w:w w:val="99"/>
        </w:rPr>
        <w:t>（</w:t>
      </w:r>
      <w:r>
        <w:rPr>
          <w:spacing w:val="0"/>
          <w:w w:val="99"/>
        </w:rPr>
        <w:t>3</w:t>
      </w:r>
      <w:r>
        <w:rPr>
          <w:spacing w:val="1"/>
          <w:w w:val="99"/>
        </w:rPr>
        <w:t>）</w:t>
      </w:r>
      <w:r>
        <w:rPr>
          <w:spacing w:val="-9"/>
          <w:w w:val="99"/>
        </w:rPr>
        <w:t>行动：自己上下床或上下轮椅；</w:t>
      </w:r>
      <w:r>
        <w:rPr>
          <w:w w:val="99"/>
        </w:rPr>
        <w:t>（</w:t>
      </w:r>
      <w:r>
        <w:rPr>
          <w:spacing w:val="0"/>
          <w:w w:val="99"/>
        </w:rPr>
        <w:t>4</w:t>
      </w:r>
      <w:r>
        <w:rPr>
          <w:spacing w:val="1"/>
          <w:w w:val="99"/>
        </w:rPr>
        <w:t>）</w:t>
      </w:r>
      <w:r>
        <w:rPr>
          <w:spacing w:val="-9"/>
          <w:w w:val="99"/>
        </w:rPr>
        <w:t>如厕：自己控制进行大小便；</w:t>
      </w:r>
      <w:r>
        <w:rPr>
          <w:spacing w:val="1"/>
          <w:w w:val="99"/>
        </w:rPr>
        <w:t>（</w:t>
      </w:r>
      <w:r>
        <w:rPr>
          <w:spacing w:val="0"/>
          <w:w w:val="99"/>
        </w:rPr>
        <w:t>5</w:t>
      </w:r>
      <w:r>
        <w:rPr>
          <w:w w:val="54"/>
        </w:rPr>
        <w:t>）</w:t>
      </w:r>
      <w:r>
        <w:rPr>
          <w:spacing w:val="-6"/>
          <w:w w:val="99"/>
        </w:rPr>
        <w:t>进食：自己从已准备好的碗或碟中取食物放入口中；</w:t>
      </w:r>
      <w:r>
        <w:rPr>
          <w:w w:val="99"/>
        </w:rPr>
        <w:t>（</w:t>
      </w:r>
      <w:r>
        <w:rPr>
          <w:spacing w:val="0"/>
          <w:w w:val="99"/>
        </w:rPr>
        <w:t>6</w:t>
      </w:r>
      <w:r>
        <w:rPr>
          <w:spacing w:val="1"/>
          <w:w w:val="99"/>
        </w:rPr>
        <w:t>）</w:t>
      </w:r>
      <w:r>
        <w:rPr>
          <w:w w:val="99"/>
        </w:rPr>
        <w:t>洗澡：自己进行淋浴或盆浴。</w:t>
      </w:r>
    </w:p>
    <w:p>
      <w:pPr>
        <w:pStyle w:val="Heading2"/>
        <w:numPr>
          <w:ilvl w:val="1"/>
          <w:numId w:val="27"/>
        </w:numPr>
        <w:tabs>
          <w:tab w:pos="959" w:val="left" w:leader="none"/>
          <w:tab w:pos="960" w:val="left" w:leader="none"/>
        </w:tabs>
        <w:spacing w:line="316" w:lineRule="exact" w:before="0" w:after="0"/>
        <w:ind w:left="120" w:right="0" w:firstLine="0"/>
        <w:jc w:val="left"/>
      </w:pPr>
      <w:bookmarkStart w:name="_TOC_250000" w:id="260"/>
      <w:bookmarkEnd w:id="260"/>
      <w:r>
        <w:rPr>
          <w:w w:val="95"/>
        </w:rPr>
        <w:t>永久不可逆</w:t>
      </w:r>
    </w:p>
    <w:p>
      <w:pPr>
        <w:pStyle w:val="BodyText"/>
        <w:spacing w:line="309" w:lineRule="auto" w:before="56"/>
        <w:ind w:right="117"/>
      </w:pPr>
      <w:r>
        <w:rPr>
          <w:spacing w:val="-6"/>
        </w:rPr>
        <w:t>指自疾病确诊或意外伤害发生之日起，经过积极治疗 </w:t>
      </w:r>
      <w:r>
        <w:rPr/>
        <w:t>180</w:t>
      </w:r>
      <w:r>
        <w:rPr>
          <w:spacing w:val="-11"/>
        </w:rPr>
        <w:t> 日后，仍无法通过现有医疗手段恢</w:t>
      </w:r>
      <w:r>
        <w:rPr>
          <w:spacing w:val="-11"/>
          <w:w w:val="95"/>
        </w:rPr>
        <w:t>复。</w:t>
      </w:r>
    </w:p>
    <w:sectPr>
      <w:pgSz w:w="11910" w:h="16840"/>
      <w:pgMar w:header="0" w:footer="1047" w:top="1420" w:bottom="12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pt;margin-top:778.526001pt;width:155pt;height:13.75pt;mso-position-horizontal-relative:page;mso-position-vertical-relative:page;z-index:-29368" type="#_x0000_t202" filled="false" stroked="false">
          <v:textbox inset="0,0,0,0">
            <w:txbxContent>
              <w:p>
                <w:pPr>
                  <w:spacing w:line="223" w:lineRule="exact" w:before="0"/>
                  <w:ind w:left="20" w:right="0" w:firstLine="0"/>
                  <w:jc w:val="left"/>
                  <w:rPr>
                    <w:sz w:val="18"/>
                  </w:rPr>
                </w:pPr>
                <w:r>
                  <w:rPr>
                    <w:sz w:val="18"/>
                  </w:rPr>
                  <w:t>中新大东方重疾无忧重大疾病保险条款</w:t>
                </w:r>
              </w:p>
            </w:txbxContent>
          </v:textbox>
          <w10:wrap type="none"/>
        </v:shape>
      </w:pict>
    </w:r>
    <w:r>
      <w:rPr/>
      <w:pict>
        <v:shape style="position:absolute;margin-left:439pt;margin-top:778.526001pt;width:10.45pt;height:13.75pt;mso-position-horizontal-relative:page;mso-position-vertical-relative:page;z-index:-29344" type="#_x0000_t202" filled="false" stroked="false">
          <v:textbox inset="0,0,0,0">
            <w:txbxContent>
              <w:p>
                <w:pPr>
                  <w:spacing w:line="223" w:lineRule="exact" w:before="0"/>
                  <w:ind w:left="40" w:right="0" w:firstLine="0"/>
                  <w:jc w:val="left"/>
                  <w:rPr>
                    <w:sz w:val="18"/>
                  </w:rPr>
                </w:pPr>
                <w:r>
                  <w:rPr/>
                  <w:fldChar w:fldCharType="begin"/>
                </w:r>
                <w:r>
                  <w:rPr>
                    <w:w w:val="80"/>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8.526001pt;width:155pt;height:13.75pt;mso-position-horizontal-relative:page;mso-position-vertical-relative:page;z-index:-29224" type="#_x0000_t202" filled="false" stroked="false">
          <v:textbox inset="0,0,0,0">
            <w:txbxContent>
              <w:p>
                <w:pPr>
                  <w:spacing w:line="223" w:lineRule="exact" w:before="0"/>
                  <w:ind w:left="20" w:right="0" w:firstLine="0"/>
                  <w:jc w:val="left"/>
                  <w:rPr>
                    <w:sz w:val="18"/>
                  </w:rPr>
                </w:pPr>
                <w:r>
                  <w:rPr>
                    <w:sz w:val="18"/>
                  </w:rPr>
                  <w:t>中新大东方重疾无忧重大疾病保险条款</w:t>
                </w:r>
              </w:p>
            </w:txbxContent>
          </v:textbox>
          <w10:wrap type="none"/>
        </v:shape>
      </w:pict>
    </w:r>
    <w:r>
      <w:rPr/>
      <w:pict>
        <v:shape style="position:absolute;margin-left:493pt;margin-top:778.526001pt;width:8.25pt;height:13.75pt;mso-position-horizontal-relative:page;mso-position-vertical-relative:page;z-index:-29200" type="#_x0000_t202" filled="false" stroked="false">
          <v:textbox inset="0,0,0,0">
            <w:txbxContent>
              <w:p>
                <w:pPr>
                  <w:spacing w:line="223" w:lineRule="exact" w:before="0"/>
                  <w:ind w:left="40" w:right="0" w:firstLine="0"/>
                  <w:jc w:val="left"/>
                  <w:rPr>
                    <w:sz w:val="18"/>
                  </w:rPr>
                </w:pPr>
                <w:r>
                  <w:rPr/>
                  <w:fldChar w:fldCharType="begin"/>
                </w:r>
                <w:r>
                  <w:rPr>
                    <w:w w:val="93"/>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pt;margin-top:778.526001pt;width:155pt;height:13.75pt;mso-position-horizontal-relative:page;mso-position-vertical-relative:page;z-index:-29176" type="#_x0000_t202" filled="false" stroked="false">
          <v:textbox inset="0,0,0,0">
            <w:txbxContent>
              <w:p>
                <w:pPr>
                  <w:spacing w:line="223" w:lineRule="exact" w:before="0"/>
                  <w:ind w:left="20" w:right="0" w:firstLine="0"/>
                  <w:jc w:val="left"/>
                  <w:rPr>
                    <w:sz w:val="18"/>
                  </w:rPr>
                </w:pPr>
                <w:r>
                  <w:rPr>
                    <w:sz w:val="18"/>
                  </w:rPr>
                  <w:t>中新大东方重疾无忧重大疾病保险条款</w:t>
                </w:r>
              </w:p>
            </w:txbxContent>
          </v:textbox>
          <w10:wrap type="none"/>
        </v:shape>
      </w:pict>
    </w:r>
    <w:r>
      <w:rPr/>
      <w:pict>
        <v:shape style="position:absolute;margin-left:493pt;margin-top:778.526001pt;width:12.45pt;height:13.75pt;mso-position-horizontal-relative:page;mso-position-vertical-relative:page;z-index:-29152" type="#_x0000_t202" filled="false" stroked="false">
          <v:textbox inset="0,0,0,0">
            <w:txbxContent>
              <w:p>
                <w:pPr>
                  <w:spacing w:line="223"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1380" w:hanging="267"/>
      </w:pPr>
      <w:rPr>
        <w:rFonts w:hint="default" w:ascii="Trebuchet MS" w:hAnsi="Trebuchet MS" w:eastAsia="Trebuchet MS" w:cs="Trebuchet MS"/>
        <w:w w:val="87"/>
        <w:sz w:val="21"/>
        <w:szCs w:val="21"/>
      </w:rPr>
    </w:lvl>
    <w:lvl w:ilvl="1">
      <w:start w:val="0"/>
      <w:numFmt w:val="bullet"/>
      <w:lvlText w:val="•"/>
      <w:lvlJc w:val="left"/>
      <w:pPr>
        <w:ind w:left="2106" w:hanging="267"/>
      </w:pPr>
      <w:rPr>
        <w:rFonts w:hint="default"/>
      </w:rPr>
    </w:lvl>
    <w:lvl w:ilvl="2">
      <w:start w:val="0"/>
      <w:numFmt w:val="bullet"/>
      <w:lvlText w:val="•"/>
      <w:lvlJc w:val="left"/>
      <w:pPr>
        <w:ind w:left="2833" w:hanging="267"/>
      </w:pPr>
      <w:rPr>
        <w:rFonts w:hint="default"/>
      </w:rPr>
    </w:lvl>
    <w:lvl w:ilvl="3">
      <w:start w:val="0"/>
      <w:numFmt w:val="bullet"/>
      <w:lvlText w:val="•"/>
      <w:lvlJc w:val="left"/>
      <w:pPr>
        <w:ind w:left="3559" w:hanging="267"/>
      </w:pPr>
      <w:rPr>
        <w:rFonts w:hint="default"/>
      </w:rPr>
    </w:lvl>
    <w:lvl w:ilvl="4">
      <w:start w:val="0"/>
      <w:numFmt w:val="bullet"/>
      <w:lvlText w:val="•"/>
      <w:lvlJc w:val="left"/>
      <w:pPr>
        <w:ind w:left="4286" w:hanging="267"/>
      </w:pPr>
      <w:rPr>
        <w:rFonts w:hint="default"/>
      </w:rPr>
    </w:lvl>
    <w:lvl w:ilvl="5">
      <w:start w:val="0"/>
      <w:numFmt w:val="bullet"/>
      <w:lvlText w:val="•"/>
      <w:lvlJc w:val="left"/>
      <w:pPr>
        <w:ind w:left="5013" w:hanging="267"/>
      </w:pPr>
      <w:rPr>
        <w:rFonts w:hint="default"/>
      </w:rPr>
    </w:lvl>
    <w:lvl w:ilvl="6">
      <w:start w:val="0"/>
      <w:numFmt w:val="bullet"/>
      <w:lvlText w:val="•"/>
      <w:lvlJc w:val="left"/>
      <w:pPr>
        <w:ind w:left="5739" w:hanging="267"/>
      </w:pPr>
      <w:rPr>
        <w:rFonts w:hint="default"/>
      </w:rPr>
    </w:lvl>
    <w:lvl w:ilvl="7">
      <w:start w:val="0"/>
      <w:numFmt w:val="bullet"/>
      <w:lvlText w:val="•"/>
      <w:lvlJc w:val="left"/>
      <w:pPr>
        <w:ind w:left="6466" w:hanging="267"/>
      </w:pPr>
      <w:rPr>
        <w:rFonts w:hint="default"/>
      </w:rPr>
    </w:lvl>
    <w:lvl w:ilvl="8">
      <w:start w:val="0"/>
      <w:numFmt w:val="bullet"/>
      <w:lvlText w:val="•"/>
      <w:lvlJc w:val="left"/>
      <w:pPr>
        <w:ind w:left="7192" w:hanging="267"/>
      </w:pPr>
      <w:rPr>
        <w:rFonts w:hint="default"/>
      </w:rPr>
    </w:lvl>
  </w:abstractNum>
  <w:abstractNum w:abstractNumId="28">
    <w:multiLevelType w:val="hybridMultilevel"/>
    <w:lvl w:ilvl="0">
      <w:start w:val="1"/>
      <w:numFmt w:val="decimal"/>
      <w:lvlText w:val="（%1）"/>
      <w:lvlJc w:val="left"/>
      <w:pPr>
        <w:ind w:left="840" w:hanging="720"/>
        <w:jc w:val="left"/>
      </w:pPr>
      <w:rPr>
        <w:rFonts w:hint="default" w:ascii="宋体" w:hAnsi="宋体" w:eastAsia="宋体" w:cs="宋体"/>
        <w:w w:val="99"/>
        <w:sz w:val="21"/>
        <w:szCs w:val="21"/>
      </w:rPr>
    </w:lvl>
    <w:lvl w:ilvl="1">
      <w:start w:val="0"/>
      <w:numFmt w:val="bullet"/>
      <w:lvlText w:val="•"/>
      <w:lvlJc w:val="left"/>
      <w:pPr>
        <w:ind w:left="1620" w:hanging="720"/>
      </w:pPr>
      <w:rPr>
        <w:rFonts w:hint="default"/>
      </w:rPr>
    </w:lvl>
    <w:lvl w:ilvl="2">
      <w:start w:val="0"/>
      <w:numFmt w:val="bullet"/>
      <w:lvlText w:val="•"/>
      <w:lvlJc w:val="left"/>
      <w:pPr>
        <w:ind w:left="2401" w:hanging="720"/>
      </w:pPr>
      <w:rPr>
        <w:rFonts w:hint="default"/>
      </w:rPr>
    </w:lvl>
    <w:lvl w:ilvl="3">
      <w:start w:val="0"/>
      <w:numFmt w:val="bullet"/>
      <w:lvlText w:val="•"/>
      <w:lvlJc w:val="left"/>
      <w:pPr>
        <w:ind w:left="3181" w:hanging="720"/>
      </w:pPr>
      <w:rPr>
        <w:rFonts w:hint="default"/>
      </w:rPr>
    </w:lvl>
    <w:lvl w:ilvl="4">
      <w:start w:val="0"/>
      <w:numFmt w:val="bullet"/>
      <w:lvlText w:val="•"/>
      <w:lvlJc w:val="left"/>
      <w:pPr>
        <w:ind w:left="3962" w:hanging="720"/>
      </w:pPr>
      <w:rPr>
        <w:rFonts w:hint="default"/>
      </w:rPr>
    </w:lvl>
    <w:lvl w:ilvl="5">
      <w:start w:val="0"/>
      <w:numFmt w:val="bullet"/>
      <w:lvlText w:val="•"/>
      <w:lvlJc w:val="left"/>
      <w:pPr>
        <w:ind w:left="4743" w:hanging="720"/>
      </w:pPr>
      <w:rPr>
        <w:rFonts w:hint="default"/>
      </w:rPr>
    </w:lvl>
    <w:lvl w:ilvl="6">
      <w:start w:val="0"/>
      <w:numFmt w:val="bullet"/>
      <w:lvlText w:val="•"/>
      <w:lvlJc w:val="left"/>
      <w:pPr>
        <w:ind w:left="5523" w:hanging="720"/>
      </w:pPr>
      <w:rPr>
        <w:rFonts w:hint="default"/>
      </w:rPr>
    </w:lvl>
    <w:lvl w:ilvl="7">
      <w:start w:val="0"/>
      <w:numFmt w:val="bullet"/>
      <w:lvlText w:val="•"/>
      <w:lvlJc w:val="left"/>
      <w:pPr>
        <w:ind w:left="6304" w:hanging="720"/>
      </w:pPr>
      <w:rPr>
        <w:rFonts w:hint="default"/>
      </w:rPr>
    </w:lvl>
    <w:lvl w:ilvl="8">
      <w:start w:val="0"/>
      <w:numFmt w:val="bullet"/>
      <w:lvlText w:val="•"/>
      <w:lvlJc w:val="left"/>
      <w:pPr>
        <w:ind w:left="7084" w:hanging="720"/>
      </w:pPr>
      <w:rPr>
        <w:rFonts w:hint="default"/>
      </w:rPr>
    </w:lvl>
  </w:abstractNum>
  <w:abstractNum w:abstractNumId="27">
    <w:multiLevelType w:val="hybridMultilevel"/>
    <w:lvl w:ilvl="0">
      <w:start w:val="1"/>
      <w:numFmt w:val="decimal"/>
      <w:lvlText w:val="（%1）"/>
      <w:lvlJc w:val="left"/>
      <w:pPr>
        <w:ind w:left="840" w:hanging="720"/>
        <w:jc w:val="left"/>
      </w:pPr>
      <w:rPr>
        <w:rFonts w:hint="default" w:ascii="宋体" w:hAnsi="宋体" w:eastAsia="宋体" w:cs="宋体"/>
        <w:w w:val="99"/>
        <w:sz w:val="21"/>
        <w:szCs w:val="21"/>
      </w:rPr>
    </w:lvl>
    <w:lvl w:ilvl="1">
      <w:start w:val="0"/>
      <w:numFmt w:val="bullet"/>
      <w:lvlText w:val="•"/>
      <w:lvlJc w:val="left"/>
      <w:pPr>
        <w:ind w:left="1620" w:hanging="720"/>
      </w:pPr>
      <w:rPr>
        <w:rFonts w:hint="default"/>
      </w:rPr>
    </w:lvl>
    <w:lvl w:ilvl="2">
      <w:start w:val="0"/>
      <w:numFmt w:val="bullet"/>
      <w:lvlText w:val="•"/>
      <w:lvlJc w:val="left"/>
      <w:pPr>
        <w:ind w:left="2401" w:hanging="720"/>
      </w:pPr>
      <w:rPr>
        <w:rFonts w:hint="default"/>
      </w:rPr>
    </w:lvl>
    <w:lvl w:ilvl="3">
      <w:start w:val="0"/>
      <w:numFmt w:val="bullet"/>
      <w:lvlText w:val="•"/>
      <w:lvlJc w:val="left"/>
      <w:pPr>
        <w:ind w:left="3181" w:hanging="720"/>
      </w:pPr>
      <w:rPr>
        <w:rFonts w:hint="default"/>
      </w:rPr>
    </w:lvl>
    <w:lvl w:ilvl="4">
      <w:start w:val="0"/>
      <w:numFmt w:val="bullet"/>
      <w:lvlText w:val="•"/>
      <w:lvlJc w:val="left"/>
      <w:pPr>
        <w:ind w:left="3962" w:hanging="720"/>
      </w:pPr>
      <w:rPr>
        <w:rFonts w:hint="default"/>
      </w:rPr>
    </w:lvl>
    <w:lvl w:ilvl="5">
      <w:start w:val="0"/>
      <w:numFmt w:val="bullet"/>
      <w:lvlText w:val="•"/>
      <w:lvlJc w:val="left"/>
      <w:pPr>
        <w:ind w:left="4743" w:hanging="720"/>
      </w:pPr>
      <w:rPr>
        <w:rFonts w:hint="default"/>
      </w:rPr>
    </w:lvl>
    <w:lvl w:ilvl="6">
      <w:start w:val="0"/>
      <w:numFmt w:val="bullet"/>
      <w:lvlText w:val="•"/>
      <w:lvlJc w:val="left"/>
      <w:pPr>
        <w:ind w:left="5523" w:hanging="720"/>
      </w:pPr>
      <w:rPr>
        <w:rFonts w:hint="default"/>
      </w:rPr>
    </w:lvl>
    <w:lvl w:ilvl="7">
      <w:start w:val="0"/>
      <w:numFmt w:val="bullet"/>
      <w:lvlText w:val="•"/>
      <w:lvlJc w:val="left"/>
      <w:pPr>
        <w:ind w:left="6304" w:hanging="720"/>
      </w:pPr>
      <w:rPr>
        <w:rFonts w:hint="default"/>
      </w:rPr>
    </w:lvl>
    <w:lvl w:ilvl="8">
      <w:start w:val="0"/>
      <w:numFmt w:val="bullet"/>
      <w:lvlText w:val="•"/>
      <w:lvlJc w:val="left"/>
      <w:pPr>
        <w:ind w:left="7084" w:hanging="720"/>
      </w:pPr>
      <w:rPr>
        <w:rFonts w:hint="default"/>
      </w:rPr>
    </w:lvl>
  </w:abstractNum>
  <w:abstractNum w:abstractNumId="26">
    <w:multiLevelType w:val="hybridMultilevel"/>
    <w:lvl w:ilvl="0">
      <w:start w:val="13"/>
      <w:numFmt w:val="decimal"/>
      <w:lvlText w:val="%1"/>
      <w:lvlJc w:val="left"/>
      <w:pPr>
        <w:ind w:left="960" w:hanging="840"/>
        <w:jc w:val="left"/>
      </w:pPr>
      <w:rPr>
        <w:rFonts w:hint="default"/>
      </w:rPr>
    </w:lvl>
    <w:lvl w:ilvl="1">
      <w:start w:val="10"/>
      <w:numFmt w:val="decimal"/>
      <w:lvlText w:val="%1.%2"/>
      <w:lvlJc w:val="left"/>
      <w:pPr>
        <w:ind w:left="120" w:hanging="840"/>
        <w:jc w:val="left"/>
      </w:pPr>
      <w:rPr>
        <w:rFonts w:hint="default" w:ascii="Microsoft JhengHei" w:hAnsi="Microsoft JhengHei" w:eastAsia="Microsoft JhengHei" w:cs="Microsoft JhengHei"/>
        <w:b/>
        <w:bCs/>
        <w:spacing w:val="0"/>
        <w:w w:val="83"/>
        <w:sz w:val="21"/>
        <w:szCs w:val="21"/>
      </w:rPr>
    </w:lvl>
    <w:lvl w:ilvl="2">
      <w:start w:val="1"/>
      <w:numFmt w:val="decimal"/>
      <w:lvlText w:val="(%3)"/>
      <w:lvlJc w:val="left"/>
      <w:pPr>
        <w:ind w:left="960" w:hanging="423"/>
        <w:jc w:val="left"/>
      </w:pPr>
      <w:rPr>
        <w:rFonts w:hint="default" w:ascii="Times New Roman" w:hAnsi="Times New Roman" w:eastAsia="Times New Roman" w:cs="Times New Roman"/>
        <w:w w:val="99"/>
        <w:sz w:val="21"/>
        <w:szCs w:val="21"/>
      </w:rPr>
    </w:lvl>
    <w:lvl w:ilvl="3">
      <w:start w:val="0"/>
      <w:numFmt w:val="bullet"/>
      <w:lvlText w:val="•"/>
      <w:lvlJc w:val="left"/>
      <w:pPr>
        <w:ind w:left="2663" w:hanging="423"/>
      </w:pPr>
      <w:rPr>
        <w:rFonts w:hint="default"/>
      </w:rPr>
    </w:lvl>
    <w:lvl w:ilvl="4">
      <w:start w:val="0"/>
      <w:numFmt w:val="bullet"/>
      <w:lvlText w:val="•"/>
      <w:lvlJc w:val="left"/>
      <w:pPr>
        <w:ind w:left="3515" w:hanging="423"/>
      </w:pPr>
      <w:rPr>
        <w:rFonts w:hint="default"/>
      </w:rPr>
    </w:lvl>
    <w:lvl w:ilvl="5">
      <w:start w:val="0"/>
      <w:numFmt w:val="bullet"/>
      <w:lvlText w:val="•"/>
      <w:lvlJc w:val="left"/>
      <w:pPr>
        <w:ind w:left="4367" w:hanging="423"/>
      </w:pPr>
      <w:rPr>
        <w:rFonts w:hint="default"/>
      </w:rPr>
    </w:lvl>
    <w:lvl w:ilvl="6">
      <w:start w:val="0"/>
      <w:numFmt w:val="bullet"/>
      <w:lvlText w:val="•"/>
      <w:lvlJc w:val="left"/>
      <w:pPr>
        <w:ind w:left="5218" w:hanging="423"/>
      </w:pPr>
      <w:rPr>
        <w:rFonts w:hint="default"/>
      </w:rPr>
    </w:lvl>
    <w:lvl w:ilvl="7">
      <w:start w:val="0"/>
      <w:numFmt w:val="bullet"/>
      <w:lvlText w:val="•"/>
      <w:lvlJc w:val="left"/>
      <w:pPr>
        <w:ind w:left="6070" w:hanging="423"/>
      </w:pPr>
      <w:rPr>
        <w:rFonts w:hint="default"/>
      </w:rPr>
    </w:lvl>
    <w:lvl w:ilvl="8">
      <w:start w:val="0"/>
      <w:numFmt w:val="bullet"/>
      <w:lvlText w:val="•"/>
      <w:lvlJc w:val="left"/>
      <w:pPr>
        <w:ind w:left="6922" w:hanging="423"/>
      </w:pPr>
      <w:rPr>
        <w:rFonts w:hint="default"/>
      </w:rPr>
    </w:lvl>
  </w:abstractNum>
  <w:abstractNum w:abstractNumId="25">
    <w:multiLevelType w:val="hybridMultilevel"/>
    <w:lvl w:ilvl="0">
      <w:start w:val="13"/>
      <w:numFmt w:val="decimal"/>
      <w:lvlText w:val="%1"/>
      <w:lvlJc w:val="left"/>
      <w:pPr>
        <w:ind w:left="552" w:hanging="432"/>
        <w:jc w:val="left"/>
      </w:pPr>
      <w:rPr>
        <w:rFonts w:hint="default"/>
      </w:rPr>
    </w:lvl>
    <w:lvl w:ilvl="1">
      <w:start w:val="7"/>
      <w:numFmt w:val="decimal"/>
      <w:lvlText w:val="%1.%2"/>
      <w:lvlJc w:val="left"/>
      <w:pPr>
        <w:ind w:left="552" w:hanging="432"/>
        <w:jc w:val="left"/>
      </w:pPr>
      <w:rPr>
        <w:rFonts w:hint="default" w:ascii="Microsoft JhengHei" w:hAnsi="Microsoft JhengHei" w:eastAsia="Microsoft JhengHei" w:cs="Microsoft JhengHei"/>
        <w:b/>
        <w:bCs/>
        <w:spacing w:val="0"/>
        <w:w w:val="83"/>
        <w:sz w:val="19"/>
        <w:szCs w:val="19"/>
      </w:rPr>
    </w:lvl>
    <w:lvl w:ilvl="2">
      <w:start w:val="0"/>
      <w:numFmt w:val="bullet"/>
      <w:lvlText w:val="•"/>
      <w:lvlJc w:val="left"/>
      <w:pPr>
        <w:ind w:left="2173" w:hanging="432"/>
      </w:pPr>
      <w:rPr>
        <w:rFonts w:hint="default"/>
      </w:rPr>
    </w:lvl>
    <w:lvl w:ilvl="3">
      <w:start w:val="0"/>
      <w:numFmt w:val="bullet"/>
      <w:lvlText w:val="•"/>
      <w:lvlJc w:val="left"/>
      <w:pPr>
        <w:ind w:left="2979" w:hanging="432"/>
      </w:pPr>
      <w:rPr>
        <w:rFonts w:hint="default"/>
      </w:rPr>
    </w:lvl>
    <w:lvl w:ilvl="4">
      <w:start w:val="0"/>
      <w:numFmt w:val="bullet"/>
      <w:lvlText w:val="•"/>
      <w:lvlJc w:val="left"/>
      <w:pPr>
        <w:ind w:left="3786" w:hanging="432"/>
      </w:pPr>
      <w:rPr>
        <w:rFonts w:hint="default"/>
      </w:rPr>
    </w:lvl>
    <w:lvl w:ilvl="5">
      <w:start w:val="0"/>
      <w:numFmt w:val="bullet"/>
      <w:lvlText w:val="•"/>
      <w:lvlJc w:val="left"/>
      <w:pPr>
        <w:ind w:left="4593" w:hanging="432"/>
      </w:pPr>
      <w:rPr>
        <w:rFonts w:hint="default"/>
      </w:rPr>
    </w:lvl>
    <w:lvl w:ilvl="6">
      <w:start w:val="0"/>
      <w:numFmt w:val="bullet"/>
      <w:lvlText w:val="•"/>
      <w:lvlJc w:val="left"/>
      <w:pPr>
        <w:ind w:left="5399" w:hanging="432"/>
      </w:pPr>
      <w:rPr>
        <w:rFonts w:hint="default"/>
      </w:rPr>
    </w:lvl>
    <w:lvl w:ilvl="7">
      <w:start w:val="0"/>
      <w:numFmt w:val="bullet"/>
      <w:lvlText w:val="•"/>
      <w:lvlJc w:val="left"/>
      <w:pPr>
        <w:ind w:left="6206" w:hanging="432"/>
      </w:pPr>
      <w:rPr>
        <w:rFonts w:hint="default"/>
      </w:rPr>
    </w:lvl>
    <w:lvl w:ilvl="8">
      <w:start w:val="0"/>
      <w:numFmt w:val="bullet"/>
      <w:lvlText w:val="•"/>
      <w:lvlJc w:val="left"/>
      <w:pPr>
        <w:ind w:left="7012" w:hanging="432"/>
      </w:pPr>
      <w:rPr>
        <w:rFonts w:hint="default"/>
      </w:rPr>
    </w:lvl>
  </w:abstractNum>
  <w:abstractNum w:abstractNumId="23">
    <w:multiLevelType w:val="hybridMultilevel"/>
    <w:lvl w:ilvl="0">
      <w:start w:val="1"/>
      <w:numFmt w:val="decimal"/>
      <w:lvlText w:val="（%1）"/>
      <w:lvlJc w:val="left"/>
      <w:pPr>
        <w:ind w:left="748" w:hanging="629"/>
        <w:jc w:val="left"/>
      </w:pPr>
      <w:rPr>
        <w:rFonts w:hint="default" w:ascii="宋体" w:hAnsi="宋体" w:eastAsia="宋体" w:cs="宋体"/>
        <w:w w:val="99"/>
        <w:sz w:val="21"/>
        <w:szCs w:val="21"/>
      </w:rPr>
    </w:lvl>
    <w:lvl w:ilvl="1">
      <w:start w:val="0"/>
      <w:numFmt w:val="bullet"/>
      <w:lvlText w:val="•"/>
      <w:lvlJc w:val="left"/>
      <w:pPr>
        <w:ind w:left="1530" w:hanging="629"/>
      </w:pPr>
      <w:rPr>
        <w:rFonts w:hint="default"/>
      </w:rPr>
    </w:lvl>
    <w:lvl w:ilvl="2">
      <w:start w:val="0"/>
      <w:numFmt w:val="bullet"/>
      <w:lvlText w:val="•"/>
      <w:lvlJc w:val="left"/>
      <w:pPr>
        <w:ind w:left="2321" w:hanging="629"/>
      </w:pPr>
      <w:rPr>
        <w:rFonts w:hint="default"/>
      </w:rPr>
    </w:lvl>
    <w:lvl w:ilvl="3">
      <w:start w:val="0"/>
      <w:numFmt w:val="bullet"/>
      <w:lvlText w:val="•"/>
      <w:lvlJc w:val="left"/>
      <w:pPr>
        <w:ind w:left="3111" w:hanging="629"/>
      </w:pPr>
      <w:rPr>
        <w:rFonts w:hint="default"/>
      </w:rPr>
    </w:lvl>
    <w:lvl w:ilvl="4">
      <w:start w:val="0"/>
      <w:numFmt w:val="bullet"/>
      <w:lvlText w:val="•"/>
      <w:lvlJc w:val="left"/>
      <w:pPr>
        <w:ind w:left="3902" w:hanging="629"/>
      </w:pPr>
      <w:rPr>
        <w:rFonts w:hint="default"/>
      </w:rPr>
    </w:lvl>
    <w:lvl w:ilvl="5">
      <w:start w:val="0"/>
      <w:numFmt w:val="bullet"/>
      <w:lvlText w:val="•"/>
      <w:lvlJc w:val="left"/>
      <w:pPr>
        <w:ind w:left="4693" w:hanging="629"/>
      </w:pPr>
      <w:rPr>
        <w:rFonts w:hint="default"/>
      </w:rPr>
    </w:lvl>
    <w:lvl w:ilvl="6">
      <w:start w:val="0"/>
      <w:numFmt w:val="bullet"/>
      <w:lvlText w:val="•"/>
      <w:lvlJc w:val="left"/>
      <w:pPr>
        <w:ind w:left="5483" w:hanging="629"/>
      </w:pPr>
      <w:rPr>
        <w:rFonts w:hint="default"/>
      </w:rPr>
    </w:lvl>
    <w:lvl w:ilvl="7">
      <w:start w:val="0"/>
      <w:numFmt w:val="bullet"/>
      <w:lvlText w:val="•"/>
      <w:lvlJc w:val="left"/>
      <w:pPr>
        <w:ind w:left="6274" w:hanging="629"/>
      </w:pPr>
      <w:rPr>
        <w:rFonts w:hint="default"/>
      </w:rPr>
    </w:lvl>
    <w:lvl w:ilvl="8">
      <w:start w:val="0"/>
      <w:numFmt w:val="bullet"/>
      <w:lvlText w:val="•"/>
      <w:lvlJc w:val="left"/>
      <w:pPr>
        <w:ind w:left="7064" w:hanging="629"/>
      </w:pPr>
      <w:rPr>
        <w:rFonts w:hint="default"/>
      </w:rPr>
    </w:lvl>
  </w:abstractNum>
  <w:abstractNum w:abstractNumId="22">
    <w:multiLevelType w:val="hybridMultilevel"/>
    <w:lvl w:ilvl="0">
      <w:start w:val="1"/>
      <w:numFmt w:val="upperRoman"/>
      <w:lvlText w:val="%1"/>
      <w:lvlJc w:val="left"/>
      <w:pPr>
        <w:ind w:left="276" w:hanging="156"/>
        <w:jc w:val="left"/>
      </w:pPr>
      <w:rPr>
        <w:rFonts w:hint="default" w:ascii="宋体" w:hAnsi="宋体" w:eastAsia="宋体" w:cs="宋体"/>
        <w:w w:val="99"/>
        <w:sz w:val="21"/>
        <w:szCs w:val="21"/>
      </w:rPr>
    </w:lvl>
    <w:lvl w:ilvl="1">
      <w:start w:val="0"/>
      <w:numFmt w:val="bullet"/>
      <w:lvlText w:val="•"/>
      <w:lvlJc w:val="left"/>
      <w:pPr>
        <w:ind w:left="1106" w:hanging="156"/>
      </w:pPr>
      <w:rPr>
        <w:rFonts w:hint="default"/>
      </w:rPr>
    </w:lvl>
    <w:lvl w:ilvl="2">
      <w:start w:val="0"/>
      <w:numFmt w:val="bullet"/>
      <w:lvlText w:val="•"/>
      <w:lvlJc w:val="left"/>
      <w:pPr>
        <w:ind w:left="1933" w:hanging="156"/>
      </w:pPr>
      <w:rPr>
        <w:rFonts w:hint="default"/>
      </w:rPr>
    </w:lvl>
    <w:lvl w:ilvl="3">
      <w:start w:val="0"/>
      <w:numFmt w:val="bullet"/>
      <w:lvlText w:val="•"/>
      <w:lvlJc w:val="left"/>
      <w:pPr>
        <w:ind w:left="2759" w:hanging="156"/>
      </w:pPr>
      <w:rPr>
        <w:rFonts w:hint="default"/>
      </w:rPr>
    </w:lvl>
    <w:lvl w:ilvl="4">
      <w:start w:val="0"/>
      <w:numFmt w:val="bullet"/>
      <w:lvlText w:val="•"/>
      <w:lvlJc w:val="left"/>
      <w:pPr>
        <w:ind w:left="3586" w:hanging="156"/>
      </w:pPr>
      <w:rPr>
        <w:rFonts w:hint="default"/>
      </w:rPr>
    </w:lvl>
    <w:lvl w:ilvl="5">
      <w:start w:val="0"/>
      <w:numFmt w:val="bullet"/>
      <w:lvlText w:val="•"/>
      <w:lvlJc w:val="left"/>
      <w:pPr>
        <w:ind w:left="4413" w:hanging="156"/>
      </w:pPr>
      <w:rPr>
        <w:rFonts w:hint="default"/>
      </w:rPr>
    </w:lvl>
    <w:lvl w:ilvl="6">
      <w:start w:val="0"/>
      <w:numFmt w:val="bullet"/>
      <w:lvlText w:val="•"/>
      <w:lvlJc w:val="left"/>
      <w:pPr>
        <w:ind w:left="5239" w:hanging="156"/>
      </w:pPr>
      <w:rPr>
        <w:rFonts w:hint="default"/>
      </w:rPr>
    </w:lvl>
    <w:lvl w:ilvl="7">
      <w:start w:val="0"/>
      <w:numFmt w:val="bullet"/>
      <w:lvlText w:val="•"/>
      <w:lvlJc w:val="left"/>
      <w:pPr>
        <w:ind w:left="6066" w:hanging="156"/>
      </w:pPr>
      <w:rPr>
        <w:rFonts w:hint="default"/>
      </w:rPr>
    </w:lvl>
    <w:lvl w:ilvl="8">
      <w:start w:val="0"/>
      <w:numFmt w:val="bullet"/>
      <w:lvlText w:val="•"/>
      <w:lvlJc w:val="left"/>
      <w:pPr>
        <w:ind w:left="6892" w:hanging="156"/>
      </w:pPr>
      <w:rPr>
        <w:rFonts w:hint="default"/>
      </w:rPr>
    </w:lvl>
  </w:abstractNum>
  <w:abstractNum w:abstractNumId="21">
    <w:multiLevelType w:val="hybridMultilevel"/>
    <w:lvl w:ilvl="0">
      <w:start w:val="13"/>
      <w:numFmt w:val="decimal"/>
      <w:lvlText w:val="%1"/>
      <w:lvlJc w:val="left"/>
      <w:pPr>
        <w:ind w:left="840" w:hanging="720"/>
        <w:jc w:val="left"/>
      </w:pPr>
      <w:rPr>
        <w:rFonts w:hint="default"/>
      </w:rPr>
    </w:lvl>
    <w:lvl w:ilvl="1">
      <w:start w:val="6"/>
      <w:numFmt w:val="decimal"/>
      <w:lvlText w:val="%1.%2"/>
      <w:lvlJc w:val="left"/>
      <w:pPr>
        <w:ind w:left="840" w:hanging="720"/>
        <w:jc w:val="left"/>
      </w:pPr>
      <w:rPr>
        <w:rFonts w:hint="default"/>
      </w:rPr>
    </w:lvl>
    <w:lvl w:ilvl="2">
      <w:start w:val="1"/>
      <w:numFmt w:val="decimal"/>
      <w:lvlText w:val="%1.%2.%3"/>
      <w:lvlJc w:val="left"/>
      <w:pPr>
        <w:ind w:left="840" w:hanging="720"/>
        <w:jc w:val="left"/>
      </w:pPr>
      <w:rPr>
        <w:rFonts w:hint="default" w:ascii="Microsoft JhengHei" w:hAnsi="Microsoft JhengHei" w:eastAsia="Microsoft JhengHei" w:cs="Microsoft JhengHei"/>
        <w:b/>
        <w:bCs/>
        <w:spacing w:val="0"/>
        <w:w w:val="83"/>
        <w:sz w:val="21"/>
        <w:szCs w:val="21"/>
      </w:rPr>
    </w:lvl>
    <w:lvl w:ilvl="3">
      <w:start w:val="0"/>
      <w:numFmt w:val="bullet"/>
      <w:lvlText w:val="•"/>
      <w:lvlJc w:val="left"/>
      <w:pPr>
        <w:ind w:left="3175" w:hanging="720"/>
      </w:pPr>
      <w:rPr>
        <w:rFonts w:hint="default"/>
      </w:rPr>
    </w:lvl>
    <w:lvl w:ilvl="4">
      <w:start w:val="0"/>
      <w:numFmt w:val="bullet"/>
      <w:lvlText w:val="•"/>
      <w:lvlJc w:val="left"/>
      <w:pPr>
        <w:ind w:left="3954" w:hanging="720"/>
      </w:pPr>
      <w:rPr>
        <w:rFonts w:hint="default"/>
      </w:rPr>
    </w:lvl>
    <w:lvl w:ilvl="5">
      <w:start w:val="0"/>
      <w:numFmt w:val="bullet"/>
      <w:lvlText w:val="•"/>
      <w:lvlJc w:val="left"/>
      <w:pPr>
        <w:ind w:left="4733" w:hanging="720"/>
      </w:pPr>
      <w:rPr>
        <w:rFonts w:hint="default"/>
      </w:rPr>
    </w:lvl>
    <w:lvl w:ilvl="6">
      <w:start w:val="0"/>
      <w:numFmt w:val="bullet"/>
      <w:lvlText w:val="•"/>
      <w:lvlJc w:val="left"/>
      <w:pPr>
        <w:ind w:left="5511" w:hanging="720"/>
      </w:pPr>
      <w:rPr>
        <w:rFonts w:hint="default"/>
      </w:rPr>
    </w:lvl>
    <w:lvl w:ilvl="7">
      <w:start w:val="0"/>
      <w:numFmt w:val="bullet"/>
      <w:lvlText w:val="•"/>
      <w:lvlJc w:val="left"/>
      <w:pPr>
        <w:ind w:left="6290" w:hanging="720"/>
      </w:pPr>
      <w:rPr>
        <w:rFonts w:hint="default"/>
      </w:rPr>
    </w:lvl>
    <w:lvl w:ilvl="8">
      <w:start w:val="0"/>
      <w:numFmt w:val="bullet"/>
      <w:lvlText w:val="•"/>
      <w:lvlJc w:val="left"/>
      <w:pPr>
        <w:ind w:left="7068" w:hanging="720"/>
      </w:pPr>
      <w:rPr>
        <w:rFonts w:hint="default"/>
      </w:rPr>
    </w:lvl>
  </w:abstractNum>
  <w:abstractNum w:abstractNumId="20">
    <w:multiLevelType w:val="hybridMultilevel"/>
    <w:lvl w:ilvl="0">
      <w:start w:val="10"/>
      <w:numFmt w:val="decimal"/>
      <w:lvlText w:val="%1."/>
      <w:lvlJc w:val="left"/>
      <w:pPr>
        <w:ind w:left="544" w:hanging="425"/>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552" w:hanging="432"/>
        <w:jc w:val="left"/>
      </w:pPr>
      <w:rPr>
        <w:rFonts w:hint="default" w:ascii="Microsoft JhengHei" w:hAnsi="Microsoft JhengHei" w:eastAsia="Microsoft JhengHei" w:cs="Microsoft JhengHei"/>
        <w:b/>
        <w:bCs/>
        <w:spacing w:val="0"/>
        <w:w w:val="83"/>
        <w:sz w:val="19"/>
        <w:szCs w:val="19"/>
      </w:rPr>
    </w:lvl>
    <w:lvl w:ilvl="2">
      <w:start w:val="0"/>
      <w:numFmt w:val="bullet"/>
      <w:lvlText w:val="•"/>
      <w:lvlJc w:val="left"/>
      <w:pPr>
        <w:ind w:left="1447" w:hanging="432"/>
      </w:pPr>
      <w:rPr>
        <w:rFonts w:hint="default"/>
      </w:rPr>
    </w:lvl>
    <w:lvl w:ilvl="3">
      <w:start w:val="0"/>
      <w:numFmt w:val="bullet"/>
      <w:lvlText w:val="•"/>
      <w:lvlJc w:val="left"/>
      <w:pPr>
        <w:ind w:left="2334" w:hanging="432"/>
      </w:pPr>
      <w:rPr>
        <w:rFonts w:hint="default"/>
      </w:rPr>
    </w:lvl>
    <w:lvl w:ilvl="4">
      <w:start w:val="0"/>
      <w:numFmt w:val="bullet"/>
      <w:lvlText w:val="•"/>
      <w:lvlJc w:val="left"/>
      <w:pPr>
        <w:ind w:left="3222" w:hanging="432"/>
      </w:pPr>
      <w:rPr>
        <w:rFonts w:hint="default"/>
      </w:rPr>
    </w:lvl>
    <w:lvl w:ilvl="5">
      <w:start w:val="0"/>
      <w:numFmt w:val="bullet"/>
      <w:lvlText w:val="•"/>
      <w:lvlJc w:val="left"/>
      <w:pPr>
        <w:ind w:left="4109" w:hanging="432"/>
      </w:pPr>
      <w:rPr>
        <w:rFonts w:hint="default"/>
      </w:rPr>
    </w:lvl>
    <w:lvl w:ilvl="6">
      <w:start w:val="0"/>
      <w:numFmt w:val="bullet"/>
      <w:lvlText w:val="•"/>
      <w:lvlJc w:val="left"/>
      <w:pPr>
        <w:ind w:left="4996" w:hanging="432"/>
      </w:pPr>
      <w:rPr>
        <w:rFonts w:hint="default"/>
      </w:rPr>
    </w:lvl>
    <w:lvl w:ilvl="7">
      <w:start w:val="0"/>
      <w:numFmt w:val="bullet"/>
      <w:lvlText w:val="•"/>
      <w:lvlJc w:val="left"/>
      <w:pPr>
        <w:ind w:left="5884" w:hanging="432"/>
      </w:pPr>
      <w:rPr>
        <w:rFonts w:hint="default"/>
      </w:rPr>
    </w:lvl>
    <w:lvl w:ilvl="8">
      <w:start w:val="0"/>
      <w:numFmt w:val="bullet"/>
      <w:lvlText w:val="•"/>
      <w:lvlJc w:val="left"/>
      <w:pPr>
        <w:ind w:left="6771" w:hanging="432"/>
      </w:pPr>
      <w:rPr>
        <w:rFonts w:hint="default"/>
      </w:rPr>
    </w:lvl>
  </w:abstractNum>
  <w:abstractNum w:abstractNumId="19">
    <w:multiLevelType w:val="hybridMultilevel"/>
    <w:lvl w:ilvl="0">
      <w:start w:val="9"/>
      <w:numFmt w:val="decimal"/>
      <w:lvlText w:val="%1"/>
      <w:lvlJc w:val="left"/>
      <w:pPr>
        <w:ind w:left="696" w:hanging="576"/>
        <w:jc w:val="left"/>
      </w:pPr>
      <w:rPr>
        <w:rFonts w:hint="default"/>
      </w:rPr>
    </w:lvl>
    <w:lvl w:ilvl="1">
      <w:start w:val="2"/>
      <w:numFmt w:val="decimal"/>
      <w:lvlText w:val="%1.%2."/>
      <w:lvlJc w:val="left"/>
      <w:pPr>
        <w:ind w:left="696" w:hanging="576"/>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840" w:hanging="720"/>
        <w:jc w:val="left"/>
      </w:pPr>
      <w:rPr>
        <w:rFonts w:hint="default" w:ascii="Microsoft JhengHei" w:hAnsi="Microsoft JhengHei" w:eastAsia="Microsoft JhengHei" w:cs="Microsoft JhengHei"/>
        <w:b/>
        <w:bCs/>
        <w:spacing w:val="0"/>
        <w:w w:val="83"/>
        <w:sz w:val="21"/>
        <w:szCs w:val="21"/>
      </w:rPr>
    </w:lvl>
    <w:lvl w:ilvl="3">
      <w:start w:val="1"/>
      <w:numFmt w:val="decimal"/>
      <w:lvlText w:val="%4."/>
      <w:lvlJc w:val="left"/>
      <w:pPr>
        <w:ind w:left="748" w:hanging="420"/>
        <w:jc w:val="left"/>
      </w:pPr>
      <w:rPr>
        <w:rFonts w:hint="default" w:ascii="宋体" w:hAnsi="宋体" w:eastAsia="宋体" w:cs="宋体"/>
        <w:spacing w:val="0"/>
        <w:w w:val="99"/>
        <w:sz w:val="21"/>
        <w:szCs w:val="21"/>
      </w:rPr>
    </w:lvl>
    <w:lvl w:ilvl="4">
      <w:start w:val="0"/>
      <w:numFmt w:val="bullet"/>
      <w:lvlText w:val="•"/>
      <w:lvlJc w:val="left"/>
      <w:pPr>
        <w:ind w:left="2776" w:hanging="420"/>
      </w:pPr>
      <w:rPr>
        <w:rFonts w:hint="default"/>
      </w:rPr>
    </w:lvl>
    <w:lvl w:ilvl="5">
      <w:start w:val="0"/>
      <w:numFmt w:val="bullet"/>
      <w:lvlText w:val="•"/>
      <w:lvlJc w:val="left"/>
      <w:pPr>
        <w:ind w:left="3744" w:hanging="420"/>
      </w:pPr>
      <w:rPr>
        <w:rFonts w:hint="default"/>
      </w:rPr>
    </w:lvl>
    <w:lvl w:ilvl="6">
      <w:start w:val="0"/>
      <w:numFmt w:val="bullet"/>
      <w:lvlText w:val="•"/>
      <w:lvlJc w:val="left"/>
      <w:pPr>
        <w:ind w:left="4713" w:hanging="420"/>
      </w:pPr>
      <w:rPr>
        <w:rFonts w:hint="default"/>
      </w:rPr>
    </w:lvl>
    <w:lvl w:ilvl="7">
      <w:start w:val="0"/>
      <w:numFmt w:val="bullet"/>
      <w:lvlText w:val="•"/>
      <w:lvlJc w:val="left"/>
      <w:pPr>
        <w:ind w:left="5681" w:hanging="420"/>
      </w:pPr>
      <w:rPr>
        <w:rFonts w:hint="default"/>
      </w:rPr>
    </w:lvl>
    <w:lvl w:ilvl="8">
      <w:start w:val="0"/>
      <w:numFmt w:val="bullet"/>
      <w:lvlText w:val="•"/>
      <w:lvlJc w:val="left"/>
      <w:pPr>
        <w:ind w:left="6649" w:hanging="420"/>
      </w:pPr>
      <w:rPr>
        <w:rFonts w:hint="default"/>
      </w:rPr>
    </w:lvl>
  </w:abstractNum>
  <w:abstractNum w:abstractNumId="18">
    <w:multiLevelType w:val="hybridMultilevel"/>
    <w:lvl w:ilvl="0">
      <w:start w:val="9"/>
      <w:numFmt w:val="decimal"/>
      <w:lvlText w:val="%1"/>
      <w:lvlJc w:val="left"/>
      <w:pPr>
        <w:ind w:left="696" w:hanging="576"/>
        <w:jc w:val="left"/>
      </w:pPr>
      <w:rPr>
        <w:rFonts w:hint="default"/>
      </w:rPr>
    </w:lvl>
    <w:lvl w:ilvl="1">
      <w:start w:val="1"/>
      <w:numFmt w:val="decimal"/>
      <w:lvlText w:val="%1.%2."/>
      <w:lvlJc w:val="left"/>
      <w:pPr>
        <w:ind w:left="696" w:hanging="576"/>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840" w:hanging="720"/>
        <w:jc w:val="left"/>
      </w:pPr>
      <w:rPr>
        <w:rFonts w:hint="default" w:ascii="Microsoft JhengHei" w:hAnsi="Microsoft JhengHei" w:eastAsia="Microsoft JhengHei" w:cs="Microsoft JhengHei"/>
        <w:b/>
        <w:bCs/>
        <w:spacing w:val="0"/>
        <w:w w:val="83"/>
        <w:sz w:val="21"/>
        <w:szCs w:val="21"/>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7">
    <w:multiLevelType w:val="hybridMultilevel"/>
    <w:lvl w:ilvl="0">
      <w:start w:val="7"/>
      <w:numFmt w:val="decimal"/>
      <w:lvlText w:val="%1."/>
      <w:lvlJc w:val="left"/>
      <w:pPr>
        <w:ind w:left="552" w:hanging="432"/>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696" w:hanging="576"/>
        <w:jc w:val="left"/>
      </w:pPr>
      <w:rPr>
        <w:rFonts w:hint="default" w:ascii="Microsoft JhengHei" w:hAnsi="Microsoft JhengHei" w:eastAsia="Microsoft JhengHei" w:cs="Microsoft JhengHei"/>
        <w:b/>
        <w:bCs/>
        <w:spacing w:val="0"/>
        <w:w w:val="83"/>
        <w:sz w:val="21"/>
        <w:szCs w:val="21"/>
      </w:rPr>
    </w:lvl>
    <w:lvl w:ilvl="2">
      <w:start w:val="0"/>
      <w:numFmt w:val="bullet"/>
      <w:lvlText w:val="•"/>
      <w:lvlJc w:val="left"/>
      <w:pPr>
        <w:ind w:left="1571" w:hanging="576"/>
      </w:pPr>
      <w:rPr>
        <w:rFonts w:hint="default"/>
      </w:rPr>
    </w:lvl>
    <w:lvl w:ilvl="3">
      <w:start w:val="0"/>
      <w:numFmt w:val="bullet"/>
      <w:lvlText w:val="•"/>
      <w:lvlJc w:val="left"/>
      <w:pPr>
        <w:ind w:left="2443" w:hanging="576"/>
      </w:pPr>
      <w:rPr>
        <w:rFonts w:hint="default"/>
      </w:rPr>
    </w:lvl>
    <w:lvl w:ilvl="4">
      <w:start w:val="0"/>
      <w:numFmt w:val="bullet"/>
      <w:lvlText w:val="•"/>
      <w:lvlJc w:val="left"/>
      <w:pPr>
        <w:ind w:left="3315" w:hanging="576"/>
      </w:pPr>
      <w:rPr>
        <w:rFonts w:hint="default"/>
      </w:rPr>
    </w:lvl>
    <w:lvl w:ilvl="5">
      <w:start w:val="0"/>
      <w:numFmt w:val="bullet"/>
      <w:lvlText w:val="•"/>
      <w:lvlJc w:val="left"/>
      <w:pPr>
        <w:ind w:left="4187" w:hanging="576"/>
      </w:pPr>
      <w:rPr>
        <w:rFonts w:hint="default"/>
      </w:rPr>
    </w:lvl>
    <w:lvl w:ilvl="6">
      <w:start w:val="0"/>
      <w:numFmt w:val="bullet"/>
      <w:lvlText w:val="•"/>
      <w:lvlJc w:val="left"/>
      <w:pPr>
        <w:ind w:left="5058" w:hanging="576"/>
      </w:pPr>
      <w:rPr>
        <w:rFonts w:hint="default"/>
      </w:rPr>
    </w:lvl>
    <w:lvl w:ilvl="7">
      <w:start w:val="0"/>
      <w:numFmt w:val="bullet"/>
      <w:lvlText w:val="•"/>
      <w:lvlJc w:val="left"/>
      <w:pPr>
        <w:ind w:left="5930" w:hanging="576"/>
      </w:pPr>
      <w:rPr>
        <w:rFonts w:hint="default"/>
      </w:rPr>
    </w:lvl>
    <w:lvl w:ilvl="8">
      <w:start w:val="0"/>
      <w:numFmt w:val="bullet"/>
      <w:lvlText w:val="•"/>
      <w:lvlJc w:val="left"/>
      <w:pPr>
        <w:ind w:left="6802" w:hanging="576"/>
      </w:pPr>
      <w:rPr>
        <w:rFonts w:hint="default"/>
      </w:rPr>
    </w:lvl>
  </w:abstractNum>
  <w:abstractNum w:abstractNumId="16">
    <w:multiLevelType w:val="hybridMultilevel"/>
    <w:lvl w:ilvl="0">
      <w:start w:val="6"/>
      <w:numFmt w:val="decimal"/>
      <w:lvlText w:val="%1"/>
      <w:lvlJc w:val="left"/>
      <w:pPr>
        <w:ind w:left="696" w:hanging="576"/>
        <w:jc w:val="left"/>
      </w:pPr>
      <w:rPr>
        <w:rFonts w:hint="default"/>
      </w:rPr>
    </w:lvl>
    <w:lvl w:ilvl="1">
      <w:start w:val="2"/>
      <w:numFmt w:val="decimal"/>
      <w:lvlText w:val="%1.%2."/>
      <w:lvlJc w:val="left"/>
      <w:pPr>
        <w:ind w:left="696" w:hanging="576"/>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650" w:hanging="531"/>
        <w:jc w:val="left"/>
      </w:pPr>
      <w:rPr>
        <w:rFonts w:hint="default" w:ascii="Microsoft JhengHei" w:hAnsi="Microsoft JhengHei" w:eastAsia="Microsoft JhengHei" w:cs="Microsoft JhengHei"/>
        <w:b/>
        <w:bCs/>
        <w:spacing w:val="-2"/>
        <w:w w:val="83"/>
        <w:sz w:val="19"/>
        <w:szCs w:val="19"/>
      </w:rPr>
    </w:lvl>
    <w:lvl w:ilvl="3">
      <w:start w:val="1"/>
      <w:numFmt w:val="decimal"/>
      <w:lvlText w:val="%4."/>
      <w:lvlJc w:val="left"/>
      <w:pPr>
        <w:ind w:left="1113" w:hanging="425"/>
        <w:jc w:val="left"/>
      </w:pPr>
      <w:rPr>
        <w:rFonts w:hint="default" w:ascii="宋体" w:hAnsi="宋体" w:eastAsia="宋体" w:cs="宋体"/>
        <w:spacing w:val="0"/>
        <w:w w:val="99"/>
        <w:sz w:val="21"/>
        <w:szCs w:val="21"/>
      </w:rPr>
    </w:lvl>
    <w:lvl w:ilvl="4">
      <w:start w:val="0"/>
      <w:numFmt w:val="bullet"/>
      <w:lvlText w:val="•"/>
      <w:lvlJc w:val="left"/>
      <w:pPr>
        <w:ind w:left="2192" w:hanging="425"/>
      </w:pPr>
      <w:rPr>
        <w:rFonts w:hint="default"/>
      </w:rPr>
    </w:lvl>
    <w:lvl w:ilvl="5">
      <w:start w:val="0"/>
      <w:numFmt w:val="bullet"/>
      <w:lvlText w:val="•"/>
      <w:lvlJc w:val="left"/>
      <w:pPr>
        <w:ind w:left="3264" w:hanging="425"/>
      </w:pPr>
      <w:rPr>
        <w:rFonts w:hint="default"/>
      </w:rPr>
    </w:lvl>
    <w:lvl w:ilvl="6">
      <w:start w:val="0"/>
      <w:numFmt w:val="bullet"/>
      <w:lvlText w:val="•"/>
      <w:lvlJc w:val="left"/>
      <w:pPr>
        <w:ind w:left="4336" w:hanging="425"/>
      </w:pPr>
      <w:rPr>
        <w:rFonts w:hint="default"/>
      </w:rPr>
    </w:lvl>
    <w:lvl w:ilvl="7">
      <w:start w:val="0"/>
      <w:numFmt w:val="bullet"/>
      <w:lvlText w:val="•"/>
      <w:lvlJc w:val="left"/>
      <w:pPr>
        <w:ind w:left="5409" w:hanging="425"/>
      </w:pPr>
      <w:rPr>
        <w:rFonts w:hint="default"/>
      </w:rPr>
    </w:lvl>
    <w:lvl w:ilvl="8">
      <w:start w:val="0"/>
      <w:numFmt w:val="bullet"/>
      <w:lvlText w:val="•"/>
      <w:lvlJc w:val="left"/>
      <w:pPr>
        <w:ind w:left="6481" w:hanging="425"/>
      </w:pPr>
      <w:rPr>
        <w:rFonts w:hint="default"/>
      </w:rPr>
    </w:lvl>
  </w:abstractNum>
  <w:abstractNum w:abstractNumId="15">
    <w:multiLevelType w:val="hybridMultilevel"/>
    <w:lvl w:ilvl="0">
      <w:start w:val="1"/>
      <w:numFmt w:val="decimal"/>
      <w:lvlText w:val="（%1）"/>
      <w:lvlJc w:val="left"/>
      <w:pPr>
        <w:ind w:left="686" w:hanging="567"/>
        <w:jc w:val="left"/>
      </w:pPr>
      <w:rPr>
        <w:rFonts w:hint="default" w:ascii="宋体" w:hAnsi="宋体" w:eastAsia="宋体" w:cs="宋体"/>
        <w:w w:val="99"/>
        <w:sz w:val="21"/>
        <w:szCs w:val="21"/>
      </w:rPr>
    </w:lvl>
    <w:lvl w:ilvl="1">
      <w:start w:val="0"/>
      <w:numFmt w:val="bullet"/>
      <w:lvlText w:val="•"/>
      <w:lvlJc w:val="left"/>
      <w:pPr>
        <w:ind w:left="1466" w:hanging="567"/>
      </w:pPr>
      <w:rPr>
        <w:rFonts w:hint="default"/>
      </w:rPr>
    </w:lvl>
    <w:lvl w:ilvl="2">
      <w:start w:val="0"/>
      <w:numFmt w:val="bullet"/>
      <w:lvlText w:val="•"/>
      <w:lvlJc w:val="left"/>
      <w:pPr>
        <w:ind w:left="2253" w:hanging="567"/>
      </w:pPr>
      <w:rPr>
        <w:rFonts w:hint="default"/>
      </w:rPr>
    </w:lvl>
    <w:lvl w:ilvl="3">
      <w:start w:val="0"/>
      <w:numFmt w:val="bullet"/>
      <w:lvlText w:val="•"/>
      <w:lvlJc w:val="left"/>
      <w:pPr>
        <w:ind w:left="3039" w:hanging="567"/>
      </w:pPr>
      <w:rPr>
        <w:rFonts w:hint="default"/>
      </w:rPr>
    </w:lvl>
    <w:lvl w:ilvl="4">
      <w:start w:val="0"/>
      <w:numFmt w:val="bullet"/>
      <w:lvlText w:val="•"/>
      <w:lvlJc w:val="left"/>
      <w:pPr>
        <w:ind w:left="3826" w:hanging="567"/>
      </w:pPr>
      <w:rPr>
        <w:rFonts w:hint="default"/>
      </w:rPr>
    </w:lvl>
    <w:lvl w:ilvl="5">
      <w:start w:val="0"/>
      <w:numFmt w:val="bullet"/>
      <w:lvlText w:val="•"/>
      <w:lvlJc w:val="left"/>
      <w:pPr>
        <w:ind w:left="4613" w:hanging="567"/>
      </w:pPr>
      <w:rPr>
        <w:rFonts w:hint="default"/>
      </w:rPr>
    </w:lvl>
    <w:lvl w:ilvl="6">
      <w:start w:val="0"/>
      <w:numFmt w:val="bullet"/>
      <w:lvlText w:val="•"/>
      <w:lvlJc w:val="left"/>
      <w:pPr>
        <w:ind w:left="5399" w:hanging="567"/>
      </w:pPr>
      <w:rPr>
        <w:rFonts w:hint="default"/>
      </w:rPr>
    </w:lvl>
    <w:lvl w:ilvl="7">
      <w:start w:val="0"/>
      <w:numFmt w:val="bullet"/>
      <w:lvlText w:val="•"/>
      <w:lvlJc w:val="left"/>
      <w:pPr>
        <w:ind w:left="6186" w:hanging="567"/>
      </w:pPr>
      <w:rPr>
        <w:rFonts w:hint="default"/>
      </w:rPr>
    </w:lvl>
    <w:lvl w:ilvl="8">
      <w:start w:val="0"/>
      <w:numFmt w:val="bullet"/>
      <w:lvlText w:val="•"/>
      <w:lvlJc w:val="left"/>
      <w:pPr>
        <w:ind w:left="6972" w:hanging="567"/>
      </w:pPr>
      <w:rPr>
        <w:rFonts w:hint="default"/>
      </w:rPr>
    </w:lvl>
  </w:abstractNum>
  <w:abstractNum w:abstractNumId="14">
    <w:multiLevelType w:val="hybridMultilevel"/>
    <w:lvl w:ilvl="0">
      <w:start w:val="4"/>
      <w:numFmt w:val="decimal"/>
      <w:lvlText w:val="%1"/>
      <w:lvlJc w:val="left"/>
      <w:pPr>
        <w:ind w:left="859" w:hanging="740"/>
        <w:jc w:val="left"/>
      </w:pPr>
      <w:rPr>
        <w:rFonts w:hint="default"/>
      </w:rPr>
    </w:lvl>
    <w:lvl w:ilvl="1">
      <w:start w:val="4"/>
      <w:numFmt w:val="decimal"/>
      <w:lvlText w:val="%1.%2"/>
      <w:lvlJc w:val="left"/>
      <w:pPr>
        <w:ind w:left="859" w:hanging="740"/>
        <w:jc w:val="left"/>
      </w:pPr>
      <w:rPr>
        <w:rFonts w:hint="default"/>
      </w:rPr>
    </w:lvl>
    <w:lvl w:ilvl="2">
      <w:start w:val="4"/>
      <w:numFmt w:val="decimal"/>
      <w:lvlText w:val="%1.%2.%3."/>
      <w:lvlJc w:val="left"/>
      <w:pPr>
        <w:ind w:left="859" w:hanging="740"/>
        <w:jc w:val="left"/>
      </w:pPr>
      <w:rPr>
        <w:rFonts w:hint="default" w:ascii="Microsoft JhengHei" w:hAnsi="Microsoft JhengHei" w:eastAsia="Microsoft JhengHei" w:cs="Microsoft JhengHei"/>
        <w:b/>
        <w:bCs/>
        <w:spacing w:val="0"/>
        <w:w w:val="83"/>
        <w:sz w:val="21"/>
        <w:szCs w:val="21"/>
      </w:rPr>
    </w:lvl>
    <w:lvl w:ilvl="3">
      <w:start w:val="0"/>
      <w:numFmt w:val="bullet"/>
      <w:lvlText w:val="•"/>
      <w:lvlJc w:val="left"/>
      <w:pPr>
        <w:ind w:left="3165" w:hanging="740"/>
      </w:pPr>
      <w:rPr>
        <w:rFonts w:hint="default"/>
      </w:rPr>
    </w:lvl>
    <w:lvl w:ilvl="4">
      <w:start w:val="0"/>
      <w:numFmt w:val="bullet"/>
      <w:lvlText w:val="•"/>
      <w:lvlJc w:val="left"/>
      <w:pPr>
        <w:ind w:left="3934" w:hanging="740"/>
      </w:pPr>
      <w:rPr>
        <w:rFonts w:hint="default"/>
      </w:rPr>
    </w:lvl>
    <w:lvl w:ilvl="5">
      <w:start w:val="0"/>
      <w:numFmt w:val="bullet"/>
      <w:lvlText w:val="•"/>
      <w:lvlJc w:val="left"/>
      <w:pPr>
        <w:ind w:left="4703" w:hanging="740"/>
      </w:pPr>
      <w:rPr>
        <w:rFonts w:hint="default"/>
      </w:rPr>
    </w:lvl>
    <w:lvl w:ilvl="6">
      <w:start w:val="0"/>
      <w:numFmt w:val="bullet"/>
      <w:lvlText w:val="•"/>
      <w:lvlJc w:val="left"/>
      <w:pPr>
        <w:ind w:left="5471" w:hanging="740"/>
      </w:pPr>
      <w:rPr>
        <w:rFonts w:hint="default"/>
      </w:rPr>
    </w:lvl>
    <w:lvl w:ilvl="7">
      <w:start w:val="0"/>
      <w:numFmt w:val="bullet"/>
      <w:lvlText w:val="•"/>
      <w:lvlJc w:val="left"/>
      <w:pPr>
        <w:ind w:left="6240" w:hanging="740"/>
      </w:pPr>
      <w:rPr>
        <w:rFonts w:hint="default"/>
      </w:rPr>
    </w:lvl>
    <w:lvl w:ilvl="8">
      <w:start w:val="0"/>
      <w:numFmt w:val="bullet"/>
      <w:lvlText w:val="•"/>
      <w:lvlJc w:val="left"/>
      <w:pPr>
        <w:ind w:left="7008" w:hanging="740"/>
      </w:pPr>
      <w:rPr>
        <w:rFonts w:hint="default"/>
      </w:rPr>
    </w:lvl>
  </w:abstractNum>
  <w:abstractNum w:abstractNumId="13">
    <w:multiLevelType w:val="hybridMultilevel"/>
    <w:lvl w:ilvl="0">
      <w:start w:val="4"/>
      <w:numFmt w:val="decimal"/>
      <w:lvlText w:val="%1"/>
      <w:lvlJc w:val="left"/>
      <w:pPr>
        <w:ind w:left="650" w:hanging="531"/>
        <w:jc w:val="left"/>
      </w:pPr>
      <w:rPr>
        <w:rFonts w:hint="default"/>
      </w:rPr>
    </w:lvl>
    <w:lvl w:ilvl="1">
      <w:start w:val="4"/>
      <w:numFmt w:val="decimal"/>
      <w:lvlText w:val="%1.%2"/>
      <w:lvlJc w:val="left"/>
      <w:pPr>
        <w:ind w:left="650" w:hanging="531"/>
        <w:jc w:val="left"/>
      </w:pPr>
      <w:rPr>
        <w:rFonts w:hint="default"/>
      </w:rPr>
    </w:lvl>
    <w:lvl w:ilvl="2">
      <w:start w:val="2"/>
      <w:numFmt w:val="decimal"/>
      <w:lvlText w:val="%1.%2.%3"/>
      <w:lvlJc w:val="left"/>
      <w:pPr>
        <w:ind w:left="650" w:hanging="531"/>
        <w:jc w:val="left"/>
      </w:pPr>
      <w:rPr>
        <w:rFonts w:hint="default" w:ascii="Microsoft JhengHei" w:hAnsi="Microsoft JhengHei" w:eastAsia="Microsoft JhengHei" w:cs="Microsoft JhengHei"/>
        <w:b/>
        <w:bCs/>
        <w:spacing w:val="0"/>
        <w:w w:val="83"/>
        <w:sz w:val="19"/>
        <w:szCs w:val="19"/>
      </w:rPr>
    </w:lvl>
    <w:lvl w:ilvl="3">
      <w:start w:val="0"/>
      <w:numFmt w:val="bullet"/>
      <w:lvlText w:val="•"/>
      <w:lvlJc w:val="left"/>
      <w:pPr>
        <w:ind w:left="3055" w:hanging="531"/>
      </w:pPr>
      <w:rPr>
        <w:rFonts w:hint="default"/>
      </w:rPr>
    </w:lvl>
    <w:lvl w:ilvl="4">
      <w:start w:val="0"/>
      <w:numFmt w:val="bullet"/>
      <w:lvlText w:val="•"/>
      <w:lvlJc w:val="left"/>
      <w:pPr>
        <w:ind w:left="3854" w:hanging="531"/>
      </w:pPr>
      <w:rPr>
        <w:rFonts w:hint="default"/>
      </w:rPr>
    </w:lvl>
    <w:lvl w:ilvl="5">
      <w:start w:val="0"/>
      <w:numFmt w:val="bullet"/>
      <w:lvlText w:val="•"/>
      <w:lvlJc w:val="left"/>
      <w:pPr>
        <w:ind w:left="4653" w:hanging="531"/>
      </w:pPr>
      <w:rPr>
        <w:rFonts w:hint="default"/>
      </w:rPr>
    </w:lvl>
    <w:lvl w:ilvl="6">
      <w:start w:val="0"/>
      <w:numFmt w:val="bullet"/>
      <w:lvlText w:val="•"/>
      <w:lvlJc w:val="left"/>
      <w:pPr>
        <w:ind w:left="5451" w:hanging="531"/>
      </w:pPr>
      <w:rPr>
        <w:rFonts w:hint="default"/>
      </w:rPr>
    </w:lvl>
    <w:lvl w:ilvl="7">
      <w:start w:val="0"/>
      <w:numFmt w:val="bullet"/>
      <w:lvlText w:val="•"/>
      <w:lvlJc w:val="left"/>
      <w:pPr>
        <w:ind w:left="6250" w:hanging="531"/>
      </w:pPr>
      <w:rPr>
        <w:rFonts w:hint="default"/>
      </w:rPr>
    </w:lvl>
    <w:lvl w:ilvl="8">
      <w:start w:val="0"/>
      <w:numFmt w:val="bullet"/>
      <w:lvlText w:val="•"/>
      <w:lvlJc w:val="left"/>
      <w:pPr>
        <w:ind w:left="7048" w:hanging="531"/>
      </w:pPr>
      <w:rPr>
        <w:rFonts w:hint="default"/>
      </w:rPr>
    </w:lvl>
  </w:abstractNum>
  <w:abstractNum w:abstractNumId="12">
    <w:multiLevelType w:val="hybridMultilevel"/>
    <w:lvl w:ilvl="0">
      <w:start w:val="1"/>
      <w:numFmt w:val="decimal"/>
      <w:lvlText w:val="%1."/>
      <w:lvlJc w:val="left"/>
      <w:pPr>
        <w:ind w:left="552" w:hanging="432"/>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696" w:hanging="576"/>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859" w:hanging="740"/>
        <w:jc w:val="left"/>
      </w:pPr>
      <w:rPr>
        <w:rFonts w:hint="default" w:ascii="Microsoft JhengHei" w:hAnsi="Microsoft JhengHei" w:eastAsia="Microsoft JhengHei" w:cs="Microsoft JhengHei"/>
        <w:b/>
        <w:bCs/>
        <w:spacing w:val="0"/>
        <w:w w:val="83"/>
        <w:sz w:val="21"/>
        <w:szCs w:val="21"/>
      </w:rPr>
    </w:lvl>
    <w:lvl w:ilvl="3">
      <w:start w:val="1"/>
      <w:numFmt w:val="decimal"/>
      <w:lvlText w:val="（%4）"/>
      <w:lvlJc w:val="left"/>
      <w:pPr>
        <w:ind w:left="1113" w:hanging="574"/>
        <w:jc w:val="left"/>
      </w:pPr>
      <w:rPr>
        <w:rFonts w:hint="default" w:ascii="宋体" w:hAnsi="宋体" w:eastAsia="宋体" w:cs="宋体"/>
        <w:w w:val="99"/>
        <w:sz w:val="21"/>
        <w:szCs w:val="21"/>
      </w:rPr>
    </w:lvl>
    <w:lvl w:ilvl="4">
      <w:start w:val="0"/>
      <w:numFmt w:val="bullet"/>
      <w:lvlText w:val="•"/>
      <w:lvlJc w:val="left"/>
      <w:pPr>
        <w:ind w:left="1120" w:hanging="574"/>
      </w:pPr>
      <w:rPr>
        <w:rFonts w:hint="default"/>
      </w:rPr>
    </w:lvl>
    <w:lvl w:ilvl="5">
      <w:start w:val="0"/>
      <w:numFmt w:val="bullet"/>
      <w:lvlText w:val="•"/>
      <w:lvlJc w:val="left"/>
      <w:pPr>
        <w:ind w:left="2367" w:hanging="574"/>
      </w:pPr>
      <w:rPr>
        <w:rFonts w:hint="default"/>
      </w:rPr>
    </w:lvl>
    <w:lvl w:ilvl="6">
      <w:start w:val="0"/>
      <w:numFmt w:val="bullet"/>
      <w:lvlText w:val="•"/>
      <w:lvlJc w:val="left"/>
      <w:pPr>
        <w:ind w:left="3615" w:hanging="574"/>
      </w:pPr>
      <w:rPr>
        <w:rFonts w:hint="default"/>
      </w:rPr>
    </w:lvl>
    <w:lvl w:ilvl="7">
      <w:start w:val="0"/>
      <w:numFmt w:val="bullet"/>
      <w:lvlText w:val="•"/>
      <w:lvlJc w:val="left"/>
      <w:pPr>
        <w:ind w:left="4863" w:hanging="574"/>
      </w:pPr>
      <w:rPr>
        <w:rFonts w:hint="default"/>
      </w:rPr>
    </w:lvl>
    <w:lvl w:ilvl="8">
      <w:start w:val="0"/>
      <w:numFmt w:val="bullet"/>
      <w:lvlText w:val="•"/>
      <w:lvlJc w:val="left"/>
      <w:pPr>
        <w:ind w:left="6110" w:hanging="574"/>
      </w:pPr>
      <w:rPr>
        <w:rFonts w:hint="default"/>
      </w:rPr>
    </w:lvl>
  </w:abstractNum>
  <w:abstractNum w:abstractNumId="11">
    <w:multiLevelType w:val="hybridMultilevel"/>
    <w:lvl w:ilvl="0">
      <w:start w:val="13"/>
      <w:numFmt w:val="decimal"/>
      <w:lvlText w:val="%1"/>
      <w:lvlJc w:val="left"/>
      <w:pPr>
        <w:ind w:left="960" w:hanging="840"/>
        <w:jc w:val="left"/>
      </w:pPr>
      <w:rPr>
        <w:rFonts w:hint="default"/>
      </w:rPr>
    </w:lvl>
    <w:lvl w:ilvl="1">
      <w:start w:val="12"/>
      <w:numFmt w:val="decimal"/>
      <w:lvlText w:val="%1.%2"/>
      <w:lvlJc w:val="left"/>
      <w:pPr>
        <w:ind w:left="960" w:hanging="840"/>
        <w:jc w:val="left"/>
      </w:pPr>
      <w:rPr>
        <w:rFonts w:hint="default" w:ascii="宋体" w:hAnsi="宋体" w:eastAsia="宋体" w:cs="宋体"/>
        <w:spacing w:val="-2"/>
        <w:w w:val="99"/>
        <w:sz w:val="21"/>
        <w:szCs w:val="21"/>
      </w:rPr>
    </w:lvl>
    <w:lvl w:ilvl="2">
      <w:start w:val="0"/>
      <w:numFmt w:val="bullet"/>
      <w:lvlText w:val="•"/>
      <w:lvlJc w:val="left"/>
      <w:pPr>
        <w:ind w:left="2477" w:hanging="840"/>
      </w:pPr>
      <w:rPr>
        <w:rFonts w:hint="default"/>
      </w:rPr>
    </w:lvl>
    <w:lvl w:ilvl="3">
      <w:start w:val="0"/>
      <w:numFmt w:val="bullet"/>
      <w:lvlText w:val="•"/>
      <w:lvlJc w:val="left"/>
      <w:pPr>
        <w:ind w:left="3235" w:hanging="840"/>
      </w:pPr>
      <w:rPr>
        <w:rFonts w:hint="default"/>
      </w:rPr>
    </w:lvl>
    <w:lvl w:ilvl="4">
      <w:start w:val="0"/>
      <w:numFmt w:val="bullet"/>
      <w:lvlText w:val="•"/>
      <w:lvlJc w:val="left"/>
      <w:pPr>
        <w:ind w:left="3994" w:hanging="840"/>
      </w:pPr>
      <w:rPr>
        <w:rFonts w:hint="default"/>
      </w:rPr>
    </w:lvl>
    <w:lvl w:ilvl="5">
      <w:start w:val="0"/>
      <w:numFmt w:val="bullet"/>
      <w:lvlText w:val="•"/>
      <w:lvlJc w:val="left"/>
      <w:pPr>
        <w:ind w:left="4753" w:hanging="840"/>
      </w:pPr>
      <w:rPr>
        <w:rFonts w:hint="default"/>
      </w:rPr>
    </w:lvl>
    <w:lvl w:ilvl="6">
      <w:start w:val="0"/>
      <w:numFmt w:val="bullet"/>
      <w:lvlText w:val="•"/>
      <w:lvlJc w:val="left"/>
      <w:pPr>
        <w:ind w:left="5511" w:hanging="840"/>
      </w:pPr>
      <w:rPr>
        <w:rFonts w:hint="default"/>
      </w:rPr>
    </w:lvl>
    <w:lvl w:ilvl="7">
      <w:start w:val="0"/>
      <w:numFmt w:val="bullet"/>
      <w:lvlText w:val="•"/>
      <w:lvlJc w:val="left"/>
      <w:pPr>
        <w:ind w:left="6270" w:hanging="840"/>
      </w:pPr>
      <w:rPr>
        <w:rFonts w:hint="default"/>
      </w:rPr>
    </w:lvl>
    <w:lvl w:ilvl="8">
      <w:start w:val="0"/>
      <w:numFmt w:val="bullet"/>
      <w:lvlText w:val="•"/>
      <w:lvlJc w:val="left"/>
      <w:pPr>
        <w:ind w:left="7028" w:hanging="840"/>
      </w:pPr>
      <w:rPr>
        <w:rFonts w:hint="default"/>
      </w:rPr>
    </w:lvl>
  </w:abstractNum>
  <w:abstractNum w:abstractNumId="10">
    <w:multiLevelType w:val="hybridMultilevel"/>
    <w:lvl w:ilvl="0">
      <w:start w:val="13"/>
      <w:numFmt w:val="decimal"/>
      <w:lvlText w:val="%1"/>
      <w:lvlJc w:val="left"/>
      <w:pPr>
        <w:ind w:left="960" w:hanging="840"/>
        <w:jc w:val="left"/>
      </w:pPr>
      <w:rPr>
        <w:rFonts w:hint="default"/>
      </w:rPr>
    </w:lvl>
    <w:lvl w:ilvl="1">
      <w:start w:val="7"/>
      <w:numFmt w:val="decimal"/>
      <w:lvlText w:val="%1.%2"/>
      <w:lvlJc w:val="left"/>
      <w:pPr>
        <w:ind w:left="960" w:hanging="840"/>
        <w:jc w:val="left"/>
      </w:pPr>
      <w:rPr>
        <w:rFonts w:hint="default" w:ascii="宋体" w:hAnsi="宋体" w:eastAsia="宋体" w:cs="宋体"/>
        <w:spacing w:val="0"/>
        <w:w w:val="99"/>
        <w:sz w:val="21"/>
        <w:szCs w:val="21"/>
      </w:rPr>
    </w:lvl>
    <w:lvl w:ilvl="2">
      <w:start w:val="0"/>
      <w:numFmt w:val="bullet"/>
      <w:lvlText w:val="•"/>
      <w:lvlJc w:val="left"/>
      <w:pPr>
        <w:ind w:left="2477" w:hanging="840"/>
      </w:pPr>
      <w:rPr>
        <w:rFonts w:hint="default"/>
      </w:rPr>
    </w:lvl>
    <w:lvl w:ilvl="3">
      <w:start w:val="0"/>
      <w:numFmt w:val="bullet"/>
      <w:lvlText w:val="•"/>
      <w:lvlJc w:val="left"/>
      <w:pPr>
        <w:ind w:left="3235" w:hanging="840"/>
      </w:pPr>
      <w:rPr>
        <w:rFonts w:hint="default"/>
      </w:rPr>
    </w:lvl>
    <w:lvl w:ilvl="4">
      <w:start w:val="0"/>
      <w:numFmt w:val="bullet"/>
      <w:lvlText w:val="•"/>
      <w:lvlJc w:val="left"/>
      <w:pPr>
        <w:ind w:left="3994" w:hanging="840"/>
      </w:pPr>
      <w:rPr>
        <w:rFonts w:hint="default"/>
      </w:rPr>
    </w:lvl>
    <w:lvl w:ilvl="5">
      <w:start w:val="0"/>
      <w:numFmt w:val="bullet"/>
      <w:lvlText w:val="•"/>
      <w:lvlJc w:val="left"/>
      <w:pPr>
        <w:ind w:left="4753" w:hanging="840"/>
      </w:pPr>
      <w:rPr>
        <w:rFonts w:hint="default"/>
      </w:rPr>
    </w:lvl>
    <w:lvl w:ilvl="6">
      <w:start w:val="0"/>
      <w:numFmt w:val="bullet"/>
      <w:lvlText w:val="•"/>
      <w:lvlJc w:val="left"/>
      <w:pPr>
        <w:ind w:left="5511" w:hanging="840"/>
      </w:pPr>
      <w:rPr>
        <w:rFonts w:hint="default"/>
      </w:rPr>
    </w:lvl>
    <w:lvl w:ilvl="7">
      <w:start w:val="0"/>
      <w:numFmt w:val="bullet"/>
      <w:lvlText w:val="•"/>
      <w:lvlJc w:val="left"/>
      <w:pPr>
        <w:ind w:left="6270" w:hanging="840"/>
      </w:pPr>
      <w:rPr>
        <w:rFonts w:hint="default"/>
      </w:rPr>
    </w:lvl>
    <w:lvl w:ilvl="8">
      <w:start w:val="0"/>
      <w:numFmt w:val="bullet"/>
      <w:lvlText w:val="•"/>
      <w:lvlJc w:val="left"/>
      <w:pPr>
        <w:ind w:left="7028" w:hanging="840"/>
      </w:pPr>
      <w:rPr>
        <w:rFonts w:hint="default"/>
      </w:rPr>
    </w:lvl>
  </w:abstractNum>
  <w:abstractNum w:abstractNumId="9">
    <w:multiLevelType w:val="hybridMultilevel"/>
    <w:lvl w:ilvl="0">
      <w:start w:val="13"/>
      <w:numFmt w:val="decimal"/>
      <w:lvlText w:val="%1"/>
      <w:lvlJc w:val="left"/>
      <w:pPr>
        <w:ind w:left="1219" w:hanging="1100"/>
        <w:jc w:val="left"/>
      </w:pPr>
      <w:rPr>
        <w:rFonts w:hint="default"/>
      </w:rPr>
    </w:lvl>
    <w:lvl w:ilvl="1">
      <w:start w:val="6"/>
      <w:numFmt w:val="decimal"/>
      <w:lvlText w:val="%1.%2"/>
      <w:lvlJc w:val="left"/>
      <w:pPr>
        <w:ind w:left="1219" w:hanging="1100"/>
        <w:jc w:val="left"/>
      </w:pPr>
      <w:rPr>
        <w:rFonts w:hint="default"/>
      </w:rPr>
    </w:lvl>
    <w:lvl w:ilvl="2">
      <w:start w:val="16"/>
      <w:numFmt w:val="decimal"/>
      <w:lvlText w:val="%1.%2.%3"/>
      <w:lvlJc w:val="left"/>
      <w:pPr>
        <w:ind w:left="1219" w:hanging="1100"/>
        <w:jc w:val="left"/>
      </w:pPr>
      <w:rPr>
        <w:rFonts w:hint="default" w:ascii="宋体" w:hAnsi="宋体" w:eastAsia="宋体" w:cs="宋体"/>
        <w:spacing w:val="-2"/>
        <w:w w:val="99"/>
        <w:sz w:val="21"/>
        <w:szCs w:val="21"/>
      </w:rPr>
    </w:lvl>
    <w:lvl w:ilvl="3">
      <w:start w:val="0"/>
      <w:numFmt w:val="bullet"/>
      <w:lvlText w:val="•"/>
      <w:lvlJc w:val="left"/>
      <w:pPr>
        <w:ind w:left="3417" w:hanging="1100"/>
      </w:pPr>
      <w:rPr>
        <w:rFonts w:hint="default"/>
      </w:rPr>
    </w:lvl>
    <w:lvl w:ilvl="4">
      <w:start w:val="0"/>
      <w:numFmt w:val="bullet"/>
      <w:lvlText w:val="•"/>
      <w:lvlJc w:val="left"/>
      <w:pPr>
        <w:ind w:left="4150" w:hanging="1100"/>
      </w:pPr>
      <w:rPr>
        <w:rFonts w:hint="default"/>
      </w:rPr>
    </w:lvl>
    <w:lvl w:ilvl="5">
      <w:start w:val="0"/>
      <w:numFmt w:val="bullet"/>
      <w:lvlText w:val="•"/>
      <w:lvlJc w:val="left"/>
      <w:pPr>
        <w:ind w:left="4883" w:hanging="1100"/>
      </w:pPr>
      <w:rPr>
        <w:rFonts w:hint="default"/>
      </w:rPr>
    </w:lvl>
    <w:lvl w:ilvl="6">
      <w:start w:val="0"/>
      <w:numFmt w:val="bullet"/>
      <w:lvlText w:val="•"/>
      <w:lvlJc w:val="left"/>
      <w:pPr>
        <w:ind w:left="5615" w:hanging="1100"/>
      </w:pPr>
      <w:rPr>
        <w:rFonts w:hint="default"/>
      </w:rPr>
    </w:lvl>
    <w:lvl w:ilvl="7">
      <w:start w:val="0"/>
      <w:numFmt w:val="bullet"/>
      <w:lvlText w:val="•"/>
      <w:lvlJc w:val="left"/>
      <w:pPr>
        <w:ind w:left="6348" w:hanging="1100"/>
      </w:pPr>
      <w:rPr>
        <w:rFonts w:hint="default"/>
      </w:rPr>
    </w:lvl>
    <w:lvl w:ilvl="8">
      <w:start w:val="0"/>
      <w:numFmt w:val="bullet"/>
      <w:lvlText w:val="•"/>
      <w:lvlJc w:val="left"/>
      <w:pPr>
        <w:ind w:left="7080" w:hanging="1100"/>
      </w:pPr>
      <w:rPr>
        <w:rFonts w:hint="default"/>
      </w:rPr>
    </w:lvl>
  </w:abstractNum>
  <w:abstractNum w:abstractNumId="8">
    <w:multiLevelType w:val="hybridMultilevel"/>
    <w:lvl w:ilvl="0">
      <w:start w:val="13"/>
      <w:numFmt w:val="decimal"/>
      <w:lvlText w:val="%1"/>
      <w:lvlJc w:val="left"/>
      <w:pPr>
        <w:ind w:left="960" w:hanging="840"/>
        <w:jc w:val="left"/>
      </w:pPr>
      <w:rPr>
        <w:rFonts w:hint="default"/>
      </w:rPr>
    </w:lvl>
    <w:lvl w:ilvl="1">
      <w:start w:val="1"/>
      <w:numFmt w:val="decimal"/>
      <w:lvlText w:val="%1.%2"/>
      <w:lvlJc w:val="left"/>
      <w:pPr>
        <w:ind w:left="960" w:hanging="840"/>
        <w:jc w:val="left"/>
      </w:pPr>
      <w:rPr>
        <w:rFonts w:hint="default" w:ascii="宋体" w:hAnsi="宋体" w:eastAsia="宋体" w:cs="宋体"/>
        <w:spacing w:val="0"/>
        <w:w w:val="99"/>
        <w:sz w:val="21"/>
        <w:szCs w:val="21"/>
      </w:rPr>
    </w:lvl>
    <w:lvl w:ilvl="2">
      <w:start w:val="1"/>
      <w:numFmt w:val="decimal"/>
      <w:lvlText w:val="%1.%2.%3"/>
      <w:lvlJc w:val="left"/>
      <w:pPr>
        <w:ind w:left="1219" w:hanging="1100"/>
        <w:jc w:val="left"/>
      </w:pPr>
      <w:rPr>
        <w:rFonts w:hint="default" w:ascii="宋体" w:hAnsi="宋体" w:eastAsia="宋体" w:cs="宋体"/>
        <w:spacing w:val="-2"/>
        <w:w w:val="99"/>
        <w:sz w:val="21"/>
        <w:szCs w:val="21"/>
      </w:rPr>
    </w:lvl>
    <w:lvl w:ilvl="3">
      <w:start w:val="0"/>
      <w:numFmt w:val="bullet"/>
      <w:lvlText w:val="•"/>
      <w:lvlJc w:val="left"/>
      <w:pPr>
        <w:ind w:left="2848" w:hanging="1100"/>
      </w:pPr>
      <w:rPr>
        <w:rFonts w:hint="default"/>
      </w:rPr>
    </w:lvl>
    <w:lvl w:ilvl="4">
      <w:start w:val="0"/>
      <w:numFmt w:val="bullet"/>
      <w:lvlText w:val="•"/>
      <w:lvlJc w:val="left"/>
      <w:pPr>
        <w:ind w:left="3662" w:hanging="1100"/>
      </w:pPr>
      <w:rPr>
        <w:rFonts w:hint="default"/>
      </w:rPr>
    </w:lvl>
    <w:lvl w:ilvl="5">
      <w:start w:val="0"/>
      <w:numFmt w:val="bullet"/>
      <w:lvlText w:val="•"/>
      <w:lvlJc w:val="left"/>
      <w:pPr>
        <w:ind w:left="4476" w:hanging="1100"/>
      </w:pPr>
      <w:rPr>
        <w:rFonts w:hint="default"/>
      </w:rPr>
    </w:lvl>
    <w:lvl w:ilvl="6">
      <w:start w:val="0"/>
      <w:numFmt w:val="bullet"/>
      <w:lvlText w:val="•"/>
      <w:lvlJc w:val="left"/>
      <w:pPr>
        <w:ind w:left="5290" w:hanging="1100"/>
      </w:pPr>
      <w:rPr>
        <w:rFonts w:hint="default"/>
      </w:rPr>
    </w:lvl>
    <w:lvl w:ilvl="7">
      <w:start w:val="0"/>
      <w:numFmt w:val="bullet"/>
      <w:lvlText w:val="•"/>
      <w:lvlJc w:val="left"/>
      <w:pPr>
        <w:ind w:left="6104" w:hanging="1100"/>
      </w:pPr>
      <w:rPr>
        <w:rFonts w:hint="default"/>
      </w:rPr>
    </w:lvl>
    <w:lvl w:ilvl="8">
      <w:start w:val="0"/>
      <w:numFmt w:val="bullet"/>
      <w:lvlText w:val="•"/>
      <w:lvlJc w:val="left"/>
      <w:pPr>
        <w:ind w:left="6918" w:hanging="1100"/>
      </w:pPr>
      <w:rPr>
        <w:rFonts w:hint="default"/>
      </w:rPr>
    </w:lvl>
  </w:abstractNum>
  <w:abstractNum w:abstractNumId="7">
    <w:multiLevelType w:val="hybridMultilevel"/>
    <w:lvl w:ilvl="0">
      <w:start w:val="11"/>
      <w:numFmt w:val="decimal"/>
      <w:lvlText w:val="%1"/>
      <w:lvlJc w:val="left"/>
      <w:pPr>
        <w:ind w:left="960" w:hanging="840"/>
        <w:jc w:val="left"/>
      </w:pPr>
      <w:rPr>
        <w:rFonts w:hint="default"/>
      </w:rPr>
    </w:lvl>
    <w:lvl w:ilvl="1">
      <w:start w:val="1"/>
      <w:numFmt w:val="decimal"/>
      <w:lvlText w:val="%1.%2"/>
      <w:lvlJc w:val="left"/>
      <w:pPr>
        <w:ind w:left="960" w:hanging="840"/>
        <w:jc w:val="left"/>
      </w:pPr>
      <w:rPr>
        <w:rFonts w:hint="default" w:ascii="宋体" w:hAnsi="宋体" w:eastAsia="宋体" w:cs="宋体"/>
        <w:spacing w:val="0"/>
        <w:w w:val="99"/>
        <w:sz w:val="21"/>
        <w:szCs w:val="21"/>
      </w:rPr>
    </w:lvl>
    <w:lvl w:ilvl="2">
      <w:start w:val="0"/>
      <w:numFmt w:val="bullet"/>
      <w:lvlText w:val="•"/>
      <w:lvlJc w:val="left"/>
      <w:pPr>
        <w:ind w:left="2477" w:hanging="840"/>
      </w:pPr>
      <w:rPr>
        <w:rFonts w:hint="default"/>
      </w:rPr>
    </w:lvl>
    <w:lvl w:ilvl="3">
      <w:start w:val="0"/>
      <w:numFmt w:val="bullet"/>
      <w:lvlText w:val="•"/>
      <w:lvlJc w:val="left"/>
      <w:pPr>
        <w:ind w:left="3235" w:hanging="840"/>
      </w:pPr>
      <w:rPr>
        <w:rFonts w:hint="default"/>
      </w:rPr>
    </w:lvl>
    <w:lvl w:ilvl="4">
      <w:start w:val="0"/>
      <w:numFmt w:val="bullet"/>
      <w:lvlText w:val="•"/>
      <w:lvlJc w:val="left"/>
      <w:pPr>
        <w:ind w:left="3994" w:hanging="840"/>
      </w:pPr>
      <w:rPr>
        <w:rFonts w:hint="default"/>
      </w:rPr>
    </w:lvl>
    <w:lvl w:ilvl="5">
      <w:start w:val="0"/>
      <w:numFmt w:val="bullet"/>
      <w:lvlText w:val="•"/>
      <w:lvlJc w:val="left"/>
      <w:pPr>
        <w:ind w:left="4753" w:hanging="840"/>
      </w:pPr>
      <w:rPr>
        <w:rFonts w:hint="default"/>
      </w:rPr>
    </w:lvl>
    <w:lvl w:ilvl="6">
      <w:start w:val="0"/>
      <w:numFmt w:val="bullet"/>
      <w:lvlText w:val="•"/>
      <w:lvlJc w:val="left"/>
      <w:pPr>
        <w:ind w:left="5511" w:hanging="840"/>
      </w:pPr>
      <w:rPr>
        <w:rFonts w:hint="default"/>
      </w:rPr>
    </w:lvl>
    <w:lvl w:ilvl="7">
      <w:start w:val="0"/>
      <w:numFmt w:val="bullet"/>
      <w:lvlText w:val="•"/>
      <w:lvlJc w:val="left"/>
      <w:pPr>
        <w:ind w:left="6270" w:hanging="840"/>
      </w:pPr>
      <w:rPr>
        <w:rFonts w:hint="default"/>
      </w:rPr>
    </w:lvl>
    <w:lvl w:ilvl="8">
      <w:start w:val="0"/>
      <w:numFmt w:val="bullet"/>
      <w:lvlText w:val="•"/>
      <w:lvlJc w:val="left"/>
      <w:pPr>
        <w:ind w:left="7028" w:hanging="840"/>
      </w:pPr>
      <w:rPr>
        <w:rFonts w:hint="default"/>
      </w:rPr>
    </w:lvl>
  </w:abstractNum>
  <w:abstractNum w:abstractNumId="6">
    <w:multiLevelType w:val="hybridMultilevel"/>
    <w:lvl w:ilvl="0">
      <w:start w:val="9"/>
      <w:numFmt w:val="decimal"/>
      <w:lvlText w:val="%1"/>
      <w:lvlJc w:val="left"/>
      <w:pPr>
        <w:ind w:left="1219" w:hanging="680"/>
        <w:jc w:val="left"/>
      </w:pPr>
      <w:rPr>
        <w:rFonts w:hint="default"/>
      </w:rPr>
    </w:lvl>
    <w:lvl w:ilvl="1">
      <w:start w:val="2"/>
      <w:numFmt w:val="decimal"/>
      <w:lvlText w:val="%1.%2."/>
      <w:lvlJc w:val="left"/>
      <w:pPr>
        <w:ind w:left="1219" w:hanging="680"/>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440" w:hanging="900"/>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3019" w:hanging="900"/>
      </w:pPr>
      <w:rPr>
        <w:rFonts w:hint="default"/>
      </w:rPr>
    </w:lvl>
    <w:lvl w:ilvl="4">
      <w:start w:val="0"/>
      <w:numFmt w:val="bullet"/>
      <w:lvlText w:val="•"/>
      <w:lvlJc w:val="left"/>
      <w:pPr>
        <w:ind w:left="3808" w:hanging="900"/>
      </w:pPr>
      <w:rPr>
        <w:rFonts w:hint="default"/>
      </w:rPr>
    </w:lvl>
    <w:lvl w:ilvl="5">
      <w:start w:val="0"/>
      <w:numFmt w:val="bullet"/>
      <w:lvlText w:val="•"/>
      <w:lvlJc w:val="left"/>
      <w:pPr>
        <w:ind w:left="4598" w:hanging="900"/>
      </w:pPr>
      <w:rPr>
        <w:rFonts w:hint="default"/>
      </w:rPr>
    </w:lvl>
    <w:lvl w:ilvl="6">
      <w:start w:val="0"/>
      <w:numFmt w:val="bullet"/>
      <w:lvlText w:val="•"/>
      <w:lvlJc w:val="left"/>
      <w:pPr>
        <w:ind w:left="5387" w:hanging="900"/>
      </w:pPr>
      <w:rPr>
        <w:rFonts w:hint="default"/>
      </w:rPr>
    </w:lvl>
    <w:lvl w:ilvl="7">
      <w:start w:val="0"/>
      <w:numFmt w:val="bullet"/>
      <w:lvlText w:val="•"/>
      <w:lvlJc w:val="left"/>
      <w:pPr>
        <w:ind w:left="6177" w:hanging="900"/>
      </w:pPr>
      <w:rPr>
        <w:rFonts w:hint="default"/>
      </w:rPr>
    </w:lvl>
    <w:lvl w:ilvl="8">
      <w:start w:val="0"/>
      <w:numFmt w:val="bullet"/>
      <w:lvlText w:val="•"/>
      <w:lvlJc w:val="left"/>
      <w:pPr>
        <w:ind w:left="6966" w:hanging="900"/>
      </w:pPr>
      <w:rPr>
        <w:rFonts w:hint="default"/>
      </w:rPr>
    </w:lvl>
  </w:abstractNum>
  <w:abstractNum w:abstractNumId="5">
    <w:multiLevelType w:val="hybridMultilevel"/>
    <w:lvl w:ilvl="0">
      <w:start w:val="7"/>
      <w:numFmt w:val="decimal"/>
      <w:lvlText w:val="%1"/>
      <w:lvlJc w:val="left"/>
      <w:pPr>
        <w:ind w:left="1219" w:hanging="680"/>
        <w:jc w:val="left"/>
      </w:pPr>
      <w:rPr>
        <w:rFonts w:hint="default"/>
      </w:rPr>
    </w:lvl>
    <w:lvl w:ilvl="1">
      <w:start w:val="1"/>
      <w:numFmt w:val="decimal"/>
      <w:lvlText w:val="%1.%2"/>
      <w:lvlJc w:val="left"/>
      <w:pPr>
        <w:ind w:left="1219" w:hanging="680"/>
        <w:jc w:val="left"/>
      </w:pPr>
      <w:rPr>
        <w:rFonts w:hint="default" w:ascii="Times New Roman" w:hAnsi="Times New Roman" w:eastAsia="Times New Roman" w:cs="Times New Roman"/>
        <w:spacing w:val="0"/>
        <w:w w:val="99"/>
        <w:sz w:val="21"/>
        <w:szCs w:val="21"/>
      </w:rPr>
    </w:lvl>
    <w:lvl w:ilvl="2">
      <w:start w:val="0"/>
      <w:numFmt w:val="bullet"/>
      <w:lvlText w:val="•"/>
      <w:lvlJc w:val="left"/>
      <w:pPr>
        <w:ind w:left="2685" w:hanging="680"/>
      </w:pPr>
      <w:rPr>
        <w:rFonts w:hint="default"/>
      </w:rPr>
    </w:lvl>
    <w:lvl w:ilvl="3">
      <w:start w:val="0"/>
      <w:numFmt w:val="bullet"/>
      <w:lvlText w:val="•"/>
      <w:lvlJc w:val="left"/>
      <w:pPr>
        <w:ind w:left="3417" w:hanging="680"/>
      </w:pPr>
      <w:rPr>
        <w:rFonts w:hint="default"/>
      </w:rPr>
    </w:lvl>
    <w:lvl w:ilvl="4">
      <w:start w:val="0"/>
      <w:numFmt w:val="bullet"/>
      <w:lvlText w:val="•"/>
      <w:lvlJc w:val="left"/>
      <w:pPr>
        <w:ind w:left="4150" w:hanging="680"/>
      </w:pPr>
      <w:rPr>
        <w:rFonts w:hint="default"/>
      </w:rPr>
    </w:lvl>
    <w:lvl w:ilvl="5">
      <w:start w:val="0"/>
      <w:numFmt w:val="bullet"/>
      <w:lvlText w:val="•"/>
      <w:lvlJc w:val="left"/>
      <w:pPr>
        <w:ind w:left="4883" w:hanging="680"/>
      </w:pPr>
      <w:rPr>
        <w:rFonts w:hint="default"/>
      </w:rPr>
    </w:lvl>
    <w:lvl w:ilvl="6">
      <w:start w:val="0"/>
      <w:numFmt w:val="bullet"/>
      <w:lvlText w:val="•"/>
      <w:lvlJc w:val="left"/>
      <w:pPr>
        <w:ind w:left="5615" w:hanging="680"/>
      </w:pPr>
      <w:rPr>
        <w:rFonts w:hint="default"/>
      </w:rPr>
    </w:lvl>
    <w:lvl w:ilvl="7">
      <w:start w:val="0"/>
      <w:numFmt w:val="bullet"/>
      <w:lvlText w:val="•"/>
      <w:lvlJc w:val="left"/>
      <w:pPr>
        <w:ind w:left="6348" w:hanging="680"/>
      </w:pPr>
      <w:rPr>
        <w:rFonts w:hint="default"/>
      </w:rPr>
    </w:lvl>
    <w:lvl w:ilvl="8">
      <w:start w:val="0"/>
      <w:numFmt w:val="bullet"/>
      <w:lvlText w:val="•"/>
      <w:lvlJc w:val="left"/>
      <w:pPr>
        <w:ind w:left="7080" w:hanging="680"/>
      </w:pPr>
      <w:rPr>
        <w:rFonts w:hint="default"/>
      </w:rPr>
    </w:lvl>
  </w:abstractNum>
  <w:abstractNum w:abstractNumId="4">
    <w:multiLevelType w:val="hybridMultilevel"/>
    <w:lvl w:ilvl="0">
      <w:start w:val="6"/>
      <w:numFmt w:val="decimal"/>
      <w:lvlText w:val="%1"/>
      <w:lvlJc w:val="left"/>
      <w:pPr>
        <w:ind w:left="1485" w:hanging="526"/>
        <w:jc w:val="left"/>
      </w:pPr>
      <w:rPr>
        <w:rFonts w:hint="default"/>
      </w:rPr>
    </w:lvl>
    <w:lvl w:ilvl="1">
      <w:start w:val="3"/>
      <w:numFmt w:val="decimal"/>
      <w:lvlText w:val="%1.%2"/>
      <w:lvlJc w:val="left"/>
      <w:pPr>
        <w:ind w:left="1485" w:hanging="526"/>
        <w:jc w:val="left"/>
      </w:pPr>
      <w:rPr>
        <w:rFonts w:hint="default"/>
      </w:rPr>
    </w:lvl>
    <w:lvl w:ilvl="2">
      <w:start w:val="1"/>
      <w:numFmt w:val="decimal"/>
      <w:lvlText w:val="%1.%2.%3"/>
      <w:lvlJc w:val="left"/>
      <w:pPr>
        <w:ind w:left="1485" w:hanging="526"/>
        <w:jc w:val="left"/>
      </w:pPr>
      <w:rPr>
        <w:rFonts w:hint="default" w:ascii="宋体" w:hAnsi="宋体" w:eastAsia="宋体" w:cs="宋体"/>
        <w:spacing w:val="-2"/>
        <w:w w:val="99"/>
        <w:sz w:val="19"/>
        <w:szCs w:val="19"/>
      </w:rPr>
    </w:lvl>
    <w:lvl w:ilvl="3">
      <w:start w:val="0"/>
      <w:numFmt w:val="bullet"/>
      <w:lvlText w:val="•"/>
      <w:lvlJc w:val="left"/>
      <w:pPr>
        <w:ind w:left="3599" w:hanging="526"/>
      </w:pPr>
      <w:rPr>
        <w:rFonts w:hint="default"/>
      </w:rPr>
    </w:lvl>
    <w:lvl w:ilvl="4">
      <w:start w:val="0"/>
      <w:numFmt w:val="bullet"/>
      <w:lvlText w:val="•"/>
      <w:lvlJc w:val="left"/>
      <w:pPr>
        <w:ind w:left="4306" w:hanging="526"/>
      </w:pPr>
      <w:rPr>
        <w:rFonts w:hint="default"/>
      </w:rPr>
    </w:lvl>
    <w:lvl w:ilvl="5">
      <w:start w:val="0"/>
      <w:numFmt w:val="bullet"/>
      <w:lvlText w:val="•"/>
      <w:lvlJc w:val="left"/>
      <w:pPr>
        <w:ind w:left="5013" w:hanging="526"/>
      </w:pPr>
      <w:rPr>
        <w:rFonts w:hint="default"/>
      </w:rPr>
    </w:lvl>
    <w:lvl w:ilvl="6">
      <w:start w:val="0"/>
      <w:numFmt w:val="bullet"/>
      <w:lvlText w:val="•"/>
      <w:lvlJc w:val="left"/>
      <w:pPr>
        <w:ind w:left="5719" w:hanging="526"/>
      </w:pPr>
      <w:rPr>
        <w:rFonts w:hint="default"/>
      </w:rPr>
    </w:lvl>
    <w:lvl w:ilvl="7">
      <w:start w:val="0"/>
      <w:numFmt w:val="bullet"/>
      <w:lvlText w:val="•"/>
      <w:lvlJc w:val="left"/>
      <w:pPr>
        <w:ind w:left="6426" w:hanging="526"/>
      </w:pPr>
      <w:rPr>
        <w:rFonts w:hint="default"/>
      </w:rPr>
    </w:lvl>
    <w:lvl w:ilvl="8">
      <w:start w:val="0"/>
      <w:numFmt w:val="bullet"/>
      <w:lvlText w:val="•"/>
      <w:lvlJc w:val="left"/>
      <w:pPr>
        <w:ind w:left="7132" w:hanging="526"/>
      </w:pPr>
      <w:rPr>
        <w:rFonts w:hint="default"/>
      </w:rPr>
    </w:lvl>
  </w:abstractNum>
  <w:abstractNum w:abstractNumId="3">
    <w:multiLevelType w:val="hybridMultilevel"/>
    <w:lvl w:ilvl="0">
      <w:start w:val="4"/>
      <w:numFmt w:val="decimal"/>
      <w:lvlText w:val="%1"/>
      <w:lvlJc w:val="left"/>
      <w:pPr>
        <w:ind w:left="1694" w:hanging="735"/>
        <w:jc w:val="left"/>
      </w:pPr>
      <w:rPr>
        <w:rFonts w:hint="default"/>
      </w:rPr>
    </w:lvl>
    <w:lvl w:ilvl="1">
      <w:start w:val="4"/>
      <w:numFmt w:val="decimal"/>
      <w:lvlText w:val="%1.%2"/>
      <w:lvlJc w:val="left"/>
      <w:pPr>
        <w:ind w:left="1694" w:hanging="735"/>
        <w:jc w:val="left"/>
      </w:pPr>
      <w:rPr>
        <w:rFonts w:hint="default"/>
      </w:rPr>
    </w:lvl>
    <w:lvl w:ilvl="2">
      <w:start w:val="4"/>
      <w:numFmt w:val="decimal"/>
      <w:lvlText w:val="%1.%2.%3."/>
      <w:lvlJc w:val="left"/>
      <w:pPr>
        <w:ind w:left="1694" w:hanging="735"/>
        <w:jc w:val="left"/>
      </w:pPr>
      <w:rPr>
        <w:rFonts w:hint="default" w:ascii="宋体" w:hAnsi="宋体" w:eastAsia="宋体" w:cs="宋体"/>
        <w:spacing w:val="-2"/>
        <w:w w:val="99"/>
        <w:sz w:val="21"/>
        <w:szCs w:val="21"/>
      </w:rPr>
    </w:lvl>
    <w:lvl w:ilvl="3">
      <w:start w:val="0"/>
      <w:numFmt w:val="bullet"/>
      <w:lvlText w:val="•"/>
      <w:lvlJc w:val="left"/>
      <w:pPr>
        <w:ind w:left="3753" w:hanging="735"/>
      </w:pPr>
      <w:rPr>
        <w:rFonts w:hint="default"/>
      </w:rPr>
    </w:lvl>
    <w:lvl w:ilvl="4">
      <w:start w:val="0"/>
      <w:numFmt w:val="bullet"/>
      <w:lvlText w:val="•"/>
      <w:lvlJc w:val="left"/>
      <w:pPr>
        <w:ind w:left="4438" w:hanging="735"/>
      </w:pPr>
      <w:rPr>
        <w:rFonts w:hint="default"/>
      </w:rPr>
    </w:lvl>
    <w:lvl w:ilvl="5">
      <w:start w:val="0"/>
      <w:numFmt w:val="bullet"/>
      <w:lvlText w:val="•"/>
      <w:lvlJc w:val="left"/>
      <w:pPr>
        <w:ind w:left="5123" w:hanging="735"/>
      </w:pPr>
      <w:rPr>
        <w:rFonts w:hint="default"/>
      </w:rPr>
    </w:lvl>
    <w:lvl w:ilvl="6">
      <w:start w:val="0"/>
      <w:numFmt w:val="bullet"/>
      <w:lvlText w:val="•"/>
      <w:lvlJc w:val="left"/>
      <w:pPr>
        <w:ind w:left="5807" w:hanging="735"/>
      </w:pPr>
      <w:rPr>
        <w:rFonts w:hint="default"/>
      </w:rPr>
    </w:lvl>
    <w:lvl w:ilvl="7">
      <w:start w:val="0"/>
      <w:numFmt w:val="bullet"/>
      <w:lvlText w:val="•"/>
      <w:lvlJc w:val="left"/>
      <w:pPr>
        <w:ind w:left="6492" w:hanging="735"/>
      </w:pPr>
      <w:rPr>
        <w:rFonts w:hint="default"/>
      </w:rPr>
    </w:lvl>
    <w:lvl w:ilvl="8">
      <w:start w:val="0"/>
      <w:numFmt w:val="bullet"/>
      <w:lvlText w:val="•"/>
      <w:lvlJc w:val="left"/>
      <w:pPr>
        <w:ind w:left="7176" w:hanging="735"/>
      </w:pPr>
      <w:rPr>
        <w:rFonts w:hint="default"/>
      </w:rPr>
    </w:lvl>
  </w:abstractNum>
  <w:abstractNum w:abstractNumId="2">
    <w:multiLevelType w:val="hybridMultilevel"/>
    <w:lvl w:ilvl="0">
      <w:start w:val="4"/>
      <w:numFmt w:val="decimal"/>
      <w:lvlText w:val="%1"/>
      <w:lvlJc w:val="left"/>
      <w:pPr>
        <w:ind w:left="1485" w:hanging="526"/>
        <w:jc w:val="left"/>
      </w:pPr>
      <w:rPr>
        <w:rFonts w:hint="default"/>
      </w:rPr>
    </w:lvl>
    <w:lvl w:ilvl="1">
      <w:start w:val="4"/>
      <w:numFmt w:val="decimal"/>
      <w:lvlText w:val="%1.%2"/>
      <w:lvlJc w:val="left"/>
      <w:pPr>
        <w:ind w:left="1485" w:hanging="526"/>
        <w:jc w:val="left"/>
      </w:pPr>
      <w:rPr>
        <w:rFonts w:hint="default"/>
      </w:rPr>
    </w:lvl>
    <w:lvl w:ilvl="2">
      <w:start w:val="2"/>
      <w:numFmt w:val="decimal"/>
      <w:lvlText w:val="%1.%2.%3"/>
      <w:lvlJc w:val="left"/>
      <w:pPr>
        <w:ind w:left="1485" w:hanging="526"/>
        <w:jc w:val="left"/>
      </w:pPr>
      <w:rPr>
        <w:rFonts w:hint="default" w:ascii="宋体" w:hAnsi="宋体" w:eastAsia="宋体" w:cs="宋体"/>
        <w:spacing w:val="-2"/>
        <w:w w:val="99"/>
        <w:sz w:val="19"/>
        <w:szCs w:val="19"/>
      </w:rPr>
    </w:lvl>
    <w:lvl w:ilvl="3">
      <w:start w:val="0"/>
      <w:numFmt w:val="bullet"/>
      <w:lvlText w:val="•"/>
      <w:lvlJc w:val="left"/>
      <w:pPr>
        <w:ind w:left="3599" w:hanging="526"/>
      </w:pPr>
      <w:rPr>
        <w:rFonts w:hint="default"/>
      </w:rPr>
    </w:lvl>
    <w:lvl w:ilvl="4">
      <w:start w:val="0"/>
      <w:numFmt w:val="bullet"/>
      <w:lvlText w:val="•"/>
      <w:lvlJc w:val="left"/>
      <w:pPr>
        <w:ind w:left="4306" w:hanging="526"/>
      </w:pPr>
      <w:rPr>
        <w:rFonts w:hint="default"/>
      </w:rPr>
    </w:lvl>
    <w:lvl w:ilvl="5">
      <w:start w:val="0"/>
      <w:numFmt w:val="bullet"/>
      <w:lvlText w:val="•"/>
      <w:lvlJc w:val="left"/>
      <w:pPr>
        <w:ind w:left="5013" w:hanging="526"/>
      </w:pPr>
      <w:rPr>
        <w:rFonts w:hint="default"/>
      </w:rPr>
    </w:lvl>
    <w:lvl w:ilvl="6">
      <w:start w:val="0"/>
      <w:numFmt w:val="bullet"/>
      <w:lvlText w:val="•"/>
      <w:lvlJc w:val="left"/>
      <w:pPr>
        <w:ind w:left="5719" w:hanging="526"/>
      </w:pPr>
      <w:rPr>
        <w:rFonts w:hint="default"/>
      </w:rPr>
    </w:lvl>
    <w:lvl w:ilvl="7">
      <w:start w:val="0"/>
      <w:numFmt w:val="bullet"/>
      <w:lvlText w:val="•"/>
      <w:lvlJc w:val="left"/>
      <w:pPr>
        <w:ind w:left="6426" w:hanging="526"/>
      </w:pPr>
      <w:rPr>
        <w:rFonts w:hint="default"/>
      </w:rPr>
    </w:lvl>
    <w:lvl w:ilvl="8">
      <w:start w:val="0"/>
      <w:numFmt w:val="bullet"/>
      <w:lvlText w:val="•"/>
      <w:lvlJc w:val="left"/>
      <w:pPr>
        <w:ind w:left="7132" w:hanging="526"/>
      </w:pPr>
      <w:rPr>
        <w:rFonts w:hint="default"/>
      </w:rPr>
    </w:lvl>
  </w:abstractNum>
  <w:abstractNum w:abstractNumId="1">
    <w:multiLevelType w:val="hybridMultilevel"/>
    <w:lvl w:ilvl="0">
      <w:start w:val="1"/>
      <w:numFmt w:val="decimal"/>
      <w:lvlText w:val="%1."/>
      <w:lvlJc w:val="left"/>
      <w:pPr>
        <w:ind w:left="960" w:hanging="840"/>
        <w:jc w:val="left"/>
      </w:pPr>
      <w:rPr>
        <w:rFonts w:hint="default" w:ascii="宋体" w:hAnsi="宋体" w:eastAsia="宋体" w:cs="宋体"/>
        <w:spacing w:val="0"/>
        <w:w w:val="99"/>
        <w:sz w:val="21"/>
        <w:szCs w:val="21"/>
      </w:rPr>
    </w:lvl>
    <w:lvl w:ilvl="1">
      <w:start w:val="1"/>
      <w:numFmt w:val="decimal"/>
      <w:lvlText w:val="%1.%2."/>
      <w:lvlJc w:val="left"/>
      <w:pPr>
        <w:ind w:left="1219" w:hanging="680"/>
        <w:jc w:val="left"/>
      </w:pPr>
      <w:rPr>
        <w:rFonts w:hint="default" w:ascii="Times New Roman" w:hAnsi="Times New Roman" w:eastAsia="Times New Roman" w:cs="Times New Roman"/>
        <w:spacing w:val="0"/>
        <w:w w:val="99"/>
        <w:sz w:val="21"/>
        <w:szCs w:val="21"/>
      </w:rPr>
    </w:lvl>
    <w:lvl w:ilvl="2">
      <w:start w:val="1"/>
      <w:numFmt w:val="decimal"/>
      <w:lvlText w:val="%1.%2.%3."/>
      <w:lvlJc w:val="left"/>
      <w:pPr>
        <w:ind w:left="1694" w:hanging="735"/>
        <w:jc w:val="left"/>
      </w:pPr>
      <w:rPr>
        <w:rFonts w:hint="default" w:ascii="宋体" w:hAnsi="宋体" w:eastAsia="宋体" w:cs="宋体"/>
        <w:spacing w:val="-2"/>
        <w:w w:val="99"/>
        <w:sz w:val="21"/>
        <w:szCs w:val="21"/>
      </w:rPr>
    </w:lvl>
    <w:lvl w:ilvl="3">
      <w:start w:val="0"/>
      <w:numFmt w:val="bullet"/>
      <w:lvlText w:val="•"/>
      <w:lvlJc w:val="left"/>
      <w:pPr>
        <w:ind w:left="1660" w:hanging="735"/>
      </w:pPr>
      <w:rPr>
        <w:rFonts w:hint="default"/>
      </w:rPr>
    </w:lvl>
    <w:lvl w:ilvl="4">
      <w:start w:val="0"/>
      <w:numFmt w:val="bullet"/>
      <w:lvlText w:val="•"/>
      <w:lvlJc w:val="left"/>
      <w:pPr>
        <w:ind w:left="1700" w:hanging="735"/>
      </w:pPr>
      <w:rPr>
        <w:rFonts w:hint="default"/>
      </w:rPr>
    </w:lvl>
    <w:lvl w:ilvl="5">
      <w:start w:val="0"/>
      <w:numFmt w:val="bullet"/>
      <w:lvlText w:val="•"/>
      <w:lvlJc w:val="left"/>
      <w:pPr>
        <w:ind w:left="2841" w:hanging="735"/>
      </w:pPr>
      <w:rPr>
        <w:rFonts w:hint="default"/>
      </w:rPr>
    </w:lvl>
    <w:lvl w:ilvl="6">
      <w:start w:val="0"/>
      <w:numFmt w:val="bullet"/>
      <w:lvlText w:val="•"/>
      <w:lvlJc w:val="left"/>
      <w:pPr>
        <w:ind w:left="3982" w:hanging="735"/>
      </w:pPr>
      <w:rPr>
        <w:rFonts w:hint="default"/>
      </w:rPr>
    </w:lvl>
    <w:lvl w:ilvl="7">
      <w:start w:val="0"/>
      <w:numFmt w:val="bullet"/>
      <w:lvlText w:val="•"/>
      <w:lvlJc w:val="left"/>
      <w:pPr>
        <w:ind w:left="5123" w:hanging="735"/>
      </w:pPr>
      <w:rPr>
        <w:rFonts w:hint="default"/>
      </w:rPr>
    </w:lvl>
    <w:lvl w:ilvl="8">
      <w:start w:val="0"/>
      <w:numFmt w:val="bullet"/>
      <w:lvlText w:val="•"/>
      <w:lvlJc w:val="left"/>
      <w:pPr>
        <w:ind w:left="6264" w:hanging="735"/>
      </w:pPr>
      <w:rPr>
        <w:rFonts w:hint="default"/>
      </w:rPr>
    </w:lvl>
  </w:abstractNum>
  <w:abstractNum w:abstractNumId="0">
    <w:multiLevelType w:val="hybridMultilevel"/>
    <w:lvl w:ilvl="0">
      <w:start w:val="0"/>
      <w:numFmt w:val="bullet"/>
      <w:lvlText w:val="�"/>
      <w:lvlJc w:val="left"/>
      <w:pPr>
        <w:ind w:left="429" w:hanging="420"/>
      </w:pPr>
      <w:rPr>
        <w:rFonts w:hint="default" w:ascii="Wingdings" w:hAnsi="Wingdings" w:eastAsia="Wingdings" w:cs="Wingdings"/>
        <w:w w:val="157"/>
        <w:sz w:val="21"/>
        <w:szCs w:val="21"/>
      </w:rPr>
    </w:lvl>
    <w:lvl w:ilvl="1">
      <w:start w:val="0"/>
      <w:numFmt w:val="bullet"/>
      <w:lvlText w:val="•"/>
      <w:lvlJc w:val="left"/>
      <w:pPr>
        <w:ind w:left="1278" w:hanging="420"/>
      </w:pPr>
      <w:rPr>
        <w:rFonts w:hint="default"/>
      </w:rPr>
    </w:lvl>
    <w:lvl w:ilvl="2">
      <w:start w:val="0"/>
      <w:numFmt w:val="bullet"/>
      <w:lvlText w:val="•"/>
      <w:lvlJc w:val="left"/>
      <w:pPr>
        <w:ind w:left="2137" w:hanging="420"/>
      </w:pPr>
      <w:rPr>
        <w:rFonts w:hint="default"/>
      </w:rPr>
    </w:lvl>
    <w:lvl w:ilvl="3">
      <w:start w:val="0"/>
      <w:numFmt w:val="bullet"/>
      <w:lvlText w:val="•"/>
      <w:lvlJc w:val="left"/>
      <w:pPr>
        <w:ind w:left="2995" w:hanging="420"/>
      </w:pPr>
      <w:rPr>
        <w:rFonts w:hint="default"/>
      </w:rPr>
    </w:lvl>
    <w:lvl w:ilvl="4">
      <w:start w:val="0"/>
      <w:numFmt w:val="bullet"/>
      <w:lvlText w:val="•"/>
      <w:lvlJc w:val="left"/>
      <w:pPr>
        <w:ind w:left="3854" w:hanging="420"/>
      </w:pPr>
      <w:rPr>
        <w:rFonts w:hint="default"/>
      </w:rPr>
    </w:lvl>
    <w:lvl w:ilvl="5">
      <w:start w:val="0"/>
      <w:numFmt w:val="bullet"/>
      <w:lvlText w:val="•"/>
      <w:lvlJc w:val="left"/>
      <w:pPr>
        <w:ind w:left="4713" w:hanging="420"/>
      </w:pPr>
      <w:rPr>
        <w:rFonts w:hint="default"/>
      </w:rPr>
    </w:lvl>
    <w:lvl w:ilvl="6">
      <w:start w:val="0"/>
      <w:numFmt w:val="bullet"/>
      <w:lvlText w:val="•"/>
      <w:lvlJc w:val="left"/>
      <w:pPr>
        <w:ind w:left="5571" w:hanging="420"/>
      </w:pPr>
      <w:rPr>
        <w:rFonts w:hint="default"/>
      </w:rPr>
    </w:lvl>
    <w:lvl w:ilvl="7">
      <w:start w:val="0"/>
      <w:numFmt w:val="bullet"/>
      <w:lvlText w:val="•"/>
      <w:lvlJc w:val="left"/>
      <w:pPr>
        <w:ind w:left="6430" w:hanging="420"/>
      </w:pPr>
      <w:rPr>
        <w:rFonts w:hint="default"/>
      </w:rPr>
    </w:lvl>
    <w:lvl w:ilvl="8">
      <w:start w:val="0"/>
      <w:numFmt w:val="bullet"/>
      <w:lvlText w:val="•"/>
      <w:lvlJc w:val="left"/>
      <w:pPr>
        <w:ind w:left="7288" w:hanging="420"/>
      </w:pPr>
      <w:rPr>
        <w:rFonts w:hint="default"/>
      </w:rPr>
    </w:lvl>
  </w:abstractNum>
  <w:num w:numId="25">
    <w:abstractNumId w:val="24"/>
  </w:num>
  <w:num w:numId="29">
    <w:abstractNumId w:val="28"/>
  </w:num>
  <w:num w:numId="28">
    <w:abstractNumId w:val="27"/>
  </w:num>
  <w:num w:numId="27">
    <w:abstractNumId w:val="26"/>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219" w:hanging="1099"/>
    </w:pPr>
    <w:rPr>
      <w:rFonts w:ascii="宋体" w:hAnsi="宋体" w:eastAsia="宋体" w:cs="宋体"/>
      <w:sz w:val="21"/>
      <w:szCs w:val="21"/>
    </w:rPr>
  </w:style>
  <w:style w:styleId="TOC2" w:type="paragraph">
    <w:name w:val="TOC 2"/>
    <w:basedOn w:val="Normal"/>
    <w:uiPriority w:val="1"/>
    <w:qFormat/>
    <w:pPr>
      <w:spacing w:before="21"/>
      <w:ind w:left="1219" w:hanging="679"/>
    </w:pPr>
    <w:rPr>
      <w:rFonts w:ascii="宋体" w:hAnsi="宋体" w:eastAsia="宋体" w:cs="宋体"/>
      <w:sz w:val="21"/>
      <w:szCs w:val="21"/>
    </w:rPr>
  </w:style>
  <w:style w:styleId="TOC3" w:type="paragraph">
    <w:name w:val="TOC 3"/>
    <w:basedOn w:val="Normal"/>
    <w:uiPriority w:val="1"/>
    <w:qFormat/>
    <w:pPr>
      <w:spacing w:before="21"/>
      <w:ind w:left="1485" w:hanging="525"/>
    </w:pPr>
    <w:rPr>
      <w:rFonts w:ascii="宋体" w:hAnsi="宋体" w:eastAsia="宋体" w:cs="宋体"/>
      <w:sz w:val="21"/>
      <w:szCs w:val="21"/>
    </w:rPr>
  </w:style>
  <w:style w:styleId="BodyText" w:type="paragraph">
    <w:name w:val="Body Text"/>
    <w:basedOn w:val="Normal"/>
    <w:uiPriority w:val="1"/>
    <w:qFormat/>
    <w:pPr>
      <w:spacing w:before="80"/>
      <w:ind w:left="120"/>
    </w:pPr>
    <w:rPr>
      <w:rFonts w:ascii="宋体" w:hAnsi="宋体" w:eastAsia="宋体" w:cs="宋体"/>
      <w:sz w:val="21"/>
      <w:szCs w:val="21"/>
    </w:rPr>
  </w:style>
  <w:style w:styleId="Heading1" w:type="paragraph">
    <w:name w:val="Heading 1"/>
    <w:basedOn w:val="Normal"/>
    <w:uiPriority w:val="1"/>
    <w:qFormat/>
    <w:pPr>
      <w:spacing w:line="386" w:lineRule="exact"/>
      <w:jc w:val="cente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960" w:hanging="840"/>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1"/>
      <w:ind w:left="960" w:hanging="84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njbxw.com/data/index.asp"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 Corporation</dc:creator>
  <dc:title>阅读指引</dc:title>
  <dcterms:created xsi:type="dcterms:W3CDTF">2018-10-20T01:48:00Z</dcterms:created>
  <dcterms:modified xsi:type="dcterms:W3CDTF">2018-10-20T01:48:00Z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WPS Office 个人版</vt:lpwstr>
  </property>
  <property fmtid="{D5CDD505-2E9C-101B-9397-08002B2CF9AE}" pid="4" name="LastSaved">
    <vt:filetime>2014-05-21T00:00:00Z</vt:filetime>
  </property>
</Properties>
</file>