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60" w:lineRule="exact" w:before="0"/>
        <w:ind w:left="2887" w:right="0" w:firstLine="0"/>
        <w:jc w:val="center"/>
        <w:rPr>
          <w:rFonts w:ascii="Microsoft JhengHei" w:eastAsia="Microsoft JhengHei" w:hint="eastAsia"/>
          <w:b/>
          <w:sz w:val="44"/>
        </w:rPr>
      </w:pPr>
      <w:r>
        <w:rPr>
          <w:rFonts w:ascii="Microsoft JhengHei" w:eastAsia="Microsoft JhengHei" w:hint="eastAsia"/>
          <w:b/>
          <w:sz w:val="44"/>
        </w:rPr>
        <w:t>建信人寿保险有限公司</w:t>
      </w:r>
    </w:p>
    <w:p>
      <w:pPr>
        <w:spacing w:before="45"/>
        <w:ind w:left="2888" w:right="0" w:firstLine="0"/>
        <w:jc w:val="center"/>
        <w:rPr>
          <w:rFonts w:ascii="Microsoft JhengHei" w:eastAsia="Microsoft JhengHei" w:hint="eastAsia"/>
          <w:b/>
          <w:sz w:val="24"/>
        </w:rPr>
      </w:pPr>
      <w:r>
        <w:rPr>
          <w:rFonts w:ascii="Microsoft JhengHei" w:eastAsia="Microsoft JhengHei" w:hint="eastAsia"/>
          <w:b/>
          <w:sz w:val="24"/>
        </w:rPr>
        <w:t>（以下简称本公司）</w:t>
      </w:r>
    </w:p>
    <w:p>
      <w:pPr>
        <w:spacing w:before="188"/>
        <w:ind w:left="2891" w:right="0" w:firstLine="0"/>
        <w:jc w:val="center"/>
        <w:rPr>
          <w:rFonts w:ascii="Microsoft JhengHei" w:eastAsia="Microsoft JhengHei" w:hint="eastAsia"/>
          <w:b/>
          <w:sz w:val="32"/>
        </w:rPr>
      </w:pPr>
      <w:r>
        <w:rPr>
          <w:rFonts w:ascii="Microsoft JhengHei" w:eastAsia="Microsoft JhengHei" w:hint="eastAsia"/>
          <w:b/>
          <w:sz w:val="32"/>
        </w:rPr>
        <w:t>附加家庭支柱定期重大疾病保险</w:t>
      </w:r>
    </w:p>
    <w:p>
      <w:pPr>
        <w:spacing w:before="146"/>
        <w:ind w:left="608" w:right="100" w:firstLine="0"/>
        <w:jc w:val="center"/>
        <w:rPr>
          <w:sz w:val="18"/>
        </w:rPr>
      </w:pPr>
      <w:r>
        <w:rPr/>
        <w:br w:type="column"/>
      </w:r>
      <w:r>
        <w:rPr>
          <w:spacing w:val="-3"/>
          <w:w w:val="101"/>
          <w:sz w:val="18"/>
        </w:rPr>
        <w:t>建信人寿</w:t>
      </w:r>
      <w:r>
        <w:rPr>
          <w:spacing w:val="0"/>
          <w:w w:val="56"/>
          <w:sz w:val="18"/>
        </w:rPr>
        <w:t>[</w:t>
      </w:r>
      <w:r>
        <w:rPr>
          <w:spacing w:val="-1"/>
          <w:w w:val="112"/>
          <w:sz w:val="18"/>
        </w:rPr>
        <w:t>201</w:t>
      </w:r>
      <w:r>
        <w:rPr>
          <w:spacing w:val="-6"/>
          <w:w w:val="112"/>
          <w:sz w:val="18"/>
        </w:rPr>
        <w:t>1</w:t>
      </w:r>
      <w:r>
        <w:rPr>
          <w:spacing w:val="1"/>
          <w:w w:val="56"/>
          <w:sz w:val="18"/>
        </w:rPr>
        <w:t>]</w:t>
      </w:r>
      <w:r>
        <w:rPr>
          <w:spacing w:val="-3"/>
          <w:w w:val="101"/>
          <w:sz w:val="18"/>
        </w:rPr>
        <w:t>疾病保险第</w:t>
      </w:r>
      <w:r>
        <w:rPr>
          <w:spacing w:val="-47"/>
          <w:sz w:val="18"/>
        </w:rPr>
        <w:t> </w:t>
      </w:r>
      <w:r>
        <w:rPr>
          <w:spacing w:val="-1"/>
          <w:w w:val="112"/>
          <w:sz w:val="18"/>
        </w:rPr>
        <w:t>01</w:t>
      </w:r>
      <w:r>
        <w:rPr>
          <w:w w:val="112"/>
          <w:sz w:val="18"/>
        </w:rPr>
        <w:t>4</w:t>
      </w:r>
      <w:r>
        <w:rPr>
          <w:spacing w:val="-53"/>
          <w:sz w:val="18"/>
        </w:rPr>
        <w:t> </w:t>
      </w:r>
      <w:r>
        <w:rPr>
          <w:w w:val="101"/>
          <w:sz w:val="18"/>
        </w:rPr>
        <w:t>号</w:t>
      </w:r>
    </w:p>
    <w:p>
      <w:pPr>
        <w:pStyle w:val="BodyText"/>
        <w:spacing w:before="8"/>
        <w:ind w:left="0"/>
        <w:rPr>
          <w:sz w:val="13"/>
        </w:rPr>
      </w:pPr>
      <w:r>
        <w:rPr/>
        <w:drawing>
          <wp:anchor distT="0" distB="0" distL="0" distR="0" allowOverlap="1" layoutInCell="1" locked="0" behindDoc="0" simplePos="0" relativeHeight="0">
            <wp:simplePos x="0" y="0"/>
            <wp:positionH relativeFrom="page">
              <wp:posOffset>6096000</wp:posOffset>
            </wp:positionH>
            <wp:positionV relativeFrom="paragraph">
              <wp:posOffset>138253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spacing w:before="106"/>
        <w:ind w:left="584" w:right="100" w:firstLine="0"/>
        <w:jc w:val="center"/>
        <w:rPr>
          <w:sz w:val="18"/>
        </w:rPr>
      </w:pPr>
      <w:r>
        <w:rPr>
          <w:sz w:val="18"/>
        </w:rPr>
        <w:t>请扫描以查询验证条款</w:t>
      </w:r>
    </w:p>
    <w:p>
      <w:pPr>
        <w:spacing w:after="0"/>
        <w:jc w:val="center"/>
        <w:rPr>
          <w:sz w:val="18"/>
        </w:rPr>
        <w:sectPr>
          <w:footerReference w:type="default" r:id="rId5"/>
          <w:type w:val="continuous"/>
          <w:pgSz w:w="11910" w:h="16840"/>
          <w:pgMar w:footer="219" w:top="840" w:bottom="400" w:left="820" w:right="240"/>
          <w:cols w:num="2" w:equalWidth="0">
            <w:col w:w="7380" w:space="40"/>
            <w:col w:w="3430"/>
          </w:cols>
        </w:sectPr>
      </w:pPr>
    </w:p>
    <w:p>
      <w:pPr>
        <w:pStyle w:val="BodyText"/>
        <w:spacing w:before="10"/>
        <w:ind w:left="0"/>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5"/>
        <w:gridCol w:w="2886"/>
        <w:gridCol w:w="1842"/>
        <w:gridCol w:w="2792"/>
      </w:tblGrid>
      <w:tr>
        <w:trPr>
          <w:trHeight w:val="485" w:hRule="atLeast"/>
        </w:trPr>
        <w:tc>
          <w:tcPr>
            <w:tcW w:w="8625" w:type="dxa"/>
            <w:gridSpan w:val="4"/>
          </w:tcPr>
          <w:p>
            <w:pPr>
              <w:pStyle w:val="TableParagraph"/>
              <w:spacing w:line="318" w:lineRule="exact" w:before="0"/>
              <w:rPr>
                <w:rFonts w:ascii="Microsoft JhengHei" w:eastAsia="Microsoft JhengHei" w:hint="eastAsia"/>
                <w:b/>
                <w:sz w:val="24"/>
              </w:rPr>
            </w:pPr>
            <w:r>
              <w:rPr>
                <w:rFonts w:ascii="Microsoft JhengHei" w:eastAsia="Microsoft JhengHei" w:hint="eastAsia"/>
                <w:b/>
                <w:sz w:val="24"/>
              </w:rPr>
              <w:t>条款目录</w:t>
            </w:r>
          </w:p>
        </w:tc>
      </w:tr>
      <w:tr>
        <w:trPr>
          <w:trHeight w:val="490" w:hRule="atLeast"/>
        </w:trPr>
        <w:tc>
          <w:tcPr>
            <w:tcW w:w="1105" w:type="dxa"/>
          </w:tcPr>
          <w:p>
            <w:pPr>
              <w:pStyle w:val="TableParagraph"/>
              <w:spacing w:before="145"/>
              <w:rPr>
                <w:sz w:val="21"/>
              </w:rPr>
            </w:pPr>
            <w:r>
              <w:rPr>
                <w:sz w:val="21"/>
              </w:rPr>
              <w:t>第一条</w:t>
            </w:r>
          </w:p>
        </w:tc>
        <w:tc>
          <w:tcPr>
            <w:tcW w:w="2886" w:type="dxa"/>
          </w:tcPr>
          <w:p>
            <w:pPr>
              <w:pStyle w:val="TableParagraph"/>
              <w:spacing w:before="145"/>
              <w:ind w:left="271"/>
              <w:rPr>
                <w:sz w:val="21"/>
              </w:rPr>
            </w:pPr>
            <w:r>
              <w:rPr>
                <w:sz w:val="21"/>
              </w:rPr>
              <w:t>附加合同的构成</w:t>
            </w:r>
          </w:p>
        </w:tc>
        <w:tc>
          <w:tcPr>
            <w:tcW w:w="1842" w:type="dxa"/>
          </w:tcPr>
          <w:p>
            <w:pPr>
              <w:pStyle w:val="TableParagraph"/>
              <w:spacing w:before="145"/>
              <w:ind w:left="718"/>
              <w:rPr>
                <w:sz w:val="21"/>
              </w:rPr>
            </w:pPr>
            <w:r>
              <w:rPr>
                <w:sz w:val="21"/>
              </w:rPr>
              <w:t>第八条</w:t>
            </w:r>
          </w:p>
        </w:tc>
        <w:tc>
          <w:tcPr>
            <w:tcW w:w="2792" w:type="dxa"/>
          </w:tcPr>
          <w:p>
            <w:pPr>
              <w:pStyle w:val="TableParagraph"/>
              <w:spacing w:before="145"/>
              <w:ind w:left="278"/>
              <w:rPr>
                <w:sz w:val="21"/>
              </w:rPr>
            </w:pPr>
            <w:r>
              <w:rPr>
                <w:sz w:val="21"/>
              </w:rPr>
              <w:t>受益人</w:t>
            </w:r>
          </w:p>
        </w:tc>
      </w:tr>
      <w:tr>
        <w:trPr>
          <w:trHeight w:val="367" w:hRule="atLeast"/>
        </w:trPr>
        <w:tc>
          <w:tcPr>
            <w:tcW w:w="1105" w:type="dxa"/>
          </w:tcPr>
          <w:p>
            <w:pPr>
              <w:pStyle w:val="TableParagraph"/>
              <w:spacing w:before="23"/>
              <w:rPr>
                <w:sz w:val="21"/>
              </w:rPr>
            </w:pPr>
            <w:r>
              <w:rPr>
                <w:sz w:val="21"/>
              </w:rPr>
              <w:t>第二条</w:t>
            </w:r>
          </w:p>
        </w:tc>
        <w:tc>
          <w:tcPr>
            <w:tcW w:w="2886" w:type="dxa"/>
          </w:tcPr>
          <w:p>
            <w:pPr>
              <w:pStyle w:val="TableParagraph"/>
              <w:spacing w:before="23"/>
              <w:ind w:left="271"/>
              <w:rPr>
                <w:sz w:val="21"/>
              </w:rPr>
            </w:pPr>
            <w:r>
              <w:rPr>
                <w:sz w:val="21"/>
              </w:rPr>
              <w:t>保险责任</w:t>
            </w:r>
          </w:p>
        </w:tc>
        <w:tc>
          <w:tcPr>
            <w:tcW w:w="1842" w:type="dxa"/>
          </w:tcPr>
          <w:p>
            <w:pPr>
              <w:pStyle w:val="TableParagraph"/>
              <w:spacing w:before="23"/>
              <w:ind w:left="718"/>
              <w:rPr>
                <w:sz w:val="21"/>
              </w:rPr>
            </w:pPr>
            <w:r>
              <w:rPr>
                <w:sz w:val="21"/>
              </w:rPr>
              <w:t>第九条</w:t>
            </w:r>
          </w:p>
        </w:tc>
        <w:tc>
          <w:tcPr>
            <w:tcW w:w="2792" w:type="dxa"/>
          </w:tcPr>
          <w:p>
            <w:pPr>
              <w:pStyle w:val="TableParagraph"/>
              <w:spacing w:before="23"/>
              <w:ind w:left="278"/>
              <w:rPr>
                <w:sz w:val="21"/>
              </w:rPr>
            </w:pPr>
            <w:r>
              <w:rPr>
                <w:sz w:val="21"/>
              </w:rPr>
              <w:t>保险金申请</w:t>
            </w:r>
          </w:p>
        </w:tc>
      </w:tr>
      <w:tr>
        <w:trPr>
          <w:trHeight w:val="364" w:hRule="atLeast"/>
        </w:trPr>
        <w:tc>
          <w:tcPr>
            <w:tcW w:w="1105" w:type="dxa"/>
          </w:tcPr>
          <w:p>
            <w:pPr>
              <w:pStyle w:val="TableParagraph"/>
              <w:rPr>
                <w:sz w:val="21"/>
              </w:rPr>
            </w:pPr>
            <w:r>
              <w:rPr>
                <w:sz w:val="21"/>
              </w:rPr>
              <w:t>第三条</w:t>
            </w:r>
          </w:p>
        </w:tc>
        <w:tc>
          <w:tcPr>
            <w:tcW w:w="2886" w:type="dxa"/>
          </w:tcPr>
          <w:p>
            <w:pPr>
              <w:pStyle w:val="TableParagraph"/>
              <w:ind w:left="271"/>
              <w:rPr>
                <w:sz w:val="21"/>
              </w:rPr>
            </w:pPr>
            <w:r>
              <w:rPr>
                <w:sz w:val="21"/>
              </w:rPr>
              <w:t>责任免除</w:t>
            </w:r>
          </w:p>
        </w:tc>
        <w:tc>
          <w:tcPr>
            <w:tcW w:w="1842" w:type="dxa"/>
          </w:tcPr>
          <w:p>
            <w:pPr>
              <w:pStyle w:val="TableParagraph"/>
              <w:ind w:left="718"/>
              <w:rPr>
                <w:sz w:val="21"/>
              </w:rPr>
            </w:pPr>
            <w:r>
              <w:rPr>
                <w:sz w:val="21"/>
              </w:rPr>
              <w:t>第十条</w:t>
            </w:r>
          </w:p>
        </w:tc>
        <w:tc>
          <w:tcPr>
            <w:tcW w:w="2792" w:type="dxa"/>
          </w:tcPr>
          <w:p>
            <w:pPr>
              <w:pStyle w:val="TableParagraph"/>
              <w:ind w:left="278"/>
              <w:rPr>
                <w:sz w:val="21"/>
              </w:rPr>
            </w:pPr>
            <w:r>
              <w:rPr>
                <w:sz w:val="21"/>
              </w:rPr>
              <w:t>诉讼时效</w:t>
            </w:r>
          </w:p>
        </w:tc>
      </w:tr>
      <w:tr>
        <w:trPr>
          <w:trHeight w:val="364" w:hRule="atLeast"/>
        </w:trPr>
        <w:tc>
          <w:tcPr>
            <w:tcW w:w="1105" w:type="dxa"/>
          </w:tcPr>
          <w:p>
            <w:pPr>
              <w:pStyle w:val="TableParagraph"/>
              <w:rPr>
                <w:sz w:val="21"/>
              </w:rPr>
            </w:pPr>
            <w:r>
              <w:rPr>
                <w:sz w:val="21"/>
              </w:rPr>
              <w:t>第四条</w:t>
            </w:r>
          </w:p>
        </w:tc>
        <w:tc>
          <w:tcPr>
            <w:tcW w:w="2886" w:type="dxa"/>
          </w:tcPr>
          <w:p>
            <w:pPr>
              <w:pStyle w:val="TableParagraph"/>
              <w:ind w:left="271"/>
              <w:rPr>
                <w:sz w:val="21"/>
              </w:rPr>
            </w:pPr>
            <w:r>
              <w:rPr>
                <w:sz w:val="21"/>
              </w:rPr>
              <w:t>保险合同成立与生效</w:t>
            </w:r>
          </w:p>
        </w:tc>
        <w:tc>
          <w:tcPr>
            <w:tcW w:w="1842" w:type="dxa"/>
          </w:tcPr>
          <w:p>
            <w:pPr>
              <w:pStyle w:val="TableParagraph"/>
              <w:ind w:left="718"/>
              <w:rPr>
                <w:sz w:val="21"/>
              </w:rPr>
            </w:pPr>
            <w:r>
              <w:rPr>
                <w:sz w:val="21"/>
              </w:rPr>
              <w:t>第十一条</w:t>
            </w:r>
          </w:p>
        </w:tc>
        <w:tc>
          <w:tcPr>
            <w:tcW w:w="2792" w:type="dxa"/>
          </w:tcPr>
          <w:p>
            <w:pPr>
              <w:pStyle w:val="TableParagraph"/>
              <w:ind w:left="278"/>
              <w:rPr>
                <w:sz w:val="21"/>
              </w:rPr>
            </w:pPr>
            <w:r>
              <w:rPr>
                <w:sz w:val="21"/>
              </w:rPr>
              <w:t>附加合同保险金额的变更</w:t>
            </w:r>
          </w:p>
        </w:tc>
      </w:tr>
      <w:tr>
        <w:trPr>
          <w:trHeight w:val="367" w:hRule="atLeast"/>
        </w:trPr>
        <w:tc>
          <w:tcPr>
            <w:tcW w:w="1105" w:type="dxa"/>
          </w:tcPr>
          <w:p>
            <w:pPr>
              <w:pStyle w:val="TableParagraph"/>
              <w:rPr>
                <w:sz w:val="21"/>
              </w:rPr>
            </w:pPr>
            <w:r>
              <w:rPr>
                <w:sz w:val="21"/>
              </w:rPr>
              <w:t>第五条</w:t>
            </w:r>
          </w:p>
        </w:tc>
        <w:tc>
          <w:tcPr>
            <w:tcW w:w="2886" w:type="dxa"/>
          </w:tcPr>
          <w:p>
            <w:pPr>
              <w:pStyle w:val="TableParagraph"/>
              <w:ind w:left="271"/>
              <w:rPr>
                <w:sz w:val="21"/>
              </w:rPr>
            </w:pPr>
            <w:r>
              <w:rPr>
                <w:sz w:val="21"/>
              </w:rPr>
              <w:t>保险期间</w:t>
            </w:r>
          </w:p>
        </w:tc>
        <w:tc>
          <w:tcPr>
            <w:tcW w:w="1842" w:type="dxa"/>
          </w:tcPr>
          <w:p>
            <w:pPr>
              <w:pStyle w:val="TableParagraph"/>
              <w:ind w:left="718"/>
              <w:rPr>
                <w:sz w:val="21"/>
              </w:rPr>
            </w:pPr>
            <w:r>
              <w:rPr>
                <w:sz w:val="21"/>
              </w:rPr>
              <w:t>第十二条</w:t>
            </w:r>
          </w:p>
        </w:tc>
        <w:tc>
          <w:tcPr>
            <w:tcW w:w="2792" w:type="dxa"/>
          </w:tcPr>
          <w:p>
            <w:pPr>
              <w:pStyle w:val="TableParagraph"/>
              <w:ind w:left="278"/>
              <w:rPr>
                <w:sz w:val="21"/>
              </w:rPr>
            </w:pPr>
            <w:r>
              <w:rPr>
                <w:sz w:val="21"/>
              </w:rPr>
              <w:t>重大疾病的释义</w:t>
            </w:r>
          </w:p>
        </w:tc>
      </w:tr>
      <w:tr>
        <w:trPr>
          <w:trHeight w:val="367" w:hRule="atLeast"/>
        </w:trPr>
        <w:tc>
          <w:tcPr>
            <w:tcW w:w="1105" w:type="dxa"/>
          </w:tcPr>
          <w:p>
            <w:pPr>
              <w:pStyle w:val="TableParagraph"/>
              <w:spacing w:before="24"/>
              <w:rPr>
                <w:sz w:val="21"/>
              </w:rPr>
            </w:pPr>
            <w:r>
              <w:rPr>
                <w:sz w:val="21"/>
              </w:rPr>
              <w:t>第六条</w:t>
            </w:r>
          </w:p>
        </w:tc>
        <w:tc>
          <w:tcPr>
            <w:tcW w:w="2886" w:type="dxa"/>
          </w:tcPr>
          <w:p>
            <w:pPr>
              <w:pStyle w:val="TableParagraph"/>
              <w:spacing w:before="24"/>
              <w:ind w:left="271"/>
              <w:rPr>
                <w:sz w:val="21"/>
              </w:rPr>
            </w:pPr>
            <w:r>
              <w:rPr>
                <w:sz w:val="21"/>
              </w:rPr>
              <w:t>保险费率的调整</w:t>
            </w:r>
          </w:p>
        </w:tc>
        <w:tc>
          <w:tcPr>
            <w:tcW w:w="1842" w:type="dxa"/>
          </w:tcPr>
          <w:p>
            <w:pPr>
              <w:pStyle w:val="TableParagraph"/>
              <w:spacing w:before="24"/>
              <w:ind w:left="718"/>
              <w:rPr>
                <w:sz w:val="21"/>
              </w:rPr>
            </w:pPr>
            <w:r>
              <w:rPr>
                <w:sz w:val="21"/>
              </w:rPr>
              <w:t>第十三条</w:t>
            </w:r>
          </w:p>
        </w:tc>
        <w:tc>
          <w:tcPr>
            <w:tcW w:w="2792" w:type="dxa"/>
          </w:tcPr>
          <w:p>
            <w:pPr>
              <w:pStyle w:val="TableParagraph"/>
              <w:spacing w:before="24"/>
              <w:ind w:left="278"/>
              <w:rPr>
                <w:sz w:val="21"/>
              </w:rPr>
            </w:pPr>
            <w:r>
              <w:rPr>
                <w:sz w:val="21"/>
              </w:rPr>
              <w:t>其他名词的释义</w:t>
            </w:r>
          </w:p>
        </w:tc>
      </w:tr>
      <w:tr>
        <w:trPr>
          <w:trHeight w:val="323" w:hRule="atLeast"/>
        </w:trPr>
        <w:tc>
          <w:tcPr>
            <w:tcW w:w="1105" w:type="dxa"/>
          </w:tcPr>
          <w:p>
            <w:pPr>
              <w:pStyle w:val="TableParagraph"/>
              <w:rPr>
                <w:sz w:val="21"/>
              </w:rPr>
            </w:pPr>
            <w:r>
              <w:rPr>
                <w:sz w:val="21"/>
              </w:rPr>
              <w:t>第七条</w:t>
            </w:r>
          </w:p>
        </w:tc>
        <w:tc>
          <w:tcPr>
            <w:tcW w:w="2886" w:type="dxa"/>
          </w:tcPr>
          <w:p>
            <w:pPr>
              <w:pStyle w:val="TableParagraph"/>
              <w:ind w:left="271"/>
              <w:rPr>
                <w:sz w:val="21"/>
              </w:rPr>
            </w:pPr>
            <w:r>
              <w:rPr>
                <w:sz w:val="21"/>
              </w:rPr>
              <w:t>附加合同的终止</w:t>
            </w:r>
          </w:p>
        </w:tc>
        <w:tc>
          <w:tcPr>
            <w:tcW w:w="1842" w:type="dxa"/>
          </w:tcPr>
          <w:p>
            <w:pPr>
              <w:pStyle w:val="TableParagraph"/>
              <w:spacing w:before="0"/>
              <w:ind w:left="0"/>
              <w:rPr>
                <w:rFonts w:ascii="Times New Roman"/>
                <w:sz w:val="20"/>
              </w:rPr>
            </w:pPr>
          </w:p>
        </w:tc>
        <w:tc>
          <w:tcPr>
            <w:tcW w:w="2792" w:type="dxa"/>
          </w:tcPr>
          <w:p>
            <w:pPr>
              <w:pStyle w:val="TableParagraph"/>
              <w:spacing w:before="0"/>
              <w:ind w:left="0"/>
              <w:rPr>
                <w:rFonts w:ascii="Times New Roman"/>
                <w:sz w:val="20"/>
              </w:rPr>
            </w:pPr>
          </w:p>
        </w:tc>
      </w:tr>
    </w:tbl>
    <w:p>
      <w:pPr>
        <w:pStyle w:val="BodyText"/>
        <w:spacing w:before="12"/>
        <w:ind w:left="0"/>
        <w:rPr>
          <w:sz w:val="15"/>
        </w:rPr>
      </w:pPr>
    </w:p>
    <w:p>
      <w:pPr>
        <w:pStyle w:val="Heading1"/>
        <w:spacing w:before="36"/>
        <w:ind w:left="313"/>
      </w:pPr>
      <w:r>
        <w:rPr/>
        <w:t>第一条 附加合同的构成</w:t>
      </w:r>
    </w:p>
    <w:p>
      <w:pPr>
        <w:pStyle w:val="BodyText"/>
        <w:spacing w:before="8"/>
        <w:ind w:left="0"/>
        <w:rPr>
          <w:rFonts w:ascii="黑体"/>
          <w:b/>
          <w:sz w:val="22"/>
        </w:rPr>
      </w:pPr>
    </w:p>
    <w:p>
      <w:pPr>
        <w:pStyle w:val="BodyText"/>
        <w:spacing w:line="319" w:lineRule="auto"/>
        <w:ind w:left="313" w:right="885"/>
        <w:jc w:val="both"/>
      </w:pPr>
      <w:r>
        <w:rPr>
          <w:w w:val="100"/>
        </w:rPr>
        <w:t>附加家庭支柱定期重大疾病保险合同（以下简称本附加合同</w:t>
      </w:r>
      <w:r>
        <w:rPr>
          <w:spacing w:val="-101"/>
          <w:w w:val="100"/>
        </w:rPr>
        <w:t>）</w:t>
      </w:r>
      <w:r>
        <w:rPr>
          <w:w w:val="100"/>
        </w:rPr>
        <w:t>，依家庭支柱两全保险合同（以下简称主合</w:t>
      </w:r>
      <w:r>
        <w:rPr/>
        <w:t>同</w:t>
      </w:r>
      <w:r>
        <w:rPr>
          <w:spacing w:val="-5"/>
        </w:rPr>
        <w:t>）</w:t>
      </w:r>
      <w:r>
        <w:rPr>
          <w:spacing w:val="-6"/>
        </w:rPr>
        <w:t>投保人的申请，经本公司同意而订立。本附加合同须附加于主合同后始为有效。主合同的构成中与本</w:t>
      </w:r>
      <w:r>
        <w:rPr>
          <w:spacing w:val="-7"/>
        </w:rPr>
        <w:t>附加合同相关的部分均为本附加合同的构成部分。若主合同与本附加合同的条款内容互有冲突，则以本附</w:t>
      </w:r>
      <w:r>
        <w:rPr>
          <w:spacing w:val="-6"/>
        </w:rPr>
        <w:t>加合同为准。</w:t>
      </w:r>
    </w:p>
    <w:p>
      <w:pPr>
        <w:pStyle w:val="BodyText"/>
        <w:spacing w:before="3"/>
        <w:ind w:left="0"/>
        <w:rPr>
          <w:sz w:val="20"/>
        </w:rPr>
      </w:pPr>
    </w:p>
    <w:p>
      <w:pPr>
        <w:pStyle w:val="BodyText"/>
        <w:ind w:left="313"/>
      </w:pPr>
      <w:r>
        <w:rPr/>
        <w:t>本附加合同的代码为 </w:t>
      </w:r>
      <w:r>
        <w:rPr>
          <w:rFonts w:ascii="Times New Roman" w:eastAsia="Times New Roman"/>
        </w:rPr>
        <w:t>DDBL</w:t>
      </w:r>
      <w:r>
        <w:rPr/>
        <w:t>。</w:t>
      </w:r>
    </w:p>
    <w:p>
      <w:pPr>
        <w:pStyle w:val="BodyText"/>
        <w:spacing w:before="7"/>
        <w:ind w:left="0"/>
        <w:rPr>
          <w:sz w:val="19"/>
        </w:rPr>
      </w:pPr>
    </w:p>
    <w:p>
      <w:pPr>
        <w:pStyle w:val="Heading1"/>
        <w:ind w:left="313"/>
      </w:pPr>
      <w:r>
        <w:rPr/>
        <w:t>第二条 保险责任</w:t>
      </w:r>
    </w:p>
    <w:p>
      <w:pPr>
        <w:pStyle w:val="BodyText"/>
        <w:spacing w:before="8"/>
        <w:ind w:left="0"/>
        <w:rPr>
          <w:rFonts w:ascii="黑体"/>
          <w:b/>
          <w:sz w:val="22"/>
        </w:rPr>
      </w:pPr>
    </w:p>
    <w:p>
      <w:pPr>
        <w:pStyle w:val="BodyText"/>
        <w:spacing w:line="319" w:lineRule="auto"/>
        <w:ind w:left="313" w:right="895"/>
      </w:pPr>
      <w:r>
        <w:rPr>
          <w:w w:val="100"/>
        </w:rPr>
        <w:t>在本附加合同有效期间内，若被保险人确诊首次患本附加合同所述重大疾病</w:t>
      </w:r>
      <w:r>
        <w:rPr>
          <w:spacing w:val="3"/>
          <w:w w:val="100"/>
        </w:rPr>
        <w:t>（</w:t>
      </w:r>
      <w:r>
        <w:rPr>
          <w:w w:val="100"/>
        </w:rPr>
        <w:t>无论一种或多种</w:t>
      </w:r>
      <w:r>
        <w:rPr>
          <w:spacing w:val="-101"/>
          <w:w w:val="100"/>
        </w:rPr>
        <w:t>）</w:t>
      </w:r>
      <w:r>
        <w:rPr>
          <w:w w:val="100"/>
        </w:rPr>
        <w:t>，则本公</w:t>
      </w:r>
      <w:r>
        <w:rPr>
          <w:spacing w:val="-5"/>
        </w:rPr>
        <w:t>司给付等值于本附加合同保险金额的重大疾病保险金，本附加合同及主合同效力终止。</w:t>
      </w:r>
    </w:p>
    <w:p>
      <w:pPr>
        <w:pStyle w:val="BodyText"/>
        <w:spacing w:line="297" w:lineRule="auto" w:before="198"/>
        <w:ind w:left="313" w:right="882"/>
        <w:jc w:val="both"/>
      </w:pPr>
      <w:r>
        <w:rPr>
          <w:spacing w:val="-4"/>
        </w:rPr>
        <w:t>对于由本附加合同生效前已遭受的</w:t>
      </w:r>
      <w:r>
        <w:rPr>
          <w:rFonts w:ascii="Microsoft JhengHei" w:eastAsia="Microsoft JhengHei" w:hint="eastAsia"/>
          <w:b/>
          <w:spacing w:val="-2"/>
        </w:rPr>
        <w:t>意外伤害</w:t>
      </w:r>
      <w:r>
        <w:rPr>
          <w:rFonts w:ascii="Microsoft JhengHei" w:eastAsia="Microsoft JhengHei" w:hint="eastAsia"/>
          <w:b/>
        </w:rPr>
        <w:t>（</w:t>
      </w:r>
      <w:r>
        <w:rPr>
          <w:rFonts w:ascii="Microsoft JhengHei" w:eastAsia="Microsoft JhengHei" w:hint="eastAsia"/>
          <w:b/>
          <w:spacing w:val="-4"/>
        </w:rPr>
        <w:t>见释义</w:t>
      </w:r>
      <w:r>
        <w:rPr>
          <w:rFonts w:ascii="Microsoft JhengHei" w:eastAsia="Microsoft JhengHei" w:hint="eastAsia"/>
          <w:b/>
          <w:spacing w:val="-5"/>
        </w:rPr>
        <w:t>）</w:t>
      </w:r>
      <w:r>
        <w:rPr>
          <w:spacing w:val="-3"/>
        </w:rPr>
        <w:t>事故或已患的疾病</w:t>
      </w:r>
      <w:r>
        <w:rPr/>
        <w:t>（</w:t>
      </w:r>
      <w:r>
        <w:rPr>
          <w:spacing w:val="-2"/>
        </w:rPr>
        <w:t>或症状</w:t>
      </w:r>
      <w:r>
        <w:rPr>
          <w:spacing w:val="-5"/>
        </w:rPr>
        <w:t>）</w:t>
      </w:r>
      <w:r>
        <w:rPr>
          <w:spacing w:val="-3"/>
        </w:rPr>
        <w:t>或其复发所致的重大</w:t>
      </w:r>
      <w:r>
        <w:rPr>
          <w:spacing w:val="-5"/>
        </w:rPr>
        <w:t>疾病，或于本附加合同生效</w:t>
      </w:r>
      <w:r>
        <w:rPr/>
        <w:t>（</w:t>
      </w:r>
      <w:r>
        <w:rPr>
          <w:spacing w:val="-2"/>
        </w:rPr>
        <w:t>或复效</w:t>
      </w:r>
      <w:r>
        <w:rPr>
          <w:spacing w:val="-5"/>
        </w:rPr>
        <w:t>）之日起九十天内被保险人所患的疾病</w:t>
      </w:r>
      <w:r>
        <w:rPr/>
        <w:t>（</w:t>
      </w:r>
      <w:r>
        <w:rPr>
          <w:spacing w:val="-2"/>
        </w:rPr>
        <w:t>或症状</w:t>
      </w:r>
      <w:r>
        <w:rPr>
          <w:spacing w:val="-5"/>
        </w:rPr>
        <w:t>）</w:t>
      </w:r>
      <w:r>
        <w:rPr>
          <w:spacing w:val="-4"/>
        </w:rPr>
        <w:t>或其复发所致的重</w:t>
      </w:r>
      <w:r>
        <w:rPr>
          <w:spacing w:val="-5"/>
        </w:rPr>
        <w:t>大疾病，本公司不承担给付重大疾病保险金的责任。</w:t>
      </w:r>
    </w:p>
    <w:p>
      <w:pPr>
        <w:pStyle w:val="Heading1"/>
        <w:spacing w:before="227"/>
        <w:ind w:left="313"/>
        <w:jc w:val="both"/>
      </w:pPr>
      <w:r>
        <w:rPr/>
        <w:t>第三条 责任免除</w:t>
      </w:r>
    </w:p>
    <w:p>
      <w:pPr>
        <w:pStyle w:val="BodyText"/>
        <w:ind w:left="0"/>
        <w:rPr>
          <w:rFonts w:ascii="黑体"/>
          <w:b/>
          <w:sz w:val="20"/>
        </w:rPr>
      </w:pPr>
    </w:p>
    <w:p>
      <w:pPr>
        <w:pStyle w:val="BodyText"/>
        <w:spacing w:before="179"/>
        <w:ind w:left="313"/>
        <w:jc w:val="both"/>
        <w:rPr>
          <w:rFonts w:ascii="黑体" w:eastAsia="黑体" w:hint="eastAsia"/>
        </w:rPr>
      </w:pPr>
      <w:r>
        <w:rPr>
          <w:rFonts w:ascii="黑体" w:eastAsia="黑体" w:hint="eastAsia"/>
        </w:rPr>
        <w:t>因下列情形之一导致被保险人发Th重大疾病的，本公司不承担给付重大疾病保险金的责任：</w:t>
      </w:r>
    </w:p>
    <w:p>
      <w:pPr>
        <w:pStyle w:val="BodyText"/>
        <w:spacing w:before="37"/>
        <w:ind w:left="313"/>
        <w:jc w:val="both"/>
        <w:rPr>
          <w:rFonts w:ascii="黑体" w:eastAsia="黑体" w:hint="eastAsia"/>
        </w:rPr>
      </w:pPr>
      <w:r>
        <w:rPr>
          <w:rFonts w:ascii="黑体" w:eastAsia="黑体" w:hint="eastAsia"/>
        </w:rPr>
        <w:t>1、 投保人对被保险人的故意杀害、故意伤害；</w:t>
      </w:r>
    </w:p>
    <w:p>
      <w:pPr>
        <w:pStyle w:val="BodyText"/>
        <w:spacing w:before="37"/>
        <w:ind w:left="313"/>
        <w:jc w:val="both"/>
        <w:rPr>
          <w:rFonts w:ascii="黑体" w:eastAsia="黑体" w:hint="eastAsia"/>
        </w:rPr>
      </w:pPr>
      <w:r>
        <w:rPr>
          <w:rFonts w:ascii="黑体" w:eastAsia="黑体" w:hint="eastAsia"/>
        </w:rPr>
        <w:t>2、 被保险人故意自伤、故意犯罪或拒捕；</w:t>
      </w:r>
    </w:p>
    <w:p>
      <w:pPr>
        <w:spacing w:before="36"/>
        <w:ind w:left="313" w:right="0" w:firstLine="0"/>
        <w:jc w:val="both"/>
        <w:rPr>
          <w:rFonts w:ascii="黑体" w:eastAsia="黑体" w:hint="eastAsia"/>
          <w:sz w:val="21"/>
        </w:rPr>
      </w:pPr>
      <w:r>
        <w:rPr>
          <w:rFonts w:ascii="黑体" w:eastAsia="黑体" w:hint="eastAsia"/>
          <w:w w:val="100"/>
          <w:sz w:val="21"/>
        </w:rPr>
        <w:t>3、</w:t>
      </w:r>
      <w:r>
        <w:rPr>
          <w:rFonts w:ascii="黑体" w:eastAsia="黑体" w:hint="eastAsia"/>
          <w:sz w:val="21"/>
        </w:rPr>
        <w:t> </w:t>
      </w:r>
      <w:r>
        <w:rPr>
          <w:rFonts w:ascii="黑体" w:eastAsia="黑体" w:hint="eastAsia"/>
          <w:spacing w:val="-3"/>
          <w:w w:val="100"/>
          <w:sz w:val="21"/>
        </w:rPr>
        <w:t>被保险人服用、吸食或注射</w:t>
      </w:r>
      <w:r>
        <w:rPr>
          <w:rFonts w:ascii="黑体" w:eastAsia="黑体" w:hint="eastAsia"/>
          <w:b/>
          <w:w w:val="100"/>
          <w:sz w:val="21"/>
        </w:rPr>
        <w:t>毒品（见释义</w:t>
      </w:r>
      <w:r>
        <w:rPr>
          <w:rFonts w:ascii="黑体" w:eastAsia="黑体" w:hint="eastAsia"/>
          <w:b/>
          <w:spacing w:val="-105"/>
          <w:w w:val="100"/>
          <w:sz w:val="21"/>
        </w:rPr>
        <w:t>）</w:t>
      </w:r>
      <w:r>
        <w:rPr>
          <w:rFonts w:ascii="黑体" w:eastAsia="黑体" w:hint="eastAsia"/>
          <w:w w:val="100"/>
          <w:sz w:val="21"/>
        </w:rPr>
        <w:t>；</w:t>
      </w:r>
    </w:p>
    <w:p>
      <w:pPr>
        <w:spacing w:line="273" w:lineRule="auto" w:before="36"/>
        <w:ind w:left="735" w:right="1045" w:hanging="423"/>
        <w:jc w:val="left"/>
        <w:rPr>
          <w:rFonts w:ascii="黑体" w:eastAsia="黑体" w:hint="eastAsia"/>
          <w:sz w:val="21"/>
        </w:rPr>
      </w:pPr>
      <w:r>
        <w:rPr>
          <w:rFonts w:ascii="黑体" w:eastAsia="黑体" w:hint="eastAsia"/>
          <w:w w:val="100"/>
          <w:sz w:val="21"/>
        </w:rPr>
        <w:t>4、</w:t>
      </w:r>
      <w:r>
        <w:rPr>
          <w:rFonts w:ascii="黑体" w:eastAsia="黑体" w:hint="eastAsia"/>
          <w:sz w:val="21"/>
        </w:rPr>
        <w:t> </w:t>
      </w:r>
      <w:r>
        <w:rPr>
          <w:rFonts w:ascii="黑体" w:eastAsia="黑体" w:hint="eastAsia"/>
          <w:spacing w:val="-2"/>
          <w:w w:val="100"/>
          <w:sz w:val="21"/>
        </w:rPr>
        <w:t>被保险人</w:t>
      </w:r>
      <w:r>
        <w:rPr>
          <w:rFonts w:ascii="黑体" w:eastAsia="黑体" w:hint="eastAsia"/>
          <w:b/>
          <w:w w:val="100"/>
          <w:sz w:val="21"/>
        </w:rPr>
        <w:t>酒后驾驶（见释义</w:t>
      </w:r>
      <w:r>
        <w:rPr>
          <w:rFonts w:ascii="黑体" w:eastAsia="黑体" w:hint="eastAsia"/>
          <w:b/>
          <w:spacing w:val="-106"/>
          <w:w w:val="100"/>
          <w:sz w:val="21"/>
        </w:rPr>
        <w:t>）</w:t>
      </w:r>
      <w:r>
        <w:rPr>
          <w:rFonts w:ascii="黑体" w:eastAsia="黑体" w:hint="eastAsia"/>
          <w:spacing w:val="-5"/>
          <w:w w:val="100"/>
          <w:sz w:val="21"/>
        </w:rPr>
        <w:t>、</w:t>
      </w:r>
      <w:r>
        <w:rPr>
          <w:rFonts w:ascii="黑体" w:eastAsia="黑体" w:hint="eastAsia"/>
          <w:b/>
          <w:spacing w:val="-1"/>
          <w:w w:val="100"/>
          <w:sz w:val="21"/>
        </w:rPr>
        <w:t>无合法有效驾驶证驾驶</w:t>
      </w:r>
      <w:r>
        <w:rPr>
          <w:rFonts w:ascii="黑体" w:eastAsia="黑体" w:hint="eastAsia"/>
          <w:b/>
          <w:w w:val="100"/>
          <w:sz w:val="21"/>
        </w:rPr>
        <w:t>（见释义</w:t>
      </w:r>
      <w:r>
        <w:rPr>
          <w:rFonts w:ascii="黑体" w:eastAsia="黑体" w:hint="eastAsia"/>
          <w:b/>
          <w:spacing w:val="-105"/>
          <w:w w:val="100"/>
          <w:sz w:val="21"/>
        </w:rPr>
        <w:t>）</w:t>
      </w:r>
      <w:r>
        <w:rPr>
          <w:rFonts w:ascii="黑体" w:eastAsia="黑体" w:hint="eastAsia"/>
          <w:spacing w:val="-3"/>
          <w:w w:val="100"/>
          <w:sz w:val="21"/>
        </w:rPr>
        <w:t>，或驾驶</w:t>
      </w:r>
      <w:r>
        <w:rPr>
          <w:rFonts w:ascii="黑体" w:eastAsia="黑体" w:hint="eastAsia"/>
          <w:b/>
          <w:w w:val="100"/>
          <w:sz w:val="21"/>
        </w:rPr>
        <w:t>无有效行驶证（见释义）</w:t>
      </w:r>
      <w:r>
        <w:rPr>
          <w:rFonts w:ascii="黑体" w:eastAsia="黑体" w:hint="eastAsia"/>
          <w:sz w:val="21"/>
        </w:rPr>
        <w:t>的机动车；</w:t>
      </w:r>
    </w:p>
    <w:p>
      <w:pPr>
        <w:spacing w:before="7"/>
        <w:ind w:left="313" w:right="0" w:firstLine="0"/>
        <w:jc w:val="both"/>
        <w:rPr>
          <w:rFonts w:ascii="黑体" w:eastAsia="黑体" w:hint="eastAsia"/>
          <w:b/>
          <w:sz w:val="21"/>
        </w:rPr>
      </w:pPr>
      <w:r>
        <w:rPr>
          <w:rFonts w:ascii="黑体" w:eastAsia="黑体" w:hint="eastAsia"/>
          <w:w w:val="100"/>
          <w:sz w:val="21"/>
        </w:rPr>
        <w:t>5、</w:t>
      </w:r>
      <w:r>
        <w:rPr>
          <w:rFonts w:ascii="黑体" w:eastAsia="黑体" w:hint="eastAsia"/>
          <w:sz w:val="21"/>
        </w:rPr>
        <w:t> </w:t>
      </w:r>
      <w:r>
        <w:rPr>
          <w:rFonts w:ascii="黑体" w:eastAsia="黑体" w:hint="eastAsia"/>
          <w:spacing w:val="-2"/>
          <w:w w:val="100"/>
          <w:sz w:val="21"/>
        </w:rPr>
        <w:t>被保险人</w:t>
      </w:r>
      <w:r>
        <w:rPr>
          <w:rFonts w:ascii="黑体" w:eastAsia="黑体" w:hint="eastAsia"/>
          <w:b/>
          <w:w w:val="100"/>
          <w:sz w:val="21"/>
        </w:rPr>
        <w:t>感染艾滋病病毒或患艾滋病（见释义</w:t>
      </w:r>
      <w:r>
        <w:rPr>
          <w:rFonts w:ascii="黑体" w:eastAsia="黑体" w:hint="eastAsia"/>
          <w:b/>
          <w:spacing w:val="-111"/>
          <w:w w:val="100"/>
          <w:sz w:val="21"/>
        </w:rPr>
        <w:t>）</w:t>
      </w:r>
      <w:r>
        <w:rPr>
          <w:rFonts w:ascii="黑体" w:eastAsia="黑体" w:hint="eastAsia"/>
          <w:b/>
          <w:w w:val="100"/>
          <w:sz w:val="21"/>
        </w:rPr>
        <w:t>；</w:t>
      </w:r>
    </w:p>
    <w:p>
      <w:pPr>
        <w:pStyle w:val="BodyText"/>
        <w:spacing w:before="37"/>
        <w:ind w:left="313"/>
        <w:jc w:val="both"/>
        <w:rPr>
          <w:rFonts w:ascii="黑体" w:eastAsia="黑体" w:hint="eastAsia"/>
        </w:rPr>
      </w:pPr>
      <w:r>
        <w:rPr>
          <w:rFonts w:ascii="黑体" w:eastAsia="黑体" w:hint="eastAsia"/>
        </w:rPr>
        <w:t>6、 战争、军事冲突、暴乱或武装叛乱；</w:t>
      </w:r>
    </w:p>
    <w:p>
      <w:pPr>
        <w:pStyle w:val="BodyText"/>
        <w:spacing w:before="36"/>
        <w:ind w:left="313"/>
        <w:jc w:val="both"/>
        <w:rPr>
          <w:rFonts w:ascii="黑体" w:eastAsia="黑体" w:hint="eastAsia"/>
        </w:rPr>
      </w:pPr>
      <w:r>
        <w:rPr>
          <w:rFonts w:ascii="黑体" w:eastAsia="黑体" w:hint="eastAsia"/>
        </w:rPr>
        <w:t>7、 核爆炸、核辐射或核污染；</w:t>
      </w:r>
    </w:p>
    <w:p>
      <w:pPr>
        <w:spacing w:after="0"/>
        <w:jc w:val="both"/>
        <w:rPr>
          <w:rFonts w:ascii="黑体" w:eastAsia="黑体" w:hint="eastAsia"/>
        </w:rPr>
        <w:sectPr>
          <w:type w:val="continuous"/>
          <w:pgSz w:w="11910" w:h="16840"/>
          <w:pgMar w:top="840" w:bottom="400" w:left="820" w:right="240"/>
        </w:sectPr>
      </w:pPr>
    </w:p>
    <w:p>
      <w:pPr>
        <w:pStyle w:val="Heading1"/>
        <w:spacing w:before="16"/>
        <w:rPr>
          <w:b w:val="0"/>
        </w:rPr>
      </w:pPr>
      <w:r>
        <w:rPr>
          <w:b w:val="0"/>
          <w:w w:val="100"/>
        </w:rPr>
        <w:t>8、</w:t>
      </w:r>
      <w:r>
        <w:rPr>
          <w:b w:val="0"/>
        </w:rPr>
        <w:t> </w:t>
      </w:r>
      <w:r>
        <w:rPr>
          <w:w w:val="100"/>
        </w:rPr>
        <w:t>遗传性疾病（见释义</w:t>
      </w:r>
      <w:r>
        <w:rPr>
          <w:spacing w:val="-105"/>
          <w:w w:val="100"/>
        </w:rPr>
        <w:t>）</w:t>
      </w:r>
      <w:r>
        <w:rPr>
          <w:b w:val="0"/>
          <w:spacing w:val="-5"/>
          <w:w w:val="100"/>
        </w:rPr>
        <w:t>，</w:t>
      </w:r>
      <w:r>
        <w:rPr>
          <w:spacing w:val="-1"/>
          <w:w w:val="100"/>
        </w:rPr>
        <w:t>先天性畸形、变形或染色体异常</w:t>
      </w:r>
      <w:r>
        <w:rPr>
          <w:w w:val="100"/>
        </w:rPr>
        <w:t>（见释义</w:t>
      </w:r>
      <w:r>
        <w:rPr>
          <w:spacing w:val="-105"/>
          <w:w w:val="100"/>
        </w:rPr>
        <w:t>）</w:t>
      </w:r>
      <w:r>
        <w:rPr>
          <w:b w:val="0"/>
          <w:w w:val="100"/>
        </w:rPr>
        <w:t>。</w:t>
      </w:r>
    </w:p>
    <w:p>
      <w:pPr>
        <w:pStyle w:val="BodyText"/>
        <w:ind w:left="0"/>
        <w:rPr>
          <w:rFonts w:ascii="黑体"/>
          <w:sz w:val="20"/>
        </w:rPr>
      </w:pPr>
    </w:p>
    <w:p>
      <w:pPr>
        <w:pStyle w:val="BodyText"/>
        <w:spacing w:before="1"/>
        <w:ind w:left="0"/>
        <w:rPr>
          <w:rFonts w:ascii="黑体"/>
          <w:sz w:val="19"/>
        </w:rPr>
      </w:pPr>
    </w:p>
    <w:p>
      <w:pPr>
        <w:pStyle w:val="BodyText"/>
        <w:spacing w:line="487" w:lineRule="auto"/>
        <w:ind w:right="201"/>
      </w:pPr>
      <w:r>
        <w:rPr>
          <w:spacing w:val="-6"/>
        </w:rPr>
        <w:t>发生上述第１项情形的，本附加合同及主合同终止，本公司向其他权利人退还本附加合同及主合同当时的</w:t>
      </w:r>
      <w:r>
        <w:rPr>
          <w:rFonts w:ascii="Microsoft JhengHei" w:eastAsia="Microsoft JhengHei" w:hint="eastAsia"/>
          <w:b/>
          <w:spacing w:val="-6"/>
        </w:rPr>
        <w:t>现金价值（</w:t>
      </w:r>
      <w:r>
        <w:rPr>
          <w:rFonts w:ascii="Microsoft JhengHei" w:eastAsia="Microsoft JhengHei" w:hint="eastAsia"/>
          <w:b/>
          <w:spacing w:val="-2"/>
        </w:rPr>
        <w:t>见释义</w:t>
      </w:r>
      <w:r>
        <w:rPr>
          <w:rFonts w:ascii="Microsoft JhengHei" w:eastAsia="Microsoft JhengHei" w:hint="eastAsia"/>
          <w:b/>
          <w:spacing w:val="-106"/>
        </w:rPr>
        <w:t>）</w:t>
      </w:r>
      <w:r>
        <w:rPr/>
        <w:t>。</w:t>
      </w:r>
    </w:p>
    <w:p>
      <w:pPr>
        <w:pStyle w:val="BodyText"/>
        <w:spacing w:before="8"/>
        <w:ind w:left="0"/>
        <w:rPr>
          <w:sz w:val="40"/>
        </w:rPr>
      </w:pPr>
    </w:p>
    <w:p>
      <w:pPr>
        <w:pStyle w:val="BodyText"/>
        <w:spacing w:line="321" w:lineRule="auto"/>
        <w:ind w:right="207"/>
      </w:pPr>
      <w:r>
        <w:rPr>
          <w:spacing w:val="-6"/>
        </w:rPr>
        <w:t>发生上述第 </w:t>
      </w:r>
      <w:r>
        <w:rPr/>
        <w:t>2</w:t>
      </w:r>
      <w:r>
        <w:rPr>
          <w:spacing w:val="-17"/>
        </w:rPr>
        <w:t> 项至第 </w:t>
      </w:r>
      <w:r>
        <w:rPr/>
        <w:t>8</w:t>
      </w:r>
      <w:r>
        <w:rPr>
          <w:spacing w:val="-10"/>
        </w:rPr>
        <w:t> 项情形的，本附加合同及主合同效力终止，本公司向投保人退还本附加合同及主合</w:t>
      </w:r>
      <w:r>
        <w:rPr>
          <w:spacing w:val="-7"/>
        </w:rPr>
        <w:t>同当时的现金价值。</w:t>
      </w:r>
    </w:p>
    <w:p>
      <w:pPr>
        <w:pStyle w:val="BodyText"/>
        <w:spacing w:before="11"/>
        <w:ind w:left="0"/>
        <w:rPr>
          <w:sz w:val="24"/>
        </w:rPr>
      </w:pPr>
    </w:p>
    <w:p>
      <w:pPr>
        <w:pStyle w:val="Heading1"/>
        <w:spacing w:before="1"/>
      </w:pPr>
      <w:r>
        <w:rPr/>
        <w:t>第四条 保险合同成立与Th效</w:t>
      </w:r>
    </w:p>
    <w:p>
      <w:pPr>
        <w:pStyle w:val="BodyText"/>
        <w:ind w:left="0"/>
        <w:rPr>
          <w:rFonts w:ascii="黑体"/>
          <w:b/>
          <w:sz w:val="20"/>
        </w:rPr>
      </w:pPr>
    </w:p>
    <w:p>
      <w:pPr>
        <w:pStyle w:val="BodyText"/>
        <w:spacing w:before="164"/>
      </w:pPr>
      <w:r>
        <w:rPr/>
        <w:t>投保人提出保险申请、本公司同意承保，本附加合同成立。</w:t>
      </w:r>
    </w:p>
    <w:p>
      <w:pPr>
        <w:pStyle w:val="BodyText"/>
        <w:ind w:left="0"/>
        <w:rPr>
          <w:sz w:val="28"/>
        </w:rPr>
      </w:pPr>
    </w:p>
    <w:p>
      <w:pPr>
        <w:pStyle w:val="BodyText"/>
        <w:spacing w:before="7"/>
        <w:ind w:left="0"/>
        <w:rPr>
          <w:sz w:val="22"/>
        </w:rPr>
      </w:pPr>
    </w:p>
    <w:p>
      <w:pPr>
        <w:pStyle w:val="BodyText"/>
      </w:pPr>
      <w:r>
        <w:rPr/>
        <w:t>本附加合同生效日期在保险单上载明。保单年度、保险费约定支付日均以该日期计算。</w:t>
      </w:r>
    </w:p>
    <w:p>
      <w:pPr>
        <w:pStyle w:val="BodyText"/>
        <w:spacing w:before="9"/>
        <w:ind w:left="0"/>
        <w:rPr>
          <w:sz w:val="30"/>
        </w:rPr>
      </w:pPr>
    </w:p>
    <w:p>
      <w:pPr>
        <w:pStyle w:val="Heading1"/>
      </w:pPr>
      <w:r>
        <w:rPr/>
        <w:t>第五条 保险期间</w:t>
      </w:r>
    </w:p>
    <w:p>
      <w:pPr>
        <w:pStyle w:val="BodyText"/>
        <w:spacing w:before="8"/>
        <w:ind w:left="0"/>
        <w:rPr>
          <w:rFonts w:ascii="黑体"/>
          <w:b/>
          <w:sz w:val="22"/>
        </w:rPr>
      </w:pPr>
    </w:p>
    <w:p>
      <w:pPr>
        <w:pStyle w:val="BodyText"/>
      </w:pPr>
      <w:r>
        <w:rPr/>
        <w:t>本附加合同的保险期间与主合同同。</w:t>
      </w:r>
    </w:p>
    <w:p>
      <w:pPr>
        <w:pStyle w:val="BodyText"/>
        <w:spacing w:before="1"/>
        <w:ind w:left="0"/>
      </w:pPr>
    </w:p>
    <w:p>
      <w:pPr>
        <w:pStyle w:val="Heading1"/>
      </w:pPr>
      <w:r>
        <w:rPr/>
        <w:t>第六条 保险费率的调整</w:t>
      </w:r>
    </w:p>
    <w:p>
      <w:pPr>
        <w:pStyle w:val="BodyText"/>
        <w:spacing w:before="7"/>
        <w:ind w:left="0"/>
        <w:rPr>
          <w:rFonts w:ascii="黑体"/>
          <w:b/>
          <w:sz w:val="22"/>
        </w:rPr>
      </w:pPr>
    </w:p>
    <w:p>
      <w:pPr>
        <w:pStyle w:val="BodyText"/>
        <w:spacing w:line="319" w:lineRule="auto"/>
        <w:ind w:right="202"/>
        <w:jc w:val="both"/>
      </w:pPr>
      <w:r>
        <w:rPr>
          <w:spacing w:val="-5"/>
        </w:rPr>
        <w:t>本公司可以根据整体风险的变化情况，针对所有被保险人或同一年龄组的所有被保险人调整本附加合同的</w:t>
      </w:r>
      <w:r>
        <w:rPr>
          <w:spacing w:val="-6"/>
        </w:rPr>
        <w:t>保险费率。若费率调整时本附加合同的缴费期间尚未届满，则调整后的保险费率将在费率调整后的首个缴</w:t>
      </w:r>
      <w:r>
        <w:rPr>
          <w:spacing w:val="-5"/>
        </w:rPr>
        <w:t>费日之前以书面形式通知投保人。投保人应按调整后的保险费率缴纳续期保险费。</w:t>
      </w:r>
    </w:p>
    <w:p>
      <w:pPr>
        <w:pStyle w:val="Heading1"/>
        <w:spacing w:before="207"/>
      </w:pPr>
      <w:r>
        <w:rPr/>
        <w:t>第七条 附加合同的终止</w:t>
      </w:r>
    </w:p>
    <w:p>
      <w:pPr>
        <w:pStyle w:val="BodyText"/>
        <w:spacing w:before="8"/>
        <w:ind w:left="0"/>
        <w:rPr>
          <w:rFonts w:ascii="黑体"/>
          <w:b/>
          <w:sz w:val="22"/>
        </w:rPr>
      </w:pPr>
    </w:p>
    <w:p>
      <w:pPr>
        <w:pStyle w:val="BodyText"/>
        <w:spacing w:before="1"/>
      </w:pPr>
      <w:r>
        <w:rPr/>
        <w:t>发生下列情形之一，本附加合同终止：</w:t>
      </w:r>
    </w:p>
    <w:p>
      <w:pPr>
        <w:pStyle w:val="BodyText"/>
        <w:spacing w:before="80"/>
      </w:pPr>
      <w:r>
        <w:rPr/>
        <w:t>1、主合同效力终止；</w:t>
      </w:r>
    </w:p>
    <w:p>
      <w:pPr>
        <w:pStyle w:val="BodyText"/>
        <w:spacing w:line="636" w:lineRule="auto" w:before="56"/>
        <w:ind w:right="5912"/>
      </w:pPr>
      <w:r>
        <w:rPr/>
        <w:t>2、因本附加合同其他条款的约定而终止。本附加合同不可单独解除。</w:t>
      </w:r>
    </w:p>
    <w:p>
      <w:pPr>
        <w:pStyle w:val="Heading1"/>
        <w:spacing w:line="206" w:lineRule="exact"/>
      </w:pPr>
      <w:r>
        <w:rPr/>
        <w:t>第八条 受益人</w:t>
      </w:r>
    </w:p>
    <w:p>
      <w:pPr>
        <w:pStyle w:val="BodyText"/>
        <w:spacing w:before="8"/>
        <w:ind w:left="0"/>
        <w:rPr>
          <w:rFonts w:ascii="黑体"/>
          <w:b/>
          <w:sz w:val="22"/>
        </w:rPr>
      </w:pPr>
    </w:p>
    <w:p>
      <w:pPr>
        <w:pStyle w:val="BodyText"/>
      </w:pPr>
      <w:r>
        <w:rPr/>
        <w:t>除另有指定外，本附加合同保险金的受益人为被保险人本人。</w:t>
      </w:r>
    </w:p>
    <w:p>
      <w:pPr>
        <w:pStyle w:val="BodyText"/>
        <w:spacing w:before="10"/>
        <w:ind w:left="0"/>
        <w:rPr>
          <w:sz w:val="20"/>
        </w:rPr>
      </w:pPr>
    </w:p>
    <w:p>
      <w:pPr>
        <w:pStyle w:val="Heading1"/>
      </w:pPr>
      <w:r>
        <w:rPr/>
        <w:t>第九条 保险金申请</w:t>
      </w:r>
    </w:p>
    <w:p>
      <w:pPr>
        <w:pStyle w:val="BodyText"/>
        <w:spacing w:before="8"/>
        <w:ind w:left="0"/>
        <w:rPr>
          <w:rFonts w:ascii="黑体"/>
          <w:b/>
          <w:sz w:val="22"/>
        </w:rPr>
      </w:pPr>
    </w:p>
    <w:p>
      <w:pPr>
        <w:pStyle w:val="BodyText"/>
        <w:spacing w:before="1"/>
      </w:pPr>
      <w:r>
        <w:rPr/>
        <w:t>在申请本附加合同保险金时，申请人须填写保险金给付申请书，并提供下列证明和资料：</w:t>
      </w:r>
    </w:p>
    <w:p>
      <w:pPr>
        <w:pStyle w:val="ListParagraph"/>
        <w:numPr>
          <w:ilvl w:val="0"/>
          <w:numId w:val="1"/>
        </w:numPr>
        <w:tabs>
          <w:tab w:pos="473" w:val="left" w:leader="none"/>
          <w:tab w:pos="474" w:val="left" w:leader="none"/>
        </w:tabs>
        <w:spacing w:line="240" w:lineRule="auto" w:before="95" w:after="0"/>
        <w:ind w:left="473" w:right="0" w:hanging="360"/>
        <w:jc w:val="left"/>
        <w:rPr>
          <w:sz w:val="21"/>
        </w:rPr>
      </w:pPr>
      <w:r>
        <w:rPr>
          <w:sz w:val="21"/>
        </w:rPr>
        <w:t>保险合同；</w:t>
      </w:r>
    </w:p>
    <w:p>
      <w:pPr>
        <w:pStyle w:val="ListParagraph"/>
        <w:numPr>
          <w:ilvl w:val="0"/>
          <w:numId w:val="1"/>
        </w:numPr>
        <w:tabs>
          <w:tab w:pos="473" w:val="left" w:leader="none"/>
          <w:tab w:pos="474" w:val="left" w:leader="none"/>
        </w:tabs>
        <w:spacing w:line="240" w:lineRule="auto" w:before="74" w:after="0"/>
        <w:ind w:left="473" w:right="0" w:hanging="360"/>
        <w:jc w:val="left"/>
        <w:rPr>
          <w:sz w:val="21"/>
        </w:rPr>
      </w:pPr>
      <w:r>
        <w:rPr>
          <w:spacing w:val="-2"/>
          <w:sz w:val="21"/>
        </w:rPr>
        <w:t>申请人的有效身份证件；</w:t>
      </w:r>
    </w:p>
    <w:p>
      <w:pPr>
        <w:pStyle w:val="ListParagraph"/>
        <w:numPr>
          <w:ilvl w:val="0"/>
          <w:numId w:val="1"/>
        </w:numPr>
        <w:tabs>
          <w:tab w:pos="473" w:val="left" w:leader="none"/>
          <w:tab w:pos="474" w:val="left" w:leader="none"/>
        </w:tabs>
        <w:spacing w:line="283" w:lineRule="auto" w:before="7" w:after="0"/>
        <w:ind w:left="473" w:right="100" w:hanging="360"/>
        <w:jc w:val="left"/>
        <w:rPr>
          <w:sz w:val="21"/>
        </w:rPr>
      </w:pPr>
      <w:r>
        <w:rPr>
          <w:sz w:val="21"/>
        </w:rPr>
        <w:t>由</w:t>
      </w:r>
      <w:r>
        <w:rPr>
          <w:rFonts w:ascii="Microsoft JhengHei" w:eastAsia="Microsoft JhengHei" w:hint="eastAsia"/>
          <w:b/>
          <w:sz w:val="21"/>
        </w:rPr>
        <w:t>专科医生（见释义）</w:t>
      </w:r>
      <w:r>
        <w:rPr>
          <w:spacing w:val="-2"/>
          <w:sz w:val="21"/>
        </w:rPr>
        <w:t>出具的疾病诊断书及相关所必需的检查结果证明</w:t>
      </w:r>
      <w:r>
        <w:rPr>
          <w:sz w:val="21"/>
        </w:rPr>
        <w:t>（</w:t>
      </w:r>
      <w:r>
        <w:rPr>
          <w:spacing w:val="-1"/>
          <w:sz w:val="21"/>
        </w:rPr>
        <w:t>如病理检查报告、血液检查</w:t>
      </w:r>
      <w:r>
        <w:rPr>
          <w:spacing w:val="-11"/>
          <w:sz w:val="21"/>
        </w:rPr>
        <w:t>报告、超声波、影像学及其它医学诊断检查报告等</w:t>
      </w:r>
      <w:r>
        <w:rPr>
          <w:spacing w:val="-77"/>
          <w:sz w:val="21"/>
        </w:rPr>
        <w:t>）</w:t>
      </w:r>
      <w:r>
        <w:rPr>
          <w:spacing w:val="-12"/>
          <w:sz w:val="21"/>
        </w:rPr>
        <w:t>，若接受外科手术者，还需提供外科手术证明文件；</w:t>
      </w:r>
    </w:p>
    <w:p>
      <w:pPr>
        <w:spacing w:after="0" w:line="283" w:lineRule="auto"/>
        <w:jc w:val="left"/>
        <w:rPr>
          <w:sz w:val="21"/>
        </w:rPr>
        <w:sectPr>
          <w:pgSz w:w="11910" w:h="16840"/>
          <w:pgMar w:header="0" w:footer="219" w:top="800" w:bottom="480" w:left="1020" w:right="920"/>
        </w:sectPr>
      </w:pPr>
    </w:p>
    <w:p>
      <w:pPr>
        <w:pStyle w:val="ListParagraph"/>
        <w:numPr>
          <w:ilvl w:val="0"/>
          <w:numId w:val="1"/>
        </w:numPr>
        <w:tabs>
          <w:tab w:pos="473" w:val="left" w:leader="none"/>
          <w:tab w:pos="474" w:val="left" w:leader="none"/>
        </w:tabs>
        <w:spacing w:line="240" w:lineRule="auto" w:before="70" w:after="0"/>
        <w:ind w:left="473" w:right="0" w:hanging="360"/>
        <w:jc w:val="left"/>
        <w:rPr>
          <w:sz w:val="21"/>
        </w:rPr>
      </w:pPr>
      <w:r>
        <w:rPr>
          <w:spacing w:val="-5"/>
          <w:sz w:val="21"/>
        </w:rPr>
        <w:t>所能提供的与确认保险事故的性质、原因等有关的其他证明和资料。</w:t>
      </w:r>
    </w:p>
    <w:p>
      <w:pPr>
        <w:pStyle w:val="BodyText"/>
        <w:spacing w:before="4"/>
        <w:ind w:left="0"/>
        <w:rPr>
          <w:sz w:val="24"/>
        </w:rPr>
      </w:pPr>
    </w:p>
    <w:p>
      <w:pPr>
        <w:pStyle w:val="BodyText"/>
      </w:pPr>
      <w:r>
        <w:rPr/>
        <w:t>以上证明和资料不完整的，本公司将及时一次性通知申请人补充提供有关证明和资料。</w:t>
      </w:r>
    </w:p>
    <w:p>
      <w:pPr>
        <w:pStyle w:val="BodyText"/>
        <w:spacing w:before="10"/>
        <w:ind w:left="0"/>
        <w:rPr>
          <w:sz w:val="20"/>
        </w:rPr>
      </w:pPr>
    </w:p>
    <w:p>
      <w:pPr>
        <w:pStyle w:val="Heading1"/>
      </w:pPr>
      <w:r>
        <w:rPr/>
        <w:t>第十条 诉讼时效</w:t>
      </w:r>
    </w:p>
    <w:p>
      <w:pPr>
        <w:pStyle w:val="BodyText"/>
        <w:ind w:left="0"/>
        <w:rPr>
          <w:rFonts w:ascii="黑体"/>
          <w:b/>
          <w:sz w:val="20"/>
        </w:rPr>
      </w:pPr>
    </w:p>
    <w:p>
      <w:pPr>
        <w:pStyle w:val="BodyText"/>
        <w:spacing w:before="164"/>
      </w:pPr>
      <w:r>
        <w:rPr>
          <w:spacing w:val="-7"/>
        </w:rPr>
        <w:t>受益人向本公司请求给付保险金的诉讼时效期间为 </w:t>
      </w:r>
      <w:r>
        <w:rPr>
          <w:rFonts w:ascii="Times New Roman" w:eastAsia="Times New Roman"/>
        </w:rPr>
        <w:t>2 </w:t>
      </w:r>
      <w:r>
        <w:rPr>
          <w:spacing w:val="-12"/>
        </w:rPr>
        <w:t>年，自其知道或者应当知道保险事故发生之日起计算。</w:t>
      </w:r>
    </w:p>
    <w:p>
      <w:pPr>
        <w:pStyle w:val="BodyText"/>
        <w:spacing w:before="10"/>
        <w:ind w:left="0"/>
        <w:rPr>
          <w:sz w:val="29"/>
        </w:rPr>
      </w:pPr>
    </w:p>
    <w:p>
      <w:pPr>
        <w:pStyle w:val="Heading1"/>
        <w:tabs>
          <w:tab w:pos="1376" w:val="left" w:leader="none"/>
        </w:tabs>
      </w:pPr>
      <w:r>
        <w:rPr/>
        <w:t>第十一条</w:t>
        <w:tab/>
        <w:t>附加合同保险金额的变更</w:t>
      </w:r>
    </w:p>
    <w:p>
      <w:pPr>
        <w:pStyle w:val="BodyText"/>
        <w:spacing w:before="8"/>
        <w:ind w:left="0"/>
        <w:rPr>
          <w:rFonts w:ascii="黑体"/>
          <w:b/>
          <w:sz w:val="22"/>
        </w:rPr>
      </w:pPr>
    </w:p>
    <w:p>
      <w:pPr>
        <w:pStyle w:val="BodyText"/>
        <w:spacing w:line="319" w:lineRule="auto"/>
        <w:ind w:right="205"/>
      </w:pPr>
      <w:r>
        <w:rPr>
          <w:spacing w:val="-6"/>
        </w:rPr>
        <w:t>主合同变更保险金额时，也包括本附加合同的变更。减额后的保险金额不得低于申请时本附加合同的最低</w:t>
      </w:r>
      <w:r>
        <w:rPr>
          <w:spacing w:val="-5"/>
        </w:rPr>
        <w:t>承保金额，本公司将退还基本保额减少部分的现金价值，但本附加合同的保险金额不得单独变更。</w:t>
      </w:r>
    </w:p>
    <w:p>
      <w:pPr>
        <w:pStyle w:val="Heading1"/>
        <w:tabs>
          <w:tab w:pos="1193" w:val="left" w:leader="none"/>
        </w:tabs>
        <w:spacing w:before="203"/>
      </w:pPr>
      <w:r>
        <w:rPr/>
        <w:t>第十二条</w:t>
        <w:tab/>
        <w:t>重大疾病的释义</w:t>
      </w:r>
    </w:p>
    <w:p>
      <w:pPr>
        <w:pStyle w:val="BodyText"/>
        <w:spacing w:before="4"/>
        <w:ind w:left="0"/>
        <w:rPr>
          <w:rFonts w:ascii="黑体"/>
          <w:b/>
          <w:sz w:val="22"/>
        </w:rPr>
      </w:pPr>
    </w:p>
    <w:p>
      <w:pPr>
        <w:pStyle w:val="BodyText"/>
      </w:pPr>
      <w:r>
        <w:rPr>
          <w:spacing w:val="-8"/>
        </w:rPr>
        <w:t>本附加合同所指的重大疾病共有二十七种。其中第 </w:t>
      </w:r>
      <w:r>
        <w:rPr>
          <w:rFonts w:ascii="Times New Roman" w:eastAsia="Times New Roman"/>
        </w:rPr>
        <w:t>1 </w:t>
      </w:r>
      <w:r>
        <w:rPr>
          <w:spacing w:val="-12"/>
        </w:rPr>
        <w:t>种至第 </w:t>
      </w:r>
      <w:r>
        <w:rPr>
          <w:rFonts w:ascii="Times New Roman" w:eastAsia="Times New Roman"/>
        </w:rPr>
        <w:t>25 </w:t>
      </w:r>
      <w:r>
        <w:rPr>
          <w:spacing w:val="-8"/>
        </w:rPr>
        <w:t>种采用中国保险行业协会 </w:t>
      </w:r>
      <w:r>
        <w:rPr>
          <w:rFonts w:ascii="Times New Roman" w:eastAsia="Times New Roman"/>
        </w:rPr>
        <w:t>2007 </w:t>
      </w:r>
      <w:r>
        <w:rPr>
          <w:spacing w:val="-24"/>
        </w:rPr>
        <w:t>年 </w:t>
      </w:r>
      <w:r>
        <w:rPr>
          <w:rFonts w:ascii="Times New Roman" w:eastAsia="Times New Roman"/>
        </w:rPr>
        <w:t>3 </w:t>
      </w:r>
      <w:r>
        <w:rPr>
          <w:spacing w:val="-2"/>
        </w:rPr>
        <w:t>月发布</w:t>
      </w:r>
    </w:p>
    <w:p>
      <w:pPr>
        <w:pStyle w:val="BodyText"/>
        <w:spacing w:line="266" w:lineRule="auto" w:before="25"/>
        <w:ind w:right="202"/>
      </w:pPr>
      <w:r>
        <w:rPr>
          <w:spacing w:val="-8"/>
        </w:rPr>
        <w:t>的《重大疾病保险的疾病定义使用规范》中规定的重大疾病种类及定义，第 </w:t>
      </w:r>
      <w:r>
        <w:rPr>
          <w:rFonts w:ascii="Times New Roman" w:eastAsia="Times New Roman"/>
        </w:rPr>
        <w:t>26 </w:t>
      </w:r>
      <w:r>
        <w:rPr>
          <w:spacing w:val="-10"/>
        </w:rPr>
        <w:t>种和第 </w:t>
      </w:r>
      <w:r>
        <w:rPr>
          <w:rFonts w:ascii="Times New Roman" w:eastAsia="Times New Roman"/>
          <w:spacing w:val="-3"/>
        </w:rPr>
        <w:t>27 </w:t>
      </w:r>
      <w:r>
        <w:rPr>
          <w:spacing w:val="-2"/>
        </w:rPr>
        <w:t>种为本公司自行</w:t>
      </w:r>
      <w:r>
        <w:rPr>
          <w:spacing w:val="-4"/>
        </w:rPr>
        <w:t>增加的二种重大疾病。</w:t>
      </w:r>
    </w:p>
    <w:p>
      <w:pPr>
        <w:pStyle w:val="BodyText"/>
        <w:spacing w:before="12"/>
        <w:ind w:left="0"/>
        <w:rPr>
          <w:sz w:val="25"/>
        </w:rPr>
      </w:pPr>
    </w:p>
    <w:p>
      <w:pPr>
        <w:pStyle w:val="BodyText"/>
        <w:spacing w:line="280" w:lineRule="auto"/>
        <w:ind w:right="205"/>
      </w:pPr>
      <w:r>
        <w:rPr>
          <w:spacing w:val="-6"/>
        </w:rPr>
        <w:t>本附加合同的重大疾病定义可能与临床医学在概念和范围上有所不同，投保人投保本附加合同即表明其认</w:t>
      </w:r>
      <w:r>
        <w:rPr>
          <w:spacing w:val="-5"/>
        </w:rPr>
        <w:t>可并遵从本附加合同条款中对重大疾病的定义。</w:t>
      </w:r>
    </w:p>
    <w:p>
      <w:pPr>
        <w:pStyle w:val="BodyText"/>
        <w:spacing w:line="280" w:lineRule="auto" w:before="250"/>
        <w:ind w:right="202"/>
      </w:pPr>
      <w:r>
        <w:rPr>
          <w:spacing w:val="-7"/>
        </w:rPr>
        <w:t>本附加合同所指的重大疾病为符合下列定义的二十七种疾病、疾病状态或手术。被保险人发生符合以下疾</w:t>
      </w:r>
      <w:r>
        <w:rPr>
          <w:spacing w:val="-6"/>
        </w:rPr>
        <w:t>病定义所述条件的重大疾病，应当由专科医生明确诊断。</w:t>
      </w:r>
    </w:p>
    <w:p>
      <w:pPr>
        <w:pStyle w:val="BodyText"/>
        <w:spacing w:before="3"/>
        <w:ind w:left="0"/>
        <w:rPr>
          <w:sz w:val="24"/>
        </w:rPr>
      </w:pPr>
    </w:p>
    <w:p>
      <w:pPr>
        <w:pStyle w:val="BodyText"/>
      </w:pPr>
      <w:r>
        <w:rPr>
          <w:rFonts w:ascii="Times New Roman" w:eastAsia="Times New Roman"/>
        </w:rPr>
        <w:t>1</w:t>
      </w:r>
      <w:r>
        <w:rPr/>
        <w:t>、恶性肿瘤</w:t>
      </w:r>
    </w:p>
    <w:p>
      <w:pPr>
        <w:pStyle w:val="BodyText"/>
        <w:spacing w:line="278" w:lineRule="auto" w:before="30"/>
        <w:ind w:right="204"/>
        <w:jc w:val="both"/>
      </w:pPr>
      <w:r>
        <w:rPr>
          <w:spacing w:val="-7"/>
        </w:rPr>
        <w:t>指恶性细胞不受控制的进行性增长和扩散，浸润和破坏周围正常组织，可以经血管、淋巴管和体腔扩散转</w:t>
      </w:r>
      <w:r>
        <w:rPr>
          <w:spacing w:val="-9"/>
        </w:rPr>
        <w:t>移到身体其它部位的疾病。经病理学检查结果明确诊断，临床诊断属于世界卫生组织《疾病和有关健康问</w:t>
      </w:r>
      <w:r>
        <w:rPr>
          <w:spacing w:val="-14"/>
        </w:rPr>
        <w:t>题的国际统计分类》</w:t>
      </w:r>
      <w:r>
        <w:rPr>
          <w:spacing w:val="-1"/>
        </w:rPr>
        <w:t>（</w:t>
      </w:r>
      <w:r>
        <w:rPr>
          <w:rFonts w:ascii="Times New Roman" w:eastAsia="Times New Roman"/>
          <w:spacing w:val="-1"/>
        </w:rPr>
        <w:t>ICD-10</w:t>
      </w:r>
      <w:r>
        <w:rPr>
          <w:spacing w:val="-1"/>
        </w:rPr>
        <w:t>）</w:t>
      </w:r>
      <w:r>
        <w:rPr>
          <w:spacing w:val="-3"/>
        </w:rPr>
        <w:t>的恶性肿瘤范畴。</w:t>
      </w:r>
    </w:p>
    <w:p>
      <w:pPr>
        <w:pStyle w:val="BodyText"/>
        <w:spacing w:line="268" w:lineRule="exact"/>
      </w:pPr>
      <w:r>
        <w:rPr/>
        <w:t>下列疾病不在保障范围内：</w:t>
      </w:r>
    </w:p>
    <w:p>
      <w:pPr>
        <w:pStyle w:val="BodyText"/>
        <w:spacing w:before="47"/>
      </w:pPr>
      <w:r>
        <w:rPr/>
        <w:t>（</w:t>
      </w:r>
      <w:r>
        <w:rPr>
          <w:rFonts w:ascii="Times New Roman" w:eastAsia="Times New Roman"/>
        </w:rPr>
        <w:t>1</w:t>
      </w:r>
      <w:r>
        <w:rPr/>
        <w:t>）原位癌；</w:t>
      </w:r>
    </w:p>
    <w:p>
      <w:pPr>
        <w:pStyle w:val="BodyText"/>
        <w:spacing w:before="26"/>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30"/>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30"/>
      </w:pPr>
      <w:r>
        <w:rPr/>
        <w:t>（</w:t>
      </w:r>
      <w:r>
        <w:rPr>
          <w:rFonts w:ascii="Times New Roman" w:eastAsia="Times New Roman"/>
        </w:rPr>
        <w:t>4</w:t>
      </w:r>
      <w:r>
        <w:rPr/>
        <w:t>）皮肤癌（不包括恶性黑色素瘤及已发生转移的皮肤癌）；</w:t>
      </w:r>
    </w:p>
    <w:p>
      <w:pPr>
        <w:pStyle w:val="BodyText"/>
        <w:spacing w:before="25"/>
        <w:rPr>
          <w:rFonts w:ascii="Times New Roman" w:eastAsia="Times New Roman"/>
        </w:rPr>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r>
        <w:rPr>
          <w:rFonts w:ascii="Times New Roman" w:eastAsia="Times New Roman"/>
          <w:vertAlign w:val="baseline"/>
        </w:rPr>
        <w:t>;</w:t>
      </w:r>
    </w:p>
    <w:p>
      <w:pPr>
        <w:pStyle w:val="BodyText"/>
        <w:spacing w:before="30"/>
      </w:pPr>
      <w:r>
        <w:rPr/>
        <w:t>（</w:t>
      </w:r>
      <w:r>
        <w:rPr>
          <w:rFonts w:ascii="Times New Roman" w:eastAsia="Times New Roman"/>
        </w:rPr>
        <w:t>6</w:t>
      </w:r>
      <w:r>
        <w:rPr/>
        <w:t>）感染艾滋病病毒或患艾滋病期间所患恶性肿瘤。</w:t>
      </w:r>
    </w:p>
    <w:p>
      <w:pPr>
        <w:pStyle w:val="BodyText"/>
        <w:spacing w:before="7"/>
        <w:ind w:left="0"/>
        <w:rPr>
          <w:sz w:val="26"/>
        </w:rPr>
      </w:pPr>
    </w:p>
    <w:p>
      <w:pPr>
        <w:pStyle w:val="BodyText"/>
      </w:pPr>
      <w:r>
        <w:rPr>
          <w:rFonts w:ascii="Times New Roman" w:eastAsia="Times New Roman"/>
        </w:rPr>
        <w:t>2</w:t>
      </w:r>
      <w:r>
        <w:rPr/>
        <w:t>、急性心肌梗塞</w:t>
      </w:r>
    </w:p>
    <w:p>
      <w:pPr>
        <w:pStyle w:val="BodyText"/>
        <w:spacing w:line="280" w:lineRule="auto" w:before="30"/>
        <w:ind w:right="3964"/>
      </w:pPr>
      <w:r>
        <w:rPr/>
        <w:t>指因冠状动脉阻塞导致的相应区域供血不足造成部分心肌坏死。须满足下列至少三项条件：</w:t>
      </w:r>
    </w:p>
    <w:p>
      <w:pPr>
        <w:pStyle w:val="BodyText"/>
        <w:spacing w:before="6"/>
      </w:pPr>
      <w:r>
        <w:rPr/>
        <w:t>（</w:t>
      </w:r>
      <w:r>
        <w:rPr>
          <w:rFonts w:ascii="Times New Roman" w:eastAsia="Times New Roman"/>
        </w:rPr>
        <w:t>1</w:t>
      </w:r>
      <w:r>
        <w:rPr/>
        <w:t>）典型临床表现，例如急性胸痛等；</w:t>
      </w:r>
    </w:p>
    <w:p>
      <w:pPr>
        <w:pStyle w:val="BodyText"/>
        <w:spacing w:before="31"/>
      </w:pPr>
      <w:r>
        <w:rPr/>
        <w:t>（</w:t>
      </w:r>
      <w:r>
        <w:rPr>
          <w:rFonts w:ascii="Times New Roman" w:eastAsia="Times New Roman"/>
        </w:rPr>
        <w:t>2</w:t>
      </w:r>
      <w:r>
        <w:rPr/>
        <w:t>）新近的心电图改变提示急性心肌梗塞；</w:t>
      </w:r>
    </w:p>
    <w:p>
      <w:pPr>
        <w:pStyle w:val="BodyText"/>
        <w:spacing w:before="30"/>
      </w:pPr>
      <w:r>
        <w:rPr/>
        <w:t>（</w:t>
      </w:r>
      <w:r>
        <w:rPr>
          <w:rFonts w:ascii="Times New Roman" w:eastAsia="Times New Roman"/>
        </w:rPr>
        <w:t>3</w:t>
      </w:r>
      <w:r>
        <w:rPr/>
        <w:t>）心肌酶或肌钙蛋白有诊断意义的升高，或呈符合急性心肌梗塞的动态性变化；</w:t>
      </w:r>
    </w:p>
    <w:p>
      <w:pPr>
        <w:pStyle w:val="BodyText"/>
        <w:spacing w:before="25"/>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11"/>
        <w:ind w:left="0"/>
        <w:rPr>
          <w:sz w:val="26"/>
        </w:rPr>
      </w:pPr>
    </w:p>
    <w:p>
      <w:pPr>
        <w:pStyle w:val="BodyText"/>
      </w:pPr>
      <w:r>
        <w:rPr>
          <w:rFonts w:ascii="Times New Roman" w:eastAsia="Times New Roman"/>
        </w:rPr>
        <w:t>3</w:t>
      </w:r>
      <w:r>
        <w:rPr/>
        <w:t>、脑中风后遗症</w:t>
      </w:r>
    </w:p>
    <w:p>
      <w:pPr>
        <w:pStyle w:val="BodyText"/>
        <w:spacing w:line="280" w:lineRule="auto" w:before="26"/>
        <w:ind w:right="202"/>
      </w:pPr>
      <w:r>
        <w:rPr>
          <w:spacing w:val="-7"/>
        </w:rPr>
        <w:t>指因脑血管的突发病变引起脑血管出血、栓塞或梗塞，并导致神经系统永久性的功能障碍。神经系统永久</w:t>
      </w:r>
      <w:r>
        <w:rPr>
          <w:spacing w:val="-9"/>
        </w:rPr>
        <w:t>性的功能障碍，指疾病确诊 </w:t>
      </w:r>
      <w:r>
        <w:rPr>
          <w:rFonts w:ascii="Times New Roman" w:eastAsia="Times New Roman"/>
        </w:rPr>
        <w:t>180 </w:t>
      </w:r>
      <w:r>
        <w:rPr>
          <w:spacing w:val="-5"/>
        </w:rPr>
        <w:t>天后，仍遗留下列一种或一种以上障碍：</w:t>
      </w:r>
    </w:p>
    <w:p>
      <w:pPr>
        <w:spacing w:after="0" w:line="280" w:lineRule="auto"/>
        <w:sectPr>
          <w:pgSz w:w="11910" w:h="16840"/>
          <w:pgMar w:header="0" w:footer="219" w:top="780" w:bottom="480" w:left="1020" w:right="920"/>
        </w:sectPr>
      </w:pPr>
    </w:p>
    <w:p>
      <w:pPr>
        <w:spacing w:line="337" w:lineRule="exact" w:before="0"/>
        <w:ind w:left="113" w:right="0" w:firstLine="0"/>
        <w:jc w:val="left"/>
        <w:rPr>
          <w:sz w:val="21"/>
        </w:rPr>
      </w:pPr>
      <w:r>
        <w:rPr>
          <w:w w:val="100"/>
          <w:sz w:val="21"/>
        </w:rPr>
        <w:t>（</w:t>
      </w:r>
      <w:r>
        <w:rPr>
          <w:rFonts w:ascii="Times New Roman" w:eastAsia="Times New Roman"/>
          <w:w w:val="100"/>
          <w:sz w:val="21"/>
        </w:rPr>
        <w:t>1</w:t>
      </w:r>
      <w:r>
        <w:rPr>
          <w:w w:val="100"/>
          <w:sz w:val="21"/>
        </w:rPr>
        <w:t>）</w:t>
      </w:r>
      <w:r>
        <w:rPr>
          <w:spacing w:val="-3"/>
          <w:w w:val="100"/>
          <w:sz w:val="21"/>
        </w:rPr>
        <w:t>一肢或一肢以上</w:t>
      </w:r>
      <w:r>
        <w:rPr>
          <w:rFonts w:ascii="Microsoft JhengHei" w:eastAsia="Microsoft JhengHei" w:hint="eastAsia"/>
          <w:b/>
          <w:spacing w:val="-3"/>
          <w:w w:val="100"/>
          <w:sz w:val="21"/>
        </w:rPr>
        <w:t>肢体机能完全丧失</w:t>
      </w:r>
      <w:r>
        <w:rPr>
          <w:rFonts w:ascii="Microsoft JhengHei" w:eastAsia="Microsoft JhengHei" w:hint="eastAsia"/>
          <w:b/>
          <w:w w:val="100"/>
          <w:sz w:val="21"/>
        </w:rPr>
        <w:t>（见释义</w:t>
      </w:r>
      <w:r>
        <w:rPr>
          <w:rFonts w:ascii="Microsoft JhengHei" w:eastAsia="Microsoft JhengHei" w:hint="eastAsia"/>
          <w:b/>
          <w:spacing w:val="-106"/>
          <w:w w:val="100"/>
          <w:sz w:val="21"/>
        </w:rPr>
        <w:t>）</w:t>
      </w:r>
      <w:r>
        <w:rPr>
          <w:w w:val="100"/>
          <w:sz w:val="21"/>
        </w:rPr>
        <w:t>；</w:t>
      </w:r>
    </w:p>
    <w:p>
      <w:pPr>
        <w:pStyle w:val="Heading1"/>
        <w:spacing w:line="322" w:lineRule="exact"/>
        <w:rPr>
          <w:rFonts w:ascii="宋体" w:eastAsia="宋体" w:hint="eastAsia"/>
          <w:b w:val="0"/>
        </w:rPr>
      </w:pPr>
      <w:r>
        <w:rPr>
          <w:rFonts w:ascii="宋体" w:eastAsia="宋体" w:hint="eastAsia"/>
          <w:b w:val="0"/>
          <w:w w:val="100"/>
        </w:rPr>
        <w:t>（</w:t>
      </w:r>
      <w:r>
        <w:rPr>
          <w:rFonts w:ascii="Times New Roman" w:eastAsia="Times New Roman"/>
          <w:b w:val="0"/>
          <w:w w:val="100"/>
        </w:rPr>
        <w:t>2</w:t>
      </w:r>
      <w:r>
        <w:rPr>
          <w:rFonts w:ascii="宋体" w:eastAsia="宋体" w:hint="eastAsia"/>
          <w:b w:val="0"/>
          <w:spacing w:val="-5"/>
          <w:w w:val="100"/>
        </w:rPr>
        <w:t>）</w:t>
      </w:r>
      <w:r>
        <w:rPr>
          <w:rFonts w:ascii="Microsoft JhengHei" w:eastAsia="Microsoft JhengHei" w:hint="eastAsia"/>
          <w:spacing w:val="-2"/>
          <w:w w:val="100"/>
        </w:rPr>
        <w:t>语言能力或咀嚼吞咽能力完全丧失</w:t>
      </w:r>
      <w:r>
        <w:rPr>
          <w:rFonts w:ascii="Microsoft JhengHei" w:eastAsia="Microsoft JhengHei" w:hint="eastAsia"/>
          <w:spacing w:val="-5"/>
          <w:w w:val="100"/>
        </w:rPr>
        <w:t>（</w:t>
      </w:r>
      <w:r>
        <w:rPr>
          <w:rFonts w:ascii="Microsoft JhengHei" w:eastAsia="Microsoft JhengHei" w:hint="eastAsia"/>
          <w:w w:val="100"/>
        </w:rPr>
        <w:t>见释义</w:t>
      </w:r>
      <w:r>
        <w:rPr>
          <w:rFonts w:ascii="Microsoft JhengHei" w:eastAsia="Microsoft JhengHei" w:hint="eastAsia"/>
          <w:spacing w:val="-106"/>
          <w:w w:val="100"/>
        </w:rPr>
        <w:t>）</w:t>
      </w:r>
      <w:r>
        <w:rPr>
          <w:rFonts w:ascii="宋体" w:eastAsia="宋体" w:hint="eastAsia"/>
          <w:b w:val="0"/>
          <w:w w:val="100"/>
        </w:rPr>
        <w:t>；</w:t>
      </w:r>
    </w:p>
    <w:p>
      <w:pPr>
        <w:spacing w:line="344" w:lineRule="exact" w:before="0"/>
        <w:ind w:left="113" w:right="0" w:firstLine="0"/>
        <w:jc w:val="left"/>
        <w:rPr>
          <w:sz w:val="21"/>
        </w:rPr>
      </w:pPr>
      <w:r>
        <w:rPr>
          <w:sz w:val="21"/>
        </w:rPr>
        <w:t>（</w:t>
      </w:r>
      <w:r>
        <w:rPr>
          <w:rFonts w:ascii="Times New Roman" w:eastAsia="Times New Roman"/>
          <w:sz w:val="21"/>
        </w:rPr>
        <w:t>3</w:t>
      </w:r>
      <w:r>
        <w:rPr>
          <w:sz w:val="21"/>
        </w:rPr>
        <w:t>）自主生活能力完全丧失，无法独立完成</w:t>
      </w:r>
      <w:r>
        <w:rPr>
          <w:rFonts w:ascii="Microsoft JhengHei" w:eastAsia="Microsoft JhengHei" w:hint="eastAsia"/>
          <w:b/>
          <w:sz w:val="21"/>
        </w:rPr>
        <w:t>六项基本日常生活活动（见释义）</w:t>
      </w:r>
      <w:r>
        <w:rPr>
          <w:sz w:val="21"/>
        </w:rPr>
        <w:t>中的三项或三项以上。</w:t>
      </w:r>
    </w:p>
    <w:p>
      <w:pPr>
        <w:pStyle w:val="BodyText"/>
        <w:spacing w:before="12"/>
        <w:ind w:left="0"/>
        <w:rPr>
          <w:sz w:val="25"/>
        </w:rPr>
      </w:pPr>
    </w:p>
    <w:p>
      <w:pPr>
        <w:pStyle w:val="BodyText"/>
      </w:pPr>
      <w:r>
        <w:rPr>
          <w:rFonts w:ascii="Times New Roman" w:eastAsia="Times New Roman"/>
        </w:rPr>
        <w:t>4</w:t>
      </w:r>
      <w:r>
        <w:rPr/>
        <w:t>、重大器官移植术或造血干细胞移植术</w:t>
      </w:r>
    </w:p>
    <w:p>
      <w:pPr>
        <w:pStyle w:val="BodyText"/>
        <w:spacing w:before="31"/>
      </w:pPr>
      <w:r>
        <w:rPr/>
        <w:t>重大器官移植术，指因相应器官功能衰竭，已经实施了肾脏、肝脏、心脏或肺脏的异体移植手术。</w:t>
      </w:r>
    </w:p>
    <w:p>
      <w:pPr>
        <w:pStyle w:val="BodyText"/>
        <w:spacing w:line="280" w:lineRule="auto" w:before="42"/>
        <w:ind w:right="205"/>
      </w:pPr>
      <w:r>
        <w:rPr>
          <w:spacing w:val="-7"/>
        </w:rPr>
        <w:t>造血干细胞移植术，指因造血功能损害或造血系统恶性肿瘤，已经实施了造血干细胞</w:t>
      </w:r>
      <w:r>
        <w:rPr/>
        <w:t>（</w:t>
      </w:r>
      <w:r>
        <w:rPr>
          <w:spacing w:val="-3"/>
        </w:rPr>
        <w:t>包括骨髓造血干细</w:t>
      </w:r>
      <w:r>
        <w:rPr>
          <w:spacing w:val="-5"/>
        </w:rPr>
        <w:t>胞、外周血造血干细胞和脐血造血干细胞</w:t>
      </w:r>
      <w:r>
        <w:rPr/>
        <w:t>）</w:t>
      </w:r>
      <w:r>
        <w:rPr>
          <w:spacing w:val="-3"/>
        </w:rPr>
        <w:t>的异体移植手术。</w:t>
      </w:r>
    </w:p>
    <w:p>
      <w:pPr>
        <w:pStyle w:val="BodyText"/>
        <w:ind w:left="0"/>
        <w:rPr>
          <w:sz w:val="25"/>
        </w:rPr>
      </w:pPr>
    </w:p>
    <w:p>
      <w:pPr>
        <w:pStyle w:val="BodyText"/>
      </w:pPr>
      <w:r>
        <w:rPr>
          <w:rFonts w:ascii="Times New Roman" w:eastAsia="Times New Roman"/>
        </w:rPr>
        <w:t>5</w:t>
      </w:r>
      <w:r>
        <w:rPr/>
        <w:t>、冠状动脉搭桥术（或称冠状动脉旁路移植术）</w:t>
      </w:r>
    </w:p>
    <w:p>
      <w:pPr>
        <w:pStyle w:val="BodyText"/>
        <w:spacing w:before="30"/>
      </w:pPr>
      <w:r>
        <w:rPr/>
        <w:t>指为治疗严重的冠心病，实际实施了开胸进行的冠状动脉血管旁路移植的手术。</w:t>
      </w:r>
    </w:p>
    <w:p>
      <w:pPr>
        <w:pStyle w:val="BodyText"/>
        <w:spacing w:line="276" w:lineRule="auto" w:before="46"/>
        <w:ind w:right="202"/>
      </w:pPr>
      <w:r>
        <w:rPr>
          <w:spacing w:val="-6"/>
        </w:rPr>
        <w:t>冠状动脉支架植入术、心导管球囊扩张术、激光射频技术及其它非开胸的介入手术、腔镜手术不在保障范围内。</w:t>
      </w:r>
    </w:p>
    <w:p>
      <w:pPr>
        <w:pStyle w:val="BodyText"/>
        <w:spacing w:before="9"/>
        <w:ind w:left="0"/>
        <w:rPr>
          <w:sz w:val="25"/>
        </w:rPr>
      </w:pPr>
    </w:p>
    <w:p>
      <w:pPr>
        <w:pStyle w:val="BodyText"/>
      </w:pPr>
      <w:r>
        <w:rPr>
          <w:rFonts w:ascii="Times New Roman" w:eastAsia="Times New Roman"/>
        </w:rPr>
        <w:t>6</w:t>
      </w:r>
      <w:r>
        <w:rPr/>
        <w:t>、终末期肾病（或称慢性肾功能衰竭尿毒症期）</w:t>
      </w:r>
    </w:p>
    <w:p>
      <w:pPr>
        <w:pStyle w:val="BodyText"/>
        <w:spacing w:line="266" w:lineRule="auto" w:before="26"/>
        <w:ind w:right="289"/>
      </w:pPr>
      <w:r>
        <w:rPr>
          <w:spacing w:val="-6"/>
        </w:rPr>
        <w:t>指双肾功能慢性不可逆性衰竭，达到尿毒症期，经诊断后已经进行了至少 </w:t>
      </w:r>
      <w:r>
        <w:rPr>
          <w:rFonts w:ascii="Times New Roman" w:eastAsia="Times New Roman"/>
        </w:rPr>
        <w:t>90 </w:t>
      </w:r>
      <w:r>
        <w:rPr>
          <w:spacing w:val="-4"/>
        </w:rPr>
        <w:t>天的规律性透析治疗或实施</w:t>
      </w:r>
      <w:r>
        <w:rPr>
          <w:spacing w:val="-5"/>
        </w:rPr>
        <w:t>了肾脏移植手术。</w:t>
      </w:r>
    </w:p>
    <w:p>
      <w:pPr>
        <w:pStyle w:val="BodyText"/>
        <w:ind w:left="0"/>
        <w:rPr>
          <w:sz w:val="26"/>
        </w:rPr>
      </w:pPr>
    </w:p>
    <w:p>
      <w:pPr>
        <w:pStyle w:val="BodyText"/>
      </w:pPr>
      <w:r>
        <w:rPr>
          <w:rFonts w:ascii="Times New Roman" w:eastAsia="Times New Roman"/>
        </w:rPr>
        <w:t>7</w:t>
      </w:r>
      <w:r>
        <w:rPr/>
        <w:t>、多个肢体缺失</w:t>
      </w:r>
    </w:p>
    <w:p>
      <w:pPr>
        <w:pStyle w:val="BodyText"/>
        <w:spacing w:before="30"/>
      </w:pPr>
      <w:r>
        <w:rPr/>
        <w:t>指因疾病或意外伤害导致两个或两个以上肢体自腕关节或踝关节近端（靠近躯干端）以上完全性断离。</w:t>
      </w:r>
    </w:p>
    <w:p>
      <w:pPr>
        <w:pStyle w:val="BodyText"/>
        <w:spacing w:before="9"/>
        <w:ind w:left="0"/>
        <w:rPr>
          <w:sz w:val="27"/>
        </w:rPr>
      </w:pPr>
    </w:p>
    <w:p>
      <w:pPr>
        <w:pStyle w:val="BodyText"/>
        <w:spacing w:before="1"/>
      </w:pPr>
      <w:r>
        <w:rPr>
          <w:rFonts w:ascii="Times New Roman" w:eastAsia="Times New Roman"/>
        </w:rPr>
        <w:t>8</w:t>
      </w:r>
      <w:r>
        <w:rPr/>
        <w:t>、急性或亚急性重症肝炎</w:t>
      </w:r>
    </w:p>
    <w:p>
      <w:pPr>
        <w:pStyle w:val="BodyText"/>
        <w:spacing w:line="280" w:lineRule="auto" w:before="31"/>
        <w:ind w:right="201"/>
      </w:pPr>
      <w:r>
        <w:rPr>
          <w:spacing w:val="-7"/>
        </w:rPr>
        <w:t>指因肝炎病毒感染引起肝脏组织弥漫性坏死，导致急性肝功能衰竭，且经血清学或病毒学检查证实，并须</w:t>
      </w:r>
      <w:r>
        <w:rPr>
          <w:spacing w:val="-6"/>
        </w:rPr>
        <w:t>满足下列全部条件：</w:t>
      </w:r>
    </w:p>
    <w:p>
      <w:pPr>
        <w:pStyle w:val="BodyText"/>
        <w:spacing w:before="6"/>
      </w:pPr>
      <w:r>
        <w:rPr/>
        <w:t>（</w:t>
      </w:r>
      <w:r>
        <w:rPr>
          <w:rFonts w:ascii="Times New Roman" w:eastAsia="Times New Roman"/>
        </w:rPr>
        <w:t>1</w:t>
      </w:r>
      <w:r>
        <w:rPr/>
        <w:t>）重度黄疸或黄疸迅速加重；</w:t>
      </w:r>
    </w:p>
    <w:p>
      <w:pPr>
        <w:pStyle w:val="BodyText"/>
        <w:spacing w:before="31"/>
      </w:pPr>
      <w:r>
        <w:rPr/>
        <w:t>（</w:t>
      </w:r>
      <w:r>
        <w:rPr>
          <w:rFonts w:ascii="Times New Roman" w:eastAsia="Times New Roman"/>
        </w:rPr>
        <w:t>2</w:t>
      </w:r>
      <w:r>
        <w:rPr/>
        <w:t>）肝性脑病；</w:t>
      </w:r>
    </w:p>
    <w:p>
      <w:pPr>
        <w:pStyle w:val="BodyText"/>
        <w:spacing w:before="31"/>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26"/>
      </w:pPr>
      <w:r>
        <w:rPr/>
        <w:t>（</w:t>
      </w:r>
      <w:r>
        <w:rPr>
          <w:rFonts w:ascii="Times New Roman" w:eastAsia="Times New Roman"/>
        </w:rPr>
        <w:t>4</w:t>
      </w:r>
      <w:r>
        <w:rPr/>
        <w:t>）肝功能指标进行性恶化。</w:t>
      </w:r>
    </w:p>
    <w:p>
      <w:pPr>
        <w:pStyle w:val="BodyText"/>
        <w:spacing w:before="12"/>
        <w:ind w:left="0"/>
        <w:rPr>
          <w:sz w:val="26"/>
        </w:rPr>
      </w:pPr>
    </w:p>
    <w:p>
      <w:pPr>
        <w:pStyle w:val="BodyText"/>
      </w:pPr>
      <w:r>
        <w:rPr>
          <w:rFonts w:ascii="Times New Roman" w:eastAsia="Times New Roman"/>
        </w:rPr>
        <w:t>9</w:t>
      </w:r>
      <w:r>
        <w:rPr/>
        <w:t>、良性脑肿瘤</w:t>
      </w:r>
    </w:p>
    <w:p>
      <w:pPr>
        <w:pStyle w:val="BodyText"/>
        <w:spacing w:line="273" w:lineRule="auto" w:before="26"/>
        <w:ind w:right="100"/>
      </w:pPr>
      <w:r>
        <w:rPr>
          <w:spacing w:val="-10"/>
        </w:rPr>
        <w:t>指脑的良性肿瘤，已经引起颅内压增高，临床表现为视神经乳头水肿、精神症状、癫痫及运动感觉障碍等， </w:t>
      </w:r>
      <w:r>
        <w:rPr>
          <w:spacing w:val="-7"/>
          <w:w w:val="100"/>
        </w:rPr>
        <w:t>并危及生命。须由头颅断层扫描</w:t>
      </w:r>
      <w:r>
        <w:rPr>
          <w:spacing w:val="0"/>
          <w:w w:val="100"/>
        </w:rPr>
        <w:t>（</w:t>
      </w:r>
      <w:r>
        <w:rPr>
          <w:rFonts w:ascii="Times New Roman" w:eastAsia="Times New Roman"/>
          <w:spacing w:val="2"/>
          <w:w w:val="100"/>
        </w:rPr>
        <w:t>C</w:t>
      </w:r>
      <w:r>
        <w:rPr>
          <w:rFonts w:ascii="Times New Roman" w:eastAsia="Times New Roman"/>
          <w:spacing w:val="-5"/>
          <w:w w:val="100"/>
        </w:rPr>
        <w:t>T</w:t>
      </w:r>
      <w:r>
        <w:rPr>
          <w:spacing w:val="-101"/>
          <w:w w:val="100"/>
        </w:rPr>
        <w:t>）</w:t>
      </w:r>
      <w:r>
        <w:rPr>
          <w:w w:val="100"/>
        </w:rPr>
        <w:t>、核磁共振检查（</w:t>
      </w:r>
      <w:r>
        <w:rPr>
          <w:rFonts w:ascii="Times New Roman" w:eastAsia="Times New Roman"/>
          <w:w w:val="100"/>
        </w:rPr>
        <w:t>M</w:t>
      </w:r>
      <w:r>
        <w:rPr>
          <w:rFonts w:ascii="Times New Roman" w:eastAsia="Times New Roman"/>
          <w:spacing w:val="-3"/>
          <w:w w:val="100"/>
        </w:rPr>
        <w:t>R</w:t>
      </w:r>
      <w:r>
        <w:rPr>
          <w:rFonts w:ascii="Times New Roman" w:eastAsia="Times New Roman"/>
          <w:spacing w:val="1"/>
          <w:w w:val="100"/>
        </w:rPr>
        <w:t>I</w:t>
      </w:r>
      <w:r>
        <w:rPr>
          <w:w w:val="100"/>
        </w:rPr>
        <w:t>）或正电子发射断层扫描</w:t>
      </w:r>
      <w:r>
        <w:rPr>
          <w:spacing w:val="0"/>
          <w:w w:val="100"/>
        </w:rPr>
        <w:t>（</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5"/>
          <w:w w:val="100"/>
        </w:rPr>
        <w:t>T</w:t>
      </w:r>
      <w:r>
        <w:rPr>
          <w:spacing w:val="3"/>
          <w:w w:val="100"/>
        </w:rPr>
        <w:t>）</w:t>
      </w:r>
      <w:r>
        <w:rPr>
          <w:w w:val="100"/>
        </w:rPr>
        <w:t>等影像学</w:t>
      </w:r>
      <w:r>
        <w:rPr>
          <w:spacing w:val="-4"/>
        </w:rPr>
        <w:t>检查证实，并须满足下列至少一项条件：</w:t>
      </w:r>
    </w:p>
    <w:p>
      <w:pPr>
        <w:pStyle w:val="BodyText"/>
        <w:spacing w:before="12"/>
      </w:pPr>
      <w:r>
        <w:rPr/>
        <w:t>（</w:t>
      </w:r>
      <w:r>
        <w:rPr>
          <w:rFonts w:ascii="Times New Roman" w:eastAsia="Times New Roman"/>
        </w:rPr>
        <w:t>1</w:t>
      </w:r>
      <w:r>
        <w:rPr/>
        <w:t>）实际实施了开颅进行的脑肿瘤完全切除或部分切除的手术；</w:t>
      </w:r>
    </w:p>
    <w:p>
      <w:pPr>
        <w:pStyle w:val="BodyText"/>
        <w:spacing w:before="31"/>
      </w:pPr>
      <w:r>
        <w:rPr/>
        <w:t>（</w:t>
      </w:r>
      <w:r>
        <w:rPr>
          <w:rFonts w:ascii="Times New Roman" w:eastAsia="Times New Roman"/>
        </w:rPr>
        <w:t>2</w:t>
      </w:r>
      <w:r>
        <w:rPr/>
        <w:t>）实际实施了对脑肿瘤进行的放射治疗。</w:t>
      </w:r>
    </w:p>
    <w:p>
      <w:pPr>
        <w:pStyle w:val="BodyText"/>
        <w:spacing w:before="31"/>
      </w:pPr>
      <w:r>
        <w:rPr/>
        <w:t>脑垂体瘤、脑囊肿、脑血管性疾病不在保障范围内。</w:t>
      </w:r>
    </w:p>
    <w:p>
      <w:pPr>
        <w:pStyle w:val="BodyText"/>
        <w:spacing w:before="9"/>
        <w:ind w:left="0"/>
        <w:rPr>
          <w:sz w:val="27"/>
        </w:rPr>
      </w:pPr>
    </w:p>
    <w:p>
      <w:pPr>
        <w:pStyle w:val="BodyText"/>
        <w:spacing w:before="1"/>
      </w:pPr>
      <w:r>
        <w:rPr>
          <w:rFonts w:ascii="Times New Roman" w:eastAsia="Times New Roman"/>
        </w:rPr>
        <w:t>10</w:t>
      </w:r>
      <w:r>
        <w:rPr/>
        <w:t>、慢性肝功能衰竭失代偿期</w:t>
      </w:r>
    </w:p>
    <w:p>
      <w:pPr>
        <w:pStyle w:val="BodyText"/>
        <w:spacing w:before="31"/>
      </w:pPr>
      <w:r>
        <w:rPr/>
        <w:t>指因慢性肝脏疾病导致肝功能衰竭。须满足下列全部条件：</w:t>
      </w:r>
    </w:p>
    <w:p>
      <w:pPr>
        <w:pStyle w:val="BodyText"/>
        <w:spacing w:before="42"/>
      </w:pPr>
      <w:r>
        <w:rPr/>
        <w:t>（</w:t>
      </w:r>
      <w:r>
        <w:rPr>
          <w:rFonts w:ascii="Times New Roman" w:eastAsia="Times New Roman"/>
        </w:rPr>
        <w:t>1</w:t>
      </w:r>
      <w:r>
        <w:rPr/>
        <w:t>）持续性黄疸；</w:t>
      </w:r>
    </w:p>
    <w:p>
      <w:pPr>
        <w:pStyle w:val="BodyText"/>
        <w:spacing w:before="31"/>
      </w:pPr>
      <w:r>
        <w:rPr/>
        <w:t>（</w:t>
      </w:r>
      <w:r>
        <w:rPr>
          <w:rFonts w:ascii="Times New Roman" w:eastAsia="Times New Roman"/>
        </w:rPr>
        <w:t>2</w:t>
      </w:r>
      <w:r>
        <w:rPr/>
        <w:t>）腹水；</w:t>
      </w:r>
    </w:p>
    <w:p>
      <w:pPr>
        <w:pStyle w:val="BodyText"/>
        <w:spacing w:before="30"/>
      </w:pPr>
      <w:r>
        <w:rPr/>
        <w:t>（</w:t>
      </w:r>
      <w:r>
        <w:rPr>
          <w:rFonts w:ascii="Times New Roman" w:eastAsia="Times New Roman"/>
        </w:rPr>
        <w:t>3</w:t>
      </w:r>
      <w:r>
        <w:rPr/>
        <w:t>）肝性脑病；</w:t>
      </w:r>
    </w:p>
    <w:p>
      <w:pPr>
        <w:pStyle w:val="BodyText"/>
        <w:spacing w:line="266" w:lineRule="auto" w:before="25"/>
        <w:ind w:right="4702"/>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ind w:left="0"/>
        <w:rPr>
          <w:sz w:val="26"/>
        </w:rPr>
      </w:pPr>
    </w:p>
    <w:p>
      <w:pPr>
        <w:pStyle w:val="BodyText"/>
      </w:pPr>
      <w:r>
        <w:rPr>
          <w:rFonts w:ascii="Times New Roman" w:eastAsia="Times New Roman"/>
        </w:rPr>
        <w:t>11</w:t>
      </w:r>
      <w:r>
        <w:rPr/>
        <w:t>、脑炎后遗症或脑膜炎后遗症</w:t>
      </w:r>
    </w:p>
    <w:p>
      <w:pPr>
        <w:pStyle w:val="BodyText"/>
        <w:spacing w:before="31"/>
      </w:pPr>
      <w:r>
        <w:rPr/>
        <w:t>指因患脑炎或脑膜炎导致的神经系统永久性的功能障碍。神经系统永久性的功能障碍，指疾病确诊 </w:t>
      </w:r>
      <w:r>
        <w:rPr>
          <w:rFonts w:ascii="Times New Roman" w:eastAsia="Times New Roman"/>
        </w:rPr>
        <w:t>180 </w:t>
      </w:r>
      <w:r>
        <w:rPr/>
        <w:t>天</w:t>
      </w:r>
    </w:p>
    <w:p>
      <w:pPr>
        <w:spacing w:after="0"/>
        <w:sectPr>
          <w:pgSz w:w="11910" w:h="16840"/>
          <w:pgMar w:header="0" w:footer="219" w:top="780" w:bottom="480" w:left="1020" w:right="920"/>
        </w:sectPr>
      </w:pPr>
    </w:p>
    <w:p>
      <w:pPr>
        <w:pStyle w:val="BodyText"/>
        <w:spacing w:before="60"/>
      </w:pPr>
      <w:r>
        <w:rPr/>
        <w:t>后，仍遗留下列一种或一种以上障碍：</w:t>
      </w:r>
    </w:p>
    <w:p>
      <w:pPr>
        <w:pStyle w:val="BodyText"/>
        <w:spacing w:before="46"/>
      </w:pPr>
      <w:r>
        <w:rPr/>
        <w:t>（</w:t>
      </w:r>
      <w:r>
        <w:rPr>
          <w:rFonts w:ascii="Times New Roman" w:eastAsia="Times New Roman"/>
        </w:rPr>
        <w:t>1</w:t>
      </w:r>
      <w:r>
        <w:rPr/>
        <w:t>）一肢或一肢以上肢体机能完全丧失；</w:t>
      </w:r>
    </w:p>
    <w:p>
      <w:pPr>
        <w:pStyle w:val="BodyText"/>
        <w:spacing w:before="31"/>
      </w:pPr>
      <w:r>
        <w:rPr/>
        <w:t>（</w:t>
      </w:r>
      <w:r>
        <w:rPr>
          <w:rFonts w:ascii="Times New Roman" w:eastAsia="Times New Roman"/>
        </w:rPr>
        <w:t>2</w:t>
      </w:r>
      <w:r>
        <w:rPr/>
        <w:t>）语言能力或咀嚼吞咽能力完全丧失；</w:t>
      </w:r>
    </w:p>
    <w:p>
      <w:pPr>
        <w:pStyle w:val="BodyText"/>
        <w:spacing w:before="26"/>
      </w:pPr>
      <w:r>
        <w:rPr/>
        <w:t>（</w:t>
      </w:r>
      <w:r>
        <w:rPr>
          <w:rFonts w:ascii="Times New Roman" w:eastAsia="Times New Roman"/>
        </w:rPr>
        <w:t>3</w:t>
      </w:r>
      <w:r>
        <w:rPr/>
        <w:t>）自主生活能力完全丧失，无法独立完成六项基本日常生活活动中的三项或三项以上。</w:t>
      </w:r>
    </w:p>
    <w:p>
      <w:pPr>
        <w:pStyle w:val="BodyText"/>
        <w:spacing w:before="12"/>
        <w:ind w:left="0"/>
        <w:rPr>
          <w:sz w:val="26"/>
        </w:rPr>
      </w:pPr>
    </w:p>
    <w:p>
      <w:pPr>
        <w:pStyle w:val="BodyText"/>
      </w:pPr>
      <w:r>
        <w:rPr>
          <w:rFonts w:ascii="Times New Roman" w:eastAsia="Times New Roman"/>
        </w:rPr>
        <w:t>12</w:t>
      </w:r>
      <w:r>
        <w:rPr/>
        <w:t>、深度昏迷</w:t>
      </w:r>
    </w:p>
    <w:p>
      <w:pPr>
        <w:pStyle w:val="BodyText"/>
        <w:spacing w:before="25"/>
      </w:pPr>
      <w:r>
        <w:rPr/>
        <w:t>指因疾病或意外伤害导致意识丧失，对外界刺激和体内需求均无反应</w:t>
      </w:r>
      <w:r>
        <w:rPr>
          <w:rFonts w:ascii="Times New Roman" w:eastAsia="Times New Roman"/>
        </w:rPr>
        <w:t>,</w:t>
      </w:r>
      <w:r>
        <w:rPr/>
        <w:t>昏迷程度按照格拉斯哥昏迷分级</w:t>
      </w:r>
    </w:p>
    <w:p>
      <w:pPr>
        <w:pStyle w:val="BodyText"/>
        <w:spacing w:line="266" w:lineRule="auto" w:before="30"/>
        <w:ind w:right="116"/>
      </w:pPr>
      <w:r>
        <w:rPr/>
        <w:t>（</w:t>
      </w:r>
      <w:r>
        <w:rPr>
          <w:rFonts w:ascii="Times New Roman" w:eastAsia="Times New Roman"/>
        </w:rPr>
        <w:t>Glasgow </w:t>
      </w:r>
      <w:r>
        <w:rPr>
          <w:rFonts w:ascii="Times New Roman" w:eastAsia="Times New Roman"/>
          <w:spacing w:val="-3"/>
        </w:rPr>
        <w:t>coma </w:t>
      </w:r>
      <w:r>
        <w:rPr>
          <w:rFonts w:ascii="Times New Roman" w:eastAsia="Times New Roman"/>
          <w:spacing w:val="-7"/>
        </w:rPr>
        <w:t>scale</w:t>
      </w:r>
      <w:r>
        <w:rPr>
          <w:spacing w:val="-7"/>
        </w:rPr>
        <w:t>）</w:t>
      </w:r>
      <w:r>
        <w:rPr>
          <w:spacing w:val="-12"/>
        </w:rPr>
        <w:t>结果为 </w:t>
      </w:r>
      <w:r>
        <w:rPr>
          <w:rFonts w:ascii="Times New Roman" w:eastAsia="Times New Roman"/>
        </w:rPr>
        <w:t>5 </w:t>
      </w:r>
      <w:r>
        <w:rPr>
          <w:spacing w:val="-16"/>
        </w:rPr>
        <w:t>分或 </w:t>
      </w:r>
      <w:r>
        <w:rPr>
          <w:rFonts w:ascii="Times New Roman" w:eastAsia="Times New Roman"/>
        </w:rPr>
        <w:t>5 </w:t>
      </w:r>
      <w:r>
        <w:rPr>
          <w:spacing w:val="-9"/>
        </w:rPr>
        <w:t>分以下，且已经持续使用呼吸机及其它生命维持系统 </w:t>
      </w:r>
      <w:r>
        <w:rPr>
          <w:rFonts w:ascii="Times New Roman" w:eastAsia="Times New Roman"/>
        </w:rPr>
        <w:t>96 </w:t>
      </w:r>
      <w:r>
        <w:rPr>
          <w:spacing w:val="-2"/>
        </w:rPr>
        <w:t>小时以上。</w:t>
      </w:r>
      <w:r>
        <w:rPr>
          <w:spacing w:val="-5"/>
        </w:rPr>
        <w:t>因酗酒或药物滥用导致的深度昏迷不在保障范围内。</w:t>
      </w:r>
    </w:p>
    <w:p>
      <w:pPr>
        <w:pStyle w:val="BodyText"/>
        <w:ind w:left="0"/>
        <w:rPr>
          <w:sz w:val="26"/>
        </w:rPr>
      </w:pPr>
    </w:p>
    <w:p>
      <w:pPr>
        <w:pStyle w:val="BodyText"/>
        <w:spacing w:line="273" w:lineRule="exact"/>
      </w:pPr>
      <w:r>
        <w:rPr>
          <w:rFonts w:ascii="Times New Roman" w:eastAsia="Times New Roman"/>
        </w:rPr>
        <w:t>13</w:t>
      </w:r>
      <w:r>
        <w:rPr/>
        <w:t>、双耳失聪</w:t>
      </w:r>
    </w:p>
    <w:p>
      <w:pPr>
        <w:pStyle w:val="BodyText"/>
        <w:spacing w:line="348" w:lineRule="exact"/>
      </w:pPr>
      <w:r>
        <w:rPr/>
        <w:t>指因疾病或意外伤害导致双耳听力</w:t>
      </w:r>
      <w:r>
        <w:rPr>
          <w:rFonts w:ascii="Microsoft JhengHei" w:eastAsia="Microsoft JhengHei" w:hint="eastAsia"/>
          <w:b/>
        </w:rPr>
        <w:t>永久不可逆（见释义）</w:t>
      </w:r>
      <w:r>
        <w:rPr/>
        <w:t>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w:t>
      </w:r>
    </w:p>
    <w:p>
      <w:pPr>
        <w:pStyle w:val="BodyText"/>
        <w:spacing w:before="18"/>
      </w:pPr>
      <w:r>
        <w:rPr/>
        <w:t>音频率下，平均听阈大于 </w:t>
      </w:r>
      <w:r>
        <w:rPr>
          <w:rFonts w:ascii="Times New Roman" w:eastAsia="Times New Roman"/>
        </w:rPr>
        <w:t>90 </w:t>
      </w:r>
      <w:r>
        <w:rPr/>
        <w:t>分贝，且经纯音听力测试、声导抗检测或听觉诱发电位检测等证实。</w:t>
      </w:r>
    </w:p>
    <w:p>
      <w:pPr>
        <w:pStyle w:val="BodyText"/>
        <w:spacing w:before="11"/>
        <w:ind w:left="0"/>
        <w:rPr>
          <w:sz w:val="26"/>
        </w:rPr>
      </w:pPr>
    </w:p>
    <w:p>
      <w:pPr>
        <w:pStyle w:val="BodyText"/>
        <w:spacing w:before="1"/>
      </w:pPr>
      <w:r>
        <w:rPr>
          <w:rFonts w:ascii="Times New Roman" w:eastAsia="Times New Roman"/>
        </w:rPr>
        <w:t>14</w:t>
      </w:r>
      <w:r>
        <w:rPr/>
        <w:t>、双目失明</w:t>
      </w:r>
    </w:p>
    <w:p>
      <w:pPr>
        <w:pStyle w:val="BodyText"/>
        <w:spacing w:before="26"/>
      </w:pPr>
      <w:r>
        <w:rPr/>
        <w:t>指因疾病或意外伤害导致双眼视力永久不可逆性丧失，双眼中较好眼须满足下列至少一项条件：</w:t>
      </w:r>
    </w:p>
    <w:p>
      <w:pPr>
        <w:pStyle w:val="BodyText"/>
        <w:spacing w:before="46"/>
      </w:pPr>
      <w:r>
        <w:rPr/>
        <w:t>（</w:t>
      </w:r>
      <w:r>
        <w:rPr>
          <w:rFonts w:ascii="Times New Roman" w:eastAsia="Times New Roman"/>
        </w:rPr>
        <w:t>1</w:t>
      </w:r>
      <w:r>
        <w:rPr/>
        <w:t>）眼球缺失或摘除；</w:t>
      </w:r>
    </w:p>
    <w:p>
      <w:pPr>
        <w:pStyle w:val="BodyText"/>
        <w:spacing w:before="31"/>
      </w:pPr>
      <w:r>
        <w:rPr>
          <w:w w:val="100"/>
        </w:rPr>
        <w:t>（</w:t>
      </w:r>
      <w:r>
        <w:rPr>
          <w:rFonts w:ascii="Times New Roman" w:eastAsia="Times New Roman"/>
          <w:w w:val="100"/>
        </w:rPr>
        <w:t>2</w:t>
      </w:r>
      <w:r>
        <w:rPr>
          <w:w w:val="100"/>
        </w:rPr>
        <w:t>）</w:t>
      </w:r>
      <w:r>
        <w:rPr>
          <w:spacing w:val="-2"/>
          <w:w w:val="100"/>
        </w:rPr>
        <w:t>矫正视力低于</w:t>
      </w:r>
      <w:r>
        <w:rPr>
          <w:spacing w:val="-52"/>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26"/>
      </w:pPr>
      <w:r>
        <w:rPr/>
        <w:t>（</w:t>
      </w:r>
      <w:r>
        <w:rPr>
          <w:rFonts w:ascii="Times New Roman" w:eastAsia="Times New Roman"/>
        </w:rPr>
        <w:t>3</w:t>
      </w:r>
      <w:r>
        <w:rPr/>
        <w:t>）视野半径小于 </w:t>
      </w:r>
      <w:r>
        <w:rPr>
          <w:rFonts w:ascii="Times New Roman" w:eastAsia="Times New Roman"/>
        </w:rPr>
        <w:t>5 </w:t>
      </w:r>
      <w:r>
        <w:rPr/>
        <w:t>度。</w:t>
      </w:r>
    </w:p>
    <w:p>
      <w:pPr>
        <w:pStyle w:val="BodyText"/>
        <w:spacing w:before="12"/>
        <w:ind w:left="0"/>
        <w:rPr>
          <w:sz w:val="26"/>
        </w:rPr>
      </w:pPr>
    </w:p>
    <w:p>
      <w:pPr>
        <w:pStyle w:val="BodyText"/>
      </w:pPr>
      <w:r>
        <w:rPr>
          <w:rFonts w:ascii="Times New Roman" w:eastAsia="Times New Roman"/>
        </w:rPr>
        <w:t>15</w:t>
      </w:r>
      <w:r>
        <w:rPr/>
        <w:t>、瘫痪</w:t>
      </w:r>
    </w:p>
    <w:p>
      <w:pPr>
        <w:pStyle w:val="BodyText"/>
        <w:spacing w:before="25"/>
        <w:rPr>
          <w:rFonts w:ascii="Times New Roman" w:eastAsia="Times New Roman"/>
        </w:rPr>
      </w:pPr>
      <w:r>
        <w:rPr/>
        <w:t>指因疾病或意外伤害导致两肢或两肢以上肢体机能永久完全丧失。肢体机能永久完全丧失，指疾病确诊 </w:t>
      </w:r>
      <w:r>
        <w:rPr>
          <w:rFonts w:ascii="Times New Roman" w:eastAsia="Times New Roman"/>
        </w:rPr>
        <w:t>180</w:t>
      </w:r>
    </w:p>
    <w:p>
      <w:pPr>
        <w:pStyle w:val="BodyText"/>
        <w:spacing w:before="30"/>
      </w:pPr>
      <w:r>
        <w:rPr/>
        <w:t>天后或意外伤害发生 </w:t>
      </w:r>
      <w:r>
        <w:rPr>
          <w:rFonts w:ascii="Times New Roman" w:eastAsia="Times New Roman"/>
        </w:rPr>
        <w:t>180 </w:t>
      </w:r>
      <w:r>
        <w:rPr/>
        <w:t>天后，每肢三大关节中的两大关节仍然完全僵硬，或不能随意识活动。</w:t>
      </w:r>
    </w:p>
    <w:p>
      <w:pPr>
        <w:pStyle w:val="BodyText"/>
        <w:spacing w:before="7"/>
        <w:ind w:left="0"/>
        <w:rPr>
          <w:sz w:val="26"/>
        </w:rPr>
      </w:pPr>
    </w:p>
    <w:p>
      <w:pPr>
        <w:pStyle w:val="BodyText"/>
      </w:pPr>
      <w:r>
        <w:rPr>
          <w:rFonts w:ascii="Times New Roman" w:eastAsia="Times New Roman"/>
        </w:rPr>
        <w:t>16</w:t>
      </w:r>
      <w:r>
        <w:rPr/>
        <w:t>、心脏瓣膜手术</w:t>
      </w:r>
    </w:p>
    <w:p>
      <w:pPr>
        <w:pStyle w:val="BodyText"/>
        <w:spacing w:before="31"/>
      </w:pPr>
      <w:r>
        <w:rPr/>
        <w:t>指为治疗心脏瓣膜疾病，实际实施了开胸进行的心脏瓣膜置换或修复的手术。</w:t>
      </w:r>
    </w:p>
    <w:p>
      <w:pPr>
        <w:pStyle w:val="BodyText"/>
        <w:spacing w:before="10"/>
        <w:ind w:left="0"/>
        <w:rPr>
          <w:sz w:val="27"/>
        </w:rPr>
      </w:pPr>
    </w:p>
    <w:p>
      <w:pPr>
        <w:pStyle w:val="BodyText"/>
      </w:pPr>
      <w:r>
        <w:rPr>
          <w:rFonts w:ascii="Times New Roman" w:eastAsia="Times New Roman"/>
        </w:rPr>
        <w:t>17</w:t>
      </w:r>
      <w:r>
        <w:rPr/>
        <w:t>、严重阿尔茨海默病</w:t>
      </w:r>
    </w:p>
    <w:p>
      <w:pPr>
        <w:pStyle w:val="BodyText"/>
        <w:spacing w:line="268" w:lineRule="auto" w:before="30"/>
        <w:ind w:right="223"/>
        <w:jc w:val="both"/>
      </w:pPr>
      <w:r>
        <w:rPr>
          <w:spacing w:val="-7"/>
        </w:rPr>
        <w:t>指因大脑进行性、不可逆性改变导致智能严重衰退或丧失，临床表现为明显的认知能力障碍、行为异常和</w:t>
      </w:r>
      <w:r>
        <w:rPr>
          <w:spacing w:val="-7"/>
          <w:w w:val="100"/>
        </w:rPr>
        <w:t>社交能力减退，其日常生活必须持续受到他人监护。须由头颅断层扫描</w:t>
      </w:r>
      <w:r>
        <w:rPr>
          <w:w w:val="100"/>
        </w:rPr>
        <w:t>（</w:t>
      </w:r>
      <w:r>
        <w:rPr>
          <w:rFonts w:ascii="Times New Roman" w:eastAsia="Times New Roman"/>
          <w:spacing w:val="-2"/>
          <w:w w:val="100"/>
        </w:rPr>
        <w:t>C</w:t>
      </w:r>
      <w:r>
        <w:rPr>
          <w:rFonts w:ascii="Times New Roman" w:eastAsia="Times New Roman"/>
          <w:spacing w:val="-4"/>
          <w:w w:val="100"/>
        </w:rPr>
        <w:t>T</w:t>
      </w:r>
      <w:r>
        <w:rPr>
          <w:spacing w:val="-106"/>
          <w:w w:val="100"/>
        </w:rPr>
        <w:t>）</w:t>
      </w:r>
      <w:r>
        <w:rPr>
          <w:w w:val="100"/>
        </w:rPr>
        <w:t>、核磁共振检查（</w:t>
      </w:r>
      <w:r>
        <w:rPr>
          <w:rFonts w:ascii="Times New Roman" w:eastAsia="Times New Roman"/>
          <w:w w:val="100"/>
        </w:rPr>
        <w:t>M</w:t>
      </w:r>
      <w:r>
        <w:rPr>
          <w:rFonts w:ascii="Times New Roman" w:eastAsia="Times New Roman"/>
          <w:spacing w:val="1"/>
          <w:w w:val="100"/>
        </w:rPr>
        <w:t>R</w:t>
      </w:r>
      <w:r>
        <w:rPr>
          <w:rFonts w:ascii="Times New Roman" w:eastAsia="Times New Roman"/>
          <w:spacing w:val="-3"/>
          <w:w w:val="100"/>
        </w:rPr>
        <w:t>I</w:t>
      </w:r>
      <w:r>
        <w:rPr>
          <w:w w:val="100"/>
        </w:rPr>
        <w:t>）或</w:t>
      </w:r>
      <w:r>
        <w:rPr/>
        <w:t>正电子发射断层扫描（</w:t>
      </w:r>
      <w:r>
        <w:rPr>
          <w:rFonts w:ascii="Times New Roman" w:eastAsia="Times New Roman"/>
        </w:rPr>
        <w:t>PET</w:t>
      </w:r>
      <w:r>
        <w:rPr/>
        <w:t>）</w:t>
      </w:r>
      <w:r>
        <w:rPr>
          <w:spacing w:val="-4"/>
        </w:rPr>
        <w:t>等影像学检查证实，且自主生活能力完全丧失，无法独立完成六项基本日常</w:t>
      </w:r>
      <w:r>
        <w:rPr>
          <w:spacing w:val="-5"/>
        </w:rPr>
        <w:t>生活活动中的三项或三项以上。</w:t>
      </w:r>
    </w:p>
    <w:p>
      <w:pPr>
        <w:pStyle w:val="BodyText"/>
        <w:spacing w:before="21"/>
      </w:pPr>
      <w:r>
        <w:rPr/>
        <w:t>神经官能症和精神疾病不在保障范围内。</w:t>
      </w:r>
    </w:p>
    <w:p>
      <w:pPr>
        <w:pStyle w:val="BodyText"/>
        <w:spacing w:before="10"/>
        <w:ind w:left="0"/>
        <w:rPr>
          <w:sz w:val="27"/>
        </w:rPr>
      </w:pPr>
    </w:p>
    <w:p>
      <w:pPr>
        <w:pStyle w:val="BodyText"/>
      </w:pPr>
      <w:r>
        <w:rPr>
          <w:rFonts w:ascii="Times New Roman" w:eastAsia="Times New Roman"/>
        </w:rPr>
        <w:t>18</w:t>
      </w:r>
      <w:r>
        <w:rPr/>
        <w:t>、严重脑损伤</w:t>
      </w:r>
    </w:p>
    <w:p>
      <w:pPr>
        <w:pStyle w:val="BodyText"/>
        <w:spacing w:before="31"/>
      </w:pPr>
      <w:r>
        <w:rPr/>
        <w:t>指因头部遭受机械性外力，引起脑重要部位损伤，导致神经系统永久性的功能障碍。须由头颅断层扫描</w:t>
      </w:r>
    </w:p>
    <w:p>
      <w:pPr>
        <w:pStyle w:val="BodyText"/>
        <w:spacing w:line="266" w:lineRule="auto" w:before="42"/>
        <w:ind w:right="317"/>
      </w:pP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
          <w:w w:val="100"/>
        </w:rPr>
        <w:t>、核磁共振检查</w:t>
      </w:r>
      <w:r>
        <w:rPr>
          <w:w w:val="100"/>
        </w:rPr>
        <w:t>（</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I</w:t>
      </w:r>
      <w:r>
        <w:rPr>
          <w:w w:val="100"/>
        </w:rPr>
        <w:t>）</w:t>
      </w:r>
      <w:r>
        <w:rPr>
          <w:spacing w:val="-2"/>
          <w:w w:val="100"/>
        </w:rPr>
        <w:t>或正电子发射断层扫描</w:t>
      </w:r>
      <w:r>
        <w:rPr>
          <w:spacing w:val="0"/>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4"/>
          <w:w w:val="100"/>
        </w:rPr>
        <w:t>T</w:t>
      </w:r>
      <w:r>
        <w:rPr>
          <w:w w:val="100"/>
        </w:rPr>
        <w:t>）</w:t>
      </w:r>
      <w:r>
        <w:rPr>
          <w:spacing w:val="-4"/>
          <w:w w:val="100"/>
        </w:rPr>
        <w:t>等影像学检查证实。神经系统永久性的功</w:t>
      </w:r>
      <w:r>
        <w:rPr>
          <w:spacing w:val="-9"/>
        </w:rPr>
        <w:t>能障碍，指脑损伤 </w:t>
      </w:r>
      <w:r>
        <w:rPr>
          <w:rFonts w:ascii="Times New Roman" w:eastAsia="Times New Roman"/>
        </w:rPr>
        <w:t>180 </w:t>
      </w:r>
      <w:r>
        <w:rPr>
          <w:spacing w:val="-5"/>
        </w:rPr>
        <w:t>天后，仍遗留下列一种或一种以上障碍：</w:t>
      </w:r>
    </w:p>
    <w:p>
      <w:pPr>
        <w:pStyle w:val="BodyText"/>
        <w:spacing w:before="5"/>
      </w:pPr>
      <w:r>
        <w:rPr/>
        <w:t>（</w:t>
      </w:r>
      <w:r>
        <w:rPr>
          <w:rFonts w:ascii="Times New Roman" w:eastAsia="Times New Roman"/>
        </w:rPr>
        <w:t>1</w:t>
      </w:r>
      <w:r>
        <w:rPr/>
        <w:t>）一肢或一肢以上肢体机能完全丧失；</w:t>
      </w:r>
    </w:p>
    <w:p>
      <w:pPr>
        <w:pStyle w:val="BodyText"/>
        <w:spacing w:before="26"/>
      </w:pPr>
      <w:r>
        <w:rPr/>
        <w:t>（</w:t>
      </w:r>
      <w:r>
        <w:rPr>
          <w:rFonts w:ascii="Times New Roman" w:eastAsia="Times New Roman"/>
        </w:rPr>
        <w:t>2</w:t>
      </w:r>
      <w:r>
        <w:rPr/>
        <w:t>）语言能力或咀嚼吞咽能力完全丧失；</w:t>
      </w:r>
    </w:p>
    <w:p>
      <w:pPr>
        <w:pStyle w:val="BodyText"/>
        <w:spacing w:before="31"/>
      </w:pPr>
      <w:r>
        <w:rPr/>
        <w:t>（</w:t>
      </w:r>
      <w:r>
        <w:rPr>
          <w:rFonts w:ascii="Times New Roman" w:eastAsia="Times New Roman"/>
        </w:rPr>
        <w:t>3</w:t>
      </w:r>
      <w:r>
        <w:rPr/>
        <w:t>）自主生活能力完全丧失，无法独立完成六项基本日常生活活动中的三项或三项以上。</w:t>
      </w:r>
    </w:p>
    <w:p>
      <w:pPr>
        <w:pStyle w:val="BodyText"/>
        <w:spacing w:before="6"/>
        <w:ind w:left="0"/>
        <w:rPr>
          <w:sz w:val="26"/>
        </w:rPr>
      </w:pPr>
    </w:p>
    <w:p>
      <w:pPr>
        <w:pStyle w:val="BodyText"/>
        <w:spacing w:before="1"/>
      </w:pPr>
      <w:r>
        <w:rPr>
          <w:rFonts w:ascii="Times New Roman" w:eastAsia="Times New Roman"/>
        </w:rPr>
        <w:t>19</w:t>
      </w:r>
      <w:r>
        <w:rPr/>
        <w:t>、严重帕金森病</w:t>
      </w:r>
    </w:p>
    <w:p>
      <w:pPr>
        <w:pStyle w:val="BodyText"/>
        <w:spacing w:before="31"/>
      </w:pPr>
      <w:r>
        <w:rPr/>
        <w:t>是一种中枢神经系统的退行性疾病，临床表现为震颤麻痹、共济失调等。须满足下列全部条件：</w:t>
      </w:r>
    </w:p>
    <w:p>
      <w:pPr>
        <w:pStyle w:val="BodyText"/>
        <w:spacing w:before="47"/>
      </w:pPr>
      <w:r>
        <w:rPr/>
        <w:t>（</w:t>
      </w:r>
      <w:r>
        <w:rPr>
          <w:rFonts w:ascii="Times New Roman" w:eastAsia="Times New Roman"/>
        </w:rPr>
        <w:t>1</w:t>
      </w:r>
      <w:r>
        <w:rPr/>
        <w:t>）药物治疗无法控制病情；</w:t>
      </w:r>
    </w:p>
    <w:p>
      <w:pPr>
        <w:pStyle w:val="BodyText"/>
        <w:spacing w:line="266" w:lineRule="auto" w:before="26"/>
        <w:ind w:right="1570"/>
      </w:pPr>
      <w:r>
        <w:rPr/>
        <w:t>（</w:t>
      </w:r>
      <w:r>
        <w:rPr>
          <w:rFonts w:ascii="Times New Roman" w:eastAsia="Times New Roman"/>
        </w:rPr>
        <w:t>2</w:t>
      </w:r>
      <w:r>
        <w:rPr/>
        <w:t>）自主生活能力完全丧失，无法独立完成六项基本日常生活活动中的三项或三项以上。继发性帕金森综合征不在保障范围内。</w:t>
      </w:r>
    </w:p>
    <w:p>
      <w:pPr>
        <w:spacing w:after="0" w:line="266" w:lineRule="auto"/>
        <w:sectPr>
          <w:pgSz w:w="11910" w:h="16840"/>
          <w:pgMar w:header="0" w:footer="219" w:top="780" w:bottom="480" w:left="1020" w:right="900"/>
        </w:sectPr>
      </w:pPr>
    </w:p>
    <w:p>
      <w:pPr>
        <w:pStyle w:val="BodyText"/>
        <w:spacing w:before="62"/>
      </w:pPr>
      <w:r>
        <w:rPr>
          <w:rFonts w:ascii="Times New Roman" w:hAnsi="Times New Roman" w:eastAsia="Times New Roman"/>
        </w:rPr>
        <w:t>20</w:t>
      </w:r>
      <w:r>
        <w:rPr/>
        <w:t>、严重Ⅲ度烧伤</w:t>
      </w:r>
    </w:p>
    <w:p>
      <w:pPr>
        <w:pStyle w:val="BodyText"/>
        <w:spacing w:line="261" w:lineRule="auto" w:before="30"/>
        <w:ind w:right="222"/>
      </w:pPr>
      <w:r>
        <w:rPr>
          <w:spacing w:val="-7"/>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spacing w:val="-5"/>
        </w:rPr>
        <w:t>％以上。体表面积根据 《中国新九分法》计算。</w:t>
      </w:r>
    </w:p>
    <w:p>
      <w:pPr>
        <w:pStyle w:val="BodyText"/>
        <w:spacing w:before="9"/>
        <w:ind w:left="0"/>
        <w:rPr>
          <w:sz w:val="26"/>
        </w:rPr>
      </w:pPr>
    </w:p>
    <w:p>
      <w:pPr>
        <w:pStyle w:val="BodyText"/>
      </w:pPr>
      <w:r>
        <w:rPr>
          <w:rFonts w:ascii="Times New Roman" w:eastAsia="Times New Roman"/>
        </w:rPr>
        <w:t>21</w:t>
      </w:r>
      <w:r>
        <w:rPr/>
        <w:t>、严重原发性肺动脉高压</w:t>
      </w:r>
    </w:p>
    <w:p>
      <w:pPr>
        <w:pStyle w:val="BodyText"/>
        <w:spacing w:line="280" w:lineRule="auto" w:before="26"/>
        <w:ind w:right="223"/>
      </w:pPr>
      <w:r>
        <w:rPr>
          <w:spacing w:val="-6"/>
        </w:rPr>
        <w:t>指不明原因的肺动脉压力持续性增高，进行性发展而导致的慢性疾病，已经造成永久不可逆性的体力活动</w:t>
      </w:r>
      <w:r>
        <w:rPr>
          <w:spacing w:val="-7"/>
        </w:rPr>
        <w:t>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spacing w:val="-3"/>
        </w:rPr>
        <w:t>30mmHg</w:t>
      </w:r>
      <w:r>
        <w:rPr/>
        <w:t>。</w:t>
      </w:r>
    </w:p>
    <w:p>
      <w:pPr>
        <w:pStyle w:val="BodyText"/>
        <w:spacing w:before="7"/>
        <w:ind w:left="0"/>
        <w:rPr>
          <w:sz w:val="23"/>
        </w:rPr>
      </w:pPr>
    </w:p>
    <w:p>
      <w:pPr>
        <w:pStyle w:val="BodyText"/>
      </w:pPr>
      <w:r>
        <w:rPr>
          <w:rFonts w:ascii="Times New Roman" w:eastAsia="Times New Roman"/>
        </w:rPr>
        <w:t>22</w:t>
      </w:r>
      <w:r>
        <w:rPr/>
        <w:t>、严重运动神经元病</w:t>
      </w:r>
    </w:p>
    <w:p>
      <w:pPr>
        <w:pStyle w:val="BodyText"/>
        <w:spacing w:line="278" w:lineRule="auto" w:before="31"/>
        <w:ind w:right="222"/>
        <w:jc w:val="both"/>
      </w:pPr>
      <w:r>
        <w:rPr>
          <w:spacing w:val="-8"/>
        </w:rPr>
        <w:t>是一组中枢神经系统运动神经元的进行性变性疾病，包括进行性脊肌萎缩症、进行性延髓麻痹症、原发性</w:t>
      </w:r>
      <w:r>
        <w:rPr>
          <w:spacing w:val="-10"/>
        </w:rPr>
        <w:t>侧索硬化症、肌萎缩性侧索硬化症。须满足自主生活能力完全丧失，无法独立完成六项基本日常生活活动</w:t>
      </w:r>
      <w:r>
        <w:rPr>
          <w:spacing w:val="-7"/>
        </w:rPr>
        <w:t>中的三项或三项以上的条件。</w:t>
      </w:r>
    </w:p>
    <w:p>
      <w:pPr>
        <w:pStyle w:val="BodyText"/>
        <w:spacing w:before="7"/>
        <w:ind w:left="0"/>
        <w:rPr>
          <w:sz w:val="25"/>
        </w:rPr>
      </w:pPr>
    </w:p>
    <w:p>
      <w:pPr>
        <w:pStyle w:val="BodyText"/>
      </w:pPr>
      <w:r>
        <w:rPr>
          <w:rFonts w:ascii="Times New Roman" w:eastAsia="Times New Roman"/>
        </w:rPr>
        <w:t>23</w:t>
      </w:r>
      <w:r>
        <w:rPr/>
        <w:t>、语言能力丧失</w:t>
      </w:r>
    </w:p>
    <w:p>
      <w:pPr>
        <w:pStyle w:val="BodyText"/>
        <w:spacing w:line="266" w:lineRule="auto" w:before="26"/>
        <w:ind w:right="116"/>
      </w:pPr>
      <w:r>
        <w:rPr>
          <w:spacing w:val="-8"/>
          <w:w w:val="100"/>
        </w:rPr>
        <w:t>指因疾病或意外伤害导致完全丧失语言能力，经过积极治疗至少</w:t>
      </w:r>
      <w:r>
        <w:rPr>
          <w:spacing w:val="-8"/>
        </w:rPr>
        <w:t> </w:t>
      </w:r>
      <w:r>
        <w:rPr>
          <w:rFonts w:ascii="Times New Roman" w:eastAsia="Times New Roman"/>
          <w:spacing w:val="-5"/>
          <w:w w:val="100"/>
        </w:rPr>
        <w:t>1</w:t>
      </w:r>
      <w:r>
        <w:rPr>
          <w:rFonts w:ascii="Times New Roman" w:eastAsia="Times New Roman"/>
          <w:w w:val="100"/>
        </w:rPr>
        <w:t>2</w:t>
      </w:r>
      <w:r>
        <w:rPr>
          <w:rFonts w:ascii="Times New Roman" w:eastAsia="Times New Roman"/>
        </w:rPr>
        <w:t> </w:t>
      </w:r>
      <w:r>
        <w:rPr>
          <w:spacing w:val="-34"/>
          <w:w w:val="100"/>
        </w:rPr>
        <w:t>个月</w:t>
      </w:r>
      <w:r>
        <w:rPr>
          <w:w w:val="100"/>
        </w:rPr>
        <w:t>（</w:t>
      </w:r>
      <w:r>
        <w:rPr>
          <w:spacing w:val="-4"/>
          <w:w w:val="100"/>
        </w:rPr>
        <w:t>声带完全切除不受此时间限制</w:t>
      </w:r>
      <w:r>
        <w:rPr>
          <w:spacing w:val="-104"/>
          <w:w w:val="100"/>
        </w:rPr>
        <w:t>）</w:t>
      </w:r>
      <w:r>
        <w:rPr>
          <w:w w:val="100"/>
        </w:rPr>
        <w:t>，</w:t>
      </w:r>
      <w:r>
        <w:rPr>
          <w:spacing w:val="-3"/>
        </w:rPr>
        <w:t>仍无法通过现有医疗手段恢复。</w:t>
      </w:r>
    </w:p>
    <w:p>
      <w:pPr>
        <w:pStyle w:val="BodyText"/>
        <w:spacing w:before="23"/>
      </w:pPr>
      <w:r>
        <w:rPr/>
        <w:t>精神心理因素所致的语言能力丧失不在保障范围内。</w:t>
      </w:r>
    </w:p>
    <w:p>
      <w:pPr>
        <w:pStyle w:val="BodyText"/>
        <w:spacing w:before="9"/>
        <w:ind w:left="0"/>
        <w:rPr>
          <w:sz w:val="27"/>
        </w:rPr>
      </w:pPr>
    </w:p>
    <w:p>
      <w:pPr>
        <w:pStyle w:val="BodyText"/>
      </w:pPr>
      <w:r>
        <w:rPr>
          <w:rFonts w:ascii="Times New Roman" w:eastAsia="Times New Roman"/>
        </w:rPr>
        <w:t>24</w:t>
      </w:r>
      <w:r>
        <w:rPr/>
        <w:t>、重型再生障碍性贫血</w:t>
      </w:r>
    </w:p>
    <w:p>
      <w:pPr>
        <w:pStyle w:val="BodyText"/>
        <w:spacing w:before="30"/>
      </w:pPr>
      <w:r>
        <w:rPr/>
        <w:t>指因骨髓造血功能慢性持续性衰竭导致的贫血、中性粒细胞减少及血小板减少。须满足下列全部条件：</w:t>
      </w:r>
    </w:p>
    <w:p>
      <w:pPr>
        <w:pStyle w:val="BodyText"/>
        <w:spacing w:before="41"/>
      </w:pPr>
      <w:r>
        <w:rPr/>
        <w:t>（</w:t>
      </w:r>
      <w:r>
        <w:rPr>
          <w:rFonts w:ascii="Times New Roman" w:eastAsia="Times New Roman"/>
        </w:rPr>
        <w:t>1</w:t>
      </w:r>
      <w:r>
        <w:rPr/>
        <w:t>）骨髓穿刺检查或骨髓活检结果支持诊断；</w:t>
      </w:r>
    </w:p>
    <w:p>
      <w:pPr>
        <w:pStyle w:val="BodyText"/>
        <w:spacing w:before="30"/>
      </w:pPr>
      <w:r>
        <w:rPr/>
        <w:t>（</w:t>
      </w:r>
      <w:r>
        <w:rPr>
          <w:rFonts w:ascii="Times New Roman" w:eastAsia="Times New Roman"/>
        </w:rPr>
        <w:t>2</w:t>
      </w:r>
      <w:r>
        <w:rPr/>
        <w:t>）外周血象必须具备以下三项条件：</w:t>
      </w:r>
    </w:p>
    <w:p>
      <w:pPr>
        <w:pStyle w:val="BodyText"/>
        <w:spacing w:before="30"/>
        <w:ind w:left="535"/>
      </w:pPr>
      <w:r>
        <w:rPr/>
        <w:t>① 中性粒细胞绝对值</w:t>
      </w:r>
      <w:r>
        <w:rPr>
          <w:rFonts w:ascii="Times New Roman" w:hAnsi="Times New Roman" w:eastAsia="Times New Roman"/>
        </w:rPr>
        <w:t>≤0.5×10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26"/>
        <w:ind w:left="535"/>
      </w:pPr>
      <w:r>
        <w:rPr/>
        <w:t>② 网织红细胞＜</w:t>
      </w:r>
      <w:r>
        <w:rPr>
          <w:rFonts w:ascii="Times New Roman" w:hAnsi="Times New Roman" w:eastAsia="Times New Roman"/>
        </w:rPr>
        <w:t>1%</w:t>
      </w:r>
      <w:r>
        <w:rPr/>
        <w:t>；</w:t>
      </w:r>
    </w:p>
    <w:p>
      <w:pPr>
        <w:pStyle w:val="BodyText"/>
        <w:spacing w:before="31"/>
        <w:ind w:left="522" w:right="6734"/>
        <w:jc w:val="center"/>
      </w:pPr>
      <w:r>
        <w:rPr/>
        <w:t>③ 血小板绝对值</w:t>
      </w:r>
      <w:r>
        <w:rPr>
          <w:rFonts w:ascii="Times New Roman" w:hAnsi="Times New Roman" w:eastAsia="Times New Roman"/>
        </w:rPr>
        <w:t>≤20×10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7"/>
        <w:ind w:left="0"/>
        <w:rPr>
          <w:sz w:val="26"/>
        </w:rPr>
      </w:pPr>
    </w:p>
    <w:p>
      <w:pPr>
        <w:pStyle w:val="BodyText"/>
      </w:pPr>
      <w:r>
        <w:rPr>
          <w:rFonts w:ascii="Times New Roman" w:eastAsia="Times New Roman"/>
        </w:rPr>
        <w:t>25</w:t>
      </w:r>
      <w:r>
        <w:rPr/>
        <w:t>、主动脉手术</w:t>
      </w:r>
    </w:p>
    <w:p>
      <w:pPr>
        <w:pStyle w:val="BodyText"/>
        <w:spacing w:line="280" w:lineRule="auto" w:before="31"/>
        <w:ind w:right="223"/>
      </w:pPr>
      <w:r>
        <w:rPr>
          <w:spacing w:val="-6"/>
        </w:rPr>
        <w:t>指为治疗主动脉疾病，实际实施了开胸或开腹进行的切除、置换、修补病损主动脉血管的手术。主动脉指</w:t>
      </w:r>
      <w:r>
        <w:rPr>
          <w:spacing w:val="-5"/>
        </w:rPr>
        <w:t>胸主动脉和腹主动脉，不包括胸主动脉和腹主动脉的分支血管。</w:t>
      </w:r>
    </w:p>
    <w:p>
      <w:pPr>
        <w:pStyle w:val="BodyText"/>
        <w:spacing w:before="7"/>
      </w:pPr>
      <w:r>
        <w:rPr/>
        <w:t>动脉内血管成形术不在保障范围内。</w:t>
      </w:r>
    </w:p>
    <w:p>
      <w:pPr>
        <w:pStyle w:val="BodyText"/>
        <w:spacing w:before="1"/>
        <w:ind w:left="0"/>
        <w:rPr>
          <w:sz w:val="28"/>
        </w:rPr>
      </w:pPr>
    </w:p>
    <w:p>
      <w:pPr>
        <w:pStyle w:val="BodyText"/>
        <w:spacing w:before="1"/>
      </w:pPr>
      <w:r>
        <w:rPr>
          <w:rFonts w:ascii="Times New Roman" w:eastAsia="Times New Roman"/>
        </w:rPr>
        <w:t>26</w:t>
      </w:r>
      <w:r>
        <w:rPr/>
        <w:t>、慢性呼吸功能衰竭</w:t>
      </w:r>
    </w:p>
    <w:p>
      <w:pPr>
        <w:pStyle w:val="BodyText"/>
        <w:spacing w:line="280" w:lineRule="auto" w:before="26"/>
        <w:ind w:right="222"/>
      </w:pPr>
      <w:r>
        <w:rPr>
          <w:spacing w:val="-6"/>
        </w:rPr>
        <w:t>指慢性肺部疾病导致永久不可逆性的慢性呼吸功能衰竭。慢性呼吸功能衰竭必须明确诊断并满足下列全部条件：</w:t>
      </w:r>
    </w:p>
    <w:p>
      <w:pPr>
        <w:pStyle w:val="BodyText"/>
        <w:spacing w:before="11"/>
      </w:pPr>
      <w:r>
        <w:rPr/>
        <w:t>（</w:t>
      </w:r>
      <w:r>
        <w:rPr>
          <w:rFonts w:ascii="Times New Roman" w:eastAsia="Times New Roman"/>
        </w:rPr>
        <w:t>1</w:t>
      </w:r>
      <w:r>
        <w:rPr/>
        <w:t>）休息时出现呼吸困难；</w:t>
      </w:r>
    </w:p>
    <w:p>
      <w:pPr>
        <w:pStyle w:val="BodyText"/>
        <w:spacing w:before="25"/>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）&lt; </w:t>
      </w:r>
      <w:r>
        <w:rPr>
          <w:rFonts w:ascii="Times New Roman" w:eastAsia="Times New Roman"/>
          <w:vertAlign w:val="baseline"/>
        </w:rPr>
        <w:t>50 mmHg</w:t>
      </w:r>
      <w:r>
        <w:rPr>
          <w:vertAlign w:val="baseline"/>
        </w:rPr>
        <w:t>；</w:t>
      </w:r>
    </w:p>
    <w:p>
      <w:pPr>
        <w:pStyle w:val="BodyText"/>
        <w:spacing w:before="30"/>
        <w:rPr>
          <w:rFonts w:ascii="Times New Roman" w:eastAsia="Times New Roman"/>
        </w:rPr>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）&lt; </w:t>
      </w:r>
      <w:r>
        <w:rPr>
          <w:rFonts w:ascii="Times New Roman" w:eastAsia="Times New Roman"/>
          <w:vertAlign w:val="baseline"/>
        </w:rPr>
        <w:t>80%;</w:t>
      </w:r>
    </w:p>
    <w:p>
      <w:pPr>
        <w:pStyle w:val="BodyText"/>
        <w:spacing w:before="30"/>
      </w:pPr>
      <w:r>
        <w:rPr/>
        <w:t>（</w:t>
      </w:r>
      <w:r>
        <w:rPr>
          <w:rFonts w:ascii="Times New Roman" w:eastAsia="Times New Roman"/>
        </w:rPr>
        <w:t>4</w:t>
      </w:r>
      <w:r>
        <w:rPr/>
        <w:t>）因缺氧必须接受持续的输氧治疗。</w:t>
      </w:r>
    </w:p>
    <w:p>
      <w:pPr>
        <w:pStyle w:val="BodyText"/>
        <w:spacing w:before="7"/>
        <w:ind w:left="0"/>
        <w:rPr>
          <w:sz w:val="26"/>
        </w:rPr>
      </w:pPr>
    </w:p>
    <w:p>
      <w:pPr>
        <w:pStyle w:val="BodyText"/>
      </w:pPr>
      <w:r>
        <w:rPr>
          <w:rFonts w:ascii="Times New Roman" w:eastAsia="Times New Roman"/>
        </w:rPr>
        <w:t>27</w:t>
      </w:r>
      <w:r>
        <w:rPr/>
        <w:t>、严重多发性硬化症</w:t>
      </w:r>
    </w:p>
    <w:p>
      <w:pPr>
        <w:pStyle w:val="BodyText"/>
        <w:spacing w:line="271" w:lineRule="auto" w:before="30"/>
        <w:ind w:right="222"/>
        <w:jc w:val="both"/>
      </w:pPr>
      <w:r>
        <w:rPr>
          <w:spacing w:val="-8"/>
        </w:rPr>
        <w:t>多发性硬化为中枢神经系统白质多灶性脱髓鞘病变，病变有时累及灰质。多发性硬化必须明确诊断，并且已经造成永久不可逆的神经系统功能损害。永久不可逆的神经系统损害指被保险人持续 </w:t>
      </w:r>
      <w:r>
        <w:rPr>
          <w:rFonts w:ascii="Times New Roman" w:eastAsia="Times New Roman"/>
        </w:rPr>
        <w:t>180 </w:t>
      </w:r>
      <w:r>
        <w:rPr>
          <w:spacing w:val="-2"/>
        </w:rPr>
        <w:t>天无法独立完</w:t>
      </w:r>
      <w:r>
        <w:rPr>
          <w:spacing w:val="-4"/>
        </w:rPr>
        <w:t>成下列基本日常生活活动：</w:t>
      </w:r>
    </w:p>
    <w:p>
      <w:pPr>
        <w:pStyle w:val="BodyText"/>
        <w:spacing w:before="19"/>
      </w:pPr>
      <w:r>
        <w:rPr/>
        <w:t>（</w:t>
      </w:r>
      <w:r>
        <w:rPr>
          <w:rFonts w:ascii="Times New Roman" w:eastAsia="Times New Roman"/>
        </w:rPr>
        <w:t>1</w:t>
      </w:r>
      <w:r>
        <w:rPr/>
        <w:t>）移动：自己从一个房间到另一个房间；或者</w:t>
      </w:r>
    </w:p>
    <w:p>
      <w:pPr>
        <w:pStyle w:val="BodyText"/>
        <w:spacing w:before="26"/>
      </w:pPr>
      <w:r>
        <w:rPr/>
        <w:t>（</w:t>
      </w:r>
      <w:r>
        <w:rPr>
          <w:rFonts w:ascii="Times New Roman" w:eastAsia="Times New Roman"/>
        </w:rPr>
        <w:t>2</w:t>
      </w:r>
      <w:r>
        <w:rPr/>
        <w:t>）进食：自己从已准备好的碗或碟中取食物放入口中。</w:t>
      </w:r>
    </w:p>
    <w:p>
      <w:pPr>
        <w:spacing w:after="0"/>
        <w:sectPr>
          <w:pgSz w:w="11910" w:h="16840"/>
          <w:pgMar w:header="0" w:footer="219" w:top="1100" w:bottom="480" w:left="1020" w:right="900"/>
        </w:sectPr>
      </w:pPr>
    </w:p>
    <w:p>
      <w:pPr>
        <w:pStyle w:val="Heading1"/>
        <w:tabs>
          <w:tab w:pos="1681" w:val="left" w:leader="none"/>
        </w:tabs>
        <w:spacing w:before="12"/>
        <w:ind w:left="313"/>
      </w:pPr>
      <w:r>
        <w:rPr/>
        <w:t>第十三条</w:t>
        <w:tab/>
        <w:t>其他名词的释义</w:t>
      </w:r>
    </w:p>
    <w:p>
      <w:pPr>
        <w:pStyle w:val="BodyText"/>
        <w:spacing w:before="7"/>
        <w:ind w:left="0"/>
        <w:rPr>
          <w:rFonts w:ascii="黑体"/>
          <w:b/>
          <w:sz w:val="22"/>
        </w:rPr>
      </w:pPr>
    </w:p>
    <w:p>
      <w:pPr>
        <w:pStyle w:val="BodyText"/>
        <w:ind w:left="313"/>
      </w:pPr>
      <w:r>
        <w:rPr/>
        <w:t>本附加合同中具有特定含义的名词，其定义如下：</w:t>
      </w:r>
    </w:p>
    <w:p>
      <w:pPr>
        <w:pStyle w:val="BodyText"/>
        <w:spacing w:before="8" w:after="1"/>
        <w:ind w:left="0"/>
        <w:rPr>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gridCol w:w="250"/>
        <w:gridCol w:w="7875"/>
      </w:tblGrid>
      <w:tr>
        <w:trPr>
          <w:trHeight w:val="753" w:hRule="atLeast"/>
        </w:trPr>
        <w:tc>
          <w:tcPr>
            <w:tcW w:w="2003" w:type="dxa"/>
          </w:tcPr>
          <w:p>
            <w:pPr>
              <w:pStyle w:val="TableParagraph"/>
              <w:spacing w:line="255" w:lineRule="exact" w:before="0"/>
              <w:rPr>
                <w:sz w:val="21"/>
              </w:rPr>
            </w:pPr>
            <w:r>
              <w:rPr>
                <w:sz w:val="21"/>
              </w:rPr>
              <w:t>意外伤害</w:t>
            </w:r>
          </w:p>
        </w:tc>
        <w:tc>
          <w:tcPr>
            <w:tcW w:w="250" w:type="dxa"/>
          </w:tcPr>
          <w:p>
            <w:pPr>
              <w:pStyle w:val="TableParagraph"/>
              <w:spacing w:before="110"/>
              <w:ind w:left="-3"/>
              <w:rPr>
                <w:sz w:val="21"/>
              </w:rPr>
            </w:pPr>
            <w:r>
              <w:rPr>
                <w:w w:val="100"/>
                <w:sz w:val="21"/>
              </w:rPr>
              <w:t>：</w:t>
            </w:r>
          </w:p>
        </w:tc>
        <w:tc>
          <w:tcPr>
            <w:tcW w:w="7875" w:type="dxa"/>
          </w:tcPr>
          <w:p>
            <w:pPr>
              <w:pStyle w:val="TableParagraph"/>
              <w:spacing w:line="255" w:lineRule="exact" w:before="0"/>
              <w:ind w:left="103"/>
              <w:rPr>
                <w:sz w:val="21"/>
              </w:rPr>
            </w:pPr>
            <w:r>
              <w:rPr>
                <w:sz w:val="21"/>
              </w:rPr>
              <w:t>指以外来的、突发的、非本意的、非疾病的客观事件为直接且单独的原因致使身体</w:t>
            </w:r>
          </w:p>
          <w:p>
            <w:pPr>
              <w:pStyle w:val="TableParagraph"/>
              <w:spacing w:before="90"/>
              <w:ind w:left="103"/>
              <w:rPr>
                <w:sz w:val="21"/>
              </w:rPr>
            </w:pPr>
            <w:r>
              <w:rPr>
                <w:sz w:val="21"/>
              </w:rPr>
              <w:t>受到的伤害。</w:t>
            </w:r>
          </w:p>
        </w:tc>
      </w:tr>
      <w:tr>
        <w:trPr>
          <w:trHeight w:val="1807" w:hRule="atLeast"/>
        </w:trPr>
        <w:tc>
          <w:tcPr>
            <w:tcW w:w="2003" w:type="dxa"/>
          </w:tcPr>
          <w:p>
            <w:pPr>
              <w:pStyle w:val="TableParagraph"/>
              <w:spacing w:before="86"/>
              <w:rPr>
                <w:sz w:val="21"/>
              </w:rPr>
            </w:pPr>
            <w:r>
              <w:rPr>
                <w:sz w:val="21"/>
              </w:rPr>
              <w:t>毒品</w:t>
            </w:r>
          </w:p>
        </w:tc>
        <w:tc>
          <w:tcPr>
            <w:tcW w:w="250" w:type="dxa"/>
          </w:tcPr>
          <w:p>
            <w:pPr>
              <w:pStyle w:val="TableParagraph"/>
              <w:spacing w:before="86"/>
              <w:ind w:left="-3"/>
              <w:rPr>
                <w:sz w:val="21"/>
              </w:rPr>
            </w:pPr>
            <w:r>
              <w:rPr>
                <w:w w:val="100"/>
                <w:sz w:val="21"/>
              </w:rPr>
              <w:t>：</w:t>
            </w:r>
          </w:p>
        </w:tc>
        <w:tc>
          <w:tcPr>
            <w:tcW w:w="7875" w:type="dxa"/>
          </w:tcPr>
          <w:p>
            <w:pPr>
              <w:pStyle w:val="TableParagraph"/>
              <w:spacing w:line="544" w:lineRule="auto" w:before="86"/>
              <w:ind w:left="40" w:right="205"/>
              <w:rPr>
                <w:sz w:val="21"/>
              </w:rPr>
            </w:pPr>
            <w:r>
              <w:rPr>
                <w:spacing w:val="-5"/>
                <w:sz w:val="21"/>
              </w:rPr>
              <w:t>指中华人民共和国刑法规定的鸦片、海洛因、甲基苯丙胺</w:t>
            </w:r>
            <w:r>
              <w:rPr>
                <w:sz w:val="21"/>
              </w:rPr>
              <w:t>（</w:t>
            </w:r>
            <w:r>
              <w:rPr>
                <w:spacing w:val="-3"/>
                <w:sz w:val="21"/>
              </w:rPr>
              <w:t>冰毒</w:t>
            </w:r>
            <w:r>
              <w:rPr>
                <w:spacing w:val="-106"/>
                <w:sz w:val="21"/>
              </w:rPr>
              <w:t>）</w:t>
            </w:r>
            <w:r>
              <w:rPr>
                <w:spacing w:val="-5"/>
                <w:sz w:val="21"/>
              </w:rPr>
              <w:t>、吗啡、大麻、可卡因以及国家规定管制的其他能够使人形成瘾癖的麻醉药品和精神药品，但不包括</w:t>
            </w:r>
          </w:p>
          <w:p>
            <w:pPr>
              <w:pStyle w:val="TableParagraph"/>
              <w:spacing w:before="82"/>
              <w:ind w:left="40"/>
              <w:rPr>
                <w:sz w:val="21"/>
              </w:rPr>
            </w:pPr>
            <w:r>
              <w:rPr>
                <w:sz w:val="21"/>
              </w:rPr>
              <w:t>由医生开具并遵医嘱使用的用于治疗疾病但含有毒品成分的处方药品。</w:t>
            </w:r>
          </w:p>
        </w:tc>
      </w:tr>
      <w:tr>
        <w:trPr>
          <w:trHeight w:val="1872" w:hRule="atLeast"/>
        </w:trPr>
        <w:tc>
          <w:tcPr>
            <w:tcW w:w="2003" w:type="dxa"/>
          </w:tcPr>
          <w:p>
            <w:pPr>
              <w:pStyle w:val="TableParagraph"/>
              <w:spacing w:before="151"/>
              <w:rPr>
                <w:sz w:val="21"/>
              </w:rPr>
            </w:pPr>
            <w:r>
              <w:rPr>
                <w:sz w:val="21"/>
              </w:rPr>
              <w:t>酒后驾驶</w:t>
            </w:r>
          </w:p>
        </w:tc>
        <w:tc>
          <w:tcPr>
            <w:tcW w:w="250" w:type="dxa"/>
          </w:tcPr>
          <w:p>
            <w:pPr>
              <w:pStyle w:val="TableParagraph"/>
              <w:spacing w:before="151"/>
              <w:ind w:left="-3"/>
              <w:rPr>
                <w:sz w:val="21"/>
              </w:rPr>
            </w:pPr>
            <w:r>
              <w:rPr>
                <w:w w:val="100"/>
                <w:sz w:val="21"/>
              </w:rPr>
              <w:t>：</w:t>
            </w:r>
          </w:p>
        </w:tc>
        <w:tc>
          <w:tcPr>
            <w:tcW w:w="7875" w:type="dxa"/>
          </w:tcPr>
          <w:p>
            <w:pPr>
              <w:pStyle w:val="TableParagraph"/>
              <w:spacing w:line="544" w:lineRule="auto" w:before="151"/>
              <w:ind w:left="40" w:right="210"/>
              <w:rPr>
                <w:sz w:val="21"/>
              </w:rPr>
            </w:pPr>
            <w:r>
              <w:rPr>
                <w:sz w:val="21"/>
              </w:rPr>
              <w:t>指经检测或鉴定，发生事故时车辆驾驶人员每百毫升血液中的酒精含量达到或超过一定的标准，公安机关交通管理部门依据《道路交通安全法》的规定认定为饮酒后</w:t>
            </w:r>
          </w:p>
          <w:p>
            <w:pPr>
              <w:pStyle w:val="TableParagraph"/>
              <w:spacing w:before="83"/>
              <w:ind w:left="40"/>
              <w:rPr>
                <w:sz w:val="21"/>
              </w:rPr>
            </w:pPr>
            <w:r>
              <w:rPr>
                <w:sz w:val="21"/>
              </w:rPr>
              <w:t>驾驶或醉酒后驾驶。</w:t>
            </w:r>
          </w:p>
        </w:tc>
      </w:tr>
      <w:tr>
        <w:trPr>
          <w:trHeight w:val="3744" w:hRule="atLeast"/>
        </w:trPr>
        <w:tc>
          <w:tcPr>
            <w:tcW w:w="2003" w:type="dxa"/>
          </w:tcPr>
          <w:p>
            <w:pPr>
              <w:pStyle w:val="TableParagraph"/>
              <w:spacing w:line="544" w:lineRule="auto" w:before="151"/>
              <w:ind w:right="-15"/>
              <w:rPr>
                <w:sz w:val="21"/>
              </w:rPr>
            </w:pPr>
            <w:r>
              <w:rPr>
                <w:spacing w:val="10"/>
                <w:sz w:val="21"/>
              </w:rPr>
              <w:t>无合法有效驾驶证驾驶</w:t>
            </w:r>
          </w:p>
        </w:tc>
        <w:tc>
          <w:tcPr>
            <w:tcW w:w="250" w:type="dxa"/>
          </w:tcPr>
          <w:p>
            <w:pPr>
              <w:pStyle w:val="TableParagraph"/>
              <w:spacing w:before="151"/>
              <w:ind w:left="-3"/>
              <w:rPr>
                <w:sz w:val="21"/>
              </w:rPr>
            </w:pPr>
            <w:r>
              <w:rPr>
                <w:w w:val="100"/>
                <w:sz w:val="21"/>
              </w:rPr>
              <w:t>：</w:t>
            </w:r>
          </w:p>
        </w:tc>
        <w:tc>
          <w:tcPr>
            <w:tcW w:w="7875" w:type="dxa"/>
          </w:tcPr>
          <w:p>
            <w:pPr>
              <w:pStyle w:val="TableParagraph"/>
              <w:spacing w:before="151"/>
              <w:ind w:left="40"/>
              <w:rPr>
                <w:sz w:val="21"/>
              </w:rPr>
            </w:pPr>
            <w:r>
              <w:rPr>
                <w:sz w:val="21"/>
              </w:rPr>
              <w:t>指下列情形之一：</w:t>
            </w:r>
          </w:p>
          <w:p>
            <w:pPr>
              <w:pStyle w:val="TableParagraph"/>
              <w:spacing w:before="8"/>
              <w:ind w:left="0"/>
              <w:rPr>
                <w:sz w:val="26"/>
              </w:rPr>
            </w:pPr>
          </w:p>
          <w:p>
            <w:pPr>
              <w:pStyle w:val="TableParagraph"/>
              <w:spacing w:before="1"/>
              <w:ind w:left="40"/>
              <w:rPr>
                <w:sz w:val="21"/>
              </w:rPr>
            </w:pPr>
            <w:r>
              <w:rPr>
                <w:sz w:val="21"/>
              </w:rPr>
              <w:t>（</w:t>
            </w:r>
            <w:r>
              <w:rPr>
                <w:rFonts w:ascii="Times New Roman" w:eastAsia="Times New Roman"/>
                <w:sz w:val="21"/>
              </w:rPr>
              <w:t>1</w:t>
            </w:r>
            <w:r>
              <w:rPr>
                <w:sz w:val="21"/>
              </w:rPr>
              <w:t>）没有取得驾驶资格；</w:t>
            </w:r>
          </w:p>
          <w:p>
            <w:pPr>
              <w:pStyle w:val="TableParagraph"/>
              <w:spacing w:before="6"/>
              <w:ind w:left="0"/>
              <w:rPr>
                <w:sz w:val="25"/>
              </w:rPr>
            </w:pPr>
          </w:p>
          <w:p>
            <w:pPr>
              <w:pStyle w:val="TableParagraph"/>
              <w:spacing w:before="0"/>
              <w:ind w:left="40"/>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5"/>
              <w:ind w:left="0"/>
              <w:rPr>
                <w:sz w:val="25"/>
              </w:rPr>
            </w:pPr>
          </w:p>
          <w:p>
            <w:pPr>
              <w:pStyle w:val="TableParagraph"/>
              <w:spacing w:before="0"/>
              <w:ind w:left="40"/>
              <w:rPr>
                <w:sz w:val="21"/>
              </w:rPr>
            </w:pPr>
            <w:r>
              <w:rPr>
                <w:sz w:val="21"/>
              </w:rPr>
              <w:t>（</w:t>
            </w:r>
            <w:r>
              <w:rPr>
                <w:rFonts w:ascii="Times New Roman" w:eastAsia="Times New Roman"/>
                <w:sz w:val="21"/>
              </w:rPr>
              <w:t>3</w:t>
            </w:r>
            <w:r>
              <w:rPr>
                <w:sz w:val="21"/>
              </w:rPr>
              <w:t>）持审验不合格的驾驶证驾驶；</w:t>
            </w:r>
          </w:p>
          <w:p>
            <w:pPr>
              <w:pStyle w:val="TableParagraph"/>
              <w:spacing w:line="610" w:lineRule="atLeast" w:before="14"/>
              <w:ind w:left="40" w:right="198"/>
              <w:rPr>
                <w:sz w:val="21"/>
              </w:rPr>
            </w:pPr>
            <w:r>
              <w:rPr>
                <w:spacing w:val="-4"/>
                <w:sz w:val="21"/>
              </w:rPr>
              <w:t>（</w:t>
            </w:r>
            <w:r>
              <w:rPr>
                <w:rFonts w:ascii="Times New Roman" w:eastAsia="Times New Roman"/>
                <w:spacing w:val="-4"/>
                <w:sz w:val="21"/>
              </w:rPr>
              <w:t>4</w:t>
            </w:r>
            <w:r>
              <w:rPr>
                <w:spacing w:val="-4"/>
                <w:sz w:val="21"/>
              </w:rPr>
              <w:t>）</w:t>
            </w:r>
            <w:r>
              <w:rPr>
                <w:spacing w:val="-7"/>
                <w:sz w:val="21"/>
              </w:rPr>
              <w:t>持学习驾驶证学习驾车时，无教练员随车指导，或不按指定时间、路线学习驾车。</w:t>
            </w:r>
          </w:p>
        </w:tc>
      </w:tr>
      <w:tr>
        <w:trPr>
          <w:trHeight w:val="1872" w:hRule="atLeast"/>
        </w:trPr>
        <w:tc>
          <w:tcPr>
            <w:tcW w:w="2003" w:type="dxa"/>
          </w:tcPr>
          <w:p>
            <w:pPr>
              <w:pStyle w:val="TableParagraph"/>
              <w:spacing w:before="151"/>
              <w:rPr>
                <w:sz w:val="21"/>
              </w:rPr>
            </w:pPr>
            <w:r>
              <w:rPr>
                <w:sz w:val="21"/>
              </w:rPr>
              <w:t>无有效行驶证</w:t>
            </w:r>
          </w:p>
        </w:tc>
        <w:tc>
          <w:tcPr>
            <w:tcW w:w="250" w:type="dxa"/>
          </w:tcPr>
          <w:p>
            <w:pPr>
              <w:pStyle w:val="TableParagraph"/>
              <w:spacing w:before="151"/>
              <w:ind w:left="-3"/>
              <w:rPr>
                <w:sz w:val="21"/>
              </w:rPr>
            </w:pPr>
            <w:r>
              <w:rPr>
                <w:w w:val="100"/>
                <w:sz w:val="21"/>
              </w:rPr>
              <w:t>：</w:t>
            </w:r>
          </w:p>
        </w:tc>
        <w:tc>
          <w:tcPr>
            <w:tcW w:w="7875" w:type="dxa"/>
          </w:tcPr>
          <w:p>
            <w:pPr>
              <w:pStyle w:val="TableParagraph"/>
              <w:spacing w:before="151"/>
              <w:ind w:left="40"/>
              <w:rPr>
                <w:sz w:val="21"/>
              </w:rPr>
            </w:pPr>
            <w:r>
              <w:rPr>
                <w:sz w:val="21"/>
              </w:rPr>
              <w:t>指下列情形之一：</w:t>
            </w:r>
          </w:p>
          <w:p>
            <w:pPr>
              <w:pStyle w:val="TableParagraph"/>
              <w:spacing w:before="9"/>
              <w:ind w:left="0"/>
              <w:rPr>
                <w:sz w:val="26"/>
              </w:rPr>
            </w:pPr>
          </w:p>
          <w:p>
            <w:pPr>
              <w:pStyle w:val="TableParagraph"/>
              <w:spacing w:before="0"/>
              <w:ind w:left="40"/>
              <w:rPr>
                <w:sz w:val="21"/>
              </w:rPr>
            </w:pPr>
            <w:r>
              <w:rPr>
                <w:sz w:val="21"/>
              </w:rPr>
              <w:t>（</w:t>
            </w:r>
            <w:r>
              <w:rPr>
                <w:rFonts w:ascii="Times New Roman" w:eastAsia="Times New Roman"/>
                <w:sz w:val="21"/>
              </w:rPr>
              <w:t>1</w:t>
            </w:r>
            <w:r>
              <w:rPr>
                <w:sz w:val="21"/>
              </w:rPr>
              <w:t>）机动车被依法注销登记的；</w:t>
            </w:r>
          </w:p>
          <w:p>
            <w:pPr>
              <w:pStyle w:val="TableParagraph"/>
              <w:spacing w:before="5"/>
              <w:ind w:left="0"/>
              <w:rPr>
                <w:sz w:val="25"/>
              </w:rPr>
            </w:pPr>
          </w:p>
          <w:p>
            <w:pPr>
              <w:pStyle w:val="TableParagraph"/>
              <w:spacing w:before="0"/>
              <w:ind w:left="40"/>
              <w:rPr>
                <w:sz w:val="21"/>
              </w:rPr>
            </w:pPr>
            <w:r>
              <w:rPr>
                <w:sz w:val="21"/>
              </w:rPr>
              <w:t>（</w:t>
            </w:r>
            <w:r>
              <w:rPr>
                <w:rFonts w:ascii="Times New Roman" w:eastAsia="Times New Roman"/>
                <w:sz w:val="21"/>
              </w:rPr>
              <w:t>2</w:t>
            </w:r>
            <w:r>
              <w:rPr>
                <w:sz w:val="21"/>
              </w:rPr>
              <w:t>）未依法按时进行或通过机动车安全技术检验。</w:t>
            </w:r>
          </w:p>
        </w:tc>
      </w:tr>
      <w:tr>
        <w:trPr>
          <w:trHeight w:val="1183" w:hRule="atLeast"/>
        </w:trPr>
        <w:tc>
          <w:tcPr>
            <w:tcW w:w="2003" w:type="dxa"/>
          </w:tcPr>
          <w:p>
            <w:pPr>
              <w:pStyle w:val="TableParagraph"/>
              <w:spacing w:before="151"/>
              <w:rPr>
                <w:sz w:val="21"/>
              </w:rPr>
            </w:pPr>
            <w:r>
              <w:rPr>
                <w:sz w:val="21"/>
              </w:rPr>
              <w:t>现金价值</w:t>
            </w:r>
          </w:p>
        </w:tc>
        <w:tc>
          <w:tcPr>
            <w:tcW w:w="250" w:type="dxa"/>
          </w:tcPr>
          <w:p>
            <w:pPr>
              <w:pStyle w:val="TableParagraph"/>
              <w:spacing w:before="151"/>
              <w:ind w:left="-3"/>
              <w:rPr>
                <w:sz w:val="21"/>
              </w:rPr>
            </w:pPr>
            <w:r>
              <w:rPr>
                <w:w w:val="100"/>
                <w:sz w:val="21"/>
              </w:rPr>
              <w:t>：</w:t>
            </w:r>
          </w:p>
        </w:tc>
        <w:tc>
          <w:tcPr>
            <w:tcW w:w="7875" w:type="dxa"/>
          </w:tcPr>
          <w:p>
            <w:pPr>
              <w:pStyle w:val="TableParagraph"/>
              <w:spacing w:before="151"/>
              <w:ind w:left="40"/>
              <w:rPr>
                <w:sz w:val="21"/>
              </w:rPr>
            </w:pPr>
            <w:r>
              <w:rPr>
                <w:sz w:val="21"/>
              </w:rPr>
              <w:t>指保险单所具有的价值，通常体现为解除合同时，根据精算原理计算的，由本公司</w:t>
            </w:r>
          </w:p>
          <w:p>
            <w:pPr>
              <w:pStyle w:val="TableParagraph"/>
              <w:spacing w:before="8"/>
              <w:ind w:left="0"/>
              <w:rPr>
                <w:sz w:val="26"/>
              </w:rPr>
            </w:pPr>
          </w:p>
          <w:p>
            <w:pPr>
              <w:pStyle w:val="TableParagraph"/>
              <w:spacing w:before="0"/>
              <w:ind w:left="40"/>
              <w:rPr>
                <w:sz w:val="21"/>
              </w:rPr>
            </w:pPr>
            <w:r>
              <w:rPr>
                <w:sz w:val="21"/>
              </w:rPr>
              <w:t>退还的那部分金额。</w:t>
            </w:r>
          </w:p>
        </w:tc>
      </w:tr>
      <w:tr>
        <w:trPr>
          <w:trHeight w:val="1529" w:hRule="atLeast"/>
        </w:trPr>
        <w:tc>
          <w:tcPr>
            <w:tcW w:w="2003" w:type="dxa"/>
          </w:tcPr>
          <w:p>
            <w:pPr>
              <w:pStyle w:val="TableParagraph"/>
              <w:spacing w:line="319" w:lineRule="auto" w:before="86"/>
              <w:ind w:right="-15"/>
              <w:rPr>
                <w:sz w:val="21"/>
              </w:rPr>
            </w:pPr>
            <w:r>
              <w:rPr>
                <w:spacing w:val="10"/>
                <w:sz w:val="21"/>
              </w:rPr>
              <w:t>感染艾滋病病毒或患艾滋病</w:t>
            </w:r>
          </w:p>
        </w:tc>
        <w:tc>
          <w:tcPr>
            <w:tcW w:w="250" w:type="dxa"/>
          </w:tcPr>
          <w:p>
            <w:pPr>
              <w:pStyle w:val="TableParagraph"/>
              <w:spacing w:before="215"/>
              <w:ind w:left="-3"/>
              <w:rPr>
                <w:sz w:val="21"/>
              </w:rPr>
            </w:pPr>
            <w:r>
              <w:rPr>
                <w:w w:val="100"/>
                <w:sz w:val="21"/>
              </w:rPr>
              <w:t>：</w:t>
            </w:r>
          </w:p>
        </w:tc>
        <w:tc>
          <w:tcPr>
            <w:tcW w:w="7875" w:type="dxa"/>
          </w:tcPr>
          <w:p>
            <w:pPr>
              <w:pStyle w:val="TableParagraph"/>
              <w:spacing w:line="300" w:lineRule="auto" w:before="86"/>
              <w:ind w:left="103" w:right="135"/>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p>
            <w:pPr>
              <w:pStyle w:val="TableParagraph"/>
              <w:spacing w:before="16"/>
              <w:ind w:left="107"/>
              <w:rPr>
                <w:sz w:val="21"/>
              </w:rPr>
            </w:pPr>
            <w:r>
              <w:rPr>
                <w:sz w:val="21"/>
              </w:rPr>
              <w:t>在人体血液或其他样本中检测到艾滋病病毒或其抗体呈阳性，没有出现临床症状或</w:t>
            </w:r>
          </w:p>
          <w:p>
            <w:pPr>
              <w:pStyle w:val="TableParagraph"/>
              <w:spacing w:before="94"/>
              <w:ind w:left="107"/>
              <w:rPr>
                <w:sz w:val="21"/>
              </w:rPr>
            </w:pPr>
            <w:r>
              <w:rPr>
                <w:sz w:val="21"/>
              </w:rPr>
              <w:t>体征的，为感染艾滋病病毒；如果同时出现了明显临床症状或体征的，为患艾滋病</w:t>
            </w:r>
          </w:p>
        </w:tc>
      </w:tr>
      <w:tr>
        <w:trPr>
          <w:trHeight w:val="729" w:hRule="atLeast"/>
        </w:trPr>
        <w:tc>
          <w:tcPr>
            <w:tcW w:w="2003" w:type="dxa"/>
          </w:tcPr>
          <w:p>
            <w:pPr>
              <w:pStyle w:val="TableParagraph"/>
              <w:rPr>
                <w:sz w:val="21"/>
              </w:rPr>
            </w:pPr>
            <w:r>
              <w:rPr>
                <w:sz w:val="21"/>
              </w:rPr>
              <w:t>遗传性疾病</w:t>
            </w:r>
          </w:p>
        </w:tc>
        <w:tc>
          <w:tcPr>
            <w:tcW w:w="250" w:type="dxa"/>
          </w:tcPr>
          <w:p>
            <w:pPr>
              <w:pStyle w:val="TableParagraph"/>
              <w:spacing w:before="151"/>
              <w:ind w:left="-3"/>
              <w:rPr>
                <w:sz w:val="21"/>
              </w:rPr>
            </w:pPr>
            <w:r>
              <w:rPr>
                <w:w w:val="100"/>
                <w:sz w:val="21"/>
              </w:rPr>
              <w:t>：</w:t>
            </w:r>
          </w:p>
        </w:tc>
        <w:tc>
          <w:tcPr>
            <w:tcW w:w="7875" w:type="dxa"/>
          </w:tcPr>
          <w:p>
            <w:pPr>
              <w:pStyle w:val="TableParagraph"/>
              <w:ind w:left="103"/>
              <w:rPr>
                <w:sz w:val="21"/>
              </w:rPr>
            </w:pPr>
            <w:r>
              <w:rPr>
                <w:sz w:val="21"/>
              </w:rPr>
              <w:t>指生殖细胞或受精卵的遗传物质（染色体和基因）发生突变或畸变所引起的疾病，</w:t>
            </w:r>
          </w:p>
          <w:p>
            <w:pPr>
              <w:pStyle w:val="TableParagraph"/>
              <w:spacing w:before="89"/>
              <w:ind w:left="103"/>
              <w:rPr>
                <w:sz w:val="21"/>
              </w:rPr>
            </w:pPr>
            <w:r>
              <w:rPr>
                <w:sz w:val="21"/>
              </w:rPr>
              <w:t>通常具有由亲代传至后代的垂直传递的特征。</w:t>
            </w:r>
          </w:p>
        </w:tc>
      </w:tr>
      <w:tr>
        <w:trPr>
          <w:trHeight w:val="453" w:hRule="atLeast"/>
        </w:trPr>
        <w:tc>
          <w:tcPr>
            <w:tcW w:w="2003" w:type="dxa"/>
          </w:tcPr>
          <w:p>
            <w:pPr>
              <w:pStyle w:val="TableParagraph"/>
              <w:ind w:right="-15"/>
              <w:rPr>
                <w:sz w:val="21"/>
              </w:rPr>
            </w:pPr>
            <w:r>
              <w:rPr>
                <w:spacing w:val="-13"/>
                <w:sz w:val="21"/>
              </w:rPr>
              <w:t>先天性畸形、变形或</w:t>
            </w:r>
          </w:p>
        </w:tc>
        <w:tc>
          <w:tcPr>
            <w:tcW w:w="250" w:type="dxa"/>
          </w:tcPr>
          <w:p>
            <w:pPr>
              <w:pStyle w:val="TableParagraph"/>
              <w:spacing w:before="151"/>
              <w:ind w:left="-3"/>
              <w:rPr>
                <w:sz w:val="21"/>
              </w:rPr>
            </w:pPr>
            <w:r>
              <w:rPr>
                <w:w w:val="100"/>
                <w:sz w:val="21"/>
              </w:rPr>
              <w:t>：</w:t>
            </w:r>
          </w:p>
        </w:tc>
        <w:tc>
          <w:tcPr>
            <w:tcW w:w="7875" w:type="dxa"/>
          </w:tcPr>
          <w:p>
            <w:pPr>
              <w:pStyle w:val="TableParagraph"/>
              <w:ind w:left="107"/>
              <w:rPr>
                <w:sz w:val="21"/>
              </w:rPr>
            </w:pPr>
            <w:r>
              <w:rPr>
                <w:sz w:val="21"/>
              </w:rPr>
              <w:t>指被保险人出生时就具有的畸形、变形或染色体异常。先天性畸形、变形和染色体</w:t>
            </w:r>
          </w:p>
        </w:tc>
      </w:tr>
    </w:tbl>
    <w:p>
      <w:pPr>
        <w:spacing w:after="0"/>
        <w:rPr>
          <w:sz w:val="21"/>
        </w:rPr>
        <w:sectPr>
          <w:pgSz w:w="11910" w:h="16840"/>
          <w:pgMar w:header="0" w:footer="219" w:top="780" w:bottom="480" w:left="820" w:right="7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285"/>
        <w:gridCol w:w="7842"/>
      </w:tblGrid>
      <w:tr>
        <w:trPr>
          <w:trHeight w:val="326" w:hRule="atLeast"/>
        </w:trPr>
        <w:tc>
          <w:tcPr>
            <w:tcW w:w="2002" w:type="dxa"/>
          </w:tcPr>
          <w:p>
            <w:pPr>
              <w:pStyle w:val="TableParagraph"/>
              <w:spacing w:line="255" w:lineRule="exact" w:before="0"/>
              <w:rPr>
                <w:sz w:val="21"/>
              </w:rPr>
            </w:pPr>
            <w:r>
              <w:rPr>
                <w:sz w:val="21"/>
              </w:rPr>
              <w:t>染色体异常</w:t>
            </w:r>
          </w:p>
        </w:tc>
        <w:tc>
          <w:tcPr>
            <w:tcW w:w="285" w:type="dxa"/>
          </w:tcPr>
          <w:p>
            <w:pPr>
              <w:pStyle w:val="TableParagraph"/>
              <w:spacing w:before="0"/>
              <w:ind w:left="0"/>
              <w:rPr>
                <w:rFonts w:ascii="Times New Roman"/>
                <w:sz w:val="20"/>
              </w:rPr>
            </w:pPr>
          </w:p>
        </w:tc>
        <w:tc>
          <w:tcPr>
            <w:tcW w:w="7842" w:type="dxa"/>
          </w:tcPr>
          <w:p>
            <w:pPr>
              <w:pStyle w:val="TableParagraph"/>
              <w:spacing w:line="271" w:lineRule="exact" w:before="0"/>
              <w:ind w:left="73"/>
              <w:rPr>
                <w:sz w:val="21"/>
              </w:rPr>
            </w:pPr>
            <w:r>
              <w:rPr>
                <w:sz w:val="21"/>
              </w:rPr>
              <w:t>异常依照世界卫生组织《疾病和有关健康问题的国际统计分类》（</w:t>
            </w:r>
            <w:r>
              <w:rPr>
                <w:rFonts w:ascii="Times New Roman" w:eastAsia="Times New Roman"/>
                <w:sz w:val="21"/>
              </w:rPr>
              <w:t>ICD-10</w:t>
            </w:r>
            <w:r>
              <w:rPr>
                <w:sz w:val="21"/>
              </w:rPr>
              <w:t>）确定。</w:t>
            </w:r>
          </w:p>
        </w:tc>
      </w:tr>
      <w:tr>
        <w:trPr>
          <w:trHeight w:val="2561" w:hRule="atLeast"/>
        </w:trPr>
        <w:tc>
          <w:tcPr>
            <w:tcW w:w="2002" w:type="dxa"/>
          </w:tcPr>
          <w:p>
            <w:pPr>
              <w:pStyle w:val="TableParagraph"/>
              <w:spacing w:line="319" w:lineRule="auto" w:before="23"/>
              <w:ind w:right="-15"/>
              <w:rPr>
                <w:sz w:val="21"/>
              </w:rPr>
            </w:pPr>
            <w:r>
              <w:rPr>
                <w:spacing w:val="10"/>
                <w:sz w:val="21"/>
              </w:rPr>
              <w:t>六项基本日常生活活动</w:t>
            </w:r>
          </w:p>
        </w:tc>
        <w:tc>
          <w:tcPr>
            <w:tcW w:w="285" w:type="dxa"/>
          </w:tcPr>
          <w:p>
            <w:pPr>
              <w:pStyle w:val="TableParagraph"/>
              <w:spacing w:before="23"/>
              <w:ind w:left="-2"/>
              <w:rPr>
                <w:sz w:val="21"/>
              </w:rPr>
            </w:pPr>
            <w:r>
              <w:rPr>
                <w:w w:val="100"/>
                <w:sz w:val="21"/>
              </w:rPr>
              <w:t>：</w:t>
            </w:r>
          </w:p>
        </w:tc>
        <w:tc>
          <w:tcPr>
            <w:tcW w:w="7842" w:type="dxa"/>
          </w:tcPr>
          <w:p>
            <w:pPr>
              <w:pStyle w:val="TableParagraph"/>
              <w:spacing w:before="23"/>
              <w:ind w:left="88"/>
              <w:rPr>
                <w:sz w:val="21"/>
              </w:rPr>
            </w:pPr>
            <w:r>
              <w:rPr>
                <w:sz w:val="21"/>
              </w:rPr>
              <w:t>六项基本日常生活活动是指：</w:t>
            </w:r>
          </w:p>
          <w:p>
            <w:pPr>
              <w:pStyle w:val="TableParagraph"/>
              <w:spacing w:before="89"/>
              <w:ind w:left="73"/>
              <w:rPr>
                <w:sz w:val="21"/>
              </w:rPr>
            </w:pPr>
            <w:r>
              <w:rPr>
                <w:sz w:val="21"/>
              </w:rPr>
              <w:t>（</w:t>
            </w:r>
            <w:r>
              <w:rPr>
                <w:rFonts w:ascii="Times New Roman" w:eastAsia="Times New Roman"/>
                <w:sz w:val="21"/>
              </w:rPr>
              <w:t>1</w:t>
            </w:r>
            <w:r>
              <w:rPr>
                <w:sz w:val="21"/>
              </w:rPr>
              <w:t>）穿衣：自己能够穿衣及脱衣；</w:t>
            </w:r>
          </w:p>
          <w:p>
            <w:pPr>
              <w:pStyle w:val="TableParagraph"/>
              <w:spacing w:before="74"/>
              <w:ind w:left="73"/>
              <w:rPr>
                <w:sz w:val="21"/>
              </w:rPr>
            </w:pPr>
            <w:r>
              <w:rPr>
                <w:sz w:val="21"/>
              </w:rPr>
              <w:t>（</w:t>
            </w:r>
            <w:r>
              <w:rPr>
                <w:rFonts w:ascii="Times New Roman" w:eastAsia="Times New Roman"/>
                <w:sz w:val="21"/>
              </w:rPr>
              <w:t>2</w:t>
            </w:r>
            <w:r>
              <w:rPr>
                <w:sz w:val="21"/>
              </w:rPr>
              <w:t>）移动：自己从一个房间到另一个房间；</w:t>
            </w:r>
          </w:p>
          <w:p>
            <w:pPr>
              <w:pStyle w:val="TableParagraph"/>
              <w:spacing w:before="75"/>
              <w:ind w:left="73"/>
              <w:rPr>
                <w:sz w:val="21"/>
              </w:rPr>
            </w:pPr>
            <w:r>
              <w:rPr>
                <w:sz w:val="21"/>
              </w:rPr>
              <w:t>（</w:t>
            </w:r>
            <w:r>
              <w:rPr>
                <w:rFonts w:ascii="Times New Roman" w:eastAsia="Times New Roman"/>
                <w:sz w:val="21"/>
              </w:rPr>
              <w:t>3</w:t>
            </w:r>
            <w:r>
              <w:rPr>
                <w:sz w:val="21"/>
              </w:rPr>
              <w:t>）行动：自己上下床或上下轮椅；</w:t>
            </w:r>
          </w:p>
          <w:p>
            <w:pPr>
              <w:pStyle w:val="TableParagraph"/>
              <w:spacing w:before="74"/>
              <w:ind w:left="73"/>
              <w:rPr>
                <w:sz w:val="21"/>
              </w:rPr>
            </w:pPr>
            <w:r>
              <w:rPr>
                <w:sz w:val="21"/>
              </w:rPr>
              <w:t>（</w:t>
            </w:r>
            <w:r>
              <w:rPr>
                <w:rFonts w:ascii="Times New Roman" w:eastAsia="Times New Roman"/>
                <w:sz w:val="21"/>
              </w:rPr>
              <w:t>4</w:t>
            </w:r>
            <w:r>
              <w:rPr>
                <w:sz w:val="21"/>
              </w:rPr>
              <w:t>）如厕：自己控制进行大小便；</w:t>
            </w:r>
          </w:p>
          <w:p>
            <w:pPr>
              <w:pStyle w:val="TableParagraph"/>
              <w:spacing w:before="78"/>
              <w:ind w:left="73"/>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73"/>
              <w:ind w:left="73"/>
              <w:rPr>
                <w:sz w:val="21"/>
              </w:rPr>
            </w:pPr>
            <w:r>
              <w:rPr>
                <w:sz w:val="21"/>
              </w:rPr>
              <w:t>（</w:t>
            </w:r>
            <w:r>
              <w:rPr>
                <w:rFonts w:ascii="Times New Roman" w:eastAsia="Times New Roman"/>
                <w:sz w:val="21"/>
              </w:rPr>
              <w:t>6</w:t>
            </w:r>
            <w:r>
              <w:rPr>
                <w:sz w:val="21"/>
              </w:rPr>
              <w:t>）洗澡：自己进行淋浴或盆浴。</w:t>
            </w:r>
          </w:p>
        </w:tc>
      </w:tr>
      <w:tr>
        <w:trPr>
          <w:trHeight w:val="729" w:hRule="atLeast"/>
        </w:trPr>
        <w:tc>
          <w:tcPr>
            <w:tcW w:w="2002" w:type="dxa"/>
          </w:tcPr>
          <w:p>
            <w:pPr>
              <w:pStyle w:val="TableParagraph"/>
              <w:rPr>
                <w:sz w:val="21"/>
              </w:rPr>
            </w:pPr>
            <w:r>
              <w:rPr>
                <w:sz w:val="21"/>
              </w:rPr>
              <w:t>肢体机能完全丧失</w:t>
            </w:r>
          </w:p>
        </w:tc>
        <w:tc>
          <w:tcPr>
            <w:tcW w:w="285" w:type="dxa"/>
          </w:tcPr>
          <w:p>
            <w:pPr>
              <w:pStyle w:val="TableParagraph"/>
              <w:ind w:left="-2"/>
              <w:rPr>
                <w:sz w:val="21"/>
              </w:rPr>
            </w:pPr>
            <w:r>
              <w:rPr>
                <w:w w:val="100"/>
                <w:sz w:val="21"/>
              </w:rPr>
              <w:t>：</w:t>
            </w:r>
          </w:p>
        </w:tc>
        <w:tc>
          <w:tcPr>
            <w:tcW w:w="7842" w:type="dxa"/>
          </w:tcPr>
          <w:p>
            <w:pPr>
              <w:pStyle w:val="TableParagraph"/>
              <w:ind w:left="88"/>
              <w:rPr>
                <w:sz w:val="21"/>
              </w:rPr>
            </w:pPr>
            <w:r>
              <w:rPr>
                <w:sz w:val="21"/>
              </w:rPr>
              <w:t>指肢体的三大关节中的两大关节僵硬，或不能随意识活动。肢体是指包括肩关节的</w:t>
            </w:r>
          </w:p>
          <w:p>
            <w:pPr>
              <w:pStyle w:val="TableParagraph"/>
              <w:spacing w:before="89"/>
              <w:ind w:left="117"/>
              <w:rPr>
                <w:sz w:val="21"/>
              </w:rPr>
            </w:pPr>
            <w:r>
              <w:rPr>
                <w:sz w:val="21"/>
              </w:rPr>
              <w:t>整个上肢或包括髋关节的整个下肢。</w:t>
            </w:r>
          </w:p>
        </w:tc>
      </w:tr>
      <w:tr>
        <w:trPr>
          <w:trHeight w:val="734" w:hRule="atLeast"/>
        </w:trPr>
        <w:tc>
          <w:tcPr>
            <w:tcW w:w="2002" w:type="dxa"/>
          </w:tcPr>
          <w:p>
            <w:pPr>
              <w:pStyle w:val="TableParagraph"/>
              <w:rPr>
                <w:sz w:val="21"/>
              </w:rPr>
            </w:pPr>
            <w:r>
              <w:rPr>
                <w:sz w:val="21"/>
              </w:rPr>
              <w:t>语言能力完全丧失</w:t>
            </w:r>
          </w:p>
        </w:tc>
        <w:tc>
          <w:tcPr>
            <w:tcW w:w="285" w:type="dxa"/>
          </w:tcPr>
          <w:p>
            <w:pPr>
              <w:pStyle w:val="TableParagraph"/>
              <w:ind w:left="-2"/>
              <w:rPr>
                <w:sz w:val="21"/>
              </w:rPr>
            </w:pPr>
            <w:r>
              <w:rPr>
                <w:w w:val="100"/>
                <w:sz w:val="21"/>
              </w:rPr>
              <w:t>：</w:t>
            </w:r>
          </w:p>
        </w:tc>
        <w:tc>
          <w:tcPr>
            <w:tcW w:w="7842" w:type="dxa"/>
          </w:tcPr>
          <w:p>
            <w:pPr>
              <w:pStyle w:val="TableParagraph"/>
              <w:ind w:left="88"/>
              <w:rPr>
                <w:sz w:val="21"/>
              </w:rPr>
            </w:pPr>
            <w:r>
              <w:rPr>
                <w:sz w:val="21"/>
              </w:rPr>
              <w:t>指无法发出四种语音（包括口唇音、齿舌音、口盖音和喉头音）中的任何三种、或</w:t>
            </w:r>
          </w:p>
          <w:p>
            <w:pPr>
              <w:pStyle w:val="TableParagraph"/>
              <w:spacing w:before="94"/>
              <w:ind w:left="117"/>
              <w:rPr>
                <w:sz w:val="21"/>
              </w:rPr>
            </w:pPr>
            <w:r>
              <w:rPr>
                <w:sz w:val="21"/>
              </w:rPr>
              <w:t>声带全部切除，或因大脑语言中枢受伤害而患失语症。</w:t>
            </w:r>
          </w:p>
        </w:tc>
      </w:tr>
      <w:tr>
        <w:trPr>
          <w:trHeight w:val="730" w:hRule="atLeast"/>
        </w:trPr>
        <w:tc>
          <w:tcPr>
            <w:tcW w:w="2002" w:type="dxa"/>
          </w:tcPr>
          <w:p>
            <w:pPr>
              <w:pStyle w:val="TableParagraph"/>
              <w:ind w:right="-15"/>
              <w:rPr>
                <w:sz w:val="21"/>
              </w:rPr>
            </w:pPr>
            <w:r>
              <w:rPr>
                <w:spacing w:val="10"/>
                <w:sz w:val="21"/>
              </w:rPr>
              <w:t>咀嚼吞咽能力完全</w:t>
            </w:r>
          </w:p>
          <w:p>
            <w:pPr>
              <w:pStyle w:val="TableParagraph"/>
              <w:spacing w:before="90"/>
              <w:rPr>
                <w:sz w:val="21"/>
              </w:rPr>
            </w:pPr>
            <w:r>
              <w:rPr>
                <w:sz w:val="21"/>
              </w:rPr>
              <w:t>丧失</w:t>
            </w:r>
          </w:p>
        </w:tc>
        <w:tc>
          <w:tcPr>
            <w:tcW w:w="285" w:type="dxa"/>
          </w:tcPr>
          <w:p>
            <w:pPr>
              <w:pStyle w:val="TableParagraph"/>
              <w:ind w:left="-2"/>
              <w:rPr>
                <w:sz w:val="21"/>
              </w:rPr>
            </w:pPr>
            <w:r>
              <w:rPr>
                <w:w w:val="100"/>
                <w:sz w:val="21"/>
              </w:rPr>
              <w:t>：</w:t>
            </w:r>
          </w:p>
        </w:tc>
        <w:tc>
          <w:tcPr>
            <w:tcW w:w="7842" w:type="dxa"/>
          </w:tcPr>
          <w:p>
            <w:pPr>
              <w:pStyle w:val="TableParagraph"/>
              <w:ind w:left="88"/>
              <w:rPr>
                <w:sz w:val="21"/>
              </w:rPr>
            </w:pPr>
            <w:r>
              <w:rPr>
                <w:sz w:val="21"/>
              </w:rPr>
              <w:t>指因牙齿以外的原因导致器质障碍或机能障碍，以致不能作咀嚼吞咽运动，除流质</w:t>
            </w:r>
          </w:p>
          <w:p>
            <w:pPr>
              <w:pStyle w:val="TableParagraph"/>
              <w:spacing w:before="90"/>
              <w:ind w:left="117"/>
              <w:rPr>
                <w:sz w:val="21"/>
              </w:rPr>
            </w:pPr>
            <w:r>
              <w:rPr>
                <w:sz w:val="21"/>
              </w:rPr>
              <w:t>食物外不能摄取或吞咽的状态。</w:t>
            </w:r>
          </w:p>
        </w:tc>
      </w:tr>
      <w:tr>
        <w:trPr>
          <w:trHeight w:val="734" w:hRule="atLeast"/>
        </w:trPr>
        <w:tc>
          <w:tcPr>
            <w:tcW w:w="2002" w:type="dxa"/>
          </w:tcPr>
          <w:p>
            <w:pPr>
              <w:pStyle w:val="TableParagraph"/>
              <w:rPr>
                <w:sz w:val="21"/>
              </w:rPr>
            </w:pPr>
            <w:r>
              <w:rPr>
                <w:sz w:val="21"/>
              </w:rPr>
              <w:t>永久不可逆</w:t>
            </w:r>
          </w:p>
        </w:tc>
        <w:tc>
          <w:tcPr>
            <w:tcW w:w="285" w:type="dxa"/>
          </w:tcPr>
          <w:p>
            <w:pPr>
              <w:pStyle w:val="TableParagraph"/>
              <w:ind w:left="-2"/>
              <w:rPr>
                <w:sz w:val="21"/>
              </w:rPr>
            </w:pPr>
            <w:r>
              <w:rPr>
                <w:w w:val="100"/>
                <w:sz w:val="21"/>
              </w:rPr>
              <w:t>：</w:t>
            </w:r>
          </w:p>
        </w:tc>
        <w:tc>
          <w:tcPr>
            <w:tcW w:w="7842" w:type="dxa"/>
          </w:tcPr>
          <w:p>
            <w:pPr>
              <w:pStyle w:val="TableParagraph"/>
              <w:ind w:left="88"/>
              <w:rPr>
                <w:sz w:val="21"/>
              </w:rPr>
            </w:pPr>
            <w:r>
              <w:rPr>
                <w:sz w:val="21"/>
              </w:rPr>
              <w:t>指自疾病确诊或意外伤害发生之日起，经过积极治疗 </w:t>
            </w:r>
            <w:r>
              <w:rPr>
                <w:rFonts w:ascii="Times New Roman" w:eastAsia="Times New Roman"/>
                <w:sz w:val="21"/>
              </w:rPr>
              <w:t>180 </w:t>
            </w:r>
            <w:r>
              <w:rPr>
                <w:sz w:val="21"/>
              </w:rPr>
              <w:t>天，仍无法通过现有医疗</w:t>
            </w:r>
          </w:p>
          <w:p>
            <w:pPr>
              <w:pStyle w:val="TableParagraph"/>
              <w:spacing w:before="78"/>
              <w:ind w:left="117"/>
              <w:rPr>
                <w:sz w:val="21"/>
              </w:rPr>
            </w:pPr>
            <w:r>
              <w:rPr>
                <w:sz w:val="21"/>
              </w:rPr>
              <w:t>手段恢复。</w:t>
            </w:r>
          </w:p>
        </w:tc>
      </w:tr>
      <w:tr>
        <w:trPr>
          <w:trHeight w:val="2153" w:hRule="atLeast"/>
        </w:trPr>
        <w:tc>
          <w:tcPr>
            <w:tcW w:w="2002" w:type="dxa"/>
          </w:tcPr>
          <w:p>
            <w:pPr>
              <w:pStyle w:val="TableParagraph"/>
              <w:rPr>
                <w:sz w:val="21"/>
              </w:rPr>
            </w:pPr>
            <w:r>
              <w:rPr>
                <w:sz w:val="21"/>
              </w:rPr>
              <w:t>专科医生</w:t>
            </w:r>
          </w:p>
        </w:tc>
        <w:tc>
          <w:tcPr>
            <w:tcW w:w="285" w:type="dxa"/>
          </w:tcPr>
          <w:p>
            <w:pPr>
              <w:pStyle w:val="TableParagraph"/>
              <w:ind w:left="-2"/>
              <w:rPr>
                <w:sz w:val="21"/>
              </w:rPr>
            </w:pPr>
            <w:r>
              <w:rPr>
                <w:w w:val="100"/>
                <w:sz w:val="21"/>
              </w:rPr>
              <w:t>：</w:t>
            </w:r>
          </w:p>
        </w:tc>
        <w:tc>
          <w:tcPr>
            <w:tcW w:w="7842" w:type="dxa"/>
          </w:tcPr>
          <w:p>
            <w:pPr>
              <w:pStyle w:val="TableParagraph"/>
              <w:ind w:left="88"/>
              <w:rPr>
                <w:sz w:val="21"/>
              </w:rPr>
            </w:pPr>
            <w:r>
              <w:rPr>
                <w:sz w:val="21"/>
              </w:rPr>
              <w:t>专科医生应当同时满足以下四项资格条件：</w:t>
            </w:r>
          </w:p>
          <w:p>
            <w:pPr>
              <w:pStyle w:val="TableParagraph"/>
              <w:numPr>
                <w:ilvl w:val="0"/>
                <w:numId w:val="2"/>
              </w:numPr>
              <w:tabs>
                <w:tab w:pos="809" w:val="left" w:leader="none"/>
              </w:tabs>
              <w:spacing w:line="240" w:lineRule="auto" w:before="90" w:after="0"/>
              <w:ind w:left="808" w:right="0" w:hanging="720"/>
              <w:jc w:val="left"/>
              <w:rPr>
                <w:sz w:val="21"/>
              </w:rPr>
            </w:pPr>
            <w:r>
              <w:rPr>
                <w:spacing w:val="-10"/>
                <w:sz w:val="21"/>
              </w:rPr>
              <w:t>具有有效的中华人民共和国《医师资格证书》；</w:t>
            </w:r>
          </w:p>
          <w:p>
            <w:pPr>
              <w:pStyle w:val="TableParagraph"/>
              <w:numPr>
                <w:ilvl w:val="0"/>
                <w:numId w:val="2"/>
              </w:numPr>
              <w:tabs>
                <w:tab w:pos="809" w:val="left" w:leader="none"/>
              </w:tabs>
              <w:spacing w:line="240" w:lineRule="auto" w:before="74" w:after="0"/>
              <w:ind w:left="808" w:right="0" w:hanging="720"/>
              <w:jc w:val="left"/>
              <w:rPr>
                <w:sz w:val="21"/>
              </w:rPr>
            </w:pPr>
            <w:r>
              <w:rPr>
                <w:spacing w:val="-14"/>
                <w:sz w:val="21"/>
              </w:rPr>
              <w:t>具有有效的中华人民共和国《医师执业证书》，并按期到相关部门登记注册</w:t>
            </w:r>
          </w:p>
          <w:p>
            <w:pPr>
              <w:pStyle w:val="TableParagraph"/>
              <w:numPr>
                <w:ilvl w:val="0"/>
                <w:numId w:val="2"/>
              </w:numPr>
              <w:tabs>
                <w:tab w:pos="809" w:val="left" w:leader="none"/>
              </w:tabs>
              <w:spacing w:line="304" w:lineRule="auto" w:before="74" w:after="0"/>
              <w:ind w:left="808" w:right="208" w:hanging="720"/>
              <w:jc w:val="left"/>
              <w:rPr>
                <w:sz w:val="21"/>
              </w:rPr>
            </w:pPr>
            <w:r>
              <w:rPr>
                <w:sz w:val="21"/>
              </w:rPr>
              <w:t>具有有效的中华人民共和国主治医师或主治医师以上职称的《医师职称证</w:t>
            </w:r>
            <w:r>
              <w:rPr>
                <w:spacing w:val="-36"/>
                <w:sz w:val="21"/>
              </w:rPr>
              <w:t>书》；</w:t>
            </w:r>
          </w:p>
          <w:p>
            <w:pPr>
              <w:pStyle w:val="TableParagraph"/>
              <w:numPr>
                <w:ilvl w:val="0"/>
                <w:numId w:val="2"/>
              </w:numPr>
              <w:tabs>
                <w:tab w:pos="809" w:val="left" w:leader="none"/>
              </w:tabs>
              <w:spacing w:line="283" w:lineRule="exact" w:before="33" w:after="0"/>
              <w:ind w:left="808" w:right="0" w:hanging="720"/>
              <w:jc w:val="left"/>
              <w:rPr>
                <w:sz w:val="21"/>
              </w:rPr>
            </w:pPr>
            <w:r>
              <w:rPr>
                <w:spacing w:val="-5"/>
                <w:sz w:val="21"/>
              </w:rPr>
              <w:t>在二级或二级以上医院的相应科室从事临床工作三年以上。</w:t>
            </w:r>
          </w:p>
        </w:tc>
      </w:tr>
    </w:tbl>
    <w:sectPr>
      <w:pgSz w:w="11910" w:h="16840"/>
      <w:pgMar w:header="0" w:footer="219" w:top="860" w:bottom="400" w:left="8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55.664001pt;margin-top:815.993042pt;width:211.15pt;height:12.1pt;mso-position-horizontal-relative:page;mso-position-vertical-relative:page;z-index:-14344" type="#_x0000_t202" filled="false" stroked="false">
          <v:textbox inset="0,0,0,0">
            <w:txbxContent>
              <w:p>
                <w:pPr>
                  <w:spacing w:line="221" w:lineRule="exact" w:before="0"/>
                  <w:ind w:left="20" w:right="0" w:firstLine="0"/>
                  <w:jc w:val="left"/>
                  <w:rPr>
                    <w:sz w:val="18"/>
                  </w:rPr>
                </w:pPr>
                <w:r>
                  <w:rPr>
                    <w:spacing w:val="-5"/>
                    <w:sz w:val="18"/>
                  </w:rPr>
                  <w:t>《附加家庭支柱定期重大疾病保险》</w:t>
                </w:r>
                <w:r>
                  <w:rPr>
                    <w:rFonts w:ascii="Times New Roman" w:eastAsia="Times New Roman"/>
                    <w:spacing w:val="-3"/>
                    <w:sz w:val="18"/>
                  </w:rPr>
                  <w:t>2011 </w:t>
                </w:r>
                <w:r>
                  <w:rPr>
                    <w:spacing w:val="-14"/>
                    <w:sz w:val="18"/>
                  </w:rPr>
                  <w:t>年 </w:t>
                </w:r>
                <w:r>
                  <w:rPr>
                    <w:rFonts w:ascii="Times New Roman" w:eastAsia="Times New Roman"/>
                    <w:sz w:val="18"/>
                  </w:rPr>
                  <w:t>7 </w:t>
                </w:r>
                <w:r>
                  <w:rPr>
                    <w:spacing w:val="-2"/>
                    <w:sz w:val="18"/>
                  </w:rPr>
                  <w:t>月备案</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08" w:hanging="720"/>
        <w:jc w:val="left"/>
      </w:pPr>
      <w:rPr>
        <w:rFonts w:hint="default" w:ascii="宋体" w:hAnsi="宋体" w:eastAsia="宋体" w:cs="宋体"/>
        <w:w w:val="100"/>
        <w:sz w:val="21"/>
        <w:szCs w:val="21"/>
      </w:rPr>
    </w:lvl>
    <w:lvl w:ilvl="1">
      <w:start w:val="0"/>
      <w:numFmt w:val="bullet"/>
      <w:lvlText w:val="•"/>
      <w:lvlJc w:val="left"/>
      <w:pPr>
        <w:ind w:left="1504" w:hanging="720"/>
      </w:pPr>
      <w:rPr>
        <w:rFonts w:hint="default"/>
      </w:rPr>
    </w:lvl>
    <w:lvl w:ilvl="2">
      <w:start w:val="0"/>
      <w:numFmt w:val="bullet"/>
      <w:lvlText w:val="•"/>
      <w:lvlJc w:val="left"/>
      <w:pPr>
        <w:ind w:left="2208" w:hanging="720"/>
      </w:pPr>
      <w:rPr>
        <w:rFonts w:hint="default"/>
      </w:rPr>
    </w:lvl>
    <w:lvl w:ilvl="3">
      <w:start w:val="0"/>
      <w:numFmt w:val="bullet"/>
      <w:lvlText w:val="•"/>
      <w:lvlJc w:val="left"/>
      <w:pPr>
        <w:ind w:left="2912" w:hanging="720"/>
      </w:pPr>
      <w:rPr>
        <w:rFonts w:hint="default"/>
      </w:rPr>
    </w:lvl>
    <w:lvl w:ilvl="4">
      <w:start w:val="0"/>
      <w:numFmt w:val="bullet"/>
      <w:lvlText w:val="•"/>
      <w:lvlJc w:val="left"/>
      <w:pPr>
        <w:ind w:left="3616" w:hanging="720"/>
      </w:pPr>
      <w:rPr>
        <w:rFonts w:hint="default"/>
      </w:rPr>
    </w:lvl>
    <w:lvl w:ilvl="5">
      <w:start w:val="0"/>
      <w:numFmt w:val="bullet"/>
      <w:lvlText w:val="•"/>
      <w:lvlJc w:val="left"/>
      <w:pPr>
        <w:ind w:left="4321" w:hanging="720"/>
      </w:pPr>
      <w:rPr>
        <w:rFonts w:hint="default"/>
      </w:rPr>
    </w:lvl>
    <w:lvl w:ilvl="6">
      <w:start w:val="0"/>
      <w:numFmt w:val="bullet"/>
      <w:lvlText w:val="•"/>
      <w:lvlJc w:val="left"/>
      <w:pPr>
        <w:ind w:left="5025" w:hanging="720"/>
      </w:pPr>
      <w:rPr>
        <w:rFonts w:hint="default"/>
      </w:rPr>
    </w:lvl>
    <w:lvl w:ilvl="7">
      <w:start w:val="0"/>
      <w:numFmt w:val="bullet"/>
      <w:lvlText w:val="•"/>
      <w:lvlJc w:val="left"/>
      <w:pPr>
        <w:ind w:left="5729" w:hanging="720"/>
      </w:pPr>
      <w:rPr>
        <w:rFonts w:hint="default"/>
      </w:rPr>
    </w:lvl>
    <w:lvl w:ilvl="8">
      <w:start w:val="0"/>
      <w:numFmt w:val="bullet"/>
      <w:lvlText w:val="•"/>
      <w:lvlJc w:val="left"/>
      <w:pPr>
        <w:ind w:left="6433" w:hanging="720"/>
      </w:pPr>
      <w:rPr>
        <w:rFonts w:hint="default"/>
      </w:rPr>
    </w:lvl>
  </w:abstractNum>
  <w:abstractNum w:abstractNumId="0">
    <w:multiLevelType w:val="hybridMultilevel"/>
    <w:lvl w:ilvl="0">
      <w:start w:val="1"/>
      <w:numFmt w:val="decimal"/>
      <w:lvlText w:val="%1."/>
      <w:lvlJc w:val="left"/>
      <w:pPr>
        <w:ind w:left="473"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428" w:hanging="360"/>
      </w:pPr>
      <w:rPr>
        <w:rFonts w:hint="default"/>
      </w:rPr>
    </w:lvl>
    <w:lvl w:ilvl="2">
      <w:start w:val="0"/>
      <w:numFmt w:val="bullet"/>
      <w:lvlText w:val="•"/>
      <w:lvlJc w:val="left"/>
      <w:pPr>
        <w:ind w:left="2376" w:hanging="360"/>
      </w:pPr>
      <w:rPr>
        <w:rFonts w:hint="default"/>
      </w:rPr>
    </w:lvl>
    <w:lvl w:ilvl="3">
      <w:start w:val="0"/>
      <w:numFmt w:val="bullet"/>
      <w:lvlText w:val="•"/>
      <w:lvlJc w:val="left"/>
      <w:pPr>
        <w:ind w:left="3325" w:hanging="360"/>
      </w:pPr>
      <w:rPr>
        <w:rFonts w:hint="default"/>
      </w:rPr>
    </w:lvl>
    <w:lvl w:ilvl="4">
      <w:start w:val="0"/>
      <w:numFmt w:val="bullet"/>
      <w:lvlText w:val="•"/>
      <w:lvlJc w:val="left"/>
      <w:pPr>
        <w:ind w:left="4273" w:hanging="360"/>
      </w:pPr>
      <w:rPr>
        <w:rFonts w:hint="default"/>
      </w:rPr>
    </w:lvl>
    <w:lvl w:ilvl="5">
      <w:start w:val="0"/>
      <w:numFmt w:val="bullet"/>
      <w:lvlText w:val="•"/>
      <w:lvlJc w:val="left"/>
      <w:pPr>
        <w:ind w:left="5222" w:hanging="360"/>
      </w:pPr>
      <w:rPr>
        <w:rFonts w:hint="default"/>
      </w:rPr>
    </w:lvl>
    <w:lvl w:ilvl="6">
      <w:start w:val="0"/>
      <w:numFmt w:val="bullet"/>
      <w:lvlText w:val="•"/>
      <w:lvlJc w:val="left"/>
      <w:pPr>
        <w:ind w:left="6170" w:hanging="360"/>
      </w:pPr>
      <w:rPr>
        <w:rFonts w:hint="default"/>
      </w:rPr>
    </w:lvl>
    <w:lvl w:ilvl="7">
      <w:start w:val="0"/>
      <w:numFmt w:val="bullet"/>
      <w:lvlText w:val="•"/>
      <w:lvlJc w:val="left"/>
      <w:pPr>
        <w:ind w:left="7118" w:hanging="360"/>
      </w:pPr>
      <w:rPr>
        <w:rFonts w:hint="default"/>
      </w:rPr>
    </w:lvl>
    <w:lvl w:ilvl="8">
      <w:start w:val="0"/>
      <w:numFmt w:val="bullet"/>
      <w:lvlText w:val="•"/>
      <w:lvlJc w:val="left"/>
      <w:pPr>
        <w:ind w:left="8067"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3"/>
    </w:pPr>
    <w:rPr>
      <w:rFonts w:ascii="宋体" w:hAnsi="宋体" w:eastAsia="宋体" w:cs="宋体"/>
      <w:sz w:val="21"/>
      <w:szCs w:val="21"/>
    </w:rPr>
  </w:style>
  <w:style w:styleId="Heading1" w:type="paragraph">
    <w:name w:val="Heading 1"/>
    <w:basedOn w:val="Normal"/>
    <w:uiPriority w:val="1"/>
    <w:qFormat/>
    <w:pPr>
      <w:ind w:left="113"/>
      <w:outlineLvl w:val="1"/>
    </w:pPr>
    <w:rPr>
      <w:rFonts w:ascii="黑体" w:hAnsi="黑体" w:eastAsia="黑体" w:cs="黑体"/>
      <w:b/>
      <w:bCs/>
      <w:sz w:val="21"/>
      <w:szCs w:val="21"/>
    </w:rPr>
  </w:style>
  <w:style w:styleId="ListParagraph" w:type="paragraph">
    <w:name w:val="List Paragraph"/>
    <w:basedOn w:val="Normal"/>
    <w:uiPriority w:val="1"/>
    <w:qFormat/>
    <w:pPr>
      <w:spacing w:before="7"/>
      <w:ind w:left="473" w:hanging="360"/>
    </w:pPr>
    <w:rPr>
      <w:rFonts w:ascii="宋体" w:hAnsi="宋体" w:eastAsia="宋体" w:cs="宋体"/>
    </w:rPr>
  </w:style>
  <w:style w:styleId="TableParagraph" w:type="paragraph">
    <w:name w:val="Table Paragraph"/>
    <w:basedOn w:val="Normal"/>
    <w:uiPriority w:val="1"/>
    <w:qFormat/>
    <w:pPr>
      <w:spacing w:before="21"/>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Xu</dc:creator>
  <dc:title>太平洋安泰人寿保险有限公司</dc:title>
  <dcterms:created xsi:type="dcterms:W3CDTF">2018-10-20T00:06:42Z</dcterms:created>
  <dcterms:modified xsi:type="dcterms:W3CDTF">2018-10-20T00:06:42Z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Microsoft® Office Word 2007</vt:lpwstr>
  </property>
  <property fmtid="{D5CDD505-2E9C-101B-9397-08002B2CF9AE}" pid="4" name="LastSaved">
    <vt:filetime>2018-10-19T00:00:00Z</vt:filetime>
  </property>
</Properties>
</file>