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9"/>
        <w:ind w:right="98"/>
        <w:jc w:val="right"/>
      </w:pPr>
      <w:r>
        <w:rPr/>
        <w:drawing>
          <wp:anchor distT="0" distB="0" distL="0" distR="0" allowOverlap="1" layoutInCell="1" locked="0" behindDoc="0" simplePos="0" relativeHeight="0">
            <wp:simplePos x="0" y="0"/>
            <wp:positionH relativeFrom="page">
              <wp:posOffset>5553455</wp:posOffset>
            </wp:positionH>
            <wp:positionV relativeFrom="paragraph">
              <wp:posOffset>253919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062 号</w:t>
      </w:r>
    </w:p>
    <w:p>
      <w:pPr>
        <w:pStyle w:val="BodyText"/>
        <w:spacing w:before="10"/>
        <w:ind w:right="568"/>
        <w:jc w:val="right"/>
      </w:pPr>
      <w:r>
        <w:rPr/>
        <w:t>请扫描以查询验证条款</w:t>
      </w:r>
    </w:p>
    <w:p>
      <w:pPr>
        <w:pStyle w:val="BodyText"/>
        <w:rPr>
          <w:sz w:val="20"/>
        </w:rPr>
      </w:pPr>
    </w:p>
    <w:p>
      <w:pPr>
        <w:pStyle w:val="BodyText"/>
        <w:spacing w:before="12"/>
        <w:rPr>
          <w:sz w:val="17"/>
        </w:rPr>
      </w:pPr>
    </w:p>
    <w:p>
      <w:pPr>
        <w:pStyle w:val="Heading1"/>
        <w:ind w:right="347"/>
      </w:pPr>
      <w:r>
        <w:rPr/>
        <w:t>阳光人寿保险股份有限公司</w:t>
      </w:r>
    </w:p>
    <w:p>
      <w:pPr>
        <w:spacing w:before="373"/>
        <w:ind w:left="0" w:right="91" w:firstLine="0"/>
        <w:jc w:val="center"/>
        <w:rPr>
          <w:sz w:val="32"/>
        </w:rPr>
      </w:pPr>
      <w:r>
        <w:rPr>
          <w:sz w:val="32"/>
        </w:rPr>
        <w:t>阳光人寿附加阳光康睿重大疾病保险条款</w:t>
      </w:r>
    </w:p>
    <w:p>
      <w:pPr>
        <w:pStyle w:val="BodyText"/>
        <w:spacing w:before="11"/>
        <w:rPr>
          <w:sz w:val="25"/>
        </w:rPr>
      </w:pPr>
      <w:r>
        <w:rPr/>
        <w:pict>
          <v:line style="position:absolute;mso-position-horizontal-relative:page;mso-position-vertical-relative:paragraph;z-index:1048;mso-wrap-distance-left:0;mso-wrap-distance-right:0" from="61.560001pt,19.299763pt" to="523.560001pt,19.299763pt" stroked="true" strokeweight=".75pt" strokecolor="#000000">
            <v:stroke dashstyle="solid"/>
            <w10:wrap type="topAndBottom"/>
          </v:line>
        </w:pict>
      </w:r>
    </w:p>
    <w:p>
      <w:pPr>
        <w:pStyle w:val="BodyText"/>
        <w:rPr>
          <w:sz w:val="31"/>
        </w:rPr>
      </w:pPr>
    </w:p>
    <w:p>
      <w:pPr>
        <w:spacing w:before="0"/>
        <w:ind w:left="0" w:right="487" w:firstLine="0"/>
        <w:jc w:val="center"/>
        <w:rPr>
          <w:sz w:val="32"/>
        </w:rPr>
      </w:pPr>
      <w:r>
        <w:rPr>
          <w:sz w:val="32"/>
        </w:rPr>
        <w:t>阅 读 指 引</w:t>
      </w:r>
    </w:p>
    <w:p>
      <w:pPr>
        <w:spacing w:before="192"/>
        <w:ind w:left="0" w:right="480" w:firstLine="0"/>
        <w:jc w:val="center"/>
        <w:rPr>
          <w:rFonts w:ascii="Times New Roman"/>
          <w:b/>
          <w:sz w:val="21"/>
        </w:rPr>
      </w:pPr>
      <w:r>
        <w:rPr>
          <w:rFonts w:ascii="Times New Roman"/>
          <w:b/>
          <w:sz w:val="21"/>
        </w:rPr>
        <w:t>ADDR--1</w:t>
      </w:r>
    </w:p>
    <w:p>
      <w:pPr>
        <w:pStyle w:val="BodyText"/>
        <w:spacing w:before="8"/>
        <w:rPr>
          <w:rFonts w:ascii="Times New Roman"/>
          <w:b/>
          <w:sz w:val="28"/>
        </w:rPr>
      </w:pPr>
    </w:p>
    <w:p>
      <w:pPr>
        <w:pStyle w:val="BodyText"/>
        <w:spacing w:line="261" w:lineRule="auto"/>
        <w:ind w:left="1791" w:right="1192" w:hanging="219"/>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8"/>
        </w:rPr>
        <w:t>，</w:t>
      </w:r>
      <w:r>
        <w:rPr>
          <w:spacing w:val="-63"/>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3"/>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8"/>
        </w:rPr>
        <w:t>，</w:t>
      </w:r>
      <w:r>
        <w:rPr>
          <w:spacing w:val="-63"/>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position w:val="-7"/>
        </w:rPr>
        <w:t>．</w: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rPr>
          <w:sz w:val="28"/>
        </w:rPr>
      </w:pPr>
    </w:p>
    <w:p>
      <w:pPr>
        <w:pStyle w:val="BodyText"/>
        <w:spacing w:before="6"/>
        <w:rPr>
          <w:sz w:val="19"/>
        </w:rPr>
      </w:pPr>
    </w:p>
    <w:p>
      <w:pPr>
        <w:pStyle w:val="BodyText"/>
        <w:spacing w:before="1"/>
        <w:ind w:right="353"/>
        <w:jc w:val="center"/>
      </w:pPr>
      <w:r>
        <w:rPr/>
        <w:t>您拥有的重要权益</w:t>
      </w:r>
    </w:p>
    <w:p>
      <w:pPr>
        <w:pStyle w:val="BodyText"/>
        <w:tabs>
          <w:tab w:pos="9343" w:val="right" w:leader="dot"/>
        </w:tabs>
        <w:spacing w:before="349"/>
        <w:ind w:right="191"/>
        <w:jc w:val="center"/>
      </w:pPr>
      <w:r>
        <w:rPr/>
        <w:t>签收本附加合同次日起</w:t>
      </w:r>
      <w:r>
        <w:rPr>
          <w:spacing w:val="-54"/>
        </w:rPr>
        <w:t> </w:t>
      </w:r>
      <w:r>
        <w:rPr/>
        <w:t>10</w:t>
      </w:r>
      <w:r>
        <w:rPr>
          <w:spacing w:val="-54"/>
        </w:rPr>
        <w:t> </w:t>
      </w:r>
      <w:r>
        <w:rPr/>
        <w:t>日内您可以要求退还所交纳的扣除工本费后的保险费</w:t>
        <w:tab/>
        <w:t>1.3</w:t>
      </w:r>
    </w:p>
    <w:p>
      <w:pPr>
        <w:pStyle w:val="BodyText"/>
        <w:tabs>
          <w:tab w:pos="9342" w:val="right" w:leader="dot"/>
        </w:tabs>
        <w:spacing w:before="37"/>
        <w:ind w:right="192"/>
        <w:jc w:val="center"/>
      </w:pPr>
      <w:r>
        <w:rPr/>
        <w:t>您有按本附加合同条款约定续保本保险的权利</w:t>
        <w:tab/>
        <w:t>2.4</w:t>
      </w:r>
    </w:p>
    <w:p>
      <w:pPr>
        <w:pStyle w:val="BodyText"/>
        <w:tabs>
          <w:tab w:pos="9342" w:val="right" w:leader="dot"/>
        </w:tabs>
        <w:spacing w:before="37"/>
        <w:ind w:right="193"/>
        <w:jc w:val="center"/>
      </w:pPr>
      <w:r>
        <w:rPr/>
        <w:t>被保险人可以享受本附加合同提供的保障</w:t>
        <w:tab/>
        <w:t>2.5</w:t>
      </w:r>
    </w:p>
    <w:p>
      <w:pPr>
        <w:pStyle w:val="BodyText"/>
        <w:tabs>
          <w:tab w:pos="9341" w:val="right" w:leader="dot"/>
        </w:tabs>
        <w:spacing w:before="37"/>
        <w:ind w:right="194"/>
        <w:jc w:val="center"/>
      </w:pPr>
      <w:r>
        <w:rPr/>
        <w:t>您有退保的权利</w:t>
        <w:tab/>
        <w:t>6.1</w:t>
      </w:r>
    </w:p>
    <w:p>
      <w:pPr>
        <w:pStyle w:val="BodyText"/>
        <w:spacing w:before="9"/>
        <w:rPr>
          <w:sz w:val="26"/>
        </w:rPr>
      </w:pPr>
    </w:p>
    <w:p>
      <w:pPr>
        <w:pStyle w:val="BodyText"/>
        <w:ind w:right="379"/>
        <w:jc w:val="center"/>
      </w:pPr>
      <w:r>
        <w:rPr/>
        <w:t>您应当特别注意的事项</w:t>
      </w:r>
    </w:p>
    <w:p>
      <w:pPr>
        <w:pStyle w:val="BodyText"/>
        <w:spacing w:before="8"/>
        <w:rPr>
          <w:sz w:val="26"/>
        </w:rPr>
      </w:pPr>
    </w:p>
    <w:p>
      <w:pPr>
        <w:pStyle w:val="BodyText"/>
        <w:spacing w:before="1"/>
        <w:ind w:right="296"/>
        <w:jc w:val="center"/>
      </w:pPr>
      <w:r>
        <w:rPr/>
        <w:t>我们对免除本公司责任的条款做了特别提示，详见条款正文中背景突出显示的部分................</w:t>
      </w:r>
    </w:p>
    <w:p>
      <w:pPr>
        <w:pStyle w:val="BodyText"/>
        <w:spacing w:before="37"/>
        <w:ind w:right="299"/>
        <w:jc w:val="center"/>
      </w:pPr>
      <w:r>
        <w:rPr/>
        <w:t>.......................................................2.5、2.6、3.2、3.4、4.2、8.1、9.4</w:t>
      </w:r>
    </w:p>
    <w:p>
      <w:pPr>
        <w:pStyle w:val="BodyText"/>
        <w:tabs>
          <w:tab w:pos="8921" w:val="left" w:leader="dot"/>
        </w:tabs>
        <w:spacing w:before="37"/>
        <w:ind w:right="298"/>
        <w:jc w:val="center"/>
      </w:pPr>
      <w:r>
        <w:rPr/>
        <w:t>被保险人应到我们认可的医院就诊</w:t>
        <w:tab/>
        <w:t>2.5</w:t>
      </w:r>
    </w:p>
    <w:p>
      <w:pPr>
        <w:pStyle w:val="BodyText"/>
        <w:spacing w:before="37"/>
        <w:ind w:right="297"/>
        <w:jc w:val="center"/>
      </w:pPr>
      <w:r>
        <w:rPr/>
        <w:t>请您留意保险条款中关于轻症重疾、重大疾病的释义..................................3.2、3.4</w:t>
      </w:r>
    </w:p>
    <w:p>
      <w:pPr>
        <w:pStyle w:val="BodyText"/>
        <w:tabs>
          <w:tab w:pos="8921" w:val="left" w:leader="dot"/>
        </w:tabs>
        <w:spacing w:before="37"/>
        <w:ind w:right="299"/>
        <w:jc w:val="center"/>
      </w:pPr>
      <w:r>
        <w:rPr/>
        <w:t>保险事故发生后，您有及时通知我们的义务</w:t>
        <w:tab/>
        <w:t>4.2</w:t>
      </w:r>
    </w:p>
    <w:p>
      <w:pPr>
        <w:pStyle w:val="BodyText"/>
        <w:tabs>
          <w:tab w:pos="8921" w:val="left" w:leader="dot"/>
        </w:tabs>
        <w:spacing w:before="37"/>
        <w:ind w:right="300"/>
        <w:jc w:val="center"/>
      </w:pPr>
      <w:r>
        <w:rPr/>
        <w:t>您应当按时交纳保险费</w:t>
        <w:tab/>
        <w:t>5.1</w:t>
      </w:r>
    </w:p>
    <w:p>
      <w:pPr>
        <w:pStyle w:val="BodyText"/>
        <w:tabs>
          <w:tab w:pos="8921" w:val="left" w:leader="dot"/>
        </w:tabs>
        <w:spacing w:before="37"/>
        <w:ind w:right="299"/>
        <w:jc w:val="center"/>
      </w:pPr>
      <w:r>
        <w:rPr/>
        <w:t>退保会给您造成一定的损失，请您慎重决策</w:t>
        <w:tab/>
        <w:t>6.1</w:t>
      </w:r>
    </w:p>
    <w:p>
      <w:pPr>
        <w:pStyle w:val="BodyText"/>
        <w:tabs>
          <w:tab w:pos="8921" w:val="left" w:leader="dot"/>
        </w:tabs>
        <w:spacing w:before="37"/>
        <w:ind w:right="300"/>
        <w:jc w:val="center"/>
      </w:pPr>
      <w:r>
        <w:rPr/>
        <w:t>您有如实告知的义务</w:t>
        <w:tab/>
        <w:t>7.1</w:t>
      </w:r>
    </w:p>
    <w:p>
      <w:pPr>
        <w:pStyle w:val="BodyText"/>
        <w:tabs>
          <w:tab w:pos="8923" w:val="left" w:leader="dot"/>
        </w:tabs>
        <w:spacing w:before="37"/>
        <w:ind w:right="297"/>
        <w:jc w:val="center"/>
      </w:pPr>
      <w:r>
        <w:rPr/>
        <w:t>主合同的某些变动会导致本附加合同的效力终止</w:t>
        <w:tab/>
        <w:t>8.2</w:t>
      </w:r>
    </w:p>
    <w:p>
      <w:pPr>
        <w:pStyle w:val="BodyText"/>
        <w:tabs>
          <w:tab w:pos="9034" w:val="left" w:leader="dot"/>
        </w:tabs>
        <w:spacing w:before="37"/>
        <w:ind w:left="111"/>
      </w:pPr>
      <w:r>
        <w:rPr/>
        <w:t>我们对一些重要术语进行了解释，并作了显著标注，请您注意</w:t>
        <w:tab/>
        <w:t>9</w:t>
      </w:r>
    </w:p>
    <w:p>
      <w:pPr>
        <w:spacing w:after="0"/>
        <w:sectPr>
          <w:type w:val="continuous"/>
          <w:pgSz w:w="11900" w:h="16840"/>
          <w:pgMar w:top="1100" w:bottom="280" w:left="1120" w:right="1020"/>
        </w:sectPr>
      </w:pPr>
    </w:p>
    <w:p>
      <w:pPr>
        <w:pStyle w:val="Heading1"/>
        <w:spacing w:before="22"/>
        <w:ind w:left="4154" w:right="4705"/>
      </w:pPr>
      <w:r>
        <w:rPr/>
        <w:t>条款目录</w:t>
      </w:r>
    </w:p>
    <w:p>
      <w:pPr>
        <w:pStyle w:val="BodyText"/>
        <w:spacing w:before="6"/>
        <w:rPr>
          <w:sz w:val="58"/>
        </w:rPr>
      </w:pPr>
    </w:p>
    <w:p>
      <w:pPr>
        <w:pStyle w:val="ListParagraph"/>
        <w:numPr>
          <w:ilvl w:val="0"/>
          <w:numId w:val="1"/>
        </w:numPr>
        <w:tabs>
          <w:tab w:pos="336" w:val="left" w:leader="none"/>
          <w:tab w:pos="3369" w:val="left" w:leader="none"/>
          <w:tab w:pos="6913" w:val="left" w:leader="none"/>
        </w:tabs>
        <w:spacing w:line="240" w:lineRule="auto" w:before="0" w:after="0"/>
        <w:ind w:left="336" w:right="0" w:hanging="227"/>
        <w:jc w:val="left"/>
        <w:rPr>
          <w:sz w:val="21"/>
        </w:rPr>
      </w:pPr>
      <w:r>
        <w:rPr/>
        <w:drawing>
          <wp:anchor distT="0" distB="0" distL="0" distR="0" allowOverlap="1" layoutInCell="1" locked="0" behindDoc="1" simplePos="0" relativeHeight="268348511">
            <wp:simplePos x="0" y="0"/>
            <wp:positionH relativeFrom="page">
              <wp:posOffset>2716529</wp:posOffset>
            </wp:positionH>
            <wp:positionV relativeFrom="paragraph">
              <wp:posOffset>9448</wp:posOffset>
            </wp:positionV>
            <wp:extent cx="7619" cy="756132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619" cy="7561326"/>
                    </a:xfrm>
                    <a:prstGeom prst="rect">
                      <a:avLst/>
                    </a:prstGeom>
                  </pic:spPr>
                </pic:pic>
              </a:graphicData>
            </a:graphic>
          </wp:anchor>
        </w:drawing>
      </w:r>
      <w:r>
        <w:rPr/>
        <w:drawing>
          <wp:anchor distT="0" distB="0" distL="0" distR="0" allowOverlap="1" layoutInCell="1" locked="0" behindDoc="1" simplePos="0" relativeHeight="268348535">
            <wp:simplePos x="0" y="0"/>
            <wp:positionH relativeFrom="page">
              <wp:posOffset>4965953</wp:posOffset>
            </wp:positionH>
            <wp:positionV relativeFrom="paragraph">
              <wp:posOffset>9448</wp:posOffset>
            </wp:positionV>
            <wp:extent cx="7619" cy="7561326"/>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7619" cy="7561326"/>
                    </a:xfrm>
                    <a:prstGeom prst="rect">
                      <a:avLst/>
                    </a:prstGeom>
                  </pic:spPr>
                </pic:pic>
              </a:graphicData>
            </a:graphic>
          </wp:anchor>
        </w:drawing>
      </w:r>
      <w:r>
        <w:rPr>
          <w:sz w:val="21"/>
        </w:rPr>
        <w:t>您与我们订立的合同</w:t>
        <w:tab/>
        <w:t>5</w:t>
      </w:r>
      <w:r>
        <w:rPr>
          <w:spacing w:val="-51"/>
          <w:sz w:val="21"/>
        </w:rPr>
        <w:t> </w:t>
      </w:r>
      <w:r>
        <w:rPr>
          <w:sz w:val="21"/>
        </w:rPr>
        <w:t>保险费的交纳</w:t>
        <w:tab/>
        <w:t>9</w:t>
      </w:r>
      <w:r>
        <w:rPr>
          <w:spacing w:val="0"/>
          <w:sz w:val="21"/>
        </w:rPr>
        <w:t> </w:t>
      </w:r>
      <w:r>
        <w:rPr>
          <w:sz w:val="21"/>
        </w:rPr>
        <w:t>释义</w:t>
      </w:r>
    </w:p>
    <w:p>
      <w:pPr>
        <w:pStyle w:val="BodyText"/>
        <w:spacing w:before="11"/>
        <w:rPr>
          <w:sz w:val="14"/>
        </w:rPr>
      </w:pPr>
    </w:p>
    <w:p>
      <w:pPr>
        <w:pStyle w:val="ListParagraph"/>
        <w:numPr>
          <w:ilvl w:val="1"/>
          <w:numId w:val="1"/>
        </w:numPr>
        <w:tabs>
          <w:tab w:pos="740" w:val="left" w:leader="none"/>
          <w:tab w:pos="3579" w:val="left" w:leader="none"/>
          <w:tab w:pos="7123" w:val="left" w:leader="none"/>
        </w:tabs>
        <w:spacing w:line="240" w:lineRule="auto" w:before="0" w:after="0"/>
        <w:ind w:left="739" w:right="0" w:hanging="420"/>
        <w:jc w:val="left"/>
        <w:rPr>
          <w:sz w:val="21"/>
        </w:rPr>
      </w:pPr>
      <w:r>
        <w:rPr>
          <w:sz w:val="21"/>
        </w:rPr>
        <w:t>合同订立</w:t>
        <w:tab/>
        <w:t>5.1 保险费的交纳</w:t>
        <w:tab/>
        <w:t>9.1 有效身份证件</w:t>
      </w:r>
    </w:p>
    <w:p>
      <w:pPr>
        <w:pStyle w:val="ListParagraph"/>
        <w:numPr>
          <w:ilvl w:val="1"/>
          <w:numId w:val="1"/>
        </w:numPr>
        <w:tabs>
          <w:tab w:pos="740" w:val="left" w:leader="none"/>
          <w:tab w:pos="3579" w:val="left" w:leader="none"/>
          <w:tab w:pos="7123" w:val="left" w:leader="none"/>
        </w:tabs>
        <w:spacing w:line="240" w:lineRule="auto" w:before="64" w:after="0"/>
        <w:ind w:left="739" w:right="0" w:hanging="420"/>
        <w:jc w:val="left"/>
        <w:rPr>
          <w:sz w:val="21"/>
        </w:rPr>
      </w:pPr>
      <w:r>
        <w:rPr>
          <w:sz w:val="21"/>
        </w:rPr>
        <w:t>合同生效</w:t>
        <w:tab/>
        <w:t>5.2 宽限期</w:t>
        <w:tab/>
        <w:t>9.2</w:t>
      </w:r>
      <w:r>
        <w:rPr>
          <w:spacing w:val="-2"/>
          <w:sz w:val="21"/>
        </w:rPr>
        <w:t> </w:t>
      </w:r>
      <w:r>
        <w:rPr>
          <w:sz w:val="21"/>
        </w:rPr>
        <w:t>周岁</w:t>
      </w:r>
    </w:p>
    <w:p>
      <w:pPr>
        <w:pStyle w:val="ListParagraph"/>
        <w:numPr>
          <w:ilvl w:val="1"/>
          <w:numId w:val="1"/>
        </w:numPr>
        <w:tabs>
          <w:tab w:pos="740" w:val="left" w:leader="none"/>
          <w:tab w:pos="7123" w:val="left" w:leader="none"/>
        </w:tabs>
        <w:spacing w:line="240" w:lineRule="auto" w:before="64" w:after="0"/>
        <w:ind w:left="739" w:right="0" w:hanging="420"/>
        <w:jc w:val="left"/>
        <w:rPr>
          <w:sz w:val="21"/>
        </w:rPr>
      </w:pPr>
      <w:r>
        <w:rPr>
          <w:sz w:val="21"/>
        </w:rPr>
        <w:t>犹豫期</w:t>
        <w:tab/>
        <w:t>9.3 意外伤害</w:t>
      </w:r>
    </w:p>
    <w:p>
      <w:pPr>
        <w:pStyle w:val="ListParagraph"/>
        <w:numPr>
          <w:ilvl w:val="1"/>
          <w:numId w:val="2"/>
        </w:numPr>
        <w:tabs>
          <w:tab w:pos="7544" w:val="left" w:leader="none"/>
        </w:tabs>
        <w:spacing w:line="240" w:lineRule="auto" w:before="66" w:after="0"/>
        <w:ind w:left="7543" w:right="1164" w:hanging="420"/>
        <w:jc w:val="right"/>
        <w:rPr>
          <w:sz w:val="21"/>
        </w:rPr>
      </w:pPr>
      <w:r>
        <w:rPr>
          <w:sz w:val="21"/>
        </w:rPr>
        <w:t>我们认可的医院</w:t>
      </w:r>
    </w:p>
    <w:p>
      <w:pPr>
        <w:pStyle w:val="ListParagraph"/>
        <w:numPr>
          <w:ilvl w:val="1"/>
          <w:numId w:val="2"/>
        </w:numPr>
        <w:tabs>
          <w:tab w:pos="7544" w:val="left" w:leader="none"/>
        </w:tabs>
        <w:spacing w:line="240" w:lineRule="auto" w:before="65" w:after="0"/>
        <w:ind w:left="7543" w:right="1794" w:hanging="420"/>
        <w:jc w:val="right"/>
        <w:rPr>
          <w:sz w:val="21"/>
        </w:rPr>
      </w:pPr>
      <w:r>
        <w:rPr>
          <w:sz w:val="21"/>
        </w:rPr>
        <w:t>专科医生</w:t>
      </w:r>
    </w:p>
    <w:p>
      <w:pPr>
        <w:pStyle w:val="ListParagraph"/>
        <w:numPr>
          <w:ilvl w:val="0"/>
          <w:numId w:val="1"/>
        </w:numPr>
        <w:tabs>
          <w:tab w:pos="322" w:val="left" w:leader="none"/>
          <w:tab w:pos="3369" w:val="left" w:leader="none"/>
          <w:tab w:pos="7123" w:val="left" w:leader="none"/>
        </w:tabs>
        <w:spacing w:line="240" w:lineRule="auto" w:before="65" w:after="0"/>
        <w:ind w:left="321" w:right="0" w:hanging="212"/>
        <w:jc w:val="left"/>
        <w:rPr>
          <w:sz w:val="21"/>
        </w:rPr>
      </w:pPr>
      <w:r>
        <w:rPr>
          <w:sz w:val="21"/>
        </w:rPr>
        <w:t>我们提供的保障</w:t>
        <w:tab/>
        <w:t>6</w:t>
      </w:r>
      <w:r>
        <w:rPr>
          <w:spacing w:val="1"/>
          <w:sz w:val="21"/>
        </w:rPr>
        <w:t> </w:t>
      </w:r>
      <w:r>
        <w:rPr>
          <w:sz w:val="21"/>
        </w:rPr>
        <w:t>合同解除</w:t>
        <w:tab/>
        <w:t>9.6</w:t>
      </w:r>
      <w:r>
        <w:rPr>
          <w:spacing w:val="-3"/>
          <w:sz w:val="21"/>
        </w:rPr>
        <w:t> </w:t>
      </w:r>
      <w:r>
        <w:rPr>
          <w:sz w:val="21"/>
        </w:rPr>
        <w:t>毒品</w:t>
      </w:r>
    </w:p>
    <w:p>
      <w:pPr>
        <w:pStyle w:val="BodyText"/>
        <w:rPr>
          <w:sz w:val="10"/>
        </w:rPr>
      </w:pPr>
    </w:p>
    <w:tbl>
      <w:tblPr>
        <w:tblW w:w="0" w:type="auto"/>
        <w:jc w:val="left"/>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1997"/>
        <w:gridCol w:w="842"/>
        <w:gridCol w:w="3382"/>
        <w:gridCol w:w="634"/>
        <w:gridCol w:w="2255"/>
      </w:tblGrid>
      <w:tr>
        <w:trPr>
          <w:trHeight w:val="274" w:hRule="atLeast"/>
        </w:trPr>
        <w:tc>
          <w:tcPr>
            <w:tcW w:w="417" w:type="dxa"/>
          </w:tcPr>
          <w:p>
            <w:pPr>
              <w:pStyle w:val="TableParagraph"/>
              <w:spacing w:line="210" w:lineRule="exact"/>
              <w:ind w:right="51"/>
              <w:jc w:val="right"/>
              <w:rPr>
                <w:sz w:val="21"/>
              </w:rPr>
            </w:pPr>
            <w:r>
              <w:rPr>
                <w:sz w:val="21"/>
              </w:rPr>
              <w:t>2.1</w:t>
            </w:r>
          </w:p>
        </w:tc>
        <w:tc>
          <w:tcPr>
            <w:tcW w:w="1997" w:type="dxa"/>
          </w:tcPr>
          <w:p>
            <w:pPr>
              <w:pStyle w:val="TableParagraph"/>
              <w:spacing w:line="210" w:lineRule="exact"/>
              <w:ind w:left="53"/>
              <w:rPr>
                <w:sz w:val="21"/>
              </w:rPr>
            </w:pPr>
            <w:r>
              <w:rPr>
                <w:sz w:val="21"/>
              </w:rPr>
              <w:t>保险期间</w:t>
            </w:r>
          </w:p>
        </w:tc>
        <w:tc>
          <w:tcPr>
            <w:tcW w:w="842" w:type="dxa"/>
          </w:tcPr>
          <w:p>
            <w:pPr>
              <w:pStyle w:val="TableParagraph"/>
              <w:rPr>
                <w:rFonts w:ascii="Times New Roman"/>
                <w:sz w:val="20"/>
              </w:rPr>
            </w:pPr>
          </w:p>
        </w:tc>
        <w:tc>
          <w:tcPr>
            <w:tcW w:w="3382" w:type="dxa"/>
          </w:tcPr>
          <w:p>
            <w:pPr>
              <w:pStyle w:val="TableParagraph"/>
              <w:spacing w:line="210" w:lineRule="exact"/>
              <w:ind w:left="54"/>
              <w:rPr>
                <w:sz w:val="21"/>
              </w:rPr>
            </w:pPr>
            <w:r>
              <w:rPr>
                <w:sz w:val="21"/>
              </w:rPr>
              <w:t>6.1 犹豫期后解除合同（退保）的</w:t>
            </w:r>
          </w:p>
        </w:tc>
        <w:tc>
          <w:tcPr>
            <w:tcW w:w="634" w:type="dxa"/>
          </w:tcPr>
          <w:p>
            <w:pPr>
              <w:pStyle w:val="TableParagraph"/>
              <w:spacing w:line="210" w:lineRule="exact"/>
              <w:ind w:left="216"/>
              <w:rPr>
                <w:sz w:val="21"/>
              </w:rPr>
            </w:pPr>
            <w:r>
              <w:rPr>
                <w:sz w:val="21"/>
              </w:rPr>
              <w:t>9.7</w:t>
            </w:r>
          </w:p>
        </w:tc>
        <w:tc>
          <w:tcPr>
            <w:tcW w:w="2255" w:type="dxa"/>
          </w:tcPr>
          <w:p>
            <w:pPr>
              <w:pStyle w:val="TableParagraph"/>
              <w:spacing w:line="210" w:lineRule="exact"/>
              <w:ind w:left="2"/>
              <w:rPr>
                <w:sz w:val="21"/>
              </w:rPr>
            </w:pPr>
            <w:r>
              <w:rPr>
                <w:sz w:val="21"/>
              </w:rPr>
              <w:t>酒后驾驶</w:t>
            </w:r>
          </w:p>
        </w:tc>
      </w:tr>
      <w:tr>
        <w:trPr>
          <w:trHeight w:val="339" w:hRule="atLeast"/>
        </w:trPr>
        <w:tc>
          <w:tcPr>
            <w:tcW w:w="417" w:type="dxa"/>
          </w:tcPr>
          <w:p>
            <w:pPr>
              <w:pStyle w:val="TableParagraph"/>
              <w:ind w:right="51"/>
              <w:jc w:val="right"/>
              <w:rPr>
                <w:sz w:val="21"/>
              </w:rPr>
            </w:pPr>
            <w:r>
              <w:rPr>
                <w:sz w:val="21"/>
              </w:rPr>
              <w:t>2.2</w:t>
            </w:r>
          </w:p>
        </w:tc>
        <w:tc>
          <w:tcPr>
            <w:tcW w:w="1997" w:type="dxa"/>
          </w:tcPr>
          <w:p>
            <w:pPr>
              <w:pStyle w:val="TableParagraph"/>
              <w:ind w:left="53"/>
              <w:rPr>
                <w:sz w:val="21"/>
              </w:rPr>
            </w:pPr>
            <w:r>
              <w:rPr>
                <w:sz w:val="21"/>
              </w:rPr>
              <w:t>保险份数</w:t>
            </w:r>
          </w:p>
        </w:tc>
        <w:tc>
          <w:tcPr>
            <w:tcW w:w="842" w:type="dxa"/>
          </w:tcPr>
          <w:p>
            <w:pPr>
              <w:pStyle w:val="TableParagraph"/>
              <w:rPr>
                <w:rFonts w:ascii="Times New Roman"/>
                <w:sz w:val="20"/>
              </w:rPr>
            </w:pPr>
          </w:p>
        </w:tc>
        <w:tc>
          <w:tcPr>
            <w:tcW w:w="3382" w:type="dxa"/>
          </w:tcPr>
          <w:p>
            <w:pPr>
              <w:pStyle w:val="TableParagraph"/>
              <w:ind w:left="54"/>
              <w:rPr>
                <w:sz w:val="21"/>
              </w:rPr>
            </w:pPr>
            <w:r>
              <w:rPr>
                <w:sz w:val="21"/>
              </w:rPr>
              <w:t>手续及风险</w:t>
            </w:r>
          </w:p>
        </w:tc>
        <w:tc>
          <w:tcPr>
            <w:tcW w:w="634" w:type="dxa"/>
          </w:tcPr>
          <w:p>
            <w:pPr>
              <w:pStyle w:val="TableParagraph"/>
              <w:ind w:left="216"/>
              <w:rPr>
                <w:sz w:val="21"/>
              </w:rPr>
            </w:pPr>
            <w:r>
              <w:rPr>
                <w:sz w:val="21"/>
              </w:rPr>
              <w:t>9.8</w:t>
            </w:r>
          </w:p>
        </w:tc>
        <w:tc>
          <w:tcPr>
            <w:tcW w:w="2255" w:type="dxa"/>
          </w:tcPr>
          <w:p>
            <w:pPr>
              <w:pStyle w:val="TableParagraph"/>
              <w:ind w:left="2"/>
              <w:rPr>
                <w:sz w:val="21"/>
              </w:rPr>
            </w:pPr>
            <w:r>
              <w:rPr>
                <w:sz w:val="21"/>
              </w:rPr>
              <w:t>无合法有效驾驶证驾驶</w:t>
            </w:r>
          </w:p>
        </w:tc>
      </w:tr>
      <w:tr>
        <w:trPr>
          <w:trHeight w:val="327" w:hRule="atLeast"/>
        </w:trPr>
        <w:tc>
          <w:tcPr>
            <w:tcW w:w="417" w:type="dxa"/>
          </w:tcPr>
          <w:p>
            <w:pPr>
              <w:pStyle w:val="TableParagraph"/>
              <w:ind w:right="51"/>
              <w:jc w:val="right"/>
              <w:rPr>
                <w:sz w:val="21"/>
              </w:rPr>
            </w:pPr>
            <w:r>
              <w:rPr>
                <w:sz w:val="21"/>
              </w:rPr>
              <w:t>2.3</w:t>
            </w:r>
          </w:p>
        </w:tc>
        <w:tc>
          <w:tcPr>
            <w:tcW w:w="1997" w:type="dxa"/>
          </w:tcPr>
          <w:p>
            <w:pPr>
              <w:pStyle w:val="TableParagraph"/>
              <w:ind w:left="53"/>
              <w:rPr>
                <w:sz w:val="21"/>
              </w:rPr>
            </w:pPr>
            <w:r>
              <w:rPr>
                <w:sz w:val="21"/>
              </w:rPr>
              <w:t>基本保险金额</w:t>
            </w:r>
          </w:p>
        </w:tc>
        <w:tc>
          <w:tcPr>
            <w:tcW w:w="842" w:type="dxa"/>
          </w:tcPr>
          <w:p>
            <w:pPr>
              <w:pStyle w:val="TableParagraph"/>
              <w:rPr>
                <w:rFonts w:ascii="Times New Roman"/>
                <w:sz w:val="20"/>
              </w:rPr>
            </w:pPr>
          </w:p>
        </w:tc>
        <w:tc>
          <w:tcPr>
            <w:tcW w:w="3382" w:type="dxa"/>
          </w:tcPr>
          <w:p>
            <w:pPr>
              <w:pStyle w:val="TableParagraph"/>
              <w:rPr>
                <w:rFonts w:ascii="Times New Roman"/>
                <w:sz w:val="20"/>
              </w:rPr>
            </w:pPr>
          </w:p>
        </w:tc>
        <w:tc>
          <w:tcPr>
            <w:tcW w:w="634" w:type="dxa"/>
          </w:tcPr>
          <w:p>
            <w:pPr>
              <w:pStyle w:val="TableParagraph"/>
              <w:ind w:left="215"/>
              <w:rPr>
                <w:sz w:val="21"/>
              </w:rPr>
            </w:pPr>
            <w:r>
              <w:rPr>
                <w:sz w:val="21"/>
              </w:rPr>
              <w:t>9.9</w:t>
            </w:r>
          </w:p>
        </w:tc>
        <w:tc>
          <w:tcPr>
            <w:tcW w:w="2255" w:type="dxa"/>
          </w:tcPr>
          <w:p>
            <w:pPr>
              <w:pStyle w:val="TableParagraph"/>
              <w:ind w:left="2"/>
              <w:rPr>
                <w:sz w:val="21"/>
              </w:rPr>
            </w:pPr>
            <w:r>
              <w:rPr>
                <w:sz w:val="21"/>
              </w:rPr>
              <w:t>无有效行驶证</w:t>
            </w:r>
          </w:p>
        </w:tc>
      </w:tr>
      <w:tr>
        <w:trPr>
          <w:trHeight w:val="315" w:hRule="atLeast"/>
        </w:trPr>
        <w:tc>
          <w:tcPr>
            <w:tcW w:w="417" w:type="dxa"/>
          </w:tcPr>
          <w:p>
            <w:pPr>
              <w:pStyle w:val="TableParagraph"/>
              <w:spacing w:line="263" w:lineRule="exact"/>
              <w:ind w:right="50"/>
              <w:jc w:val="right"/>
              <w:rPr>
                <w:sz w:val="21"/>
              </w:rPr>
            </w:pPr>
            <w:r>
              <w:rPr>
                <w:sz w:val="21"/>
              </w:rPr>
              <w:t>2.4</w:t>
            </w:r>
          </w:p>
        </w:tc>
        <w:tc>
          <w:tcPr>
            <w:tcW w:w="1997" w:type="dxa"/>
          </w:tcPr>
          <w:p>
            <w:pPr>
              <w:pStyle w:val="TableParagraph"/>
              <w:spacing w:line="263" w:lineRule="exact"/>
              <w:ind w:left="52"/>
              <w:rPr>
                <w:sz w:val="21"/>
              </w:rPr>
            </w:pPr>
            <w:r>
              <w:rPr>
                <w:sz w:val="21"/>
              </w:rPr>
              <w:t>保证续保</w:t>
            </w:r>
          </w:p>
        </w:tc>
        <w:tc>
          <w:tcPr>
            <w:tcW w:w="842" w:type="dxa"/>
          </w:tcPr>
          <w:p>
            <w:pPr>
              <w:pStyle w:val="TableParagraph"/>
              <w:rPr>
                <w:rFonts w:ascii="Times New Roman"/>
                <w:sz w:val="20"/>
              </w:rPr>
            </w:pPr>
          </w:p>
        </w:tc>
        <w:tc>
          <w:tcPr>
            <w:tcW w:w="3382" w:type="dxa"/>
          </w:tcPr>
          <w:p>
            <w:pPr>
              <w:pStyle w:val="TableParagraph"/>
              <w:rPr>
                <w:rFonts w:ascii="Times New Roman"/>
                <w:sz w:val="20"/>
              </w:rPr>
            </w:pPr>
          </w:p>
        </w:tc>
        <w:tc>
          <w:tcPr>
            <w:tcW w:w="634" w:type="dxa"/>
          </w:tcPr>
          <w:p>
            <w:pPr>
              <w:pStyle w:val="TableParagraph"/>
              <w:spacing w:line="263" w:lineRule="exact"/>
              <w:ind w:left="215" w:right="-15"/>
              <w:rPr>
                <w:sz w:val="21"/>
              </w:rPr>
            </w:pPr>
            <w:r>
              <w:rPr>
                <w:sz w:val="21"/>
              </w:rPr>
              <w:t>9.10</w:t>
            </w:r>
          </w:p>
        </w:tc>
        <w:tc>
          <w:tcPr>
            <w:tcW w:w="2255" w:type="dxa"/>
          </w:tcPr>
          <w:p>
            <w:pPr>
              <w:pStyle w:val="TableParagraph"/>
              <w:spacing w:line="263" w:lineRule="exact"/>
              <w:ind w:left="106"/>
              <w:rPr>
                <w:sz w:val="21"/>
              </w:rPr>
            </w:pPr>
            <w:r>
              <w:rPr>
                <w:sz w:val="21"/>
              </w:rPr>
              <w:t>机动车</w:t>
            </w:r>
          </w:p>
        </w:tc>
      </w:tr>
      <w:tr>
        <w:trPr>
          <w:trHeight w:val="319" w:hRule="atLeast"/>
        </w:trPr>
        <w:tc>
          <w:tcPr>
            <w:tcW w:w="417" w:type="dxa"/>
          </w:tcPr>
          <w:p>
            <w:pPr>
              <w:pStyle w:val="TableParagraph"/>
              <w:spacing w:line="262" w:lineRule="exact"/>
              <w:ind w:right="51"/>
              <w:jc w:val="right"/>
              <w:rPr>
                <w:sz w:val="21"/>
              </w:rPr>
            </w:pPr>
            <w:r>
              <w:rPr>
                <w:sz w:val="21"/>
              </w:rPr>
              <w:t>2.5</w:t>
            </w:r>
          </w:p>
        </w:tc>
        <w:tc>
          <w:tcPr>
            <w:tcW w:w="1997" w:type="dxa"/>
          </w:tcPr>
          <w:p>
            <w:pPr>
              <w:pStyle w:val="TableParagraph"/>
              <w:spacing w:line="262" w:lineRule="exact"/>
              <w:ind w:left="53"/>
              <w:rPr>
                <w:sz w:val="21"/>
              </w:rPr>
            </w:pPr>
            <w:r>
              <w:rPr>
                <w:sz w:val="21"/>
              </w:rPr>
              <w:t>保险责任</w:t>
            </w:r>
          </w:p>
        </w:tc>
        <w:tc>
          <w:tcPr>
            <w:tcW w:w="842" w:type="dxa"/>
          </w:tcPr>
          <w:p>
            <w:pPr>
              <w:pStyle w:val="TableParagraph"/>
              <w:rPr>
                <w:rFonts w:ascii="Times New Roman"/>
                <w:sz w:val="20"/>
              </w:rPr>
            </w:pPr>
          </w:p>
        </w:tc>
        <w:tc>
          <w:tcPr>
            <w:tcW w:w="3382" w:type="dxa"/>
          </w:tcPr>
          <w:p>
            <w:pPr>
              <w:pStyle w:val="TableParagraph"/>
              <w:rPr>
                <w:rFonts w:ascii="Times New Roman"/>
                <w:sz w:val="20"/>
              </w:rPr>
            </w:pPr>
          </w:p>
        </w:tc>
        <w:tc>
          <w:tcPr>
            <w:tcW w:w="634" w:type="dxa"/>
          </w:tcPr>
          <w:p>
            <w:pPr>
              <w:pStyle w:val="TableParagraph"/>
              <w:spacing w:line="262" w:lineRule="exact"/>
              <w:ind w:left="216" w:right="-15"/>
              <w:rPr>
                <w:sz w:val="21"/>
              </w:rPr>
            </w:pPr>
            <w:r>
              <w:rPr>
                <w:sz w:val="21"/>
              </w:rPr>
              <w:t>9.11</w:t>
            </w:r>
          </w:p>
        </w:tc>
        <w:tc>
          <w:tcPr>
            <w:tcW w:w="2255" w:type="dxa"/>
          </w:tcPr>
          <w:p>
            <w:pPr>
              <w:pStyle w:val="TableParagraph"/>
              <w:spacing w:line="262" w:lineRule="exact"/>
              <w:ind w:left="106"/>
              <w:rPr>
                <w:sz w:val="21"/>
              </w:rPr>
            </w:pPr>
            <w:r>
              <w:rPr>
                <w:sz w:val="21"/>
              </w:rPr>
              <w:t>患艾滋病或感染艾滋病</w:t>
            </w:r>
          </w:p>
        </w:tc>
      </w:tr>
      <w:tr>
        <w:trPr>
          <w:trHeight w:val="332" w:hRule="atLeast"/>
        </w:trPr>
        <w:tc>
          <w:tcPr>
            <w:tcW w:w="417" w:type="dxa"/>
          </w:tcPr>
          <w:p>
            <w:pPr>
              <w:pStyle w:val="TableParagraph"/>
              <w:spacing w:line="268" w:lineRule="exact"/>
              <w:ind w:right="51"/>
              <w:jc w:val="right"/>
              <w:rPr>
                <w:sz w:val="21"/>
              </w:rPr>
            </w:pPr>
            <w:r>
              <w:rPr>
                <w:sz w:val="21"/>
              </w:rPr>
              <w:t>2.6</w:t>
            </w:r>
          </w:p>
        </w:tc>
        <w:tc>
          <w:tcPr>
            <w:tcW w:w="1997" w:type="dxa"/>
          </w:tcPr>
          <w:p>
            <w:pPr>
              <w:pStyle w:val="TableParagraph"/>
              <w:spacing w:line="268" w:lineRule="exact"/>
              <w:ind w:left="53"/>
              <w:rPr>
                <w:sz w:val="21"/>
              </w:rPr>
            </w:pPr>
            <w:r>
              <w:rPr>
                <w:sz w:val="21"/>
              </w:rPr>
              <w:t>责任免除</w:t>
            </w:r>
          </w:p>
        </w:tc>
        <w:tc>
          <w:tcPr>
            <w:tcW w:w="842" w:type="dxa"/>
          </w:tcPr>
          <w:p>
            <w:pPr>
              <w:pStyle w:val="TableParagraph"/>
              <w:rPr>
                <w:rFonts w:ascii="Times New Roman"/>
                <w:sz w:val="20"/>
              </w:rPr>
            </w:pPr>
          </w:p>
        </w:tc>
        <w:tc>
          <w:tcPr>
            <w:tcW w:w="3382" w:type="dxa"/>
          </w:tcPr>
          <w:p>
            <w:pPr>
              <w:pStyle w:val="TableParagraph"/>
              <w:rPr>
                <w:rFonts w:ascii="Times New Roman"/>
                <w:sz w:val="20"/>
              </w:rPr>
            </w:pPr>
          </w:p>
        </w:tc>
        <w:tc>
          <w:tcPr>
            <w:tcW w:w="634" w:type="dxa"/>
          </w:tcPr>
          <w:p>
            <w:pPr>
              <w:pStyle w:val="TableParagraph"/>
              <w:rPr>
                <w:rFonts w:ascii="Times New Roman"/>
                <w:sz w:val="20"/>
              </w:rPr>
            </w:pPr>
          </w:p>
        </w:tc>
        <w:tc>
          <w:tcPr>
            <w:tcW w:w="2255" w:type="dxa"/>
          </w:tcPr>
          <w:p>
            <w:pPr>
              <w:pStyle w:val="TableParagraph"/>
              <w:spacing w:line="268" w:lineRule="exact"/>
              <w:ind w:left="109"/>
              <w:rPr>
                <w:sz w:val="21"/>
              </w:rPr>
            </w:pPr>
            <w:r>
              <w:rPr>
                <w:sz w:val="21"/>
              </w:rPr>
              <w:t>病毒</w:t>
            </w:r>
          </w:p>
        </w:tc>
      </w:tr>
      <w:tr>
        <w:trPr>
          <w:trHeight w:val="275" w:hRule="atLeast"/>
        </w:trPr>
        <w:tc>
          <w:tcPr>
            <w:tcW w:w="417" w:type="dxa"/>
          </w:tcPr>
          <w:p>
            <w:pPr>
              <w:pStyle w:val="TableParagraph"/>
              <w:rPr>
                <w:rFonts w:ascii="Times New Roman"/>
                <w:sz w:val="20"/>
              </w:rPr>
            </w:pPr>
          </w:p>
        </w:tc>
        <w:tc>
          <w:tcPr>
            <w:tcW w:w="1997" w:type="dxa"/>
          </w:tcPr>
          <w:p>
            <w:pPr>
              <w:pStyle w:val="TableParagraph"/>
              <w:rPr>
                <w:rFonts w:ascii="Times New Roman"/>
                <w:sz w:val="20"/>
              </w:rPr>
            </w:pPr>
          </w:p>
        </w:tc>
        <w:tc>
          <w:tcPr>
            <w:tcW w:w="842" w:type="dxa"/>
          </w:tcPr>
          <w:p>
            <w:pPr>
              <w:pStyle w:val="TableParagraph"/>
              <w:spacing w:line="255" w:lineRule="exact"/>
              <w:ind w:right="48"/>
              <w:jc w:val="right"/>
              <w:rPr>
                <w:sz w:val="21"/>
              </w:rPr>
            </w:pPr>
            <w:r>
              <w:rPr>
                <w:sz w:val="21"/>
              </w:rPr>
              <w:t>7</w:t>
            </w:r>
          </w:p>
        </w:tc>
        <w:tc>
          <w:tcPr>
            <w:tcW w:w="3382" w:type="dxa"/>
          </w:tcPr>
          <w:p>
            <w:pPr>
              <w:pStyle w:val="TableParagraph"/>
              <w:spacing w:line="255" w:lineRule="exact"/>
              <w:ind w:left="56"/>
              <w:rPr>
                <w:sz w:val="21"/>
              </w:rPr>
            </w:pPr>
            <w:r>
              <w:rPr>
                <w:sz w:val="21"/>
              </w:rPr>
              <w:t>如实告知</w:t>
            </w:r>
          </w:p>
        </w:tc>
        <w:tc>
          <w:tcPr>
            <w:tcW w:w="634" w:type="dxa"/>
          </w:tcPr>
          <w:p>
            <w:pPr>
              <w:pStyle w:val="TableParagraph"/>
              <w:spacing w:line="255" w:lineRule="exact"/>
              <w:ind w:left="216" w:right="-15"/>
              <w:rPr>
                <w:sz w:val="21"/>
              </w:rPr>
            </w:pPr>
            <w:r>
              <w:rPr>
                <w:sz w:val="21"/>
              </w:rPr>
              <w:t>9.12</w:t>
            </w:r>
          </w:p>
        </w:tc>
        <w:tc>
          <w:tcPr>
            <w:tcW w:w="2255" w:type="dxa"/>
          </w:tcPr>
          <w:p>
            <w:pPr>
              <w:pStyle w:val="TableParagraph"/>
              <w:spacing w:line="255" w:lineRule="exact"/>
              <w:ind w:left="107"/>
              <w:rPr>
                <w:sz w:val="21"/>
              </w:rPr>
            </w:pPr>
            <w:r>
              <w:rPr>
                <w:sz w:val="21"/>
              </w:rPr>
              <w:t>遗传性疾病</w:t>
            </w:r>
          </w:p>
        </w:tc>
      </w:tr>
    </w:tbl>
    <w:p>
      <w:pPr>
        <w:pStyle w:val="ListParagraph"/>
        <w:numPr>
          <w:ilvl w:val="0"/>
          <w:numId w:val="1"/>
        </w:numPr>
        <w:tabs>
          <w:tab w:pos="322" w:val="left" w:leader="none"/>
          <w:tab w:pos="3579" w:val="left" w:leader="none"/>
          <w:tab w:pos="7123" w:val="left" w:leader="none"/>
        </w:tabs>
        <w:spacing w:line="240" w:lineRule="auto" w:before="64" w:after="0"/>
        <w:ind w:left="321" w:right="0" w:hanging="212"/>
        <w:jc w:val="left"/>
        <w:rPr>
          <w:sz w:val="21"/>
        </w:rPr>
      </w:pPr>
      <w:r>
        <w:rPr>
          <w:sz w:val="21"/>
        </w:rPr>
        <w:t>重大疾病</w:t>
        <w:tab/>
        <w:t>7.1</w:t>
      </w:r>
      <w:r>
        <w:rPr>
          <w:spacing w:val="-5"/>
          <w:sz w:val="21"/>
        </w:rPr>
        <w:t> </w:t>
      </w:r>
      <w:r>
        <w:rPr>
          <w:sz w:val="21"/>
        </w:rPr>
        <w:t>明确说明与如实告知</w:t>
        <w:tab/>
        <w:t>9.13</w:t>
      </w:r>
      <w:r>
        <w:rPr>
          <w:spacing w:val="-15"/>
          <w:sz w:val="21"/>
        </w:rPr>
        <w:t> </w:t>
      </w:r>
      <w:r>
        <w:rPr>
          <w:sz w:val="21"/>
        </w:rPr>
        <w:t>先天性畸形、变形或染色</w:t>
      </w:r>
    </w:p>
    <w:p>
      <w:pPr>
        <w:pStyle w:val="ListParagraph"/>
        <w:numPr>
          <w:ilvl w:val="1"/>
          <w:numId w:val="1"/>
        </w:numPr>
        <w:tabs>
          <w:tab w:pos="740" w:val="left" w:leader="none"/>
          <w:tab w:pos="3579" w:val="left" w:leader="none"/>
          <w:tab w:pos="7647" w:val="left" w:leader="none"/>
        </w:tabs>
        <w:spacing w:line="240" w:lineRule="auto" w:before="64" w:after="0"/>
        <w:ind w:left="739" w:right="0" w:hanging="420"/>
        <w:jc w:val="left"/>
        <w:rPr>
          <w:sz w:val="21"/>
        </w:rPr>
      </w:pPr>
      <w:r>
        <w:rPr>
          <w:sz w:val="21"/>
        </w:rPr>
        <w:t>轻症重疾的范围</w:t>
        <w:tab/>
        <w:t>7.2 本公司合同解除权的限制</w:t>
        <w:tab/>
      </w:r>
      <w:r>
        <w:rPr>
          <w:spacing w:val="-1"/>
          <w:sz w:val="21"/>
        </w:rPr>
        <w:t>体异常</w:t>
      </w:r>
    </w:p>
    <w:p>
      <w:pPr>
        <w:pStyle w:val="ListParagraph"/>
        <w:numPr>
          <w:ilvl w:val="1"/>
          <w:numId w:val="1"/>
        </w:numPr>
        <w:tabs>
          <w:tab w:pos="740" w:val="left" w:leader="none"/>
          <w:tab w:pos="7122" w:val="left" w:leader="none"/>
        </w:tabs>
        <w:spacing w:line="240" w:lineRule="auto" w:before="37" w:after="0"/>
        <w:ind w:left="739" w:right="0" w:hanging="420"/>
        <w:jc w:val="left"/>
        <w:rPr>
          <w:sz w:val="21"/>
        </w:rPr>
      </w:pPr>
      <w:r>
        <w:rPr>
          <w:sz w:val="21"/>
        </w:rPr>
        <w:t>轻症重疾的定义</w:t>
        <w:tab/>
        <w:t>9.14</w:t>
      </w:r>
      <w:r>
        <w:rPr>
          <w:spacing w:val="-11"/>
          <w:sz w:val="21"/>
        </w:rPr>
        <w:t> </w:t>
      </w:r>
      <w:r>
        <w:rPr>
          <w:sz w:val="21"/>
        </w:rPr>
        <w:t>肢体机能完全丧失</w:t>
      </w:r>
    </w:p>
    <w:p>
      <w:pPr>
        <w:pStyle w:val="ListParagraph"/>
        <w:numPr>
          <w:ilvl w:val="1"/>
          <w:numId w:val="1"/>
        </w:numPr>
        <w:tabs>
          <w:tab w:pos="740" w:val="left" w:leader="none"/>
          <w:tab w:pos="7122" w:val="left" w:leader="none"/>
        </w:tabs>
        <w:spacing w:line="240" w:lineRule="auto" w:before="37" w:after="0"/>
        <w:ind w:left="739" w:right="0" w:hanging="420"/>
        <w:jc w:val="left"/>
        <w:rPr>
          <w:sz w:val="21"/>
        </w:rPr>
      </w:pPr>
      <w:r>
        <w:rPr>
          <w:sz w:val="21"/>
        </w:rPr>
        <w:t>重大疾病的范围</w:t>
        <w:tab/>
        <w:t>9.15</w:t>
      </w:r>
      <w:r>
        <w:rPr>
          <w:spacing w:val="-14"/>
          <w:sz w:val="21"/>
        </w:rPr>
        <w:t> </w:t>
      </w:r>
      <w:r>
        <w:rPr>
          <w:sz w:val="21"/>
        </w:rPr>
        <w:t>语言能力或咀嚼吞咽能力</w:t>
      </w:r>
    </w:p>
    <w:p>
      <w:pPr>
        <w:pStyle w:val="ListParagraph"/>
        <w:numPr>
          <w:ilvl w:val="1"/>
          <w:numId w:val="1"/>
        </w:numPr>
        <w:tabs>
          <w:tab w:pos="740" w:val="left" w:leader="none"/>
          <w:tab w:pos="7647" w:val="left" w:leader="none"/>
        </w:tabs>
        <w:spacing w:line="240" w:lineRule="auto" w:before="66" w:after="0"/>
        <w:ind w:left="739" w:right="0" w:hanging="420"/>
        <w:jc w:val="left"/>
        <w:rPr>
          <w:sz w:val="21"/>
        </w:rPr>
      </w:pPr>
      <w:r>
        <w:rPr>
          <w:sz w:val="21"/>
        </w:rPr>
        <w:t>重大疾病的定义</w:t>
        <w:tab/>
      </w:r>
      <w:r>
        <w:rPr>
          <w:spacing w:val="-1"/>
          <w:sz w:val="21"/>
        </w:rPr>
        <w:t>完全丧失</w:t>
      </w:r>
    </w:p>
    <w:p>
      <w:pPr>
        <w:pStyle w:val="BodyText"/>
        <w:tabs>
          <w:tab w:pos="7123" w:val="left" w:leader="none"/>
        </w:tabs>
        <w:spacing w:before="65"/>
        <w:ind w:left="3369"/>
      </w:pPr>
      <w:r>
        <w:rPr/>
        <w:t>8</w:t>
      </w:r>
      <w:r>
        <w:rPr>
          <w:spacing w:val="3"/>
        </w:rPr>
        <w:t> </w:t>
      </w:r>
      <w:r>
        <w:rPr/>
        <w:t>其他需要关注的事项</w:t>
        <w:tab/>
        <w:t>9.16</w:t>
      </w:r>
      <w:r>
        <w:rPr>
          <w:spacing w:val="-14"/>
        </w:rPr>
        <w:t> </w:t>
      </w:r>
      <w:r>
        <w:rPr/>
        <w:t>六项基本日常生活活动</w:t>
      </w:r>
    </w:p>
    <w:p>
      <w:pPr>
        <w:pStyle w:val="ListParagraph"/>
        <w:numPr>
          <w:ilvl w:val="0"/>
          <w:numId w:val="1"/>
        </w:numPr>
        <w:tabs>
          <w:tab w:pos="322" w:val="left" w:leader="none"/>
          <w:tab w:pos="3579" w:val="left" w:leader="none"/>
          <w:tab w:pos="7123" w:val="left" w:leader="none"/>
        </w:tabs>
        <w:spacing w:line="240" w:lineRule="auto" w:before="65" w:after="0"/>
        <w:ind w:left="321" w:right="0" w:hanging="212"/>
        <w:jc w:val="left"/>
        <w:rPr>
          <w:sz w:val="21"/>
        </w:rPr>
      </w:pPr>
      <w:r>
        <w:rPr>
          <w:sz w:val="21"/>
        </w:rPr>
        <w:t>保险金的申请</w:t>
        <w:tab/>
        <w:t>8.1</w:t>
      </w:r>
      <w:r>
        <w:rPr>
          <w:spacing w:val="-5"/>
          <w:sz w:val="21"/>
        </w:rPr>
        <w:t> </w:t>
      </w:r>
      <w:r>
        <w:rPr>
          <w:sz w:val="21"/>
        </w:rPr>
        <w:t>年龄性别错误处理</w:t>
        <w:tab/>
        <w:t>9.17</w:t>
      </w:r>
      <w:r>
        <w:rPr>
          <w:spacing w:val="-9"/>
          <w:sz w:val="21"/>
        </w:rPr>
        <w:t> </w:t>
      </w:r>
      <w:r>
        <w:rPr>
          <w:sz w:val="21"/>
        </w:rPr>
        <w:t>永久不可逆</w:t>
      </w:r>
    </w:p>
    <w:p>
      <w:pPr>
        <w:pStyle w:val="ListParagraph"/>
        <w:numPr>
          <w:ilvl w:val="1"/>
          <w:numId w:val="1"/>
        </w:numPr>
        <w:tabs>
          <w:tab w:pos="740" w:val="left" w:leader="none"/>
          <w:tab w:pos="3579" w:val="left" w:leader="none"/>
          <w:tab w:pos="7123" w:val="left" w:leader="none"/>
        </w:tabs>
        <w:spacing w:line="240" w:lineRule="auto" w:before="66" w:after="0"/>
        <w:ind w:left="739" w:right="0" w:hanging="420"/>
        <w:jc w:val="left"/>
        <w:rPr>
          <w:sz w:val="21"/>
        </w:rPr>
      </w:pPr>
      <w:r>
        <w:rPr>
          <w:sz w:val="21"/>
        </w:rPr>
        <w:t>受益人</w:t>
        <w:tab/>
        <w:t>8.2 合同效力终止</w:t>
        <w:tab/>
        <w:t>9.18</w:t>
      </w:r>
      <w:r>
        <w:rPr>
          <w:spacing w:val="-11"/>
          <w:sz w:val="21"/>
        </w:rPr>
        <w:t> </w:t>
      </w:r>
      <w:r>
        <w:rPr>
          <w:sz w:val="21"/>
        </w:rPr>
        <w:t>持续的输氧治疗</w:t>
      </w:r>
    </w:p>
    <w:p>
      <w:pPr>
        <w:pStyle w:val="ListParagraph"/>
        <w:numPr>
          <w:ilvl w:val="1"/>
          <w:numId w:val="1"/>
        </w:numPr>
        <w:tabs>
          <w:tab w:pos="740" w:val="left" w:leader="none"/>
          <w:tab w:pos="3579" w:val="left" w:leader="none"/>
          <w:tab w:pos="7123" w:val="left" w:leader="none"/>
        </w:tabs>
        <w:spacing w:line="240" w:lineRule="auto" w:before="64" w:after="0"/>
        <w:ind w:left="739" w:right="0" w:hanging="420"/>
        <w:jc w:val="left"/>
        <w:rPr>
          <w:sz w:val="21"/>
        </w:rPr>
      </w:pPr>
      <w:r>
        <w:rPr>
          <w:sz w:val="21"/>
        </w:rPr>
        <w:t>保险事故通知</w:t>
        <w:tab/>
        <w:t>8.3 适用主合同条款</w:t>
        <w:tab/>
        <w:t>9.19</w:t>
      </w:r>
      <w:r>
        <w:rPr>
          <w:spacing w:val="-16"/>
          <w:sz w:val="21"/>
        </w:rPr>
        <w:t> </w:t>
      </w:r>
      <w:r>
        <w:rPr>
          <w:sz w:val="21"/>
        </w:rPr>
        <w:t>持续性尿蛋白（尿蛋白++</w:t>
      </w:r>
    </w:p>
    <w:p>
      <w:pPr>
        <w:pStyle w:val="ListParagraph"/>
        <w:numPr>
          <w:ilvl w:val="1"/>
          <w:numId w:val="1"/>
        </w:numPr>
        <w:tabs>
          <w:tab w:pos="740" w:val="left" w:leader="none"/>
          <w:tab w:pos="7648" w:val="left" w:leader="none"/>
        </w:tabs>
        <w:spacing w:line="240" w:lineRule="auto" w:before="64" w:after="0"/>
        <w:ind w:left="739" w:right="0" w:hanging="420"/>
        <w:jc w:val="left"/>
        <w:rPr>
          <w:sz w:val="21"/>
        </w:rPr>
      </w:pPr>
      <w:r>
        <w:rPr>
          <w:sz w:val="21"/>
        </w:rPr>
        <w:t>保险金申请</w:t>
        <w:tab/>
        <w:t>以上）</w:t>
      </w:r>
    </w:p>
    <w:p>
      <w:pPr>
        <w:pStyle w:val="ListParagraph"/>
        <w:numPr>
          <w:ilvl w:val="1"/>
          <w:numId w:val="1"/>
        </w:numPr>
        <w:tabs>
          <w:tab w:pos="740" w:val="left" w:leader="none"/>
        </w:tabs>
        <w:spacing w:line="240" w:lineRule="auto" w:before="66" w:after="0"/>
        <w:ind w:left="739" w:right="0" w:hanging="420"/>
        <w:jc w:val="left"/>
        <w:rPr>
          <w:sz w:val="21"/>
        </w:rPr>
      </w:pPr>
      <w:r>
        <w:rPr>
          <w:sz w:val="21"/>
        </w:rPr>
        <w:t>保险金给付</w:t>
      </w:r>
    </w:p>
    <w:p>
      <w:pPr>
        <w:pStyle w:val="ListParagraph"/>
        <w:numPr>
          <w:ilvl w:val="1"/>
          <w:numId w:val="1"/>
        </w:numPr>
        <w:tabs>
          <w:tab w:pos="740" w:val="left" w:leader="none"/>
          <w:tab w:pos="7123" w:val="left" w:leader="none"/>
        </w:tabs>
        <w:spacing w:line="240" w:lineRule="auto" w:before="65" w:after="0"/>
        <w:ind w:left="739" w:right="0" w:hanging="420"/>
        <w:jc w:val="left"/>
        <w:rPr>
          <w:sz w:val="21"/>
        </w:rPr>
      </w:pPr>
      <w:r>
        <w:rPr>
          <w:sz w:val="21"/>
        </w:rPr>
        <w:t>诉讼时效</w:t>
        <w:tab/>
        <w:t>附表一：阳光人寿附加阳光康睿</w:t>
      </w:r>
    </w:p>
    <w:p>
      <w:pPr>
        <w:pStyle w:val="BodyText"/>
        <w:spacing w:before="65"/>
        <w:ind w:right="1164"/>
        <w:jc w:val="right"/>
      </w:pPr>
      <w:r>
        <w:rPr/>
        <w:t>重大疾病保险费率表</w:t>
      </w:r>
    </w:p>
    <w:p>
      <w:pPr>
        <w:pStyle w:val="BodyText"/>
        <w:spacing w:line="297" w:lineRule="auto" w:before="66"/>
        <w:ind w:left="7123" w:right="114"/>
        <w:jc w:val="right"/>
      </w:pPr>
      <w:r>
        <w:rPr/>
        <w:t>附表二：按比例退还本附加合同已交的该保险期间对应的保险费</w:t>
      </w:r>
    </w:p>
    <w:p>
      <w:pPr>
        <w:spacing w:after="0" w:line="297" w:lineRule="auto"/>
        <w:jc w:val="right"/>
        <w:sectPr>
          <w:pgSz w:w="11900" w:h="16840"/>
          <w:pgMar w:top="1160" w:bottom="280" w:left="1020" w:right="700"/>
        </w:sectPr>
      </w:pPr>
    </w:p>
    <w:p>
      <w:pPr>
        <w:pStyle w:val="BodyText"/>
        <w:spacing w:before="10"/>
        <w:rPr>
          <w:sz w:val="27"/>
        </w:rPr>
      </w:pPr>
    </w:p>
    <w:p>
      <w:pPr>
        <w:pStyle w:val="Heading1"/>
        <w:spacing w:before="49"/>
        <w:ind w:left="2263"/>
        <w:jc w:val="left"/>
        <w:rPr>
          <w:rFonts w:ascii="黑体" w:eastAsia="黑体" w:hint="eastAsia"/>
        </w:rPr>
      </w:pPr>
      <w:r>
        <w:rPr>
          <w:rFonts w:ascii="黑体" w:eastAsia="黑体" w:hint="eastAsia"/>
        </w:rPr>
        <w:t>阳光人寿附加</w:t>
      </w:r>
      <w:r>
        <w:rPr/>
        <w:t>阳光康睿</w:t>
      </w:r>
      <w:r>
        <w:rPr>
          <w:rFonts w:ascii="黑体" w:eastAsia="黑体" w:hint="eastAsia"/>
        </w:rPr>
        <w:t>重大疾病保险条款</w:t>
      </w:r>
    </w:p>
    <w:p>
      <w:pPr>
        <w:pStyle w:val="BodyText"/>
        <w:spacing w:before="8"/>
        <w:rPr>
          <w:rFonts w:ascii="黑体"/>
          <w:sz w:val="34"/>
        </w:rPr>
      </w:pPr>
    </w:p>
    <w:p>
      <w:pPr>
        <w:pStyle w:val="BodyText"/>
        <w:spacing w:line="273" w:lineRule="auto"/>
        <w:ind w:left="221" w:right="75"/>
      </w:pPr>
      <w:r>
        <w:rPr/>
        <w:t>在本条款中，“您”指投保人，“我们”、“本公司”均指阳光人寿保险股份有限公司，“本附加合同”指您与我们之间订立的“阳光人寿附加阳光康睿重大疾病保险合同”。</w:t>
      </w:r>
    </w:p>
    <w:p>
      <w:pPr>
        <w:pStyle w:val="BodyText"/>
        <w:rPr>
          <w:sz w:val="20"/>
        </w:rPr>
      </w:pPr>
    </w:p>
    <w:p>
      <w:pPr>
        <w:pStyle w:val="BodyText"/>
        <w:spacing w:before="11"/>
        <w:rPr>
          <w:sz w:val="22"/>
        </w:rPr>
      </w:pPr>
    </w:p>
    <w:p>
      <w:pPr>
        <w:pStyle w:val="Heading2"/>
        <w:numPr>
          <w:ilvl w:val="0"/>
          <w:numId w:val="3"/>
        </w:numPr>
        <w:tabs>
          <w:tab w:pos="1277" w:val="left" w:leader="none"/>
          <w:tab w:pos="1278" w:val="left" w:leader="none"/>
        </w:tabs>
        <w:spacing w:line="240" w:lineRule="auto" w:before="0" w:after="0"/>
        <w:ind w:left="1277" w:right="0" w:hanging="1056"/>
        <w:jc w:val="left"/>
      </w:pPr>
      <w:r>
        <w:rPr/>
        <w:t>您与我们订立的合同</w:t>
      </w:r>
    </w:p>
    <w:p>
      <w:pPr>
        <w:pStyle w:val="BodyText"/>
        <w:spacing w:before="2"/>
        <w:rPr>
          <w:sz w:val="10"/>
        </w:rPr>
      </w:pPr>
      <w:r>
        <w:rPr/>
        <w:pict>
          <v:group style="position:absolute;margin-left:45.66pt;margin-top:8.650169pt;width:473.25pt;height:1.45pt;mso-position-horizontal-relative:page;mso-position-vertical-relative:paragraph;z-index:1120;mso-wrap-distance-left:0;mso-wrap-distance-right:0" coordorigin="913,173" coordsize="9465,29">
            <v:line style="position:absolute" from="913,178" to="1969,178" stroked="true" strokeweight=".47998pt" strokecolor="#000000">
              <v:stroke dashstyle="solid"/>
            </v:line>
            <v:line style="position:absolute" from="913,197" to="1969,197" stroked="true" strokeweight=".47998pt" strokecolor="#000000">
              <v:stroke dashstyle="solid"/>
            </v:line>
            <v:rect style="position:absolute;left:1969;top:173;width:29;height:10" filled="true" fillcolor="#000000" stroked="false">
              <v:fill type="solid"/>
            </v:rect>
            <v:rect style="position:absolute;left:1969;top:192;width:29;height:10" filled="true" fillcolor="#000000" stroked="false">
              <v:fill type="solid"/>
            </v:rect>
            <v:line style="position:absolute" from="1998,178" to="3289,178" stroked="true" strokeweight=".47998pt" strokecolor="#000000">
              <v:stroke dashstyle="solid"/>
            </v:line>
            <v:line style="position:absolute" from="1998,197" to="3289,197" stroked="true" strokeweight=".47998pt" strokecolor="#000000">
              <v:stroke dashstyle="solid"/>
            </v:line>
            <v:rect style="position:absolute;left:3289;top:173;width:29;height:10" filled="true" fillcolor="#000000" stroked="false">
              <v:fill type="solid"/>
            </v:rect>
            <v:rect style="position:absolute;left:3289;top:192;width:29;height:10" filled="true" fillcolor="#000000" stroked="false">
              <v:fill type="solid"/>
            </v:rect>
            <v:line style="position:absolute" from="3318,178" to="10378,178" stroked="true" strokeweight=".47998pt" strokecolor="#000000">
              <v:stroke dashstyle="solid"/>
            </v:line>
            <v:line style="position:absolute" from="3318,197" to="10378,197" stroked="true" strokeweight=".47998pt" strokecolor="#000000">
              <v:stroke dashstyle="solid"/>
            </v:line>
            <w10:wrap type="topAndBottom"/>
          </v:group>
        </w:pict>
      </w:r>
    </w:p>
    <w:p>
      <w:pPr>
        <w:pStyle w:val="BodyText"/>
        <w:rPr>
          <w:sz w:val="9"/>
        </w:rPr>
      </w:pPr>
    </w:p>
    <w:p>
      <w:pPr>
        <w:pStyle w:val="ListParagraph"/>
        <w:numPr>
          <w:ilvl w:val="1"/>
          <w:numId w:val="3"/>
        </w:numPr>
        <w:tabs>
          <w:tab w:pos="1276" w:val="left" w:leader="none"/>
          <w:tab w:pos="1277" w:val="left" w:leader="none"/>
          <w:tab w:pos="2597" w:val="left" w:leader="none"/>
        </w:tabs>
        <w:spacing w:line="273" w:lineRule="auto" w:before="36" w:after="0"/>
        <w:ind w:left="2597" w:right="776" w:hanging="2376"/>
        <w:jc w:val="left"/>
        <w:rPr>
          <w:sz w:val="21"/>
        </w:rPr>
      </w:pPr>
      <w:r>
        <w:rPr>
          <w:sz w:val="21"/>
        </w:rPr>
        <w:t>合同订立</w:t>
        <w:tab/>
        <w:t>本附加合同由阳光人寿阳光康睿年金保险合同（以下简称“主合同</w:t>
      </w:r>
      <w:r>
        <w:rPr>
          <w:spacing w:val="-105"/>
          <w:sz w:val="21"/>
        </w:rPr>
        <w:t>”</w:t>
      </w:r>
      <w:r>
        <w:rPr>
          <w:spacing w:val="-2"/>
          <w:sz w:val="21"/>
        </w:rPr>
        <w:t>）</w:t>
      </w:r>
      <w:r>
        <w:rPr>
          <w:sz w:val="21"/>
        </w:rPr>
        <w:t>投保人提出申请，经我们同意而订立。</w:t>
      </w:r>
    </w:p>
    <w:p>
      <w:pPr>
        <w:pStyle w:val="ListParagraph"/>
        <w:numPr>
          <w:ilvl w:val="1"/>
          <w:numId w:val="3"/>
        </w:numPr>
        <w:tabs>
          <w:tab w:pos="1276" w:val="left" w:leader="none"/>
          <w:tab w:pos="1277" w:val="left" w:leader="none"/>
          <w:tab w:pos="2597" w:val="left" w:leader="none"/>
        </w:tabs>
        <w:spacing w:line="240" w:lineRule="auto" w:before="178" w:after="0"/>
        <w:ind w:left="2597" w:right="0" w:hanging="2376"/>
        <w:jc w:val="left"/>
        <w:rPr>
          <w:sz w:val="21"/>
        </w:rPr>
      </w:pPr>
      <w:r>
        <w:rPr>
          <w:sz w:val="21"/>
        </w:rPr>
        <w:t>合同生效</w:t>
        <w:tab/>
        <w:t>本附加合同应与主合同同时投保，本附加合同的生效日与主合同相同。</w:t>
      </w:r>
    </w:p>
    <w:p>
      <w:pPr>
        <w:pStyle w:val="BodyText"/>
        <w:rPr>
          <w:sz w:val="20"/>
        </w:rPr>
      </w:pPr>
    </w:p>
    <w:p>
      <w:pPr>
        <w:pStyle w:val="BodyText"/>
        <w:spacing w:before="12"/>
        <w:rPr>
          <w:sz w:val="13"/>
        </w:rPr>
      </w:pPr>
    </w:p>
    <w:p>
      <w:pPr>
        <w:pStyle w:val="ListParagraph"/>
        <w:numPr>
          <w:ilvl w:val="1"/>
          <w:numId w:val="3"/>
        </w:numPr>
        <w:tabs>
          <w:tab w:pos="1278" w:val="left" w:leader="none"/>
        </w:tabs>
        <w:spacing w:line="278" w:lineRule="auto" w:before="0" w:after="0"/>
        <w:ind w:left="2597" w:right="914" w:hanging="2376"/>
        <w:jc w:val="both"/>
        <w:rPr>
          <w:sz w:val="21"/>
        </w:rPr>
      </w:pPr>
      <w:r>
        <w:rPr>
          <w:spacing w:val="3"/>
          <w:position w:val="3"/>
          <w:sz w:val="21"/>
        </w:rPr>
        <w:t>犹豫期     </w:t>
      </w:r>
      <w:r>
        <w:rPr>
          <w:spacing w:val="-2"/>
          <w:sz w:val="21"/>
        </w:rPr>
        <w:t>自您签收本附加合同次日起，有 </w:t>
      </w:r>
      <w:r>
        <w:rPr>
          <w:sz w:val="21"/>
        </w:rPr>
        <w:t>10</w:t>
      </w:r>
      <w:r>
        <w:rPr>
          <w:spacing w:val="-5"/>
          <w:sz w:val="21"/>
        </w:rPr>
        <w:t> 日的犹豫期。在此期间，请您认真审</w:t>
      </w:r>
      <w:r>
        <w:rPr>
          <w:spacing w:val="-8"/>
          <w:sz w:val="21"/>
        </w:rPr>
        <w:t>视本附加合同，如果您认为本附加合同与您的需求不相符，您可以合并主</w:t>
      </w:r>
      <w:r>
        <w:rPr>
          <w:spacing w:val="-9"/>
          <w:sz w:val="21"/>
        </w:rPr>
        <w:t>合同提出解除本附加合同，我们将在扣除不超过 </w:t>
      </w:r>
      <w:r>
        <w:rPr>
          <w:sz w:val="21"/>
        </w:rPr>
        <w:t>10</w:t>
      </w:r>
      <w:r>
        <w:rPr>
          <w:spacing w:val="-6"/>
          <w:sz w:val="21"/>
        </w:rPr>
        <w:t> 元的工本费后无息退还您所交纳的保险费。</w:t>
      </w:r>
    </w:p>
    <w:p>
      <w:pPr>
        <w:pStyle w:val="BodyText"/>
        <w:spacing w:line="262" w:lineRule="exact"/>
        <w:ind w:left="2597"/>
      </w:pPr>
      <w:r>
        <w:rPr/>
        <w:t>解除合同时，您需要填写申请书，并提供您的保险合同及有效身份证件（见</w:t>
      </w:r>
    </w:p>
    <w:p>
      <w:pPr>
        <w:pStyle w:val="BodyText"/>
        <w:spacing w:line="273" w:lineRule="auto" w:before="37"/>
        <w:ind w:left="2597" w:right="728"/>
      </w:pPr>
      <w:r>
        <w:rPr/>
        <w:t>9</w:t>
      </w:r>
      <w:r>
        <w:rPr>
          <w:spacing w:val="-1"/>
        </w:rPr>
        <w:t>.</w:t>
      </w:r>
      <w:r>
        <w:rPr/>
        <w:t>1</w:t>
      </w:r>
      <w:r>
        <w:rPr>
          <w:spacing w:val="-105"/>
        </w:rPr>
        <w:t>）</w:t>
      </w:r>
      <w:r>
        <w:rPr>
          <w:spacing w:val="-7"/>
        </w:rPr>
        <w:t>。自我们收到您解除合同的书面申请之时起，本附加合同即被解除，我</w:t>
      </w:r>
      <w:r>
        <w:rPr>
          <w:spacing w:val="-1"/>
        </w:rPr>
        <w:t>们自始不承担保险责任。</w:t>
      </w:r>
    </w:p>
    <w:p>
      <w:pPr>
        <w:pStyle w:val="BodyText"/>
        <w:rPr>
          <w:sz w:val="20"/>
        </w:rPr>
      </w:pPr>
    </w:p>
    <w:p>
      <w:pPr>
        <w:pStyle w:val="BodyText"/>
        <w:spacing w:before="6"/>
        <w:rPr>
          <w:sz w:val="18"/>
        </w:rPr>
      </w:pPr>
    </w:p>
    <w:p>
      <w:pPr>
        <w:pStyle w:val="Heading2"/>
        <w:numPr>
          <w:ilvl w:val="0"/>
          <w:numId w:val="3"/>
        </w:numPr>
        <w:tabs>
          <w:tab w:pos="1277" w:val="left" w:leader="none"/>
          <w:tab w:pos="1278" w:val="left" w:leader="none"/>
        </w:tabs>
        <w:spacing w:line="240" w:lineRule="auto" w:before="1" w:after="0"/>
        <w:ind w:left="1277" w:right="0" w:hanging="1056"/>
        <w:jc w:val="left"/>
      </w:pPr>
      <w:r>
        <w:rPr>
          <w:w w:val="95"/>
        </w:rPr>
        <w:t>我们提供的保障</w:t>
      </w:r>
    </w:p>
    <w:p>
      <w:pPr>
        <w:pStyle w:val="BodyText"/>
        <w:spacing w:before="3"/>
        <w:rPr>
          <w:sz w:val="10"/>
        </w:rPr>
      </w:pPr>
      <w:r>
        <w:rPr/>
        <w:pict>
          <v:group style="position:absolute;margin-left:45.66pt;margin-top:8.656837pt;width:473.25pt;height:1.45pt;mso-position-horizontal-relative:page;mso-position-vertical-relative:paragraph;z-index:1144;mso-wrap-distance-left:0;mso-wrap-distance-right:0" coordorigin="913,173" coordsize="9465,29">
            <v:line style="position:absolute" from="913,178" to="1969,178" stroked="true" strokeweight=".48001pt" strokecolor="#000000">
              <v:stroke dashstyle="solid"/>
            </v:line>
            <v:line style="position:absolute" from="913,197" to="1969,197" stroked="true" strokeweight=".48001pt" strokecolor="#000000">
              <v:stroke dashstyle="solid"/>
            </v:line>
            <v:rect style="position:absolute;left:1969;top:173;width:29;height:10" filled="true" fillcolor="#000000" stroked="false">
              <v:fill type="solid"/>
            </v:rect>
            <v:rect style="position:absolute;left:1969;top:192;width:29;height:10" filled="true" fillcolor="#000000" stroked="false">
              <v:fill type="solid"/>
            </v:rect>
            <v:line style="position:absolute" from="1998,178" to="3137,178" stroked="true" strokeweight=".48001pt" strokecolor="#000000">
              <v:stroke dashstyle="solid"/>
            </v:line>
            <v:line style="position:absolute" from="1998,197" to="3137,197" stroked="true" strokeweight=".48001pt" strokecolor="#000000">
              <v:stroke dashstyle="solid"/>
            </v:line>
            <v:rect style="position:absolute;left:3136;top:173;width:29;height:10" filled="true" fillcolor="#000000" stroked="false">
              <v:fill type="solid"/>
            </v:rect>
            <v:rect style="position:absolute;left:3136;top:192;width:29;height:10" filled="true" fillcolor="#000000" stroked="false">
              <v:fill type="solid"/>
            </v:rect>
            <v:line style="position:absolute" from="3166,178" to="10378,178" stroked="true" strokeweight=".48001pt" strokecolor="#000000">
              <v:stroke dashstyle="solid"/>
            </v:line>
            <v:line style="position:absolute" from="3166,197" to="10378,197" stroked="true" strokeweight=".48001pt" strokecolor="#000000">
              <v:stroke dashstyle="solid"/>
            </v:line>
            <w10:wrap type="topAndBottom"/>
          </v:group>
        </w:pict>
      </w:r>
    </w:p>
    <w:p>
      <w:pPr>
        <w:pStyle w:val="ListParagraph"/>
        <w:numPr>
          <w:ilvl w:val="1"/>
          <w:numId w:val="3"/>
        </w:numPr>
        <w:tabs>
          <w:tab w:pos="1277" w:val="left" w:leader="none"/>
          <w:tab w:pos="1278" w:val="left" w:leader="none"/>
          <w:tab w:pos="2444" w:val="left" w:leader="none"/>
        </w:tabs>
        <w:spacing w:line="240" w:lineRule="auto" w:before="96" w:after="0"/>
        <w:ind w:left="1277" w:right="0" w:hanging="1056"/>
        <w:jc w:val="left"/>
        <w:rPr>
          <w:sz w:val="21"/>
        </w:rPr>
      </w:pPr>
      <w:r>
        <w:rPr>
          <w:sz w:val="21"/>
        </w:rPr>
        <w:t>保险期间</w:t>
        <w:tab/>
        <w:t>本附加合同的保险期间为</w:t>
      </w:r>
      <w:r>
        <w:rPr>
          <w:spacing w:val="-53"/>
          <w:sz w:val="21"/>
        </w:rPr>
        <w:t> </w:t>
      </w:r>
      <w:r>
        <w:rPr>
          <w:sz w:val="21"/>
        </w:rPr>
        <w:t>1</w:t>
      </w:r>
      <w:r>
        <w:rPr>
          <w:spacing w:val="-52"/>
          <w:sz w:val="21"/>
        </w:rPr>
        <w:t> </w:t>
      </w:r>
      <w:r>
        <w:rPr>
          <w:sz w:val="21"/>
        </w:rPr>
        <w:t>年。</w:t>
      </w:r>
    </w:p>
    <w:p>
      <w:pPr>
        <w:pStyle w:val="BodyText"/>
        <w:spacing w:before="10"/>
        <w:rPr>
          <w:sz w:val="15"/>
        </w:rPr>
      </w:pPr>
    </w:p>
    <w:p>
      <w:pPr>
        <w:pStyle w:val="ListParagraph"/>
        <w:numPr>
          <w:ilvl w:val="1"/>
          <w:numId w:val="3"/>
        </w:numPr>
        <w:tabs>
          <w:tab w:pos="1277" w:val="left" w:leader="none"/>
          <w:tab w:pos="1278" w:val="left" w:leader="none"/>
          <w:tab w:pos="2444" w:val="left" w:leader="none"/>
        </w:tabs>
        <w:spacing w:line="240" w:lineRule="auto" w:before="1" w:after="0"/>
        <w:ind w:left="1277" w:right="0" w:hanging="1056"/>
        <w:jc w:val="left"/>
        <w:rPr>
          <w:sz w:val="21"/>
        </w:rPr>
      </w:pPr>
      <w:r>
        <w:rPr>
          <w:sz w:val="21"/>
        </w:rPr>
        <w:t>保险份数</w:t>
        <w:tab/>
        <w:t>本附加合同的保险份数与主合同相同。</w:t>
      </w:r>
    </w:p>
    <w:p>
      <w:pPr>
        <w:pStyle w:val="BodyText"/>
        <w:spacing w:before="13"/>
        <w:rPr>
          <w:sz w:val="23"/>
        </w:rPr>
      </w:pPr>
    </w:p>
    <w:p>
      <w:pPr>
        <w:spacing w:after="0"/>
        <w:rPr>
          <w:sz w:val="23"/>
        </w:rPr>
        <w:sectPr>
          <w:headerReference w:type="default" r:id="rId7"/>
          <w:pgSz w:w="11900" w:h="16840"/>
          <w:pgMar w:header="570" w:footer="0" w:top="760" w:bottom="280" w:left="800" w:right="900"/>
          <w:pgNumType w:start="1"/>
        </w:sectPr>
      </w:pPr>
    </w:p>
    <w:p>
      <w:pPr>
        <w:pStyle w:val="ListParagraph"/>
        <w:numPr>
          <w:ilvl w:val="1"/>
          <w:numId w:val="3"/>
        </w:numPr>
        <w:tabs>
          <w:tab w:pos="1277" w:val="left" w:leader="none"/>
          <w:tab w:pos="1278" w:val="left" w:leader="none"/>
        </w:tabs>
        <w:spacing w:line="273" w:lineRule="auto" w:before="35" w:after="0"/>
        <w:ind w:left="1277" w:right="0" w:hanging="1056"/>
        <w:jc w:val="left"/>
        <w:rPr>
          <w:sz w:val="21"/>
        </w:rPr>
      </w:pPr>
      <w:r>
        <w:rPr>
          <w:spacing w:val="35"/>
          <w:sz w:val="21"/>
        </w:rPr>
        <w:t>基本保险</w:t>
      </w:r>
      <w:r>
        <w:rPr>
          <w:sz w:val="21"/>
        </w:rPr>
        <w:t>金额</w:t>
      </w:r>
    </w:p>
    <w:p>
      <w:pPr>
        <w:pStyle w:val="BodyText"/>
        <w:spacing w:line="273" w:lineRule="auto" w:before="35"/>
        <w:ind w:left="138" w:right="728"/>
      </w:pPr>
      <w:r>
        <w:rPr/>
        <w:br w:type="column"/>
      </w:r>
      <w:r>
        <w:rPr>
          <w:spacing w:val="-5"/>
        </w:rPr>
        <w:t>本附加合同首次生效时被保险人未满 </w:t>
      </w:r>
      <w:r>
        <w:rPr>
          <w:spacing w:val="-1"/>
        </w:rPr>
        <w:t>3</w:t>
      </w:r>
      <w:r>
        <w:rPr/>
        <w:t>1</w:t>
      </w:r>
      <w:r>
        <w:rPr>
          <w:spacing w:val="-28"/>
        </w:rPr>
        <w:t> 周岁</w:t>
      </w:r>
      <w:r>
        <w:rPr>
          <w:spacing w:val="-2"/>
        </w:rPr>
        <w:t>（</w:t>
      </w:r>
      <w:r>
        <w:rPr>
          <w:spacing w:val="-27"/>
        </w:rPr>
        <w:t>见 </w:t>
      </w:r>
      <w:r>
        <w:rPr/>
        <w:t>9</w:t>
      </w:r>
      <w:r>
        <w:rPr>
          <w:spacing w:val="-1"/>
        </w:rPr>
        <w:t>.</w:t>
      </w:r>
      <w:r>
        <w:rPr/>
        <w:t>2</w:t>
      </w:r>
      <w:r>
        <w:rPr>
          <w:spacing w:val="-105"/>
        </w:rPr>
        <w:t>）</w:t>
      </w:r>
      <w:r>
        <w:rPr>
          <w:spacing w:val="-6"/>
        </w:rPr>
        <w:t>，则本附加合同的基本</w:t>
      </w:r>
      <w:r>
        <w:rPr>
          <w:spacing w:val="-10"/>
        </w:rPr>
        <w:t>保险金额为主合同的累计已交保险费的 </w:t>
      </w:r>
      <w:r>
        <w:rPr/>
        <w:t>15</w:t>
      </w:r>
      <w:r>
        <w:rPr>
          <w:spacing w:val="-10"/>
        </w:rPr>
        <w:t> 倍；本附加合同首次生效时被保险</w:t>
      </w:r>
    </w:p>
    <w:p>
      <w:pPr>
        <w:pStyle w:val="BodyText"/>
        <w:spacing w:before="7"/>
        <w:ind w:left="138"/>
      </w:pPr>
      <w:r>
        <w:rPr/>
        <w:t>人已满 31 周岁（含）但未满 41 周岁，则本附加合同的基本保险金额为主合</w:t>
      </w:r>
    </w:p>
    <w:p>
      <w:pPr>
        <w:pStyle w:val="BodyText"/>
        <w:spacing w:before="36"/>
        <w:ind w:left="138"/>
      </w:pPr>
      <w:r>
        <w:rPr/>
        <w:t>同的累计已交保险费的 10 倍；本附加合同首次生效时被保险人已满 41 周岁</w:t>
      </w:r>
    </w:p>
    <w:p>
      <w:pPr>
        <w:pStyle w:val="BodyText"/>
        <w:spacing w:before="36"/>
        <w:ind w:left="138"/>
      </w:pPr>
      <w:r>
        <w:rPr/>
        <w:t>（含</w:t>
      </w:r>
      <w:r>
        <w:rPr>
          <w:spacing w:val="-105"/>
        </w:rPr>
        <w:t>）</w:t>
      </w:r>
      <w:r>
        <w:rPr>
          <w:spacing w:val="-3"/>
        </w:rPr>
        <w:t>，则本附加合同的基本保险金额为主合同的累计已交保险费的 </w:t>
      </w:r>
      <w:r>
        <w:rPr/>
        <w:t>5</w:t>
      </w:r>
      <w:r>
        <w:rPr>
          <w:spacing w:val="-18"/>
        </w:rPr>
        <w:t> 倍。</w:t>
      </w:r>
    </w:p>
    <w:p>
      <w:pPr>
        <w:spacing w:after="0"/>
        <w:sectPr>
          <w:type w:val="continuous"/>
          <w:pgSz w:w="11900" w:h="16840"/>
          <w:pgMar w:top="1100" w:bottom="280" w:left="800" w:right="900"/>
          <w:cols w:num="2" w:equalWidth="0">
            <w:col w:w="2266" w:space="40"/>
            <w:col w:w="7894"/>
          </w:cols>
        </w:sectPr>
      </w:pPr>
    </w:p>
    <w:p>
      <w:pPr>
        <w:pStyle w:val="BodyText"/>
        <w:rPr>
          <w:sz w:val="20"/>
        </w:rPr>
      </w:pPr>
    </w:p>
    <w:p>
      <w:pPr>
        <w:pStyle w:val="BodyText"/>
        <w:rPr>
          <w:sz w:val="20"/>
        </w:rPr>
      </w:pPr>
    </w:p>
    <w:p>
      <w:pPr>
        <w:pStyle w:val="BodyText"/>
        <w:spacing w:before="4"/>
        <w:rPr>
          <w:sz w:val="22"/>
        </w:rPr>
      </w:pPr>
    </w:p>
    <w:p>
      <w:pPr>
        <w:pStyle w:val="ListParagraph"/>
        <w:numPr>
          <w:ilvl w:val="1"/>
          <w:numId w:val="3"/>
        </w:numPr>
        <w:tabs>
          <w:tab w:pos="1277" w:val="left" w:leader="none"/>
          <w:tab w:pos="1278" w:val="left" w:leader="none"/>
          <w:tab w:pos="2444" w:val="left" w:leader="none"/>
        </w:tabs>
        <w:spacing w:line="273" w:lineRule="auto" w:before="36" w:after="0"/>
        <w:ind w:left="2444" w:right="623" w:hanging="2223"/>
        <w:jc w:val="left"/>
        <w:rPr>
          <w:sz w:val="21"/>
        </w:rPr>
      </w:pPr>
      <w:r>
        <w:rPr>
          <w:sz w:val="21"/>
        </w:rPr>
        <w:t>保证续保</w:t>
        <w:tab/>
        <w:t>每一保险期间届满前</w:t>
      </w:r>
      <w:r>
        <w:rPr>
          <w:spacing w:val="-11"/>
          <w:sz w:val="21"/>
        </w:rPr>
        <w:t>，</w:t>
      </w:r>
      <w:r>
        <w:rPr>
          <w:sz w:val="21"/>
        </w:rPr>
        <w:t>若我们未收到您不再继续投保本附加合同的书面通知，则视作您申请续保，我们按照相应的费率（具体费率见附表一）收取保险费后，本附加合同将延续有效一年。</w:t>
      </w:r>
    </w:p>
    <w:p>
      <w:pPr>
        <w:pStyle w:val="BodyText"/>
        <w:spacing w:before="7"/>
        <w:ind w:left="2444"/>
      </w:pPr>
      <w:r>
        <w:rPr/>
        <w:t>发生下列情形之一的，本附加合同自动不再接受续保：</w:t>
      </w:r>
    </w:p>
    <w:p>
      <w:pPr>
        <w:pStyle w:val="BodyText"/>
        <w:spacing w:line="273" w:lineRule="auto" w:before="36"/>
        <w:ind w:left="2444" w:right="684"/>
      </w:pPr>
      <w:r>
        <w:rPr/>
        <w:t>（1）本附加合同被保险人已发生“重大疾病保险金”的责任给付导致本附加合同效力终止；</w:t>
      </w:r>
    </w:p>
    <w:p>
      <w:pPr>
        <w:pStyle w:val="BodyText"/>
        <w:spacing w:before="7"/>
        <w:ind w:left="2444"/>
      </w:pPr>
      <w:r>
        <w:rPr/>
        <w:t>（2）主合同保险期间届满；</w:t>
      </w:r>
    </w:p>
    <w:p>
      <w:pPr>
        <w:pStyle w:val="BodyText"/>
        <w:spacing w:before="37"/>
        <w:ind w:left="2444"/>
      </w:pPr>
      <w:r>
        <w:rPr/>
        <w:t>（3）主合同效力终止或中止。</w:t>
      </w:r>
    </w:p>
    <w:p>
      <w:pPr>
        <w:pStyle w:val="BodyText"/>
        <w:spacing w:before="8"/>
        <w:rPr>
          <w:sz w:val="15"/>
        </w:rPr>
      </w:pPr>
    </w:p>
    <w:p>
      <w:pPr>
        <w:pStyle w:val="ListParagraph"/>
        <w:numPr>
          <w:ilvl w:val="1"/>
          <w:numId w:val="3"/>
        </w:numPr>
        <w:tabs>
          <w:tab w:pos="1276" w:val="left" w:leader="none"/>
          <w:tab w:pos="1277" w:val="left" w:leader="none"/>
          <w:tab w:pos="2444" w:val="left" w:leader="none"/>
        </w:tabs>
        <w:spacing w:line="240" w:lineRule="auto" w:before="1" w:after="0"/>
        <w:ind w:left="1276" w:right="0" w:hanging="1055"/>
        <w:jc w:val="left"/>
        <w:rPr>
          <w:sz w:val="21"/>
        </w:rPr>
      </w:pPr>
      <w:r>
        <w:rPr>
          <w:position w:val="3"/>
          <w:sz w:val="21"/>
        </w:rPr>
        <w:t>保险责任</w:t>
        <w:tab/>
      </w:r>
      <w:r>
        <w:rPr>
          <w:spacing w:val="-1"/>
          <w:sz w:val="21"/>
        </w:rPr>
        <w:t>在本附加合同有效期内，我们承担如下保险责任：</w:t>
      </w:r>
    </w:p>
    <w:p>
      <w:pPr>
        <w:spacing w:after="0" w:line="240" w:lineRule="auto"/>
        <w:jc w:val="left"/>
        <w:rPr>
          <w:sz w:val="21"/>
        </w:rPr>
        <w:sectPr>
          <w:type w:val="continuous"/>
          <w:pgSz w:w="11900" w:h="16840"/>
          <w:pgMar w:top="1100" w:bottom="280" w:left="800" w:right="90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410"/>
        <w:gridCol w:w="7156"/>
      </w:tblGrid>
      <w:tr>
        <w:trPr>
          <w:trHeight w:val="300" w:hRule="atLeast"/>
        </w:trPr>
        <w:tc>
          <w:tcPr>
            <w:tcW w:w="898" w:type="dxa"/>
          </w:tcPr>
          <w:p>
            <w:pPr>
              <w:pStyle w:val="TableParagraph"/>
              <w:spacing w:line="222" w:lineRule="exact"/>
              <w:ind w:left="108"/>
              <w:rPr>
                <w:i/>
                <w:sz w:val="22"/>
              </w:rPr>
            </w:pPr>
            <w:r>
              <w:rPr>
                <w:i/>
                <w:sz w:val="22"/>
              </w:rPr>
              <w:t>2.5.1</w:t>
            </w:r>
          </w:p>
        </w:tc>
        <w:tc>
          <w:tcPr>
            <w:tcW w:w="1410" w:type="dxa"/>
          </w:tcPr>
          <w:p>
            <w:pPr>
              <w:pStyle w:val="TableParagraph"/>
              <w:spacing w:line="222" w:lineRule="exact"/>
              <w:ind w:left="265"/>
              <w:rPr>
                <w:i/>
                <w:sz w:val="22"/>
              </w:rPr>
            </w:pPr>
            <w:r>
              <w:rPr>
                <w:i/>
                <w:w w:val="95"/>
                <w:sz w:val="22"/>
              </w:rPr>
              <w:t>等待期</w:t>
            </w:r>
          </w:p>
        </w:tc>
        <w:tc>
          <w:tcPr>
            <w:tcW w:w="7156" w:type="dxa"/>
          </w:tcPr>
          <w:p>
            <w:pPr>
              <w:pStyle w:val="TableParagraph"/>
              <w:spacing w:line="245" w:lineRule="exact"/>
              <w:ind w:left="23"/>
              <w:rPr>
                <w:sz w:val="21"/>
              </w:rPr>
            </w:pPr>
            <w:r>
              <w:rPr>
                <w:spacing w:val="-3"/>
                <w:sz w:val="21"/>
                <w:shd w:fill="E5E5E5" w:color="auto" w:val="clear"/>
              </w:rPr>
              <w:t>您首次投保或非连续投保本附加合同时，在本附加合同生效之日起 </w:t>
            </w:r>
            <w:r>
              <w:rPr>
                <w:sz w:val="21"/>
                <w:shd w:fill="E5E5E5" w:color="auto" w:val="clear"/>
              </w:rPr>
              <w:t>180</w:t>
            </w:r>
            <w:r>
              <w:rPr>
                <w:spacing w:val="-14"/>
                <w:sz w:val="21"/>
                <w:shd w:fill="E5E5E5" w:color="auto" w:val="clear"/>
              </w:rPr>
              <w:t> 日内，</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pacing w:val="-7"/>
                <w:sz w:val="21"/>
                <w:shd w:fill="E5E5E5" w:color="auto" w:val="clear"/>
              </w:rPr>
              <w:t>被保险人因疾病发生下列情形之一的：</w:t>
            </w:r>
            <w:r>
              <w:rPr>
                <w:sz w:val="21"/>
                <w:shd w:fill="E5E5E5" w:color="auto" w:val="clear"/>
              </w:rPr>
              <w:t>（一</w:t>
            </w:r>
            <w:r>
              <w:rPr>
                <w:spacing w:val="-105"/>
                <w:sz w:val="21"/>
                <w:shd w:fill="E5E5E5" w:color="auto" w:val="clear"/>
              </w:rPr>
              <w:t>）</w:t>
            </w:r>
            <w:r>
              <w:rPr>
                <w:spacing w:val="-1"/>
                <w:sz w:val="21"/>
                <w:shd w:fill="E5E5E5" w:color="auto" w:val="clear"/>
              </w:rPr>
              <w:t>“轻症重疾</w:t>
            </w:r>
            <w:r>
              <w:rPr>
                <w:spacing w:val="-2"/>
                <w:sz w:val="21"/>
                <w:shd w:fill="E5E5E5" w:color="auto" w:val="clear"/>
              </w:rPr>
              <w:t>（</w:t>
            </w:r>
            <w:r>
              <w:rPr>
                <w:spacing w:val="-9"/>
                <w:sz w:val="21"/>
                <w:shd w:fill="E5E5E5" w:color="auto" w:val="clear"/>
              </w:rPr>
              <w:t>见 </w:t>
            </w:r>
            <w:r>
              <w:rPr>
                <w:sz w:val="21"/>
                <w:shd w:fill="E5E5E5" w:color="auto" w:val="clear"/>
              </w:rPr>
              <w:t>3.</w:t>
            </w:r>
            <w:r>
              <w:rPr>
                <w:spacing w:val="-1"/>
                <w:sz w:val="21"/>
                <w:shd w:fill="E5E5E5" w:color="auto" w:val="clear"/>
              </w:rPr>
              <w:t>2</w:t>
            </w:r>
            <w:r>
              <w:rPr>
                <w:spacing w:val="-105"/>
                <w:sz w:val="21"/>
                <w:shd w:fill="E5E5E5" w:color="auto" w:val="clear"/>
              </w:rPr>
              <w:t>）</w:t>
            </w:r>
            <w:r>
              <w:rPr>
                <w:spacing w:val="-1"/>
                <w:sz w:val="21"/>
                <w:shd w:fill="E5E5E5" w:color="auto" w:val="clear"/>
              </w:rPr>
              <w:t>”或“重大</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pacing w:val="-4"/>
                <w:sz w:val="21"/>
                <w:shd w:fill="E5E5E5" w:color="auto" w:val="clear"/>
              </w:rPr>
              <w:t>疾病</w:t>
            </w:r>
            <w:r>
              <w:rPr>
                <w:spacing w:val="-1"/>
                <w:sz w:val="21"/>
                <w:shd w:fill="E5E5E5" w:color="auto" w:val="clear"/>
              </w:rPr>
              <w:t>（</w:t>
            </w:r>
            <w:r>
              <w:rPr>
                <w:spacing w:val="-27"/>
                <w:sz w:val="21"/>
                <w:shd w:fill="E5E5E5" w:color="auto" w:val="clear"/>
              </w:rPr>
              <w:t>见 </w:t>
            </w:r>
            <w:r>
              <w:rPr>
                <w:spacing w:val="-1"/>
                <w:sz w:val="21"/>
                <w:shd w:fill="E5E5E5" w:color="auto" w:val="clear"/>
              </w:rPr>
              <w:t>3</w:t>
            </w:r>
            <w:r>
              <w:rPr>
                <w:sz w:val="21"/>
                <w:shd w:fill="E5E5E5" w:color="auto" w:val="clear"/>
              </w:rPr>
              <w:t>.</w:t>
            </w:r>
            <w:r>
              <w:rPr>
                <w:spacing w:val="-1"/>
                <w:sz w:val="21"/>
                <w:shd w:fill="E5E5E5" w:color="auto" w:val="clear"/>
              </w:rPr>
              <w:t>4</w:t>
            </w:r>
            <w:r>
              <w:rPr>
                <w:spacing w:val="-105"/>
                <w:sz w:val="21"/>
                <w:shd w:fill="E5E5E5" w:color="auto" w:val="clear"/>
              </w:rPr>
              <w:t>）</w:t>
            </w:r>
            <w:r>
              <w:rPr>
                <w:spacing w:val="-111"/>
                <w:sz w:val="21"/>
                <w:shd w:fill="E5E5E5" w:color="auto" w:val="clear"/>
              </w:rPr>
              <w:t>”；</w:t>
            </w:r>
            <w:r>
              <w:rPr>
                <w:sz w:val="21"/>
                <w:shd w:fill="E5E5E5" w:color="auto" w:val="clear"/>
              </w:rPr>
              <w:t>（二</w:t>
            </w:r>
            <w:r>
              <w:rPr>
                <w:spacing w:val="-10"/>
                <w:sz w:val="21"/>
                <w:shd w:fill="E5E5E5" w:color="auto" w:val="clear"/>
              </w:rPr>
              <w:t>）</w:t>
            </w:r>
            <w:r>
              <w:rPr>
                <w:spacing w:val="-6"/>
                <w:sz w:val="21"/>
                <w:shd w:fill="E5E5E5" w:color="auto" w:val="clear"/>
              </w:rPr>
              <w:t>因导致“轻症重疾”或“重大疾病”的相关疾病就诊，</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shd w:fill="E5E5E5" w:color="auto" w:val="clear"/>
              </w:rPr>
              <w:t>我们不承担保险责任，本附加合同效力终止，我们无息退还本附加合同已交</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shd w:fill="E5E5E5" w:color="auto" w:val="clear"/>
              </w:rPr>
              <w:t>的该保险期间对应的保险费。这 180 日的时间称为等待期。</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pacing w:val="-3"/>
                <w:sz w:val="21"/>
              </w:rPr>
              <w:t>被保险人因意外伤害</w:t>
            </w:r>
            <w:r>
              <w:rPr>
                <w:sz w:val="21"/>
              </w:rPr>
              <w:t>（</w:t>
            </w:r>
            <w:r>
              <w:rPr>
                <w:spacing w:val="-26"/>
                <w:sz w:val="21"/>
              </w:rPr>
              <w:t>见 </w:t>
            </w:r>
            <w:r>
              <w:rPr>
                <w:spacing w:val="-6"/>
                <w:sz w:val="21"/>
              </w:rPr>
              <w:t>9.3）</w:t>
            </w:r>
            <w:r>
              <w:rPr>
                <w:spacing w:val="-2"/>
                <w:sz w:val="21"/>
              </w:rPr>
              <w:t>发生上面两种情形之一的无等待期。连续投保</w:t>
            </w:r>
          </w:p>
        </w:tc>
      </w:tr>
      <w:tr>
        <w:trPr>
          <w:trHeight w:val="438"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rPr>
              <w:t>无等待期。</w:t>
            </w:r>
          </w:p>
        </w:tc>
      </w:tr>
      <w:tr>
        <w:trPr>
          <w:trHeight w:val="451" w:hRule="atLeast"/>
        </w:trPr>
        <w:tc>
          <w:tcPr>
            <w:tcW w:w="898" w:type="dxa"/>
          </w:tcPr>
          <w:p>
            <w:pPr>
              <w:pStyle w:val="TableParagraph"/>
              <w:spacing w:before="107"/>
              <w:ind w:left="108"/>
              <w:rPr>
                <w:i/>
                <w:sz w:val="22"/>
              </w:rPr>
            </w:pPr>
            <w:r>
              <w:rPr>
                <w:i/>
                <w:sz w:val="22"/>
              </w:rPr>
              <w:t>2.5.2</w:t>
            </w:r>
          </w:p>
        </w:tc>
        <w:tc>
          <w:tcPr>
            <w:tcW w:w="1410" w:type="dxa"/>
          </w:tcPr>
          <w:p>
            <w:pPr>
              <w:pStyle w:val="TableParagraph"/>
              <w:spacing w:before="107"/>
              <w:ind w:left="265"/>
              <w:rPr>
                <w:i/>
                <w:sz w:val="22"/>
              </w:rPr>
            </w:pPr>
            <w:r>
              <w:rPr>
                <w:i/>
                <w:w w:val="95"/>
                <w:sz w:val="22"/>
              </w:rPr>
              <w:t>轻症重疾</w:t>
            </w:r>
          </w:p>
        </w:tc>
        <w:tc>
          <w:tcPr>
            <w:tcW w:w="7156" w:type="dxa"/>
          </w:tcPr>
          <w:p>
            <w:pPr>
              <w:pStyle w:val="TableParagraph"/>
              <w:spacing w:before="143"/>
              <w:ind w:left="23"/>
              <w:rPr>
                <w:sz w:val="21"/>
              </w:rPr>
            </w:pPr>
            <w:r>
              <w:rPr>
                <w:sz w:val="21"/>
              </w:rPr>
              <w:t>若被保险人因意外伤害或于等待期后，在确诊首次发生本附加合同约定的重</w:t>
            </w:r>
          </w:p>
        </w:tc>
      </w:tr>
      <w:tr>
        <w:trPr>
          <w:trHeight w:val="341" w:hRule="atLeast"/>
        </w:trPr>
        <w:tc>
          <w:tcPr>
            <w:tcW w:w="898" w:type="dxa"/>
          </w:tcPr>
          <w:p>
            <w:pPr>
              <w:pStyle w:val="TableParagraph"/>
              <w:rPr>
                <w:rFonts w:ascii="Times New Roman"/>
                <w:sz w:val="20"/>
              </w:rPr>
            </w:pPr>
          </w:p>
        </w:tc>
        <w:tc>
          <w:tcPr>
            <w:tcW w:w="1410" w:type="dxa"/>
          </w:tcPr>
          <w:p>
            <w:pPr>
              <w:pStyle w:val="TableParagraph"/>
              <w:spacing w:line="255" w:lineRule="exact"/>
              <w:ind w:left="266"/>
              <w:rPr>
                <w:i/>
                <w:sz w:val="22"/>
              </w:rPr>
            </w:pPr>
            <w:r>
              <w:rPr>
                <w:i/>
                <w:w w:val="95"/>
                <w:sz w:val="22"/>
              </w:rPr>
              <w:t>保险金</w:t>
            </w:r>
          </w:p>
        </w:tc>
        <w:tc>
          <w:tcPr>
            <w:tcW w:w="7156" w:type="dxa"/>
          </w:tcPr>
          <w:p>
            <w:pPr>
              <w:pStyle w:val="TableParagraph"/>
              <w:spacing w:before="12"/>
              <w:ind w:left="23"/>
              <w:rPr>
                <w:sz w:val="21"/>
              </w:rPr>
            </w:pPr>
            <w:r>
              <w:rPr>
                <w:sz w:val="21"/>
              </w:rPr>
              <w:t>大疾病（无论一种或多种）前，经我们认可的医院（见 9.4）专科医生（见</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rPr>
              <w:t>9.</w:t>
            </w:r>
            <w:r>
              <w:rPr>
                <w:spacing w:val="2"/>
                <w:sz w:val="21"/>
              </w:rPr>
              <w:t>5</w:t>
            </w:r>
            <w:r>
              <w:rPr>
                <w:spacing w:val="1"/>
                <w:sz w:val="21"/>
              </w:rPr>
              <w:t>）</w:t>
            </w:r>
            <w:r>
              <w:rPr>
                <w:sz w:val="21"/>
              </w:rPr>
              <w:t>确诊首次发生本附加合同约定的轻症重疾</w:t>
            </w:r>
            <w:r>
              <w:rPr>
                <w:spacing w:val="1"/>
                <w:sz w:val="21"/>
              </w:rPr>
              <w:t>（</w:t>
            </w:r>
            <w:r>
              <w:rPr>
                <w:sz w:val="21"/>
              </w:rPr>
              <w:t>无论一种或多种</w:t>
            </w:r>
            <w:r>
              <w:rPr>
                <w:spacing w:val="-101"/>
                <w:sz w:val="21"/>
              </w:rPr>
              <w:t>）</w:t>
            </w:r>
            <w:r>
              <w:rPr>
                <w:spacing w:val="1"/>
                <w:sz w:val="21"/>
              </w:rPr>
              <w:t>，本“轻</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pacing w:val="-8"/>
                <w:sz w:val="21"/>
              </w:rPr>
              <w:t>症重疾保险金”责任终止，我们按本附加合同基本保险金额的 </w:t>
            </w:r>
            <w:r>
              <w:rPr>
                <w:sz w:val="21"/>
              </w:rPr>
              <w:t>20%给付轻症重</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rPr>
              <w:t>疾保险金，本附加合同继续有效。</w:t>
            </w:r>
          </w:p>
        </w:tc>
      </w:tr>
      <w:tr>
        <w:trPr>
          <w:trHeight w:val="462"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pacing w:val="-6"/>
                <w:sz w:val="21"/>
              </w:rPr>
              <w:t>本附加合同保险期间及保证续保期间内，“轻症重疾保险金”最多给付一次。</w:t>
            </w:r>
          </w:p>
        </w:tc>
      </w:tr>
      <w:tr>
        <w:trPr>
          <w:trHeight w:val="476" w:hRule="atLeast"/>
        </w:trPr>
        <w:tc>
          <w:tcPr>
            <w:tcW w:w="898" w:type="dxa"/>
          </w:tcPr>
          <w:p>
            <w:pPr>
              <w:pStyle w:val="TableParagraph"/>
              <w:spacing w:before="131"/>
              <w:ind w:left="108"/>
              <w:rPr>
                <w:i/>
                <w:sz w:val="22"/>
              </w:rPr>
            </w:pPr>
            <w:r>
              <w:rPr>
                <w:i/>
                <w:sz w:val="22"/>
              </w:rPr>
              <w:t>2.5.3</w:t>
            </w:r>
          </w:p>
        </w:tc>
        <w:tc>
          <w:tcPr>
            <w:tcW w:w="1410" w:type="dxa"/>
          </w:tcPr>
          <w:p>
            <w:pPr>
              <w:pStyle w:val="TableParagraph"/>
              <w:spacing w:before="131"/>
              <w:ind w:left="265"/>
              <w:rPr>
                <w:i/>
                <w:sz w:val="22"/>
              </w:rPr>
            </w:pPr>
            <w:r>
              <w:rPr>
                <w:i/>
                <w:w w:val="95"/>
                <w:sz w:val="22"/>
              </w:rPr>
              <w:t>重大疾病</w:t>
            </w:r>
          </w:p>
        </w:tc>
        <w:tc>
          <w:tcPr>
            <w:tcW w:w="7156" w:type="dxa"/>
          </w:tcPr>
          <w:p>
            <w:pPr>
              <w:pStyle w:val="TableParagraph"/>
              <w:spacing w:before="168"/>
              <w:ind w:left="23"/>
              <w:rPr>
                <w:sz w:val="21"/>
              </w:rPr>
            </w:pPr>
            <w:r>
              <w:rPr>
                <w:sz w:val="21"/>
              </w:rPr>
              <w:t>若被保险人因意外伤害或于等待期后，经我们认可的医院专科医生确诊首次</w:t>
            </w:r>
          </w:p>
        </w:tc>
      </w:tr>
      <w:tr>
        <w:trPr>
          <w:trHeight w:val="341" w:hRule="atLeast"/>
        </w:trPr>
        <w:tc>
          <w:tcPr>
            <w:tcW w:w="898" w:type="dxa"/>
          </w:tcPr>
          <w:p>
            <w:pPr>
              <w:pStyle w:val="TableParagraph"/>
              <w:rPr>
                <w:rFonts w:ascii="Times New Roman"/>
                <w:sz w:val="20"/>
              </w:rPr>
            </w:pPr>
          </w:p>
        </w:tc>
        <w:tc>
          <w:tcPr>
            <w:tcW w:w="1410" w:type="dxa"/>
          </w:tcPr>
          <w:p>
            <w:pPr>
              <w:pStyle w:val="TableParagraph"/>
              <w:spacing w:line="255" w:lineRule="exact"/>
              <w:ind w:left="266"/>
              <w:rPr>
                <w:i/>
                <w:sz w:val="22"/>
              </w:rPr>
            </w:pPr>
            <w:r>
              <w:rPr>
                <w:i/>
                <w:w w:val="95"/>
                <w:sz w:val="22"/>
              </w:rPr>
              <w:t>保险金</w:t>
            </w:r>
          </w:p>
        </w:tc>
        <w:tc>
          <w:tcPr>
            <w:tcW w:w="7156" w:type="dxa"/>
          </w:tcPr>
          <w:p>
            <w:pPr>
              <w:pStyle w:val="TableParagraph"/>
              <w:spacing w:before="11"/>
              <w:ind w:left="23"/>
              <w:rPr>
                <w:sz w:val="21"/>
              </w:rPr>
            </w:pPr>
            <w:r>
              <w:rPr>
                <w:spacing w:val="-4"/>
                <w:sz w:val="21"/>
              </w:rPr>
              <w:t>发生本附加合同约定的重大疾病</w:t>
            </w:r>
            <w:r>
              <w:rPr>
                <w:sz w:val="21"/>
              </w:rPr>
              <w:t>（无论一种或多种</w:t>
            </w:r>
            <w:r>
              <w:rPr>
                <w:spacing w:val="-76"/>
                <w:sz w:val="21"/>
              </w:rPr>
              <w:t>）</w:t>
            </w:r>
            <w:r>
              <w:rPr>
                <w:spacing w:val="-9"/>
                <w:sz w:val="21"/>
              </w:rPr>
              <w:t>，本附加合同效力终止，</w:t>
            </w:r>
          </w:p>
        </w:tc>
      </w:tr>
      <w:tr>
        <w:trPr>
          <w:trHeight w:val="462"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sz w:val="21"/>
              </w:rPr>
            </w:pPr>
            <w:r>
              <w:rPr>
                <w:sz w:val="21"/>
              </w:rPr>
              <w:t>我们按本附加合同基本保险金额给付重大疾病保险金。</w:t>
            </w:r>
          </w:p>
        </w:tc>
      </w:tr>
      <w:tr>
        <w:trPr>
          <w:trHeight w:val="475" w:hRule="atLeast"/>
        </w:trPr>
        <w:tc>
          <w:tcPr>
            <w:tcW w:w="898" w:type="dxa"/>
          </w:tcPr>
          <w:p>
            <w:pPr>
              <w:pStyle w:val="TableParagraph"/>
              <w:spacing w:before="131"/>
              <w:ind w:left="108"/>
              <w:rPr>
                <w:i/>
                <w:sz w:val="22"/>
              </w:rPr>
            </w:pPr>
            <w:r>
              <w:rPr>
                <w:i/>
                <w:sz w:val="22"/>
              </w:rPr>
              <w:t>2.5.4</w:t>
            </w:r>
          </w:p>
        </w:tc>
        <w:tc>
          <w:tcPr>
            <w:tcW w:w="1410" w:type="dxa"/>
          </w:tcPr>
          <w:p>
            <w:pPr>
              <w:pStyle w:val="TableParagraph"/>
              <w:spacing w:before="131"/>
              <w:ind w:left="265"/>
              <w:rPr>
                <w:i/>
                <w:sz w:val="22"/>
              </w:rPr>
            </w:pPr>
            <w:r>
              <w:rPr>
                <w:i/>
                <w:w w:val="95"/>
                <w:sz w:val="22"/>
              </w:rPr>
              <w:t>本附加合</w:t>
            </w:r>
          </w:p>
        </w:tc>
        <w:tc>
          <w:tcPr>
            <w:tcW w:w="7156" w:type="dxa"/>
          </w:tcPr>
          <w:p>
            <w:pPr>
              <w:pStyle w:val="TableParagraph"/>
              <w:spacing w:before="167"/>
              <w:ind w:left="23"/>
              <w:rPr>
                <w:sz w:val="21"/>
              </w:rPr>
            </w:pPr>
            <w:r>
              <w:rPr>
                <w:sz w:val="21"/>
              </w:rPr>
              <w:t>本附加合同效力终止后，主合同效力同时终止。</w:t>
            </w:r>
          </w:p>
        </w:tc>
      </w:tr>
      <w:tr>
        <w:trPr>
          <w:trHeight w:val="300" w:hRule="atLeast"/>
        </w:trPr>
        <w:tc>
          <w:tcPr>
            <w:tcW w:w="898" w:type="dxa"/>
          </w:tcPr>
          <w:p>
            <w:pPr>
              <w:pStyle w:val="TableParagraph"/>
              <w:rPr>
                <w:rFonts w:ascii="Times New Roman"/>
                <w:sz w:val="20"/>
              </w:rPr>
            </w:pPr>
          </w:p>
        </w:tc>
        <w:tc>
          <w:tcPr>
            <w:tcW w:w="1410" w:type="dxa"/>
          </w:tcPr>
          <w:p>
            <w:pPr>
              <w:pStyle w:val="TableParagraph"/>
              <w:spacing w:line="255" w:lineRule="exact"/>
              <w:ind w:left="266"/>
              <w:rPr>
                <w:i/>
                <w:sz w:val="22"/>
              </w:rPr>
            </w:pPr>
            <w:r>
              <w:rPr>
                <w:i/>
                <w:w w:val="95"/>
                <w:sz w:val="22"/>
              </w:rPr>
              <w:t>同与主合</w:t>
            </w:r>
          </w:p>
        </w:tc>
        <w:tc>
          <w:tcPr>
            <w:tcW w:w="7156" w:type="dxa"/>
          </w:tcPr>
          <w:p>
            <w:pPr>
              <w:pStyle w:val="TableParagraph"/>
              <w:rPr>
                <w:rFonts w:ascii="Times New Roman"/>
                <w:sz w:val="20"/>
              </w:rPr>
            </w:pPr>
          </w:p>
        </w:tc>
      </w:tr>
      <w:tr>
        <w:trPr>
          <w:trHeight w:val="402" w:hRule="atLeast"/>
        </w:trPr>
        <w:tc>
          <w:tcPr>
            <w:tcW w:w="898" w:type="dxa"/>
          </w:tcPr>
          <w:p>
            <w:pPr>
              <w:pStyle w:val="TableParagraph"/>
              <w:rPr>
                <w:rFonts w:ascii="Times New Roman"/>
                <w:sz w:val="20"/>
              </w:rPr>
            </w:pPr>
          </w:p>
        </w:tc>
        <w:tc>
          <w:tcPr>
            <w:tcW w:w="1410" w:type="dxa"/>
          </w:tcPr>
          <w:p>
            <w:pPr>
              <w:pStyle w:val="TableParagraph"/>
              <w:spacing w:line="267" w:lineRule="exact"/>
              <w:ind w:left="265"/>
              <w:rPr>
                <w:i/>
                <w:sz w:val="22"/>
              </w:rPr>
            </w:pPr>
            <w:r>
              <w:rPr>
                <w:i/>
                <w:w w:val="95"/>
                <w:sz w:val="22"/>
              </w:rPr>
              <w:t>同的关联</w:t>
            </w:r>
          </w:p>
        </w:tc>
        <w:tc>
          <w:tcPr>
            <w:tcW w:w="7156" w:type="dxa"/>
          </w:tcPr>
          <w:p>
            <w:pPr>
              <w:pStyle w:val="TableParagraph"/>
              <w:rPr>
                <w:rFonts w:ascii="Times New Roman"/>
                <w:sz w:val="20"/>
              </w:rPr>
            </w:pPr>
          </w:p>
        </w:tc>
      </w:tr>
      <w:tr>
        <w:trPr>
          <w:trHeight w:val="425" w:hRule="atLeast"/>
        </w:trPr>
        <w:tc>
          <w:tcPr>
            <w:tcW w:w="898" w:type="dxa"/>
          </w:tcPr>
          <w:p>
            <w:pPr>
              <w:pStyle w:val="TableParagraph"/>
              <w:spacing w:before="70"/>
              <w:ind w:left="107"/>
              <w:rPr>
                <w:sz w:val="21"/>
              </w:rPr>
            </w:pPr>
            <w:r>
              <w:rPr>
                <w:sz w:val="21"/>
              </w:rPr>
              <w:t>2.6</w:t>
            </w:r>
          </w:p>
        </w:tc>
        <w:tc>
          <w:tcPr>
            <w:tcW w:w="1410" w:type="dxa"/>
          </w:tcPr>
          <w:p>
            <w:pPr>
              <w:pStyle w:val="TableParagraph"/>
              <w:spacing w:before="70"/>
              <w:ind w:left="266"/>
              <w:rPr>
                <w:sz w:val="21"/>
              </w:rPr>
            </w:pPr>
            <w:r>
              <w:rPr>
                <w:sz w:val="21"/>
              </w:rPr>
              <w:t>责任免除</w:t>
            </w:r>
          </w:p>
        </w:tc>
        <w:tc>
          <w:tcPr>
            <w:tcW w:w="7156" w:type="dxa"/>
          </w:tcPr>
          <w:p>
            <w:pPr>
              <w:pStyle w:val="TableParagraph"/>
              <w:spacing w:before="95"/>
              <w:ind w:left="23"/>
              <w:rPr>
                <w:rFonts w:ascii="黑体" w:eastAsia="黑体" w:hint="eastAsia"/>
                <w:sz w:val="21"/>
              </w:rPr>
            </w:pPr>
            <w:r>
              <w:rPr>
                <w:rFonts w:ascii="黑体" w:eastAsia="黑体" w:hint="eastAsia"/>
                <w:sz w:val="21"/>
                <w:shd w:fill="E5E5E5" w:color="auto" w:val="clear"/>
              </w:rPr>
              <w:t>因下列情形之一，导致被保险人首次发Th轻症重疾、重大疾病的，我们不承</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担给付保险金的责任：</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（1）投保人对被保险人的故意杀害、故意伤害；</w:t>
            </w:r>
          </w:p>
        </w:tc>
      </w:tr>
      <w:tr>
        <w:trPr>
          <w:trHeight w:val="1138"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（2）被保险人故意自伤、故意犯罪或抗拒依法采取的刑事强制措施；</w:t>
            </w:r>
          </w:p>
          <w:p>
            <w:pPr>
              <w:pStyle w:val="TableParagraph"/>
              <w:spacing w:line="274" w:lineRule="exact"/>
              <w:ind w:left="23"/>
              <w:rPr>
                <w:rFonts w:ascii="黑体" w:eastAsia="黑体" w:hint="eastAsia"/>
                <w:sz w:val="21"/>
              </w:rPr>
            </w:pPr>
            <w:r>
              <w:rPr>
                <w:rFonts w:ascii="黑体" w:eastAsia="黑体" w:hint="eastAsia"/>
                <w:sz w:val="21"/>
                <w:shd w:fill="E5E5E5" w:color="auto" w:val="clear"/>
              </w:rPr>
              <w:t>（3）</w:t>
            </w:r>
            <w:r>
              <w:rPr>
                <w:rFonts w:ascii="黑体" w:eastAsia="黑体" w:hint="eastAsia"/>
                <w:spacing w:val="-1"/>
                <w:sz w:val="21"/>
                <w:shd w:fill="E5E5E5" w:color="auto" w:val="clear"/>
              </w:rPr>
              <w:t>被保险人主动吸食或注射毒品</w:t>
            </w:r>
            <w:r>
              <w:rPr>
                <w:rFonts w:ascii="黑体" w:eastAsia="黑体" w:hint="eastAsia"/>
                <w:sz w:val="21"/>
                <w:shd w:fill="E5E5E5" w:color="auto" w:val="clear"/>
              </w:rPr>
              <w:t>（</w:t>
            </w:r>
            <w:r>
              <w:rPr>
                <w:rFonts w:ascii="黑体" w:eastAsia="黑体" w:hint="eastAsia"/>
                <w:spacing w:val="-27"/>
                <w:sz w:val="21"/>
                <w:shd w:fill="E5E5E5" w:color="auto" w:val="clear"/>
              </w:rPr>
              <w:t>见 </w:t>
            </w:r>
            <w:r>
              <w:rPr>
                <w:rFonts w:ascii="黑体" w:eastAsia="黑体" w:hint="eastAsia"/>
                <w:sz w:val="21"/>
                <w:shd w:fill="E5E5E5" w:color="auto" w:val="clear"/>
              </w:rPr>
              <w:t>9</w:t>
            </w:r>
            <w:r>
              <w:rPr>
                <w:rFonts w:ascii="黑体" w:eastAsia="黑体" w:hint="eastAsia"/>
                <w:spacing w:val="-1"/>
                <w:sz w:val="21"/>
                <w:shd w:fill="E5E5E5" w:color="auto" w:val="clear"/>
              </w:rPr>
              <w:t>.</w:t>
            </w:r>
            <w:r>
              <w:rPr>
                <w:rFonts w:ascii="黑体" w:eastAsia="黑体" w:hint="eastAsia"/>
                <w:sz w:val="21"/>
                <w:shd w:fill="E5E5E5" w:color="auto" w:val="clear"/>
              </w:rPr>
              <w:t>6</w:t>
            </w:r>
            <w:r>
              <w:rPr>
                <w:rFonts w:ascii="黑体" w:eastAsia="黑体" w:hint="eastAsia"/>
                <w:spacing w:val="-105"/>
                <w:sz w:val="21"/>
                <w:shd w:fill="E5E5E5" w:color="auto" w:val="clear"/>
              </w:rPr>
              <w:t>）</w:t>
            </w:r>
            <w:r>
              <w:rPr>
                <w:rFonts w:ascii="黑体" w:eastAsia="黑体" w:hint="eastAsia"/>
                <w:sz w:val="21"/>
                <w:shd w:fill="E5E5E5" w:color="auto" w:val="clear"/>
              </w:rPr>
              <w:t>；</w:t>
            </w:r>
          </w:p>
          <w:p>
            <w:pPr>
              <w:pStyle w:val="TableParagraph"/>
              <w:spacing w:line="237" w:lineRule="auto" w:before="1"/>
              <w:ind w:left="23" w:right="108"/>
              <w:rPr>
                <w:rFonts w:ascii="黑体" w:eastAsia="黑体" w:hint="eastAsia"/>
                <w:sz w:val="21"/>
              </w:rPr>
            </w:pPr>
            <w:r>
              <w:rPr>
                <w:rFonts w:ascii="黑体" w:eastAsia="黑体" w:hint="eastAsia"/>
                <w:sz w:val="21"/>
                <w:shd w:fill="E5E5E5" w:color="auto" w:val="clear"/>
              </w:rPr>
              <w:t>（4）</w:t>
            </w:r>
            <w:r>
              <w:rPr>
                <w:rFonts w:ascii="黑体" w:eastAsia="黑体" w:hint="eastAsia"/>
                <w:spacing w:val="-1"/>
                <w:sz w:val="21"/>
                <w:shd w:fill="E5E5E5" w:color="auto" w:val="clear"/>
              </w:rPr>
              <w:t>被保险人酒后驾驶</w:t>
            </w:r>
            <w:r>
              <w:rPr>
                <w:rFonts w:ascii="黑体" w:eastAsia="黑体" w:hint="eastAsia"/>
                <w:sz w:val="21"/>
                <w:shd w:fill="E5E5E5" w:color="auto" w:val="clear"/>
              </w:rPr>
              <w:t>（</w:t>
            </w:r>
            <w:r>
              <w:rPr>
                <w:rFonts w:ascii="黑体" w:eastAsia="黑体" w:hint="eastAsia"/>
                <w:spacing w:val="-6"/>
                <w:sz w:val="21"/>
                <w:shd w:fill="E5E5E5" w:color="auto" w:val="clear"/>
              </w:rPr>
              <w:t>见 </w:t>
            </w:r>
            <w:r>
              <w:rPr>
                <w:rFonts w:ascii="黑体" w:eastAsia="黑体" w:hint="eastAsia"/>
                <w:sz w:val="21"/>
                <w:shd w:fill="E5E5E5" w:color="auto" w:val="clear"/>
              </w:rPr>
              <w:t>9.</w:t>
            </w:r>
            <w:r>
              <w:rPr>
                <w:rFonts w:ascii="黑体" w:eastAsia="黑体" w:hint="eastAsia"/>
                <w:spacing w:val="-1"/>
                <w:sz w:val="21"/>
                <w:shd w:fill="E5E5E5" w:color="auto" w:val="clear"/>
              </w:rPr>
              <w:t>7</w:t>
            </w:r>
            <w:r>
              <w:rPr>
                <w:rFonts w:ascii="黑体" w:eastAsia="黑体" w:hint="eastAsia"/>
                <w:spacing w:val="-105"/>
                <w:sz w:val="21"/>
                <w:shd w:fill="E5E5E5" w:color="auto" w:val="clear"/>
              </w:rPr>
              <w:t>）</w:t>
            </w:r>
            <w:r>
              <w:rPr>
                <w:rFonts w:ascii="黑体" w:eastAsia="黑体" w:hint="eastAsia"/>
                <w:spacing w:val="-1"/>
                <w:sz w:val="21"/>
                <w:shd w:fill="E5E5E5" w:color="auto" w:val="clear"/>
              </w:rPr>
              <w:t>，无合法有效驾驶证驾驶</w:t>
            </w:r>
            <w:r>
              <w:rPr>
                <w:rFonts w:ascii="黑体" w:eastAsia="黑体" w:hint="eastAsia"/>
                <w:sz w:val="21"/>
                <w:shd w:fill="E5E5E5" w:color="auto" w:val="clear"/>
              </w:rPr>
              <w:t>（</w:t>
            </w:r>
            <w:r>
              <w:rPr>
                <w:rFonts w:ascii="黑体" w:eastAsia="黑体" w:hint="eastAsia"/>
                <w:spacing w:val="-6"/>
                <w:sz w:val="21"/>
                <w:shd w:fill="E5E5E5" w:color="auto" w:val="clear"/>
              </w:rPr>
              <w:t>见 </w:t>
            </w:r>
            <w:r>
              <w:rPr>
                <w:rFonts w:ascii="黑体" w:eastAsia="黑体" w:hint="eastAsia"/>
                <w:sz w:val="21"/>
                <w:shd w:fill="E5E5E5" w:color="auto" w:val="clear"/>
              </w:rPr>
              <w:t>9.</w:t>
            </w:r>
            <w:r>
              <w:rPr>
                <w:rFonts w:ascii="黑体" w:eastAsia="黑体" w:hint="eastAsia"/>
                <w:spacing w:val="-1"/>
                <w:sz w:val="21"/>
                <w:shd w:fill="E5E5E5" w:color="auto" w:val="clear"/>
              </w:rPr>
              <w:t>8</w:t>
            </w:r>
            <w:r>
              <w:rPr>
                <w:rFonts w:ascii="黑体" w:eastAsia="黑体" w:hint="eastAsia"/>
                <w:spacing w:val="-105"/>
                <w:sz w:val="21"/>
                <w:shd w:fill="E5E5E5" w:color="auto" w:val="clear"/>
              </w:rPr>
              <w:t>）</w:t>
            </w:r>
            <w:r>
              <w:rPr>
                <w:rFonts w:ascii="黑体" w:eastAsia="黑体" w:hint="eastAsia"/>
                <w:spacing w:val="-1"/>
                <w:sz w:val="21"/>
                <w:shd w:fill="E5E5E5" w:color="auto" w:val="clear"/>
              </w:rPr>
              <w:t>，或驾</w:t>
            </w:r>
            <w:r>
              <w:rPr>
                <w:rFonts w:ascii="黑体" w:eastAsia="黑体" w:hint="eastAsia"/>
                <w:sz w:val="21"/>
                <w:shd w:fill="E5E5E5" w:color="auto" w:val="clear"/>
              </w:rPr>
              <w:t>驶无有效行驶证</w:t>
            </w:r>
            <w:r>
              <w:rPr>
                <w:rFonts w:ascii="黑体" w:eastAsia="黑体" w:hint="eastAsia"/>
                <w:spacing w:val="-1"/>
                <w:sz w:val="21"/>
                <w:shd w:fill="E5E5E5" w:color="auto" w:val="clear"/>
              </w:rPr>
              <w:t>（</w:t>
            </w:r>
            <w:r>
              <w:rPr>
                <w:rFonts w:ascii="黑体" w:eastAsia="黑体" w:hint="eastAsia"/>
                <w:spacing w:val="-27"/>
                <w:sz w:val="21"/>
                <w:shd w:fill="E5E5E5" w:color="auto" w:val="clear"/>
              </w:rPr>
              <w:t>见 </w:t>
            </w:r>
            <w:r>
              <w:rPr>
                <w:rFonts w:ascii="黑体" w:eastAsia="黑体" w:hint="eastAsia"/>
                <w:spacing w:val="-1"/>
                <w:sz w:val="21"/>
                <w:shd w:fill="E5E5E5" w:color="auto" w:val="clear"/>
              </w:rPr>
              <w:t>9</w:t>
            </w:r>
            <w:r>
              <w:rPr>
                <w:rFonts w:ascii="黑体" w:eastAsia="黑体" w:hint="eastAsia"/>
                <w:sz w:val="21"/>
                <w:shd w:fill="E5E5E5" w:color="auto" w:val="clear"/>
              </w:rPr>
              <w:t>.</w:t>
            </w:r>
            <w:r>
              <w:rPr>
                <w:rFonts w:ascii="黑体" w:eastAsia="黑体" w:hint="eastAsia"/>
                <w:spacing w:val="-1"/>
                <w:sz w:val="21"/>
                <w:shd w:fill="E5E5E5" w:color="auto" w:val="clear"/>
              </w:rPr>
              <w:t>9）</w:t>
            </w:r>
            <w:r>
              <w:rPr>
                <w:rFonts w:ascii="黑体" w:eastAsia="黑体" w:hint="eastAsia"/>
                <w:spacing w:val="-52"/>
                <w:sz w:val="21"/>
                <w:shd w:fill="E5E5E5" w:color="auto" w:val="clear"/>
              </w:rPr>
              <w:t>的机动车</w:t>
            </w:r>
            <w:r>
              <w:rPr>
                <w:rFonts w:ascii="黑体" w:eastAsia="黑体" w:hint="eastAsia"/>
                <w:sz w:val="21"/>
                <w:shd w:fill="E5E5E5" w:color="auto" w:val="clear"/>
              </w:rPr>
              <w:t>（</w:t>
            </w:r>
            <w:r>
              <w:rPr>
                <w:rFonts w:ascii="黑体" w:eastAsia="黑体" w:hint="eastAsia"/>
                <w:spacing w:val="-27"/>
                <w:sz w:val="21"/>
                <w:shd w:fill="E5E5E5" w:color="auto" w:val="clear"/>
              </w:rPr>
              <w:t>见 </w:t>
            </w:r>
            <w:r>
              <w:rPr>
                <w:rFonts w:ascii="黑体" w:eastAsia="黑体" w:hint="eastAsia"/>
                <w:sz w:val="21"/>
                <w:shd w:fill="E5E5E5" w:color="auto" w:val="clear"/>
              </w:rPr>
              <w:t>9</w:t>
            </w:r>
            <w:r>
              <w:rPr>
                <w:rFonts w:ascii="黑体" w:eastAsia="黑体" w:hint="eastAsia"/>
                <w:spacing w:val="-1"/>
                <w:sz w:val="21"/>
                <w:shd w:fill="E5E5E5" w:color="auto" w:val="clear"/>
              </w:rPr>
              <w:t>.</w:t>
            </w:r>
            <w:r>
              <w:rPr>
                <w:rFonts w:ascii="黑体" w:eastAsia="黑体" w:hint="eastAsia"/>
                <w:sz w:val="21"/>
                <w:shd w:fill="E5E5E5" w:color="auto" w:val="clear"/>
              </w:rPr>
              <w:t>1</w:t>
            </w:r>
            <w:r>
              <w:rPr>
                <w:rFonts w:ascii="黑体" w:eastAsia="黑体" w:hint="eastAsia"/>
                <w:spacing w:val="-1"/>
                <w:sz w:val="21"/>
                <w:shd w:fill="E5E5E5" w:color="auto" w:val="clear"/>
              </w:rPr>
              <w:t>0</w:t>
            </w:r>
            <w:r>
              <w:rPr>
                <w:rFonts w:ascii="黑体" w:eastAsia="黑体" w:hint="eastAsia"/>
                <w:spacing w:val="-105"/>
                <w:sz w:val="21"/>
                <w:shd w:fill="E5E5E5" w:color="auto" w:val="clear"/>
              </w:rPr>
              <w:t>）</w:t>
            </w:r>
            <w:r>
              <w:rPr>
                <w:rFonts w:ascii="黑体" w:eastAsia="黑体" w:hint="eastAsia"/>
                <w:sz w:val="21"/>
                <w:shd w:fill="E5E5E5" w:color="auto" w:val="clear"/>
              </w:rPr>
              <w:t>；</w:t>
            </w:r>
          </w:p>
        </w:tc>
      </w:tr>
      <w:tr>
        <w:trPr>
          <w:trHeight w:val="318"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4" w:lineRule="exact"/>
              <w:ind w:left="23"/>
              <w:rPr>
                <w:rFonts w:ascii="黑体" w:eastAsia="黑体" w:hint="eastAsia"/>
                <w:sz w:val="21"/>
              </w:rPr>
            </w:pPr>
            <w:r>
              <w:rPr>
                <w:rFonts w:ascii="黑体" w:eastAsia="黑体" w:hint="eastAsia"/>
                <w:sz w:val="21"/>
                <w:shd w:fill="E5E5E5" w:color="auto" w:val="clear"/>
              </w:rPr>
              <w:t>（5）被保险人患艾滋病或感染艾滋病病毒（见 9.11）期间；</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（6</w:t>
            </w:r>
            <w:r>
              <w:rPr>
                <w:rFonts w:ascii="黑体" w:eastAsia="黑体" w:hint="eastAsia"/>
                <w:spacing w:val="-1"/>
                <w:sz w:val="21"/>
                <w:shd w:fill="E5E5E5" w:color="auto" w:val="clear"/>
              </w:rPr>
              <w:t>）</w:t>
            </w:r>
            <w:r>
              <w:rPr>
                <w:rFonts w:ascii="黑体" w:eastAsia="黑体" w:hint="eastAsia"/>
                <w:sz w:val="21"/>
                <w:shd w:fill="E5E5E5" w:color="auto" w:val="clear"/>
              </w:rPr>
              <w:t>遗传性疾病</w:t>
            </w:r>
            <w:r>
              <w:rPr>
                <w:rFonts w:ascii="黑体" w:eastAsia="黑体" w:hint="eastAsia"/>
                <w:spacing w:val="-1"/>
                <w:sz w:val="21"/>
                <w:shd w:fill="E5E5E5" w:color="auto" w:val="clear"/>
              </w:rPr>
              <w:t>（</w:t>
            </w:r>
            <w:r>
              <w:rPr>
                <w:rFonts w:ascii="黑体" w:eastAsia="黑体" w:hint="eastAsia"/>
                <w:spacing w:val="-27"/>
                <w:sz w:val="21"/>
                <w:shd w:fill="E5E5E5" w:color="auto" w:val="clear"/>
              </w:rPr>
              <w:t>见 </w:t>
            </w:r>
            <w:r>
              <w:rPr>
                <w:rFonts w:ascii="黑体" w:eastAsia="黑体" w:hint="eastAsia"/>
                <w:spacing w:val="-1"/>
                <w:sz w:val="21"/>
                <w:shd w:fill="E5E5E5" w:color="auto" w:val="clear"/>
              </w:rPr>
              <w:t>9</w:t>
            </w:r>
            <w:r>
              <w:rPr>
                <w:rFonts w:ascii="黑体" w:eastAsia="黑体" w:hint="eastAsia"/>
                <w:sz w:val="21"/>
                <w:shd w:fill="E5E5E5" w:color="auto" w:val="clear"/>
              </w:rPr>
              <w:t>.</w:t>
            </w:r>
            <w:r>
              <w:rPr>
                <w:rFonts w:ascii="黑体" w:eastAsia="黑体" w:hint="eastAsia"/>
                <w:spacing w:val="-1"/>
                <w:sz w:val="21"/>
                <w:shd w:fill="E5E5E5" w:color="auto" w:val="clear"/>
              </w:rPr>
              <w:t>1</w:t>
            </w:r>
            <w:r>
              <w:rPr>
                <w:rFonts w:ascii="黑体" w:eastAsia="黑体" w:hint="eastAsia"/>
                <w:sz w:val="21"/>
                <w:shd w:fill="E5E5E5" w:color="auto" w:val="clear"/>
              </w:rPr>
              <w:t>2</w:t>
            </w:r>
            <w:r>
              <w:rPr>
                <w:rFonts w:ascii="黑体" w:eastAsia="黑体" w:hint="eastAsia"/>
                <w:spacing w:val="-105"/>
                <w:sz w:val="21"/>
                <w:shd w:fill="E5E5E5" w:color="auto" w:val="clear"/>
              </w:rPr>
              <w:t>）</w:t>
            </w:r>
            <w:r>
              <w:rPr>
                <w:rFonts w:ascii="黑体" w:eastAsia="黑体" w:hint="eastAsia"/>
                <w:sz w:val="21"/>
                <w:shd w:fill="E5E5E5" w:color="auto" w:val="clear"/>
              </w:rPr>
              <w:t>，先天性畸形、变形或染色体异常</w:t>
            </w:r>
            <w:r>
              <w:rPr>
                <w:rFonts w:ascii="黑体" w:eastAsia="黑体" w:hint="eastAsia"/>
                <w:spacing w:val="-1"/>
                <w:sz w:val="21"/>
                <w:shd w:fill="E5E5E5" w:color="auto" w:val="clear"/>
              </w:rPr>
              <w:t>（</w:t>
            </w:r>
            <w:r>
              <w:rPr>
                <w:rFonts w:ascii="黑体" w:eastAsia="黑体" w:hint="eastAsia"/>
                <w:spacing w:val="-27"/>
                <w:sz w:val="21"/>
                <w:shd w:fill="E5E5E5" w:color="auto" w:val="clear"/>
              </w:rPr>
              <w:t>见 </w:t>
            </w:r>
            <w:r>
              <w:rPr>
                <w:rFonts w:ascii="黑体" w:eastAsia="黑体" w:hint="eastAsia"/>
                <w:spacing w:val="-1"/>
                <w:sz w:val="21"/>
                <w:shd w:fill="E5E5E5" w:color="auto" w:val="clear"/>
              </w:rPr>
              <w:t>9</w:t>
            </w:r>
            <w:r>
              <w:rPr>
                <w:rFonts w:ascii="黑体" w:eastAsia="黑体" w:hint="eastAsia"/>
                <w:sz w:val="21"/>
                <w:shd w:fill="E5E5E5" w:color="auto" w:val="clear"/>
              </w:rPr>
              <w:t>.</w:t>
            </w:r>
            <w:r>
              <w:rPr>
                <w:rFonts w:ascii="黑体" w:eastAsia="黑体" w:hint="eastAsia"/>
                <w:spacing w:val="-1"/>
                <w:sz w:val="21"/>
                <w:shd w:fill="E5E5E5" w:color="auto" w:val="clear"/>
              </w:rPr>
              <w:t>1</w:t>
            </w:r>
            <w:r>
              <w:rPr>
                <w:rFonts w:ascii="黑体" w:eastAsia="黑体" w:hint="eastAsia"/>
                <w:sz w:val="21"/>
                <w:shd w:fill="E5E5E5" w:color="auto" w:val="clear"/>
              </w:rPr>
              <w:t>3</w:t>
            </w:r>
            <w:r>
              <w:rPr>
                <w:rFonts w:ascii="黑体" w:eastAsia="黑体" w:hint="eastAsia"/>
                <w:spacing w:val="-106"/>
                <w:sz w:val="21"/>
                <w:shd w:fill="E5E5E5" w:color="auto" w:val="clear"/>
              </w:rPr>
              <w:t>）</w:t>
            </w:r>
            <w:r>
              <w:rPr>
                <w:rFonts w:ascii="黑体" w:eastAsia="黑体" w:hint="eastAsia"/>
                <w:sz w:val="21"/>
                <w:shd w:fill="E5E5E5" w:color="auto" w:val="clear"/>
              </w:rPr>
              <w:t>；</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（7）战争、军事冲突、暴乱或武装叛乱；</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（8）核爆炸、核辐射或核污染。</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发Th上述第（1）项情形导致被保险人首次发Th轻症重疾、重大疾病的，本附</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加合同终止，我们向受益人按比例退还本附加合同已交的该保险期间对应的</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保险费（见附表二</w:t>
            </w:r>
            <w:r>
              <w:rPr>
                <w:rFonts w:ascii="黑体" w:eastAsia="黑体" w:hint="eastAsia"/>
                <w:spacing w:val="-105"/>
                <w:sz w:val="21"/>
                <w:shd w:fill="E5E5E5" w:color="auto" w:val="clear"/>
              </w:rPr>
              <w:t>）</w:t>
            </w:r>
            <w:r>
              <w:rPr>
                <w:rFonts w:ascii="黑体" w:eastAsia="黑体" w:hint="eastAsia"/>
                <w:sz w:val="21"/>
                <w:shd w:fill="E5E5E5" w:color="auto" w:val="clear"/>
              </w:rPr>
              <w:t>。</w:t>
            </w:r>
          </w:p>
        </w:tc>
      </w:tr>
      <w:tr>
        <w:trPr>
          <w:trHeight w:val="319"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发Th上述其它情形导致被保险人发Th轻症重疾、重大疾病的，本附加合同效</w:t>
            </w:r>
          </w:p>
        </w:tc>
      </w:tr>
      <w:tr>
        <w:trPr>
          <w:trHeight w:val="320"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力终止，我们向投保人按比例退还本附加合同已交的该保险期间对应的保险</w:t>
            </w:r>
          </w:p>
        </w:tc>
      </w:tr>
      <w:tr>
        <w:trPr>
          <w:trHeight w:val="566" w:hRule="atLeast"/>
        </w:trPr>
        <w:tc>
          <w:tcPr>
            <w:tcW w:w="898" w:type="dxa"/>
          </w:tcPr>
          <w:p>
            <w:pPr>
              <w:pStyle w:val="TableParagraph"/>
              <w:rPr>
                <w:rFonts w:ascii="Times New Roman"/>
                <w:sz w:val="20"/>
              </w:rPr>
            </w:pPr>
          </w:p>
        </w:tc>
        <w:tc>
          <w:tcPr>
            <w:tcW w:w="1410" w:type="dxa"/>
          </w:tcPr>
          <w:p>
            <w:pPr>
              <w:pStyle w:val="TableParagraph"/>
              <w:rPr>
                <w:rFonts w:ascii="Times New Roman"/>
                <w:sz w:val="20"/>
              </w:rPr>
            </w:pPr>
          </w:p>
        </w:tc>
        <w:tc>
          <w:tcPr>
            <w:tcW w:w="7156" w:type="dxa"/>
          </w:tcPr>
          <w:p>
            <w:pPr>
              <w:pStyle w:val="TableParagraph"/>
              <w:spacing w:line="265" w:lineRule="exact"/>
              <w:ind w:left="23"/>
              <w:rPr>
                <w:rFonts w:ascii="黑体" w:eastAsia="黑体" w:hint="eastAsia"/>
                <w:sz w:val="21"/>
              </w:rPr>
            </w:pPr>
            <w:r>
              <w:rPr>
                <w:rFonts w:ascii="黑体" w:eastAsia="黑体" w:hint="eastAsia"/>
                <w:sz w:val="21"/>
                <w:shd w:fill="E5E5E5" w:color="auto" w:val="clear"/>
              </w:rPr>
              <w:t>费。</w:t>
            </w:r>
          </w:p>
        </w:tc>
      </w:tr>
      <w:tr>
        <w:trPr>
          <w:trHeight w:val="753" w:hRule="atLeast"/>
        </w:trPr>
        <w:tc>
          <w:tcPr>
            <w:tcW w:w="898" w:type="dxa"/>
            <w:tcBorders>
              <w:bottom w:val="double" w:sz="1" w:space="0" w:color="000000"/>
            </w:tcBorders>
          </w:tcPr>
          <w:p>
            <w:pPr>
              <w:pStyle w:val="TableParagraph"/>
              <w:spacing w:before="214"/>
              <w:ind w:left="108"/>
              <w:rPr>
                <w:sz w:val="28"/>
              </w:rPr>
            </w:pPr>
            <w:r>
              <w:rPr>
                <w:w w:val="99"/>
                <w:sz w:val="28"/>
              </w:rPr>
              <w:t>3</w:t>
            </w:r>
          </w:p>
        </w:tc>
        <w:tc>
          <w:tcPr>
            <w:tcW w:w="1410" w:type="dxa"/>
            <w:tcBorders>
              <w:bottom w:val="double" w:sz="1" w:space="0" w:color="000000"/>
            </w:tcBorders>
          </w:tcPr>
          <w:p>
            <w:pPr>
              <w:pStyle w:val="TableParagraph"/>
              <w:spacing w:before="214"/>
              <w:ind w:left="265"/>
              <w:rPr>
                <w:sz w:val="28"/>
              </w:rPr>
            </w:pPr>
            <w:r>
              <w:rPr>
                <w:w w:val="95"/>
                <w:sz w:val="28"/>
              </w:rPr>
              <w:t>重大疾病</w:t>
            </w:r>
          </w:p>
        </w:tc>
        <w:tc>
          <w:tcPr>
            <w:tcW w:w="7156" w:type="dxa"/>
            <w:tcBorders>
              <w:bottom w:val="double" w:sz="1" w:space="0" w:color="000000"/>
            </w:tcBorders>
          </w:tcPr>
          <w:p>
            <w:pPr>
              <w:pStyle w:val="TableParagraph"/>
              <w:rPr>
                <w:rFonts w:ascii="Times New Roman"/>
                <w:sz w:val="20"/>
              </w:rPr>
            </w:pPr>
          </w:p>
        </w:tc>
      </w:tr>
      <w:tr>
        <w:trPr>
          <w:trHeight w:val="423" w:hRule="atLeast"/>
        </w:trPr>
        <w:tc>
          <w:tcPr>
            <w:tcW w:w="898" w:type="dxa"/>
            <w:tcBorders>
              <w:top w:val="double" w:sz="1" w:space="0" w:color="000000"/>
            </w:tcBorders>
          </w:tcPr>
          <w:p>
            <w:pPr>
              <w:pStyle w:val="TableParagraph"/>
              <w:spacing w:before="85"/>
              <w:ind w:left="108"/>
              <w:rPr>
                <w:sz w:val="21"/>
              </w:rPr>
            </w:pPr>
            <w:r>
              <w:rPr>
                <w:sz w:val="21"/>
              </w:rPr>
              <w:t>3.1</w:t>
            </w:r>
          </w:p>
        </w:tc>
        <w:tc>
          <w:tcPr>
            <w:tcW w:w="1410" w:type="dxa"/>
            <w:tcBorders>
              <w:top w:val="double" w:sz="1" w:space="0" w:color="000000"/>
            </w:tcBorders>
          </w:tcPr>
          <w:p>
            <w:pPr>
              <w:pStyle w:val="TableParagraph"/>
              <w:spacing w:before="85"/>
              <w:ind w:left="266"/>
              <w:rPr>
                <w:sz w:val="21"/>
              </w:rPr>
            </w:pPr>
            <w:r>
              <w:rPr>
                <w:sz w:val="21"/>
              </w:rPr>
              <w:t>轻症重疾的</w:t>
            </w:r>
          </w:p>
        </w:tc>
        <w:tc>
          <w:tcPr>
            <w:tcW w:w="7156" w:type="dxa"/>
            <w:tcBorders>
              <w:top w:val="double" w:sz="1" w:space="0" w:color="000000"/>
            </w:tcBorders>
          </w:tcPr>
          <w:p>
            <w:pPr>
              <w:pStyle w:val="TableParagraph"/>
              <w:spacing w:before="110"/>
              <w:ind w:left="176"/>
              <w:rPr>
                <w:sz w:val="21"/>
              </w:rPr>
            </w:pPr>
            <w:r>
              <w:rPr>
                <w:sz w:val="21"/>
              </w:rPr>
              <w:t>本附加合同所指的轻症重疾在本附加合同中有确定的含义，我们将在本附加</w:t>
            </w:r>
          </w:p>
        </w:tc>
      </w:tr>
      <w:tr>
        <w:trPr>
          <w:trHeight w:val="281" w:hRule="atLeast"/>
        </w:trPr>
        <w:tc>
          <w:tcPr>
            <w:tcW w:w="898" w:type="dxa"/>
          </w:tcPr>
          <w:p>
            <w:pPr>
              <w:pStyle w:val="TableParagraph"/>
              <w:rPr>
                <w:rFonts w:ascii="Times New Roman"/>
                <w:sz w:val="20"/>
              </w:rPr>
            </w:pPr>
          </w:p>
        </w:tc>
        <w:tc>
          <w:tcPr>
            <w:tcW w:w="1410" w:type="dxa"/>
          </w:tcPr>
          <w:p>
            <w:pPr>
              <w:pStyle w:val="TableParagraph"/>
              <w:spacing w:line="248" w:lineRule="exact"/>
              <w:ind w:left="266"/>
              <w:rPr>
                <w:sz w:val="21"/>
              </w:rPr>
            </w:pPr>
            <w:r>
              <w:rPr>
                <w:sz w:val="21"/>
              </w:rPr>
              <w:t>范围</w:t>
            </w:r>
          </w:p>
        </w:tc>
        <w:tc>
          <w:tcPr>
            <w:tcW w:w="7156" w:type="dxa"/>
          </w:tcPr>
          <w:p>
            <w:pPr>
              <w:pStyle w:val="TableParagraph"/>
              <w:spacing w:line="255" w:lineRule="exact" w:before="7"/>
              <w:ind w:left="176"/>
              <w:rPr>
                <w:sz w:val="21"/>
              </w:rPr>
            </w:pPr>
            <w:r>
              <w:rPr>
                <w:sz w:val="21"/>
              </w:rPr>
              <w:t>合同轻症重疾定义中详细列明，您投保本附加合同即表明认可并遵从本附加</w:t>
            </w:r>
          </w:p>
        </w:tc>
      </w:tr>
    </w:tbl>
    <w:p>
      <w:pPr>
        <w:spacing w:after="0" w:line="255" w:lineRule="exact"/>
        <w:rPr>
          <w:sz w:val="21"/>
        </w:rPr>
        <w:sectPr>
          <w:pgSz w:w="11900" w:h="16840"/>
          <w:pgMar w:header="570" w:footer="0" w:top="800" w:bottom="280" w:left="800" w:right="1420"/>
        </w:sectPr>
      </w:pPr>
    </w:p>
    <w:p>
      <w:pPr>
        <w:pStyle w:val="BodyText"/>
        <w:spacing w:before="2"/>
        <w:rPr>
          <w:rFonts w:ascii="Times New Roman"/>
          <w:sz w:val="26"/>
        </w:rPr>
      </w:pPr>
    </w:p>
    <w:p>
      <w:pPr>
        <w:pStyle w:val="BodyText"/>
        <w:spacing w:before="36"/>
        <w:ind w:left="2537"/>
      </w:pPr>
      <w:r>
        <w:rPr/>
        <w:t>合同中对轻症重疾的定义。</w:t>
      </w:r>
    </w:p>
    <w:p>
      <w:pPr>
        <w:pStyle w:val="ListParagraph"/>
        <w:numPr>
          <w:ilvl w:val="0"/>
          <w:numId w:val="4"/>
        </w:numPr>
        <w:tabs>
          <w:tab w:pos="2946" w:val="left" w:leader="none"/>
        </w:tabs>
        <w:spacing w:line="240" w:lineRule="auto" w:before="60" w:after="0"/>
        <w:ind w:left="2945" w:right="0" w:hanging="211"/>
        <w:jc w:val="left"/>
        <w:rPr>
          <w:sz w:val="18"/>
        </w:rPr>
      </w:pPr>
      <w:r>
        <w:rPr>
          <w:sz w:val="18"/>
        </w:rPr>
        <w:t>非危及生命的恶性病变</w:t>
      </w:r>
    </w:p>
    <w:p>
      <w:pPr>
        <w:pStyle w:val="ListParagraph"/>
        <w:numPr>
          <w:ilvl w:val="0"/>
          <w:numId w:val="4"/>
        </w:numPr>
        <w:tabs>
          <w:tab w:pos="2946" w:val="left" w:leader="none"/>
        </w:tabs>
        <w:spacing w:line="333" w:lineRule="auto" w:before="91" w:after="0"/>
        <w:ind w:left="2945" w:right="4392" w:hanging="211"/>
        <w:jc w:val="left"/>
        <w:rPr>
          <w:sz w:val="18"/>
        </w:rPr>
      </w:pPr>
      <w:r>
        <w:rPr>
          <w:sz w:val="18"/>
        </w:rPr>
        <w:t>脑垂体瘤、脑囊肿、脑动脉瘤及脑血管瘤</w:t>
      </w:r>
    </w:p>
    <w:p>
      <w:pPr>
        <w:pStyle w:val="ListParagraph"/>
        <w:numPr>
          <w:ilvl w:val="0"/>
          <w:numId w:val="4"/>
        </w:numPr>
        <w:tabs>
          <w:tab w:pos="2946" w:val="left" w:leader="none"/>
        </w:tabs>
        <w:spacing w:line="240" w:lineRule="auto" w:before="21" w:after="0"/>
        <w:ind w:left="2945" w:right="0" w:hanging="211"/>
        <w:jc w:val="left"/>
        <w:rPr>
          <w:sz w:val="18"/>
        </w:rPr>
      </w:pPr>
      <w:r>
        <w:rPr>
          <w:sz w:val="18"/>
        </w:rPr>
        <w:t>主动脉介入手术</w:t>
      </w:r>
    </w:p>
    <w:p>
      <w:pPr>
        <w:pStyle w:val="ListParagraph"/>
        <w:numPr>
          <w:ilvl w:val="0"/>
          <w:numId w:val="4"/>
        </w:numPr>
        <w:tabs>
          <w:tab w:pos="2946" w:val="left" w:leader="none"/>
        </w:tabs>
        <w:spacing w:line="240" w:lineRule="auto" w:before="90" w:after="0"/>
        <w:ind w:left="2945" w:right="0" w:hanging="211"/>
        <w:jc w:val="left"/>
        <w:rPr>
          <w:sz w:val="18"/>
        </w:rPr>
      </w:pPr>
      <w:r>
        <w:rPr>
          <w:sz w:val="18"/>
        </w:rPr>
        <w:t>轻度原发性肺动脉高压</w:t>
      </w:r>
    </w:p>
    <w:p>
      <w:pPr>
        <w:pStyle w:val="ListParagraph"/>
        <w:numPr>
          <w:ilvl w:val="0"/>
          <w:numId w:val="4"/>
        </w:numPr>
        <w:tabs>
          <w:tab w:pos="2946" w:val="left" w:leader="none"/>
        </w:tabs>
        <w:spacing w:line="240" w:lineRule="auto" w:before="91" w:after="0"/>
        <w:ind w:left="2945" w:right="0" w:hanging="211"/>
        <w:jc w:val="left"/>
        <w:rPr>
          <w:sz w:val="18"/>
        </w:rPr>
      </w:pPr>
      <w:r>
        <w:rPr>
          <w:sz w:val="18"/>
        </w:rPr>
        <w:t>冠状动脉介入手术</w:t>
      </w:r>
    </w:p>
    <w:p>
      <w:pPr>
        <w:pStyle w:val="ListParagraph"/>
        <w:numPr>
          <w:ilvl w:val="0"/>
          <w:numId w:val="4"/>
        </w:numPr>
        <w:tabs>
          <w:tab w:pos="2946" w:val="left" w:leader="none"/>
        </w:tabs>
        <w:spacing w:line="240" w:lineRule="auto" w:before="90" w:after="0"/>
        <w:ind w:left="2945" w:right="0" w:hanging="211"/>
        <w:jc w:val="left"/>
        <w:rPr>
          <w:sz w:val="18"/>
        </w:rPr>
      </w:pPr>
      <w:r>
        <w:rPr>
          <w:sz w:val="18"/>
        </w:rPr>
        <w:t>单肢缺失</w:t>
      </w:r>
    </w:p>
    <w:p>
      <w:pPr>
        <w:pStyle w:val="ListParagraph"/>
        <w:numPr>
          <w:ilvl w:val="0"/>
          <w:numId w:val="4"/>
        </w:numPr>
        <w:tabs>
          <w:tab w:pos="2946" w:val="left" w:leader="none"/>
        </w:tabs>
        <w:spacing w:line="240" w:lineRule="auto" w:before="91" w:after="0"/>
        <w:ind w:left="2945" w:right="0" w:hanging="211"/>
        <w:jc w:val="left"/>
        <w:rPr>
          <w:sz w:val="18"/>
        </w:rPr>
      </w:pPr>
      <w:r>
        <w:rPr>
          <w:sz w:val="18"/>
        </w:rPr>
        <w:t>心脏瓣膜介入手术</w:t>
      </w:r>
    </w:p>
    <w:p>
      <w:pPr>
        <w:pStyle w:val="ListParagraph"/>
        <w:numPr>
          <w:ilvl w:val="0"/>
          <w:numId w:val="4"/>
        </w:numPr>
        <w:tabs>
          <w:tab w:pos="2946" w:val="left" w:leader="none"/>
        </w:tabs>
        <w:spacing w:line="240" w:lineRule="auto" w:before="90" w:after="0"/>
        <w:ind w:left="2945" w:right="0" w:hanging="211"/>
        <w:jc w:val="left"/>
        <w:rPr>
          <w:sz w:val="18"/>
        </w:rPr>
      </w:pPr>
      <w:r>
        <w:rPr>
          <w:sz w:val="18"/>
        </w:rPr>
        <w:t>脑外伤开颅手术</w:t>
      </w:r>
    </w:p>
    <w:p>
      <w:pPr>
        <w:pStyle w:val="ListParagraph"/>
        <w:numPr>
          <w:ilvl w:val="0"/>
          <w:numId w:val="4"/>
        </w:numPr>
        <w:tabs>
          <w:tab w:pos="2946" w:val="left" w:leader="none"/>
        </w:tabs>
        <w:spacing w:line="240" w:lineRule="auto" w:before="91" w:after="0"/>
        <w:ind w:left="2945" w:right="0" w:hanging="211"/>
        <w:jc w:val="left"/>
        <w:rPr>
          <w:sz w:val="18"/>
        </w:rPr>
      </w:pPr>
      <w:r>
        <w:rPr>
          <w:spacing w:val="10"/>
          <w:sz w:val="18"/>
        </w:rPr>
        <w:t>较小面积</w:t>
      </w:r>
      <w:r>
        <w:rPr>
          <w:sz w:val="18"/>
        </w:rPr>
        <w:t>III</w:t>
      </w:r>
      <w:r>
        <w:rPr>
          <w:spacing w:val="-12"/>
          <w:sz w:val="18"/>
        </w:rPr>
        <w:t> 度烧伤</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483"/>
        <w:gridCol w:w="7128"/>
      </w:tblGrid>
      <w:tr>
        <w:trPr>
          <w:trHeight w:val="273" w:hRule="atLeast"/>
        </w:trPr>
        <w:tc>
          <w:tcPr>
            <w:tcW w:w="840" w:type="dxa"/>
          </w:tcPr>
          <w:p>
            <w:pPr>
              <w:pStyle w:val="TableParagraph"/>
              <w:spacing w:line="210" w:lineRule="exact"/>
              <w:ind w:left="50"/>
              <w:rPr>
                <w:sz w:val="21"/>
              </w:rPr>
            </w:pPr>
            <w:r>
              <w:rPr>
                <w:sz w:val="21"/>
              </w:rPr>
              <w:t>3.2</w:t>
            </w:r>
          </w:p>
        </w:tc>
        <w:tc>
          <w:tcPr>
            <w:tcW w:w="1483" w:type="dxa"/>
          </w:tcPr>
          <w:p>
            <w:pPr>
              <w:pStyle w:val="TableParagraph"/>
              <w:spacing w:line="210" w:lineRule="exact"/>
              <w:ind w:left="266"/>
              <w:rPr>
                <w:sz w:val="21"/>
              </w:rPr>
            </w:pPr>
            <w:r>
              <w:rPr>
                <w:sz w:val="21"/>
              </w:rPr>
              <w:t>轻症重疾的</w:t>
            </w:r>
          </w:p>
        </w:tc>
        <w:tc>
          <w:tcPr>
            <w:tcW w:w="7128" w:type="dxa"/>
          </w:tcPr>
          <w:p>
            <w:pPr>
              <w:pStyle w:val="TableParagraph"/>
              <w:spacing w:line="235" w:lineRule="exact"/>
              <w:ind w:left="103"/>
              <w:rPr>
                <w:sz w:val="21"/>
              </w:rPr>
            </w:pPr>
            <w:r>
              <w:rPr>
                <w:sz w:val="21"/>
              </w:rPr>
              <w:t>以上各种轻症重疾须我们认可的医院专科医生明确诊断，符合以下定义：</w:t>
            </w:r>
          </w:p>
        </w:tc>
      </w:tr>
      <w:tr>
        <w:trPr>
          <w:trHeight w:val="294" w:hRule="atLeast"/>
        </w:trPr>
        <w:tc>
          <w:tcPr>
            <w:tcW w:w="840" w:type="dxa"/>
          </w:tcPr>
          <w:p>
            <w:pPr>
              <w:pStyle w:val="TableParagraph"/>
              <w:rPr>
                <w:rFonts w:ascii="Times New Roman"/>
                <w:sz w:val="20"/>
              </w:rPr>
            </w:pPr>
          </w:p>
        </w:tc>
        <w:tc>
          <w:tcPr>
            <w:tcW w:w="1483" w:type="dxa"/>
          </w:tcPr>
          <w:p>
            <w:pPr>
              <w:pStyle w:val="TableParagraph"/>
              <w:spacing w:line="248" w:lineRule="exact"/>
              <w:ind w:left="266"/>
              <w:rPr>
                <w:sz w:val="21"/>
              </w:rPr>
            </w:pPr>
            <w:r>
              <w:rPr>
                <w:sz w:val="21"/>
              </w:rPr>
              <w:t>定义</w:t>
            </w:r>
          </w:p>
        </w:tc>
        <w:tc>
          <w:tcPr>
            <w:tcW w:w="7128" w:type="dxa"/>
          </w:tcPr>
          <w:p>
            <w:pPr>
              <w:pStyle w:val="TableParagraph"/>
              <w:rPr>
                <w:rFonts w:ascii="Times New Roman"/>
                <w:sz w:val="20"/>
              </w:rPr>
            </w:pPr>
          </w:p>
        </w:tc>
      </w:tr>
      <w:tr>
        <w:trPr>
          <w:trHeight w:val="312" w:hRule="atLeast"/>
        </w:trPr>
        <w:tc>
          <w:tcPr>
            <w:tcW w:w="840" w:type="dxa"/>
          </w:tcPr>
          <w:p>
            <w:pPr>
              <w:pStyle w:val="TableParagraph"/>
              <w:spacing w:line="268" w:lineRule="exact"/>
              <w:ind w:left="50"/>
              <w:rPr>
                <w:i/>
                <w:sz w:val="22"/>
              </w:rPr>
            </w:pPr>
            <w:r>
              <w:rPr>
                <w:i/>
                <w:sz w:val="22"/>
              </w:rPr>
              <w:t>3.2.1</w:t>
            </w:r>
          </w:p>
        </w:tc>
        <w:tc>
          <w:tcPr>
            <w:tcW w:w="1483" w:type="dxa"/>
          </w:tcPr>
          <w:p>
            <w:pPr>
              <w:pStyle w:val="TableParagraph"/>
              <w:spacing w:line="268" w:lineRule="exact"/>
              <w:ind w:left="266"/>
              <w:rPr>
                <w:i/>
                <w:sz w:val="22"/>
              </w:rPr>
            </w:pPr>
            <w:r>
              <w:rPr>
                <w:i/>
                <w:w w:val="95"/>
                <w:sz w:val="22"/>
              </w:rPr>
              <w:t>非危及生命</w:t>
            </w:r>
          </w:p>
        </w:tc>
        <w:tc>
          <w:tcPr>
            <w:tcW w:w="7128" w:type="dxa"/>
          </w:tcPr>
          <w:p>
            <w:pPr>
              <w:pStyle w:val="TableParagraph"/>
              <w:spacing w:line="266" w:lineRule="exact"/>
              <w:ind w:left="102"/>
              <w:rPr>
                <w:sz w:val="21"/>
              </w:rPr>
            </w:pPr>
            <w:r>
              <w:rPr>
                <w:sz w:val="21"/>
              </w:rPr>
              <w:t>指经组织病理学检查被明确诊断为下列恶性病变，并且接受了相应的治疗。</w:t>
            </w:r>
          </w:p>
        </w:tc>
      </w:tr>
      <w:tr>
        <w:trPr>
          <w:trHeight w:val="317" w:hRule="atLeast"/>
        </w:trPr>
        <w:tc>
          <w:tcPr>
            <w:tcW w:w="840" w:type="dxa"/>
          </w:tcPr>
          <w:p>
            <w:pPr>
              <w:pStyle w:val="TableParagraph"/>
              <w:rPr>
                <w:rFonts w:ascii="Times New Roman"/>
                <w:sz w:val="20"/>
              </w:rPr>
            </w:pPr>
          </w:p>
        </w:tc>
        <w:tc>
          <w:tcPr>
            <w:tcW w:w="1483" w:type="dxa"/>
          </w:tcPr>
          <w:p>
            <w:pPr>
              <w:pStyle w:val="TableParagraph"/>
              <w:spacing w:line="267" w:lineRule="exact"/>
              <w:ind w:left="265"/>
              <w:rPr>
                <w:i/>
                <w:sz w:val="22"/>
              </w:rPr>
            </w:pPr>
            <w:r>
              <w:rPr>
                <w:i/>
                <w:w w:val="95"/>
                <w:sz w:val="22"/>
              </w:rPr>
              <w:t>的恶性病变</w:t>
            </w:r>
          </w:p>
        </w:tc>
        <w:tc>
          <w:tcPr>
            <w:tcW w:w="7128" w:type="dxa"/>
          </w:tcPr>
          <w:p>
            <w:pPr>
              <w:pStyle w:val="TableParagraph"/>
              <w:spacing w:line="265" w:lineRule="exact"/>
              <w:ind w:left="102"/>
              <w:rPr>
                <w:sz w:val="21"/>
              </w:rPr>
            </w:pPr>
            <w:r>
              <w:rPr>
                <w:sz w:val="21"/>
              </w:rPr>
              <w:t>（1）原位癌；</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0" w:lineRule="exact"/>
              <w:ind w:left="102"/>
              <w:rPr>
                <w:sz w:val="21"/>
              </w:rPr>
            </w:pPr>
            <w:r>
              <w:rPr>
                <w:sz w:val="21"/>
              </w:rPr>
              <w:t>（2）相当于Binet 分期方案A期程度的慢性淋巴细胞白血病；</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1" w:lineRule="exact"/>
              <w:ind w:left="102"/>
              <w:rPr>
                <w:sz w:val="21"/>
              </w:rPr>
            </w:pPr>
            <w:r>
              <w:rPr>
                <w:sz w:val="21"/>
              </w:rPr>
              <w:t>（3）相当于Ann Arbor 分期方案 I 期程度的何杰金氏病；</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1" w:lineRule="exact"/>
              <w:ind w:left="103"/>
              <w:rPr>
                <w:sz w:val="21"/>
              </w:rPr>
            </w:pPr>
            <w:r>
              <w:rPr>
                <w:sz w:val="21"/>
              </w:rPr>
              <w:t>（4）</w:t>
            </w:r>
            <w:r>
              <w:rPr>
                <w:spacing w:val="-1"/>
                <w:sz w:val="21"/>
              </w:rPr>
              <w:t>皮肤癌</w:t>
            </w:r>
            <w:r>
              <w:rPr>
                <w:sz w:val="21"/>
              </w:rPr>
              <w:t>（</w:t>
            </w:r>
            <w:r>
              <w:rPr>
                <w:sz w:val="21"/>
                <w:shd w:fill="E5E5E5" w:color="auto" w:val="clear"/>
              </w:rPr>
              <w:t>不包括恶性黑色素瘤及已发生转移的皮肤癌</w:t>
            </w:r>
            <w:r>
              <w:rPr>
                <w:spacing w:val="-106"/>
                <w:sz w:val="21"/>
              </w:rPr>
              <w:t>）</w:t>
            </w:r>
            <w:r>
              <w:rPr>
                <w:sz w:val="21"/>
              </w:rPr>
              <w:t>；</w:t>
            </w:r>
          </w:p>
        </w:tc>
      </w:tr>
      <w:tr>
        <w:trPr>
          <w:trHeight w:val="467"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1" w:lineRule="exact"/>
              <w:ind w:left="103"/>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473" w:hRule="atLeast"/>
        </w:trPr>
        <w:tc>
          <w:tcPr>
            <w:tcW w:w="840" w:type="dxa"/>
          </w:tcPr>
          <w:p>
            <w:pPr>
              <w:pStyle w:val="TableParagraph"/>
              <w:spacing w:before="140"/>
              <w:ind w:left="50"/>
              <w:rPr>
                <w:i/>
                <w:sz w:val="22"/>
              </w:rPr>
            </w:pPr>
            <w:r>
              <w:rPr>
                <w:i/>
                <w:sz w:val="22"/>
              </w:rPr>
              <w:t>3.2.2</w:t>
            </w:r>
          </w:p>
        </w:tc>
        <w:tc>
          <w:tcPr>
            <w:tcW w:w="1483" w:type="dxa"/>
          </w:tcPr>
          <w:p>
            <w:pPr>
              <w:pStyle w:val="TableParagraph"/>
              <w:spacing w:before="140"/>
              <w:ind w:left="266"/>
              <w:rPr>
                <w:i/>
                <w:sz w:val="22"/>
              </w:rPr>
            </w:pPr>
            <w:r>
              <w:rPr>
                <w:i/>
                <w:w w:val="95"/>
                <w:sz w:val="22"/>
              </w:rPr>
              <w:t>脑垂体瘤、</w:t>
            </w:r>
          </w:p>
        </w:tc>
        <w:tc>
          <w:tcPr>
            <w:tcW w:w="7128" w:type="dxa"/>
          </w:tcPr>
          <w:p>
            <w:pPr>
              <w:pStyle w:val="TableParagraph"/>
              <w:spacing w:before="151"/>
              <w:ind w:left="102"/>
              <w:rPr>
                <w:sz w:val="21"/>
              </w:rPr>
            </w:pPr>
            <w:r>
              <w:rPr>
                <w:spacing w:val="-3"/>
                <w:sz w:val="21"/>
              </w:rPr>
              <w:t>指经头颅断层扫描</w:t>
            </w:r>
            <w:r>
              <w:rPr>
                <w:spacing w:val="-1"/>
                <w:sz w:val="21"/>
              </w:rPr>
              <w:t>（CT</w:t>
            </w:r>
            <w:r>
              <w:rPr>
                <w:spacing w:val="-106"/>
                <w:sz w:val="21"/>
              </w:rPr>
              <w:t>）</w:t>
            </w:r>
            <w:r>
              <w:rPr>
                <w:spacing w:val="-7"/>
                <w:sz w:val="21"/>
              </w:rPr>
              <w:t>、核磁共振</w:t>
            </w:r>
            <w:r>
              <w:rPr>
                <w:sz w:val="21"/>
              </w:rPr>
              <w:t>（MRI</w:t>
            </w:r>
            <w:r>
              <w:rPr>
                <w:spacing w:val="-15"/>
                <w:sz w:val="21"/>
              </w:rPr>
              <w:t>）</w:t>
            </w:r>
            <w:r>
              <w:rPr>
                <w:spacing w:val="-1"/>
                <w:sz w:val="21"/>
              </w:rPr>
              <w:t>或其他影像学检查被确诊为下列</w:t>
            </w:r>
          </w:p>
        </w:tc>
      </w:tr>
      <w:tr>
        <w:trPr>
          <w:trHeight w:val="311" w:hRule="atLeast"/>
        </w:trPr>
        <w:tc>
          <w:tcPr>
            <w:tcW w:w="840" w:type="dxa"/>
          </w:tcPr>
          <w:p>
            <w:pPr>
              <w:pStyle w:val="TableParagraph"/>
              <w:rPr>
                <w:rFonts w:ascii="Times New Roman"/>
                <w:sz w:val="20"/>
              </w:rPr>
            </w:pPr>
          </w:p>
        </w:tc>
        <w:tc>
          <w:tcPr>
            <w:tcW w:w="1483" w:type="dxa"/>
          </w:tcPr>
          <w:p>
            <w:pPr>
              <w:pStyle w:val="TableParagraph"/>
              <w:spacing w:line="267" w:lineRule="exact"/>
              <w:ind w:left="265"/>
              <w:rPr>
                <w:i/>
                <w:sz w:val="22"/>
              </w:rPr>
            </w:pPr>
            <w:r>
              <w:rPr>
                <w:i/>
                <w:w w:val="95"/>
                <w:sz w:val="22"/>
              </w:rPr>
              <w:t>脑囊肿、脑</w:t>
            </w:r>
          </w:p>
        </w:tc>
        <w:tc>
          <w:tcPr>
            <w:tcW w:w="7128" w:type="dxa"/>
          </w:tcPr>
          <w:p>
            <w:pPr>
              <w:pStyle w:val="TableParagraph"/>
              <w:spacing w:line="265" w:lineRule="exact"/>
              <w:ind w:left="102"/>
              <w:rPr>
                <w:sz w:val="21"/>
              </w:rPr>
            </w:pPr>
            <w:r>
              <w:rPr>
                <w:sz w:val="21"/>
              </w:rPr>
              <w:t>病变，并实际接受了手术或放射治疗：</w:t>
            </w:r>
          </w:p>
        </w:tc>
      </w:tr>
      <w:tr>
        <w:trPr>
          <w:trHeight w:val="311" w:hRule="atLeast"/>
        </w:trPr>
        <w:tc>
          <w:tcPr>
            <w:tcW w:w="840" w:type="dxa"/>
          </w:tcPr>
          <w:p>
            <w:pPr>
              <w:pStyle w:val="TableParagraph"/>
              <w:rPr>
                <w:rFonts w:ascii="Times New Roman"/>
                <w:sz w:val="20"/>
              </w:rPr>
            </w:pPr>
          </w:p>
        </w:tc>
        <w:tc>
          <w:tcPr>
            <w:tcW w:w="1483" w:type="dxa"/>
          </w:tcPr>
          <w:p>
            <w:pPr>
              <w:pStyle w:val="TableParagraph"/>
              <w:spacing w:line="267" w:lineRule="exact"/>
              <w:ind w:left="265"/>
              <w:rPr>
                <w:i/>
                <w:sz w:val="22"/>
              </w:rPr>
            </w:pPr>
            <w:r>
              <w:rPr>
                <w:i/>
                <w:w w:val="95"/>
                <w:sz w:val="22"/>
              </w:rPr>
              <w:t>动脉瘤及脑</w:t>
            </w:r>
          </w:p>
        </w:tc>
        <w:tc>
          <w:tcPr>
            <w:tcW w:w="7128" w:type="dxa"/>
          </w:tcPr>
          <w:p>
            <w:pPr>
              <w:pStyle w:val="TableParagraph"/>
              <w:spacing w:line="265" w:lineRule="exact"/>
              <w:ind w:left="102"/>
              <w:rPr>
                <w:sz w:val="21"/>
              </w:rPr>
            </w:pPr>
            <w:r>
              <w:rPr>
                <w:sz w:val="21"/>
              </w:rPr>
              <w:t>（1）脑垂体瘤；</w:t>
            </w:r>
          </w:p>
        </w:tc>
      </w:tr>
      <w:tr>
        <w:trPr>
          <w:trHeight w:val="317" w:hRule="atLeast"/>
        </w:trPr>
        <w:tc>
          <w:tcPr>
            <w:tcW w:w="840" w:type="dxa"/>
          </w:tcPr>
          <w:p>
            <w:pPr>
              <w:pStyle w:val="TableParagraph"/>
              <w:rPr>
                <w:rFonts w:ascii="Times New Roman"/>
                <w:sz w:val="20"/>
              </w:rPr>
            </w:pPr>
          </w:p>
        </w:tc>
        <w:tc>
          <w:tcPr>
            <w:tcW w:w="1483" w:type="dxa"/>
          </w:tcPr>
          <w:p>
            <w:pPr>
              <w:pStyle w:val="TableParagraph"/>
              <w:spacing w:line="267" w:lineRule="exact"/>
              <w:ind w:left="265"/>
              <w:rPr>
                <w:i/>
                <w:sz w:val="22"/>
              </w:rPr>
            </w:pPr>
            <w:r>
              <w:rPr>
                <w:i/>
                <w:w w:val="95"/>
                <w:sz w:val="22"/>
              </w:rPr>
              <w:t>血管瘤</w:t>
            </w:r>
          </w:p>
        </w:tc>
        <w:tc>
          <w:tcPr>
            <w:tcW w:w="7128" w:type="dxa"/>
          </w:tcPr>
          <w:p>
            <w:pPr>
              <w:pStyle w:val="TableParagraph"/>
              <w:spacing w:line="265" w:lineRule="exact"/>
              <w:ind w:left="102"/>
              <w:rPr>
                <w:sz w:val="21"/>
              </w:rPr>
            </w:pPr>
            <w:r>
              <w:rPr>
                <w:sz w:val="21"/>
              </w:rPr>
              <w:t>（2）脑囊肿；</w:t>
            </w:r>
          </w:p>
        </w:tc>
      </w:tr>
      <w:tr>
        <w:trPr>
          <w:trHeight w:val="466"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0" w:lineRule="exact"/>
              <w:ind w:left="102"/>
              <w:rPr>
                <w:sz w:val="21"/>
              </w:rPr>
            </w:pPr>
            <w:r>
              <w:rPr>
                <w:sz w:val="21"/>
              </w:rPr>
              <w:t>（3）脑动脉瘤、脑血管瘤。</w:t>
            </w:r>
          </w:p>
        </w:tc>
      </w:tr>
      <w:tr>
        <w:trPr>
          <w:trHeight w:val="473" w:hRule="atLeast"/>
        </w:trPr>
        <w:tc>
          <w:tcPr>
            <w:tcW w:w="840" w:type="dxa"/>
          </w:tcPr>
          <w:p>
            <w:pPr>
              <w:pStyle w:val="TableParagraph"/>
              <w:spacing w:before="140"/>
              <w:ind w:left="50"/>
              <w:rPr>
                <w:i/>
                <w:sz w:val="22"/>
              </w:rPr>
            </w:pPr>
            <w:r>
              <w:rPr>
                <w:i/>
                <w:sz w:val="22"/>
              </w:rPr>
              <w:t>3.2.3</w:t>
            </w:r>
          </w:p>
        </w:tc>
        <w:tc>
          <w:tcPr>
            <w:tcW w:w="1483" w:type="dxa"/>
          </w:tcPr>
          <w:p>
            <w:pPr>
              <w:pStyle w:val="TableParagraph"/>
              <w:spacing w:before="140"/>
              <w:ind w:left="266"/>
              <w:rPr>
                <w:i/>
                <w:sz w:val="22"/>
              </w:rPr>
            </w:pPr>
            <w:r>
              <w:rPr>
                <w:i/>
                <w:w w:val="95"/>
                <w:sz w:val="22"/>
              </w:rPr>
              <w:t>主动脉介入</w:t>
            </w:r>
          </w:p>
        </w:tc>
        <w:tc>
          <w:tcPr>
            <w:tcW w:w="7128" w:type="dxa"/>
          </w:tcPr>
          <w:p>
            <w:pPr>
              <w:pStyle w:val="TableParagraph"/>
              <w:spacing w:before="151"/>
              <w:ind w:left="103"/>
              <w:rPr>
                <w:sz w:val="21"/>
              </w:rPr>
            </w:pPr>
            <w:r>
              <w:rPr>
                <w:sz w:val="21"/>
              </w:rPr>
              <w:t>为了治疗主动脉疾病实际实施了经皮经导管进行的动脉内手术。</w:t>
            </w:r>
            <w:r>
              <w:rPr>
                <w:sz w:val="21"/>
                <w:shd w:fill="D8D8D8" w:color="auto" w:val="clear"/>
              </w:rPr>
              <w:t>主动脉指胸</w:t>
            </w:r>
          </w:p>
        </w:tc>
      </w:tr>
      <w:tr>
        <w:trPr>
          <w:trHeight w:val="471" w:hRule="atLeast"/>
        </w:trPr>
        <w:tc>
          <w:tcPr>
            <w:tcW w:w="840" w:type="dxa"/>
          </w:tcPr>
          <w:p>
            <w:pPr>
              <w:pStyle w:val="TableParagraph"/>
              <w:rPr>
                <w:rFonts w:ascii="Times New Roman"/>
                <w:sz w:val="20"/>
              </w:rPr>
            </w:pPr>
          </w:p>
        </w:tc>
        <w:tc>
          <w:tcPr>
            <w:tcW w:w="1483" w:type="dxa"/>
          </w:tcPr>
          <w:p>
            <w:pPr>
              <w:pStyle w:val="TableParagraph"/>
              <w:spacing w:line="267" w:lineRule="exact"/>
              <w:ind w:left="265"/>
              <w:rPr>
                <w:i/>
                <w:sz w:val="22"/>
              </w:rPr>
            </w:pPr>
            <w:r>
              <w:rPr>
                <w:i/>
                <w:w w:val="95"/>
                <w:sz w:val="22"/>
              </w:rPr>
              <w:t>手术</w:t>
            </w:r>
          </w:p>
        </w:tc>
        <w:tc>
          <w:tcPr>
            <w:tcW w:w="7128" w:type="dxa"/>
          </w:tcPr>
          <w:p>
            <w:pPr>
              <w:pStyle w:val="TableParagraph"/>
              <w:spacing w:line="265" w:lineRule="exact"/>
              <w:ind w:left="103"/>
              <w:rPr>
                <w:sz w:val="21"/>
              </w:rPr>
            </w:pPr>
            <w:r>
              <w:rPr>
                <w:sz w:val="21"/>
                <w:shd w:fill="D8D8D8" w:color="auto" w:val="clear"/>
              </w:rPr>
              <w:t>主动脉和腹主动脉，不包括胸主动脉和腹主动脉的分支血管。</w:t>
            </w:r>
          </w:p>
        </w:tc>
      </w:tr>
      <w:tr>
        <w:trPr>
          <w:trHeight w:val="830" w:hRule="atLeast"/>
        </w:trPr>
        <w:tc>
          <w:tcPr>
            <w:tcW w:w="840" w:type="dxa"/>
          </w:tcPr>
          <w:p>
            <w:pPr>
              <w:pStyle w:val="TableParagraph"/>
              <w:spacing w:before="138"/>
              <w:ind w:left="50"/>
              <w:rPr>
                <w:i/>
                <w:sz w:val="22"/>
              </w:rPr>
            </w:pPr>
            <w:r>
              <w:rPr>
                <w:i/>
                <w:sz w:val="22"/>
              </w:rPr>
              <w:t>3.2.4</w:t>
            </w:r>
          </w:p>
        </w:tc>
        <w:tc>
          <w:tcPr>
            <w:tcW w:w="1483" w:type="dxa"/>
          </w:tcPr>
          <w:p>
            <w:pPr>
              <w:pStyle w:val="TableParagraph"/>
              <w:spacing w:line="259" w:lineRule="auto" w:before="138"/>
              <w:ind w:left="265" w:right="98"/>
              <w:rPr>
                <w:i/>
                <w:sz w:val="22"/>
              </w:rPr>
            </w:pPr>
            <w:r>
              <w:rPr>
                <w:i/>
                <w:w w:val="95"/>
                <w:sz w:val="22"/>
              </w:rPr>
              <w:t>轻度原发性肺动脉高压</w:t>
            </w:r>
          </w:p>
        </w:tc>
        <w:tc>
          <w:tcPr>
            <w:tcW w:w="7128" w:type="dxa"/>
          </w:tcPr>
          <w:p>
            <w:pPr>
              <w:pStyle w:val="TableParagraph"/>
              <w:spacing w:line="330" w:lineRule="atLeast" w:before="120"/>
              <w:ind w:left="102" w:right="46"/>
              <w:rPr>
                <w:sz w:val="21"/>
              </w:rPr>
            </w:pPr>
            <w:r>
              <w:rPr>
                <w:spacing w:val="-3"/>
                <w:sz w:val="21"/>
              </w:rPr>
              <w:t>指由于原发性肺动脉高压进行性发展而导致右心室肥厚，已经造成永久不可</w:t>
            </w:r>
            <w:r>
              <w:rPr>
                <w:spacing w:val="-10"/>
                <w:sz w:val="21"/>
              </w:rPr>
              <w:t>逆性的体力活动能力受限，达到美国纽约心脏病学会心功能状态分级 </w:t>
            </w:r>
            <w:r>
              <w:rPr>
                <w:rFonts w:ascii="Times New Roman" w:eastAsia="Times New Roman"/>
                <w:sz w:val="21"/>
              </w:rPr>
              <w:t>III </w:t>
            </w:r>
            <w:r>
              <w:rPr>
                <w:sz w:val="21"/>
              </w:rPr>
              <w:t>级，</w:t>
            </w:r>
          </w:p>
        </w:tc>
      </w:tr>
      <w:tr>
        <w:trPr>
          <w:trHeight w:val="465"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76" w:lineRule="exact"/>
              <w:ind w:left="102"/>
              <w:rPr>
                <w:sz w:val="21"/>
              </w:rPr>
            </w:pPr>
            <w:r>
              <w:rPr>
                <w:sz w:val="21"/>
              </w:rPr>
              <w:t>且静息状态下肺动脉平均压超过 </w:t>
            </w:r>
            <w:r>
              <w:rPr>
                <w:rFonts w:ascii="Times New Roman" w:eastAsia="Times New Roman"/>
                <w:sz w:val="21"/>
              </w:rPr>
              <w:t>25mmHg</w:t>
            </w:r>
            <w:r>
              <w:rPr>
                <w:sz w:val="21"/>
              </w:rPr>
              <w:t>。</w:t>
            </w:r>
          </w:p>
        </w:tc>
      </w:tr>
      <w:tr>
        <w:trPr>
          <w:trHeight w:val="952" w:hRule="atLeast"/>
        </w:trPr>
        <w:tc>
          <w:tcPr>
            <w:tcW w:w="840" w:type="dxa"/>
          </w:tcPr>
          <w:p>
            <w:pPr>
              <w:pStyle w:val="TableParagraph"/>
              <w:spacing w:before="123"/>
              <w:ind w:left="50"/>
              <w:rPr>
                <w:i/>
                <w:sz w:val="22"/>
              </w:rPr>
            </w:pPr>
            <w:r>
              <w:rPr>
                <w:i/>
                <w:sz w:val="22"/>
              </w:rPr>
              <w:t>3.2.5</w:t>
            </w:r>
          </w:p>
        </w:tc>
        <w:tc>
          <w:tcPr>
            <w:tcW w:w="1483" w:type="dxa"/>
          </w:tcPr>
          <w:p>
            <w:pPr>
              <w:pStyle w:val="TableParagraph"/>
              <w:spacing w:line="259" w:lineRule="auto" w:before="123"/>
              <w:ind w:left="266" w:right="98" w:hanging="1"/>
              <w:rPr>
                <w:i/>
                <w:sz w:val="22"/>
              </w:rPr>
            </w:pPr>
            <w:r>
              <w:rPr>
                <w:i/>
                <w:w w:val="95"/>
                <w:sz w:val="22"/>
              </w:rPr>
              <w:t>冠状动脉介入手术</w:t>
            </w:r>
          </w:p>
        </w:tc>
        <w:tc>
          <w:tcPr>
            <w:tcW w:w="7128" w:type="dxa"/>
          </w:tcPr>
          <w:p>
            <w:pPr>
              <w:pStyle w:val="TableParagraph"/>
              <w:spacing w:line="280" w:lineRule="auto" w:before="159"/>
              <w:ind w:left="103" w:right="82"/>
              <w:rPr>
                <w:sz w:val="21"/>
              </w:rPr>
            </w:pPr>
            <w:r>
              <w:rPr>
                <w:sz w:val="21"/>
              </w:rPr>
              <w:t>为了治疗明显的冠状动脉狭窄性疾病，首次实际实施了冠状动脉球囊扩张成形术、冠状动脉支架植入术或激光冠状动脉成形术。</w:t>
            </w:r>
          </w:p>
        </w:tc>
      </w:tr>
      <w:tr>
        <w:trPr>
          <w:trHeight w:val="497" w:hRule="atLeast"/>
        </w:trPr>
        <w:tc>
          <w:tcPr>
            <w:tcW w:w="840" w:type="dxa"/>
          </w:tcPr>
          <w:p>
            <w:pPr>
              <w:pStyle w:val="TableParagraph"/>
              <w:spacing w:before="131"/>
              <w:ind w:left="50"/>
              <w:rPr>
                <w:i/>
                <w:sz w:val="22"/>
              </w:rPr>
            </w:pPr>
            <w:r>
              <w:rPr>
                <w:i/>
                <w:sz w:val="22"/>
              </w:rPr>
              <w:t>3.2.6</w:t>
            </w:r>
          </w:p>
        </w:tc>
        <w:tc>
          <w:tcPr>
            <w:tcW w:w="1483" w:type="dxa"/>
          </w:tcPr>
          <w:p>
            <w:pPr>
              <w:pStyle w:val="TableParagraph"/>
              <w:spacing w:before="131"/>
              <w:ind w:left="266"/>
              <w:rPr>
                <w:i/>
                <w:sz w:val="22"/>
              </w:rPr>
            </w:pPr>
            <w:r>
              <w:rPr>
                <w:i/>
                <w:w w:val="95"/>
                <w:sz w:val="22"/>
              </w:rPr>
              <w:t>单肢缺失</w:t>
            </w:r>
          </w:p>
        </w:tc>
        <w:tc>
          <w:tcPr>
            <w:tcW w:w="7128" w:type="dxa"/>
          </w:tcPr>
          <w:p>
            <w:pPr>
              <w:pStyle w:val="TableParagraph"/>
              <w:spacing w:before="167"/>
              <w:ind w:left="102"/>
              <w:rPr>
                <w:sz w:val="21"/>
              </w:rPr>
            </w:pPr>
            <w:r>
              <w:rPr>
                <w:sz w:val="21"/>
              </w:rPr>
              <w:t>指因疾病或意外伤害导致一个肢体自腕关节或踝关节近端（靠近躯干端）以</w:t>
            </w:r>
          </w:p>
        </w:tc>
      </w:tr>
      <w:tr>
        <w:trPr>
          <w:trHeight w:val="46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128" w:type="dxa"/>
          </w:tcPr>
          <w:p>
            <w:pPr>
              <w:pStyle w:val="TableParagraph"/>
              <w:spacing w:line="265" w:lineRule="exact"/>
              <w:ind w:left="102"/>
              <w:rPr>
                <w:sz w:val="21"/>
              </w:rPr>
            </w:pPr>
            <w:r>
              <w:rPr>
                <w:sz w:val="21"/>
              </w:rPr>
              <w:t>上完全性断离。</w:t>
            </w:r>
          </w:p>
        </w:tc>
      </w:tr>
      <w:tr>
        <w:trPr>
          <w:trHeight w:val="960" w:hRule="atLeast"/>
        </w:trPr>
        <w:tc>
          <w:tcPr>
            <w:tcW w:w="840" w:type="dxa"/>
          </w:tcPr>
          <w:p>
            <w:pPr>
              <w:pStyle w:val="TableParagraph"/>
              <w:spacing w:before="131"/>
              <w:ind w:left="50"/>
              <w:rPr>
                <w:i/>
                <w:sz w:val="22"/>
              </w:rPr>
            </w:pPr>
            <w:r>
              <w:rPr>
                <w:i/>
                <w:sz w:val="22"/>
              </w:rPr>
              <w:t>3.2.7</w:t>
            </w:r>
          </w:p>
        </w:tc>
        <w:tc>
          <w:tcPr>
            <w:tcW w:w="1483" w:type="dxa"/>
          </w:tcPr>
          <w:p>
            <w:pPr>
              <w:pStyle w:val="TableParagraph"/>
              <w:spacing w:line="259" w:lineRule="auto" w:before="131"/>
              <w:ind w:left="265" w:right="98"/>
              <w:rPr>
                <w:i/>
                <w:sz w:val="22"/>
              </w:rPr>
            </w:pPr>
            <w:r>
              <w:rPr>
                <w:i/>
                <w:w w:val="95"/>
                <w:sz w:val="22"/>
              </w:rPr>
              <w:t>心脏瓣膜介入手术</w:t>
            </w:r>
          </w:p>
        </w:tc>
        <w:tc>
          <w:tcPr>
            <w:tcW w:w="7128" w:type="dxa"/>
          </w:tcPr>
          <w:p>
            <w:pPr>
              <w:pStyle w:val="TableParagraph"/>
              <w:spacing w:line="280" w:lineRule="auto" w:before="167"/>
              <w:ind w:left="102" w:right="92"/>
              <w:rPr>
                <w:sz w:val="21"/>
              </w:rPr>
            </w:pPr>
            <w:r>
              <w:rPr>
                <w:sz w:val="21"/>
              </w:rPr>
              <w:t>为了治疗心脏瓣膜疾病，实际实施了非开胸的经胸壁打孔内镜手术或经皮经导管介入手术进行的心脏瓣膜置换或修复手术。</w:t>
            </w:r>
          </w:p>
        </w:tc>
      </w:tr>
      <w:tr>
        <w:trPr>
          <w:trHeight w:val="762" w:hRule="atLeast"/>
        </w:trPr>
        <w:tc>
          <w:tcPr>
            <w:tcW w:w="840" w:type="dxa"/>
          </w:tcPr>
          <w:p>
            <w:pPr>
              <w:pStyle w:val="TableParagraph"/>
              <w:spacing w:before="131"/>
              <w:ind w:left="50"/>
              <w:rPr>
                <w:i/>
                <w:sz w:val="22"/>
              </w:rPr>
            </w:pPr>
            <w:r>
              <w:rPr>
                <w:i/>
                <w:sz w:val="22"/>
              </w:rPr>
              <w:t>3.2.8</w:t>
            </w:r>
          </w:p>
        </w:tc>
        <w:tc>
          <w:tcPr>
            <w:tcW w:w="1483" w:type="dxa"/>
          </w:tcPr>
          <w:p>
            <w:pPr>
              <w:pStyle w:val="TableParagraph"/>
              <w:spacing w:line="310" w:lineRule="atLeast" w:before="108"/>
              <w:ind w:left="266" w:right="98" w:hanging="1"/>
              <w:rPr>
                <w:i/>
                <w:sz w:val="22"/>
              </w:rPr>
            </w:pPr>
            <w:r>
              <w:rPr>
                <w:i/>
                <w:w w:val="95"/>
                <w:sz w:val="22"/>
              </w:rPr>
              <w:t>脑外伤开颅手术</w:t>
            </w:r>
          </w:p>
        </w:tc>
        <w:tc>
          <w:tcPr>
            <w:tcW w:w="7128" w:type="dxa"/>
          </w:tcPr>
          <w:p>
            <w:pPr>
              <w:pStyle w:val="TableParagraph"/>
              <w:spacing w:line="320" w:lineRule="atLeast" w:before="122"/>
              <w:ind w:left="103" w:right="150"/>
              <w:rPr>
                <w:sz w:val="21"/>
              </w:rPr>
            </w:pPr>
            <w:r>
              <w:rPr>
                <w:spacing w:val="-5"/>
                <w:sz w:val="21"/>
              </w:rPr>
              <w:t>因头部遭受机械性外力，引起脑重要部位损伤，并实际接受了全麻下颅骨切开颅内血肿清除术</w:t>
            </w:r>
            <w:r>
              <w:rPr>
                <w:spacing w:val="-5"/>
                <w:sz w:val="21"/>
                <w:shd w:fill="D8D8D8" w:color="auto" w:val="clear"/>
              </w:rPr>
              <w:t>（颅骨钻孔术除外</w:t>
            </w:r>
            <w:r>
              <w:rPr>
                <w:spacing w:val="-105"/>
                <w:sz w:val="21"/>
                <w:shd w:fill="D8D8D8" w:color="auto" w:val="clear"/>
              </w:rPr>
              <w:t>）</w:t>
            </w:r>
            <w:r>
              <w:rPr>
                <w:sz w:val="21"/>
                <w:shd w:fill="D8D8D8" w:color="auto" w:val="clear"/>
              </w:rPr>
              <w:t>。</w:t>
            </w:r>
          </w:p>
        </w:tc>
      </w:tr>
    </w:tbl>
    <w:p>
      <w:pPr>
        <w:spacing w:after="0" w:line="320" w:lineRule="atLeast"/>
        <w:rPr>
          <w:sz w:val="21"/>
        </w:rPr>
        <w:sectPr>
          <w:pgSz w:w="11900" w:h="16840"/>
          <w:pgMar w:header="570" w:footer="0" w:top="800" w:bottom="280" w:left="860" w:right="1360"/>
        </w:sectPr>
      </w:pPr>
    </w:p>
    <w:p>
      <w:pPr>
        <w:pStyle w:val="BodyText"/>
        <w:rPr>
          <w:sz w:val="20"/>
        </w:rPr>
      </w:pPr>
    </w:p>
    <w:p>
      <w:pPr>
        <w:pStyle w:val="BodyText"/>
        <w:spacing w:before="10"/>
        <w:rPr>
          <w:sz w:val="24"/>
        </w:rPr>
      </w:pPr>
    </w:p>
    <w:p>
      <w:pPr>
        <w:spacing w:after="0"/>
        <w:rPr>
          <w:sz w:val="24"/>
        </w:rPr>
        <w:sectPr>
          <w:pgSz w:w="11900" w:h="16840"/>
          <w:pgMar w:header="570" w:footer="0" w:top="800" w:bottom="280" w:left="920" w:right="1440"/>
        </w:sectPr>
      </w:pPr>
    </w:p>
    <w:p>
      <w:pPr>
        <w:pStyle w:val="Heading4"/>
        <w:tabs>
          <w:tab w:pos="1157" w:val="left" w:leader="none"/>
        </w:tabs>
        <w:ind w:left="101" w:firstLine="0"/>
      </w:pPr>
      <w:r>
        <w:rPr/>
        <w:t>3.2.9</w:t>
        <w:tab/>
      </w:r>
      <w:r>
        <w:rPr>
          <w:spacing w:val="63"/>
          <w:w w:val="95"/>
        </w:rPr>
        <w:t>较小面积</w:t>
      </w:r>
      <w:r>
        <w:rPr>
          <w:spacing w:val="-23"/>
        </w:rPr>
        <w:t> </w:t>
      </w:r>
    </w:p>
    <w:p>
      <w:pPr>
        <w:spacing w:before="23"/>
        <w:ind w:left="1157" w:right="0" w:firstLine="0"/>
        <w:jc w:val="left"/>
        <w:rPr>
          <w:i/>
          <w:sz w:val="22"/>
        </w:rPr>
      </w:pPr>
      <w:r>
        <w:rPr>
          <w:i/>
          <w:w w:val="95"/>
          <w:sz w:val="22"/>
        </w:rPr>
        <w:t>III 度烧伤</w:t>
      </w:r>
    </w:p>
    <w:p>
      <w:pPr>
        <w:pStyle w:val="BodyText"/>
        <w:spacing w:line="264" w:lineRule="auto" w:before="71"/>
        <w:ind w:left="89" w:right="115"/>
      </w:pPr>
      <w:r>
        <w:rPr/>
        <w:br w:type="column"/>
      </w:r>
      <w:r>
        <w:rPr>
          <w:spacing w:val="-3"/>
        </w:rPr>
        <w:t>指烧伤程度为Ⅲ度，且Ⅲ度烧伤面积达到全身体表面积的 </w:t>
      </w:r>
      <w:r>
        <w:rPr>
          <w:rFonts w:ascii="Times New Roman" w:hAnsi="Times New Roman" w:eastAsia="Times New Roman"/>
        </w:rPr>
        <w:t>10%</w:t>
      </w:r>
      <w:r>
        <w:rPr/>
        <w:t>（百分之十） </w:t>
      </w:r>
      <w:r>
        <w:rPr>
          <w:spacing w:val="-15"/>
        </w:rPr>
        <w:t>但少于 </w:t>
      </w:r>
      <w:r>
        <w:rPr>
          <w:rFonts w:ascii="Times New Roman" w:hAnsi="Times New Roman" w:eastAsia="Times New Roman"/>
        </w:rPr>
        <w:t>20%</w:t>
      </w:r>
      <w:r>
        <w:rPr/>
        <w:t>（百分之二十</w:t>
      </w:r>
      <w:r>
        <w:rPr>
          <w:spacing w:val="-105"/>
        </w:rPr>
        <w:t>）</w:t>
      </w:r>
      <w:r>
        <w:rPr/>
        <w:t>。体表面积根据《中国新九分法》计算。</w:t>
      </w:r>
    </w:p>
    <w:p>
      <w:pPr>
        <w:spacing w:after="0" w:line="264" w:lineRule="auto"/>
        <w:sectPr>
          <w:type w:val="continuous"/>
          <w:pgSz w:w="11900" w:h="16840"/>
          <w:pgMar w:top="1100" w:bottom="280" w:left="920" w:right="1440"/>
          <w:cols w:num="2" w:equalWidth="0">
            <w:col w:w="2348" w:space="40"/>
            <w:col w:w="7152"/>
          </w:cols>
        </w:sectPr>
      </w:pPr>
    </w:p>
    <w:p>
      <w:pPr>
        <w:pStyle w:val="BodyText"/>
        <w:spacing w:before="4"/>
        <w:rPr>
          <w:sz w:val="20"/>
        </w:rPr>
      </w:pPr>
    </w:p>
    <w:p>
      <w:pPr>
        <w:spacing w:after="0"/>
        <w:rPr>
          <w:sz w:val="20"/>
        </w:rPr>
        <w:sectPr>
          <w:type w:val="continuous"/>
          <w:pgSz w:w="11900" w:h="16840"/>
          <w:pgMar w:top="1100" w:bottom="280" w:left="920" w:right="1440"/>
        </w:sectPr>
      </w:pPr>
    </w:p>
    <w:p>
      <w:pPr>
        <w:pStyle w:val="BodyText"/>
        <w:tabs>
          <w:tab w:pos="1157" w:val="left" w:leader="none"/>
        </w:tabs>
        <w:spacing w:line="273" w:lineRule="auto" w:before="35"/>
        <w:ind w:left="1157" w:hanging="1057"/>
      </w:pPr>
      <w:r>
        <w:rPr/>
        <w:t>3.3</w:t>
        <w:tab/>
        <w:t>重大疾病的 范围</w:t>
      </w:r>
    </w:p>
    <w:p>
      <w:pPr>
        <w:pStyle w:val="BodyText"/>
        <w:spacing w:line="278" w:lineRule="auto" w:before="60"/>
        <w:ind w:left="101" w:right="188"/>
        <w:jc w:val="both"/>
      </w:pPr>
      <w:r>
        <w:rPr/>
        <w:br w:type="column"/>
      </w:r>
      <w:r>
        <w:rPr>
          <w:spacing w:val="-3"/>
        </w:rPr>
        <w:t>本附加合同所指的重大疾病在本附加合同中有确定的含义，不仅包括部分一</w:t>
      </w:r>
      <w:r>
        <w:rPr>
          <w:spacing w:val="-8"/>
        </w:rPr>
        <w:t>般意义上的重大疾病，还包括某些重大手术，本附加合同所指的重大疾病可</w:t>
      </w:r>
      <w:r>
        <w:rPr>
          <w:spacing w:val="-10"/>
        </w:rPr>
        <w:t>能与临床医学所指的重大疾病在概念和范围上有所不同，我们将在本附加合</w:t>
      </w:r>
      <w:r>
        <w:rPr>
          <w:spacing w:val="-13"/>
        </w:rPr>
        <w:t>同重大疾病定义中详细列明，您投保本附加合同即表明认可并遵从本附加合同中对重大疾病的定义。</w:t>
      </w:r>
    </w:p>
    <w:p>
      <w:pPr>
        <w:pStyle w:val="BodyText"/>
        <w:spacing w:line="280" w:lineRule="auto" w:before="11"/>
        <w:ind w:left="101" w:right="187"/>
        <w:jc w:val="both"/>
      </w:pPr>
      <w:r>
        <w:rPr>
          <w:spacing w:val="-2"/>
        </w:rPr>
        <w:t>在本附加合同有效期内，被保险人年满 </w:t>
      </w:r>
      <w:r>
        <w:rPr/>
        <w:t>18</w:t>
      </w:r>
      <w:r>
        <w:rPr>
          <w:spacing w:val="-6"/>
        </w:rPr>
        <w:t> 周岁前，我们保障的重大疾病如下所示：</w:t>
      </w:r>
    </w:p>
    <w:p>
      <w:pPr>
        <w:spacing w:after="0" w:line="280" w:lineRule="auto"/>
        <w:jc w:val="both"/>
        <w:sectPr>
          <w:type w:val="continuous"/>
          <w:pgSz w:w="11900" w:h="16840"/>
          <w:pgMar w:top="1100" w:bottom="280" w:left="920" w:right="1440"/>
          <w:cols w:num="2" w:equalWidth="0">
            <w:col w:w="2211" w:space="165"/>
            <w:col w:w="7164"/>
          </w:cols>
        </w:sectPr>
      </w:pPr>
    </w:p>
    <w:p>
      <w:pPr>
        <w:pStyle w:val="BodyText"/>
        <w:rPr>
          <w:sz w:val="20"/>
        </w:rPr>
      </w:pPr>
    </w:p>
    <w:p>
      <w:pPr>
        <w:pStyle w:val="BodyText"/>
        <w:spacing w:before="6"/>
        <w:rPr>
          <w:sz w:val="10"/>
        </w:rPr>
      </w:pPr>
    </w:p>
    <w:tbl>
      <w:tblPr>
        <w:tblW w:w="0" w:type="auto"/>
        <w:jc w:val="left"/>
        <w:tblInd w:w="2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2988"/>
        <w:gridCol w:w="287"/>
        <w:gridCol w:w="3260"/>
      </w:tblGrid>
      <w:tr>
        <w:trPr>
          <w:trHeight w:val="253" w:hRule="atLeast"/>
        </w:trPr>
        <w:tc>
          <w:tcPr>
            <w:tcW w:w="291" w:type="dxa"/>
          </w:tcPr>
          <w:p>
            <w:pPr>
              <w:pStyle w:val="TableParagraph"/>
              <w:spacing w:line="180" w:lineRule="exact"/>
              <w:ind w:left="79"/>
              <w:jc w:val="center"/>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7" w:type="dxa"/>
          </w:tcPr>
          <w:p>
            <w:pPr>
              <w:pStyle w:val="TableParagraph"/>
              <w:spacing w:line="180" w:lineRule="exact"/>
              <w:ind w:left="27" w:right="39"/>
              <w:jc w:val="center"/>
              <w:rPr>
                <w:sz w:val="18"/>
              </w:rPr>
            </w:pPr>
            <w:r>
              <w:rPr>
                <w:sz w:val="18"/>
              </w:rPr>
              <w:t>21</w:t>
            </w:r>
          </w:p>
        </w:tc>
        <w:tc>
          <w:tcPr>
            <w:tcW w:w="3260" w:type="dxa"/>
          </w:tcPr>
          <w:p>
            <w:pPr>
              <w:pStyle w:val="TableParagraph"/>
              <w:spacing w:line="180" w:lineRule="exact"/>
              <w:ind w:left="60"/>
              <w:rPr>
                <w:sz w:val="18"/>
              </w:rPr>
            </w:pPr>
            <w:r>
              <w:rPr>
                <w:sz w:val="18"/>
              </w:rPr>
              <w:t>严重原发性肺动脉高压</w:t>
            </w:r>
          </w:p>
        </w:tc>
      </w:tr>
      <w:tr>
        <w:trPr>
          <w:trHeight w:val="326" w:hRule="atLeast"/>
        </w:trPr>
        <w:tc>
          <w:tcPr>
            <w:tcW w:w="291" w:type="dxa"/>
          </w:tcPr>
          <w:p>
            <w:pPr>
              <w:pStyle w:val="TableParagraph"/>
              <w:spacing w:before="18"/>
              <w:ind w:left="79"/>
              <w:jc w:val="center"/>
              <w:rPr>
                <w:sz w:val="18"/>
              </w:rPr>
            </w:pPr>
            <w:r>
              <w:rPr>
                <w:sz w:val="18"/>
              </w:rPr>
              <w:t>2</w:t>
            </w:r>
          </w:p>
        </w:tc>
        <w:tc>
          <w:tcPr>
            <w:tcW w:w="2988" w:type="dxa"/>
          </w:tcPr>
          <w:p>
            <w:pPr>
              <w:pStyle w:val="TableParagraph"/>
              <w:spacing w:before="18"/>
              <w:ind w:left="60"/>
              <w:rPr>
                <w:sz w:val="18"/>
              </w:rPr>
            </w:pPr>
            <w:r>
              <w:rPr>
                <w:sz w:val="18"/>
              </w:rPr>
              <w:t>急性心肌梗塞</w:t>
            </w:r>
          </w:p>
        </w:tc>
        <w:tc>
          <w:tcPr>
            <w:tcW w:w="287" w:type="dxa"/>
          </w:tcPr>
          <w:p>
            <w:pPr>
              <w:pStyle w:val="TableParagraph"/>
              <w:spacing w:before="18"/>
              <w:ind w:left="27" w:right="39"/>
              <w:jc w:val="center"/>
              <w:rPr>
                <w:sz w:val="18"/>
              </w:rPr>
            </w:pPr>
            <w:r>
              <w:rPr>
                <w:sz w:val="18"/>
              </w:rPr>
              <w:t>22</w:t>
            </w:r>
          </w:p>
        </w:tc>
        <w:tc>
          <w:tcPr>
            <w:tcW w:w="3260" w:type="dxa"/>
          </w:tcPr>
          <w:p>
            <w:pPr>
              <w:pStyle w:val="TableParagraph"/>
              <w:spacing w:before="18"/>
              <w:ind w:left="60"/>
              <w:rPr>
                <w:sz w:val="18"/>
              </w:rPr>
            </w:pPr>
            <w:r>
              <w:rPr>
                <w:sz w:val="18"/>
              </w:rPr>
              <w:t>严重运动神经元病</w:t>
            </w:r>
          </w:p>
        </w:tc>
      </w:tr>
      <w:tr>
        <w:trPr>
          <w:trHeight w:val="326" w:hRule="atLeast"/>
        </w:trPr>
        <w:tc>
          <w:tcPr>
            <w:tcW w:w="291" w:type="dxa"/>
          </w:tcPr>
          <w:p>
            <w:pPr>
              <w:pStyle w:val="TableParagraph"/>
              <w:spacing w:before="17"/>
              <w:ind w:left="79"/>
              <w:jc w:val="center"/>
              <w:rPr>
                <w:sz w:val="18"/>
              </w:rPr>
            </w:pPr>
            <w:r>
              <w:rPr>
                <w:sz w:val="18"/>
              </w:rPr>
              <w:t>3</w:t>
            </w:r>
          </w:p>
        </w:tc>
        <w:tc>
          <w:tcPr>
            <w:tcW w:w="2988" w:type="dxa"/>
          </w:tcPr>
          <w:p>
            <w:pPr>
              <w:pStyle w:val="TableParagraph"/>
              <w:spacing w:before="17"/>
              <w:ind w:left="60"/>
              <w:rPr>
                <w:sz w:val="18"/>
              </w:rPr>
            </w:pPr>
            <w:r>
              <w:rPr>
                <w:sz w:val="18"/>
              </w:rPr>
              <w:t>脑中风后遗症</w:t>
            </w:r>
          </w:p>
        </w:tc>
        <w:tc>
          <w:tcPr>
            <w:tcW w:w="287" w:type="dxa"/>
          </w:tcPr>
          <w:p>
            <w:pPr>
              <w:pStyle w:val="TableParagraph"/>
              <w:spacing w:before="17"/>
              <w:ind w:left="27" w:right="39"/>
              <w:jc w:val="center"/>
              <w:rPr>
                <w:sz w:val="18"/>
              </w:rPr>
            </w:pPr>
            <w:r>
              <w:rPr>
                <w:sz w:val="18"/>
              </w:rPr>
              <w:t>23</w:t>
            </w:r>
          </w:p>
        </w:tc>
        <w:tc>
          <w:tcPr>
            <w:tcW w:w="3260" w:type="dxa"/>
          </w:tcPr>
          <w:p>
            <w:pPr>
              <w:pStyle w:val="TableParagraph"/>
              <w:spacing w:before="17"/>
              <w:ind w:left="60"/>
              <w:rPr>
                <w:sz w:val="18"/>
              </w:rPr>
            </w:pPr>
            <w:r>
              <w:rPr>
                <w:sz w:val="18"/>
              </w:rPr>
              <w:t>语言能力丧失</w:t>
            </w:r>
          </w:p>
        </w:tc>
      </w:tr>
      <w:tr>
        <w:trPr>
          <w:trHeight w:val="326" w:hRule="atLeast"/>
        </w:trPr>
        <w:tc>
          <w:tcPr>
            <w:tcW w:w="291" w:type="dxa"/>
          </w:tcPr>
          <w:p>
            <w:pPr>
              <w:pStyle w:val="TableParagraph"/>
              <w:spacing w:before="18"/>
              <w:ind w:left="79"/>
              <w:jc w:val="center"/>
              <w:rPr>
                <w:sz w:val="18"/>
              </w:rPr>
            </w:pPr>
            <w:r>
              <w:rPr>
                <w:sz w:val="18"/>
              </w:rPr>
              <w:t>4</w:t>
            </w:r>
          </w:p>
        </w:tc>
        <w:tc>
          <w:tcPr>
            <w:tcW w:w="2988" w:type="dxa"/>
          </w:tcPr>
          <w:p>
            <w:pPr>
              <w:pStyle w:val="TableParagraph"/>
              <w:spacing w:before="18"/>
              <w:ind w:left="60"/>
              <w:rPr>
                <w:sz w:val="18"/>
              </w:rPr>
            </w:pPr>
            <w:r>
              <w:rPr>
                <w:sz w:val="18"/>
              </w:rPr>
              <w:t>重大器官移植术或造血干细胞移植术</w:t>
            </w:r>
          </w:p>
        </w:tc>
        <w:tc>
          <w:tcPr>
            <w:tcW w:w="287" w:type="dxa"/>
          </w:tcPr>
          <w:p>
            <w:pPr>
              <w:pStyle w:val="TableParagraph"/>
              <w:spacing w:before="18"/>
              <w:ind w:left="27" w:right="39"/>
              <w:jc w:val="center"/>
              <w:rPr>
                <w:sz w:val="18"/>
              </w:rPr>
            </w:pPr>
            <w:r>
              <w:rPr>
                <w:sz w:val="18"/>
              </w:rPr>
              <w:t>24</w:t>
            </w:r>
          </w:p>
        </w:tc>
        <w:tc>
          <w:tcPr>
            <w:tcW w:w="3260" w:type="dxa"/>
          </w:tcPr>
          <w:p>
            <w:pPr>
              <w:pStyle w:val="TableParagraph"/>
              <w:spacing w:before="18"/>
              <w:ind w:left="60"/>
              <w:rPr>
                <w:sz w:val="18"/>
              </w:rPr>
            </w:pPr>
            <w:r>
              <w:rPr>
                <w:sz w:val="18"/>
              </w:rPr>
              <w:t>重型再生障碍性贫血</w:t>
            </w:r>
          </w:p>
        </w:tc>
      </w:tr>
      <w:tr>
        <w:trPr>
          <w:trHeight w:val="326" w:hRule="atLeast"/>
        </w:trPr>
        <w:tc>
          <w:tcPr>
            <w:tcW w:w="291" w:type="dxa"/>
          </w:tcPr>
          <w:p>
            <w:pPr>
              <w:pStyle w:val="TableParagraph"/>
              <w:spacing w:before="17"/>
              <w:ind w:left="79"/>
              <w:jc w:val="center"/>
              <w:rPr>
                <w:sz w:val="18"/>
              </w:rPr>
            </w:pPr>
            <w:r>
              <w:rPr>
                <w:sz w:val="18"/>
              </w:rPr>
              <w:t>5</w:t>
            </w:r>
          </w:p>
        </w:tc>
        <w:tc>
          <w:tcPr>
            <w:tcW w:w="2988" w:type="dxa"/>
          </w:tcPr>
          <w:p>
            <w:pPr>
              <w:pStyle w:val="TableParagraph"/>
              <w:spacing w:before="17"/>
              <w:ind w:left="60"/>
              <w:rPr>
                <w:sz w:val="18"/>
              </w:rPr>
            </w:pPr>
            <w:r>
              <w:rPr>
                <w:sz w:val="18"/>
              </w:rPr>
              <w:t>冠状动脉搭桥术</w:t>
            </w:r>
          </w:p>
        </w:tc>
        <w:tc>
          <w:tcPr>
            <w:tcW w:w="287" w:type="dxa"/>
          </w:tcPr>
          <w:p>
            <w:pPr>
              <w:pStyle w:val="TableParagraph"/>
              <w:spacing w:before="17"/>
              <w:ind w:left="27" w:right="39"/>
              <w:jc w:val="center"/>
              <w:rPr>
                <w:sz w:val="18"/>
              </w:rPr>
            </w:pPr>
            <w:r>
              <w:rPr>
                <w:sz w:val="18"/>
              </w:rPr>
              <w:t>25</w:t>
            </w:r>
          </w:p>
        </w:tc>
        <w:tc>
          <w:tcPr>
            <w:tcW w:w="3260" w:type="dxa"/>
          </w:tcPr>
          <w:p>
            <w:pPr>
              <w:pStyle w:val="TableParagraph"/>
              <w:spacing w:before="17"/>
              <w:ind w:left="60"/>
              <w:rPr>
                <w:sz w:val="18"/>
              </w:rPr>
            </w:pPr>
            <w:r>
              <w:rPr>
                <w:sz w:val="18"/>
              </w:rPr>
              <w:t>主动脉手术</w:t>
            </w:r>
          </w:p>
        </w:tc>
      </w:tr>
      <w:tr>
        <w:trPr>
          <w:trHeight w:val="326" w:hRule="atLeast"/>
        </w:trPr>
        <w:tc>
          <w:tcPr>
            <w:tcW w:w="291" w:type="dxa"/>
          </w:tcPr>
          <w:p>
            <w:pPr>
              <w:pStyle w:val="TableParagraph"/>
              <w:rPr>
                <w:rFonts w:ascii="Times New Roman"/>
                <w:sz w:val="18"/>
              </w:rPr>
            </w:pPr>
          </w:p>
        </w:tc>
        <w:tc>
          <w:tcPr>
            <w:tcW w:w="2988" w:type="dxa"/>
          </w:tcPr>
          <w:p>
            <w:pPr>
              <w:pStyle w:val="TableParagraph"/>
              <w:spacing w:before="18"/>
              <w:ind w:left="60"/>
              <w:rPr>
                <w:sz w:val="18"/>
              </w:rPr>
            </w:pPr>
            <w:r>
              <w:rPr>
                <w:sz w:val="18"/>
              </w:rPr>
              <w:t>（或称冠状动脉旁路移植术）</w:t>
            </w:r>
          </w:p>
        </w:tc>
        <w:tc>
          <w:tcPr>
            <w:tcW w:w="287" w:type="dxa"/>
          </w:tcPr>
          <w:p>
            <w:pPr>
              <w:pStyle w:val="TableParagraph"/>
              <w:spacing w:before="18"/>
              <w:ind w:left="27" w:right="39"/>
              <w:jc w:val="center"/>
              <w:rPr>
                <w:sz w:val="18"/>
              </w:rPr>
            </w:pPr>
            <w:r>
              <w:rPr>
                <w:sz w:val="18"/>
              </w:rPr>
              <w:t>26</w:t>
            </w:r>
          </w:p>
        </w:tc>
        <w:tc>
          <w:tcPr>
            <w:tcW w:w="3260" w:type="dxa"/>
          </w:tcPr>
          <w:p>
            <w:pPr>
              <w:pStyle w:val="TableParagraph"/>
              <w:spacing w:before="18"/>
              <w:ind w:left="60"/>
              <w:rPr>
                <w:sz w:val="18"/>
              </w:rPr>
            </w:pPr>
            <w:r>
              <w:rPr>
                <w:sz w:val="18"/>
              </w:rPr>
              <w:t>植物人状态</w:t>
            </w:r>
          </w:p>
        </w:tc>
      </w:tr>
      <w:tr>
        <w:trPr>
          <w:trHeight w:val="326" w:hRule="atLeast"/>
        </w:trPr>
        <w:tc>
          <w:tcPr>
            <w:tcW w:w="291" w:type="dxa"/>
          </w:tcPr>
          <w:p>
            <w:pPr>
              <w:pStyle w:val="TableParagraph"/>
              <w:spacing w:before="17"/>
              <w:ind w:left="79"/>
              <w:jc w:val="center"/>
              <w:rPr>
                <w:sz w:val="18"/>
              </w:rPr>
            </w:pPr>
            <w:r>
              <w:rPr>
                <w:sz w:val="18"/>
              </w:rPr>
              <w:t>6</w:t>
            </w:r>
          </w:p>
        </w:tc>
        <w:tc>
          <w:tcPr>
            <w:tcW w:w="2988" w:type="dxa"/>
          </w:tcPr>
          <w:p>
            <w:pPr>
              <w:pStyle w:val="TableParagraph"/>
              <w:spacing w:before="17"/>
              <w:ind w:left="60"/>
              <w:rPr>
                <w:sz w:val="18"/>
              </w:rPr>
            </w:pPr>
            <w:r>
              <w:rPr>
                <w:sz w:val="18"/>
              </w:rPr>
              <w:t>终末期肾病</w:t>
            </w:r>
          </w:p>
        </w:tc>
        <w:tc>
          <w:tcPr>
            <w:tcW w:w="287" w:type="dxa"/>
          </w:tcPr>
          <w:p>
            <w:pPr>
              <w:pStyle w:val="TableParagraph"/>
              <w:spacing w:before="17"/>
              <w:ind w:left="27" w:right="39"/>
              <w:jc w:val="center"/>
              <w:rPr>
                <w:sz w:val="18"/>
              </w:rPr>
            </w:pPr>
            <w:r>
              <w:rPr>
                <w:sz w:val="18"/>
              </w:rPr>
              <w:t>27</w:t>
            </w:r>
          </w:p>
        </w:tc>
        <w:tc>
          <w:tcPr>
            <w:tcW w:w="3260" w:type="dxa"/>
          </w:tcPr>
          <w:p>
            <w:pPr>
              <w:pStyle w:val="TableParagraph"/>
              <w:spacing w:before="17"/>
              <w:ind w:left="60"/>
              <w:rPr>
                <w:sz w:val="18"/>
              </w:rPr>
            </w:pPr>
            <w:r>
              <w:rPr>
                <w:sz w:val="18"/>
              </w:rPr>
              <w:t>原发性硬化性胆管炎</w:t>
            </w:r>
          </w:p>
        </w:tc>
      </w:tr>
      <w:tr>
        <w:trPr>
          <w:trHeight w:val="326" w:hRule="atLeast"/>
        </w:trPr>
        <w:tc>
          <w:tcPr>
            <w:tcW w:w="291" w:type="dxa"/>
          </w:tcPr>
          <w:p>
            <w:pPr>
              <w:pStyle w:val="TableParagraph"/>
              <w:rPr>
                <w:rFonts w:ascii="Times New Roman"/>
                <w:sz w:val="18"/>
              </w:rPr>
            </w:pPr>
          </w:p>
        </w:tc>
        <w:tc>
          <w:tcPr>
            <w:tcW w:w="2988" w:type="dxa"/>
          </w:tcPr>
          <w:p>
            <w:pPr>
              <w:pStyle w:val="TableParagraph"/>
              <w:spacing w:before="18"/>
              <w:ind w:left="60"/>
              <w:rPr>
                <w:sz w:val="18"/>
              </w:rPr>
            </w:pPr>
            <w:r>
              <w:rPr>
                <w:sz w:val="18"/>
              </w:rPr>
              <w:t>（或称慢性肾功能衰竭尿毒症期）</w:t>
            </w:r>
          </w:p>
        </w:tc>
        <w:tc>
          <w:tcPr>
            <w:tcW w:w="287" w:type="dxa"/>
          </w:tcPr>
          <w:p>
            <w:pPr>
              <w:pStyle w:val="TableParagraph"/>
              <w:spacing w:before="18"/>
              <w:ind w:left="27" w:right="39"/>
              <w:jc w:val="center"/>
              <w:rPr>
                <w:sz w:val="18"/>
              </w:rPr>
            </w:pPr>
            <w:r>
              <w:rPr>
                <w:sz w:val="18"/>
              </w:rPr>
              <w:t>28</w:t>
            </w:r>
          </w:p>
        </w:tc>
        <w:tc>
          <w:tcPr>
            <w:tcW w:w="3260" w:type="dxa"/>
          </w:tcPr>
          <w:p>
            <w:pPr>
              <w:pStyle w:val="TableParagraph"/>
              <w:spacing w:before="18"/>
              <w:ind w:left="60"/>
              <w:rPr>
                <w:sz w:val="18"/>
              </w:rPr>
            </w:pPr>
            <w:r>
              <w:rPr>
                <w:sz w:val="18"/>
              </w:rPr>
              <w:t>埃博拉病毒感染</w:t>
            </w:r>
          </w:p>
        </w:tc>
      </w:tr>
      <w:tr>
        <w:trPr>
          <w:trHeight w:val="326" w:hRule="atLeast"/>
        </w:trPr>
        <w:tc>
          <w:tcPr>
            <w:tcW w:w="291" w:type="dxa"/>
          </w:tcPr>
          <w:p>
            <w:pPr>
              <w:pStyle w:val="TableParagraph"/>
              <w:spacing w:before="17"/>
              <w:ind w:left="79"/>
              <w:jc w:val="center"/>
              <w:rPr>
                <w:sz w:val="18"/>
              </w:rPr>
            </w:pPr>
            <w:r>
              <w:rPr>
                <w:sz w:val="18"/>
              </w:rPr>
              <w:t>7</w:t>
            </w:r>
          </w:p>
        </w:tc>
        <w:tc>
          <w:tcPr>
            <w:tcW w:w="2988" w:type="dxa"/>
          </w:tcPr>
          <w:p>
            <w:pPr>
              <w:pStyle w:val="TableParagraph"/>
              <w:spacing w:before="17"/>
              <w:ind w:left="60"/>
              <w:rPr>
                <w:sz w:val="18"/>
              </w:rPr>
            </w:pPr>
            <w:r>
              <w:rPr>
                <w:sz w:val="18"/>
              </w:rPr>
              <w:t>多个肢体缺失</w:t>
            </w:r>
          </w:p>
        </w:tc>
        <w:tc>
          <w:tcPr>
            <w:tcW w:w="287" w:type="dxa"/>
          </w:tcPr>
          <w:p>
            <w:pPr>
              <w:pStyle w:val="TableParagraph"/>
              <w:spacing w:before="17"/>
              <w:ind w:left="27" w:right="39"/>
              <w:jc w:val="center"/>
              <w:rPr>
                <w:sz w:val="18"/>
              </w:rPr>
            </w:pPr>
            <w:r>
              <w:rPr>
                <w:sz w:val="18"/>
              </w:rPr>
              <w:t>29</w:t>
            </w:r>
          </w:p>
        </w:tc>
        <w:tc>
          <w:tcPr>
            <w:tcW w:w="3260" w:type="dxa"/>
          </w:tcPr>
          <w:p>
            <w:pPr>
              <w:pStyle w:val="TableParagraph"/>
              <w:spacing w:before="17"/>
              <w:ind w:left="60"/>
              <w:rPr>
                <w:sz w:val="18"/>
              </w:rPr>
            </w:pPr>
            <w:r>
              <w:rPr>
                <w:sz w:val="18"/>
              </w:rPr>
              <w:t>严重的心肌炎</w:t>
            </w:r>
          </w:p>
        </w:tc>
      </w:tr>
      <w:tr>
        <w:trPr>
          <w:trHeight w:val="326" w:hRule="atLeast"/>
        </w:trPr>
        <w:tc>
          <w:tcPr>
            <w:tcW w:w="291" w:type="dxa"/>
          </w:tcPr>
          <w:p>
            <w:pPr>
              <w:pStyle w:val="TableParagraph"/>
              <w:spacing w:before="18"/>
              <w:ind w:left="79"/>
              <w:jc w:val="center"/>
              <w:rPr>
                <w:sz w:val="18"/>
              </w:rPr>
            </w:pPr>
            <w:r>
              <w:rPr>
                <w:sz w:val="18"/>
              </w:rPr>
              <w:t>8</w:t>
            </w:r>
          </w:p>
        </w:tc>
        <w:tc>
          <w:tcPr>
            <w:tcW w:w="2988" w:type="dxa"/>
          </w:tcPr>
          <w:p>
            <w:pPr>
              <w:pStyle w:val="TableParagraph"/>
              <w:spacing w:before="18"/>
              <w:ind w:left="60"/>
              <w:rPr>
                <w:sz w:val="18"/>
              </w:rPr>
            </w:pPr>
            <w:r>
              <w:rPr>
                <w:sz w:val="18"/>
              </w:rPr>
              <w:t>急性或亚急性重症肝炎</w:t>
            </w:r>
          </w:p>
        </w:tc>
        <w:tc>
          <w:tcPr>
            <w:tcW w:w="287" w:type="dxa"/>
          </w:tcPr>
          <w:p>
            <w:pPr>
              <w:pStyle w:val="TableParagraph"/>
              <w:spacing w:before="18"/>
              <w:ind w:left="27" w:right="39"/>
              <w:jc w:val="center"/>
              <w:rPr>
                <w:sz w:val="18"/>
              </w:rPr>
            </w:pPr>
            <w:r>
              <w:rPr>
                <w:sz w:val="18"/>
              </w:rPr>
              <w:t>30</w:t>
            </w:r>
          </w:p>
        </w:tc>
        <w:tc>
          <w:tcPr>
            <w:tcW w:w="3260" w:type="dxa"/>
          </w:tcPr>
          <w:p>
            <w:pPr>
              <w:pStyle w:val="TableParagraph"/>
              <w:spacing w:before="18"/>
              <w:ind w:left="60"/>
              <w:rPr>
                <w:sz w:val="18"/>
              </w:rPr>
            </w:pPr>
            <w:r>
              <w:rPr>
                <w:sz w:val="18"/>
              </w:rPr>
              <w:t>重症肌无力</w:t>
            </w:r>
          </w:p>
        </w:tc>
      </w:tr>
      <w:tr>
        <w:trPr>
          <w:trHeight w:val="326" w:hRule="atLeast"/>
        </w:trPr>
        <w:tc>
          <w:tcPr>
            <w:tcW w:w="291" w:type="dxa"/>
          </w:tcPr>
          <w:p>
            <w:pPr>
              <w:pStyle w:val="TableParagraph"/>
              <w:spacing w:before="17"/>
              <w:ind w:left="79"/>
              <w:jc w:val="center"/>
              <w:rPr>
                <w:sz w:val="18"/>
              </w:rPr>
            </w:pPr>
            <w:r>
              <w:rPr>
                <w:sz w:val="18"/>
              </w:rPr>
              <w:t>9</w:t>
            </w:r>
          </w:p>
        </w:tc>
        <w:tc>
          <w:tcPr>
            <w:tcW w:w="2988" w:type="dxa"/>
          </w:tcPr>
          <w:p>
            <w:pPr>
              <w:pStyle w:val="TableParagraph"/>
              <w:spacing w:before="17"/>
              <w:ind w:left="60"/>
              <w:rPr>
                <w:sz w:val="18"/>
              </w:rPr>
            </w:pPr>
            <w:r>
              <w:rPr>
                <w:sz w:val="18"/>
              </w:rPr>
              <w:t>良性脑肿瘤</w:t>
            </w:r>
          </w:p>
        </w:tc>
        <w:tc>
          <w:tcPr>
            <w:tcW w:w="287" w:type="dxa"/>
          </w:tcPr>
          <w:p>
            <w:pPr>
              <w:pStyle w:val="TableParagraph"/>
              <w:spacing w:before="17"/>
              <w:ind w:left="27" w:right="39"/>
              <w:jc w:val="center"/>
              <w:rPr>
                <w:sz w:val="18"/>
              </w:rPr>
            </w:pPr>
            <w:r>
              <w:rPr>
                <w:sz w:val="18"/>
              </w:rPr>
              <w:t>31</w:t>
            </w:r>
          </w:p>
        </w:tc>
        <w:tc>
          <w:tcPr>
            <w:tcW w:w="3260" w:type="dxa"/>
          </w:tcPr>
          <w:p>
            <w:pPr>
              <w:pStyle w:val="TableParagraph"/>
              <w:spacing w:before="17"/>
              <w:ind w:left="60"/>
              <w:rPr>
                <w:sz w:val="18"/>
              </w:rPr>
            </w:pPr>
            <w:r>
              <w:rPr>
                <w:sz w:val="18"/>
              </w:rPr>
              <w:t>系统性硬皮病</w:t>
            </w:r>
          </w:p>
        </w:tc>
      </w:tr>
      <w:tr>
        <w:trPr>
          <w:trHeight w:val="326" w:hRule="atLeast"/>
        </w:trPr>
        <w:tc>
          <w:tcPr>
            <w:tcW w:w="291" w:type="dxa"/>
          </w:tcPr>
          <w:p>
            <w:pPr>
              <w:pStyle w:val="TableParagraph"/>
              <w:spacing w:before="18"/>
              <w:ind w:left="30" w:right="40"/>
              <w:jc w:val="center"/>
              <w:rPr>
                <w:sz w:val="18"/>
              </w:rPr>
            </w:pPr>
            <w:r>
              <w:rPr>
                <w:sz w:val="18"/>
              </w:rPr>
              <w:t>10</w:t>
            </w:r>
          </w:p>
        </w:tc>
        <w:tc>
          <w:tcPr>
            <w:tcW w:w="2988" w:type="dxa"/>
          </w:tcPr>
          <w:p>
            <w:pPr>
              <w:pStyle w:val="TableParagraph"/>
              <w:spacing w:before="18"/>
              <w:ind w:left="60"/>
              <w:rPr>
                <w:sz w:val="18"/>
              </w:rPr>
            </w:pPr>
            <w:r>
              <w:rPr>
                <w:sz w:val="18"/>
              </w:rPr>
              <w:t>慢性肝功能衰竭失代偿期</w:t>
            </w:r>
          </w:p>
        </w:tc>
        <w:tc>
          <w:tcPr>
            <w:tcW w:w="287" w:type="dxa"/>
          </w:tcPr>
          <w:p>
            <w:pPr>
              <w:pStyle w:val="TableParagraph"/>
              <w:spacing w:before="18"/>
              <w:ind w:left="27" w:right="39"/>
              <w:jc w:val="center"/>
              <w:rPr>
                <w:sz w:val="18"/>
              </w:rPr>
            </w:pPr>
            <w:r>
              <w:rPr>
                <w:sz w:val="18"/>
              </w:rPr>
              <w:t>32</w:t>
            </w:r>
          </w:p>
        </w:tc>
        <w:tc>
          <w:tcPr>
            <w:tcW w:w="3260" w:type="dxa"/>
          </w:tcPr>
          <w:p>
            <w:pPr>
              <w:pStyle w:val="TableParagraph"/>
              <w:spacing w:before="18"/>
              <w:ind w:left="60"/>
              <w:rPr>
                <w:sz w:val="18"/>
              </w:rPr>
            </w:pPr>
            <w:r>
              <w:rPr>
                <w:sz w:val="18"/>
              </w:rPr>
              <w:t>象皮病</w:t>
            </w:r>
          </w:p>
        </w:tc>
      </w:tr>
      <w:tr>
        <w:trPr>
          <w:trHeight w:val="326" w:hRule="atLeast"/>
        </w:trPr>
        <w:tc>
          <w:tcPr>
            <w:tcW w:w="291" w:type="dxa"/>
          </w:tcPr>
          <w:p>
            <w:pPr>
              <w:pStyle w:val="TableParagraph"/>
              <w:spacing w:before="17"/>
              <w:ind w:left="30" w:right="40"/>
              <w:jc w:val="center"/>
              <w:rPr>
                <w:sz w:val="18"/>
              </w:rPr>
            </w:pPr>
            <w:r>
              <w:rPr>
                <w:sz w:val="18"/>
              </w:rPr>
              <w:t>11</w:t>
            </w:r>
          </w:p>
        </w:tc>
        <w:tc>
          <w:tcPr>
            <w:tcW w:w="2988" w:type="dxa"/>
          </w:tcPr>
          <w:p>
            <w:pPr>
              <w:pStyle w:val="TableParagraph"/>
              <w:spacing w:before="17"/>
              <w:ind w:left="60"/>
              <w:rPr>
                <w:sz w:val="18"/>
              </w:rPr>
            </w:pPr>
            <w:r>
              <w:rPr>
                <w:sz w:val="18"/>
              </w:rPr>
              <w:t>脑炎后遗症或脑膜炎后遗症</w:t>
            </w:r>
          </w:p>
        </w:tc>
        <w:tc>
          <w:tcPr>
            <w:tcW w:w="287" w:type="dxa"/>
          </w:tcPr>
          <w:p>
            <w:pPr>
              <w:pStyle w:val="TableParagraph"/>
              <w:spacing w:before="17"/>
              <w:ind w:left="27" w:right="39"/>
              <w:jc w:val="center"/>
              <w:rPr>
                <w:sz w:val="18"/>
              </w:rPr>
            </w:pPr>
            <w:r>
              <w:rPr>
                <w:sz w:val="18"/>
              </w:rPr>
              <w:t>33</w:t>
            </w:r>
          </w:p>
        </w:tc>
        <w:tc>
          <w:tcPr>
            <w:tcW w:w="3260" w:type="dxa"/>
          </w:tcPr>
          <w:p>
            <w:pPr>
              <w:pStyle w:val="TableParagraph"/>
              <w:spacing w:before="17"/>
              <w:ind w:left="60"/>
              <w:rPr>
                <w:sz w:val="18"/>
              </w:rPr>
            </w:pPr>
            <w:r>
              <w:rPr>
                <w:sz w:val="18"/>
              </w:rPr>
              <w:t>慢性肾上腺皮质功能衰竭</w:t>
            </w:r>
          </w:p>
        </w:tc>
      </w:tr>
      <w:tr>
        <w:trPr>
          <w:trHeight w:val="326" w:hRule="atLeast"/>
        </w:trPr>
        <w:tc>
          <w:tcPr>
            <w:tcW w:w="291" w:type="dxa"/>
          </w:tcPr>
          <w:p>
            <w:pPr>
              <w:pStyle w:val="TableParagraph"/>
              <w:spacing w:before="18"/>
              <w:ind w:left="30" w:right="40"/>
              <w:jc w:val="center"/>
              <w:rPr>
                <w:sz w:val="18"/>
              </w:rPr>
            </w:pPr>
            <w:r>
              <w:rPr>
                <w:sz w:val="18"/>
              </w:rPr>
              <w:t>12</w:t>
            </w:r>
          </w:p>
        </w:tc>
        <w:tc>
          <w:tcPr>
            <w:tcW w:w="2988" w:type="dxa"/>
          </w:tcPr>
          <w:p>
            <w:pPr>
              <w:pStyle w:val="TableParagraph"/>
              <w:spacing w:before="18"/>
              <w:ind w:left="60"/>
              <w:rPr>
                <w:sz w:val="18"/>
              </w:rPr>
            </w:pPr>
            <w:r>
              <w:rPr>
                <w:sz w:val="18"/>
              </w:rPr>
              <w:t>深度昏迷</w:t>
            </w:r>
          </w:p>
        </w:tc>
        <w:tc>
          <w:tcPr>
            <w:tcW w:w="287" w:type="dxa"/>
          </w:tcPr>
          <w:p>
            <w:pPr>
              <w:pStyle w:val="TableParagraph"/>
              <w:spacing w:before="18"/>
              <w:ind w:left="27" w:right="39"/>
              <w:jc w:val="center"/>
              <w:rPr>
                <w:sz w:val="18"/>
              </w:rPr>
            </w:pPr>
            <w:r>
              <w:rPr>
                <w:sz w:val="18"/>
              </w:rPr>
              <w:t>34</w:t>
            </w:r>
          </w:p>
        </w:tc>
        <w:tc>
          <w:tcPr>
            <w:tcW w:w="3260" w:type="dxa"/>
          </w:tcPr>
          <w:p>
            <w:pPr>
              <w:pStyle w:val="TableParagraph"/>
              <w:spacing w:before="18"/>
              <w:ind w:left="60"/>
              <w:rPr>
                <w:sz w:val="18"/>
              </w:rPr>
            </w:pPr>
            <w:r>
              <w:rPr>
                <w:sz w:val="18"/>
              </w:rPr>
              <w:t>严重溃疡性结肠炎</w:t>
            </w:r>
          </w:p>
        </w:tc>
      </w:tr>
      <w:tr>
        <w:trPr>
          <w:trHeight w:val="326" w:hRule="atLeast"/>
        </w:trPr>
        <w:tc>
          <w:tcPr>
            <w:tcW w:w="291" w:type="dxa"/>
          </w:tcPr>
          <w:p>
            <w:pPr>
              <w:pStyle w:val="TableParagraph"/>
              <w:spacing w:before="17"/>
              <w:ind w:left="30" w:right="40"/>
              <w:jc w:val="center"/>
              <w:rPr>
                <w:sz w:val="18"/>
              </w:rPr>
            </w:pPr>
            <w:r>
              <w:rPr>
                <w:sz w:val="18"/>
              </w:rPr>
              <w:t>13</w:t>
            </w:r>
          </w:p>
        </w:tc>
        <w:tc>
          <w:tcPr>
            <w:tcW w:w="2988" w:type="dxa"/>
          </w:tcPr>
          <w:p>
            <w:pPr>
              <w:pStyle w:val="TableParagraph"/>
              <w:spacing w:before="17"/>
              <w:ind w:left="60"/>
              <w:rPr>
                <w:sz w:val="18"/>
              </w:rPr>
            </w:pPr>
            <w:r>
              <w:rPr>
                <w:sz w:val="18"/>
              </w:rPr>
              <w:t>双耳失聪</w:t>
            </w:r>
          </w:p>
        </w:tc>
        <w:tc>
          <w:tcPr>
            <w:tcW w:w="287" w:type="dxa"/>
          </w:tcPr>
          <w:p>
            <w:pPr>
              <w:pStyle w:val="TableParagraph"/>
              <w:spacing w:before="17"/>
              <w:ind w:left="27" w:right="39"/>
              <w:jc w:val="center"/>
              <w:rPr>
                <w:sz w:val="18"/>
              </w:rPr>
            </w:pPr>
            <w:r>
              <w:rPr>
                <w:sz w:val="18"/>
              </w:rPr>
              <w:t>35</w:t>
            </w:r>
          </w:p>
        </w:tc>
        <w:tc>
          <w:tcPr>
            <w:tcW w:w="3260" w:type="dxa"/>
          </w:tcPr>
          <w:p>
            <w:pPr>
              <w:pStyle w:val="TableParagraph"/>
              <w:spacing w:before="17"/>
              <w:ind w:left="60"/>
              <w:rPr>
                <w:sz w:val="18"/>
              </w:rPr>
            </w:pPr>
            <w:r>
              <w:rPr>
                <w:sz w:val="18"/>
              </w:rPr>
              <w:t>疯牛病</w:t>
            </w:r>
          </w:p>
        </w:tc>
      </w:tr>
      <w:tr>
        <w:trPr>
          <w:trHeight w:val="326" w:hRule="atLeast"/>
        </w:trPr>
        <w:tc>
          <w:tcPr>
            <w:tcW w:w="291" w:type="dxa"/>
          </w:tcPr>
          <w:p>
            <w:pPr>
              <w:pStyle w:val="TableParagraph"/>
              <w:spacing w:before="18"/>
              <w:ind w:left="30" w:right="40"/>
              <w:jc w:val="center"/>
              <w:rPr>
                <w:sz w:val="18"/>
              </w:rPr>
            </w:pPr>
            <w:r>
              <w:rPr>
                <w:sz w:val="18"/>
              </w:rPr>
              <w:t>14</w:t>
            </w:r>
          </w:p>
        </w:tc>
        <w:tc>
          <w:tcPr>
            <w:tcW w:w="2988" w:type="dxa"/>
          </w:tcPr>
          <w:p>
            <w:pPr>
              <w:pStyle w:val="TableParagraph"/>
              <w:spacing w:before="18"/>
              <w:ind w:left="60"/>
              <w:rPr>
                <w:sz w:val="18"/>
              </w:rPr>
            </w:pPr>
            <w:r>
              <w:rPr>
                <w:sz w:val="18"/>
              </w:rPr>
              <w:t>双目失明</w:t>
            </w:r>
          </w:p>
        </w:tc>
        <w:tc>
          <w:tcPr>
            <w:tcW w:w="287" w:type="dxa"/>
          </w:tcPr>
          <w:p>
            <w:pPr>
              <w:pStyle w:val="TableParagraph"/>
              <w:spacing w:before="18"/>
              <w:ind w:left="27" w:right="39"/>
              <w:jc w:val="center"/>
              <w:rPr>
                <w:sz w:val="18"/>
              </w:rPr>
            </w:pPr>
            <w:r>
              <w:rPr>
                <w:sz w:val="18"/>
              </w:rPr>
              <w:t>36</w:t>
            </w:r>
          </w:p>
        </w:tc>
        <w:tc>
          <w:tcPr>
            <w:tcW w:w="3260" w:type="dxa"/>
          </w:tcPr>
          <w:p>
            <w:pPr>
              <w:pStyle w:val="TableParagraph"/>
              <w:spacing w:before="18"/>
              <w:ind w:left="60"/>
              <w:rPr>
                <w:sz w:val="18"/>
              </w:rPr>
            </w:pPr>
            <w:r>
              <w:rPr>
                <w:sz w:val="18"/>
              </w:rPr>
              <w:t>急性坏死性胰腺炎-不包括酒精作用所致</w:t>
            </w:r>
          </w:p>
        </w:tc>
      </w:tr>
      <w:tr>
        <w:trPr>
          <w:trHeight w:val="326" w:hRule="atLeast"/>
        </w:trPr>
        <w:tc>
          <w:tcPr>
            <w:tcW w:w="291" w:type="dxa"/>
          </w:tcPr>
          <w:p>
            <w:pPr>
              <w:pStyle w:val="TableParagraph"/>
              <w:spacing w:before="17"/>
              <w:ind w:left="30" w:right="40"/>
              <w:jc w:val="center"/>
              <w:rPr>
                <w:sz w:val="18"/>
              </w:rPr>
            </w:pPr>
            <w:r>
              <w:rPr>
                <w:sz w:val="18"/>
              </w:rPr>
              <w:t>15</w:t>
            </w:r>
          </w:p>
        </w:tc>
        <w:tc>
          <w:tcPr>
            <w:tcW w:w="2988" w:type="dxa"/>
          </w:tcPr>
          <w:p>
            <w:pPr>
              <w:pStyle w:val="TableParagraph"/>
              <w:spacing w:before="17"/>
              <w:ind w:left="60"/>
              <w:rPr>
                <w:sz w:val="18"/>
              </w:rPr>
            </w:pPr>
            <w:r>
              <w:rPr>
                <w:sz w:val="18"/>
              </w:rPr>
              <w:t>瘫痪</w:t>
            </w:r>
          </w:p>
        </w:tc>
        <w:tc>
          <w:tcPr>
            <w:tcW w:w="287" w:type="dxa"/>
          </w:tcPr>
          <w:p>
            <w:pPr>
              <w:pStyle w:val="TableParagraph"/>
              <w:spacing w:before="17"/>
              <w:ind w:left="27" w:right="39"/>
              <w:jc w:val="center"/>
              <w:rPr>
                <w:sz w:val="18"/>
              </w:rPr>
            </w:pPr>
            <w:r>
              <w:rPr>
                <w:sz w:val="18"/>
              </w:rPr>
              <w:t>37</w:t>
            </w:r>
          </w:p>
        </w:tc>
        <w:tc>
          <w:tcPr>
            <w:tcW w:w="3260" w:type="dxa"/>
          </w:tcPr>
          <w:p>
            <w:pPr>
              <w:pStyle w:val="TableParagraph"/>
              <w:spacing w:before="17"/>
              <w:ind w:left="60"/>
              <w:rPr>
                <w:sz w:val="18"/>
              </w:rPr>
            </w:pPr>
            <w:r>
              <w:rPr>
                <w:sz w:val="18"/>
              </w:rPr>
              <w:t>慢性呼吸功能衰竭</w:t>
            </w:r>
          </w:p>
        </w:tc>
      </w:tr>
      <w:tr>
        <w:trPr>
          <w:trHeight w:val="326" w:hRule="atLeast"/>
        </w:trPr>
        <w:tc>
          <w:tcPr>
            <w:tcW w:w="291" w:type="dxa"/>
          </w:tcPr>
          <w:p>
            <w:pPr>
              <w:pStyle w:val="TableParagraph"/>
              <w:spacing w:before="18"/>
              <w:ind w:left="30" w:right="40"/>
              <w:jc w:val="center"/>
              <w:rPr>
                <w:sz w:val="18"/>
              </w:rPr>
            </w:pPr>
            <w:r>
              <w:rPr>
                <w:sz w:val="18"/>
              </w:rPr>
              <w:t>16</w:t>
            </w:r>
          </w:p>
        </w:tc>
        <w:tc>
          <w:tcPr>
            <w:tcW w:w="2988" w:type="dxa"/>
          </w:tcPr>
          <w:p>
            <w:pPr>
              <w:pStyle w:val="TableParagraph"/>
              <w:spacing w:before="18"/>
              <w:ind w:left="60"/>
              <w:rPr>
                <w:sz w:val="18"/>
              </w:rPr>
            </w:pPr>
            <w:r>
              <w:rPr>
                <w:sz w:val="18"/>
              </w:rPr>
              <w:t>心脏瓣膜手术</w:t>
            </w:r>
          </w:p>
        </w:tc>
        <w:tc>
          <w:tcPr>
            <w:tcW w:w="287" w:type="dxa"/>
          </w:tcPr>
          <w:p>
            <w:pPr>
              <w:pStyle w:val="TableParagraph"/>
              <w:spacing w:before="18"/>
              <w:ind w:left="27" w:right="39"/>
              <w:jc w:val="center"/>
              <w:rPr>
                <w:sz w:val="18"/>
              </w:rPr>
            </w:pPr>
            <w:r>
              <w:rPr>
                <w:sz w:val="18"/>
              </w:rPr>
              <w:t>38</w:t>
            </w:r>
          </w:p>
        </w:tc>
        <w:tc>
          <w:tcPr>
            <w:tcW w:w="3260" w:type="dxa"/>
          </w:tcPr>
          <w:p>
            <w:pPr>
              <w:pStyle w:val="TableParagraph"/>
              <w:spacing w:before="18"/>
              <w:ind w:left="60"/>
              <w:rPr>
                <w:sz w:val="18"/>
              </w:rPr>
            </w:pPr>
            <w:r>
              <w:rPr>
                <w:sz w:val="18"/>
              </w:rPr>
              <w:t>胰岛素依赖型糖尿病</w:t>
            </w:r>
          </w:p>
        </w:tc>
      </w:tr>
      <w:tr>
        <w:trPr>
          <w:trHeight w:val="326" w:hRule="atLeast"/>
        </w:trPr>
        <w:tc>
          <w:tcPr>
            <w:tcW w:w="291" w:type="dxa"/>
          </w:tcPr>
          <w:p>
            <w:pPr>
              <w:pStyle w:val="TableParagraph"/>
              <w:spacing w:before="17"/>
              <w:ind w:left="30" w:right="40"/>
              <w:jc w:val="center"/>
              <w:rPr>
                <w:sz w:val="18"/>
              </w:rPr>
            </w:pPr>
            <w:r>
              <w:rPr>
                <w:sz w:val="18"/>
              </w:rPr>
              <w:t>17</w:t>
            </w:r>
          </w:p>
        </w:tc>
        <w:tc>
          <w:tcPr>
            <w:tcW w:w="2988" w:type="dxa"/>
          </w:tcPr>
          <w:p>
            <w:pPr>
              <w:pStyle w:val="TableParagraph"/>
              <w:spacing w:before="17"/>
              <w:ind w:left="60"/>
              <w:rPr>
                <w:sz w:val="18"/>
              </w:rPr>
            </w:pPr>
            <w:r>
              <w:rPr>
                <w:sz w:val="18"/>
              </w:rPr>
              <w:t>严重阿尔茨海默病</w:t>
            </w:r>
          </w:p>
        </w:tc>
        <w:tc>
          <w:tcPr>
            <w:tcW w:w="287" w:type="dxa"/>
          </w:tcPr>
          <w:p>
            <w:pPr>
              <w:pStyle w:val="TableParagraph"/>
              <w:spacing w:before="17"/>
              <w:ind w:left="27" w:right="39"/>
              <w:jc w:val="center"/>
              <w:rPr>
                <w:sz w:val="18"/>
              </w:rPr>
            </w:pPr>
            <w:r>
              <w:rPr>
                <w:sz w:val="18"/>
              </w:rPr>
              <w:t>39</w:t>
            </w:r>
          </w:p>
        </w:tc>
        <w:tc>
          <w:tcPr>
            <w:tcW w:w="3260" w:type="dxa"/>
          </w:tcPr>
          <w:p>
            <w:pPr>
              <w:pStyle w:val="TableParagraph"/>
              <w:spacing w:before="17"/>
              <w:ind w:left="60"/>
              <w:rPr>
                <w:sz w:val="18"/>
              </w:rPr>
            </w:pPr>
            <w:r>
              <w:rPr>
                <w:sz w:val="18"/>
              </w:rPr>
              <w:t>严重川崎病</w:t>
            </w:r>
          </w:p>
        </w:tc>
      </w:tr>
      <w:tr>
        <w:trPr>
          <w:trHeight w:val="326" w:hRule="atLeast"/>
        </w:trPr>
        <w:tc>
          <w:tcPr>
            <w:tcW w:w="291" w:type="dxa"/>
          </w:tcPr>
          <w:p>
            <w:pPr>
              <w:pStyle w:val="TableParagraph"/>
              <w:spacing w:before="18"/>
              <w:ind w:left="30" w:right="40"/>
              <w:jc w:val="center"/>
              <w:rPr>
                <w:sz w:val="18"/>
              </w:rPr>
            </w:pPr>
            <w:r>
              <w:rPr>
                <w:sz w:val="18"/>
              </w:rPr>
              <w:t>18</w:t>
            </w:r>
          </w:p>
        </w:tc>
        <w:tc>
          <w:tcPr>
            <w:tcW w:w="2988" w:type="dxa"/>
          </w:tcPr>
          <w:p>
            <w:pPr>
              <w:pStyle w:val="TableParagraph"/>
              <w:spacing w:before="18"/>
              <w:ind w:left="60"/>
              <w:rPr>
                <w:sz w:val="18"/>
              </w:rPr>
            </w:pPr>
            <w:r>
              <w:rPr>
                <w:sz w:val="18"/>
              </w:rPr>
              <w:t>严重脑损伤</w:t>
            </w:r>
          </w:p>
        </w:tc>
        <w:tc>
          <w:tcPr>
            <w:tcW w:w="287" w:type="dxa"/>
          </w:tcPr>
          <w:p>
            <w:pPr>
              <w:pStyle w:val="TableParagraph"/>
              <w:spacing w:before="18"/>
              <w:ind w:left="27" w:right="39"/>
              <w:jc w:val="center"/>
              <w:rPr>
                <w:sz w:val="18"/>
              </w:rPr>
            </w:pPr>
            <w:r>
              <w:rPr>
                <w:sz w:val="18"/>
              </w:rPr>
              <w:t>40</w:t>
            </w:r>
          </w:p>
        </w:tc>
        <w:tc>
          <w:tcPr>
            <w:tcW w:w="3260" w:type="dxa"/>
          </w:tcPr>
          <w:p>
            <w:pPr>
              <w:pStyle w:val="TableParagraph"/>
              <w:spacing w:before="18"/>
              <w:ind w:left="60"/>
              <w:rPr>
                <w:sz w:val="18"/>
              </w:rPr>
            </w:pPr>
            <w:r>
              <w:rPr>
                <w:sz w:val="18"/>
              </w:rPr>
              <w:t>严重幼年型类风湿关节炎</w:t>
            </w:r>
          </w:p>
        </w:tc>
      </w:tr>
      <w:tr>
        <w:trPr>
          <w:trHeight w:val="326" w:hRule="atLeast"/>
        </w:trPr>
        <w:tc>
          <w:tcPr>
            <w:tcW w:w="291" w:type="dxa"/>
          </w:tcPr>
          <w:p>
            <w:pPr>
              <w:pStyle w:val="TableParagraph"/>
              <w:spacing w:before="17"/>
              <w:ind w:left="30" w:right="40"/>
              <w:jc w:val="center"/>
              <w:rPr>
                <w:sz w:val="18"/>
              </w:rPr>
            </w:pPr>
            <w:r>
              <w:rPr>
                <w:sz w:val="18"/>
              </w:rPr>
              <w:t>19</w:t>
            </w:r>
          </w:p>
        </w:tc>
        <w:tc>
          <w:tcPr>
            <w:tcW w:w="2988" w:type="dxa"/>
          </w:tcPr>
          <w:p>
            <w:pPr>
              <w:pStyle w:val="TableParagraph"/>
              <w:spacing w:before="17"/>
              <w:ind w:left="60"/>
              <w:rPr>
                <w:sz w:val="18"/>
              </w:rPr>
            </w:pPr>
            <w:r>
              <w:rPr>
                <w:sz w:val="18"/>
              </w:rPr>
              <w:t>严重帕金森病</w:t>
            </w:r>
          </w:p>
        </w:tc>
        <w:tc>
          <w:tcPr>
            <w:tcW w:w="287" w:type="dxa"/>
          </w:tcPr>
          <w:p>
            <w:pPr>
              <w:pStyle w:val="TableParagraph"/>
              <w:spacing w:before="17"/>
              <w:ind w:left="27" w:right="39"/>
              <w:jc w:val="center"/>
              <w:rPr>
                <w:sz w:val="18"/>
              </w:rPr>
            </w:pPr>
            <w:r>
              <w:rPr>
                <w:sz w:val="18"/>
              </w:rPr>
              <w:t>41</w:t>
            </w:r>
          </w:p>
        </w:tc>
        <w:tc>
          <w:tcPr>
            <w:tcW w:w="3260" w:type="dxa"/>
          </w:tcPr>
          <w:p>
            <w:pPr>
              <w:pStyle w:val="TableParagraph"/>
              <w:spacing w:before="17"/>
              <w:ind w:left="60"/>
              <w:rPr>
                <w:sz w:val="18"/>
              </w:rPr>
            </w:pPr>
            <w:r>
              <w:rPr>
                <w:sz w:val="18"/>
              </w:rPr>
              <w:t>严重的原发性心肌病</w:t>
            </w:r>
          </w:p>
        </w:tc>
      </w:tr>
      <w:tr>
        <w:trPr>
          <w:trHeight w:val="253" w:hRule="atLeast"/>
        </w:trPr>
        <w:tc>
          <w:tcPr>
            <w:tcW w:w="291" w:type="dxa"/>
          </w:tcPr>
          <w:p>
            <w:pPr>
              <w:pStyle w:val="TableParagraph"/>
              <w:spacing w:line="216" w:lineRule="exact" w:before="18"/>
              <w:ind w:left="30" w:right="40"/>
              <w:jc w:val="center"/>
              <w:rPr>
                <w:sz w:val="18"/>
              </w:rPr>
            </w:pPr>
            <w:r>
              <w:rPr>
                <w:sz w:val="18"/>
              </w:rPr>
              <w:t>20</w:t>
            </w:r>
          </w:p>
        </w:tc>
        <w:tc>
          <w:tcPr>
            <w:tcW w:w="2988" w:type="dxa"/>
          </w:tcPr>
          <w:p>
            <w:pPr>
              <w:pStyle w:val="TableParagraph"/>
              <w:spacing w:line="216" w:lineRule="exact" w:before="18"/>
              <w:ind w:left="60"/>
              <w:rPr>
                <w:sz w:val="18"/>
              </w:rPr>
            </w:pPr>
            <w:r>
              <w:rPr>
                <w:sz w:val="18"/>
              </w:rPr>
              <w:t>严重Ⅲ度烧伤</w:t>
            </w:r>
          </w:p>
        </w:tc>
        <w:tc>
          <w:tcPr>
            <w:tcW w:w="287" w:type="dxa"/>
          </w:tcPr>
          <w:p>
            <w:pPr>
              <w:pStyle w:val="TableParagraph"/>
              <w:rPr>
                <w:rFonts w:ascii="Times New Roman"/>
                <w:sz w:val="18"/>
              </w:rPr>
            </w:pPr>
          </w:p>
        </w:tc>
        <w:tc>
          <w:tcPr>
            <w:tcW w:w="3260" w:type="dxa"/>
          </w:tcPr>
          <w:p>
            <w:pPr>
              <w:pStyle w:val="TableParagraph"/>
              <w:rPr>
                <w:rFonts w:ascii="Times New Roman"/>
                <w:sz w:val="18"/>
              </w:rPr>
            </w:pPr>
          </w:p>
        </w:tc>
      </w:tr>
    </w:tbl>
    <w:p>
      <w:pPr>
        <w:pStyle w:val="BodyText"/>
        <w:spacing w:before="1"/>
        <w:rPr>
          <w:sz w:val="28"/>
        </w:rPr>
      </w:pPr>
    </w:p>
    <w:p>
      <w:pPr>
        <w:pStyle w:val="BodyText"/>
        <w:spacing w:line="280" w:lineRule="auto" w:before="35"/>
        <w:ind w:left="2477" w:right="119"/>
      </w:pPr>
      <w:r>
        <w:rPr/>
        <w:t>在本附加合同有效期内，被保险人年满 18 周岁后，我们保障的重大疾病如下所示：</w:t>
      </w:r>
    </w:p>
    <w:p>
      <w:pPr>
        <w:pStyle w:val="BodyText"/>
        <w:spacing w:before="1"/>
        <w:rPr>
          <w:sz w:val="6"/>
        </w:rPr>
      </w:pPr>
    </w:p>
    <w:tbl>
      <w:tblPr>
        <w:tblW w:w="0" w:type="auto"/>
        <w:jc w:val="left"/>
        <w:tblInd w:w="2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
        <w:gridCol w:w="2988"/>
        <w:gridCol w:w="287"/>
        <w:gridCol w:w="1910"/>
      </w:tblGrid>
      <w:tr>
        <w:trPr>
          <w:trHeight w:val="253" w:hRule="atLeast"/>
        </w:trPr>
        <w:tc>
          <w:tcPr>
            <w:tcW w:w="201" w:type="dxa"/>
          </w:tcPr>
          <w:p>
            <w:pPr>
              <w:pStyle w:val="TableParagraph"/>
              <w:spacing w:line="180" w:lineRule="exact"/>
              <w:ind w:right="10"/>
              <w:jc w:val="center"/>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7" w:type="dxa"/>
          </w:tcPr>
          <w:p>
            <w:pPr>
              <w:pStyle w:val="TableParagraph"/>
              <w:spacing w:line="180" w:lineRule="exact"/>
              <w:ind w:left="27" w:right="39"/>
              <w:jc w:val="center"/>
              <w:rPr>
                <w:sz w:val="18"/>
              </w:rPr>
            </w:pPr>
            <w:r>
              <w:rPr>
                <w:sz w:val="18"/>
              </w:rPr>
              <w:t>21</w:t>
            </w:r>
          </w:p>
        </w:tc>
        <w:tc>
          <w:tcPr>
            <w:tcW w:w="1910" w:type="dxa"/>
          </w:tcPr>
          <w:p>
            <w:pPr>
              <w:pStyle w:val="TableParagraph"/>
              <w:spacing w:line="180" w:lineRule="exact"/>
              <w:ind w:left="60"/>
              <w:rPr>
                <w:sz w:val="18"/>
              </w:rPr>
            </w:pPr>
            <w:r>
              <w:rPr>
                <w:sz w:val="18"/>
              </w:rPr>
              <w:t>严重原发性肺动脉高压</w:t>
            </w:r>
          </w:p>
        </w:tc>
      </w:tr>
      <w:tr>
        <w:trPr>
          <w:trHeight w:val="326" w:hRule="atLeast"/>
        </w:trPr>
        <w:tc>
          <w:tcPr>
            <w:tcW w:w="201" w:type="dxa"/>
          </w:tcPr>
          <w:p>
            <w:pPr>
              <w:pStyle w:val="TableParagraph"/>
              <w:spacing w:before="18"/>
              <w:ind w:right="10"/>
              <w:jc w:val="center"/>
              <w:rPr>
                <w:sz w:val="18"/>
              </w:rPr>
            </w:pPr>
            <w:r>
              <w:rPr>
                <w:sz w:val="18"/>
              </w:rPr>
              <w:t>2</w:t>
            </w:r>
          </w:p>
        </w:tc>
        <w:tc>
          <w:tcPr>
            <w:tcW w:w="2988" w:type="dxa"/>
          </w:tcPr>
          <w:p>
            <w:pPr>
              <w:pStyle w:val="TableParagraph"/>
              <w:spacing w:before="18"/>
              <w:ind w:left="60"/>
              <w:rPr>
                <w:sz w:val="18"/>
              </w:rPr>
            </w:pPr>
            <w:r>
              <w:rPr>
                <w:sz w:val="18"/>
              </w:rPr>
              <w:t>急性心肌梗塞</w:t>
            </w:r>
          </w:p>
        </w:tc>
        <w:tc>
          <w:tcPr>
            <w:tcW w:w="287" w:type="dxa"/>
          </w:tcPr>
          <w:p>
            <w:pPr>
              <w:pStyle w:val="TableParagraph"/>
              <w:spacing w:before="18"/>
              <w:ind w:left="27" w:right="39"/>
              <w:jc w:val="center"/>
              <w:rPr>
                <w:sz w:val="18"/>
              </w:rPr>
            </w:pPr>
            <w:r>
              <w:rPr>
                <w:sz w:val="18"/>
              </w:rPr>
              <w:t>22</w:t>
            </w:r>
          </w:p>
        </w:tc>
        <w:tc>
          <w:tcPr>
            <w:tcW w:w="1910" w:type="dxa"/>
          </w:tcPr>
          <w:p>
            <w:pPr>
              <w:pStyle w:val="TableParagraph"/>
              <w:spacing w:before="18"/>
              <w:ind w:left="60"/>
              <w:rPr>
                <w:sz w:val="18"/>
              </w:rPr>
            </w:pPr>
            <w:r>
              <w:rPr>
                <w:sz w:val="18"/>
              </w:rPr>
              <w:t>严重运动神经元病</w:t>
            </w:r>
          </w:p>
        </w:tc>
      </w:tr>
      <w:tr>
        <w:trPr>
          <w:trHeight w:val="326" w:hRule="atLeast"/>
        </w:trPr>
        <w:tc>
          <w:tcPr>
            <w:tcW w:w="201" w:type="dxa"/>
          </w:tcPr>
          <w:p>
            <w:pPr>
              <w:pStyle w:val="TableParagraph"/>
              <w:spacing w:before="17"/>
              <w:ind w:right="10"/>
              <w:jc w:val="center"/>
              <w:rPr>
                <w:sz w:val="18"/>
              </w:rPr>
            </w:pPr>
            <w:r>
              <w:rPr>
                <w:sz w:val="18"/>
              </w:rPr>
              <w:t>3</w:t>
            </w:r>
          </w:p>
        </w:tc>
        <w:tc>
          <w:tcPr>
            <w:tcW w:w="2988" w:type="dxa"/>
          </w:tcPr>
          <w:p>
            <w:pPr>
              <w:pStyle w:val="TableParagraph"/>
              <w:spacing w:before="17"/>
              <w:ind w:left="60"/>
              <w:rPr>
                <w:sz w:val="18"/>
              </w:rPr>
            </w:pPr>
            <w:r>
              <w:rPr>
                <w:sz w:val="18"/>
              </w:rPr>
              <w:t>脑中风后遗症</w:t>
            </w:r>
          </w:p>
        </w:tc>
        <w:tc>
          <w:tcPr>
            <w:tcW w:w="287" w:type="dxa"/>
          </w:tcPr>
          <w:p>
            <w:pPr>
              <w:pStyle w:val="TableParagraph"/>
              <w:spacing w:before="17"/>
              <w:ind w:left="27" w:right="39"/>
              <w:jc w:val="center"/>
              <w:rPr>
                <w:sz w:val="18"/>
              </w:rPr>
            </w:pPr>
            <w:r>
              <w:rPr>
                <w:sz w:val="18"/>
              </w:rPr>
              <w:t>23</w:t>
            </w:r>
          </w:p>
        </w:tc>
        <w:tc>
          <w:tcPr>
            <w:tcW w:w="1910" w:type="dxa"/>
          </w:tcPr>
          <w:p>
            <w:pPr>
              <w:pStyle w:val="TableParagraph"/>
              <w:spacing w:before="17"/>
              <w:ind w:left="60"/>
              <w:rPr>
                <w:sz w:val="18"/>
              </w:rPr>
            </w:pPr>
            <w:r>
              <w:rPr>
                <w:sz w:val="18"/>
              </w:rPr>
              <w:t>语言能力丧失</w:t>
            </w:r>
          </w:p>
        </w:tc>
      </w:tr>
      <w:tr>
        <w:trPr>
          <w:trHeight w:val="326" w:hRule="atLeast"/>
        </w:trPr>
        <w:tc>
          <w:tcPr>
            <w:tcW w:w="201" w:type="dxa"/>
          </w:tcPr>
          <w:p>
            <w:pPr>
              <w:pStyle w:val="TableParagraph"/>
              <w:spacing w:before="18"/>
              <w:ind w:right="10"/>
              <w:jc w:val="center"/>
              <w:rPr>
                <w:sz w:val="18"/>
              </w:rPr>
            </w:pPr>
            <w:r>
              <w:rPr>
                <w:sz w:val="18"/>
              </w:rPr>
              <w:t>4</w:t>
            </w:r>
          </w:p>
        </w:tc>
        <w:tc>
          <w:tcPr>
            <w:tcW w:w="2988" w:type="dxa"/>
          </w:tcPr>
          <w:p>
            <w:pPr>
              <w:pStyle w:val="TableParagraph"/>
              <w:spacing w:before="18"/>
              <w:ind w:left="60"/>
              <w:rPr>
                <w:sz w:val="18"/>
              </w:rPr>
            </w:pPr>
            <w:r>
              <w:rPr>
                <w:sz w:val="18"/>
              </w:rPr>
              <w:t>重大器官移植术或造血干细胞移植术</w:t>
            </w:r>
          </w:p>
        </w:tc>
        <w:tc>
          <w:tcPr>
            <w:tcW w:w="287" w:type="dxa"/>
          </w:tcPr>
          <w:p>
            <w:pPr>
              <w:pStyle w:val="TableParagraph"/>
              <w:spacing w:before="18"/>
              <w:ind w:left="27" w:right="39"/>
              <w:jc w:val="center"/>
              <w:rPr>
                <w:sz w:val="18"/>
              </w:rPr>
            </w:pPr>
            <w:r>
              <w:rPr>
                <w:sz w:val="18"/>
              </w:rPr>
              <w:t>24</w:t>
            </w:r>
          </w:p>
        </w:tc>
        <w:tc>
          <w:tcPr>
            <w:tcW w:w="1910" w:type="dxa"/>
          </w:tcPr>
          <w:p>
            <w:pPr>
              <w:pStyle w:val="TableParagraph"/>
              <w:spacing w:before="18"/>
              <w:ind w:left="60"/>
              <w:rPr>
                <w:sz w:val="18"/>
              </w:rPr>
            </w:pPr>
            <w:r>
              <w:rPr>
                <w:sz w:val="18"/>
              </w:rPr>
              <w:t>重型再生障碍性贫血</w:t>
            </w:r>
          </w:p>
        </w:tc>
      </w:tr>
      <w:tr>
        <w:trPr>
          <w:trHeight w:val="326" w:hRule="atLeast"/>
        </w:trPr>
        <w:tc>
          <w:tcPr>
            <w:tcW w:w="201" w:type="dxa"/>
          </w:tcPr>
          <w:p>
            <w:pPr>
              <w:pStyle w:val="TableParagraph"/>
              <w:spacing w:before="17"/>
              <w:ind w:right="10"/>
              <w:jc w:val="center"/>
              <w:rPr>
                <w:sz w:val="18"/>
              </w:rPr>
            </w:pPr>
            <w:r>
              <w:rPr>
                <w:sz w:val="18"/>
              </w:rPr>
              <w:t>5</w:t>
            </w:r>
          </w:p>
        </w:tc>
        <w:tc>
          <w:tcPr>
            <w:tcW w:w="2988" w:type="dxa"/>
          </w:tcPr>
          <w:p>
            <w:pPr>
              <w:pStyle w:val="TableParagraph"/>
              <w:spacing w:before="17"/>
              <w:ind w:left="60"/>
              <w:rPr>
                <w:sz w:val="18"/>
              </w:rPr>
            </w:pPr>
            <w:r>
              <w:rPr>
                <w:sz w:val="18"/>
              </w:rPr>
              <w:t>冠状动脉搭桥术</w:t>
            </w:r>
          </w:p>
        </w:tc>
        <w:tc>
          <w:tcPr>
            <w:tcW w:w="287" w:type="dxa"/>
          </w:tcPr>
          <w:p>
            <w:pPr>
              <w:pStyle w:val="TableParagraph"/>
              <w:spacing w:before="17"/>
              <w:ind w:left="27" w:right="39"/>
              <w:jc w:val="center"/>
              <w:rPr>
                <w:sz w:val="18"/>
              </w:rPr>
            </w:pPr>
            <w:r>
              <w:rPr>
                <w:sz w:val="18"/>
              </w:rPr>
              <w:t>25</w:t>
            </w:r>
          </w:p>
        </w:tc>
        <w:tc>
          <w:tcPr>
            <w:tcW w:w="1910" w:type="dxa"/>
          </w:tcPr>
          <w:p>
            <w:pPr>
              <w:pStyle w:val="TableParagraph"/>
              <w:spacing w:before="17"/>
              <w:ind w:left="60"/>
              <w:rPr>
                <w:sz w:val="18"/>
              </w:rPr>
            </w:pPr>
            <w:r>
              <w:rPr>
                <w:sz w:val="18"/>
              </w:rPr>
              <w:t>主动脉手术</w:t>
            </w:r>
          </w:p>
        </w:tc>
      </w:tr>
      <w:tr>
        <w:trPr>
          <w:trHeight w:val="326" w:hRule="atLeast"/>
        </w:trPr>
        <w:tc>
          <w:tcPr>
            <w:tcW w:w="201" w:type="dxa"/>
          </w:tcPr>
          <w:p>
            <w:pPr>
              <w:pStyle w:val="TableParagraph"/>
              <w:rPr>
                <w:rFonts w:ascii="Times New Roman"/>
                <w:sz w:val="18"/>
              </w:rPr>
            </w:pPr>
          </w:p>
        </w:tc>
        <w:tc>
          <w:tcPr>
            <w:tcW w:w="2988" w:type="dxa"/>
          </w:tcPr>
          <w:p>
            <w:pPr>
              <w:pStyle w:val="TableParagraph"/>
              <w:spacing w:before="18"/>
              <w:ind w:left="60"/>
              <w:rPr>
                <w:sz w:val="18"/>
              </w:rPr>
            </w:pPr>
            <w:r>
              <w:rPr>
                <w:sz w:val="18"/>
              </w:rPr>
              <w:t>（或称冠状动脉旁路移植术）</w:t>
            </w:r>
          </w:p>
        </w:tc>
        <w:tc>
          <w:tcPr>
            <w:tcW w:w="287" w:type="dxa"/>
          </w:tcPr>
          <w:p>
            <w:pPr>
              <w:pStyle w:val="TableParagraph"/>
              <w:spacing w:before="18"/>
              <w:ind w:left="27" w:right="39"/>
              <w:jc w:val="center"/>
              <w:rPr>
                <w:sz w:val="18"/>
              </w:rPr>
            </w:pPr>
            <w:r>
              <w:rPr>
                <w:sz w:val="18"/>
              </w:rPr>
              <w:t>26</w:t>
            </w:r>
          </w:p>
        </w:tc>
        <w:tc>
          <w:tcPr>
            <w:tcW w:w="1910" w:type="dxa"/>
          </w:tcPr>
          <w:p>
            <w:pPr>
              <w:pStyle w:val="TableParagraph"/>
              <w:spacing w:before="18"/>
              <w:ind w:left="60"/>
              <w:rPr>
                <w:sz w:val="18"/>
              </w:rPr>
            </w:pPr>
            <w:r>
              <w:rPr>
                <w:sz w:val="18"/>
              </w:rPr>
              <w:t>植物人状态</w:t>
            </w:r>
          </w:p>
        </w:tc>
      </w:tr>
      <w:tr>
        <w:trPr>
          <w:trHeight w:val="253" w:hRule="atLeast"/>
        </w:trPr>
        <w:tc>
          <w:tcPr>
            <w:tcW w:w="201" w:type="dxa"/>
          </w:tcPr>
          <w:p>
            <w:pPr>
              <w:pStyle w:val="TableParagraph"/>
              <w:spacing w:line="216" w:lineRule="exact" w:before="17"/>
              <w:ind w:right="10"/>
              <w:jc w:val="center"/>
              <w:rPr>
                <w:sz w:val="18"/>
              </w:rPr>
            </w:pPr>
            <w:r>
              <w:rPr>
                <w:sz w:val="18"/>
              </w:rPr>
              <w:t>6</w:t>
            </w:r>
          </w:p>
        </w:tc>
        <w:tc>
          <w:tcPr>
            <w:tcW w:w="2988" w:type="dxa"/>
          </w:tcPr>
          <w:p>
            <w:pPr>
              <w:pStyle w:val="TableParagraph"/>
              <w:spacing w:line="216" w:lineRule="exact" w:before="17"/>
              <w:ind w:left="60"/>
              <w:rPr>
                <w:sz w:val="18"/>
              </w:rPr>
            </w:pPr>
            <w:r>
              <w:rPr>
                <w:sz w:val="18"/>
              </w:rPr>
              <w:t>终末期肾病</w:t>
            </w:r>
          </w:p>
        </w:tc>
        <w:tc>
          <w:tcPr>
            <w:tcW w:w="287" w:type="dxa"/>
          </w:tcPr>
          <w:p>
            <w:pPr>
              <w:pStyle w:val="TableParagraph"/>
              <w:spacing w:line="216" w:lineRule="exact" w:before="17"/>
              <w:ind w:left="27" w:right="39"/>
              <w:jc w:val="center"/>
              <w:rPr>
                <w:sz w:val="18"/>
              </w:rPr>
            </w:pPr>
            <w:r>
              <w:rPr>
                <w:sz w:val="18"/>
              </w:rPr>
              <w:t>27</w:t>
            </w:r>
          </w:p>
        </w:tc>
        <w:tc>
          <w:tcPr>
            <w:tcW w:w="1910" w:type="dxa"/>
          </w:tcPr>
          <w:p>
            <w:pPr>
              <w:pStyle w:val="TableParagraph"/>
              <w:spacing w:line="216" w:lineRule="exact" w:before="17"/>
              <w:ind w:left="60"/>
              <w:rPr>
                <w:sz w:val="18"/>
              </w:rPr>
            </w:pPr>
            <w:r>
              <w:rPr>
                <w:sz w:val="18"/>
              </w:rPr>
              <w:t>原发性硬化性胆管炎</w:t>
            </w:r>
          </w:p>
        </w:tc>
      </w:tr>
    </w:tbl>
    <w:p>
      <w:pPr>
        <w:spacing w:after="0" w:line="216" w:lineRule="exact"/>
        <w:rPr>
          <w:sz w:val="18"/>
        </w:rPr>
        <w:sectPr>
          <w:type w:val="continuous"/>
          <w:pgSz w:w="11900" w:h="16840"/>
          <w:pgMar w:top="1100" w:bottom="280" w:left="920" w:right="1440"/>
        </w:sectPr>
      </w:pPr>
    </w:p>
    <w:p>
      <w:pPr>
        <w:pStyle w:val="BodyText"/>
        <w:rPr>
          <w:rFonts w:ascii="Times New Roman"/>
          <w:sz w:val="20"/>
        </w:rPr>
      </w:pPr>
    </w:p>
    <w:p>
      <w:pPr>
        <w:pStyle w:val="BodyText"/>
        <w:spacing w:before="4"/>
        <w:rPr>
          <w:rFonts w:ascii="Times New Roman"/>
          <w:sz w:val="15"/>
        </w:rPr>
      </w:pPr>
    </w:p>
    <w:tbl>
      <w:tblPr>
        <w:tblW w:w="0" w:type="auto"/>
        <w:jc w:val="left"/>
        <w:tblInd w:w="2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2898"/>
        <w:gridCol w:w="377"/>
        <w:gridCol w:w="3260"/>
      </w:tblGrid>
      <w:tr>
        <w:trPr>
          <w:trHeight w:val="253" w:hRule="atLeast"/>
        </w:trPr>
        <w:tc>
          <w:tcPr>
            <w:tcW w:w="291" w:type="dxa"/>
          </w:tcPr>
          <w:p>
            <w:pPr>
              <w:pStyle w:val="TableParagraph"/>
              <w:rPr>
                <w:rFonts w:ascii="Times New Roman"/>
                <w:sz w:val="18"/>
              </w:rPr>
            </w:pPr>
          </w:p>
        </w:tc>
        <w:tc>
          <w:tcPr>
            <w:tcW w:w="2898" w:type="dxa"/>
          </w:tcPr>
          <w:p>
            <w:pPr>
              <w:pStyle w:val="TableParagraph"/>
              <w:spacing w:line="180" w:lineRule="exact"/>
              <w:ind w:left="60"/>
              <w:rPr>
                <w:sz w:val="18"/>
              </w:rPr>
            </w:pPr>
            <w:r>
              <w:rPr>
                <w:sz w:val="18"/>
              </w:rPr>
              <w:t>（或称慢性肾功能衰竭尿毒症期）</w:t>
            </w:r>
          </w:p>
        </w:tc>
        <w:tc>
          <w:tcPr>
            <w:tcW w:w="377" w:type="dxa"/>
          </w:tcPr>
          <w:p>
            <w:pPr>
              <w:pStyle w:val="TableParagraph"/>
              <w:spacing w:line="180" w:lineRule="exact"/>
              <w:ind w:right="59"/>
              <w:jc w:val="right"/>
              <w:rPr>
                <w:sz w:val="18"/>
              </w:rPr>
            </w:pPr>
            <w:r>
              <w:rPr>
                <w:sz w:val="18"/>
              </w:rPr>
              <w:t>28</w:t>
            </w:r>
          </w:p>
        </w:tc>
        <w:tc>
          <w:tcPr>
            <w:tcW w:w="3260" w:type="dxa"/>
          </w:tcPr>
          <w:p>
            <w:pPr>
              <w:pStyle w:val="TableParagraph"/>
              <w:spacing w:line="180" w:lineRule="exact"/>
              <w:ind w:left="60"/>
              <w:rPr>
                <w:sz w:val="18"/>
              </w:rPr>
            </w:pPr>
            <w:r>
              <w:rPr>
                <w:sz w:val="18"/>
              </w:rPr>
              <w:t>埃博拉病毒感染</w:t>
            </w:r>
          </w:p>
        </w:tc>
      </w:tr>
      <w:tr>
        <w:trPr>
          <w:trHeight w:val="326" w:hRule="atLeast"/>
        </w:trPr>
        <w:tc>
          <w:tcPr>
            <w:tcW w:w="291" w:type="dxa"/>
          </w:tcPr>
          <w:p>
            <w:pPr>
              <w:pStyle w:val="TableParagraph"/>
              <w:spacing w:before="18"/>
              <w:ind w:left="79"/>
              <w:jc w:val="center"/>
              <w:rPr>
                <w:sz w:val="18"/>
              </w:rPr>
            </w:pPr>
            <w:r>
              <w:rPr>
                <w:sz w:val="18"/>
              </w:rPr>
              <w:t>7</w:t>
            </w:r>
          </w:p>
        </w:tc>
        <w:tc>
          <w:tcPr>
            <w:tcW w:w="2898" w:type="dxa"/>
          </w:tcPr>
          <w:p>
            <w:pPr>
              <w:pStyle w:val="TableParagraph"/>
              <w:spacing w:before="18"/>
              <w:ind w:left="60"/>
              <w:rPr>
                <w:sz w:val="18"/>
              </w:rPr>
            </w:pPr>
            <w:r>
              <w:rPr>
                <w:sz w:val="18"/>
              </w:rPr>
              <w:t>多个肢体缺失</w:t>
            </w:r>
          </w:p>
        </w:tc>
        <w:tc>
          <w:tcPr>
            <w:tcW w:w="377" w:type="dxa"/>
          </w:tcPr>
          <w:p>
            <w:pPr>
              <w:pStyle w:val="TableParagraph"/>
              <w:spacing w:before="18"/>
              <w:ind w:right="59"/>
              <w:jc w:val="right"/>
              <w:rPr>
                <w:sz w:val="18"/>
              </w:rPr>
            </w:pPr>
            <w:r>
              <w:rPr>
                <w:sz w:val="18"/>
              </w:rPr>
              <w:t>29</w:t>
            </w:r>
          </w:p>
        </w:tc>
        <w:tc>
          <w:tcPr>
            <w:tcW w:w="3260" w:type="dxa"/>
          </w:tcPr>
          <w:p>
            <w:pPr>
              <w:pStyle w:val="TableParagraph"/>
              <w:spacing w:before="18"/>
              <w:ind w:left="60"/>
              <w:rPr>
                <w:sz w:val="18"/>
              </w:rPr>
            </w:pPr>
            <w:r>
              <w:rPr>
                <w:sz w:val="18"/>
              </w:rPr>
              <w:t>严重的心肌炎</w:t>
            </w:r>
          </w:p>
        </w:tc>
      </w:tr>
      <w:tr>
        <w:trPr>
          <w:trHeight w:val="326" w:hRule="atLeast"/>
        </w:trPr>
        <w:tc>
          <w:tcPr>
            <w:tcW w:w="291" w:type="dxa"/>
          </w:tcPr>
          <w:p>
            <w:pPr>
              <w:pStyle w:val="TableParagraph"/>
              <w:spacing w:before="17"/>
              <w:ind w:left="79"/>
              <w:jc w:val="center"/>
              <w:rPr>
                <w:sz w:val="18"/>
              </w:rPr>
            </w:pPr>
            <w:r>
              <w:rPr>
                <w:sz w:val="18"/>
              </w:rPr>
              <w:t>8</w:t>
            </w:r>
          </w:p>
        </w:tc>
        <w:tc>
          <w:tcPr>
            <w:tcW w:w="2898" w:type="dxa"/>
          </w:tcPr>
          <w:p>
            <w:pPr>
              <w:pStyle w:val="TableParagraph"/>
              <w:spacing w:before="17"/>
              <w:ind w:left="60"/>
              <w:rPr>
                <w:sz w:val="18"/>
              </w:rPr>
            </w:pPr>
            <w:r>
              <w:rPr>
                <w:sz w:val="18"/>
              </w:rPr>
              <w:t>急性或亚急性重症肝炎</w:t>
            </w:r>
          </w:p>
        </w:tc>
        <w:tc>
          <w:tcPr>
            <w:tcW w:w="377" w:type="dxa"/>
          </w:tcPr>
          <w:p>
            <w:pPr>
              <w:pStyle w:val="TableParagraph"/>
              <w:spacing w:before="17"/>
              <w:ind w:right="59"/>
              <w:jc w:val="right"/>
              <w:rPr>
                <w:sz w:val="18"/>
              </w:rPr>
            </w:pPr>
            <w:r>
              <w:rPr>
                <w:sz w:val="18"/>
              </w:rPr>
              <w:t>30</w:t>
            </w:r>
          </w:p>
        </w:tc>
        <w:tc>
          <w:tcPr>
            <w:tcW w:w="3260" w:type="dxa"/>
          </w:tcPr>
          <w:p>
            <w:pPr>
              <w:pStyle w:val="TableParagraph"/>
              <w:spacing w:before="17"/>
              <w:ind w:left="60"/>
              <w:rPr>
                <w:sz w:val="18"/>
              </w:rPr>
            </w:pPr>
            <w:r>
              <w:rPr>
                <w:sz w:val="18"/>
              </w:rPr>
              <w:t>重症肌无力</w:t>
            </w:r>
          </w:p>
        </w:tc>
      </w:tr>
      <w:tr>
        <w:trPr>
          <w:trHeight w:val="326" w:hRule="atLeast"/>
        </w:trPr>
        <w:tc>
          <w:tcPr>
            <w:tcW w:w="291" w:type="dxa"/>
          </w:tcPr>
          <w:p>
            <w:pPr>
              <w:pStyle w:val="TableParagraph"/>
              <w:spacing w:before="18"/>
              <w:ind w:left="79"/>
              <w:jc w:val="center"/>
              <w:rPr>
                <w:sz w:val="18"/>
              </w:rPr>
            </w:pPr>
            <w:r>
              <w:rPr>
                <w:sz w:val="18"/>
              </w:rPr>
              <w:t>9</w:t>
            </w:r>
          </w:p>
        </w:tc>
        <w:tc>
          <w:tcPr>
            <w:tcW w:w="2898" w:type="dxa"/>
          </w:tcPr>
          <w:p>
            <w:pPr>
              <w:pStyle w:val="TableParagraph"/>
              <w:spacing w:before="18"/>
              <w:ind w:left="60"/>
              <w:rPr>
                <w:sz w:val="18"/>
              </w:rPr>
            </w:pPr>
            <w:r>
              <w:rPr>
                <w:sz w:val="18"/>
              </w:rPr>
              <w:t>良性脑肿瘤</w:t>
            </w:r>
          </w:p>
        </w:tc>
        <w:tc>
          <w:tcPr>
            <w:tcW w:w="377" w:type="dxa"/>
          </w:tcPr>
          <w:p>
            <w:pPr>
              <w:pStyle w:val="TableParagraph"/>
              <w:spacing w:before="18"/>
              <w:ind w:right="59"/>
              <w:jc w:val="right"/>
              <w:rPr>
                <w:sz w:val="18"/>
              </w:rPr>
            </w:pPr>
            <w:r>
              <w:rPr>
                <w:sz w:val="18"/>
              </w:rPr>
              <w:t>31</w:t>
            </w:r>
          </w:p>
        </w:tc>
        <w:tc>
          <w:tcPr>
            <w:tcW w:w="3260" w:type="dxa"/>
          </w:tcPr>
          <w:p>
            <w:pPr>
              <w:pStyle w:val="TableParagraph"/>
              <w:spacing w:before="18"/>
              <w:ind w:left="60"/>
              <w:rPr>
                <w:sz w:val="18"/>
              </w:rPr>
            </w:pPr>
            <w:r>
              <w:rPr>
                <w:sz w:val="18"/>
              </w:rPr>
              <w:t>系统性硬皮病</w:t>
            </w:r>
          </w:p>
        </w:tc>
      </w:tr>
      <w:tr>
        <w:trPr>
          <w:trHeight w:val="326" w:hRule="atLeast"/>
        </w:trPr>
        <w:tc>
          <w:tcPr>
            <w:tcW w:w="291" w:type="dxa"/>
          </w:tcPr>
          <w:p>
            <w:pPr>
              <w:pStyle w:val="TableParagraph"/>
              <w:spacing w:before="17"/>
              <w:ind w:left="30" w:right="40"/>
              <w:jc w:val="center"/>
              <w:rPr>
                <w:sz w:val="18"/>
              </w:rPr>
            </w:pPr>
            <w:r>
              <w:rPr>
                <w:sz w:val="18"/>
              </w:rPr>
              <w:t>10</w:t>
            </w:r>
          </w:p>
        </w:tc>
        <w:tc>
          <w:tcPr>
            <w:tcW w:w="2898" w:type="dxa"/>
          </w:tcPr>
          <w:p>
            <w:pPr>
              <w:pStyle w:val="TableParagraph"/>
              <w:spacing w:before="17"/>
              <w:ind w:left="60"/>
              <w:rPr>
                <w:sz w:val="18"/>
              </w:rPr>
            </w:pPr>
            <w:r>
              <w:rPr>
                <w:sz w:val="18"/>
              </w:rPr>
              <w:t>慢性肝功能衰竭失代偿期</w:t>
            </w:r>
          </w:p>
        </w:tc>
        <w:tc>
          <w:tcPr>
            <w:tcW w:w="377" w:type="dxa"/>
          </w:tcPr>
          <w:p>
            <w:pPr>
              <w:pStyle w:val="TableParagraph"/>
              <w:spacing w:before="17"/>
              <w:ind w:right="59"/>
              <w:jc w:val="right"/>
              <w:rPr>
                <w:sz w:val="18"/>
              </w:rPr>
            </w:pPr>
            <w:r>
              <w:rPr>
                <w:sz w:val="18"/>
              </w:rPr>
              <w:t>32</w:t>
            </w:r>
          </w:p>
        </w:tc>
        <w:tc>
          <w:tcPr>
            <w:tcW w:w="3260" w:type="dxa"/>
          </w:tcPr>
          <w:p>
            <w:pPr>
              <w:pStyle w:val="TableParagraph"/>
              <w:spacing w:before="17"/>
              <w:ind w:left="60"/>
              <w:rPr>
                <w:sz w:val="18"/>
              </w:rPr>
            </w:pPr>
            <w:r>
              <w:rPr>
                <w:sz w:val="18"/>
              </w:rPr>
              <w:t>象皮病</w:t>
            </w:r>
          </w:p>
        </w:tc>
      </w:tr>
      <w:tr>
        <w:trPr>
          <w:trHeight w:val="326" w:hRule="atLeast"/>
        </w:trPr>
        <w:tc>
          <w:tcPr>
            <w:tcW w:w="291" w:type="dxa"/>
          </w:tcPr>
          <w:p>
            <w:pPr>
              <w:pStyle w:val="TableParagraph"/>
              <w:spacing w:before="18"/>
              <w:ind w:left="30" w:right="40"/>
              <w:jc w:val="center"/>
              <w:rPr>
                <w:sz w:val="18"/>
              </w:rPr>
            </w:pPr>
            <w:r>
              <w:rPr>
                <w:sz w:val="18"/>
              </w:rPr>
              <w:t>11</w:t>
            </w:r>
          </w:p>
        </w:tc>
        <w:tc>
          <w:tcPr>
            <w:tcW w:w="2898" w:type="dxa"/>
          </w:tcPr>
          <w:p>
            <w:pPr>
              <w:pStyle w:val="TableParagraph"/>
              <w:spacing w:before="18"/>
              <w:ind w:left="60"/>
              <w:rPr>
                <w:sz w:val="18"/>
              </w:rPr>
            </w:pPr>
            <w:r>
              <w:rPr>
                <w:sz w:val="18"/>
              </w:rPr>
              <w:t>脑炎后遗症或脑膜炎后遗症</w:t>
            </w:r>
          </w:p>
        </w:tc>
        <w:tc>
          <w:tcPr>
            <w:tcW w:w="377" w:type="dxa"/>
          </w:tcPr>
          <w:p>
            <w:pPr>
              <w:pStyle w:val="TableParagraph"/>
              <w:spacing w:before="18"/>
              <w:ind w:right="59"/>
              <w:jc w:val="right"/>
              <w:rPr>
                <w:sz w:val="18"/>
              </w:rPr>
            </w:pPr>
            <w:r>
              <w:rPr>
                <w:sz w:val="18"/>
              </w:rPr>
              <w:t>33</w:t>
            </w:r>
          </w:p>
        </w:tc>
        <w:tc>
          <w:tcPr>
            <w:tcW w:w="3260" w:type="dxa"/>
          </w:tcPr>
          <w:p>
            <w:pPr>
              <w:pStyle w:val="TableParagraph"/>
              <w:spacing w:before="18"/>
              <w:ind w:left="60"/>
              <w:rPr>
                <w:sz w:val="18"/>
              </w:rPr>
            </w:pPr>
            <w:r>
              <w:rPr>
                <w:sz w:val="18"/>
              </w:rPr>
              <w:t>慢性肾上腺皮质功能衰竭</w:t>
            </w:r>
          </w:p>
        </w:tc>
      </w:tr>
      <w:tr>
        <w:trPr>
          <w:trHeight w:val="326" w:hRule="atLeast"/>
        </w:trPr>
        <w:tc>
          <w:tcPr>
            <w:tcW w:w="291" w:type="dxa"/>
          </w:tcPr>
          <w:p>
            <w:pPr>
              <w:pStyle w:val="TableParagraph"/>
              <w:spacing w:before="17"/>
              <w:ind w:left="30" w:right="40"/>
              <w:jc w:val="center"/>
              <w:rPr>
                <w:sz w:val="18"/>
              </w:rPr>
            </w:pPr>
            <w:r>
              <w:rPr>
                <w:sz w:val="18"/>
              </w:rPr>
              <w:t>12</w:t>
            </w:r>
          </w:p>
        </w:tc>
        <w:tc>
          <w:tcPr>
            <w:tcW w:w="2898" w:type="dxa"/>
          </w:tcPr>
          <w:p>
            <w:pPr>
              <w:pStyle w:val="TableParagraph"/>
              <w:spacing w:before="17"/>
              <w:ind w:left="60"/>
              <w:rPr>
                <w:sz w:val="18"/>
              </w:rPr>
            </w:pPr>
            <w:r>
              <w:rPr>
                <w:sz w:val="18"/>
              </w:rPr>
              <w:t>深度昏迷</w:t>
            </w:r>
          </w:p>
        </w:tc>
        <w:tc>
          <w:tcPr>
            <w:tcW w:w="377" w:type="dxa"/>
          </w:tcPr>
          <w:p>
            <w:pPr>
              <w:pStyle w:val="TableParagraph"/>
              <w:spacing w:before="17"/>
              <w:ind w:right="59"/>
              <w:jc w:val="right"/>
              <w:rPr>
                <w:sz w:val="18"/>
              </w:rPr>
            </w:pPr>
            <w:r>
              <w:rPr>
                <w:sz w:val="18"/>
              </w:rPr>
              <w:t>34</w:t>
            </w:r>
          </w:p>
        </w:tc>
        <w:tc>
          <w:tcPr>
            <w:tcW w:w="3260" w:type="dxa"/>
          </w:tcPr>
          <w:p>
            <w:pPr>
              <w:pStyle w:val="TableParagraph"/>
              <w:spacing w:before="17"/>
              <w:ind w:left="60"/>
              <w:rPr>
                <w:sz w:val="18"/>
              </w:rPr>
            </w:pPr>
            <w:r>
              <w:rPr>
                <w:sz w:val="18"/>
              </w:rPr>
              <w:t>严重溃疡性结肠炎</w:t>
            </w:r>
          </w:p>
        </w:tc>
      </w:tr>
      <w:tr>
        <w:trPr>
          <w:trHeight w:val="326" w:hRule="atLeast"/>
        </w:trPr>
        <w:tc>
          <w:tcPr>
            <w:tcW w:w="291" w:type="dxa"/>
          </w:tcPr>
          <w:p>
            <w:pPr>
              <w:pStyle w:val="TableParagraph"/>
              <w:spacing w:before="18"/>
              <w:ind w:left="30" w:right="40"/>
              <w:jc w:val="center"/>
              <w:rPr>
                <w:sz w:val="18"/>
              </w:rPr>
            </w:pPr>
            <w:r>
              <w:rPr>
                <w:sz w:val="18"/>
              </w:rPr>
              <w:t>13</w:t>
            </w:r>
          </w:p>
        </w:tc>
        <w:tc>
          <w:tcPr>
            <w:tcW w:w="2898" w:type="dxa"/>
          </w:tcPr>
          <w:p>
            <w:pPr>
              <w:pStyle w:val="TableParagraph"/>
              <w:spacing w:before="18"/>
              <w:ind w:left="60"/>
              <w:rPr>
                <w:sz w:val="18"/>
              </w:rPr>
            </w:pPr>
            <w:r>
              <w:rPr>
                <w:sz w:val="18"/>
              </w:rPr>
              <w:t>双耳失聪</w:t>
            </w:r>
          </w:p>
        </w:tc>
        <w:tc>
          <w:tcPr>
            <w:tcW w:w="377" w:type="dxa"/>
          </w:tcPr>
          <w:p>
            <w:pPr>
              <w:pStyle w:val="TableParagraph"/>
              <w:spacing w:before="18"/>
              <w:ind w:right="59"/>
              <w:jc w:val="right"/>
              <w:rPr>
                <w:sz w:val="18"/>
              </w:rPr>
            </w:pPr>
            <w:r>
              <w:rPr>
                <w:sz w:val="18"/>
              </w:rPr>
              <w:t>35</w:t>
            </w:r>
          </w:p>
        </w:tc>
        <w:tc>
          <w:tcPr>
            <w:tcW w:w="3260" w:type="dxa"/>
          </w:tcPr>
          <w:p>
            <w:pPr>
              <w:pStyle w:val="TableParagraph"/>
              <w:spacing w:before="18"/>
              <w:ind w:left="60"/>
              <w:rPr>
                <w:sz w:val="18"/>
              </w:rPr>
            </w:pPr>
            <w:r>
              <w:rPr>
                <w:sz w:val="18"/>
              </w:rPr>
              <w:t>疯牛病</w:t>
            </w:r>
          </w:p>
        </w:tc>
      </w:tr>
      <w:tr>
        <w:trPr>
          <w:trHeight w:val="326" w:hRule="atLeast"/>
        </w:trPr>
        <w:tc>
          <w:tcPr>
            <w:tcW w:w="291" w:type="dxa"/>
          </w:tcPr>
          <w:p>
            <w:pPr>
              <w:pStyle w:val="TableParagraph"/>
              <w:spacing w:before="17"/>
              <w:ind w:left="30" w:right="40"/>
              <w:jc w:val="center"/>
              <w:rPr>
                <w:sz w:val="18"/>
              </w:rPr>
            </w:pPr>
            <w:r>
              <w:rPr>
                <w:sz w:val="18"/>
              </w:rPr>
              <w:t>14</w:t>
            </w:r>
          </w:p>
        </w:tc>
        <w:tc>
          <w:tcPr>
            <w:tcW w:w="2898" w:type="dxa"/>
          </w:tcPr>
          <w:p>
            <w:pPr>
              <w:pStyle w:val="TableParagraph"/>
              <w:spacing w:before="17"/>
              <w:ind w:left="60"/>
              <w:rPr>
                <w:sz w:val="18"/>
              </w:rPr>
            </w:pPr>
            <w:r>
              <w:rPr>
                <w:sz w:val="18"/>
              </w:rPr>
              <w:t>双目失明</w:t>
            </w:r>
          </w:p>
        </w:tc>
        <w:tc>
          <w:tcPr>
            <w:tcW w:w="377" w:type="dxa"/>
          </w:tcPr>
          <w:p>
            <w:pPr>
              <w:pStyle w:val="TableParagraph"/>
              <w:spacing w:before="17"/>
              <w:ind w:right="59"/>
              <w:jc w:val="right"/>
              <w:rPr>
                <w:sz w:val="18"/>
              </w:rPr>
            </w:pPr>
            <w:r>
              <w:rPr>
                <w:sz w:val="18"/>
              </w:rPr>
              <w:t>36</w:t>
            </w:r>
          </w:p>
        </w:tc>
        <w:tc>
          <w:tcPr>
            <w:tcW w:w="3260" w:type="dxa"/>
          </w:tcPr>
          <w:p>
            <w:pPr>
              <w:pStyle w:val="TableParagraph"/>
              <w:spacing w:before="17"/>
              <w:ind w:left="60"/>
              <w:rPr>
                <w:sz w:val="18"/>
              </w:rPr>
            </w:pPr>
            <w:r>
              <w:rPr>
                <w:sz w:val="18"/>
              </w:rPr>
              <w:t>急性坏死性胰腺炎-不包括酒精作用所致</w:t>
            </w:r>
          </w:p>
        </w:tc>
      </w:tr>
      <w:tr>
        <w:trPr>
          <w:trHeight w:val="326" w:hRule="atLeast"/>
        </w:trPr>
        <w:tc>
          <w:tcPr>
            <w:tcW w:w="291" w:type="dxa"/>
          </w:tcPr>
          <w:p>
            <w:pPr>
              <w:pStyle w:val="TableParagraph"/>
              <w:spacing w:before="18"/>
              <w:ind w:left="30" w:right="40"/>
              <w:jc w:val="center"/>
              <w:rPr>
                <w:sz w:val="18"/>
              </w:rPr>
            </w:pPr>
            <w:r>
              <w:rPr>
                <w:sz w:val="18"/>
              </w:rPr>
              <w:t>15</w:t>
            </w:r>
          </w:p>
        </w:tc>
        <w:tc>
          <w:tcPr>
            <w:tcW w:w="2898" w:type="dxa"/>
          </w:tcPr>
          <w:p>
            <w:pPr>
              <w:pStyle w:val="TableParagraph"/>
              <w:spacing w:before="18"/>
              <w:ind w:left="60"/>
              <w:rPr>
                <w:sz w:val="18"/>
              </w:rPr>
            </w:pPr>
            <w:r>
              <w:rPr>
                <w:sz w:val="18"/>
              </w:rPr>
              <w:t>瘫痪</w:t>
            </w:r>
          </w:p>
        </w:tc>
        <w:tc>
          <w:tcPr>
            <w:tcW w:w="377" w:type="dxa"/>
          </w:tcPr>
          <w:p>
            <w:pPr>
              <w:pStyle w:val="TableParagraph"/>
              <w:spacing w:before="18"/>
              <w:ind w:right="59"/>
              <w:jc w:val="right"/>
              <w:rPr>
                <w:sz w:val="18"/>
              </w:rPr>
            </w:pPr>
            <w:r>
              <w:rPr>
                <w:sz w:val="18"/>
              </w:rPr>
              <w:t>37</w:t>
            </w:r>
          </w:p>
        </w:tc>
        <w:tc>
          <w:tcPr>
            <w:tcW w:w="3260" w:type="dxa"/>
          </w:tcPr>
          <w:p>
            <w:pPr>
              <w:pStyle w:val="TableParagraph"/>
              <w:spacing w:before="18"/>
              <w:ind w:left="60"/>
              <w:rPr>
                <w:sz w:val="18"/>
              </w:rPr>
            </w:pPr>
            <w:r>
              <w:rPr>
                <w:sz w:val="18"/>
              </w:rPr>
              <w:t>慢性呼吸功能衰竭</w:t>
            </w:r>
          </w:p>
        </w:tc>
      </w:tr>
      <w:tr>
        <w:trPr>
          <w:trHeight w:val="326" w:hRule="atLeast"/>
        </w:trPr>
        <w:tc>
          <w:tcPr>
            <w:tcW w:w="291" w:type="dxa"/>
          </w:tcPr>
          <w:p>
            <w:pPr>
              <w:pStyle w:val="TableParagraph"/>
              <w:spacing w:before="17"/>
              <w:ind w:left="30" w:right="40"/>
              <w:jc w:val="center"/>
              <w:rPr>
                <w:sz w:val="18"/>
              </w:rPr>
            </w:pPr>
            <w:r>
              <w:rPr>
                <w:sz w:val="18"/>
              </w:rPr>
              <w:t>16</w:t>
            </w:r>
          </w:p>
        </w:tc>
        <w:tc>
          <w:tcPr>
            <w:tcW w:w="2898" w:type="dxa"/>
          </w:tcPr>
          <w:p>
            <w:pPr>
              <w:pStyle w:val="TableParagraph"/>
              <w:spacing w:before="17"/>
              <w:ind w:left="60"/>
              <w:rPr>
                <w:sz w:val="18"/>
              </w:rPr>
            </w:pPr>
            <w:r>
              <w:rPr>
                <w:sz w:val="18"/>
              </w:rPr>
              <w:t>心脏瓣膜手术</w:t>
            </w:r>
          </w:p>
        </w:tc>
        <w:tc>
          <w:tcPr>
            <w:tcW w:w="377" w:type="dxa"/>
          </w:tcPr>
          <w:p>
            <w:pPr>
              <w:pStyle w:val="TableParagraph"/>
              <w:spacing w:before="17"/>
              <w:ind w:right="59"/>
              <w:jc w:val="right"/>
              <w:rPr>
                <w:sz w:val="18"/>
              </w:rPr>
            </w:pPr>
            <w:r>
              <w:rPr>
                <w:sz w:val="18"/>
              </w:rPr>
              <w:t>38</w:t>
            </w:r>
          </w:p>
        </w:tc>
        <w:tc>
          <w:tcPr>
            <w:tcW w:w="3260" w:type="dxa"/>
          </w:tcPr>
          <w:p>
            <w:pPr>
              <w:pStyle w:val="TableParagraph"/>
              <w:spacing w:before="17"/>
              <w:ind w:left="60"/>
              <w:rPr>
                <w:sz w:val="18"/>
              </w:rPr>
            </w:pPr>
            <w:r>
              <w:rPr>
                <w:sz w:val="18"/>
              </w:rPr>
              <w:t>多发性硬化</w:t>
            </w:r>
          </w:p>
        </w:tc>
      </w:tr>
      <w:tr>
        <w:trPr>
          <w:trHeight w:val="326" w:hRule="atLeast"/>
        </w:trPr>
        <w:tc>
          <w:tcPr>
            <w:tcW w:w="291" w:type="dxa"/>
          </w:tcPr>
          <w:p>
            <w:pPr>
              <w:pStyle w:val="TableParagraph"/>
              <w:spacing w:before="18"/>
              <w:ind w:left="30" w:right="40"/>
              <w:jc w:val="center"/>
              <w:rPr>
                <w:sz w:val="18"/>
              </w:rPr>
            </w:pPr>
            <w:r>
              <w:rPr>
                <w:sz w:val="18"/>
              </w:rPr>
              <w:t>17</w:t>
            </w:r>
          </w:p>
        </w:tc>
        <w:tc>
          <w:tcPr>
            <w:tcW w:w="2898" w:type="dxa"/>
          </w:tcPr>
          <w:p>
            <w:pPr>
              <w:pStyle w:val="TableParagraph"/>
              <w:spacing w:before="18"/>
              <w:ind w:left="60"/>
              <w:rPr>
                <w:sz w:val="18"/>
              </w:rPr>
            </w:pPr>
            <w:r>
              <w:rPr>
                <w:sz w:val="18"/>
              </w:rPr>
              <w:t>严重阿尔茨海默病</w:t>
            </w:r>
          </w:p>
        </w:tc>
        <w:tc>
          <w:tcPr>
            <w:tcW w:w="377" w:type="dxa"/>
          </w:tcPr>
          <w:p>
            <w:pPr>
              <w:pStyle w:val="TableParagraph"/>
              <w:spacing w:before="18"/>
              <w:ind w:right="59"/>
              <w:jc w:val="right"/>
              <w:rPr>
                <w:sz w:val="18"/>
              </w:rPr>
            </w:pPr>
            <w:r>
              <w:rPr>
                <w:sz w:val="18"/>
              </w:rPr>
              <w:t>39</w:t>
            </w:r>
          </w:p>
        </w:tc>
        <w:tc>
          <w:tcPr>
            <w:tcW w:w="3260" w:type="dxa"/>
          </w:tcPr>
          <w:p>
            <w:pPr>
              <w:pStyle w:val="TableParagraph"/>
              <w:spacing w:before="18"/>
              <w:ind w:left="60"/>
              <w:rPr>
                <w:sz w:val="18"/>
              </w:rPr>
            </w:pPr>
            <w:r>
              <w:rPr>
                <w:sz w:val="18"/>
              </w:rPr>
              <w:t>经输血导致的人类免疫缺陷病毒感染</w:t>
            </w:r>
          </w:p>
        </w:tc>
      </w:tr>
      <w:tr>
        <w:trPr>
          <w:trHeight w:val="326" w:hRule="atLeast"/>
        </w:trPr>
        <w:tc>
          <w:tcPr>
            <w:tcW w:w="291" w:type="dxa"/>
          </w:tcPr>
          <w:p>
            <w:pPr>
              <w:pStyle w:val="TableParagraph"/>
              <w:spacing w:before="17"/>
              <w:ind w:left="30" w:right="40"/>
              <w:jc w:val="center"/>
              <w:rPr>
                <w:sz w:val="18"/>
              </w:rPr>
            </w:pPr>
            <w:r>
              <w:rPr>
                <w:sz w:val="18"/>
              </w:rPr>
              <w:t>18</w:t>
            </w:r>
          </w:p>
        </w:tc>
        <w:tc>
          <w:tcPr>
            <w:tcW w:w="2898" w:type="dxa"/>
          </w:tcPr>
          <w:p>
            <w:pPr>
              <w:pStyle w:val="TableParagraph"/>
              <w:spacing w:before="17"/>
              <w:ind w:left="60"/>
              <w:rPr>
                <w:sz w:val="18"/>
              </w:rPr>
            </w:pPr>
            <w:r>
              <w:rPr>
                <w:sz w:val="18"/>
              </w:rPr>
              <w:t>严重脑损伤</w:t>
            </w:r>
          </w:p>
        </w:tc>
        <w:tc>
          <w:tcPr>
            <w:tcW w:w="377" w:type="dxa"/>
          </w:tcPr>
          <w:p>
            <w:pPr>
              <w:pStyle w:val="TableParagraph"/>
              <w:spacing w:before="17"/>
              <w:ind w:right="59"/>
              <w:jc w:val="right"/>
              <w:rPr>
                <w:sz w:val="18"/>
              </w:rPr>
            </w:pPr>
            <w:r>
              <w:rPr>
                <w:sz w:val="18"/>
              </w:rPr>
              <w:t>40</w:t>
            </w:r>
          </w:p>
        </w:tc>
        <w:tc>
          <w:tcPr>
            <w:tcW w:w="3260" w:type="dxa"/>
          </w:tcPr>
          <w:p>
            <w:pPr>
              <w:pStyle w:val="TableParagraph"/>
              <w:spacing w:before="17"/>
              <w:ind w:left="60"/>
              <w:rPr>
                <w:sz w:val="18"/>
              </w:rPr>
            </w:pPr>
            <w:r>
              <w:rPr>
                <w:sz w:val="18"/>
              </w:rPr>
              <w:t>终末期肺病</w:t>
            </w:r>
          </w:p>
        </w:tc>
      </w:tr>
      <w:tr>
        <w:trPr>
          <w:trHeight w:val="326" w:hRule="atLeast"/>
        </w:trPr>
        <w:tc>
          <w:tcPr>
            <w:tcW w:w="291" w:type="dxa"/>
          </w:tcPr>
          <w:p>
            <w:pPr>
              <w:pStyle w:val="TableParagraph"/>
              <w:spacing w:before="18"/>
              <w:ind w:left="30" w:right="40"/>
              <w:jc w:val="center"/>
              <w:rPr>
                <w:sz w:val="18"/>
              </w:rPr>
            </w:pPr>
            <w:r>
              <w:rPr>
                <w:sz w:val="18"/>
              </w:rPr>
              <w:t>19</w:t>
            </w:r>
          </w:p>
        </w:tc>
        <w:tc>
          <w:tcPr>
            <w:tcW w:w="2898" w:type="dxa"/>
          </w:tcPr>
          <w:p>
            <w:pPr>
              <w:pStyle w:val="TableParagraph"/>
              <w:spacing w:before="18"/>
              <w:ind w:left="60"/>
              <w:rPr>
                <w:sz w:val="18"/>
              </w:rPr>
            </w:pPr>
            <w:r>
              <w:rPr>
                <w:sz w:val="18"/>
              </w:rPr>
              <w:t>严重帕金森病</w:t>
            </w:r>
          </w:p>
        </w:tc>
        <w:tc>
          <w:tcPr>
            <w:tcW w:w="377" w:type="dxa"/>
          </w:tcPr>
          <w:p>
            <w:pPr>
              <w:pStyle w:val="TableParagraph"/>
              <w:spacing w:before="18"/>
              <w:ind w:right="59"/>
              <w:jc w:val="right"/>
              <w:rPr>
                <w:sz w:val="18"/>
              </w:rPr>
            </w:pPr>
            <w:r>
              <w:rPr>
                <w:sz w:val="18"/>
              </w:rPr>
              <w:t>41</w:t>
            </w:r>
          </w:p>
        </w:tc>
        <w:tc>
          <w:tcPr>
            <w:tcW w:w="3260" w:type="dxa"/>
          </w:tcPr>
          <w:p>
            <w:pPr>
              <w:pStyle w:val="TableParagraph"/>
              <w:spacing w:before="18"/>
              <w:ind w:left="60"/>
              <w:rPr>
                <w:sz w:val="18"/>
              </w:rPr>
            </w:pPr>
            <w:r>
              <w:rPr>
                <w:sz w:val="18"/>
              </w:rPr>
              <w:t>严重类风湿性关节炎</w:t>
            </w:r>
          </w:p>
        </w:tc>
      </w:tr>
      <w:tr>
        <w:trPr>
          <w:trHeight w:val="253" w:hRule="atLeast"/>
        </w:trPr>
        <w:tc>
          <w:tcPr>
            <w:tcW w:w="291" w:type="dxa"/>
          </w:tcPr>
          <w:p>
            <w:pPr>
              <w:pStyle w:val="TableParagraph"/>
              <w:spacing w:line="216" w:lineRule="exact" w:before="17"/>
              <w:ind w:left="30" w:right="40"/>
              <w:jc w:val="center"/>
              <w:rPr>
                <w:sz w:val="18"/>
              </w:rPr>
            </w:pPr>
            <w:r>
              <w:rPr>
                <w:sz w:val="18"/>
              </w:rPr>
              <w:t>20</w:t>
            </w:r>
          </w:p>
        </w:tc>
        <w:tc>
          <w:tcPr>
            <w:tcW w:w="2898" w:type="dxa"/>
          </w:tcPr>
          <w:p>
            <w:pPr>
              <w:pStyle w:val="TableParagraph"/>
              <w:spacing w:line="216" w:lineRule="exact" w:before="17"/>
              <w:ind w:left="60"/>
              <w:rPr>
                <w:sz w:val="18"/>
              </w:rPr>
            </w:pPr>
            <w:r>
              <w:rPr>
                <w:sz w:val="18"/>
              </w:rPr>
              <w:t>严重Ⅲ度烧伤</w:t>
            </w:r>
          </w:p>
        </w:tc>
        <w:tc>
          <w:tcPr>
            <w:tcW w:w="377" w:type="dxa"/>
          </w:tcPr>
          <w:p>
            <w:pPr>
              <w:pStyle w:val="TableParagraph"/>
              <w:spacing w:line="216" w:lineRule="exact" w:before="17"/>
              <w:ind w:right="59"/>
              <w:jc w:val="right"/>
              <w:rPr>
                <w:sz w:val="18"/>
              </w:rPr>
            </w:pPr>
            <w:r>
              <w:rPr>
                <w:sz w:val="18"/>
              </w:rPr>
              <w:t>42</w:t>
            </w:r>
          </w:p>
        </w:tc>
        <w:tc>
          <w:tcPr>
            <w:tcW w:w="3260" w:type="dxa"/>
          </w:tcPr>
          <w:p>
            <w:pPr>
              <w:pStyle w:val="TableParagraph"/>
              <w:spacing w:line="216" w:lineRule="exact" w:before="17"/>
              <w:ind w:left="60"/>
              <w:rPr>
                <w:sz w:val="18"/>
              </w:rPr>
            </w:pPr>
            <w:r>
              <w:rPr>
                <w:sz w:val="18"/>
              </w:rPr>
              <w:t>系统性红斑狼疮</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483"/>
        <w:gridCol w:w="7024"/>
      </w:tblGrid>
      <w:tr>
        <w:trPr>
          <w:trHeight w:val="260" w:hRule="atLeast"/>
        </w:trPr>
        <w:tc>
          <w:tcPr>
            <w:tcW w:w="840" w:type="dxa"/>
          </w:tcPr>
          <w:p>
            <w:pPr>
              <w:pStyle w:val="TableParagraph"/>
              <w:spacing w:line="210" w:lineRule="exact"/>
              <w:ind w:left="50"/>
              <w:rPr>
                <w:sz w:val="21"/>
              </w:rPr>
            </w:pPr>
            <w:r>
              <w:rPr>
                <w:sz w:val="21"/>
              </w:rPr>
              <w:t>3.4</w:t>
            </w:r>
          </w:p>
        </w:tc>
        <w:tc>
          <w:tcPr>
            <w:tcW w:w="1483" w:type="dxa"/>
          </w:tcPr>
          <w:p>
            <w:pPr>
              <w:pStyle w:val="TableParagraph"/>
              <w:spacing w:line="210" w:lineRule="exact"/>
              <w:ind w:left="266"/>
              <w:rPr>
                <w:sz w:val="21"/>
              </w:rPr>
            </w:pPr>
            <w:r>
              <w:rPr>
                <w:sz w:val="21"/>
              </w:rPr>
              <w:t>重大疾病的</w:t>
            </w:r>
          </w:p>
        </w:tc>
        <w:tc>
          <w:tcPr>
            <w:tcW w:w="7024" w:type="dxa"/>
          </w:tcPr>
          <w:p>
            <w:pPr>
              <w:pStyle w:val="TableParagraph"/>
              <w:spacing w:line="210" w:lineRule="exact"/>
              <w:ind w:left="103"/>
              <w:rPr>
                <w:sz w:val="21"/>
              </w:rPr>
            </w:pPr>
            <w:r>
              <w:rPr>
                <w:spacing w:val="-3"/>
                <w:sz w:val="21"/>
              </w:rPr>
              <w:t>以上各种重大疾病须我们认可的医院专科医生明确诊断，符合以下定义</w:t>
            </w:r>
            <w:r>
              <w:rPr>
                <w:sz w:val="21"/>
              </w:rPr>
              <w:t>（其</w:t>
            </w:r>
          </w:p>
        </w:tc>
      </w:tr>
      <w:tr>
        <w:trPr>
          <w:trHeight w:val="311" w:hRule="atLeast"/>
        </w:trPr>
        <w:tc>
          <w:tcPr>
            <w:tcW w:w="840" w:type="dxa"/>
          </w:tcPr>
          <w:p>
            <w:pPr>
              <w:pStyle w:val="TableParagraph"/>
              <w:rPr>
                <w:rFonts w:ascii="Times New Roman"/>
                <w:sz w:val="20"/>
              </w:rPr>
            </w:pPr>
          </w:p>
        </w:tc>
        <w:tc>
          <w:tcPr>
            <w:tcW w:w="1483" w:type="dxa"/>
          </w:tcPr>
          <w:p>
            <w:pPr>
              <w:pStyle w:val="TableParagraph"/>
              <w:spacing w:line="261" w:lineRule="exact"/>
              <w:ind w:left="266"/>
              <w:rPr>
                <w:sz w:val="21"/>
              </w:rPr>
            </w:pPr>
            <w:r>
              <w:rPr>
                <w:sz w:val="21"/>
              </w:rPr>
              <w:t>定义</w:t>
            </w:r>
          </w:p>
        </w:tc>
        <w:tc>
          <w:tcPr>
            <w:tcW w:w="7024" w:type="dxa"/>
          </w:tcPr>
          <w:p>
            <w:pPr>
              <w:pStyle w:val="TableParagraph"/>
              <w:spacing w:line="261" w:lineRule="exact"/>
              <w:ind w:left="103"/>
              <w:rPr>
                <w:sz w:val="21"/>
              </w:rPr>
            </w:pPr>
            <w:r>
              <w:rPr>
                <w:sz w:val="21"/>
              </w:rPr>
              <w:t>中，前25 种重大疾病定义完全采用了中国保险行业协会发布的《重大疾病</w:t>
            </w:r>
          </w:p>
        </w:tc>
      </w:tr>
      <w:tr>
        <w:trPr>
          <w:trHeight w:val="45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保险的疾病定义使用规范》中的疾病定义），其他为本公司增加的疾病：</w:t>
            </w:r>
          </w:p>
        </w:tc>
      </w:tr>
      <w:tr>
        <w:trPr>
          <w:trHeight w:val="484" w:hRule="atLeast"/>
        </w:trPr>
        <w:tc>
          <w:tcPr>
            <w:tcW w:w="840" w:type="dxa"/>
          </w:tcPr>
          <w:p>
            <w:pPr>
              <w:pStyle w:val="TableParagraph"/>
              <w:spacing w:before="146"/>
              <w:ind w:left="50"/>
              <w:rPr>
                <w:i/>
                <w:sz w:val="22"/>
              </w:rPr>
            </w:pPr>
            <w:r>
              <w:rPr>
                <w:i/>
                <w:sz w:val="22"/>
              </w:rPr>
              <w:t>3.4.1</w:t>
            </w:r>
          </w:p>
        </w:tc>
        <w:tc>
          <w:tcPr>
            <w:tcW w:w="1483" w:type="dxa"/>
          </w:tcPr>
          <w:p>
            <w:pPr>
              <w:pStyle w:val="TableParagraph"/>
              <w:spacing w:before="125"/>
              <w:ind w:left="266"/>
              <w:rPr>
                <w:i/>
                <w:sz w:val="22"/>
              </w:rPr>
            </w:pPr>
            <w:r>
              <w:rPr>
                <w:i/>
                <w:w w:val="95"/>
                <w:sz w:val="22"/>
              </w:rPr>
              <w:t>恶性肿瘤</w:t>
            </w:r>
          </w:p>
        </w:tc>
        <w:tc>
          <w:tcPr>
            <w:tcW w:w="7024" w:type="dxa"/>
          </w:tcPr>
          <w:p>
            <w:pPr>
              <w:pStyle w:val="TableParagraph"/>
              <w:spacing w:before="157"/>
              <w:ind w:left="103"/>
              <w:rPr>
                <w:sz w:val="21"/>
              </w:rPr>
            </w:pPr>
            <w:r>
              <w:rPr>
                <w:spacing w:val="-3"/>
                <w:sz w:val="21"/>
              </w:rPr>
              <w:t>指恶性细胞不受控制的进行性增长和扩散，浸润和破坏周围正常组织，可以</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0" w:lineRule="exact"/>
              <w:ind w:left="103"/>
              <w:rPr>
                <w:sz w:val="21"/>
              </w:rPr>
            </w:pPr>
            <w:r>
              <w:rPr>
                <w:spacing w:val="-7"/>
                <w:sz w:val="21"/>
              </w:rPr>
              <w:t>经血管、淋巴管和体腔扩散转移到身体其它部位的疾病。经病理学检查结果</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pacing w:val="-7"/>
                <w:sz w:val="21"/>
              </w:rPr>
              <w:t>明确诊断，临床诊断属于世界卫生组织《疾病和有关健康问题的国际统计分</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pacing w:val="-53"/>
                <w:sz w:val="21"/>
              </w:rPr>
              <w:t>类》</w:t>
            </w:r>
            <w:r>
              <w:rPr>
                <w:spacing w:val="-1"/>
                <w:sz w:val="21"/>
              </w:rPr>
              <w:t>（ICD-10）的恶性肿瘤范畴。</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下列疾病不在保障范围内：</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（1）原位癌；</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（2）相当于Binet 分期方案 A 期程度的慢性淋巴细胞白血病；</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（3）相当于Ann Arbor 分期方案 I 期程度的何杰金氏病；</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（4）</w:t>
            </w:r>
            <w:r>
              <w:rPr>
                <w:spacing w:val="-1"/>
                <w:sz w:val="21"/>
                <w:shd w:fill="E5E5E5" w:color="auto" w:val="clear"/>
              </w:rPr>
              <w:t>皮肤癌</w:t>
            </w:r>
            <w:r>
              <w:rPr>
                <w:sz w:val="21"/>
                <w:shd w:fill="E5E5E5" w:color="auto" w:val="clear"/>
              </w:rPr>
              <w:t>（不包括恶性黑色素瘤及已发生转移的皮肤癌</w:t>
            </w:r>
            <w:r>
              <w:rPr>
                <w:spacing w:val="-106"/>
                <w:sz w:val="21"/>
                <w:shd w:fill="E5E5E5" w:color="auto" w:val="clear"/>
              </w:rPr>
              <w:t>）</w:t>
            </w:r>
            <w:r>
              <w:rPr>
                <w:sz w:val="21"/>
                <w:shd w:fill="E5E5E5" w:color="auto" w:val="clear"/>
              </w:rPr>
              <w:t>；</w:t>
            </w:r>
          </w:p>
        </w:tc>
      </w:tr>
      <w:tr>
        <w:trPr>
          <w:trHeight w:val="31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position w:val="1"/>
                <w:sz w:val="21"/>
                <w:shd w:fill="E5E5E5" w:color="auto" w:val="clear"/>
              </w:rPr>
              <w:t>（5）TNM 分期为 T</w:t>
            </w:r>
            <w:r>
              <w:rPr>
                <w:sz w:val="11"/>
              </w:rPr>
              <w:t>1</w:t>
            </w:r>
            <w:r>
              <w:rPr>
                <w:position w:val="1"/>
                <w:sz w:val="21"/>
                <w:shd w:fill="E5E5E5" w:color="auto" w:val="clear"/>
              </w:rPr>
              <w:t>N</w:t>
            </w:r>
            <w:r>
              <w:rPr>
                <w:sz w:val="11"/>
              </w:rPr>
              <w:t>0</w:t>
            </w:r>
            <w:r>
              <w:rPr>
                <w:position w:val="1"/>
                <w:sz w:val="21"/>
                <w:shd w:fill="E5E5E5" w:color="auto" w:val="clear"/>
              </w:rPr>
              <w:t>M</w:t>
            </w:r>
            <w:r>
              <w:rPr>
                <w:sz w:val="11"/>
              </w:rPr>
              <w:t>0</w:t>
            </w:r>
            <w:r>
              <w:rPr>
                <w:position w:val="1"/>
                <w:sz w:val="11"/>
              </w:rPr>
              <w:t> </w:t>
            </w:r>
            <w:r>
              <w:rPr>
                <w:position w:val="1"/>
                <w:sz w:val="21"/>
                <w:shd w:fill="E5E5E5" w:color="auto" w:val="clear"/>
              </w:rPr>
              <w:t>期或更轻分期的前列腺癌；</w:t>
            </w:r>
          </w:p>
        </w:tc>
      </w:tr>
      <w:tr>
        <w:trPr>
          <w:trHeight w:val="46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shd w:fill="E5E5E5" w:color="auto" w:val="clear"/>
              </w:rPr>
              <w:t>（6）感染艾滋病病毒或患艾滋病期间所患恶性肿瘤。</w:t>
            </w:r>
          </w:p>
        </w:tc>
      </w:tr>
      <w:tr>
        <w:trPr>
          <w:trHeight w:val="785" w:hRule="atLeast"/>
        </w:trPr>
        <w:tc>
          <w:tcPr>
            <w:tcW w:w="840" w:type="dxa"/>
          </w:tcPr>
          <w:p>
            <w:pPr>
              <w:pStyle w:val="TableParagraph"/>
              <w:spacing w:before="135"/>
              <w:ind w:left="50"/>
              <w:rPr>
                <w:i/>
                <w:sz w:val="22"/>
              </w:rPr>
            </w:pPr>
            <w:r>
              <w:rPr>
                <w:i/>
                <w:sz w:val="22"/>
              </w:rPr>
              <w:t>3.4.2</w:t>
            </w:r>
          </w:p>
        </w:tc>
        <w:tc>
          <w:tcPr>
            <w:tcW w:w="1483" w:type="dxa"/>
          </w:tcPr>
          <w:p>
            <w:pPr>
              <w:pStyle w:val="TableParagraph"/>
              <w:spacing w:line="259" w:lineRule="auto" w:before="135"/>
              <w:ind w:left="265" w:right="98"/>
              <w:rPr>
                <w:i/>
                <w:sz w:val="22"/>
              </w:rPr>
            </w:pPr>
            <w:r>
              <w:rPr>
                <w:i/>
                <w:w w:val="95"/>
                <w:sz w:val="22"/>
              </w:rPr>
              <w:t>急性心肌梗</w:t>
            </w:r>
            <w:r>
              <w:rPr>
                <w:i/>
                <w:sz w:val="22"/>
              </w:rPr>
              <w:t>塞</w:t>
            </w:r>
          </w:p>
        </w:tc>
        <w:tc>
          <w:tcPr>
            <w:tcW w:w="7024" w:type="dxa"/>
          </w:tcPr>
          <w:p>
            <w:pPr>
              <w:pStyle w:val="TableParagraph"/>
              <w:spacing w:line="273" w:lineRule="auto" w:before="147"/>
              <w:ind w:left="103" w:right="46"/>
              <w:rPr>
                <w:sz w:val="21"/>
              </w:rPr>
            </w:pPr>
            <w:r>
              <w:rPr>
                <w:spacing w:val="-3"/>
                <w:sz w:val="21"/>
              </w:rPr>
              <w:t>指因冠状动脉阻塞导致的相应区域供血不足造成部分心肌坏死。须满足下列至少三项条件：</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0" w:lineRule="exact"/>
              <w:ind w:left="103"/>
              <w:rPr>
                <w:sz w:val="21"/>
              </w:rPr>
            </w:pPr>
            <w:r>
              <w:rPr>
                <w:sz w:val="21"/>
              </w:rPr>
              <w:t>（1）典型临床表现，例如急性胸痛等；</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（2）新近的心电图改变提示急性心肌梗塞；</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（3）心肌酶或肌钙蛋白有诊断意义的升高，或呈符合急性心肌梗塞的动态</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性变化；</w:t>
            </w:r>
          </w:p>
        </w:tc>
      </w:tr>
      <w:tr>
        <w:trPr>
          <w:trHeight w:val="311"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（4）发病 90 天后，经检查证实左心室功能降低，如左心室射血分数低于</w:t>
            </w:r>
          </w:p>
        </w:tc>
      </w:tr>
      <w:tr>
        <w:trPr>
          <w:trHeight w:val="462" w:hRule="atLeast"/>
        </w:trPr>
        <w:tc>
          <w:tcPr>
            <w:tcW w:w="840" w:type="dxa"/>
          </w:tcPr>
          <w:p>
            <w:pPr>
              <w:pStyle w:val="TableParagraph"/>
              <w:rPr>
                <w:rFonts w:ascii="Times New Roman"/>
                <w:sz w:val="20"/>
              </w:rPr>
            </w:pPr>
          </w:p>
        </w:tc>
        <w:tc>
          <w:tcPr>
            <w:tcW w:w="1483" w:type="dxa"/>
          </w:tcPr>
          <w:p>
            <w:pPr>
              <w:pStyle w:val="TableParagraph"/>
              <w:rPr>
                <w:rFonts w:ascii="Times New Roman"/>
                <w:sz w:val="20"/>
              </w:rPr>
            </w:pPr>
          </w:p>
        </w:tc>
        <w:tc>
          <w:tcPr>
            <w:tcW w:w="7024" w:type="dxa"/>
          </w:tcPr>
          <w:p>
            <w:pPr>
              <w:pStyle w:val="TableParagraph"/>
              <w:spacing w:line="261" w:lineRule="exact"/>
              <w:ind w:left="103"/>
              <w:rPr>
                <w:sz w:val="21"/>
              </w:rPr>
            </w:pPr>
            <w:r>
              <w:rPr>
                <w:sz w:val="21"/>
              </w:rPr>
              <w:t>50%。</w:t>
            </w:r>
          </w:p>
        </w:tc>
      </w:tr>
      <w:tr>
        <w:trPr>
          <w:trHeight w:val="735" w:hRule="atLeast"/>
        </w:trPr>
        <w:tc>
          <w:tcPr>
            <w:tcW w:w="840" w:type="dxa"/>
          </w:tcPr>
          <w:p>
            <w:pPr>
              <w:pStyle w:val="TableParagraph"/>
              <w:spacing w:before="135"/>
              <w:ind w:left="50"/>
              <w:rPr>
                <w:i/>
                <w:sz w:val="22"/>
              </w:rPr>
            </w:pPr>
            <w:r>
              <w:rPr>
                <w:i/>
                <w:sz w:val="22"/>
              </w:rPr>
              <w:t>3.4.3</w:t>
            </w:r>
          </w:p>
        </w:tc>
        <w:tc>
          <w:tcPr>
            <w:tcW w:w="1483" w:type="dxa"/>
          </w:tcPr>
          <w:p>
            <w:pPr>
              <w:pStyle w:val="TableParagraph"/>
              <w:spacing w:line="310" w:lineRule="atLeast" w:before="113"/>
              <w:ind w:left="265" w:right="166"/>
              <w:rPr>
                <w:i/>
                <w:sz w:val="22"/>
              </w:rPr>
            </w:pPr>
            <w:r>
              <w:rPr>
                <w:i/>
                <w:w w:val="95"/>
                <w:sz w:val="22"/>
              </w:rPr>
              <w:t>脑中风后遗</w:t>
            </w:r>
            <w:r>
              <w:rPr>
                <w:i/>
                <w:sz w:val="22"/>
              </w:rPr>
              <w:t>症</w:t>
            </w:r>
          </w:p>
        </w:tc>
        <w:tc>
          <w:tcPr>
            <w:tcW w:w="7024" w:type="dxa"/>
          </w:tcPr>
          <w:p>
            <w:pPr>
              <w:pStyle w:val="TableParagraph"/>
              <w:spacing w:line="310" w:lineRule="atLeast" w:before="112"/>
              <w:ind w:left="103" w:right="46"/>
              <w:rPr>
                <w:sz w:val="21"/>
              </w:rPr>
            </w:pPr>
            <w:r>
              <w:rPr>
                <w:spacing w:val="-4"/>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w:t>
            </w:r>
          </w:p>
        </w:tc>
      </w:tr>
    </w:tbl>
    <w:p>
      <w:pPr>
        <w:spacing w:after="0" w:line="310" w:lineRule="atLeast"/>
        <w:rPr>
          <w:sz w:val="21"/>
        </w:rPr>
        <w:sectPr>
          <w:pgSz w:w="11900" w:h="16840"/>
          <w:pgMar w:header="570" w:footer="0" w:top="800" w:bottom="280" w:left="860" w:right="1480"/>
        </w:sectPr>
      </w:pPr>
    </w:p>
    <w:p>
      <w:pPr>
        <w:pStyle w:val="BodyText"/>
        <w:rPr>
          <w:rFonts w:ascii="Times New Roman"/>
          <w:sz w:val="20"/>
        </w:rPr>
      </w:pPr>
    </w:p>
    <w:p>
      <w:pPr>
        <w:pStyle w:val="BodyText"/>
        <w:spacing w:before="8"/>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31"/>
        <w:gridCol w:w="7130"/>
      </w:tblGrid>
      <w:tr>
        <w:trPr>
          <w:trHeight w:val="261" w:hRule="atLeast"/>
        </w:trPr>
        <w:tc>
          <w:tcPr>
            <w:tcW w:w="894" w:type="dxa"/>
          </w:tcPr>
          <w:p>
            <w:pPr>
              <w:pStyle w:val="TableParagraph"/>
              <w:rPr>
                <w:rFonts w:ascii="Times New Roman"/>
                <w:sz w:val="18"/>
              </w:rPr>
            </w:pPr>
          </w:p>
        </w:tc>
        <w:tc>
          <w:tcPr>
            <w:tcW w:w="1431" w:type="dxa"/>
          </w:tcPr>
          <w:p>
            <w:pPr>
              <w:pStyle w:val="TableParagraph"/>
              <w:rPr>
                <w:rFonts w:ascii="Times New Roman"/>
                <w:sz w:val="18"/>
              </w:rPr>
            </w:pPr>
          </w:p>
        </w:tc>
        <w:tc>
          <w:tcPr>
            <w:tcW w:w="7130" w:type="dxa"/>
          </w:tcPr>
          <w:p>
            <w:pPr>
              <w:pStyle w:val="TableParagraph"/>
              <w:spacing w:line="210" w:lineRule="exact"/>
              <w:ind w:left="100"/>
              <w:rPr>
                <w:sz w:val="21"/>
              </w:rPr>
            </w:pPr>
            <w:r>
              <w:rPr>
                <w:sz w:val="21"/>
              </w:rPr>
              <w:t>下列一种或一种以上障碍：</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（1）</w:t>
            </w:r>
            <w:r>
              <w:rPr>
                <w:spacing w:val="-1"/>
                <w:sz w:val="21"/>
              </w:rPr>
              <w:t>一肢或一肢以上肢体机能完全丧失（</w:t>
            </w:r>
            <w:r>
              <w:rPr>
                <w:spacing w:val="-27"/>
                <w:sz w:val="21"/>
              </w:rPr>
              <w:t>见 </w:t>
            </w:r>
            <w:r>
              <w:rPr>
                <w:spacing w:val="-1"/>
                <w:sz w:val="21"/>
              </w:rPr>
              <w:t>9</w:t>
            </w:r>
            <w:r>
              <w:rPr>
                <w:sz w:val="21"/>
              </w:rPr>
              <w:t>.</w:t>
            </w:r>
            <w:r>
              <w:rPr>
                <w:spacing w:val="-1"/>
                <w:sz w:val="21"/>
              </w:rPr>
              <w:t>1</w:t>
            </w:r>
            <w:r>
              <w:rPr>
                <w:sz w:val="21"/>
              </w:rPr>
              <w:t>4</w:t>
            </w:r>
            <w:r>
              <w:rPr>
                <w:spacing w:val="-105"/>
                <w:sz w:val="21"/>
              </w:rPr>
              <w:t>）</w:t>
            </w:r>
            <w:r>
              <w:rPr>
                <w:sz w:val="21"/>
              </w:rPr>
              <w:t>；</w:t>
            </w:r>
          </w:p>
        </w:tc>
      </w:tr>
      <w:tr>
        <w:trPr>
          <w:trHeight w:val="30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（2</w:t>
            </w:r>
            <w:r>
              <w:rPr>
                <w:spacing w:val="-1"/>
                <w:sz w:val="21"/>
              </w:rPr>
              <w:t>）</w:t>
            </w:r>
            <w:r>
              <w:rPr>
                <w:sz w:val="21"/>
              </w:rPr>
              <w:t>语言能力或咀嚼吞咽能力完全丧失</w:t>
            </w:r>
            <w:r>
              <w:rPr>
                <w:spacing w:val="-1"/>
                <w:sz w:val="21"/>
              </w:rPr>
              <w:t>（</w:t>
            </w:r>
            <w:r>
              <w:rPr>
                <w:spacing w:val="-27"/>
                <w:sz w:val="21"/>
              </w:rPr>
              <w:t>见 </w:t>
            </w:r>
            <w:r>
              <w:rPr>
                <w:spacing w:val="-1"/>
                <w:sz w:val="21"/>
              </w:rPr>
              <w:t>9</w:t>
            </w:r>
            <w:r>
              <w:rPr>
                <w:sz w:val="21"/>
              </w:rPr>
              <w:t>.</w:t>
            </w:r>
            <w:r>
              <w:rPr>
                <w:spacing w:val="-1"/>
                <w:sz w:val="21"/>
              </w:rPr>
              <w:t>1</w:t>
            </w:r>
            <w:r>
              <w:rPr>
                <w:sz w:val="21"/>
              </w:rPr>
              <w:t>5</w:t>
            </w:r>
            <w:r>
              <w:rPr>
                <w:spacing w:val="-105"/>
                <w:sz w:val="21"/>
              </w:rPr>
              <w:t>）</w:t>
            </w:r>
            <w:r>
              <w:rPr>
                <w:sz w:val="21"/>
              </w:rPr>
              <w:t>；</w:t>
            </w:r>
          </w:p>
        </w:tc>
      </w:tr>
      <w:tr>
        <w:trPr>
          <w:trHeight w:val="715"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72" w:lineRule="exact" w:before="3"/>
              <w:ind w:left="100" w:right="49"/>
              <w:rPr>
                <w:sz w:val="21"/>
              </w:rPr>
            </w:pPr>
            <w:r>
              <w:rPr>
                <w:sz w:val="21"/>
              </w:rPr>
              <w:t>（3</w:t>
            </w:r>
            <w:r>
              <w:rPr>
                <w:spacing w:val="-105"/>
                <w:sz w:val="21"/>
              </w:rPr>
              <w:t>）</w:t>
            </w:r>
            <w:r>
              <w:rPr>
                <w:spacing w:val="-15"/>
                <w:sz w:val="21"/>
              </w:rPr>
              <w:t>自主生活能力完全丧失，无法独立完成六项基本日常生活活动</w:t>
            </w:r>
            <w:r>
              <w:rPr>
                <w:sz w:val="21"/>
              </w:rPr>
              <w:t>（</w:t>
            </w:r>
            <w:r>
              <w:rPr>
                <w:spacing w:val="36"/>
                <w:sz w:val="21"/>
              </w:rPr>
              <w:t>见</w:t>
            </w:r>
            <w:r>
              <w:rPr>
                <w:sz w:val="21"/>
              </w:rPr>
              <w:t>9</w:t>
            </w:r>
            <w:r>
              <w:rPr>
                <w:spacing w:val="-1"/>
                <w:sz w:val="21"/>
              </w:rPr>
              <w:t>.</w:t>
            </w:r>
            <w:r>
              <w:rPr>
                <w:sz w:val="21"/>
              </w:rPr>
              <w:t>16）中的三项或三项以上。</w:t>
            </w:r>
          </w:p>
        </w:tc>
      </w:tr>
      <w:tr>
        <w:trPr>
          <w:trHeight w:val="459" w:hRule="atLeast"/>
        </w:trPr>
        <w:tc>
          <w:tcPr>
            <w:tcW w:w="894" w:type="dxa"/>
          </w:tcPr>
          <w:p>
            <w:pPr>
              <w:pStyle w:val="TableParagraph"/>
              <w:spacing w:before="126"/>
              <w:ind w:left="50"/>
              <w:rPr>
                <w:i/>
                <w:sz w:val="22"/>
              </w:rPr>
            </w:pPr>
            <w:r>
              <w:rPr>
                <w:i/>
                <w:sz w:val="22"/>
              </w:rPr>
              <w:t>3.4.4</w:t>
            </w:r>
          </w:p>
        </w:tc>
        <w:tc>
          <w:tcPr>
            <w:tcW w:w="1431" w:type="dxa"/>
          </w:tcPr>
          <w:p>
            <w:pPr>
              <w:pStyle w:val="TableParagraph"/>
              <w:spacing w:before="126"/>
              <w:ind w:left="211"/>
              <w:rPr>
                <w:i/>
                <w:sz w:val="22"/>
              </w:rPr>
            </w:pPr>
            <w:r>
              <w:rPr>
                <w:i/>
                <w:w w:val="95"/>
                <w:sz w:val="22"/>
              </w:rPr>
              <w:t>重大器官移</w:t>
            </w:r>
          </w:p>
        </w:tc>
        <w:tc>
          <w:tcPr>
            <w:tcW w:w="7130" w:type="dxa"/>
          </w:tcPr>
          <w:p>
            <w:pPr>
              <w:pStyle w:val="TableParagraph"/>
              <w:spacing w:before="137"/>
              <w:ind w:left="100"/>
              <w:rPr>
                <w:sz w:val="21"/>
              </w:rPr>
            </w:pPr>
            <w:r>
              <w:rPr>
                <w:sz w:val="21"/>
              </w:rPr>
              <w:t>重大器官移植术，指因相应器官功能衰竭，已经实施了肾脏、肝脏、心脏或</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植术或造血</w:t>
            </w:r>
          </w:p>
        </w:tc>
        <w:tc>
          <w:tcPr>
            <w:tcW w:w="7130" w:type="dxa"/>
          </w:tcPr>
          <w:p>
            <w:pPr>
              <w:pStyle w:val="TableParagraph"/>
              <w:spacing w:line="265" w:lineRule="exact"/>
              <w:ind w:left="100"/>
              <w:rPr>
                <w:sz w:val="21"/>
              </w:rPr>
            </w:pPr>
            <w:r>
              <w:rPr>
                <w:sz w:val="21"/>
              </w:rPr>
              <w:t>肺脏的异体移植手术。</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干细胞移植</w:t>
            </w:r>
          </w:p>
        </w:tc>
        <w:tc>
          <w:tcPr>
            <w:tcW w:w="7130" w:type="dxa"/>
          </w:tcPr>
          <w:p>
            <w:pPr>
              <w:pStyle w:val="TableParagraph"/>
              <w:spacing w:line="265" w:lineRule="exact"/>
              <w:ind w:left="100"/>
              <w:rPr>
                <w:sz w:val="21"/>
              </w:rPr>
            </w:pPr>
            <w:r>
              <w:rPr>
                <w:sz w:val="21"/>
              </w:rPr>
              <w:t>造血干细胞移植术，指因造血功能损害或造血系统恶性肿瘤，已经实施了造</w:t>
            </w:r>
          </w:p>
        </w:tc>
      </w:tr>
      <w:tr>
        <w:trPr>
          <w:trHeight w:val="317"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术</w:t>
            </w:r>
          </w:p>
        </w:tc>
        <w:tc>
          <w:tcPr>
            <w:tcW w:w="7130" w:type="dxa"/>
          </w:tcPr>
          <w:p>
            <w:pPr>
              <w:pStyle w:val="TableParagraph"/>
              <w:spacing w:line="265" w:lineRule="exact"/>
              <w:ind w:left="100"/>
              <w:rPr>
                <w:sz w:val="21"/>
              </w:rPr>
            </w:pPr>
            <w:r>
              <w:rPr>
                <w:sz w:val="21"/>
              </w:rPr>
              <w:t>血干细胞（包括骨髓造血干细胞、外周血造血干细胞和脐血造血干细胞）的</w:t>
            </w:r>
          </w:p>
        </w:tc>
      </w:tr>
      <w:tr>
        <w:trPr>
          <w:trHeight w:val="46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0" w:lineRule="exact"/>
              <w:ind w:left="100"/>
              <w:rPr>
                <w:sz w:val="21"/>
              </w:rPr>
            </w:pPr>
            <w:r>
              <w:rPr>
                <w:sz w:val="21"/>
              </w:rPr>
              <w:t>异体移植手术。</w:t>
            </w:r>
          </w:p>
        </w:tc>
      </w:tr>
      <w:tr>
        <w:trPr>
          <w:trHeight w:val="468" w:hRule="atLeast"/>
        </w:trPr>
        <w:tc>
          <w:tcPr>
            <w:tcW w:w="894" w:type="dxa"/>
          </w:tcPr>
          <w:p>
            <w:pPr>
              <w:pStyle w:val="TableParagraph"/>
              <w:spacing w:before="135"/>
              <w:ind w:left="50"/>
              <w:rPr>
                <w:i/>
                <w:sz w:val="22"/>
              </w:rPr>
            </w:pPr>
            <w:r>
              <w:rPr>
                <w:i/>
                <w:sz w:val="22"/>
              </w:rPr>
              <w:t>3.4.5</w:t>
            </w:r>
          </w:p>
        </w:tc>
        <w:tc>
          <w:tcPr>
            <w:tcW w:w="1431" w:type="dxa"/>
          </w:tcPr>
          <w:p>
            <w:pPr>
              <w:pStyle w:val="TableParagraph"/>
              <w:spacing w:before="135"/>
              <w:ind w:left="211"/>
              <w:rPr>
                <w:i/>
                <w:sz w:val="22"/>
              </w:rPr>
            </w:pPr>
            <w:r>
              <w:rPr>
                <w:i/>
                <w:w w:val="95"/>
                <w:sz w:val="22"/>
              </w:rPr>
              <w:t>冠状动脉搭</w:t>
            </w:r>
          </w:p>
        </w:tc>
        <w:tc>
          <w:tcPr>
            <w:tcW w:w="7130" w:type="dxa"/>
          </w:tcPr>
          <w:p>
            <w:pPr>
              <w:pStyle w:val="TableParagraph"/>
              <w:spacing w:before="147"/>
              <w:ind w:left="100"/>
              <w:rPr>
                <w:sz w:val="21"/>
              </w:rPr>
            </w:pPr>
            <w:r>
              <w:rPr>
                <w:sz w:val="21"/>
              </w:rPr>
              <w:t>指为治疗严重的冠心病，实际实施了开胸进行的冠状动脉血管旁路移植的手</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桥术（或称</w:t>
            </w:r>
          </w:p>
        </w:tc>
        <w:tc>
          <w:tcPr>
            <w:tcW w:w="7130" w:type="dxa"/>
          </w:tcPr>
          <w:p>
            <w:pPr>
              <w:pStyle w:val="TableParagraph"/>
              <w:spacing w:line="265" w:lineRule="exact"/>
              <w:ind w:left="100"/>
              <w:rPr>
                <w:sz w:val="21"/>
              </w:rPr>
            </w:pPr>
            <w:r>
              <w:rPr>
                <w:sz w:val="21"/>
              </w:rPr>
              <w:t>术。</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冠状动脉旁</w:t>
            </w:r>
          </w:p>
        </w:tc>
        <w:tc>
          <w:tcPr>
            <w:tcW w:w="7130" w:type="dxa"/>
          </w:tcPr>
          <w:p>
            <w:pPr>
              <w:pStyle w:val="TableParagraph"/>
              <w:spacing w:line="265" w:lineRule="exact"/>
              <w:ind w:left="100"/>
              <w:rPr>
                <w:sz w:val="21"/>
              </w:rPr>
            </w:pPr>
            <w:r>
              <w:rPr>
                <w:sz w:val="21"/>
                <w:shd w:fill="E5E5E5" w:color="auto" w:val="clear"/>
              </w:rPr>
              <w:t>冠状动脉支架植入术、心导管球囊扩张术、激光射频技术及其它非开胸的介</w:t>
            </w:r>
          </w:p>
        </w:tc>
      </w:tr>
      <w:tr>
        <w:trPr>
          <w:trHeight w:val="468"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路移植术）</w:t>
            </w:r>
          </w:p>
        </w:tc>
        <w:tc>
          <w:tcPr>
            <w:tcW w:w="7130" w:type="dxa"/>
          </w:tcPr>
          <w:p>
            <w:pPr>
              <w:pStyle w:val="TableParagraph"/>
              <w:spacing w:line="265" w:lineRule="exact"/>
              <w:ind w:left="100"/>
              <w:rPr>
                <w:sz w:val="21"/>
              </w:rPr>
            </w:pPr>
            <w:r>
              <w:rPr>
                <w:sz w:val="21"/>
                <w:shd w:fill="E5E5E5" w:color="auto" w:val="clear"/>
              </w:rPr>
              <w:t>入手术、腔镜手术不在保障范围内。</w:t>
            </w:r>
          </w:p>
        </w:tc>
      </w:tr>
      <w:tr>
        <w:trPr>
          <w:trHeight w:val="468" w:hRule="atLeast"/>
        </w:trPr>
        <w:tc>
          <w:tcPr>
            <w:tcW w:w="894" w:type="dxa"/>
          </w:tcPr>
          <w:p>
            <w:pPr>
              <w:pStyle w:val="TableParagraph"/>
              <w:spacing w:before="135"/>
              <w:ind w:left="50"/>
              <w:rPr>
                <w:i/>
                <w:sz w:val="22"/>
              </w:rPr>
            </w:pPr>
            <w:r>
              <w:rPr>
                <w:i/>
                <w:sz w:val="22"/>
              </w:rPr>
              <w:t>3.4.6</w:t>
            </w:r>
          </w:p>
        </w:tc>
        <w:tc>
          <w:tcPr>
            <w:tcW w:w="1431" w:type="dxa"/>
          </w:tcPr>
          <w:p>
            <w:pPr>
              <w:pStyle w:val="TableParagraph"/>
              <w:spacing w:before="135"/>
              <w:ind w:left="211"/>
              <w:rPr>
                <w:i/>
                <w:sz w:val="22"/>
              </w:rPr>
            </w:pPr>
            <w:r>
              <w:rPr>
                <w:i/>
                <w:w w:val="95"/>
                <w:sz w:val="22"/>
              </w:rPr>
              <w:t>终末期肾病</w:t>
            </w:r>
          </w:p>
        </w:tc>
        <w:tc>
          <w:tcPr>
            <w:tcW w:w="7130" w:type="dxa"/>
          </w:tcPr>
          <w:p>
            <w:pPr>
              <w:pStyle w:val="TableParagraph"/>
              <w:spacing w:before="146"/>
              <w:ind w:left="100"/>
              <w:rPr>
                <w:sz w:val="21"/>
              </w:rPr>
            </w:pPr>
            <w:r>
              <w:rPr>
                <w:sz w:val="21"/>
              </w:rPr>
              <w:t>指双肾功能慢性不可逆性衰竭，达到尿毒症期，经诊断后已经进行了至少</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（或称慢性</w:t>
            </w:r>
          </w:p>
        </w:tc>
        <w:tc>
          <w:tcPr>
            <w:tcW w:w="7130" w:type="dxa"/>
          </w:tcPr>
          <w:p>
            <w:pPr>
              <w:pStyle w:val="TableParagraph"/>
              <w:spacing w:line="265" w:lineRule="exact"/>
              <w:ind w:left="100"/>
              <w:rPr>
                <w:sz w:val="21"/>
              </w:rPr>
            </w:pPr>
            <w:r>
              <w:rPr>
                <w:sz w:val="21"/>
              </w:rPr>
              <w:t>90 天的规律性透析治疗或实施了肾脏移植手术。</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肾功能衰竭</w:t>
            </w:r>
          </w:p>
        </w:tc>
        <w:tc>
          <w:tcPr>
            <w:tcW w:w="7130" w:type="dxa"/>
          </w:tcPr>
          <w:p>
            <w:pPr>
              <w:pStyle w:val="TableParagraph"/>
              <w:rPr>
                <w:rFonts w:ascii="Times New Roman"/>
                <w:sz w:val="20"/>
              </w:rPr>
            </w:pPr>
          </w:p>
        </w:tc>
      </w:tr>
      <w:tr>
        <w:trPr>
          <w:trHeight w:val="468"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尿毒症期）</w:t>
            </w:r>
          </w:p>
        </w:tc>
        <w:tc>
          <w:tcPr>
            <w:tcW w:w="7130" w:type="dxa"/>
          </w:tcPr>
          <w:p>
            <w:pPr>
              <w:pStyle w:val="TableParagraph"/>
              <w:rPr>
                <w:rFonts w:ascii="Times New Roman"/>
                <w:sz w:val="20"/>
              </w:rPr>
            </w:pPr>
          </w:p>
        </w:tc>
      </w:tr>
      <w:tr>
        <w:trPr>
          <w:trHeight w:val="468" w:hRule="atLeast"/>
        </w:trPr>
        <w:tc>
          <w:tcPr>
            <w:tcW w:w="894" w:type="dxa"/>
          </w:tcPr>
          <w:p>
            <w:pPr>
              <w:pStyle w:val="TableParagraph"/>
              <w:spacing w:before="135"/>
              <w:ind w:left="50"/>
              <w:rPr>
                <w:i/>
                <w:sz w:val="22"/>
              </w:rPr>
            </w:pPr>
            <w:r>
              <w:rPr>
                <w:i/>
                <w:sz w:val="22"/>
              </w:rPr>
              <w:t>3.4.7</w:t>
            </w:r>
          </w:p>
        </w:tc>
        <w:tc>
          <w:tcPr>
            <w:tcW w:w="1431" w:type="dxa"/>
          </w:tcPr>
          <w:p>
            <w:pPr>
              <w:pStyle w:val="TableParagraph"/>
              <w:spacing w:before="135"/>
              <w:ind w:left="211"/>
              <w:rPr>
                <w:i/>
                <w:sz w:val="22"/>
              </w:rPr>
            </w:pPr>
            <w:r>
              <w:rPr>
                <w:i/>
                <w:w w:val="95"/>
                <w:sz w:val="22"/>
              </w:rPr>
              <w:t>多个肢体缺</w:t>
            </w:r>
          </w:p>
        </w:tc>
        <w:tc>
          <w:tcPr>
            <w:tcW w:w="7130" w:type="dxa"/>
          </w:tcPr>
          <w:p>
            <w:pPr>
              <w:pStyle w:val="TableParagraph"/>
              <w:spacing w:before="146"/>
              <w:ind w:left="100"/>
              <w:rPr>
                <w:sz w:val="21"/>
              </w:rPr>
            </w:pPr>
            <w:r>
              <w:rPr>
                <w:sz w:val="21"/>
              </w:rPr>
              <w:t>指因疾病或意外伤害导致两个或两个以上肢体自腕关节或踝关节近端（靠近</w:t>
            </w:r>
          </w:p>
        </w:tc>
      </w:tr>
      <w:tr>
        <w:trPr>
          <w:trHeight w:val="468"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失</w:t>
            </w:r>
          </w:p>
        </w:tc>
        <w:tc>
          <w:tcPr>
            <w:tcW w:w="7130" w:type="dxa"/>
          </w:tcPr>
          <w:p>
            <w:pPr>
              <w:pStyle w:val="TableParagraph"/>
              <w:spacing w:line="265" w:lineRule="exact"/>
              <w:ind w:left="100"/>
              <w:rPr>
                <w:sz w:val="21"/>
              </w:rPr>
            </w:pPr>
            <w:r>
              <w:rPr>
                <w:sz w:val="21"/>
              </w:rPr>
              <w:t>躯干端）以上完全性断离。</w:t>
            </w:r>
          </w:p>
        </w:tc>
      </w:tr>
      <w:tr>
        <w:trPr>
          <w:trHeight w:val="468" w:hRule="atLeast"/>
        </w:trPr>
        <w:tc>
          <w:tcPr>
            <w:tcW w:w="894" w:type="dxa"/>
          </w:tcPr>
          <w:p>
            <w:pPr>
              <w:pStyle w:val="TableParagraph"/>
              <w:spacing w:before="135"/>
              <w:ind w:left="50"/>
              <w:rPr>
                <w:i/>
                <w:sz w:val="22"/>
              </w:rPr>
            </w:pPr>
            <w:r>
              <w:rPr>
                <w:i/>
                <w:sz w:val="22"/>
              </w:rPr>
              <w:t>3.4.8</w:t>
            </w:r>
          </w:p>
        </w:tc>
        <w:tc>
          <w:tcPr>
            <w:tcW w:w="1431" w:type="dxa"/>
          </w:tcPr>
          <w:p>
            <w:pPr>
              <w:pStyle w:val="TableParagraph"/>
              <w:spacing w:before="135"/>
              <w:ind w:left="211"/>
              <w:rPr>
                <w:i/>
                <w:sz w:val="22"/>
              </w:rPr>
            </w:pPr>
            <w:r>
              <w:rPr>
                <w:i/>
                <w:w w:val="95"/>
                <w:sz w:val="22"/>
              </w:rPr>
              <w:t>急性或亚急</w:t>
            </w:r>
          </w:p>
        </w:tc>
        <w:tc>
          <w:tcPr>
            <w:tcW w:w="7130" w:type="dxa"/>
          </w:tcPr>
          <w:p>
            <w:pPr>
              <w:pStyle w:val="TableParagraph"/>
              <w:spacing w:before="146"/>
              <w:ind w:left="100"/>
              <w:rPr>
                <w:sz w:val="21"/>
              </w:rPr>
            </w:pPr>
            <w:r>
              <w:rPr>
                <w:sz w:val="21"/>
              </w:rPr>
              <w:t>指因肝炎病毒感染引起肝脏组织弥漫性坏死，导致急性肝功能衰竭，且经血</w:t>
            </w:r>
          </w:p>
        </w:tc>
      </w:tr>
      <w:tr>
        <w:trPr>
          <w:trHeight w:val="317"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性重症肝炎</w:t>
            </w:r>
          </w:p>
        </w:tc>
        <w:tc>
          <w:tcPr>
            <w:tcW w:w="7130" w:type="dxa"/>
          </w:tcPr>
          <w:p>
            <w:pPr>
              <w:pStyle w:val="TableParagraph"/>
              <w:spacing w:line="265" w:lineRule="exact"/>
              <w:ind w:left="100"/>
              <w:rPr>
                <w:sz w:val="21"/>
              </w:rPr>
            </w:pPr>
            <w:r>
              <w:rPr>
                <w:sz w:val="21"/>
              </w:rPr>
              <w:t>清学或病毒学检查证实，并须满足下列全部条件：</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0" w:lineRule="exact"/>
              <w:ind w:left="100"/>
              <w:rPr>
                <w:sz w:val="21"/>
              </w:rPr>
            </w:pPr>
            <w:r>
              <w:rPr>
                <w:sz w:val="21"/>
              </w:rPr>
              <w:t>（1）重度黄疸或黄疸迅速加重；</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（2）肝性脑病；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（3）B 超或其它影像学检查显示肝脏体积急速萎缩；</w:t>
            </w:r>
          </w:p>
        </w:tc>
      </w:tr>
      <w:tr>
        <w:trPr>
          <w:trHeight w:val="46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（4）肝功能指标进行性恶化。</w:t>
            </w:r>
          </w:p>
        </w:tc>
      </w:tr>
      <w:tr>
        <w:trPr>
          <w:trHeight w:val="473" w:hRule="atLeast"/>
        </w:trPr>
        <w:tc>
          <w:tcPr>
            <w:tcW w:w="894" w:type="dxa"/>
          </w:tcPr>
          <w:p>
            <w:pPr>
              <w:pStyle w:val="TableParagraph"/>
              <w:spacing w:before="135"/>
              <w:ind w:left="50"/>
              <w:rPr>
                <w:i/>
                <w:sz w:val="22"/>
              </w:rPr>
            </w:pPr>
            <w:r>
              <w:rPr>
                <w:i/>
                <w:sz w:val="22"/>
              </w:rPr>
              <w:t>3.4.9</w:t>
            </w:r>
          </w:p>
        </w:tc>
        <w:tc>
          <w:tcPr>
            <w:tcW w:w="1431" w:type="dxa"/>
          </w:tcPr>
          <w:p>
            <w:pPr>
              <w:pStyle w:val="TableParagraph"/>
              <w:spacing w:before="135"/>
              <w:ind w:left="211"/>
              <w:rPr>
                <w:i/>
                <w:sz w:val="22"/>
              </w:rPr>
            </w:pPr>
            <w:r>
              <w:rPr>
                <w:i/>
                <w:w w:val="95"/>
                <w:sz w:val="22"/>
              </w:rPr>
              <w:t>良性脑肿瘤</w:t>
            </w:r>
          </w:p>
        </w:tc>
        <w:tc>
          <w:tcPr>
            <w:tcW w:w="7130" w:type="dxa"/>
          </w:tcPr>
          <w:p>
            <w:pPr>
              <w:pStyle w:val="TableParagraph"/>
              <w:spacing w:before="147"/>
              <w:ind w:left="100"/>
              <w:rPr>
                <w:sz w:val="21"/>
              </w:rPr>
            </w:pPr>
            <w:r>
              <w:rPr>
                <w:sz w:val="21"/>
              </w:rPr>
              <w:t>指脑的良性肿瘤，已经引起颅内压增高，临床表现为视神经乳头水肿、精神</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0" w:lineRule="exact"/>
              <w:ind w:left="100"/>
              <w:rPr>
                <w:sz w:val="21"/>
              </w:rPr>
            </w:pPr>
            <w:r>
              <w:rPr>
                <w:sz w:val="21"/>
              </w:rPr>
              <w:t>症状、癫痫及运动感觉障碍等，并危及生命。须由头颅断层扫描</w:t>
            </w:r>
            <w:r>
              <w:rPr>
                <w:spacing w:val="0"/>
                <w:sz w:val="21"/>
              </w:rPr>
              <w:t>（CT</w:t>
            </w:r>
            <w:r>
              <w:rPr>
                <w:spacing w:val="-104"/>
                <w:sz w:val="21"/>
              </w:rPr>
              <w:t>）</w:t>
            </w:r>
            <w:r>
              <w:rPr>
                <w:sz w:val="21"/>
              </w:rPr>
              <w:t>、核</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磁共振检查（MRI）或正电子发射断层扫描（PET）等影像学检查证实，并须</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满足下列至少一项条件：</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（1）实际实施了开颅进行的脑肿瘤完全切除或部分切除的手术；</w:t>
            </w:r>
          </w:p>
        </w:tc>
      </w:tr>
      <w:tr>
        <w:trPr>
          <w:trHeight w:val="31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（2）实际实施了对脑肿瘤进行的放射治疗。</w:t>
            </w:r>
          </w:p>
        </w:tc>
      </w:tr>
      <w:tr>
        <w:trPr>
          <w:trHeight w:val="46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shd w:fill="E5E5E5" w:color="auto" w:val="clear"/>
              </w:rPr>
              <w:t>脑垂体瘤、脑囊肿、脑血管性疾病不在保障范围内。</w:t>
            </w:r>
          </w:p>
        </w:tc>
      </w:tr>
      <w:tr>
        <w:trPr>
          <w:trHeight w:val="468" w:hRule="atLeast"/>
        </w:trPr>
        <w:tc>
          <w:tcPr>
            <w:tcW w:w="894" w:type="dxa"/>
          </w:tcPr>
          <w:p>
            <w:pPr>
              <w:pStyle w:val="TableParagraph"/>
              <w:spacing w:before="135"/>
              <w:ind w:left="50"/>
              <w:rPr>
                <w:i/>
                <w:sz w:val="22"/>
              </w:rPr>
            </w:pPr>
            <w:r>
              <w:rPr>
                <w:i/>
                <w:sz w:val="22"/>
              </w:rPr>
              <w:t>3.4.10</w:t>
            </w:r>
          </w:p>
        </w:tc>
        <w:tc>
          <w:tcPr>
            <w:tcW w:w="1431" w:type="dxa"/>
          </w:tcPr>
          <w:p>
            <w:pPr>
              <w:pStyle w:val="TableParagraph"/>
              <w:spacing w:before="135"/>
              <w:ind w:left="211"/>
              <w:rPr>
                <w:i/>
                <w:sz w:val="22"/>
              </w:rPr>
            </w:pPr>
            <w:r>
              <w:rPr>
                <w:i/>
                <w:w w:val="95"/>
                <w:sz w:val="22"/>
              </w:rPr>
              <w:t>慢性肝功能</w:t>
            </w:r>
          </w:p>
        </w:tc>
        <w:tc>
          <w:tcPr>
            <w:tcW w:w="7130" w:type="dxa"/>
          </w:tcPr>
          <w:p>
            <w:pPr>
              <w:pStyle w:val="TableParagraph"/>
              <w:spacing w:before="147"/>
              <w:ind w:left="100"/>
              <w:rPr>
                <w:sz w:val="21"/>
              </w:rPr>
            </w:pPr>
            <w:r>
              <w:rPr>
                <w:sz w:val="21"/>
              </w:rPr>
              <w:t>指因慢性肝脏疾病导致肝功能衰竭,须满足下列全部条件：</w:t>
            </w:r>
          </w:p>
        </w:tc>
      </w:tr>
      <w:tr>
        <w:trPr>
          <w:trHeight w:val="311"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衰竭失代偿</w:t>
            </w:r>
          </w:p>
        </w:tc>
        <w:tc>
          <w:tcPr>
            <w:tcW w:w="7130" w:type="dxa"/>
          </w:tcPr>
          <w:p>
            <w:pPr>
              <w:pStyle w:val="TableParagraph"/>
              <w:spacing w:line="265" w:lineRule="exact"/>
              <w:ind w:left="100"/>
              <w:rPr>
                <w:sz w:val="21"/>
              </w:rPr>
            </w:pPr>
            <w:r>
              <w:rPr>
                <w:sz w:val="21"/>
              </w:rPr>
              <w:t>（1）持续性黄疸；</w:t>
            </w:r>
          </w:p>
        </w:tc>
      </w:tr>
      <w:tr>
        <w:trPr>
          <w:trHeight w:val="317" w:hRule="atLeast"/>
        </w:trPr>
        <w:tc>
          <w:tcPr>
            <w:tcW w:w="894" w:type="dxa"/>
          </w:tcPr>
          <w:p>
            <w:pPr>
              <w:pStyle w:val="TableParagraph"/>
              <w:rPr>
                <w:rFonts w:ascii="Times New Roman"/>
                <w:sz w:val="20"/>
              </w:rPr>
            </w:pPr>
          </w:p>
        </w:tc>
        <w:tc>
          <w:tcPr>
            <w:tcW w:w="1431" w:type="dxa"/>
          </w:tcPr>
          <w:p>
            <w:pPr>
              <w:pStyle w:val="TableParagraph"/>
              <w:spacing w:line="267" w:lineRule="exact"/>
              <w:ind w:left="211"/>
              <w:rPr>
                <w:i/>
                <w:sz w:val="22"/>
              </w:rPr>
            </w:pPr>
            <w:r>
              <w:rPr>
                <w:i/>
                <w:w w:val="95"/>
                <w:sz w:val="22"/>
              </w:rPr>
              <w:t>期</w:t>
            </w:r>
          </w:p>
        </w:tc>
        <w:tc>
          <w:tcPr>
            <w:tcW w:w="7130" w:type="dxa"/>
          </w:tcPr>
          <w:p>
            <w:pPr>
              <w:pStyle w:val="TableParagraph"/>
              <w:spacing w:line="265" w:lineRule="exact"/>
              <w:ind w:left="100"/>
              <w:rPr>
                <w:sz w:val="21"/>
              </w:rPr>
            </w:pPr>
            <w:r>
              <w:rPr>
                <w:sz w:val="21"/>
              </w:rPr>
              <w:t>（2）腹水；</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0" w:lineRule="exact"/>
              <w:ind w:left="100"/>
              <w:rPr>
                <w:sz w:val="21"/>
              </w:rPr>
            </w:pPr>
            <w:r>
              <w:rPr>
                <w:sz w:val="21"/>
              </w:rPr>
              <w:t>（3）肝性脑病；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0" w:type="dxa"/>
          </w:tcPr>
          <w:p>
            <w:pPr>
              <w:pStyle w:val="TableParagraph"/>
              <w:spacing w:line="261" w:lineRule="exact"/>
              <w:ind w:left="100"/>
              <w:rPr>
                <w:sz w:val="21"/>
              </w:rPr>
            </w:pPr>
            <w:r>
              <w:rPr>
                <w:sz w:val="21"/>
              </w:rPr>
              <w:t>（4）充血性脾肿大伴脾功能亢进或食管胃底静脉曲张。</w:t>
            </w:r>
          </w:p>
        </w:tc>
      </w:tr>
      <w:tr>
        <w:trPr>
          <w:trHeight w:val="261" w:hRule="atLeast"/>
        </w:trPr>
        <w:tc>
          <w:tcPr>
            <w:tcW w:w="894" w:type="dxa"/>
          </w:tcPr>
          <w:p>
            <w:pPr>
              <w:pStyle w:val="TableParagraph"/>
              <w:rPr>
                <w:rFonts w:ascii="Times New Roman"/>
                <w:sz w:val="18"/>
              </w:rPr>
            </w:pPr>
          </w:p>
        </w:tc>
        <w:tc>
          <w:tcPr>
            <w:tcW w:w="1431" w:type="dxa"/>
          </w:tcPr>
          <w:p>
            <w:pPr>
              <w:pStyle w:val="TableParagraph"/>
              <w:rPr>
                <w:rFonts w:ascii="Times New Roman"/>
                <w:sz w:val="18"/>
              </w:rPr>
            </w:pPr>
          </w:p>
        </w:tc>
        <w:tc>
          <w:tcPr>
            <w:tcW w:w="7130" w:type="dxa"/>
          </w:tcPr>
          <w:p>
            <w:pPr>
              <w:pStyle w:val="TableParagraph"/>
              <w:spacing w:line="241" w:lineRule="exact"/>
              <w:ind w:left="100"/>
              <w:rPr>
                <w:sz w:val="21"/>
              </w:rPr>
            </w:pPr>
            <w:r>
              <w:rPr>
                <w:sz w:val="21"/>
                <w:shd w:fill="E5E5E5" w:color="auto" w:val="clear"/>
              </w:rPr>
              <w:t>因酗酒或药物滥用导致的肝功能衰竭不在保障范围内。</w:t>
            </w:r>
          </w:p>
        </w:tc>
      </w:tr>
    </w:tbl>
    <w:p>
      <w:pPr>
        <w:spacing w:after="0" w:line="241" w:lineRule="exact"/>
        <w:rPr>
          <w:sz w:val="21"/>
        </w:rPr>
        <w:sectPr>
          <w:pgSz w:w="11900" w:h="16840"/>
          <w:pgMar w:header="570" w:footer="0" w:top="800" w:bottom="280" w:left="860" w:right="136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00" w:h="16840"/>
          <w:pgMar w:header="570" w:footer="0" w:top="800" w:bottom="280" w:left="920" w:right="1420"/>
        </w:sectPr>
      </w:pPr>
    </w:p>
    <w:p>
      <w:pPr>
        <w:pStyle w:val="Heading4"/>
        <w:numPr>
          <w:ilvl w:val="2"/>
          <w:numId w:val="5"/>
        </w:numPr>
        <w:tabs>
          <w:tab w:pos="1157" w:val="left" w:leader="none"/>
          <w:tab w:pos="1158" w:val="left" w:leader="none"/>
        </w:tabs>
        <w:spacing w:line="240" w:lineRule="auto" w:before="152" w:after="0"/>
        <w:ind w:left="2477" w:right="0" w:hanging="2376"/>
        <w:jc w:val="left"/>
      </w:pPr>
      <w:r>
        <w:rPr>
          <w:spacing w:val="11"/>
          <w:w w:val="95"/>
        </w:rPr>
        <w:t>脑炎后遗症</w:t>
      </w:r>
    </w:p>
    <w:p>
      <w:pPr>
        <w:spacing w:line="259" w:lineRule="auto" w:before="24"/>
        <w:ind w:left="1157" w:right="0" w:firstLine="0"/>
        <w:jc w:val="left"/>
        <w:rPr>
          <w:i/>
          <w:sz w:val="22"/>
        </w:rPr>
      </w:pPr>
      <w:r>
        <w:rPr>
          <w:i/>
          <w:w w:val="95"/>
          <w:sz w:val="22"/>
        </w:rPr>
        <w:t>或脑膜炎后遗症</w:t>
      </w:r>
    </w:p>
    <w:p>
      <w:pPr>
        <w:pStyle w:val="BodyText"/>
        <w:spacing w:line="273" w:lineRule="auto" w:before="163"/>
        <w:ind w:left="101" w:right="14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01"/>
      </w:pPr>
      <w:r>
        <w:rPr/>
        <w:t>（1）一肢或一肢以上肢体机能完全丧失；</w:t>
      </w:r>
    </w:p>
    <w:p>
      <w:pPr>
        <w:pStyle w:val="BodyText"/>
        <w:spacing w:before="37"/>
        <w:ind w:left="101"/>
      </w:pPr>
      <w:r>
        <w:rPr/>
        <w:t>（2）语言能力或咀嚼吞咽能力完全丧失；</w:t>
      </w:r>
    </w:p>
    <w:p>
      <w:pPr>
        <w:pStyle w:val="BodyText"/>
        <w:spacing w:line="273" w:lineRule="auto" w:before="37"/>
        <w:ind w:left="101" w:right="256"/>
      </w:pPr>
      <w:r>
        <w:rPr/>
        <w:t>（3）自主生活能力完全丧失，无法独立完成六项基本日常生活活动中的三项或三项以上。</w:t>
      </w:r>
    </w:p>
    <w:p>
      <w:pPr>
        <w:spacing w:after="0" w:line="273" w:lineRule="auto"/>
        <w:sectPr>
          <w:type w:val="continuous"/>
          <w:pgSz w:w="11900" w:h="16840"/>
          <w:pgMar w:top="1100" w:bottom="280" w:left="920" w:right="1420"/>
          <w:cols w:num="2" w:equalWidth="0">
            <w:col w:w="2274" w:space="102"/>
            <w:col w:w="7184"/>
          </w:cols>
        </w:sectPr>
      </w:pPr>
    </w:p>
    <w:p>
      <w:pPr>
        <w:pStyle w:val="BodyText"/>
        <w:spacing w:before="12"/>
        <w:rPr>
          <w:sz w:val="20"/>
        </w:rPr>
      </w:pPr>
    </w:p>
    <w:p>
      <w:pPr>
        <w:pStyle w:val="ListParagraph"/>
        <w:numPr>
          <w:ilvl w:val="2"/>
          <w:numId w:val="5"/>
        </w:numPr>
        <w:tabs>
          <w:tab w:pos="1157" w:val="left" w:leader="none"/>
          <w:tab w:pos="1158" w:val="left" w:leader="none"/>
          <w:tab w:pos="2477" w:val="left" w:leader="none"/>
        </w:tabs>
        <w:spacing w:line="271" w:lineRule="auto" w:before="34" w:after="0"/>
        <w:ind w:left="2477" w:right="103" w:hanging="2376"/>
        <w:jc w:val="left"/>
        <w:rPr>
          <w:sz w:val="21"/>
        </w:rPr>
      </w:pPr>
      <w:r>
        <w:rPr>
          <w:i/>
          <w:sz w:val="22"/>
        </w:rPr>
        <w:t>深度昏迷</w:t>
        <w:tab/>
      </w:r>
      <w:r>
        <w:rPr>
          <w:spacing w:val="-1"/>
          <w:sz w:val="21"/>
        </w:rPr>
        <w:t>指因</w:t>
      </w:r>
      <w:r>
        <w:rPr>
          <w:sz w:val="21"/>
        </w:rPr>
        <w:t>疾病或意外伤害导致意识丧失,对外界刺激和体内需求均无反应,昏迷 程度按照格拉斯哥昏迷分</w:t>
      </w:r>
      <w:r>
        <w:rPr>
          <w:spacing w:val="-29"/>
          <w:sz w:val="21"/>
        </w:rPr>
        <w:t>级</w:t>
      </w:r>
      <w:r>
        <w:rPr>
          <w:sz w:val="21"/>
        </w:rPr>
        <w:t>（Glasgow</w:t>
      </w:r>
      <w:r>
        <w:rPr>
          <w:spacing w:val="-54"/>
          <w:sz w:val="21"/>
        </w:rPr>
        <w:t> </w:t>
      </w:r>
      <w:r>
        <w:rPr>
          <w:sz w:val="21"/>
        </w:rPr>
        <w:t>coma</w:t>
      </w:r>
      <w:r>
        <w:rPr>
          <w:spacing w:val="-53"/>
          <w:sz w:val="21"/>
        </w:rPr>
        <w:t> </w:t>
      </w:r>
      <w:r>
        <w:rPr>
          <w:spacing w:val="-6"/>
          <w:sz w:val="21"/>
        </w:rPr>
        <w:t>scale）</w:t>
      </w:r>
      <w:r>
        <w:rPr>
          <w:sz w:val="21"/>
        </w:rPr>
        <w:t>结果为</w:t>
      </w:r>
      <w:r>
        <w:rPr>
          <w:spacing w:val="-54"/>
          <w:sz w:val="21"/>
        </w:rPr>
        <w:t> </w:t>
      </w:r>
      <w:r>
        <w:rPr>
          <w:sz w:val="21"/>
        </w:rPr>
        <w:t>5</w:t>
      </w:r>
      <w:r>
        <w:rPr>
          <w:spacing w:val="-53"/>
          <w:sz w:val="21"/>
        </w:rPr>
        <w:t> </w:t>
      </w:r>
      <w:r>
        <w:rPr>
          <w:sz w:val="21"/>
        </w:rPr>
        <w:t>分或</w:t>
      </w:r>
      <w:r>
        <w:rPr>
          <w:spacing w:val="-53"/>
          <w:sz w:val="21"/>
        </w:rPr>
        <w:t> </w:t>
      </w:r>
      <w:r>
        <w:rPr>
          <w:sz w:val="21"/>
        </w:rPr>
        <w:t>5</w:t>
      </w:r>
      <w:r>
        <w:rPr>
          <w:spacing w:val="-52"/>
          <w:sz w:val="21"/>
        </w:rPr>
        <w:t> </w:t>
      </w:r>
      <w:r>
        <w:rPr>
          <w:sz w:val="21"/>
        </w:rPr>
        <w:t>分以下， 且已经持续使用呼吸机及其它生命维持系统</w:t>
      </w:r>
      <w:r>
        <w:rPr>
          <w:spacing w:val="-61"/>
          <w:sz w:val="21"/>
        </w:rPr>
        <w:t> </w:t>
      </w:r>
      <w:r>
        <w:rPr>
          <w:sz w:val="21"/>
        </w:rPr>
        <w:t>96</w:t>
      </w:r>
      <w:r>
        <w:rPr>
          <w:spacing w:val="-17"/>
          <w:sz w:val="21"/>
        </w:rPr>
        <w:t> </w:t>
      </w:r>
      <w:r>
        <w:rPr>
          <w:sz w:val="21"/>
        </w:rPr>
        <w:t>小时以上。</w:t>
      </w:r>
    </w:p>
    <w:p>
      <w:pPr>
        <w:pStyle w:val="BodyText"/>
        <w:spacing w:before="9"/>
        <w:ind w:left="2477"/>
      </w:pPr>
      <w:r>
        <w:rPr>
          <w:shd w:fill="E5E5E5" w:color="auto" w:val="clear"/>
        </w:rPr>
        <w:t>因酗酒或药物滥用导致的深度昏迷不在保障范围内。</w:t>
      </w:r>
    </w:p>
    <w:p>
      <w:pPr>
        <w:pStyle w:val="BodyText"/>
        <w:spacing w:before="9"/>
        <w:rPr>
          <w:sz w:val="25"/>
        </w:rPr>
      </w:pPr>
    </w:p>
    <w:p>
      <w:pPr>
        <w:pStyle w:val="ListParagraph"/>
        <w:numPr>
          <w:ilvl w:val="2"/>
          <w:numId w:val="5"/>
        </w:numPr>
        <w:tabs>
          <w:tab w:pos="1158" w:val="left" w:leader="none"/>
        </w:tabs>
        <w:spacing w:line="271" w:lineRule="auto" w:before="1" w:after="0"/>
        <w:ind w:left="2477" w:right="309" w:hanging="2376"/>
        <w:jc w:val="both"/>
        <w:rPr>
          <w:sz w:val="21"/>
        </w:rPr>
      </w:pPr>
      <w:r>
        <w:rPr>
          <w:i/>
          <w:spacing w:val="0"/>
          <w:sz w:val="22"/>
        </w:rPr>
        <w:t>双耳失聪   </w:t>
      </w:r>
      <w:r>
        <w:rPr>
          <w:sz w:val="21"/>
        </w:rPr>
        <w:t>指因疾病或意外伤害导致双耳听力永久不可逆（</w:t>
      </w:r>
      <w:r>
        <w:rPr>
          <w:spacing w:val="-29"/>
          <w:sz w:val="21"/>
        </w:rPr>
        <w:t>见 </w:t>
      </w:r>
      <w:r>
        <w:rPr>
          <w:sz w:val="21"/>
        </w:rPr>
        <w:t>9.17）</w:t>
      </w:r>
      <w:r>
        <w:rPr>
          <w:spacing w:val="-10"/>
          <w:sz w:val="21"/>
        </w:rPr>
        <w:t>性丧失，在 </w:t>
      </w:r>
      <w:r>
        <w:rPr>
          <w:sz w:val="21"/>
        </w:rPr>
        <w:t>500 赫兹、1000</w:t>
      </w:r>
      <w:r>
        <w:rPr>
          <w:spacing w:val="-24"/>
          <w:sz w:val="21"/>
        </w:rPr>
        <w:t> 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BodyText"/>
        <w:spacing w:line="273" w:lineRule="auto" w:before="10"/>
        <w:ind w:left="2477" w:right="140"/>
      </w:pPr>
      <w:r>
        <w:rPr>
          <w:shd w:fill="D8D8D8" w:color="auto" w:val="clear"/>
        </w:rPr>
        <w:t>被保险人申请理赔时年龄必须在三周岁以上，并且提供理赔当时的听力丧失诊断及检查证据。</w:t>
      </w:r>
    </w:p>
    <w:p>
      <w:pPr>
        <w:pStyle w:val="BodyText"/>
        <w:spacing w:before="7"/>
        <w:rPr>
          <w:sz w:val="23"/>
        </w:rPr>
      </w:pPr>
    </w:p>
    <w:p>
      <w:pPr>
        <w:pStyle w:val="ListParagraph"/>
        <w:numPr>
          <w:ilvl w:val="2"/>
          <w:numId w:val="5"/>
        </w:numPr>
        <w:tabs>
          <w:tab w:pos="1157" w:val="left" w:leader="none"/>
          <w:tab w:pos="1158" w:val="left" w:leader="none"/>
          <w:tab w:pos="2477" w:val="left" w:leader="none"/>
        </w:tabs>
        <w:spacing w:line="268" w:lineRule="auto" w:before="0" w:after="0"/>
        <w:ind w:left="2477" w:right="208" w:hanging="2376"/>
        <w:jc w:val="left"/>
        <w:rPr>
          <w:sz w:val="21"/>
        </w:rPr>
      </w:pPr>
      <w:r>
        <w:rPr>
          <w:i/>
          <w:sz w:val="22"/>
        </w:rPr>
        <w:t>双目失明</w:t>
        <w:tab/>
      </w:r>
      <w:r>
        <w:rPr>
          <w:sz w:val="21"/>
        </w:rPr>
        <w:t>指因疾病或意外伤害导致双眼视力永久不可逆性丧失</w:t>
      </w:r>
      <w:r>
        <w:rPr>
          <w:spacing w:val="-58"/>
          <w:sz w:val="21"/>
        </w:rPr>
        <w:t>，</w:t>
      </w:r>
      <w:r>
        <w:rPr>
          <w:sz w:val="21"/>
        </w:rPr>
        <w:t>双眼中较好眼须满足下列至少一项条件：</w:t>
      </w:r>
    </w:p>
    <w:p>
      <w:pPr>
        <w:pStyle w:val="BodyText"/>
        <w:spacing w:before="12"/>
        <w:ind w:left="2477"/>
      </w:pPr>
      <w:r>
        <w:rPr/>
        <w:t>（1）眼球缺失或摘除；</w:t>
      </w:r>
    </w:p>
    <w:p>
      <w:pPr>
        <w:pStyle w:val="BodyText"/>
        <w:spacing w:line="273" w:lineRule="auto" w:before="37"/>
        <w:ind w:left="2477" w:right="208"/>
      </w:pPr>
      <w:r>
        <w:rPr/>
        <w:t>（2）</w:t>
      </w:r>
      <w:r>
        <w:rPr>
          <w:spacing w:val="-9"/>
        </w:rPr>
        <w:t>矫正视力低于 </w:t>
      </w:r>
      <w:r>
        <w:rPr/>
        <w:t>0.02（</w:t>
      </w:r>
      <w:r>
        <w:rPr>
          <w:spacing w:val="-1"/>
        </w:rPr>
        <w:t>采用国际标准视力表，如果使用其它视力表应进行换算</w:t>
      </w:r>
      <w:r>
        <w:rPr>
          <w:spacing w:val="-105"/>
        </w:rPr>
        <w:t>）</w:t>
      </w:r>
      <w:r>
        <w:rPr/>
        <w:t>；</w:t>
      </w:r>
    </w:p>
    <w:p>
      <w:pPr>
        <w:pStyle w:val="BodyText"/>
        <w:spacing w:before="7"/>
        <w:ind w:left="2477"/>
      </w:pPr>
      <w:r>
        <w:rPr/>
        <w:t>（3）视野半径小于 5 度。</w:t>
      </w:r>
    </w:p>
    <w:p>
      <w:pPr>
        <w:pStyle w:val="BodyText"/>
        <w:spacing w:line="273" w:lineRule="auto" w:before="36"/>
        <w:ind w:left="2477" w:right="140"/>
      </w:pPr>
      <w:r>
        <w:rPr>
          <w:shd w:fill="D8D8D8" w:color="auto" w:val="clear"/>
        </w:rPr>
        <w:t>被保险人申请理赔时年龄必须在三周岁以上，并且提供理赔当时的视力丧失诊断及检查证据。</w:t>
      </w:r>
    </w:p>
    <w:p>
      <w:pPr>
        <w:pStyle w:val="BodyText"/>
        <w:spacing w:before="6"/>
        <w:rPr>
          <w:sz w:val="23"/>
        </w:rPr>
      </w:pPr>
    </w:p>
    <w:p>
      <w:pPr>
        <w:pStyle w:val="ListParagraph"/>
        <w:numPr>
          <w:ilvl w:val="2"/>
          <w:numId w:val="5"/>
        </w:numPr>
        <w:tabs>
          <w:tab w:pos="1158" w:val="left" w:leader="none"/>
        </w:tabs>
        <w:spacing w:line="271" w:lineRule="auto" w:before="0" w:after="0"/>
        <w:ind w:left="2477" w:right="208" w:hanging="2376"/>
        <w:jc w:val="both"/>
        <w:rPr>
          <w:sz w:val="21"/>
        </w:rPr>
      </w:pPr>
      <w:r>
        <w:rPr>
          <w:i/>
          <w:sz w:val="22"/>
        </w:rPr>
        <w:t>瘫痪       </w:t>
      </w:r>
      <w:r>
        <w:rPr>
          <w:spacing w:val="-2"/>
          <w:sz w:val="21"/>
        </w:rPr>
        <w:t>指因疾病或意外伤害导致两肢或两肢以上肢体机能永久完全丧失。肢体机能</w:t>
      </w:r>
      <w:r>
        <w:rPr>
          <w:spacing w:val="-10"/>
          <w:sz w:val="21"/>
        </w:rPr>
        <w:t>永久完全丧失，指疾病确诊 </w:t>
      </w:r>
      <w:r>
        <w:rPr>
          <w:sz w:val="21"/>
        </w:rPr>
        <w:t>180</w:t>
      </w:r>
      <w:r>
        <w:rPr>
          <w:spacing w:val="-13"/>
          <w:sz w:val="21"/>
        </w:rPr>
        <w:t> 天后或意外伤害发生 </w:t>
      </w:r>
      <w:r>
        <w:rPr>
          <w:sz w:val="21"/>
        </w:rPr>
        <w:t>180</w:t>
      </w:r>
      <w:r>
        <w:rPr>
          <w:spacing w:val="-11"/>
          <w:sz w:val="21"/>
        </w:rPr>
        <w:t> 天后，每肢三大关节中的两大关节仍然完全僵硬，或不能随意识活动。</w:t>
      </w:r>
    </w:p>
    <w:p>
      <w:pPr>
        <w:pStyle w:val="BodyText"/>
        <w:spacing w:before="1"/>
      </w:pPr>
    </w:p>
    <w:p>
      <w:pPr>
        <w:spacing w:after="0"/>
        <w:sectPr>
          <w:type w:val="continuous"/>
          <w:pgSz w:w="11900" w:h="16840"/>
          <w:pgMar w:top="1100" w:bottom="280" w:left="920" w:right="1420"/>
        </w:sectPr>
      </w:pPr>
    </w:p>
    <w:p>
      <w:pPr>
        <w:pStyle w:val="Heading4"/>
        <w:numPr>
          <w:ilvl w:val="2"/>
          <w:numId w:val="5"/>
        </w:numPr>
        <w:tabs>
          <w:tab w:pos="1157" w:val="left" w:leader="none"/>
          <w:tab w:pos="1158" w:val="left" w:leader="none"/>
        </w:tabs>
        <w:spacing w:line="259" w:lineRule="auto" w:before="34" w:after="0"/>
        <w:ind w:left="1157" w:right="0" w:hanging="1056"/>
        <w:jc w:val="left"/>
      </w:pPr>
      <w:r>
        <w:rPr>
          <w:w w:val="95"/>
        </w:rPr>
        <w:t>心脏瓣膜手</w:t>
      </w:r>
      <w:r>
        <w:rPr/>
        <w:t>术</w:t>
      </w:r>
    </w:p>
    <w:p>
      <w:pPr>
        <w:pStyle w:val="BodyText"/>
        <w:spacing w:line="273" w:lineRule="auto" w:before="45"/>
        <w:ind w:left="101" w:right="360"/>
      </w:pPr>
      <w:r>
        <w:rPr/>
        <w:br w:type="column"/>
      </w:r>
      <w:r>
        <w:rPr/>
        <w:t>指为治疗心脏瓣膜疾病，实际实施了开胸进行的心脏瓣膜置换或修复的手术。</w:t>
      </w:r>
    </w:p>
    <w:p>
      <w:pPr>
        <w:spacing w:after="0" w:line="273" w:lineRule="auto"/>
        <w:sectPr>
          <w:type w:val="continuous"/>
          <w:pgSz w:w="11900" w:h="16840"/>
          <w:pgMar w:top="1100" w:bottom="280" w:left="920" w:right="1420"/>
          <w:cols w:num="2" w:equalWidth="0">
            <w:col w:w="2208" w:space="168"/>
            <w:col w:w="7184"/>
          </w:cols>
        </w:sectPr>
      </w:pPr>
    </w:p>
    <w:p>
      <w:pPr>
        <w:pStyle w:val="BodyText"/>
        <w:spacing w:before="11"/>
        <w:rPr>
          <w:sz w:val="20"/>
        </w:rPr>
      </w:pPr>
    </w:p>
    <w:p>
      <w:pPr>
        <w:spacing w:after="0"/>
        <w:rPr>
          <w:sz w:val="20"/>
        </w:rPr>
        <w:sectPr>
          <w:type w:val="continuous"/>
          <w:pgSz w:w="11900" w:h="16840"/>
          <w:pgMar w:top="1100" w:bottom="280" w:left="920" w:right="1420"/>
        </w:sectPr>
      </w:pPr>
    </w:p>
    <w:p>
      <w:pPr>
        <w:pStyle w:val="Heading4"/>
        <w:numPr>
          <w:ilvl w:val="2"/>
          <w:numId w:val="5"/>
        </w:numPr>
        <w:tabs>
          <w:tab w:pos="1157" w:val="left" w:leader="none"/>
          <w:tab w:pos="1158" w:val="left" w:leader="none"/>
        </w:tabs>
        <w:spacing w:line="259" w:lineRule="auto" w:before="34" w:after="0"/>
        <w:ind w:left="1157" w:right="0" w:hanging="1056"/>
        <w:jc w:val="left"/>
      </w:pPr>
      <w:r>
        <w:rPr>
          <w:w w:val="95"/>
        </w:rPr>
        <w:t>严重阿尔茨海默病</w:t>
      </w:r>
    </w:p>
    <w:p>
      <w:pPr>
        <w:pStyle w:val="BodyText"/>
        <w:spacing w:line="273" w:lineRule="auto" w:before="46"/>
        <w:ind w:left="101" w:right="208"/>
        <w:jc w:val="both"/>
      </w:pPr>
      <w:r>
        <w:rPr/>
        <w:br w:type="column"/>
      </w:r>
      <w:r>
        <w:rPr>
          <w:spacing w:val="-5"/>
        </w:rPr>
        <w:t>指因大脑进行性、不可逆性改变导致智能严重衰退或丧失，临床表现为明显</w:t>
      </w:r>
      <w:r>
        <w:rPr>
          <w:spacing w:val="-10"/>
        </w:rPr>
        <w:t>的认知能力障碍、行为异常和社交能力减退，其日常生活必须持续受到他人</w:t>
      </w:r>
      <w:r>
        <w:rPr>
          <w:spacing w:val="-6"/>
        </w:rPr>
        <w:t>监护。须由头颅断层扫描</w:t>
      </w:r>
      <w:r>
        <w:rPr>
          <w:spacing w:val="-1"/>
        </w:rPr>
        <w:t>（CT</w:t>
      </w:r>
      <w:r>
        <w:rPr>
          <w:spacing w:val="-104"/>
        </w:rPr>
        <w:t>）</w:t>
      </w:r>
      <w:r>
        <w:rPr>
          <w:spacing w:val="-6"/>
        </w:rPr>
        <w:t>、核磁共振检查</w:t>
      </w:r>
      <w:r>
        <w:rPr/>
        <w:t>（MRI)</w:t>
      </w:r>
      <w:r>
        <w:rPr>
          <w:spacing w:val="-1"/>
        </w:rPr>
        <w:t> 或正电子发射断层扫描（PET）等影像学检查证实，且自主生活能力完全丧失，无法独立完成六项基本日常生活活动中的三项或三项以上。</w:t>
      </w:r>
    </w:p>
    <w:p>
      <w:pPr>
        <w:pStyle w:val="BodyText"/>
        <w:spacing w:before="7"/>
        <w:ind w:left="101"/>
        <w:jc w:val="both"/>
      </w:pPr>
      <w:r>
        <w:rPr>
          <w:shd w:fill="E5E5E5" w:color="auto" w:val="clear"/>
        </w:rPr>
        <w:t>神经官能症和精神疾病不在保障范围内。</w:t>
      </w:r>
    </w:p>
    <w:p>
      <w:pPr>
        <w:spacing w:after="0"/>
        <w:jc w:val="both"/>
        <w:sectPr>
          <w:type w:val="continuous"/>
          <w:pgSz w:w="11900" w:h="16840"/>
          <w:pgMar w:top="1100" w:bottom="280" w:left="920" w:right="1420"/>
          <w:cols w:num="2" w:equalWidth="0">
            <w:col w:w="2208" w:space="168"/>
            <w:col w:w="7184"/>
          </w:cols>
        </w:sectPr>
      </w:pPr>
    </w:p>
    <w:p>
      <w:pPr>
        <w:pStyle w:val="BodyText"/>
        <w:spacing w:before="2"/>
        <w:rPr>
          <w:sz w:val="23"/>
        </w:rPr>
      </w:pPr>
    </w:p>
    <w:p>
      <w:pPr>
        <w:pStyle w:val="ListParagraph"/>
        <w:numPr>
          <w:ilvl w:val="2"/>
          <w:numId w:val="5"/>
        </w:numPr>
        <w:tabs>
          <w:tab w:pos="1158" w:val="left" w:leader="none"/>
        </w:tabs>
        <w:spacing w:line="271" w:lineRule="auto" w:before="34" w:after="0"/>
        <w:ind w:left="2477" w:right="208" w:hanging="2376"/>
        <w:jc w:val="both"/>
        <w:rPr>
          <w:sz w:val="21"/>
        </w:rPr>
      </w:pPr>
      <w:r>
        <w:rPr>
          <w:i/>
          <w:sz w:val="22"/>
        </w:rPr>
        <w:t>严重脑损伤 </w:t>
      </w:r>
      <w:r>
        <w:rPr>
          <w:spacing w:val="-5"/>
          <w:sz w:val="21"/>
        </w:rPr>
        <w:t>指因头部遭受机械性外力，引起脑重要部位损伤，导致神经系统永久性的功</w:t>
      </w:r>
      <w:r>
        <w:rPr>
          <w:spacing w:val="-6"/>
          <w:sz w:val="21"/>
        </w:rPr>
        <w:t>能障碍。须由头颅断层扫描</w:t>
      </w:r>
      <w:r>
        <w:rPr>
          <w:spacing w:val="-1"/>
          <w:sz w:val="21"/>
        </w:rPr>
        <w:t>（CT</w:t>
      </w:r>
      <w:r>
        <w:rPr>
          <w:spacing w:val="-104"/>
          <w:sz w:val="21"/>
        </w:rPr>
        <w:t>）</w:t>
      </w:r>
      <w:r>
        <w:rPr>
          <w:spacing w:val="-6"/>
          <w:sz w:val="21"/>
        </w:rPr>
        <w:t>、核磁共振检查</w:t>
      </w:r>
      <w:r>
        <w:rPr>
          <w:sz w:val="21"/>
        </w:rPr>
        <w:t>（MRI)</w:t>
      </w:r>
      <w:r>
        <w:rPr>
          <w:spacing w:val="-1"/>
          <w:sz w:val="21"/>
        </w:rPr>
        <w:t> 或正电子发射断层</w:t>
      </w:r>
      <w:r>
        <w:rPr>
          <w:spacing w:val="-15"/>
          <w:sz w:val="21"/>
        </w:rPr>
        <w:t>扫描</w:t>
      </w:r>
      <w:r>
        <w:rPr>
          <w:spacing w:val="-6"/>
          <w:sz w:val="21"/>
        </w:rPr>
        <w:t>（PET）</w:t>
      </w:r>
      <w:r>
        <w:rPr>
          <w:spacing w:val="-8"/>
          <w:sz w:val="21"/>
        </w:rPr>
        <w:t>等影像学检查证实。神经系统永久性的功能障碍，指脑损伤 </w:t>
      </w:r>
      <w:r>
        <w:rPr>
          <w:sz w:val="21"/>
        </w:rPr>
        <w:t>180 天后，仍遗留下列一种或一种以上障碍：</w:t>
      </w:r>
    </w:p>
    <w:p>
      <w:pPr>
        <w:spacing w:after="0" w:line="271" w:lineRule="auto"/>
        <w:jc w:val="both"/>
        <w:rPr>
          <w:sz w:val="21"/>
        </w:rPr>
        <w:sectPr>
          <w:type w:val="continuous"/>
          <w:pgSz w:w="11900" w:h="16840"/>
          <w:pgMar w:top="1100" w:bottom="280" w:left="920" w:right="1420"/>
        </w:sectPr>
      </w:pPr>
    </w:p>
    <w:p>
      <w:pPr>
        <w:pStyle w:val="BodyText"/>
        <w:spacing w:before="10"/>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31"/>
        <w:gridCol w:w="7131"/>
      </w:tblGrid>
      <w:tr>
        <w:trPr>
          <w:trHeight w:val="260" w:hRule="atLeast"/>
        </w:trPr>
        <w:tc>
          <w:tcPr>
            <w:tcW w:w="2325" w:type="dxa"/>
            <w:gridSpan w:val="2"/>
            <w:vMerge w:val="restart"/>
          </w:tcPr>
          <w:p>
            <w:pPr>
              <w:pStyle w:val="TableParagraph"/>
              <w:rPr>
                <w:rFonts w:ascii="Times New Roman"/>
                <w:sz w:val="20"/>
              </w:rPr>
            </w:pPr>
          </w:p>
        </w:tc>
        <w:tc>
          <w:tcPr>
            <w:tcW w:w="7131" w:type="dxa"/>
          </w:tcPr>
          <w:p>
            <w:pPr>
              <w:pStyle w:val="TableParagraph"/>
              <w:spacing w:line="210" w:lineRule="exact"/>
              <w:ind w:left="100"/>
              <w:rPr>
                <w:sz w:val="21"/>
              </w:rPr>
            </w:pPr>
            <w:r>
              <w:rPr>
                <w:sz w:val="21"/>
              </w:rPr>
              <w:t>（1）一肢或一肢以上肢体机能完全丧失；</w:t>
            </w:r>
          </w:p>
        </w:tc>
      </w:tr>
      <w:tr>
        <w:trPr>
          <w:trHeight w:val="311" w:hRule="atLeast"/>
        </w:trPr>
        <w:tc>
          <w:tcPr>
            <w:tcW w:w="2325" w:type="dxa"/>
            <w:gridSpan w:val="2"/>
            <w:vMerge/>
            <w:tcBorders>
              <w:top w:val="nil"/>
            </w:tcBorders>
          </w:tcPr>
          <w:p>
            <w:pPr>
              <w:rPr>
                <w:sz w:val="2"/>
                <w:szCs w:val="2"/>
              </w:rPr>
            </w:pPr>
          </w:p>
        </w:tc>
        <w:tc>
          <w:tcPr>
            <w:tcW w:w="7131" w:type="dxa"/>
          </w:tcPr>
          <w:p>
            <w:pPr>
              <w:pStyle w:val="TableParagraph"/>
              <w:spacing w:line="261" w:lineRule="exact"/>
              <w:ind w:left="100"/>
              <w:rPr>
                <w:sz w:val="21"/>
              </w:rPr>
            </w:pPr>
            <w:r>
              <w:rPr>
                <w:sz w:val="21"/>
              </w:rPr>
              <w:t>（2）语言能力或咀嚼吞咽能力完全丧失；</w:t>
            </w:r>
          </w:p>
        </w:tc>
      </w:tr>
      <w:tr>
        <w:trPr>
          <w:trHeight w:val="311" w:hRule="atLeast"/>
        </w:trPr>
        <w:tc>
          <w:tcPr>
            <w:tcW w:w="2325" w:type="dxa"/>
            <w:gridSpan w:val="2"/>
            <w:vMerge/>
            <w:tcBorders>
              <w:top w:val="nil"/>
            </w:tcBorders>
          </w:tcPr>
          <w:p>
            <w:pPr>
              <w:rPr>
                <w:sz w:val="2"/>
                <w:szCs w:val="2"/>
              </w:rPr>
            </w:pPr>
          </w:p>
        </w:tc>
        <w:tc>
          <w:tcPr>
            <w:tcW w:w="7131" w:type="dxa"/>
          </w:tcPr>
          <w:p>
            <w:pPr>
              <w:pStyle w:val="TableParagraph"/>
              <w:spacing w:line="261" w:lineRule="exact"/>
              <w:ind w:left="100"/>
              <w:rPr>
                <w:sz w:val="21"/>
              </w:rPr>
            </w:pPr>
            <w:r>
              <w:rPr>
                <w:sz w:val="21"/>
              </w:rPr>
              <w:t>（3）自主生活能力完全丧失，无法独立完成六项基本日常生活活动中的三</w:t>
            </w:r>
          </w:p>
        </w:tc>
      </w:tr>
      <w:tr>
        <w:trPr>
          <w:trHeight w:val="462" w:hRule="atLeast"/>
        </w:trPr>
        <w:tc>
          <w:tcPr>
            <w:tcW w:w="2325" w:type="dxa"/>
            <w:gridSpan w:val="2"/>
            <w:vMerge/>
            <w:tcBorders>
              <w:top w:val="nil"/>
            </w:tcBorders>
          </w:tcPr>
          <w:p>
            <w:pPr>
              <w:rPr>
                <w:sz w:val="2"/>
                <w:szCs w:val="2"/>
              </w:rPr>
            </w:pPr>
          </w:p>
        </w:tc>
        <w:tc>
          <w:tcPr>
            <w:tcW w:w="7131" w:type="dxa"/>
          </w:tcPr>
          <w:p>
            <w:pPr>
              <w:pStyle w:val="TableParagraph"/>
              <w:spacing w:line="261" w:lineRule="exact"/>
              <w:ind w:left="100"/>
              <w:rPr>
                <w:sz w:val="21"/>
              </w:rPr>
            </w:pPr>
            <w:r>
              <w:rPr>
                <w:sz w:val="21"/>
              </w:rPr>
              <w:t>项或三项以上。</w:t>
            </w:r>
          </w:p>
        </w:tc>
      </w:tr>
      <w:tr>
        <w:trPr>
          <w:trHeight w:val="785" w:hRule="atLeast"/>
        </w:trPr>
        <w:tc>
          <w:tcPr>
            <w:tcW w:w="894" w:type="dxa"/>
          </w:tcPr>
          <w:p>
            <w:pPr>
              <w:pStyle w:val="TableParagraph"/>
              <w:spacing w:before="135"/>
              <w:ind w:left="50"/>
              <w:rPr>
                <w:i/>
                <w:sz w:val="22"/>
              </w:rPr>
            </w:pPr>
            <w:r>
              <w:rPr>
                <w:i/>
                <w:sz w:val="22"/>
              </w:rPr>
              <w:t>3.4.19</w:t>
            </w:r>
          </w:p>
        </w:tc>
        <w:tc>
          <w:tcPr>
            <w:tcW w:w="1431" w:type="dxa"/>
          </w:tcPr>
          <w:p>
            <w:pPr>
              <w:pStyle w:val="TableParagraph"/>
              <w:spacing w:line="259" w:lineRule="auto" w:before="135"/>
              <w:ind w:left="211" w:right="168"/>
              <w:rPr>
                <w:i/>
                <w:sz w:val="22"/>
              </w:rPr>
            </w:pPr>
            <w:r>
              <w:rPr>
                <w:i/>
                <w:w w:val="95"/>
                <w:sz w:val="22"/>
              </w:rPr>
              <w:t>严重帕金森</w:t>
            </w:r>
            <w:r>
              <w:rPr>
                <w:i/>
                <w:sz w:val="22"/>
              </w:rPr>
              <w:t>病</w:t>
            </w:r>
          </w:p>
        </w:tc>
        <w:tc>
          <w:tcPr>
            <w:tcW w:w="7131" w:type="dxa"/>
          </w:tcPr>
          <w:p>
            <w:pPr>
              <w:pStyle w:val="TableParagraph"/>
              <w:spacing w:line="273" w:lineRule="auto" w:before="147"/>
              <w:ind w:left="100" w:right="87"/>
              <w:rPr>
                <w:sz w:val="21"/>
              </w:rPr>
            </w:pPr>
            <w:r>
              <w:rPr>
                <w:sz w:val="21"/>
              </w:rPr>
              <w:t>是一种中枢神经系统的退行性疾病，临床表现为震颤麻痹、共济失调等。须满足下列全部条件：</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（1）药物治疗无法控制病情；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（2）自主生活能力完全丧失，无法独立完成六项基本日常生活活动中的三</w:t>
            </w:r>
          </w:p>
        </w:tc>
      </w:tr>
      <w:tr>
        <w:trPr>
          <w:trHeight w:val="31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项或三项以上。</w:t>
            </w:r>
          </w:p>
        </w:tc>
      </w:tr>
      <w:tr>
        <w:trPr>
          <w:trHeight w:val="46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E5E5E5" w:color="auto" w:val="clear"/>
              </w:rPr>
              <w:t>继发性帕金森综合征不在保障范围内。</w:t>
            </w:r>
          </w:p>
        </w:tc>
      </w:tr>
      <w:tr>
        <w:trPr>
          <w:trHeight w:val="944" w:hRule="atLeast"/>
        </w:trPr>
        <w:tc>
          <w:tcPr>
            <w:tcW w:w="894" w:type="dxa"/>
          </w:tcPr>
          <w:p>
            <w:pPr>
              <w:pStyle w:val="TableParagraph"/>
              <w:spacing w:before="140"/>
              <w:ind w:left="50"/>
              <w:rPr>
                <w:i/>
                <w:sz w:val="22"/>
              </w:rPr>
            </w:pPr>
            <w:r>
              <w:rPr>
                <w:i/>
                <w:sz w:val="22"/>
              </w:rPr>
              <w:t>3.4.20</w:t>
            </w:r>
          </w:p>
        </w:tc>
        <w:tc>
          <w:tcPr>
            <w:tcW w:w="1431" w:type="dxa"/>
          </w:tcPr>
          <w:p>
            <w:pPr>
              <w:pStyle w:val="TableParagraph"/>
              <w:spacing w:line="259" w:lineRule="auto" w:before="140"/>
              <w:ind w:left="211" w:right="168"/>
              <w:rPr>
                <w:i/>
                <w:sz w:val="22"/>
              </w:rPr>
            </w:pPr>
            <w:r>
              <w:rPr>
                <w:i/>
                <w:w w:val="95"/>
                <w:sz w:val="22"/>
              </w:rPr>
              <w:t>严重Ⅲ度烧</w:t>
            </w:r>
            <w:r>
              <w:rPr>
                <w:i/>
                <w:sz w:val="22"/>
              </w:rPr>
              <w:t>伤</w:t>
            </w:r>
          </w:p>
        </w:tc>
        <w:tc>
          <w:tcPr>
            <w:tcW w:w="7131" w:type="dxa"/>
          </w:tcPr>
          <w:p>
            <w:pPr>
              <w:pStyle w:val="TableParagraph"/>
              <w:spacing w:line="273" w:lineRule="auto" w:before="151"/>
              <w:ind w:left="100" w:right="49"/>
              <w:rPr>
                <w:sz w:val="21"/>
              </w:rPr>
            </w:pPr>
            <w:r>
              <w:rPr>
                <w:spacing w:val="-9"/>
                <w:sz w:val="21"/>
              </w:rPr>
              <w:t>指烧伤程度为Ⅲ度，且Ⅲ度烧伤面积达到全身体表面积的 </w:t>
            </w:r>
            <w:r>
              <w:rPr>
                <w:sz w:val="21"/>
              </w:rPr>
              <w:t>20％</w:t>
            </w:r>
            <w:r>
              <w:rPr>
                <w:spacing w:val="-27"/>
                <w:sz w:val="21"/>
              </w:rPr>
              <w:t>或 </w:t>
            </w:r>
            <w:r>
              <w:rPr>
                <w:sz w:val="21"/>
              </w:rPr>
              <w:t>20％以上。</w:t>
            </w:r>
            <w:r>
              <w:rPr>
                <w:spacing w:val="-1"/>
                <w:sz w:val="21"/>
              </w:rPr>
              <w:t>体表面积根据 《中国新九分法》计算。</w:t>
            </w:r>
          </w:p>
        </w:tc>
      </w:tr>
      <w:tr>
        <w:trPr>
          <w:trHeight w:val="788" w:hRule="atLeast"/>
        </w:trPr>
        <w:tc>
          <w:tcPr>
            <w:tcW w:w="894" w:type="dxa"/>
          </w:tcPr>
          <w:p>
            <w:pPr>
              <w:pStyle w:val="TableParagraph"/>
              <w:spacing w:before="138"/>
              <w:ind w:left="50"/>
              <w:rPr>
                <w:i/>
                <w:sz w:val="22"/>
              </w:rPr>
            </w:pPr>
            <w:r>
              <w:rPr>
                <w:i/>
                <w:sz w:val="22"/>
              </w:rPr>
              <w:t>3.4.21</w:t>
            </w:r>
          </w:p>
        </w:tc>
        <w:tc>
          <w:tcPr>
            <w:tcW w:w="1431" w:type="dxa"/>
          </w:tcPr>
          <w:p>
            <w:pPr>
              <w:pStyle w:val="TableParagraph"/>
              <w:spacing w:line="259" w:lineRule="auto" w:before="138"/>
              <w:ind w:left="211" w:right="100"/>
              <w:rPr>
                <w:i/>
                <w:sz w:val="22"/>
              </w:rPr>
            </w:pPr>
            <w:r>
              <w:rPr>
                <w:i/>
                <w:w w:val="95"/>
                <w:sz w:val="22"/>
              </w:rPr>
              <w:t>严重原发性肺动脉高压</w:t>
            </w:r>
          </w:p>
        </w:tc>
        <w:tc>
          <w:tcPr>
            <w:tcW w:w="7131" w:type="dxa"/>
          </w:tcPr>
          <w:p>
            <w:pPr>
              <w:pStyle w:val="TableParagraph"/>
              <w:spacing w:line="273" w:lineRule="auto" w:before="150"/>
              <w:ind w:left="101" w:right="87"/>
              <w:rPr>
                <w:sz w:val="21"/>
              </w:rPr>
            </w:pPr>
            <w:r>
              <w:rPr>
                <w:sz w:val="21"/>
              </w:rPr>
              <w:t>指不明原因的肺动脉压力持续性增高，进行性发展而导致的慢性疾病，已经造成永久不可逆性的体力活动能力受限，达到美国纽约心脏病学会心功能状</w:t>
            </w:r>
          </w:p>
        </w:tc>
      </w:tr>
      <w:tr>
        <w:trPr>
          <w:trHeight w:val="466"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1"/>
              <w:rPr>
                <w:sz w:val="21"/>
              </w:rPr>
            </w:pPr>
            <w:r>
              <w:rPr>
                <w:sz w:val="21"/>
              </w:rPr>
              <w:t>态分级 IV 级，且静息状态下肺动脉平均压超过 3OmmHg 。</w:t>
            </w:r>
          </w:p>
        </w:tc>
      </w:tr>
      <w:tr>
        <w:trPr>
          <w:trHeight w:val="790" w:hRule="atLeast"/>
        </w:trPr>
        <w:tc>
          <w:tcPr>
            <w:tcW w:w="894" w:type="dxa"/>
          </w:tcPr>
          <w:p>
            <w:pPr>
              <w:pStyle w:val="TableParagraph"/>
              <w:spacing w:before="140"/>
              <w:ind w:left="50"/>
              <w:rPr>
                <w:i/>
                <w:sz w:val="22"/>
              </w:rPr>
            </w:pPr>
            <w:r>
              <w:rPr>
                <w:i/>
                <w:sz w:val="22"/>
              </w:rPr>
              <w:t>3.4.22</w:t>
            </w:r>
          </w:p>
        </w:tc>
        <w:tc>
          <w:tcPr>
            <w:tcW w:w="1431" w:type="dxa"/>
          </w:tcPr>
          <w:p>
            <w:pPr>
              <w:pStyle w:val="TableParagraph"/>
              <w:spacing w:line="259" w:lineRule="auto" w:before="140"/>
              <w:ind w:left="211" w:right="100"/>
              <w:rPr>
                <w:i/>
                <w:sz w:val="22"/>
              </w:rPr>
            </w:pPr>
            <w:r>
              <w:rPr>
                <w:i/>
                <w:w w:val="95"/>
                <w:sz w:val="22"/>
              </w:rPr>
              <w:t>严重运动神经元病</w:t>
            </w:r>
          </w:p>
        </w:tc>
        <w:tc>
          <w:tcPr>
            <w:tcW w:w="7131" w:type="dxa"/>
          </w:tcPr>
          <w:p>
            <w:pPr>
              <w:pStyle w:val="TableParagraph"/>
              <w:spacing w:line="273" w:lineRule="auto" w:before="151"/>
              <w:ind w:left="100" w:right="155"/>
              <w:rPr>
                <w:sz w:val="21"/>
              </w:rPr>
            </w:pPr>
            <w:r>
              <w:rPr>
                <w:sz w:val="21"/>
              </w:rPr>
              <w:t>是一组中枢神经系统运动神经元的进行性变性疾病，包括进行性脊肌萎缩</w:t>
            </w:r>
            <w:r>
              <w:rPr>
                <w:spacing w:val="-7"/>
                <w:sz w:val="21"/>
              </w:rPr>
              <w:t>症、进行性延髓麻痹症、原发性侧索硬化症、肌萎缩性侧索硬化症。须满足</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自主生活能力完全丧失，无法独立完成六项基本日常生活活动中的三项或三</w:t>
            </w:r>
          </w:p>
        </w:tc>
      </w:tr>
      <w:tr>
        <w:trPr>
          <w:trHeight w:val="46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项以上的条件。</w:t>
            </w:r>
          </w:p>
        </w:tc>
      </w:tr>
      <w:tr>
        <w:trPr>
          <w:trHeight w:val="790" w:hRule="atLeast"/>
        </w:trPr>
        <w:tc>
          <w:tcPr>
            <w:tcW w:w="894" w:type="dxa"/>
          </w:tcPr>
          <w:p>
            <w:pPr>
              <w:pStyle w:val="TableParagraph"/>
              <w:spacing w:before="140"/>
              <w:ind w:left="50"/>
              <w:rPr>
                <w:i/>
                <w:sz w:val="22"/>
              </w:rPr>
            </w:pPr>
            <w:r>
              <w:rPr>
                <w:i/>
                <w:sz w:val="22"/>
              </w:rPr>
              <w:t>3.4.23</w:t>
            </w:r>
          </w:p>
        </w:tc>
        <w:tc>
          <w:tcPr>
            <w:tcW w:w="1431" w:type="dxa"/>
          </w:tcPr>
          <w:p>
            <w:pPr>
              <w:pStyle w:val="TableParagraph"/>
              <w:spacing w:line="259" w:lineRule="auto" w:before="140"/>
              <w:ind w:left="212" w:right="100"/>
              <w:rPr>
                <w:i/>
                <w:sz w:val="22"/>
              </w:rPr>
            </w:pPr>
            <w:r>
              <w:rPr>
                <w:i/>
                <w:w w:val="95"/>
                <w:sz w:val="22"/>
              </w:rPr>
              <w:t>语言能力丧</w:t>
            </w:r>
            <w:r>
              <w:rPr>
                <w:i/>
                <w:sz w:val="22"/>
              </w:rPr>
              <w:t>失</w:t>
            </w:r>
          </w:p>
        </w:tc>
        <w:tc>
          <w:tcPr>
            <w:tcW w:w="7131" w:type="dxa"/>
          </w:tcPr>
          <w:p>
            <w:pPr>
              <w:pStyle w:val="TableParagraph"/>
              <w:spacing w:line="273" w:lineRule="auto" w:before="151"/>
              <w:ind w:left="101" w:right="155" w:hanging="1"/>
              <w:rPr>
                <w:sz w:val="21"/>
              </w:rPr>
            </w:pPr>
            <w:r>
              <w:rPr>
                <w:spacing w:val="-8"/>
                <w:sz w:val="21"/>
              </w:rPr>
              <w:t>指因疾病或意外伤害导致完全丧失语言能力，经过积极治疗至少 </w:t>
            </w:r>
            <w:r>
              <w:rPr>
                <w:sz w:val="21"/>
              </w:rPr>
              <w:t>12</w:t>
            </w:r>
            <w:r>
              <w:rPr>
                <w:spacing w:val="-36"/>
                <w:sz w:val="21"/>
              </w:rPr>
              <w:t> 个月</w:t>
            </w:r>
            <w:r>
              <w:rPr>
                <w:sz w:val="21"/>
              </w:rPr>
              <w:t>（声带完全切除不受此时间限制</w:t>
            </w:r>
            <w:r>
              <w:rPr>
                <w:spacing w:val="-105"/>
                <w:sz w:val="21"/>
              </w:rPr>
              <w:t>）</w:t>
            </w:r>
            <w:r>
              <w:rPr>
                <w:spacing w:val="-1"/>
                <w:sz w:val="21"/>
              </w:rPr>
              <w:t>，仍无法通过现有医疗手段恢复。</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shd w:fill="E5E5E5" w:color="auto" w:val="clear"/>
              </w:rPr>
              <w:t>精神心理因素所致的语言能力丧失不在保障范围内。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D8D8D8" w:color="auto" w:val="clear"/>
              </w:rPr>
              <w:t>被保险人申请理赔时年龄必须在三周岁以上，并且提供理赔当时的语言能力</w:t>
            </w:r>
          </w:p>
        </w:tc>
      </w:tr>
      <w:tr>
        <w:trPr>
          <w:trHeight w:val="46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D8D8D8" w:color="auto" w:val="clear"/>
              </w:rPr>
              <w:t>丧失诊断及检查证据。</w:t>
            </w:r>
          </w:p>
        </w:tc>
      </w:tr>
      <w:tr>
        <w:trPr>
          <w:trHeight w:val="785" w:hRule="atLeast"/>
        </w:trPr>
        <w:tc>
          <w:tcPr>
            <w:tcW w:w="894" w:type="dxa"/>
          </w:tcPr>
          <w:p>
            <w:pPr>
              <w:pStyle w:val="TableParagraph"/>
              <w:spacing w:before="135"/>
              <w:ind w:left="50"/>
              <w:rPr>
                <w:i/>
                <w:sz w:val="22"/>
              </w:rPr>
            </w:pPr>
            <w:r>
              <w:rPr>
                <w:i/>
                <w:sz w:val="22"/>
              </w:rPr>
              <w:t>3.4.24</w:t>
            </w:r>
          </w:p>
        </w:tc>
        <w:tc>
          <w:tcPr>
            <w:tcW w:w="1431" w:type="dxa"/>
          </w:tcPr>
          <w:p>
            <w:pPr>
              <w:pStyle w:val="TableParagraph"/>
              <w:spacing w:line="259" w:lineRule="auto" w:before="135"/>
              <w:ind w:left="212" w:right="100"/>
              <w:rPr>
                <w:i/>
                <w:sz w:val="22"/>
              </w:rPr>
            </w:pPr>
            <w:r>
              <w:rPr>
                <w:i/>
                <w:w w:val="95"/>
                <w:sz w:val="22"/>
              </w:rPr>
              <w:t>重型再生障碍性贫血</w:t>
            </w:r>
          </w:p>
        </w:tc>
        <w:tc>
          <w:tcPr>
            <w:tcW w:w="7131" w:type="dxa"/>
          </w:tcPr>
          <w:p>
            <w:pPr>
              <w:pStyle w:val="TableParagraph"/>
              <w:spacing w:line="273" w:lineRule="auto" w:before="147"/>
              <w:ind w:left="100" w:right="87"/>
              <w:rPr>
                <w:sz w:val="21"/>
              </w:rPr>
            </w:pPr>
            <w:r>
              <w:rPr>
                <w:sz w:val="21"/>
              </w:rPr>
              <w:t>指因骨髓造血功能慢性持续性衰竭导致的贫血、中性粒细胞减少及血小板减少。须满足下列全部条件：</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（1）骨髓穿刺检查或骨髓活检结果支持诊断；</w:t>
            </w:r>
          </w:p>
        </w:tc>
      </w:tr>
      <w:tr>
        <w:trPr>
          <w:trHeight w:val="260" w:hRule="atLeast"/>
        </w:trPr>
        <w:tc>
          <w:tcPr>
            <w:tcW w:w="894" w:type="dxa"/>
          </w:tcPr>
          <w:p>
            <w:pPr>
              <w:pStyle w:val="TableParagraph"/>
              <w:rPr>
                <w:rFonts w:ascii="Times New Roman"/>
                <w:sz w:val="18"/>
              </w:rPr>
            </w:pPr>
          </w:p>
        </w:tc>
        <w:tc>
          <w:tcPr>
            <w:tcW w:w="1431" w:type="dxa"/>
          </w:tcPr>
          <w:p>
            <w:pPr>
              <w:pStyle w:val="TableParagraph"/>
              <w:rPr>
                <w:rFonts w:ascii="Times New Roman"/>
                <w:sz w:val="18"/>
              </w:rPr>
            </w:pPr>
          </w:p>
        </w:tc>
        <w:tc>
          <w:tcPr>
            <w:tcW w:w="7131" w:type="dxa"/>
          </w:tcPr>
          <w:p>
            <w:pPr>
              <w:pStyle w:val="TableParagraph"/>
              <w:spacing w:line="241" w:lineRule="exact"/>
              <w:ind w:left="100"/>
              <w:rPr>
                <w:sz w:val="21"/>
              </w:rPr>
            </w:pPr>
            <w:r>
              <w:rPr>
                <w:sz w:val="21"/>
              </w:rPr>
              <w:t>（2）外周血象须具备所有三项条件：</w:t>
            </w:r>
          </w:p>
        </w:tc>
      </w:tr>
    </w:tbl>
    <w:p>
      <w:pPr>
        <w:pStyle w:val="BodyText"/>
        <w:spacing w:before="37"/>
        <w:ind w:left="2957"/>
      </w:pPr>
      <w:r>
        <w:rPr/>
        <w:t>① 中性粒细胞绝对值≤0.5×10</w:t>
      </w:r>
      <w:r>
        <w:rPr>
          <w:b/>
          <w:position w:val="11"/>
          <w:sz w:val="11"/>
        </w:rPr>
        <w:t>9</w:t>
      </w:r>
      <w:r>
        <w:rPr/>
        <w:t>/L ；</w:t>
      </w:r>
    </w:p>
    <w:p>
      <w:pPr>
        <w:pStyle w:val="BodyText"/>
        <w:spacing w:before="37"/>
        <w:ind w:left="2957"/>
      </w:pPr>
      <w:r>
        <w:rPr/>
        <w:t>② 网织红细胞＜1%；</w:t>
      </w:r>
    </w:p>
    <w:p>
      <w:pPr>
        <w:pStyle w:val="BodyText"/>
        <w:spacing w:before="37"/>
        <w:ind w:left="2957"/>
      </w:pPr>
      <w:r>
        <w:rPr/>
        <w:t>③ 血小板绝对值≤20×10</w:t>
      </w:r>
      <w:r>
        <w:rPr>
          <w:b/>
          <w:position w:val="11"/>
          <w:sz w:val="11"/>
        </w:rPr>
        <w:t>9</w:t>
      </w:r>
      <w:r>
        <w:rPr/>
        <w:t>/L。</w:t>
      </w:r>
    </w:p>
    <w:p>
      <w:pPr>
        <w:pStyle w:val="BodyText"/>
        <w:spacing w:before="10"/>
        <w:rPr>
          <w:sz w:val="25"/>
        </w:rPr>
      </w:pPr>
    </w:p>
    <w:p>
      <w:pPr>
        <w:pStyle w:val="ListParagraph"/>
        <w:numPr>
          <w:ilvl w:val="2"/>
          <w:numId w:val="6"/>
        </w:numPr>
        <w:tabs>
          <w:tab w:pos="1218" w:val="left" w:leader="none"/>
        </w:tabs>
        <w:spacing w:line="271" w:lineRule="auto" w:before="0" w:after="0"/>
        <w:ind w:left="2537" w:right="268" w:hanging="2376"/>
        <w:jc w:val="both"/>
        <w:rPr>
          <w:sz w:val="21"/>
        </w:rPr>
      </w:pPr>
      <w:r>
        <w:rPr>
          <w:i/>
          <w:sz w:val="22"/>
        </w:rPr>
        <w:t>主动脉手术 </w:t>
      </w:r>
      <w:r>
        <w:rPr>
          <w:spacing w:val="-4"/>
          <w:sz w:val="21"/>
        </w:rPr>
        <w:t>指为治疗主动脉疾病，实际实施了开胸或开腹进行的切除、置换、修补病损</w:t>
      </w:r>
      <w:r>
        <w:rPr>
          <w:spacing w:val="-7"/>
          <w:sz w:val="21"/>
        </w:rPr>
        <w:t>主动脉血管的手术。</w:t>
      </w:r>
      <w:r>
        <w:rPr>
          <w:spacing w:val="-3"/>
          <w:sz w:val="21"/>
          <w:shd w:fill="E5E5E5" w:color="auto" w:val="clear"/>
        </w:rPr>
        <w:t>主动脉指胸主动脉和腹主动脉，不包括胸主动脉和腹主动脉的分支血管。</w:t>
      </w:r>
    </w:p>
    <w:p>
      <w:pPr>
        <w:pStyle w:val="BodyText"/>
        <w:spacing w:before="9"/>
        <w:ind w:left="2537"/>
      </w:pPr>
      <w:r>
        <w:rPr>
          <w:shd w:fill="E5E5E5" w:color="auto" w:val="clear"/>
        </w:rPr>
        <w:t>动脉内血管成形术不在保障范围内。</w:t>
      </w:r>
    </w:p>
    <w:p>
      <w:pPr>
        <w:pStyle w:val="BodyText"/>
        <w:spacing w:before="9"/>
        <w:rPr>
          <w:sz w:val="25"/>
        </w:rPr>
      </w:pPr>
    </w:p>
    <w:p>
      <w:pPr>
        <w:pStyle w:val="ListParagraph"/>
        <w:numPr>
          <w:ilvl w:val="2"/>
          <w:numId w:val="6"/>
        </w:numPr>
        <w:tabs>
          <w:tab w:pos="1218" w:val="left" w:leader="none"/>
        </w:tabs>
        <w:spacing w:line="271" w:lineRule="auto" w:before="0" w:after="0"/>
        <w:ind w:left="2537" w:right="268" w:hanging="2376"/>
        <w:jc w:val="both"/>
        <w:rPr>
          <w:sz w:val="21"/>
        </w:rPr>
      </w:pPr>
      <w:r>
        <w:rPr>
          <w:i/>
          <w:spacing w:val="5"/>
          <w:sz w:val="22"/>
        </w:rPr>
        <w:t>植物人状态 </w:t>
      </w:r>
      <w:r>
        <w:rPr>
          <w:spacing w:val="1"/>
          <w:sz w:val="21"/>
        </w:rPr>
        <w:t>系指由于意外事故或疾病引起的大脑和脑干严重损害导致完全永久性的对</w:t>
      </w:r>
      <w:r>
        <w:rPr>
          <w:spacing w:val="-1"/>
          <w:sz w:val="21"/>
        </w:rPr>
        <w:t>自身和环境的意识丧失和中枢神经系统功能丧失，仅残存植物神经功能的疾</w:t>
      </w:r>
      <w:r>
        <w:rPr>
          <w:spacing w:val="-7"/>
          <w:sz w:val="21"/>
        </w:rPr>
        <w:t>病状态。诊断必须明确诊断并且具有严重脑损害的证据。植物人状态必须持</w:t>
      </w:r>
    </w:p>
    <w:p>
      <w:pPr>
        <w:spacing w:after="0" w:line="271" w:lineRule="auto"/>
        <w:jc w:val="both"/>
        <w:rPr>
          <w:sz w:val="21"/>
        </w:rPr>
        <w:sectPr>
          <w:pgSz w:w="11900" w:h="16840"/>
          <w:pgMar w:header="570" w:footer="0" w:top="800" w:bottom="280" w:left="860" w:right="1360"/>
        </w:sectPr>
      </w:pPr>
    </w:p>
    <w:p>
      <w:pPr>
        <w:pStyle w:val="BodyText"/>
        <w:spacing w:before="1"/>
      </w:pPr>
    </w:p>
    <w:p>
      <w:pPr>
        <w:pStyle w:val="BodyText"/>
        <w:spacing w:before="36"/>
        <w:ind w:left="2537"/>
      </w:pPr>
      <w:r>
        <w:rPr/>
        <w:t>续 180 天以上方可申请理赔。</w:t>
      </w:r>
    </w:p>
    <w:p>
      <w:pPr>
        <w:pStyle w:val="BodyText"/>
        <w:spacing w:before="2"/>
        <w:rPr>
          <w:sz w:val="23"/>
        </w:rPr>
      </w:pPr>
    </w:p>
    <w:p>
      <w:pPr>
        <w:spacing w:after="0"/>
        <w:rPr>
          <w:sz w:val="23"/>
        </w:rPr>
        <w:sectPr>
          <w:pgSz w:w="11900" w:h="16840"/>
          <w:pgMar w:header="570" w:footer="0" w:top="800" w:bottom="280" w:left="860" w:right="1360"/>
        </w:sectPr>
      </w:pPr>
    </w:p>
    <w:p>
      <w:pPr>
        <w:pStyle w:val="Heading4"/>
        <w:numPr>
          <w:ilvl w:val="2"/>
          <w:numId w:val="6"/>
        </w:numPr>
        <w:tabs>
          <w:tab w:pos="1217" w:val="left" w:leader="none"/>
          <w:tab w:pos="1218" w:val="left" w:leader="none"/>
        </w:tabs>
        <w:spacing w:line="240" w:lineRule="auto" w:before="34" w:after="0"/>
        <w:ind w:left="2537" w:right="0" w:hanging="2376"/>
        <w:jc w:val="left"/>
      </w:pPr>
      <w:r>
        <w:rPr>
          <w:spacing w:val="11"/>
          <w:w w:val="95"/>
        </w:rPr>
        <w:t>原发性硬化</w:t>
      </w:r>
    </w:p>
    <w:p>
      <w:pPr>
        <w:spacing w:before="23"/>
        <w:ind w:left="1217" w:right="0" w:firstLine="0"/>
        <w:jc w:val="left"/>
        <w:rPr>
          <w:i/>
          <w:sz w:val="22"/>
        </w:rPr>
      </w:pPr>
      <w:r>
        <w:rPr>
          <w:i/>
          <w:w w:val="95"/>
          <w:sz w:val="22"/>
        </w:rPr>
        <w:t>性胆管炎</w:t>
      </w:r>
    </w:p>
    <w:p>
      <w:pPr>
        <w:pStyle w:val="BodyText"/>
        <w:spacing w:line="273" w:lineRule="auto" w:before="46"/>
        <w:ind w:left="161" w:right="164"/>
      </w:pPr>
      <w:r>
        <w:rPr/>
        <w:br w:type="column"/>
      </w:r>
      <w:r>
        <w:rPr>
          <w:spacing w:val="-13"/>
        </w:rPr>
        <w:t>指一种胆汁淤积综合征，其特征是肝内、肝外胆道因纤维化性炎症逐渐狭窄， </w:t>
      </w:r>
      <w:r>
        <w:rPr>
          <w:spacing w:val="-16"/>
        </w:rPr>
        <w:t>并最终导致完全阻塞而发展为肝硬化。本病须经内镜逆行胰胆管造影等影像</w:t>
      </w:r>
      <w:r>
        <w:rPr>
          <w:spacing w:val="-1"/>
        </w:rPr>
        <w:t>学检查证实，并须满足下列全部条件：</w:t>
      </w:r>
    </w:p>
    <w:p>
      <w:pPr>
        <w:pStyle w:val="ListParagraph"/>
        <w:numPr>
          <w:ilvl w:val="0"/>
          <w:numId w:val="7"/>
        </w:numPr>
        <w:tabs>
          <w:tab w:pos="792" w:val="left" w:leader="none"/>
        </w:tabs>
        <w:spacing w:line="240" w:lineRule="auto" w:before="7" w:after="0"/>
        <w:ind w:left="791" w:right="0" w:hanging="630"/>
        <w:jc w:val="left"/>
        <w:rPr>
          <w:sz w:val="21"/>
        </w:rPr>
      </w:pPr>
      <w:r>
        <w:rPr>
          <w:spacing w:val="-4"/>
          <w:sz w:val="21"/>
        </w:rPr>
        <w:t>总胆红素和直接胆红素同时升高，血清 </w:t>
      </w:r>
      <w:r>
        <w:rPr>
          <w:sz w:val="21"/>
        </w:rPr>
        <w:t>ALP&gt;200U/L；</w:t>
      </w:r>
    </w:p>
    <w:p>
      <w:pPr>
        <w:pStyle w:val="ListParagraph"/>
        <w:numPr>
          <w:ilvl w:val="0"/>
          <w:numId w:val="7"/>
        </w:numPr>
        <w:tabs>
          <w:tab w:pos="792" w:val="left" w:leader="none"/>
        </w:tabs>
        <w:spacing w:line="240" w:lineRule="auto" w:before="36" w:after="0"/>
        <w:ind w:left="791" w:right="0" w:hanging="630"/>
        <w:jc w:val="left"/>
        <w:rPr>
          <w:sz w:val="21"/>
        </w:rPr>
      </w:pPr>
      <w:r>
        <w:rPr>
          <w:spacing w:val="-1"/>
          <w:sz w:val="21"/>
        </w:rPr>
        <w:t>持续性黄疸病史；</w:t>
      </w:r>
    </w:p>
    <w:p>
      <w:pPr>
        <w:pStyle w:val="ListParagraph"/>
        <w:numPr>
          <w:ilvl w:val="0"/>
          <w:numId w:val="7"/>
        </w:numPr>
        <w:tabs>
          <w:tab w:pos="792" w:val="left" w:leader="none"/>
        </w:tabs>
        <w:spacing w:line="240" w:lineRule="auto" w:before="36" w:after="0"/>
        <w:ind w:left="791" w:right="0" w:hanging="630"/>
        <w:jc w:val="left"/>
        <w:rPr>
          <w:sz w:val="21"/>
        </w:rPr>
      </w:pPr>
      <w:r>
        <w:rPr>
          <w:spacing w:val="-1"/>
          <w:sz w:val="21"/>
        </w:rPr>
        <w:t>出现胆汁性肝硬化或门脉高压。</w:t>
      </w:r>
    </w:p>
    <w:p>
      <w:pPr>
        <w:spacing w:after="0" w:line="240" w:lineRule="auto"/>
        <w:jc w:val="left"/>
        <w:rPr>
          <w:sz w:val="21"/>
        </w:rPr>
        <w:sectPr>
          <w:type w:val="continuous"/>
          <w:pgSz w:w="11900" w:h="16840"/>
          <w:pgMar w:top="1100" w:bottom="280" w:left="860" w:right="1360"/>
          <w:cols w:num="2" w:equalWidth="0">
            <w:col w:w="2334" w:space="42"/>
            <w:col w:w="7304"/>
          </w:cols>
        </w:sectPr>
      </w:pPr>
    </w:p>
    <w:p>
      <w:pPr>
        <w:pStyle w:val="BodyText"/>
        <w:spacing w:before="9" w:after="1"/>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430"/>
        <w:gridCol w:w="7129"/>
      </w:tblGrid>
      <w:tr>
        <w:trPr>
          <w:trHeight w:val="4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10" w:lineRule="exact"/>
              <w:ind w:left="102"/>
              <w:rPr>
                <w:sz w:val="21"/>
              </w:rPr>
            </w:pPr>
            <w:r>
              <w:rPr>
                <w:sz w:val="21"/>
                <w:shd w:fill="E5E5E5" w:color="auto" w:val="clear"/>
              </w:rPr>
              <w:t>因肿瘤或胆管损伤等继发性的硬化性胆管炎不在保障范围内。</w:t>
            </w:r>
          </w:p>
        </w:tc>
      </w:tr>
      <w:tr>
        <w:trPr>
          <w:trHeight w:val="785" w:hRule="atLeast"/>
        </w:trPr>
        <w:tc>
          <w:tcPr>
            <w:tcW w:w="893" w:type="dxa"/>
          </w:tcPr>
          <w:p>
            <w:pPr>
              <w:pStyle w:val="TableParagraph"/>
              <w:spacing w:before="135"/>
              <w:ind w:left="50"/>
              <w:rPr>
                <w:i/>
                <w:sz w:val="22"/>
              </w:rPr>
            </w:pPr>
            <w:r>
              <w:rPr>
                <w:i/>
                <w:sz w:val="22"/>
              </w:rPr>
              <w:t>3.4.28</w:t>
            </w:r>
          </w:p>
        </w:tc>
        <w:tc>
          <w:tcPr>
            <w:tcW w:w="1430" w:type="dxa"/>
          </w:tcPr>
          <w:p>
            <w:pPr>
              <w:pStyle w:val="TableParagraph"/>
              <w:spacing w:line="259" w:lineRule="auto" w:before="135"/>
              <w:ind w:left="213" w:right="98"/>
              <w:rPr>
                <w:i/>
                <w:sz w:val="22"/>
              </w:rPr>
            </w:pPr>
            <w:r>
              <w:rPr>
                <w:i/>
                <w:w w:val="95"/>
                <w:sz w:val="22"/>
              </w:rPr>
              <w:t>埃博拉病毒感染</w:t>
            </w:r>
          </w:p>
        </w:tc>
        <w:tc>
          <w:tcPr>
            <w:tcW w:w="7129" w:type="dxa"/>
          </w:tcPr>
          <w:p>
            <w:pPr>
              <w:pStyle w:val="TableParagraph"/>
              <w:spacing w:before="147"/>
              <w:ind w:left="102"/>
              <w:rPr>
                <w:sz w:val="21"/>
              </w:rPr>
            </w:pPr>
            <w:r>
              <w:rPr>
                <w:sz w:val="21"/>
              </w:rPr>
              <w:t>指埃博拉病毒感染导致的烈性传染病，并须满足下列全部条件：</w:t>
            </w:r>
          </w:p>
          <w:p>
            <w:pPr>
              <w:pStyle w:val="TableParagraph"/>
              <w:spacing w:before="37"/>
              <w:ind w:left="102"/>
              <w:rPr>
                <w:sz w:val="21"/>
              </w:rPr>
            </w:pPr>
            <w:r>
              <w:rPr>
                <w:sz w:val="21"/>
              </w:rPr>
              <w:t>（1）实验室检查证实埃博拉病毒的存在；</w:t>
            </w:r>
          </w:p>
        </w:tc>
      </w:tr>
      <w:tr>
        <w:trPr>
          <w:trHeight w:val="46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0" w:lineRule="exact"/>
              <w:ind w:left="102"/>
              <w:rPr>
                <w:sz w:val="21"/>
              </w:rPr>
            </w:pPr>
            <w:r>
              <w:rPr>
                <w:sz w:val="21"/>
              </w:rPr>
              <w:t>（2）从发病开始有超过 30 天的进行性感染症状。</w:t>
            </w:r>
          </w:p>
        </w:tc>
      </w:tr>
      <w:tr>
        <w:trPr>
          <w:trHeight w:val="936" w:hRule="atLeast"/>
        </w:trPr>
        <w:tc>
          <w:tcPr>
            <w:tcW w:w="893" w:type="dxa"/>
          </w:tcPr>
          <w:p>
            <w:pPr>
              <w:pStyle w:val="TableParagraph"/>
              <w:spacing w:before="135"/>
              <w:ind w:left="50"/>
              <w:rPr>
                <w:i/>
                <w:sz w:val="22"/>
              </w:rPr>
            </w:pPr>
            <w:r>
              <w:rPr>
                <w:i/>
                <w:sz w:val="22"/>
              </w:rPr>
              <w:t>3.4.29</w:t>
            </w:r>
          </w:p>
        </w:tc>
        <w:tc>
          <w:tcPr>
            <w:tcW w:w="1430" w:type="dxa"/>
          </w:tcPr>
          <w:p>
            <w:pPr>
              <w:pStyle w:val="TableParagraph"/>
              <w:spacing w:line="259" w:lineRule="auto" w:before="135"/>
              <w:ind w:left="213" w:right="98"/>
              <w:rPr>
                <w:i/>
                <w:sz w:val="22"/>
              </w:rPr>
            </w:pPr>
            <w:r>
              <w:rPr>
                <w:i/>
                <w:w w:val="95"/>
                <w:sz w:val="22"/>
              </w:rPr>
              <w:t>严重的心肌</w:t>
            </w:r>
            <w:r>
              <w:rPr>
                <w:i/>
                <w:sz w:val="22"/>
              </w:rPr>
              <w:t>炎</w:t>
            </w:r>
          </w:p>
        </w:tc>
        <w:tc>
          <w:tcPr>
            <w:tcW w:w="7129" w:type="dxa"/>
          </w:tcPr>
          <w:p>
            <w:pPr>
              <w:pStyle w:val="TableParagraph"/>
              <w:spacing w:line="273" w:lineRule="auto" w:before="147"/>
              <w:ind w:left="102" w:right="83"/>
              <w:rPr>
                <w:sz w:val="21"/>
              </w:rPr>
            </w:pPr>
            <w:r>
              <w:rPr>
                <w:sz w:val="21"/>
              </w:rPr>
              <w:t>指心肌局限性或弥漫性的急性或慢性炎症病变，导致心脏功能障碍，达到美国纽约心脏病学会心功能状态分级 IV 级，且持续至少 180 天。</w:t>
            </w:r>
          </w:p>
        </w:tc>
      </w:tr>
      <w:tr>
        <w:trPr>
          <w:trHeight w:val="473" w:hRule="atLeast"/>
        </w:trPr>
        <w:tc>
          <w:tcPr>
            <w:tcW w:w="893" w:type="dxa"/>
          </w:tcPr>
          <w:p>
            <w:pPr>
              <w:pStyle w:val="TableParagraph"/>
              <w:spacing w:before="135"/>
              <w:ind w:left="50"/>
              <w:rPr>
                <w:i/>
                <w:sz w:val="22"/>
              </w:rPr>
            </w:pPr>
            <w:r>
              <w:rPr>
                <w:i/>
                <w:sz w:val="22"/>
              </w:rPr>
              <w:t>3.4.30</w:t>
            </w:r>
          </w:p>
        </w:tc>
        <w:tc>
          <w:tcPr>
            <w:tcW w:w="1430" w:type="dxa"/>
          </w:tcPr>
          <w:p>
            <w:pPr>
              <w:pStyle w:val="TableParagraph"/>
              <w:spacing w:before="135"/>
              <w:ind w:left="213"/>
              <w:rPr>
                <w:i/>
                <w:sz w:val="22"/>
              </w:rPr>
            </w:pPr>
            <w:r>
              <w:rPr>
                <w:i/>
                <w:w w:val="95"/>
                <w:sz w:val="22"/>
              </w:rPr>
              <w:t>重症肌无力</w:t>
            </w:r>
          </w:p>
        </w:tc>
        <w:tc>
          <w:tcPr>
            <w:tcW w:w="7129" w:type="dxa"/>
          </w:tcPr>
          <w:p>
            <w:pPr>
              <w:pStyle w:val="TableParagraph"/>
              <w:spacing w:before="146"/>
              <w:ind w:left="102"/>
              <w:rPr>
                <w:sz w:val="21"/>
              </w:rPr>
            </w:pPr>
            <w:r>
              <w:rPr>
                <w:sz w:val="21"/>
              </w:rPr>
              <w:t>指一种神经与肌肉接头部位传递障碍的自身免疫性疾病，临床特征是局部或</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0" w:lineRule="exact"/>
              <w:ind w:left="102"/>
              <w:rPr>
                <w:sz w:val="21"/>
              </w:rPr>
            </w:pPr>
            <w:r>
              <w:rPr>
                <w:sz w:val="21"/>
              </w:rPr>
              <w:t>全身肌肉于活动时易于疲劳无力，须经专科医生明确诊断，并满足下列全部</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条件：</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（1）经药物治疗或胸腺手术治疗一年以上无法控制病情，症状缓解、复发</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及恶化交替出现；</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（2）自主生活能力完全丧失，无法独立完成六项基本日常生活活动中的三</w:t>
            </w:r>
          </w:p>
        </w:tc>
      </w:tr>
      <w:tr>
        <w:trPr>
          <w:trHeight w:val="46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项或三项以上。</w:t>
            </w:r>
          </w:p>
        </w:tc>
      </w:tr>
      <w:tr>
        <w:trPr>
          <w:trHeight w:val="785" w:hRule="atLeast"/>
        </w:trPr>
        <w:tc>
          <w:tcPr>
            <w:tcW w:w="893" w:type="dxa"/>
          </w:tcPr>
          <w:p>
            <w:pPr>
              <w:pStyle w:val="TableParagraph"/>
              <w:spacing w:before="135"/>
              <w:ind w:left="50"/>
              <w:rPr>
                <w:i/>
                <w:sz w:val="22"/>
              </w:rPr>
            </w:pPr>
            <w:r>
              <w:rPr>
                <w:i/>
                <w:sz w:val="22"/>
              </w:rPr>
              <w:t>3.4.31</w:t>
            </w:r>
          </w:p>
        </w:tc>
        <w:tc>
          <w:tcPr>
            <w:tcW w:w="1430" w:type="dxa"/>
          </w:tcPr>
          <w:p>
            <w:pPr>
              <w:pStyle w:val="TableParagraph"/>
              <w:spacing w:line="259" w:lineRule="auto" w:before="135"/>
              <w:ind w:left="213" w:right="98"/>
              <w:rPr>
                <w:i/>
                <w:sz w:val="22"/>
              </w:rPr>
            </w:pPr>
            <w:r>
              <w:rPr>
                <w:i/>
                <w:w w:val="95"/>
                <w:sz w:val="22"/>
              </w:rPr>
              <w:t>系统性硬皮</w:t>
            </w:r>
            <w:r>
              <w:rPr>
                <w:i/>
                <w:sz w:val="22"/>
              </w:rPr>
              <w:t>病</w:t>
            </w:r>
          </w:p>
        </w:tc>
        <w:tc>
          <w:tcPr>
            <w:tcW w:w="7129" w:type="dxa"/>
          </w:tcPr>
          <w:p>
            <w:pPr>
              <w:pStyle w:val="TableParagraph"/>
              <w:spacing w:line="273" w:lineRule="auto" w:before="147"/>
              <w:ind w:left="102" w:right="47"/>
              <w:rPr>
                <w:sz w:val="21"/>
              </w:rPr>
            </w:pPr>
            <w:r>
              <w:rPr>
                <w:spacing w:val="-4"/>
                <w:sz w:val="21"/>
              </w:rPr>
              <w:t>指一种以局限性或弥漫性皮肤增厚和皮肤、血管、内脏器官异常纤维化为特</w:t>
            </w:r>
            <w:r>
              <w:rPr>
                <w:spacing w:val="-15"/>
                <w:sz w:val="21"/>
              </w:rPr>
              <w:t>征的结缔组织病。本病须经专科医师明确诊断，并须满足下列至少一项条件：</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0" w:lineRule="exact"/>
              <w:ind w:left="102"/>
              <w:rPr>
                <w:sz w:val="21"/>
              </w:rPr>
            </w:pPr>
            <w:r>
              <w:rPr>
                <w:sz w:val="21"/>
              </w:rPr>
              <w:t>（1）肺脏：肺部病变进而发展为肺间质纤维化和肺动脉高压；</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（2）心脏：心功能受损达到美国纽约心脏病学会心功能状态分级 IV 级；</w:t>
            </w:r>
          </w:p>
        </w:tc>
      </w:tr>
      <w:tr>
        <w:trPr>
          <w:trHeight w:val="31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（3）肾脏：肾脏受损导致双肾功能慢性不可逆衰竭，达到尿毒症期。</w:t>
            </w:r>
          </w:p>
        </w:tc>
      </w:tr>
      <w:tr>
        <w:trPr>
          <w:trHeight w:val="31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shd w:fill="E5E5E5" w:color="auto" w:val="clear"/>
              </w:rPr>
              <w:t>下列疾病不在保障范围内</w:t>
            </w:r>
            <w:r>
              <w:rPr>
                <w:spacing w:val="-117"/>
                <w:sz w:val="21"/>
                <w:shd w:fill="E5E5E5" w:color="auto" w:val="clear"/>
              </w:rPr>
              <w:t>：</w:t>
            </w:r>
            <w:r>
              <w:rPr>
                <w:sz w:val="21"/>
                <w:shd w:fill="E5E5E5" w:color="auto" w:val="clear"/>
              </w:rPr>
              <w:t>（1</w:t>
            </w:r>
            <w:r>
              <w:rPr>
                <w:spacing w:val="-12"/>
                <w:sz w:val="21"/>
                <w:shd w:fill="E5E5E5" w:color="auto" w:val="clear"/>
              </w:rPr>
              <w:t>）</w:t>
            </w:r>
            <w:r>
              <w:rPr>
                <w:spacing w:val="-2"/>
                <w:sz w:val="21"/>
                <w:shd w:fill="E5E5E5" w:color="auto" w:val="clear"/>
              </w:rPr>
              <w:t>局部性硬皮病</w:t>
            </w:r>
            <w:r>
              <w:rPr>
                <w:sz w:val="21"/>
                <w:shd w:fill="E5E5E5" w:color="auto" w:val="clear"/>
              </w:rPr>
              <w:t>（</w:t>
            </w:r>
            <w:r>
              <w:rPr>
                <w:spacing w:val="-5"/>
                <w:sz w:val="21"/>
                <w:shd w:fill="E5E5E5" w:color="auto" w:val="clear"/>
              </w:rPr>
              <w:t>如：带状硬皮病、硬斑病</w:t>
            </w:r>
            <w:r>
              <w:rPr>
                <w:spacing w:val="-105"/>
                <w:sz w:val="21"/>
                <w:shd w:fill="E5E5E5" w:color="auto" w:val="clear"/>
              </w:rPr>
              <w:t>）</w:t>
            </w:r>
            <w:r>
              <w:rPr>
                <w:sz w:val="21"/>
                <w:shd w:fill="E5E5E5" w:color="auto" w:val="clear"/>
              </w:rPr>
              <w:t>；</w:t>
            </w:r>
          </w:p>
        </w:tc>
      </w:tr>
      <w:tr>
        <w:trPr>
          <w:trHeight w:val="46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shd w:fill="E5E5E5" w:color="auto" w:val="clear"/>
              </w:rPr>
              <w:t>（2）</w:t>
            </w:r>
            <w:r>
              <w:rPr>
                <w:spacing w:val="-11"/>
                <w:sz w:val="21"/>
                <w:shd w:fill="E5E5E5" w:color="auto" w:val="clear"/>
              </w:rPr>
              <w:t>嗜酸性粒细胞性筋膜炎；</w:t>
            </w:r>
            <w:r>
              <w:rPr>
                <w:sz w:val="21"/>
                <w:shd w:fill="E5E5E5" w:color="auto" w:val="clear"/>
              </w:rPr>
              <w:t>（3</w:t>
            </w:r>
            <w:r>
              <w:rPr>
                <w:spacing w:val="-2"/>
                <w:sz w:val="21"/>
                <w:shd w:fill="E5E5E5" w:color="auto" w:val="clear"/>
              </w:rPr>
              <w:t>）</w:t>
            </w:r>
            <w:r>
              <w:rPr>
                <w:spacing w:val="-1"/>
                <w:sz w:val="21"/>
                <w:shd w:fill="E5E5E5" w:color="auto" w:val="clear"/>
              </w:rPr>
              <w:t>C</w:t>
            </w:r>
            <w:r>
              <w:rPr>
                <w:sz w:val="21"/>
                <w:shd w:fill="E5E5E5" w:color="auto" w:val="clear"/>
              </w:rPr>
              <w:t>REST</w:t>
            </w:r>
            <w:r>
              <w:rPr>
                <w:spacing w:val="-12"/>
                <w:sz w:val="21"/>
                <w:shd w:fill="E5E5E5" w:color="auto" w:val="clear"/>
              </w:rPr>
              <w:t> 综合征。</w:t>
            </w:r>
          </w:p>
        </w:tc>
      </w:tr>
      <w:tr>
        <w:trPr>
          <w:trHeight w:val="473" w:hRule="atLeast"/>
        </w:trPr>
        <w:tc>
          <w:tcPr>
            <w:tcW w:w="893" w:type="dxa"/>
          </w:tcPr>
          <w:p>
            <w:pPr>
              <w:pStyle w:val="TableParagraph"/>
              <w:spacing w:before="135"/>
              <w:ind w:left="50"/>
              <w:rPr>
                <w:i/>
                <w:sz w:val="22"/>
              </w:rPr>
            </w:pPr>
            <w:r>
              <w:rPr>
                <w:i/>
                <w:sz w:val="22"/>
              </w:rPr>
              <w:t>3.4.32</w:t>
            </w:r>
          </w:p>
        </w:tc>
        <w:tc>
          <w:tcPr>
            <w:tcW w:w="1430" w:type="dxa"/>
          </w:tcPr>
          <w:p>
            <w:pPr>
              <w:pStyle w:val="TableParagraph"/>
              <w:spacing w:before="135"/>
              <w:ind w:left="213"/>
              <w:rPr>
                <w:i/>
                <w:sz w:val="22"/>
              </w:rPr>
            </w:pPr>
            <w:r>
              <w:rPr>
                <w:i/>
                <w:w w:val="95"/>
                <w:sz w:val="22"/>
              </w:rPr>
              <w:t>象皮病</w:t>
            </w:r>
          </w:p>
        </w:tc>
        <w:tc>
          <w:tcPr>
            <w:tcW w:w="7129" w:type="dxa"/>
          </w:tcPr>
          <w:p>
            <w:pPr>
              <w:pStyle w:val="TableParagraph"/>
              <w:spacing w:before="147"/>
              <w:ind w:left="102"/>
              <w:rPr>
                <w:sz w:val="21"/>
              </w:rPr>
            </w:pPr>
            <w:r>
              <w:rPr>
                <w:sz w:val="21"/>
              </w:rPr>
              <w:t>指末期丝虫病，按国际淋巴学会分级为三度淋巴液肿，其临床表现为肢体非</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0" w:lineRule="exact"/>
              <w:ind w:left="102"/>
              <w:rPr>
                <w:sz w:val="21"/>
              </w:rPr>
            </w:pPr>
            <w:r>
              <w:rPr>
                <w:sz w:val="21"/>
              </w:rPr>
              <w:t>凹陷性水肿伴畸形增大、硬皮症和疣状增生。此病症须经认可的专科医生根</w:t>
            </w:r>
          </w:p>
        </w:tc>
      </w:tr>
      <w:tr>
        <w:trPr>
          <w:trHeight w:val="46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据临床表现和微丝蚴的化验结果确诊。</w:t>
            </w:r>
          </w:p>
        </w:tc>
      </w:tr>
      <w:tr>
        <w:trPr>
          <w:trHeight w:val="1097" w:hRule="atLeast"/>
        </w:trPr>
        <w:tc>
          <w:tcPr>
            <w:tcW w:w="893" w:type="dxa"/>
          </w:tcPr>
          <w:p>
            <w:pPr>
              <w:pStyle w:val="TableParagraph"/>
              <w:spacing w:before="135"/>
              <w:ind w:left="50"/>
              <w:rPr>
                <w:i/>
                <w:sz w:val="22"/>
              </w:rPr>
            </w:pPr>
            <w:r>
              <w:rPr>
                <w:i/>
                <w:sz w:val="22"/>
              </w:rPr>
              <w:t>3.4.33</w:t>
            </w:r>
          </w:p>
        </w:tc>
        <w:tc>
          <w:tcPr>
            <w:tcW w:w="1430" w:type="dxa"/>
          </w:tcPr>
          <w:p>
            <w:pPr>
              <w:pStyle w:val="TableParagraph"/>
              <w:spacing w:line="259" w:lineRule="auto" w:before="135"/>
              <w:ind w:left="212" w:right="98"/>
              <w:jc w:val="both"/>
              <w:rPr>
                <w:i/>
                <w:sz w:val="22"/>
              </w:rPr>
            </w:pPr>
            <w:r>
              <w:rPr>
                <w:i/>
                <w:w w:val="95"/>
                <w:sz w:val="22"/>
              </w:rPr>
              <w:t>慢性肾上腺皮质功能衰</w:t>
            </w:r>
            <w:r>
              <w:rPr>
                <w:i/>
                <w:sz w:val="22"/>
              </w:rPr>
              <w:t>竭</w:t>
            </w:r>
          </w:p>
        </w:tc>
        <w:tc>
          <w:tcPr>
            <w:tcW w:w="7129" w:type="dxa"/>
          </w:tcPr>
          <w:p>
            <w:pPr>
              <w:pStyle w:val="TableParagraph"/>
              <w:spacing w:line="273" w:lineRule="auto" w:before="147"/>
              <w:ind w:left="102" w:right="151"/>
              <w:jc w:val="both"/>
              <w:rPr>
                <w:sz w:val="21"/>
              </w:rPr>
            </w:pPr>
            <w:r>
              <w:rPr>
                <w:spacing w:val="-5"/>
                <w:sz w:val="21"/>
              </w:rPr>
              <w:t>因为自身免疫功能紊乱，使肾上腺组织逐渐受损，而需要长期接受糖皮质激</w:t>
            </w:r>
            <w:r>
              <w:rPr>
                <w:spacing w:val="-8"/>
                <w:sz w:val="21"/>
              </w:rPr>
              <w:t>素及肾上腺皮质激素替代疗法。该病必须经认可的内分泌专科医生确诊，并有以下报告作为证据：</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0" w:lineRule="exact"/>
              <w:ind w:left="102"/>
              <w:rPr>
                <w:sz w:val="21"/>
              </w:rPr>
            </w:pPr>
            <w:r>
              <w:rPr>
                <w:sz w:val="21"/>
              </w:rPr>
              <w:t>（1）促肾上腺皮质激素(ACTH)刺激试验；</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（2）胰岛素血糖减少测试；</w:t>
            </w:r>
          </w:p>
        </w:tc>
      </w:tr>
      <w:tr>
        <w:trPr>
          <w:trHeight w:val="311"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（3）血浆促肾上腺皮质激素(ACTH)水平测定；</w:t>
            </w:r>
          </w:p>
        </w:tc>
      </w:tr>
      <w:tr>
        <w:trPr>
          <w:trHeight w:val="31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rPr>
              <w:t>（4）血浆肾素活性(PRA)测定。</w:t>
            </w:r>
          </w:p>
        </w:tc>
      </w:tr>
      <w:tr>
        <w:trPr>
          <w:trHeight w:val="312" w:hRule="atLeast"/>
        </w:trPr>
        <w:tc>
          <w:tcPr>
            <w:tcW w:w="893" w:type="dxa"/>
          </w:tcPr>
          <w:p>
            <w:pPr>
              <w:pStyle w:val="TableParagraph"/>
              <w:rPr>
                <w:rFonts w:ascii="Times New Roman"/>
                <w:sz w:val="20"/>
              </w:rPr>
            </w:pPr>
          </w:p>
        </w:tc>
        <w:tc>
          <w:tcPr>
            <w:tcW w:w="1430" w:type="dxa"/>
          </w:tcPr>
          <w:p>
            <w:pPr>
              <w:pStyle w:val="TableParagraph"/>
              <w:rPr>
                <w:rFonts w:ascii="Times New Roman"/>
                <w:sz w:val="20"/>
              </w:rPr>
            </w:pPr>
          </w:p>
        </w:tc>
        <w:tc>
          <w:tcPr>
            <w:tcW w:w="7129" w:type="dxa"/>
          </w:tcPr>
          <w:p>
            <w:pPr>
              <w:pStyle w:val="TableParagraph"/>
              <w:spacing w:line="261" w:lineRule="exact"/>
              <w:ind w:left="102"/>
              <w:rPr>
                <w:sz w:val="21"/>
              </w:rPr>
            </w:pPr>
            <w:r>
              <w:rPr>
                <w:sz w:val="21"/>
                <w:shd w:fill="E5E5E5" w:color="auto" w:val="clear"/>
              </w:rPr>
              <w:t>慢性肾上腺皮质功能衰竭只对由自身免疫功能紊乱引起的承担保险责任，其</w:t>
            </w:r>
          </w:p>
        </w:tc>
      </w:tr>
      <w:tr>
        <w:trPr>
          <w:trHeight w:val="260" w:hRule="atLeast"/>
        </w:trPr>
        <w:tc>
          <w:tcPr>
            <w:tcW w:w="893" w:type="dxa"/>
          </w:tcPr>
          <w:p>
            <w:pPr>
              <w:pStyle w:val="TableParagraph"/>
              <w:rPr>
                <w:rFonts w:ascii="Times New Roman"/>
                <w:sz w:val="18"/>
              </w:rPr>
            </w:pPr>
          </w:p>
        </w:tc>
        <w:tc>
          <w:tcPr>
            <w:tcW w:w="1430" w:type="dxa"/>
          </w:tcPr>
          <w:p>
            <w:pPr>
              <w:pStyle w:val="TableParagraph"/>
              <w:rPr>
                <w:rFonts w:ascii="Times New Roman"/>
                <w:sz w:val="18"/>
              </w:rPr>
            </w:pPr>
          </w:p>
        </w:tc>
        <w:tc>
          <w:tcPr>
            <w:tcW w:w="7129" w:type="dxa"/>
          </w:tcPr>
          <w:p>
            <w:pPr>
              <w:pStyle w:val="TableParagraph"/>
              <w:spacing w:line="241" w:lineRule="exact"/>
              <w:ind w:left="102"/>
              <w:rPr>
                <w:sz w:val="21"/>
              </w:rPr>
            </w:pPr>
            <w:r>
              <w:rPr>
                <w:sz w:val="21"/>
                <w:shd w:fill="E5E5E5" w:color="auto" w:val="clear"/>
              </w:rPr>
              <w:t>他原因引起的除外。</w:t>
            </w:r>
          </w:p>
        </w:tc>
      </w:tr>
    </w:tbl>
    <w:p>
      <w:pPr>
        <w:spacing w:after="0" w:line="241" w:lineRule="exact"/>
        <w:rPr>
          <w:sz w:val="21"/>
        </w:rPr>
        <w:sectPr>
          <w:type w:val="continuous"/>
          <w:pgSz w:w="11900" w:h="16840"/>
          <w:pgMar w:top="1100" w:bottom="280" w:left="860" w:right="136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45"/>
        <w:gridCol w:w="7117"/>
      </w:tblGrid>
      <w:tr>
        <w:trPr>
          <w:trHeight w:val="584" w:hRule="atLeast"/>
        </w:trPr>
        <w:tc>
          <w:tcPr>
            <w:tcW w:w="894" w:type="dxa"/>
          </w:tcPr>
          <w:p>
            <w:pPr>
              <w:pStyle w:val="TableParagraph"/>
              <w:spacing w:line="222" w:lineRule="exact"/>
              <w:ind w:left="50"/>
              <w:rPr>
                <w:i/>
                <w:sz w:val="22"/>
              </w:rPr>
            </w:pPr>
            <w:r>
              <w:rPr>
                <w:i/>
                <w:sz w:val="22"/>
              </w:rPr>
              <w:t>3.4.34</w:t>
            </w:r>
          </w:p>
        </w:tc>
        <w:tc>
          <w:tcPr>
            <w:tcW w:w="1445" w:type="dxa"/>
          </w:tcPr>
          <w:p>
            <w:pPr>
              <w:pStyle w:val="TableParagraph"/>
              <w:spacing w:line="222" w:lineRule="exact"/>
              <w:ind w:left="212"/>
              <w:rPr>
                <w:i/>
                <w:sz w:val="22"/>
              </w:rPr>
            </w:pPr>
            <w:r>
              <w:rPr>
                <w:i/>
                <w:w w:val="95"/>
                <w:sz w:val="22"/>
              </w:rPr>
              <w:t>严重溃疡性</w:t>
            </w:r>
          </w:p>
          <w:p>
            <w:pPr>
              <w:pStyle w:val="TableParagraph"/>
              <w:spacing w:before="24"/>
              <w:ind w:left="212"/>
              <w:rPr>
                <w:i/>
                <w:sz w:val="22"/>
              </w:rPr>
            </w:pPr>
            <w:r>
              <w:rPr>
                <w:i/>
                <w:w w:val="95"/>
                <w:sz w:val="22"/>
              </w:rPr>
              <w:t>结肠炎</w:t>
            </w:r>
          </w:p>
        </w:tc>
        <w:tc>
          <w:tcPr>
            <w:tcW w:w="7117" w:type="dxa"/>
          </w:tcPr>
          <w:p>
            <w:pPr>
              <w:pStyle w:val="TableParagraph"/>
              <w:spacing w:line="220" w:lineRule="exact"/>
              <w:ind w:left="86"/>
              <w:rPr>
                <w:sz w:val="21"/>
              </w:rPr>
            </w:pPr>
            <w:r>
              <w:rPr>
                <w:sz w:val="21"/>
              </w:rPr>
              <w:t>指伴有致命性电解质紊乱的急性暴发性溃疡性结肠炎，病变已经累及全结</w:t>
            </w:r>
          </w:p>
          <w:p>
            <w:pPr>
              <w:pStyle w:val="TableParagraph"/>
              <w:spacing w:before="37"/>
              <w:ind w:left="86"/>
              <w:rPr>
                <w:sz w:val="21"/>
              </w:rPr>
            </w:pPr>
            <w:r>
              <w:rPr>
                <w:sz w:val="21"/>
              </w:rPr>
              <w:t>肠，表现为严重的血便和系统性症状体征，须由病理学检查结果证实，且已</w:t>
            </w:r>
          </w:p>
        </w:tc>
      </w:tr>
      <w:tr>
        <w:trPr>
          <w:trHeight w:val="462"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经实施了结肠切除或回肠造瘘术。</w:t>
            </w:r>
          </w:p>
        </w:tc>
      </w:tr>
      <w:tr>
        <w:trPr>
          <w:trHeight w:val="473" w:hRule="atLeast"/>
        </w:trPr>
        <w:tc>
          <w:tcPr>
            <w:tcW w:w="894" w:type="dxa"/>
          </w:tcPr>
          <w:p>
            <w:pPr>
              <w:pStyle w:val="TableParagraph"/>
              <w:spacing w:before="135"/>
              <w:ind w:left="50"/>
              <w:rPr>
                <w:i/>
                <w:sz w:val="22"/>
              </w:rPr>
            </w:pPr>
            <w:r>
              <w:rPr>
                <w:i/>
                <w:sz w:val="22"/>
              </w:rPr>
              <w:t>3.4.35</w:t>
            </w:r>
          </w:p>
        </w:tc>
        <w:tc>
          <w:tcPr>
            <w:tcW w:w="1445" w:type="dxa"/>
          </w:tcPr>
          <w:p>
            <w:pPr>
              <w:pStyle w:val="TableParagraph"/>
              <w:spacing w:before="135"/>
              <w:ind w:left="212"/>
              <w:rPr>
                <w:i/>
                <w:sz w:val="22"/>
              </w:rPr>
            </w:pPr>
            <w:r>
              <w:rPr>
                <w:i/>
                <w:w w:val="95"/>
                <w:sz w:val="22"/>
              </w:rPr>
              <w:t>疯牛病</w:t>
            </w:r>
          </w:p>
        </w:tc>
        <w:tc>
          <w:tcPr>
            <w:tcW w:w="7117" w:type="dxa"/>
          </w:tcPr>
          <w:p>
            <w:pPr>
              <w:pStyle w:val="TableParagraph"/>
              <w:spacing w:before="147"/>
              <w:ind w:left="86"/>
              <w:rPr>
                <w:sz w:val="21"/>
              </w:rPr>
            </w:pPr>
            <w:r>
              <w:rPr>
                <w:sz w:val="21"/>
              </w:rPr>
              <w:t>神经系统疾病及致命的成胶质状脑病，并有以下症状：</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（1）不能控制的肌肉痉挛及震颤；</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（2）逐渐痴呆；</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（3）小脑功能不良，共济失调；</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（4）手足徐动症。</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诊断必须经认可的神经科专科医生基于以下检查报告作出：脑电图、脑脊液</w:t>
            </w:r>
          </w:p>
        </w:tc>
      </w:tr>
      <w:tr>
        <w:trPr>
          <w:trHeight w:val="462"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报告、电脑断层扫描(CT)及核磁共振(MRI)。</w:t>
            </w:r>
          </w:p>
        </w:tc>
      </w:tr>
      <w:tr>
        <w:trPr>
          <w:trHeight w:val="1560" w:hRule="atLeast"/>
        </w:trPr>
        <w:tc>
          <w:tcPr>
            <w:tcW w:w="894" w:type="dxa"/>
          </w:tcPr>
          <w:p>
            <w:pPr>
              <w:pStyle w:val="TableParagraph"/>
              <w:spacing w:before="135"/>
              <w:ind w:left="50"/>
              <w:rPr>
                <w:i/>
                <w:sz w:val="22"/>
              </w:rPr>
            </w:pPr>
            <w:r>
              <w:rPr>
                <w:i/>
                <w:sz w:val="22"/>
              </w:rPr>
              <w:t>3.4.36</w:t>
            </w:r>
          </w:p>
        </w:tc>
        <w:tc>
          <w:tcPr>
            <w:tcW w:w="1445" w:type="dxa"/>
          </w:tcPr>
          <w:p>
            <w:pPr>
              <w:pStyle w:val="TableParagraph"/>
              <w:spacing w:line="259" w:lineRule="auto" w:before="135"/>
              <w:ind w:left="211" w:right="87"/>
              <w:jc w:val="both"/>
              <w:rPr>
                <w:i/>
                <w:sz w:val="22"/>
              </w:rPr>
            </w:pPr>
            <w:r>
              <w:rPr>
                <w:i/>
                <w:w w:val="95"/>
                <w:sz w:val="22"/>
              </w:rPr>
              <w:t>急性坏死性胰腺炎-不包括酒精作用所致</w:t>
            </w:r>
          </w:p>
        </w:tc>
        <w:tc>
          <w:tcPr>
            <w:tcW w:w="7117" w:type="dxa"/>
          </w:tcPr>
          <w:p>
            <w:pPr>
              <w:pStyle w:val="TableParagraph"/>
              <w:spacing w:line="273" w:lineRule="auto" w:before="147"/>
              <w:ind w:left="86" w:right="155"/>
              <w:jc w:val="both"/>
              <w:rPr>
                <w:sz w:val="21"/>
              </w:rPr>
            </w:pPr>
            <w:r>
              <w:rPr>
                <w:spacing w:val="-2"/>
                <w:sz w:val="21"/>
              </w:rPr>
              <w:t>指胰酶在胰腺内激活后引起胰腺组织自身消化的急性化学性炎症。本病须经</w:t>
            </w:r>
            <w:r>
              <w:rPr>
                <w:spacing w:val="-6"/>
                <w:sz w:val="21"/>
              </w:rPr>
              <w:t>专科医生明确诊断，并已经实际实施了坏死组织清除、病灶切除或胰腺部分切除的手术治疗。</w:t>
            </w:r>
          </w:p>
          <w:p>
            <w:pPr>
              <w:pStyle w:val="TableParagraph"/>
              <w:spacing w:before="7"/>
              <w:ind w:left="86"/>
              <w:jc w:val="both"/>
              <w:rPr>
                <w:sz w:val="21"/>
              </w:rPr>
            </w:pPr>
            <w:r>
              <w:rPr>
                <w:sz w:val="21"/>
                <w:shd w:fill="E5E5E5" w:color="auto" w:val="clear"/>
              </w:rPr>
              <w:t>因酒精作用所致的急性胰腺炎不在保障范围内。</w:t>
            </w:r>
          </w:p>
        </w:tc>
      </w:tr>
      <w:tr>
        <w:trPr>
          <w:trHeight w:val="785" w:hRule="atLeast"/>
        </w:trPr>
        <w:tc>
          <w:tcPr>
            <w:tcW w:w="894" w:type="dxa"/>
          </w:tcPr>
          <w:p>
            <w:pPr>
              <w:pStyle w:val="TableParagraph"/>
              <w:spacing w:before="135"/>
              <w:ind w:left="50"/>
              <w:rPr>
                <w:i/>
                <w:sz w:val="22"/>
              </w:rPr>
            </w:pPr>
            <w:r>
              <w:rPr>
                <w:i/>
                <w:sz w:val="22"/>
              </w:rPr>
              <w:t>3.4.37</w:t>
            </w:r>
          </w:p>
        </w:tc>
        <w:tc>
          <w:tcPr>
            <w:tcW w:w="1445" w:type="dxa"/>
          </w:tcPr>
          <w:p>
            <w:pPr>
              <w:pStyle w:val="TableParagraph"/>
              <w:spacing w:line="259" w:lineRule="auto" w:before="135"/>
              <w:ind w:left="212" w:right="114"/>
              <w:rPr>
                <w:i/>
                <w:sz w:val="22"/>
              </w:rPr>
            </w:pPr>
            <w:r>
              <w:rPr>
                <w:i/>
                <w:w w:val="95"/>
                <w:sz w:val="22"/>
              </w:rPr>
              <w:t>慢性呼吸功能衰竭</w:t>
            </w:r>
          </w:p>
        </w:tc>
        <w:tc>
          <w:tcPr>
            <w:tcW w:w="7117" w:type="dxa"/>
          </w:tcPr>
          <w:p>
            <w:pPr>
              <w:pStyle w:val="TableParagraph"/>
              <w:spacing w:line="273" w:lineRule="auto" w:before="146"/>
              <w:ind w:left="86" w:right="87"/>
              <w:rPr>
                <w:sz w:val="21"/>
              </w:rPr>
            </w:pPr>
            <w:r>
              <w:rPr>
                <w:sz w:val="21"/>
              </w:rPr>
              <w:t>慢性肺部疾病导致永久不可逆性的慢性呼吸功能衰竭，必须符合下列所有条件：</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（1）休息时出现呼吸困难；</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（2）动脉血氧分压（PaO2）&lt; 50mmHg；</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（3）动脉血氧饱和度（SaO2）&lt; 80％；</w:t>
            </w:r>
          </w:p>
        </w:tc>
      </w:tr>
      <w:tr>
        <w:trPr>
          <w:trHeight w:val="464"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（4）</w:t>
            </w:r>
            <w:r>
              <w:rPr>
                <w:spacing w:val="-1"/>
                <w:sz w:val="21"/>
              </w:rPr>
              <w:t>因缺氧必须接受持续的输氧治疗（</w:t>
            </w:r>
            <w:r>
              <w:rPr>
                <w:spacing w:val="-27"/>
                <w:sz w:val="21"/>
              </w:rPr>
              <w:t>见 </w:t>
            </w:r>
            <w:r>
              <w:rPr>
                <w:spacing w:val="-1"/>
                <w:sz w:val="21"/>
              </w:rPr>
              <w:t>9</w:t>
            </w:r>
            <w:r>
              <w:rPr>
                <w:sz w:val="21"/>
              </w:rPr>
              <w:t>.</w:t>
            </w:r>
            <w:r>
              <w:rPr>
                <w:spacing w:val="-1"/>
                <w:sz w:val="21"/>
              </w:rPr>
              <w:t>1</w:t>
            </w:r>
            <w:r>
              <w:rPr>
                <w:sz w:val="21"/>
              </w:rPr>
              <w:t>8</w:t>
            </w:r>
            <w:r>
              <w:rPr>
                <w:spacing w:val="-106"/>
                <w:sz w:val="21"/>
              </w:rPr>
              <w:t>）</w:t>
            </w:r>
            <w:r>
              <w:rPr>
                <w:sz w:val="21"/>
              </w:rPr>
              <w:t>。</w:t>
            </w:r>
          </w:p>
        </w:tc>
      </w:tr>
      <w:tr>
        <w:trPr>
          <w:trHeight w:val="934"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56" w:lineRule="auto" w:before="145"/>
              <w:ind w:left="86" w:right="50"/>
              <w:rPr>
                <w:sz w:val="21"/>
              </w:rPr>
            </w:pPr>
            <w:r>
              <w:rPr>
                <w:spacing w:val="-8"/>
                <w:sz w:val="21"/>
              </w:rPr>
              <w:t>被保险人年满 </w:t>
            </w:r>
            <w:r>
              <w:rPr>
                <w:rFonts w:ascii="Times New Roman" w:eastAsia="Times New Roman"/>
                <w:sz w:val="21"/>
              </w:rPr>
              <w:t>18 </w:t>
            </w:r>
            <w:r>
              <w:rPr>
                <w:spacing w:val="-12"/>
                <w:sz w:val="21"/>
              </w:rPr>
              <w:t>周岁前，我们提供特别保障的 </w:t>
            </w:r>
            <w:r>
              <w:rPr>
                <w:rFonts w:ascii="Times New Roman" w:eastAsia="Times New Roman"/>
                <w:sz w:val="21"/>
              </w:rPr>
              <w:t>4 </w:t>
            </w:r>
            <w:r>
              <w:rPr>
                <w:spacing w:val="-13"/>
                <w:sz w:val="21"/>
              </w:rPr>
              <w:t>种重大疾病</w:t>
            </w:r>
            <w:r>
              <w:rPr>
                <w:sz w:val="21"/>
              </w:rPr>
              <w:t>（</w:t>
            </w:r>
            <w:r>
              <w:rPr>
                <w:rFonts w:ascii="Times New Roman" w:eastAsia="Times New Roman"/>
                <w:sz w:val="21"/>
              </w:rPr>
              <w:t>3.2.38-3.2.41</w:t>
            </w:r>
            <w:r>
              <w:rPr>
                <w:sz w:val="21"/>
              </w:rPr>
              <w:t>） 定义如下：</w:t>
            </w:r>
          </w:p>
        </w:tc>
      </w:tr>
      <w:tr>
        <w:trPr>
          <w:trHeight w:val="785" w:hRule="atLeast"/>
        </w:trPr>
        <w:tc>
          <w:tcPr>
            <w:tcW w:w="894" w:type="dxa"/>
          </w:tcPr>
          <w:p>
            <w:pPr>
              <w:pStyle w:val="TableParagraph"/>
              <w:spacing w:before="135"/>
              <w:ind w:left="50"/>
              <w:rPr>
                <w:i/>
                <w:sz w:val="22"/>
              </w:rPr>
            </w:pPr>
            <w:r>
              <w:rPr>
                <w:i/>
                <w:sz w:val="22"/>
              </w:rPr>
              <w:t>3.4.38</w:t>
            </w:r>
          </w:p>
        </w:tc>
        <w:tc>
          <w:tcPr>
            <w:tcW w:w="1445" w:type="dxa"/>
          </w:tcPr>
          <w:p>
            <w:pPr>
              <w:pStyle w:val="TableParagraph"/>
              <w:spacing w:line="259" w:lineRule="auto" w:before="135"/>
              <w:ind w:left="211" w:right="114"/>
              <w:rPr>
                <w:i/>
                <w:sz w:val="22"/>
              </w:rPr>
            </w:pPr>
            <w:r>
              <w:rPr>
                <w:i/>
                <w:w w:val="95"/>
                <w:sz w:val="22"/>
              </w:rPr>
              <w:t>胰岛素依赖型糖尿病</w:t>
            </w:r>
          </w:p>
        </w:tc>
        <w:tc>
          <w:tcPr>
            <w:tcW w:w="7117" w:type="dxa"/>
          </w:tcPr>
          <w:p>
            <w:pPr>
              <w:pStyle w:val="TableParagraph"/>
              <w:spacing w:line="273" w:lineRule="auto" w:before="147"/>
              <w:ind w:left="86" w:right="156"/>
              <w:rPr>
                <w:sz w:val="21"/>
              </w:rPr>
            </w:pPr>
            <w:r>
              <w:rPr>
                <w:sz w:val="21"/>
              </w:rPr>
              <w:t>胰岛素依赖型糖尿病是由于胰岛β细胞毁坏而导致的胰岛素分泌的绝对缺乏引起的慢性血糖升高，并需要持续性地依赖外源性胰岛素维持 180 天以</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上。</w:t>
            </w:r>
            <w:r>
              <w:rPr>
                <w:sz w:val="21"/>
                <w:shd w:fill="E5E5E5" w:color="auto" w:val="clear"/>
              </w:rPr>
              <w:t>该病必须由医院的内分泌科专科医生确诊，可以用其他方法（非胰岛素</w:t>
            </w:r>
          </w:p>
        </w:tc>
      </w:tr>
      <w:tr>
        <w:trPr>
          <w:trHeight w:val="462"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shd w:fill="E5E5E5" w:color="auto" w:val="clear"/>
              </w:rPr>
              <w:t>注射）治疗的糖尿病不在本附加合同保障范围内。</w:t>
            </w:r>
          </w:p>
        </w:tc>
      </w:tr>
      <w:tr>
        <w:trPr>
          <w:trHeight w:val="473" w:hRule="atLeast"/>
        </w:trPr>
        <w:tc>
          <w:tcPr>
            <w:tcW w:w="894" w:type="dxa"/>
          </w:tcPr>
          <w:p>
            <w:pPr>
              <w:pStyle w:val="TableParagraph"/>
              <w:spacing w:before="135"/>
              <w:ind w:left="50"/>
              <w:rPr>
                <w:i/>
                <w:sz w:val="22"/>
              </w:rPr>
            </w:pPr>
            <w:r>
              <w:rPr>
                <w:i/>
                <w:sz w:val="22"/>
              </w:rPr>
              <w:t>3.4.39</w:t>
            </w:r>
          </w:p>
        </w:tc>
        <w:tc>
          <w:tcPr>
            <w:tcW w:w="1445" w:type="dxa"/>
          </w:tcPr>
          <w:p>
            <w:pPr>
              <w:pStyle w:val="TableParagraph"/>
              <w:spacing w:before="135"/>
              <w:ind w:left="211"/>
              <w:rPr>
                <w:i/>
                <w:sz w:val="22"/>
              </w:rPr>
            </w:pPr>
            <w:r>
              <w:rPr>
                <w:i/>
                <w:w w:val="95"/>
                <w:sz w:val="22"/>
              </w:rPr>
              <w:t>严重川崎病</w:t>
            </w:r>
          </w:p>
        </w:tc>
        <w:tc>
          <w:tcPr>
            <w:tcW w:w="7117" w:type="dxa"/>
          </w:tcPr>
          <w:p>
            <w:pPr>
              <w:pStyle w:val="TableParagraph"/>
              <w:spacing w:before="147"/>
              <w:ind w:left="86"/>
              <w:rPr>
                <w:sz w:val="21"/>
              </w:rPr>
            </w:pPr>
            <w:r>
              <w:rPr>
                <w:sz w:val="21"/>
              </w:rPr>
              <w:t>严重川崎病是一种以皮肤粘膜出疹、淋巴结肿大和多发性动脉炎为特点的急</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性发热性疾病。本附加合同仅对因川崎病合并的冠状动脉炎导致的冠状动脉</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瘤 (Nakano II级)予以理赔。理赔时冠状动脉瘤必须存在180天以上，且必</w:t>
            </w:r>
          </w:p>
        </w:tc>
      </w:tr>
      <w:tr>
        <w:trPr>
          <w:trHeight w:val="311"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须提供冠状动脉瘤的超声心动图或血管造影的检查结果诊断报告。</w:t>
            </w:r>
          </w:p>
        </w:tc>
      </w:tr>
      <w:tr>
        <w:trPr>
          <w:trHeight w:val="462"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1" w:lineRule="exact"/>
              <w:ind w:left="86"/>
              <w:rPr>
                <w:sz w:val="21"/>
              </w:rPr>
            </w:pPr>
            <w:r>
              <w:rPr>
                <w:sz w:val="21"/>
              </w:rPr>
              <w:t>NakanoII 级：可为单发、多发或广泛性，最大内径为 4-8mm。</w:t>
            </w:r>
          </w:p>
        </w:tc>
      </w:tr>
      <w:tr>
        <w:trPr>
          <w:trHeight w:val="1097" w:hRule="atLeast"/>
        </w:trPr>
        <w:tc>
          <w:tcPr>
            <w:tcW w:w="894" w:type="dxa"/>
          </w:tcPr>
          <w:p>
            <w:pPr>
              <w:pStyle w:val="TableParagraph"/>
              <w:spacing w:before="135"/>
              <w:ind w:left="50"/>
              <w:rPr>
                <w:i/>
                <w:sz w:val="22"/>
              </w:rPr>
            </w:pPr>
            <w:r>
              <w:rPr>
                <w:i/>
                <w:sz w:val="22"/>
              </w:rPr>
              <w:t>3.4.40</w:t>
            </w:r>
          </w:p>
        </w:tc>
        <w:tc>
          <w:tcPr>
            <w:tcW w:w="1445" w:type="dxa"/>
          </w:tcPr>
          <w:p>
            <w:pPr>
              <w:pStyle w:val="TableParagraph"/>
              <w:spacing w:line="259" w:lineRule="auto" w:before="135"/>
              <w:ind w:left="211" w:right="114"/>
              <w:jc w:val="both"/>
              <w:rPr>
                <w:i/>
                <w:sz w:val="22"/>
              </w:rPr>
            </w:pPr>
            <w:r>
              <w:rPr>
                <w:i/>
                <w:w w:val="95"/>
                <w:sz w:val="22"/>
              </w:rPr>
              <w:t>严重幼年型类风湿关节</w:t>
            </w:r>
            <w:r>
              <w:rPr>
                <w:i/>
                <w:sz w:val="22"/>
              </w:rPr>
              <w:t>炎</w:t>
            </w:r>
          </w:p>
        </w:tc>
        <w:tc>
          <w:tcPr>
            <w:tcW w:w="7117" w:type="dxa"/>
          </w:tcPr>
          <w:p>
            <w:pPr>
              <w:pStyle w:val="TableParagraph"/>
              <w:spacing w:line="273" w:lineRule="auto" w:before="147"/>
              <w:ind w:left="86" w:right="155"/>
              <w:rPr>
                <w:sz w:val="21"/>
              </w:rPr>
            </w:pPr>
            <w:r>
              <w:rPr>
                <w:spacing w:val="-7"/>
                <w:sz w:val="21"/>
              </w:rPr>
              <w:t>需要由类风湿专科医生确诊，有广泛的关节损坏，临床及 </w:t>
            </w:r>
            <w:r>
              <w:rPr>
                <w:sz w:val="21"/>
              </w:rPr>
              <w:t>X</w:t>
            </w:r>
            <w:r>
              <w:rPr>
                <w:spacing w:val="-8"/>
                <w:sz w:val="21"/>
              </w:rPr>
              <w:t> 线检查发现明显</w:t>
            </w:r>
            <w:r>
              <w:rPr>
                <w:spacing w:val="-12"/>
                <w:sz w:val="21"/>
              </w:rPr>
              <w:t>的畸形。至少下列 </w:t>
            </w:r>
            <w:r>
              <w:rPr>
                <w:sz w:val="21"/>
              </w:rPr>
              <w:t>3</w:t>
            </w:r>
            <w:r>
              <w:rPr>
                <w:spacing w:val="-10"/>
                <w:sz w:val="21"/>
              </w:rPr>
              <w:t> 个关节受累：手关节、腕关节、肘关节、膝关节、髋关</w:t>
            </w:r>
          </w:p>
          <w:p>
            <w:pPr>
              <w:pStyle w:val="TableParagraph"/>
              <w:spacing w:before="7"/>
              <w:ind w:left="86"/>
              <w:rPr>
                <w:sz w:val="21"/>
              </w:rPr>
            </w:pPr>
            <w:r>
              <w:rPr>
                <w:spacing w:val="-10"/>
                <w:sz w:val="21"/>
              </w:rPr>
              <w:t>节、踝关节、脊椎关节或跖趾关节。关节炎的症状须持续 </w:t>
            </w:r>
            <w:r>
              <w:rPr>
                <w:sz w:val="21"/>
              </w:rPr>
              <w:t>1</w:t>
            </w:r>
            <w:r>
              <w:rPr>
                <w:spacing w:val="-8"/>
                <w:sz w:val="21"/>
              </w:rPr>
              <w:t> 年以上且已接受</w:t>
            </w:r>
          </w:p>
        </w:tc>
      </w:tr>
      <w:tr>
        <w:trPr>
          <w:trHeight w:val="462" w:hRule="atLeast"/>
        </w:trPr>
        <w:tc>
          <w:tcPr>
            <w:tcW w:w="894" w:type="dxa"/>
          </w:tcPr>
          <w:p>
            <w:pPr>
              <w:pStyle w:val="TableParagraph"/>
              <w:rPr>
                <w:rFonts w:ascii="Times New Roman"/>
                <w:sz w:val="20"/>
              </w:rPr>
            </w:pPr>
          </w:p>
        </w:tc>
        <w:tc>
          <w:tcPr>
            <w:tcW w:w="1445" w:type="dxa"/>
          </w:tcPr>
          <w:p>
            <w:pPr>
              <w:pStyle w:val="TableParagraph"/>
              <w:rPr>
                <w:rFonts w:ascii="Times New Roman"/>
                <w:sz w:val="20"/>
              </w:rPr>
            </w:pPr>
          </w:p>
        </w:tc>
        <w:tc>
          <w:tcPr>
            <w:tcW w:w="7117" w:type="dxa"/>
          </w:tcPr>
          <w:p>
            <w:pPr>
              <w:pStyle w:val="TableParagraph"/>
              <w:spacing w:line="260" w:lineRule="exact"/>
              <w:ind w:left="86"/>
              <w:rPr>
                <w:sz w:val="21"/>
              </w:rPr>
            </w:pPr>
            <w:r>
              <w:rPr>
                <w:sz w:val="21"/>
              </w:rPr>
              <w:t>以治疗为目的的膝或髋关节的置换手术。</w:t>
            </w:r>
          </w:p>
        </w:tc>
      </w:tr>
      <w:tr>
        <w:trPr>
          <w:trHeight w:val="750" w:hRule="atLeast"/>
        </w:trPr>
        <w:tc>
          <w:tcPr>
            <w:tcW w:w="894" w:type="dxa"/>
          </w:tcPr>
          <w:p>
            <w:pPr>
              <w:pStyle w:val="TableParagraph"/>
              <w:spacing w:before="135"/>
              <w:ind w:left="50"/>
              <w:rPr>
                <w:i/>
                <w:sz w:val="22"/>
              </w:rPr>
            </w:pPr>
            <w:r>
              <w:rPr>
                <w:i/>
                <w:sz w:val="22"/>
              </w:rPr>
              <w:t>3.4.41</w:t>
            </w:r>
          </w:p>
        </w:tc>
        <w:tc>
          <w:tcPr>
            <w:tcW w:w="1445" w:type="dxa"/>
          </w:tcPr>
          <w:p>
            <w:pPr>
              <w:pStyle w:val="TableParagraph"/>
              <w:spacing w:line="310" w:lineRule="atLeast" w:before="113"/>
              <w:ind w:left="211" w:right="114"/>
              <w:rPr>
                <w:i/>
                <w:sz w:val="22"/>
              </w:rPr>
            </w:pPr>
            <w:r>
              <w:rPr>
                <w:i/>
                <w:w w:val="95"/>
                <w:sz w:val="22"/>
              </w:rPr>
              <w:t>严重的原发性心肌病</w:t>
            </w:r>
          </w:p>
        </w:tc>
        <w:tc>
          <w:tcPr>
            <w:tcW w:w="7117" w:type="dxa"/>
          </w:tcPr>
          <w:p>
            <w:pPr>
              <w:pStyle w:val="TableParagraph"/>
              <w:spacing w:line="320" w:lineRule="atLeast" w:before="102"/>
              <w:ind w:left="86" w:right="86"/>
              <w:rPr>
                <w:sz w:val="21"/>
              </w:rPr>
            </w:pPr>
            <w:r>
              <w:rPr>
                <w:sz w:val="21"/>
              </w:rPr>
              <w:t>原发性心肌病是指因各种病因而出现的心室功能障碍。本病必须由医院的心内科专科医生确诊，并出现明显的心力衰竭</w:t>
            </w:r>
            <w:r>
              <w:rPr>
                <w:rFonts w:ascii="Times New Roman" w:eastAsia="Times New Roman"/>
                <w:sz w:val="21"/>
              </w:rPr>
              <w:t>(</w:t>
            </w:r>
            <w:r>
              <w:rPr>
                <w:sz w:val="21"/>
              </w:rPr>
              <w:t>纽约心脏病协会分类标准心功</w:t>
            </w:r>
          </w:p>
        </w:tc>
      </w:tr>
    </w:tbl>
    <w:p>
      <w:pPr>
        <w:spacing w:after="0" w:line="320" w:lineRule="atLeast"/>
        <w:rPr>
          <w:sz w:val="21"/>
        </w:rPr>
        <w:sectPr>
          <w:headerReference w:type="default" r:id="rId8"/>
          <w:pgSz w:w="11900" w:h="16840"/>
          <w:pgMar w:header="575" w:footer="0" w:top="800" w:bottom="280" w:left="860" w:right="1360"/>
          <w:pgNumType w:start="10"/>
        </w:sectPr>
      </w:pPr>
    </w:p>
    <w:p>
      <w:pPr>
        <w:pStyle w:val="BodyText"/>
        <w:rPr>
          <w:rFonts w:ascii="Times New Roman"/>
          <w:sz w:val="20"/>
        </w:rPr>
      </w:pPr>
    </w:p>
    <w:p>
      <w:pPr>
        <w:pStyle w:val="BodyText"/>
        <w:spacing w:before="1" w:after="1"/>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31"/>
        <w:gridCol w:w="7131"/>
      </w:tblGrid>
      <w:tr>
        <w:trPr>
          <w:trHeight w:val="579"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33" w:lineRule="exact"/>
              <w:ind w:left="100"/>
              <w:rPr>
                <w:sz w:val="21"/>
              </w:rPr>
            </w:pPr>
            <w:r>
              <w:rPr>
                <w:sz w:val="21"/>
              </w:rPr>
              <w:t>能达IV级</w:t>
            </w:r>
            <w:r>
              <w:rPr>
                <w:rFonts w:ascii="Times New Roman" w:eastAsia="Times New Roman"/>
                <w:sz w:val="21"/>
              </w:rPr>
              <w:t>*)</w:t>
            </w:r>
            <w:r>
              <w:rPr>
                <w:sz w:val="21"/>
              </w:rPr>
              <w:t>持续至少180天。本保障范围内的心肌病包括扩张型心肌病、肥</w:t>
            </w:r>
          </w:p>
          <w:p>
            <w:pPr>
              <w:pStyle w:val="TableParagraph"/>
              <w:spacing w:before="21"/>
              <w:ind w:left="100"/>
              <w:rPr>
                <w:sz w:val="21"/>
              </w:rPr>
            </w:pPr>
            <w:r>
              <w:rPr>
                <w:sz w:val="21"/>
              </w:rPr>
              <w:t>厚型心肌病和限制型心肌病。</w:t>
            </w:r>
            <w:r>
              <w:rPr>
                <w:sz w:val="21"/>
                <w:shd w:fill="E5E5E5" w:color="auto" w:val="clear"/>
              </w:rPr>
              <w:t>其他类型的原发性心肌病及所有继发性心肌病</w:t>
            </w:r>
          </w:p>
        </w:tc>
      </w:tr>
      <w:tr>
        <w:trPr>
          <w:trHeight w:val="308"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E5E5E5" w:color="auto" w:val="clear"/>
              </w:rPr>
              <w:t>不在此保障范围之内。</w:t>
            </w:r>
          </w:p>
        </w:tc>
      </w:tr>
      <w:tr>
        <w:trPr>
          <w:trHeight w:val="62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56" w:lineRule="auto"/>
              <w:ind w:left="100" w:right="86"/>
              <w:rPr>
                <w:sz w:val="21"/>
              </w:rPr>
            </w:pPr>
            <w:r>
              <w:rPr>
                <w:rFonts w:ascii="Times New Roman" w:eastAsia="Times New Roman"/>
                <w:sz w:val="21"/>
              </w:rPr>
              <w:t>*</w:t>
            </w:r>
            <w:r>
              <w:rPr>
                <w:sz w:val="21"/>
              </w:rPr>
              <w:t>纽约心脏病协会分类标准心功能 </w:t>
            </w:r>
            <w:r>
              <w:rPr>
                <w:rFonts w:ascii="Times New Roman" w:eastAsia="Times New Roman"/>
                <w:sz w:val="21"/>
              </w:rPr>
              <w:t>IV </w:t>
            </w:r>
            <w:r>
              <w:rPr>
                <w:sz w:val="21"/>
              </w:rPr>
              <w:t>级是指有医院的医疗记录显示病人不能进行任何活动，休息时仍有心悸、呼吸困难等心力衰竭表现，并且体检及</w:t>
            </w:r>
          </w:p>
        </w:tc>
      </w:tr>
      <w:tr>
        <w:trPr>
          <w:trHeight w:val="50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实验室检查显示有心功能异常的证据。</w:t>
            </w:r>
          </w:p>
        </w:tc>
      </w:tr>
      <w:tr>
        <w:trPr>
          <w:trHeight w:val="888"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before="4"/>
              <w:rPr>
                <w:rFonts w:ascii="Times New Roman"/>
                <w:sz w:val="16"/>
              </w:rPr>
            </w:pPr>
          </w:p>
          <w:p>
            <w:pPr>
              <w:pStyle w:val="TableParagraph"/>
              <w:spacing w:line="256" w:lineRule="auto"/>
              <w:ind w:left="100" w:right="50"/>
              <w:rPr>
                <w:sz w:val="21"/>
              </w:rPr>
            </w:pPr>
            <w:r>
              <w:rPr>
                <w:spacing w:val="-8"/>
                <w:sz w:val="21"/>
              </w:rPr>
              <w:t>被保险人年满 </w:t>
            </w:r>
            <w:r>
              <w:rPr>
                <w:rFonts w:ascii="Times New Roman" w:eastAsia="Times New Roman"/>
                <w:sz w:val="21"/>
              </w:rPr>
              <w:t>18 </w:t>
            </w:r>
            <w:r>
              <w:rPr>
                <w:spacing w:val="-12"/>
                <w:sz w:val="21"/>
              </w:rPr>
              <w:t>周岁后，我们提供特别保障的 </w:t>
            </w:r>
            <w:r>
              <w:rPr>
                <w:rFonts w:ascii="Times New Roman" w:eastAsia="Times New Roman"/>
                <w:sz w:val="21"/>
              </w:rPr>
              <w:t>5 </w:t>
            </w:r>
            <w:r>
              <w:rPr>
                <w:spacing w:val="-13"/>
                <w:sz w:val="21"/>
              </w:rPr>
              <w:t>种重大疾病</w:t>
            </w:r>
            <w:r>
              <w:rPr>
                <w:sz w:val="21"/>
              </w:rPr>
              <w:t>（</w:t>
            </w:r>
            <w:r>
              <w:rPr>
                <w:rFonts w:ascii="Times New Roman" w:eastAsia="Times New Roman"/>
                <w:sz w:val="21"/>
              </w:rPr>
              <w:t>3.2.42-3.2.46</w:t>
            </w:r>
            <w:r>
              <w:rPr>
                <w:sz w:val="21"/>
              </w:rPr>
              <w:t>） 定义如下：</w:t>
            </w:r>
          </w:p>
        </w:tc>
      </w:tr>
      <w:tr>
        <w:trPr>
          <w:trHeight w:val="385" w:hRule="atLeast"/>
        </w:trPr>
        <w:tc>
          <w:tcPr>
            <w:tcW w:w="894" w:type="dxa"/>
          </w:tcPr>
          <w:p>
            <w:pPr>
              <w:pStyle w:val="TableParagraph"/>
              <w:spacing w:before="47"/>
              <w:ind w:left="50"/>
              <w:rPr>
                <w:i/>
                <w:sz w:val="22"/>
              </w:rPr>
            </w:pPr>
            <w:r>
              <w:rPr>
                <w:i/>
                <w:sz w:val="22"/>
              </w:rPr>
              <w:t>3.4.42</w:t>
            </w:r>
          </w:p>
        </w:tc>
        <w:tc>
          <w:tcPr>
            <w:tcW w:w="1431" w:type="dxa"/>
          </w:tcPr>
          <w:p>
            <w:pPr>
              <w:pStyle w:val="TableParagraph"/>
              <w:spacing w:before="47"/>
              <w:ind w:right="166"/>
              <w:jc w:val="right"/>
              <w:rPr>
                <w:i/>
                <w:sz w:val="22"/>
              </w:rPr>
            </w:pPr>
            <w:r>
              <w:rPr>
                <w:i/>
                <w:w w:val="95"/>
                <w:sz w:val="22"/>
              </w:rPr>
              <w:t>多发性硬化</w:t>
            </w:r>
          </w:p>
        </w:tc>
        <w:tc>
          <w:tcPr>
            <w:tcW w:w="7131" w:type="dxa"/>
          </w:tcPr>
          <w:p>
            <w:pPr>
              <w:pStyle w:val="TableParagraph"/>
              <w:spacing w:before="59"/>
              <w:ind w:left="100"/>
              <w:rPr>
                <w:sz w:val="21"/>
              </w:rPr>
            </w:pPr>
            <w:r>
              <w:rPr>
                <w:spacing w:val="-7"/>
                <w:sz w:val="21"/>
              </w:rPr>
              <w:t>多发性硬化是一种中枢神经系统脱髓鞘性疾病，表现为反复缓解、复发的脑、</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脊髓和视神经损害。该病必须经医院的神经科专科医生确诊，并有 CT 或磁</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共振检查结果诊断报告。本附加合同仅对多发性硬化造成神经系统功能的永</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久性损害予以理赔。所谓神经系统功能的永久性损害是指诊断为多发性硬化</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pacing w:val="-10"/>
                <w:sz w:val="21"/>
              </w:rPr>
              <w:t>后有神经系统一次以上的发作，而出现累及视神经、脑干、脊髓永久性损害，</w:t>
            </w:r>
          </w:p>
        </w:tc>
      </w:tr>
      <w:tr>
        <w:trPr>
          <w:trHeight w:val="5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出现有共济失调或感觉障碍并持续 180 天以上。</w:t>
            </w:r>
          </w:p>
        </w:tc>
      </w:tr>
      <w:tr>
        <w:trPr>
          <w:trHeight w:val="1458" w:hRule="atLeast"/>
        </w:trPr>
        <w:tc>
          <w:tcPr>
            <w:tcW w:w="894" w:type="dxa"/>
          </w:tcPr>
          <w:p>
            <w:pPr>
              <w:pStyle w:val="TableParagraph"/>
              <w:spacing w:before="184"/>
              <w:ind w:left="50"/>
              <w:rPr>
                <w:i/>
                <w:sz w:val="22"/>
              </w:rPr>
            </w:pPr>
            <w:r>
              <w:rPr>
                <w:i/>
                <w:sz w:val="22"/>
              </w:rPr>
              <w:t>3.4.43</w:t>
            </w:r>
          </w:p>
        </w:tc>
        <w:tc>
          <w:tcPr>
            <w:tcW w:w="1431" w:type="dxa"/>
          </w:tcPr>
          <w:p>
            <w:pPr>
              <w:pStyle w:val="TableParagraph"/>
              <w:spacing w:line="259" w:lineRule="auto" w:before="184"/>
              <w:ind w:left="211" w:right="100"/>
              <w:jc w:val="both"/>
              <w:rPr>
                <w:i/>
                <w:sz w:val="22"/>
              </w:rPr>
            </w:pPr>
            <w:r>
              <w:rPr>
                <w:i/>
                <w:w w:val="95"/>
                <w:sz w:val="22"/>
              </w:rPr>
              <w:t>经输血导致的人类免疫缺陷病毒感</w:t>
            </w:r>
            <w:r>
              <w:rPr>
                <w:i/>
                <w:sz w:val="22"/>
              </w:rPr>
              <w:t>染</w:t>
            </w:r>
          </w:p>
        </w:tc>
        <w:tc>
          <w:tcPr>
            <w:tcW w:w="7131" w:type="dxa"/>
          </w:tcPr>
          <w:p>
            <w:pPr>
              <w:pStyle w:val="TableParagraph"/>
              <w:rPr>
                <w:rFonts w:ascii="Times New Roman"/>
                <w:sz w:val="17"/>
              </w:rPr>
            </w:pPr>
          </w:p>
          <w:p>
            <w:pPr>
              <w:pStyle w:val="TableParagraph"/>
              <w:spacing w:line="273" w:lineRule="auto"/>
              <w:ind w:left="100" w:right="156"/>
              <w:rPr>
                <w:sz w:val="21"/>
              </w:rPr>
            </w:pPr>
            <w:r>
              <w:rPr>
                <w:sz w:val="21"/>
              </w:rPr>
              <w:t>被保险人因输血而感染上人类免疫缺陷病毒( HIV )或罹患获得性免疫缺陷综合症(AIDS ),并且符合下列所有条件：</w:t>
            </w:r>
          </w:p>
          <w:p>
            <w:pPr>
              <w:pStyle w:val="TableParagraph"/>
              <w:spacing w:line="273" w:lineRule="auto" w:before="7"/>
              <w:ind w:left="100" w:right="88"/>
              <w:rPr>
                <w:sz w:val="21"/>
              </w:rPr>
            </w:pPr>
            <w:r>
              <w:rPr>
                <w:sz w:val="21"/>
              </w:rPr>
              <w:t>（1）造成感染的输血事件发生在本附加合同生效日之后，血清出现HIV感染必须发生在接受输血后180天内；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（2）我们认可的提供输血治疗的正规输血中心或医院出具该项输血感染属</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医疗责任事故的报告，或者法院终审裁定为医疗责任；</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（3）受感染的被保险人不是血友病患者；</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（4）病情须对生命造成威胁并且在索赔当时的医疗技术条件下尚无已知的</w:t>
            </w:r>
          </w:p>
        </w:tc>
      </w:tr>
      <w:tr>
        <w:trPr>
          <w:trHeight w:val="31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治愈方法。</w:t>
            </w:r>
          </w:p>
        </w:tc>
      </w:tr>
      <w:tr>
        <w:trPr>
          <w:trHeight w:val="312"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E5E5E5" w:color="auto" w:val="clear"/>
              </w:rPr>
              <w:t>任何因其他传播方式（包括：性传播或静脉注射毒品）导致的HIV感染不在</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shd w:fill="E5E5E5" w:color="auto" w:val="clear"/>
              </w:rPr>
              <w:t>保障范围内。</w:t>
            </w:r>
          </w:p>
        </w:tc>
      </w:tr>
      <w:tr>
        <w:trPr>
          <w:trHeight w:val="47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本附加合同条款责任免除中的 HIV 规定，不适用于本重大疾病。</w:t>
            </w:r>
          </w:p>
        </w:tc>
      </w:tr>
      <w:tr>
        <w:trPr>
          <w:trHeight w:val="489" w:hRule="atLeast"/>
        </w:trPr>
        <w:tc>
          <w:tcPr>
            <w:tcW w:w="894" w:type="dxa"/>
          </w:tcPr>
          <w:p>
            <w:pPr>
              <w:pStyle w:val="TableParagraph"/>
              <w:spacing w:before="150"/>
              <w:ind w:left="50"/>
              <w:rPr>
                <w:i/>
                <w:sz w:val="22"/>
              </w:rPr>
            </w:pPr>
            <w:r>
              <w:rPr>
                <w:i/>
                <w:sz w:val="22"/>
              </w:rPr>
              <w:t>3.4.44</w:t>
            </w:r>
          </w:p>
        </w:tc>
        <w:tc>
          <w:tcPr>
            <w:tcW w:w="1431" w:type="dxa"/>
          </w:tcPr>
          <w:p>
            <w:pPr>
              <w:pStyle w:val="TableParagraph"/>
              <w:spacing w:before="152"/>
              <w:ind w:right="167"/>
              <w:jc w:val="right"/>
              <w:rPr>
                <w:i/>
                <w:sz w:val="22"/>
              </w:rPr>
            </w:pPr>
            <w:r>
              <w:rPr>
                <w:i/>
                <w:w w:val="95"/>
                <w:sz w:val="22"/>
              </w:rPr>
              <w:t>终末期肺病</w:t>
            </w:r>
          </w:p>
        </w:tc>
        <w:tc>
          <w:tcPr>
            <w:tcW w:w="7131" w:type="dxa"/>
          </w:tcPr>
          <w:p>
            <w:pPr>
              <w:pStyle w:val="TableParagraph"/>
              <w:spacing w:before="162"/>
              <w:ind w:left="100"/>
              <w:rPr>
                <w:sz w:val="21"/>
              </w:rPr>
            </w:pPr>
            <w:r>
              <w:rPr>
                <w:sz w:val="21"/>
              </w:rPr>
              <w:t>被保险人患有终末期肺病而出现的慢性呼吸衰竭。该病必须由医院的呼吸科</w:t>
            </w:r>
          </w:p>
        </w:tc>
      </w:tr>
      <w:tr>
        <w:trPr>
          <w:trHeight w:val="30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专科医生确诊并符合以下各项：</w:t>
            </w:r>
          </w:p>
        </w:tc>
      </w:tr>
      <w:tr>
        <w:trPr>
          <w:trHeight w:val="627"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80" w:lineRule="exact"/>
              <w:ind w:left="100"/>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0"/>
              <w:rPr>
                <w:sz w:val="21"/>
              </w:rPr>
            </w:pPr>
            <w:r>
              <w:rPr>
                <w:sz w:val="21"/>
              </w:rPr>
              <w:t>（2）动脉血气分析氧分压（PaO2）&lt; 55mmHg；</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（3）休息时出现呼吸困难；</w:t>
            </w:r>
          </w:p>
        </w:tc>
      </w:tr>
      <w:tr>
        <w:trPr>
          <w:trHeight w:val="40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1" w:lineRule="exact"/>
              <w:ind w:left="100"/>
              <w:rPr>
                <w:sz w:val="21"/>
              </w:rPr>
            </w:pPr>
            <w:r>
              <w:rPr>
                <w:sz w:val="21"/>
              </w:rPr>
              <w:t>（4）必须接受持续的输氧治疗。</w:t>
            </w:r>
          </w:p>
        </w:tc>
      </w:tr>
      <w:tr>
        <w:trPr>
          <w:trHeight w:val="724" w:hRule="atLeast"/>
        </w:trPr>
        <w:tc>
          <w:tcPr>
            <w:tcW w:w="894" w:type="dxa"/>
          </w:tcPr>
          <w:p>
            <w:pPr>
              <w:pStyle w:val="TableParagraph"/>
              <w:spacing w:before="74"/>
              <w:ind w:left="50"/>
              <w:rPr>
                <w:i/>
                <w:sz w:val="22"/>
              </w:rPr>
            </w:pPr>
            <w:r>
              <w:rPr>
                <w:i/>
                <w:sz w:val="22"/>
              </w:rPr>
              <w:t>3.4.45</w:t>
            </w:r>
          </w:p>
        </w:tc>
        <w:tc>
          <w:tcPr>
            <w:tcW w:w="1431" w:type="dxa"/>
          </w:tcPr>
          <w:p>
            <w:pPr>
              <w:pStyle w:val="TableParagraph"/>
              <w:spacing w:line="259" w:lineRule="auto" w:before="74"/>
              <w:ind w:left="212" w:right="100"/>
              <w:rPr>
                <w:i/>
                <w:sz w:val="22"/>
              </w:rPr>
            </w:pPr>
            <w:r>
              <w:rPr>
                <w:i/>
                <w:w w:val="95"/>
                <w:sz w:val="22"/>
              </w:rPr>
              <w:t>严重类风湿性关节炎</w:t>
            </w:r>
          </w:p>
        </w:tc>
        <w:tc>
          <w:tcPr>
            <w:tcW w:w="7131" w:type="dxa"/>
          </w:tcPr>
          <w:p>
            <w:pPr>
              <w:pStyle w:val="TableParagraph"/>
              <w:spacing w:line="273" w:lineRule="auto" w:before="85"/>
              <w:ind w:left="100" w:right="51"/>
              <w:rPr>
                <w:sz w:val="21"/>
              </w:rPr>
            </w:pPr>
            <w:r>
              <w:rPr>
                <w:spacing w:val="-5"/>
                <w:sz w:val="21"/>
              </w:rPr>
              <w:t>广泛的关节损坏，临床上存在三个或三个以上下列关节的畸形:手、腕、肘、</w:t>
            </w:r>
            <w:r>
              <w:rPr>
                <w:spacing w:val="-9"/>
                <w:sz w:val="21"/>
              </w:rPr>
              <w:t>颈椎、膝、踝、或足部跖趾关节。并且由我们认可医院的专科医生确认被保</w:t>
            </w:r>
          </w:p>
        </w:tc>
      </w:tr>
      <w:tr>
        <w:trPr>
          <w:trHeight w:val="311" w:hRule="atLeast"/>
        </w:trPr>
        <w:tc>
          <w:tcPr>
            <w:tcW w:w="894" w:type="dxa"/>
          </w:tcPr>
          <w:p>
            <w:pPr>
              <w:pStyle w:val="TableParagraph"/>
              <w:rPr>
                <w:rFonts w:ascii="Times New Roman"/>
                <w:sz w:val="20"/>
              </w:rPr>
            </w:pPr>
          </w:p>
        </w:tc>
        <w:tc>
          <w:tcPr>
            <w:tcW w:w="1431" w:type="dxa"/>
          </w:tcPr>
          <w:p>
            <w:pPr>
              <w:pStyle w:val="TableParagraph"/>
              <w:rPr>
                <w:rFonts w:ascii="Times New Roman"/>
                <w:sz w:val="20"/>
              </w:rPr>
            </w:pPr>
          </w:p>
        </w:tc>
        <w:tc>
          <w:tcPr>
            <w:tcW w:w="7131" w:type="dxa"/>
          </w:tcPr>
          <w:p>
            <w:pPr>
              <w:pStyle w:val="TableParagraph"/>
              <w:spacing w:line="260" w:lineRule="exact"/>
              <w:ind w:left="100"/>
              <w:rPr>
                <w:sz w:val="21"/>
              </w:rPr>
            </w:pPr>
            <w:r>
              <w:rPr>
                <w:sz w:val="21"/>
              </w:rPr>
              <w:t>险人在无他人协助下无法独立完成六项基本日常生活活动中的三项或三项</w:t>
            </w:r>
          </w:p>
        </w:tc>
      </w:tr>
      <w:tr>
        <w:trPr>
          <w:trHeight w:val="260" w:hRule="atLeast"/>
        </w:trPr>
        <w:tc>
          <w:tcPr>
            <w:tcW w:w="894" w:type="dxa"/>
          </w:tcPr>
          <w:p>
            <w:pPr>
              <w:pStyle w:val="TableParagraph"/>
              <w:rPr>
                <w:rFonts w:ascii="Times New Roman"/>
                <w:sz w:val="18"/>
              </w:rPr>
            </w:pPr>
          </w:p>
        </w:tc>
        <w:tc>
          <w:tcPr>
            <w:tcW w:w="1431" w:type="dxa"/>
          </w:tcPr>
          <w:p>
            <w:pPr>
              <w:pStyle w:val="TableParagraph"/>
              <w:rPr>
                <w:rFonts w:ascii="Times New Roman"/>
                <w:sz w:val="18"/>
              </w:rPr>
            </w:pPr>
          </w:p>
        </w:tc>
        <w:tc>
          <w:tcPr>
            <w:tcW w:w="7131" w:type="dxa"/>
          </w:tcPr>
          <w:p>
            <w:pPr>
              <w:pStyle w:val="TableParagraph"/>
              <w:spacing w:line="241" w:lineRule="exact"/>
              <w:ind w:left="100"/>
              <w:rPr>
                <w:sz w:val="21"/>
              </w:rPr>
            </w:pPr>
            <w:r>
              <w:rPr>
                <w:sz w:val="21"/>
              </w:rPr>
              <w:t>以上。上述畸形及功能异常须持续至少达 180 天。</w:t>
            </w:r>
          </w:p>
        </w:tc>
      </w:tr>
    </w:tbl>
    <w:p>
      <w:pPr>
        <w:spacing w:after="0" w:line="241" w:lineRule="exact"/>
        <w:rPr>
          <w:sz w:val="21"/>
        </w:rPr>
        <w:sectPr>
          <w:pgSz w:w="11900" w:h="16840"/>
          <w:pgMar w:header="575" w:footer="0" w:top="800" w:bottom="280" w:left="860" w:right="1360"/>
        </w:sectPr>
      </w:pPr>
    </w:p>
    <w:p>
      <w:pPr>
        <w:pStyle w:val="BodyText"/>
        <w:rPr>
          <w:rFonts w:ascii="Times New Roman"/>
          <w:sz w:val="20"/>
        </w:rPr>
      </w:pPr>
    </w:p>
    <w:p>
      <w:pPr>
        <w:pStyle w:val="BodyText"/>
        <w:spacing w:before="9"/>
        <w:rPr>
          <w:rFonts w:ascii="Times New Roman"/>
          <w:sz w:val="11"/>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430"/>
        <w:gridCol w:w="7025"/>
      </w:tblGrid>
      <w:tr>
        <w:trPr>
          <w:trHeight w:val="584" w:hRule="atLeast"/>
        </w:trPr>
        <w:tc>
          <w:tcPr>
            <w:tcW w:w="893" w:type="dxa"/>
          </w:tcPr>
          <w:p>
            <w:pPr>
              <w:pStyle w:val="TableParagraph"/>
              <w:spacing w:line="222" w:lineRule="exact"/>
              <w:ind w:left="50"/>
              <w:rPr>
                <w:i/>
                <w:sz w:val="22"/>
              </w:rPr>
            </w:pPr>
            <w:r>
              <w:rPr>
                <w:i/>
                <w:sz w:val="22"/>
              </w:rPr>
              <w:t>3.4.46</w:t>
            </w:r>
          </w:p>
        </w:tc>
        <w:tc>
          <w:tcPr>
            <w:tcW w:w="1430" w:type="dxa"/>
          </w:tcPr>
          <w:p>
            <w:pPr>
              <w:pStyle w:val="TableParagraph"/>
              <w:spacing w:line="222" w:lineRule="exact"/>
              <w:ind w:left="213"/>
              <w:rPr>
                <w:i/>
                <w:sz w:val="22"/>
              </w:rPr>
            </w:pPr>
            <w:r>
              <w:rPr>
                <w:i/>
                <w:w w:val="95"/>
                <w:sz w:val="22"/>
              </w:rPr>
              <w:t>系统性红斑</w:t>
            </w:r>
          </w:p>
          <w:p>
            <w:pPr>
              <w:pStyle w:val="TableParagraph"/>
              <w:spacing w:before="24"/>
              <w:ind w:left="213"/>
              <w:rPr>
                <w:i/>
                <w:sz w:val="22"/>
              </w:rPr>
            </w:pPr>
            <w:r>
              <w:rPr>
                <w:i/>
                <w:w w:val="95"/>
                <w:sz w:val="22"/>
              </w:rPr>
              <w:t>狼疮</w:t>
            </w:r>
          </w:p>
        </w:tc>
        <w:tc>
          <w:tcPr>
            <w:tcW w:w="7025" w:type="dxa"/>
          </w:tcPr>
          <w:p>
            <w:pPr>
              <w:pStyle w:val="TableParagraph"/>
              <w:spacing w:line="220" w:lineRule="exact"/>
              <w:ind w:left="102"/>
              <w:rPr>
                <w:sz w:val="21"/>
              </w:rPr>
            </w:pPr>
            <w:r>
              <w:rPr>
                <w:spacing w:val="-2"/>
                <w:sz w:val="21"/>
              </w:rPr>
              <w:t>系统性红斑狼疮是一种累及多脏器的自身免疫性的炎症性结缔组织病，多发</w:t>
            </w:r>
          </w:p>
          <w:p>
            <w:pPr>
              <w:pStyle w:val="TableParagraph"/>
              <w:spacing w:before="37"/>
              <w:ind w:left="102"/>
              <w:rPr>
                <w:sz w:val="21"/>
              </w:rPr>
            </w:pPr>
            <w:r>
              <w:rPr>
                <w:spacing w:val="-6"/>
                <w:sz w:val="21"/>
              </w:rPr>
              <w:t>于青年女性。该病必须由医院的风湿科专科医生确诊。本附加合同所指的系</w:t>
            </w:r>
          </w:p>
        </w:tc>
      </w:tr>
      <w:tr>
        <w:trPr>
          <w:trHeight w:val="311" w:hRule="atLeast"/>
        </w:trPr>
        <w:tc>
          <w:tcPr>
            <w:tcW w:w="2323" w:type="dxa"/>
            <w:gridSpan w:val="2"/>
            <w:vMerge w:val="restart"/>
          </w:tcPr>
          <w:p>
            <w:pPr>
              <w:pStyle w:val="TableParagraph"/>
              <w:rPr>
                <w:rFonts w:ascii="Times New Roman"/>
                <w:sz w:val="20"/>
              </w:rPr>
            </w:pPr>
          </w:p>
        </w:tc>
        <w:tc>
          <w:tcPr>
            <w:tcW w:w="7025" w:type="dxa"/>
          </w:tcPr>
          <w:p>
            <w:pPr>
              <w:pStyle w:val="TableParagraph"/>
              <w:spacing w:line="260" w:lineRule="exact"/>
              <w:ind w:left="102"/>
              <w:rPr>
                <w:sz w:val="21"/>
              </w:rPr>
            </w:pPr>
            <w:r>
              <w:rPr>
                <w:sz w:val="21"/>
              </w:rPr>
              <w:t>统性红斑狼疮仅限于累及肾脏的情况，即经肾脏活检确认的，符合WHO诊断</w:t>
            </w:r>
          </w:p>
        </w:tc>
      </w:tr>
      <w:tr>
        <w:trPr>
          <w:trHeight w:val="308" w:hRule="atLeast"/>
        </w:trPr>
        <w:tc>
          <w:tcPr>
            <w:tcW w:w="2323" w:type="dxa"/>
            <w:gridSpan w:val="2"/>
            <w:vMerge/>
            <w:tcBorders>
              <w:top w:val="nil"/>
            </w:tcBorders>
          </w:tcPr>
          <w:p>
            <w:pPr>
              <w:rPr>
                <w:sz w:val="2"/>
                <w:szCs w:val="2"/>
              </w:rPr>
            </w:pPr>
          </w:p>
        </w:tc>
        <w:tc>
          <w:tcPr>
            <w:tcW w:w="7025" w:type="dxa"/>
          </w:tcPr>
          <w:p>
            <w:pPr>
              <w:pStyle w:val="TableParagraph"/>
              <w:spacing w:line="261" w:lineRule="exact"/>
              <w:ind w:left="102"/>
              <w:rPr>
                <w:sz w:val="21"/>
              </w:rPr>
            </w:pPr>
            <w:r>
              <w:rPr>
                <w:sz w:val="21"/>
              </w:rPr>
              <w:t>标准定义III型至V</w:t>
            </w:r>
            <w:r>
              <w:rPr>
                <w:spacing w:val="-5"/>
                <w:sz w:val="21"/>
              </w:rPr>
              <w:t>型狼疮性肾炎的诊断标准，并伴有持续性蛋白尿</w:t>
            </w:r>
            <w:r>
              <w:rPr>
                <w:sz w:val="21"/>
              </w:rPr>
              <w:t>（尿蛋白</w:t>
            </w:r>
          </w:p>
        </w:tc>
      </w:tr>
      <w:tr>
        <w:trPr>
          <w:trHeight w:val="627" w:hRule="atLeast"/>
        </w:trPr>
        <w:tc>
          <w:tcPr>
            <w:tcW w:w="2323" w:type="dxa"/>
            <w:gridSpan w:val="2"/>
            <w:vMerge/>
            <w:tcBorders>
              <w:top w:val="nil"/>
            </w:tcBorders>
          </w:tcPr>
          <w:p>
            <w:pPr>
              <w:rPr>
                <w:sz w:val="2"/>
                <w:szCs w:val="2"/>
              </w:rPr>
            </w:pPr>
          </w:p>
        </w:tc>
        <w:tc>
          <w:tcPr>
            <w:tcW w:w="7025" w:type="dxa"/>
          </w:tcPr>
          <w:p>
            <w:pPr>
              <w:pStyle w:val="TableParagraph"/>
              <w:spacing w:line="256" w:lineRule="auto"/>
              <w:ind w:left="102" w:right="49"/>
              <w:rPr>
                <w:sz w:val="21"/>
              </w:rPr>
            </w:pPr>
            <w:r>
              <w:rPr>
                <w:rFonts w:ascii="Times New Roman" w:eastAsia="Times New Roman"/>
                <w:b/>
                <w:sz w:val="21"/>
              </w:rPr>
              <w:t>++</w:t>
            </w:r>
            <w:r>
              <w:rPr>
                <w:spacing w:val="0"/>
                <w:sz w:val="21"/>
              </w:rPr>
              <w:t>以上</w:t>
            </w:r>
            <w:r>
              <w:rPr>
                <w:spacing w:val="-104"/>
                <w:sz w:val="21"/>
              </w:rPr>
              <w:t>）</w:t>
            </w:r>
            <w:r>
              <w:rPr>
                <w:sz w:val="21"/>
              </w:rPr>
              <w:t>（见9.19）的系统性红斑狼疮。</w:t>
            </w:r>
            <w:r>
              <w:rPr>
                <w:sz w:val="21"/>
                <w:shd w:fill="E5E5E5" w:color="auto" w:val="clear"/>
              </w:rPr>
              <w:t>其他类型的红斑性狼疮，如盘状狼疮、仅累及血液及关节的狼疮不在保障范围内。</w:t>
            </w:r>
          </w:p>
        </w:tc>
      </w:tr>
      <w:tr>
        <w:trPr>
          <w:trHeight w:val="311" w:hRule="atLeast"/>
        </w:trPr>
        <w:tc>
          <w:tcPr>
            <w:tcW w:w="2323" w:type="dxa"/>
            <w:gridSpan w:val="2"/>
            <w:vMerge/>
            <w:tcBorders>
              <w:top w:val="nil"/>
            </w:tcBorders>
          </w:tcPr>
          <w:p>
            <w:pPr>
              <w:rPr>
                <w:sz w:val="2"/>
                <w:szCs w:val="2"/>
              </w:rPr>
            </w:pPr>
          </w:p>
        </w:tc>
        <w:tc>
          <w:tcPr>
            <w:tcW w:w="7025" w:type="dxa"/>
          </w:tcPr>
          <w:p>
            <w:pPr>
              <w:pStyle w:val="TableParagraph"/>
              <w:spacing w:line="261" w:lineRule="exact"/>
              <w:ind w:left="102"/>
              <w:rPr>
                <w:sz w:val="21"/>
              </w:rPr>
            </w:pPr>
            <w:r>
              <w:rPr>
                <w:sz w:val="21"/>
              </w:rPr>
              <w:t>世界卫生组织（WHO）狼疮性肾炎分型：</w:t>
            </w:r>
          </w:p>
        </w:tc>
      </w:tr>
      <w:tr>
        <w:trPr>
          <w:trHeight w:val="311" w:hRule="atLeast"/>
        </w:trPr>
        <w:tc>
          <w:tcPr>
            <w:tcW w:w="2323" w:type="dxa"/>
            <w:gridSpan w:val="2"/>
            <w:vMerge/>
            <w:tcBorders>
              <w:top w:val="nil"/>
            </w:tcBorders>
          </w:tcPr>
          <w:p>
            <w:pPr>
              <w:rPr>
                <w:sz w:val="2"/>
                <w:szCs w:val="2"/>
              </w:rPr>
            </w:pPr>
          </w:p>
        </w:tc>
        <w:tc>
          <w:tcPr>
            <w:tcW w:w="7025" w:type="dxa"/>
          </w:tcPr>
          <w:p>
            <w:pPr>
              <w:pStyle w:val="TableParagraph"/>
              <w:spacing w:line="261" w:lineRule="exact"/>
              <w:ind w:left="102"/>
              <w:rPr>
                <w:sz w:val="21"/>
              </w:rPr>
            </w:pPr>
            <w:r>
              <w:rPr>
                <w:spacing w:val="0"/>
                <w:sz w:val="21"/>
              </w:rPr>
              <w:t>I型（</w:t>
            </w:r>
            <w:r>
              <w:rPr>
                <w:sz w:val="21"/>
              </w:rPr>
              <w:t>微小病变型</w:t>
            </w:r>
            <w:r>
              <w:rPr>
                <w:spacing w:val="-104"/>
                <w:sz w:val="21"/>
              </w:rPr>
              <w:t>）</w:t>
            </w:r>
            <w:r>
              <w:rPr>
                <w:spacing w:val="0"/>
                <w:sz w:val="21"/>
              </w:rPr>
              <w:t>；II型（系膜病变型</w:t>
            </w:r>
            <w:r>
              <w:rPr>
                <w:spacing w:val="-104"/>
                <w:sz w:val="21"/>
              </w:rPr>
              <w:t>）</w:t>
            </w:r>
            <w:r>
              <w:rPr>
                <w:spacing w:val="0"/>
                <w:sz w:val="21"/>
              </w:rPr>
              <w:t>；III</w:t>
            </w:r>
            <w:r>
              <w:rPr>
                <w:sz w:val="21"/>
              </w:rPr>
              <w:t>型</w:t>
            </w:r>
            <w:r>
              <w:rPr>
                <w:spacing w:val="0"/>
                <w:sz w:val="21"/>
              </w:rPr>
              <w:t>（</w:t>
            </w:r>
            <w:r>
              <w:rPr>
                <w:sz w:val="21"/>
              </w:rPr>
              <w:t>局灶及节段增生型</w:t>
            </w:r>
            <w:r>
              <w:rPr>
                <w:spacing w:val="-104"/>
                <w:sz w:val="21"/>
              </w:rPr>
              <w:t>）</w:t>
            </w:r>
            <w:r>
              <w:rPr>
                <w:spacing w:val="1"/>
                <w:sz w:val="21"/>
              </w:rPr>
              <w:t>；</w:t>
            </w:r>
            <w:r>
              <w:rPr>
                <w:sz w:val="21"/>
              </w:rPr>
              <w:t>IV</w:t>
            </w:r>
          </w:p>
        </w:tc>
      </w:tr>
      <w:tr>
        <w:trPr>
          <w:trHeight w:val="260" w:hRule="atLeast"/>
        </w:trPr>
        <w:tc>
          <w:tcPr>
            <w:tcW w:w="2323" w:type="dxa"/>
            <w:gridSpan w:val="2"/>
            <w:vMerge/>
            <w:tcBorders>
              <w:top w:val="nil"/>
            </w:tcBorders>
          </w:tcPr>
          <w:p>
            <w:pPr>
              <w:rPr>
                <w:sz w:val="2"/>
                <w:szCs w:val="2"/>
              </w:rPr>
            </w:pPr>
          </w:p>
        </w:tc>
        <w:tc>
          <w:tcPr>
            <w:tcW w:w="7025" w:type="dxa"/>
          </w:tcPr>
          <w:p>
            <w:pPr>
              <w:pStyle w:val="TableParagraph"/>
              <w:spacing w:line="241" w:lineRule="exact"/>
              <w:ind w:left="102"/>
              <w:rPr>
                <w:sz w:val="21"/>
              </w:rPr>
            </w:pPr>
            <w:r>
              <w:rPr>
                <w:sz w:val="21"/>
              </w:rPr>
              <w:t>型（弥漫增生型</w:t>
            </w:r>
            <w:r>
              <w:rPr>
                <w:spacing w:val="-105"/>
                <w:sz w:val="21"/>
              </w:rPr>
              <w:t>）</w:t>
            </w:r>
            <w:r>
              <w:rPr>
                <w:sz w:val="21"/>
              </w:rPr>
              <w:t>；V</w:t>
            </w:r>
            <w:r>
              <w:rPr>
                <w:spacing w:val="-2"/>
                <w:sz w:val="21"/>
              </w:rPr>
              <w:t>型</w:t>
            </w:r>
            <w:r>
              <w:rPr>
                <w:sz w:val="21"/>
              </w:rPr>
              <w:t>（膜型）</w:t>
            </w:r>
          </w:p>
        </w:tc>
      </w:tr>
    </w:tbl>
    <w:p>
      <w:pPr>
        <w:pStyle w:val="BodyText"/>
        <w:rPr>
          <w:rFonts w:ascii="Times New Roman"/>
          <w:sz w:val="20"/>
        </w:rPr>
      </w:pPr>
    </w:p>
    <w:p>
      <w:pPr>
        <w:pStyle w:val="BodyText"/>
        <w:spacing w:before="4"/>
        <w:rPr>
          <w:rFonts w:ascii="Times New Roman"/>
          <w:sz w:val="28"/>
        </w:rPr>
      </w:pPr>
    </w:p>
    <w:p>
      <w:pPr>
        <w:pStyle w:val="Heading2"/>
        <w:numPr>
          <w:ilvl w:val="0"/>
          <w:numId w:val="8"/>
        </w:numPr>
        <w:tabs>
          <w:tab w:pos="1277" w:val="left" w:leader="none"/>
          <w:tab w:pos="1278" w:val="left" w:leader="none"/>
        </w:tabs>
        <w:spacing w:line="240" w:lineRule="auto" w:before="14" w:after="0"/>
        <w:ind w:left="1277" w:right="0" w:hanging="1056"/>
        <w:jc w:val="left"/>
      </w:pPr>
      <w:r>
        <w:rPr>
          <w:w w:val="95"/>
        </w:rPr>
        <w:t>保险金的申请</w:t>
      </w:r>
    </w:p>
    <w:p>
      <w:pPr>
        <w:pStyle w:val="BodyText"/>
        <w:spacing w:before="3"/>
        <w:rPr>
          <w:sz w:val="10"/>
        </w:rPr>
      </w:pPr>
      <w:r>
        <w:rPr/>
        <w:pict>
          <v:group style="position:absolute;margin-left:45.66pt;margin-top:8.656798pt;width:473.25pt;height:1.45pt;mso-position-horizontal-relative:page;mso-position-vertical-relative:paragraph;z-index:1168;mso-wrap-distance-left:0;mso-wrap-distance-right:0" coordorigin="913,173" coordsize="9465,29">
            <v:line style="position:absolute" from="913,178" to="1969,178" stroked="true" strokeweight=".48004pt" strokecolor="#000000">
              <v:stroke dashstyle="solid"/>
            </v:line>
            <v:line style="position:absolute" from="913,197" to="1969,197" stroked="true" strokeweight=".47998pt" strokecolor="#000000">
              <v:stroke dashstyle="solid"/>
            </v:line>
            <v:rect style="position:absolute;left:1969;top:173;width:29;height:10" filled="true" fillcolor="#000000" stroked="false">
              <v:fill type="solid"/>
            </v:rect>
            <v:rect style="position:absolute;left:1969;top:192;width:29;height:10" filled="true" fillcolor="#000000" stroked="false">
              <v:fill type="solid"/>
            </v:rect>
            <v:line style="position:absolute" from="1998,178" to="3289,178" stroked="true" strokeweight=".48004pt" strokecolor="#000000">
              <v:stroke dashstyle="solid"/>
            </v:line>
            <v:line style="position:absolute" from="1998,197" to="3289,197" stroked="true" strokeweight=".47998pt" strokecolor="#000000">
              <v:stroke dashstyle="solid"/>
            </v:line>
            <v:rect style="position:absolute;left:3289;top:173;width:29;height:10" filled="true" fillcolor="#000000" stroked="false">
              <v:fill type="solid"/>
            </v:rect>
            <v:rect style="position:absolute;left:3289;top:192;width:29;height:10" filled="true" fillcolor="#000000" stroked="false">
              <v:fill type="solid"/>
            </v:rect>
            <v:line style="position:absolute" from="3318,178" to="10378,178" stroked="true" strokeweight=".48004pt" strokecolor="#000000">
              <v:stroke dashstyle="solid"/>
            </v:line>
            <v:line style="position:absolute" from="3318,197" to="10378,197" stroked="true" strokeweight=".47998pt" strokecolor="#000000">
              <v:stroke dashstyle="solid"/>
            </v:line>
            <w10:wrap type="topAndBottom"/>
          </v:group>
        </w:pict>
      </w:r>
    </w:p>
    <w:p>
      <w:pPr>
        <w:pStyle w:val="ListParagraph"/>
        <w:numPr>
          <w:ilvl w:val="1"/>
          <w:numId w:val="8"/>
        </w:numPr>
        <w:tabs>
          <w:tab w:pos="1277" w:val="left" w:leader="none"/>
          <w:tab w:pos="1278" w:val="left" w:leader="none"/>
          <w:tab w:pos="2597" w:val="left" w:leader="none"/>
        </w:tabs>
        <w:spacing w:line="240" w:lineRule="auto" w:before="56" w:after="0"/>
        <w:ind w:left="1277" w:right="0" w:hanging="1056"/>
        <w:jc w:val="left"/>
        <w:rPr>
          <w:sz w:val="21"/>
        </w:rPr>
      </w:pPr>
      <w:r>
        <w:rPr>
          <w:sz w:val="21"/>
        </w:rPr>
        <w:t>受益人</w:t>
        <w:tab/>
        <w:t>除另有约定外，本附加合同的受益人为被保险人本人。</w:t>
      </w:r>
    </w:p>
    <w:p>
      <w:pPr>
        <w:pStyle w:val="BodyText"/>
        <w:spacing w:before="4"/>
        <w:rPr>
          <w:sz w:val="12"/>
        </w:rPr>
      </w:pPr>
    </w:p>
    <w:p>
      <w:pPr>
        <w:spacing w:after="0"/>
        <w:rPr>
          <w:sz w:val="12"/>
        </w:rPr>
        <w:sectPr>
          <w:headerReference w:type="default" r:id="rId9"/>
          <w:pgSz w:w="11900" w:h="16840"/>
          <w:pgMar w:header="575" w:footer="0" w:top="800" w:bottom="280" w:left="800" w:right="1420"/>
          <w:pgNumType w:start="12"/>
        </w:sectPr>
      </w:pPr>
    </w:p>
    <w:p>
      <w:pPr>
        <w:pStyle w:val="ListParagraph"/>
        <w:numPr>
          <w:ilvl w:val="1"/>
          <w:numId w:val="8"/>
        </w:numPr>
        <w:tabs>
          <w:tab w:pos="1277" w:val="left" w:leader="none"/>
          <w:tab w:pos="1278" w:val="left" w:leader="none"/>
        </w:tabs>
        <w:spacing w:line="273" w:lineRule="auto" w:before="46" w:after="0"/>
        <w:ind w:left="1277" w:right="0" w:hanging="1056"/>
        <w:jc w:val="left"/>
        <w:rPr>
          <w:sz w:val="21"/>
        </w:rPr>
      </w:pPr>
      <w:r>
        <w:rPr/>
        <w:pict>
          <v:group style="position:absolute;margin-left:169.860001pt;margin-top:19.604448pt;width:343.65pt;height:13.65pt;mso-position-horizontal-relative:page;mso-position-vertical-relative:paragraph;z-index:1240" coordorigin="3397,392" coordsize="6873,273">
            <v:rect style="position:absolute;left:3397;top:392;width:6873;height:273" filled="true" fillcolor="#e5e5e5" stroked="false">
              <v:fill type="solid"/>
            </v:rect>
            <v:shape style="position:absolute;left:3397;top:392;width:6873;height:273" type="#_x0000_t202" filled="false" stroked="false">
              <v:textbox inset="0,0,0,0">
                <w:txbxContent>
                  <w:p>
                    <w:pPr>
                      <w:spacing w:line="241" w:lineRule="exact" w:before="0"/>
                      <w:ind w:left="0" w:right="-15" w:firstLine="0"/>
                      <w:jc w:val="left"/>
                      <w:rPr>
                        <w:sz w:val="21"/>
                      </w:rPr>
                    </w:pPr>
                    <w:r>
                      <w:rPr>
                        <w:spacing w:val="-4"/>
                        <w:sz w:val="21"/>
                      </w:rPr>
                      <w:t>如果因故意或者因重大过失未及时通知，致使保险事故的性质、原因、损失</w:t>
                    </w:r>
                  </w:p>
                </w:txbxContent>
              </v:textbox>
              <w10:wrap type="none"/>
            </v:shape>
            <w10:wrap type="none"/>
          </v:group>
        </w:pict>
      </w:r>
      <w:r>
        <w:rPr>
          <w:spacing w:val="11"/>
          <w:sz w:val="21"/>
        </w:rPr>
        <w:t>保险事故通</w:t>
      </w:r>
      <w:r>
        <w:rPr>
          <w:sz w:val="21"/>
        </w:rPr>
        <w:t>知</w:t>
      </w:r>
    </w:p>
    <w:p>
      <w:pPr>
        <w:pStyle w:val="BodyText"/>
        <w:spacing w:before="34"/>
        <w:ind w:left="163"/>
        <w:rPr>
          <w:i/>
          <w:sz w:val="22"/>
        </w:rPr>
      </w:pPr>
      <w:r>
        <w:rPr/>
        <w:br w:type="column"/>
      </w:r>
      <w:r>
        <w:rPr/>
        <w:t>您、被保险人或受益人知道保险事故发生后应当在 10 日内通知我们</w:t>
      </w:r>
      <w:r>
        <w:rPr>
          <w:i/>
          <w:sz w:val="22"/>
        </w:rPr>
        <w:t>。</w:t>
      </w:r>
    </w:p>
    <w:p>
      <w:pPr>
        <w:spacing w:after="0"/>
        <w:rPr>
          <w:sz w:val="22"/>
        </w:rPr>
        <w:sectPr>
          <w:type w:val="continuous"/>
          <w:pgSz w:w="11900" w:h="16840"/>
          <w:pgMar w:top="1100" w:bottom="280" w:left="800" w:right="1420"/>
          <w:cols w:num="2" w:equalWidth="0">
            <w:col w:w="2394" w:space="40"/>
            <w:col w:w="7246"/>
          </w:cols>
        </w:sectPr>
      </w:pPr>
    </w:p>
    <w:p>
      <w:pPr>
        <w:pStyle w:val="BodyText"/>
        <w:spacing w:before="2"/>
        <w:rPr>
          <w:i/>
          <w:sz w:val="3"/>
        </w:rPr>
      </w:pPr>
    </w:p>
    <w:p>
      <w:pPr>
        <w:pStyle w:val="BodyText"/>
        <w:ind w:left="2597"/>
        <w:rPr>
          <w:sz w:val="20"/>
        </w:rPr>
      </w:pPr>
      <w:r>
        <w:rPr>
          <w:sz w:val="20"/>
        </w:rPr>
        <w:pict>
          <v:shape style="width:343.65pt;height:13.65pt;mso-position-horizontal-relative:char;mso-position-vertical-relative:line" type="#_x0000_t202" filled="true" fillcolor="#e5e5e5" stroked="false">
            <w10:anchorlock/>
            <v:textbox inset="0,0,0,0">
              <w:txbxContent>
                <w:p>
                  <w:pPr>
                    <w:pStyle w:val="BodyText"/>
                    <w:spacing w:line="241" w:lineRule="exact"/>
                    <w:ind w:right="-15"/>
                  </w:pPr>
                  <w:r>
                    <w:rPr>
                      <w:spacing w:val="-5"/>
                    </w:rPr>
                    <w:t>程度等难以确定的，我们对无法确定的部分，不承担给付保险金的责任，但</w:t>
                  </w:r>
                </w:p>
              </w:txbxContent>
            </v:textbox>
            <v:fill type="solid"/>
          </v:shape>
        </w:pict>
      </w:r>
      <w:r>
        <w:rPr>
          <w:sz w:val="20"/>
        </w:rPr>
      </w:r>
    </w:p>
    <w:p>
      <w:pPr>
        <w:pStyle w:val="BodyText"/>
        <w:spacing w:line="254" w:lineRule="exact"/>
        <w:ind w:left="2597"/>
      </w:pPr>
      <w:r>
        <w:rPr/>
        <w:t>我们通过其他途径已经及时知道或者应当及时知道保险事故发生或者虽未</w:t>
      </w:r>
    </w:p>
    <w:p>
      <w:pPr>
        <w:pStyle w:val="BodyText"/>
        <w:spacing w:before="37"/>
        <w:ind w:left="2597"/>
      </w:pPr>
      <w:r>
        <w:rPr/>
        <w:t>及时通知但不影响我们确定保险事故的性质、原因、损失程度的除外。</w:t>
      </w:r>
    </w:p>
    <w:p>
      <w:pPr>
        <w:pStyle w:val="BodyText"/>
        <w:spacing w:before="9"/>
        <w:rPr>
          <w:sz w:val="15"/>
        </w:rPr>
      </w:pPr>
    </w:p>
    <w:p>
      <w:pPr>
        <w:pStyle w:val="ListParagraph"/>
        <w:numPr>
          <w:ilvl w:val="1"/>
          <w:numId w:val="8"/>
        </w:numPr>
        <w:tabs>
          <w:tab w:pos="1277" w:val="left" w:leader="none"/>
          <w:tab w:pos="1278" w:val="left" w:leader="none"/>
          <w:tab w:pos="2597" w:val="left" w:leader="none"/>
        </w:tabs>
        <w:spacing w:line="240" w:lineRule="auto" w:before="1" w:after="0"/>
        <w:ind w:left="1277" w:right="0" w:hanging="1056"/>
        <w:jc w:val="left"/>
        <w:rPr>
          <w:sz w:val="21"/>
        </w:rPr>
      </w:pPr>
      <w:r>
        <w:rPr>
          <w:sz w:val="21"/>
        </w:rPr>
        <w:t>保险金申请</w:t>
        <w:tab/>
        <w:t>在申请保险金时，请按照下列方式办理：</w:t>
      </w:r>
    </w:p>
    <w:p>
      <w:pPr>
        <w:pStyle w:val="BodyText"/>
        <w:spacing w:before="5"/>
        <w:rPr>
          <w:sz w:val="12"/>
        </w:rPr>
      </w:pPr>
    </w:p>
    <w:p>
      <w:pPr>
        <w:spacing w:after="0"/>
        <w:rPr>
          <w:sz w:val="12"/>
        </w:rPr>
        <w:sectPr>
          <w:type w:val="continuous"/>
          <w:pgSz w:w="11900" w:h="16840"/>
          <w:pgMar w:top="1100" w:bottom="280" w:left="800" w:right="1420"/>
        </w:sectPr>
      </w:pPr>
    </w:p>
    <w:p>
      <w:pPr>
        <w:pStyle w:val="Heading4"/>
        <w:numPr>
          <w:ilvl w:val="2"/>
          <w:numId w:val="8"/>
        </w:numPr>
        <w:tabs>
          <w:tab w:pos="1278" w:val="left" w:leader="none"/>
        </w:tabs>
        <w:spacing w:line="266" w:lineRule="auto" w:before="34" w:after="0"/>
        <w:ind w:left="1277" w:right="0" w:hanging="1056"/>
        <w:jc w:val="both"/>
      </w:pPr>
      <w:r>
        <w:rPr>
          <w:spacing w:val="11"/>
          <w:w w:val="95"/>
          <w:position w:val="-2"/>
        </w:rPr>
        <w:t>轻症重疾保</w:t>
      </w:r>
      <w:r>
        <w:rPr>
          <w:spacing w:val="11"/>
          <w:w w:val="95"/>
        </w:rPr>
        <w:t>险金和重大疾病保险金</w:t>
      </w:r>
      <w:r>
        <w:rPr>
          <w:w w:val="95"/>
        </w:rPr>
        <w:t>申请</w:t>
      </w:r>
    </w:p>
    <w:p>
      <w:pPr>
        <w:pStyle w:val="BodyText"/>
        <w:spacing w:before="45"/>
        <w:ind w:left="163"/>
      </w:pPr>
      <w:r>
        <w:rPr/>
        <w:br w:type="column"/>
      </w:r>
      <w:r>
        <w:rPr/>
        <w:t>申请人须填写保险金给付申请书，并须提供下列证明和资料：</w:t>
      </w:r>
    </w:p>
    <w:p>
      <w:pPr>
        <w:pStyle w:val="BodyText"/>
        <w:spacing w:before="36"/>
        <w:ind w:left="163"/>
      </w:pPr>
      <w:r>
        <w:rPr/>
        <w:t>（</w:t>
      </w:r>
      <w:r>
        <w:rPr>
          <w:rFonts w:ascii="Times New Roman" w:eastAsia="Times New Roman"/>
        </w:rPr>
        <w:t>1</w:t>
      </w:r>
      <w:r>
        <w:rPr/>
        <w:t>）保险合同；</w:t>
      </w:r>
    </w:p>
    <w:p>
      <w:pPr>
        <w:pStyle w:val="BodyText"/>
        <w:spacing w:before="20"/>
        <w:ind w:left="163"/>
      </w:pPr>
      <w:r>
        <w:rPr/>
        <w:t>（</w:t>
      </w:r>
      <w:r>
        <w:rPr>
          <w:rFonts w:ascii="Times New Roman" w:eastAsia="Times New Roman"/>
        </w:rPr>
        <w:t>2</w:t>
      </w:r>
      <w:r>
        <w:rPr/>
        <w:t>）受益人有效身份证件；</w:t>
      </w:r>
    </w:p>
    <w:p>
      <w:pPr>
        <w:pStyle w:val="BodyText"/>
        <w:spacing w:line="256" w:lineRule="auto" w:before="20"/>
        <w:ind w:left="163" w:right="256"/>
      </w:pPr>
      <w:r>
        <w:rPr/>
        <w:t>（</w:t>
      </w:r>
      <w:r>
        <w:rPr>
          <w:rFonts w:ascii="Times New Roman" w:eastAsia="Times New Roman"/>
        </w:rPr>
        <w:t>3</w:t>
      </w:r>
      <w:r>
        <w:rPr/>
        <w:t>）我们认可的医院专科医生出具的附有病理显微镜检查、血液检验及其他科学方法检验报告的疾病诊断证明书；</w:t>
      </w:r>
    </w:p>
    <w:p>
      <w:pPr>
        <w:pStyle w:val="BodyText"/>
        <w:spacing w:line="256" w:lineRule="auto" w:before="22"/>
        <w:ind w:left="163" w:right="208"/>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00" w:h="16840"/>
          <w:pgMar w:top="1100" w:bottom="280" w:left="800" w:right="1420"/>
          <w:cols w:num="2" w:equalWidth="0">
            <w:col w:w="2394" w:space="40"/>
            <w:col w:w="7246"/>
          </w:cols>
        </w:sectPr>
      </w:pPr>
    </w:p>
    <w:p>
      <w:pPr>
        <w:pStyle w:val="BodyText"/>
        <w:spacing w:before="3"/>
        <w:rPr>
          <w:sz w:val="11"/>
        </w:rPr>
      </w:pPr>
    </w:p>
    <w:p>
      <w:pPr>
        <w:spacing w:after="0"/>
        <w:rPr>
          <w:sz w:val="11"/>
        </w:rPr>
        <w:sectPr>
          <w:type w:val="continuous"/>
          <w:pgSz w:w="11900" w:h="16840"/>
          <w:pgMar w:top="1100" w:bottom="280" w:left="800" w:right="1420"/>
        </w:sectPr>
      </w:pPr>
    </w:p>
    <w:p>
      <w:pPr>
        <w:pStyle w:val="Heading4"/>
        <w:numPr>
          <w:ilvl w:val="2"/>
          <w:numId w:val="8"/>
        </w:numPr>
        <w:tabs>
          <w:tab w:pos="1278" w:val="left" w:leader="none"/>
        </w:tabs>
        <w:spacing w:line="264" w:lineRule="auto" w:before="34" w:after="0"/>
        <w:ind w:left="1277" w:right="0" w:hanging="1056"/>
        <w:jc w:val="both"/>
      </w:pPr>
      <w:r>
        <w:rPr>
          <w:spacing w:val="11"/>
          <w:w w:val="95"/>
          <w:position w:val="-2"/>
        </w:rPr>
        <w:t>委托他人代</w:t>
      </w:r>
      <w:r>
        <w:rPr>
          <w:spacing w:val="11"/>
          <w:w w:val="95"/>
        </w:rPr>
        <w:t>为申请保险</w:t>
      </w:r>
      <w:r>
        <w:rPr/>
        <w:t>金</w:t>
      </w:r>
    </w:p>
    <w:p>
      <w:pPr>
        <w:pStyle w:val="BodyText"/>
        <w:spacing w:line="273" w:lineRule="auto" w:before="46"/>
        <w:ind w:left="163" w:right="150"/>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00" w:h="16840"/>
          <w:pgMar w:top="1100" w:bottom="280" w:left="800" w:right="1420"/>
          <w:cols w:num="2" w:equalWidth="0">
            <w:col w:w="2394" w:space="40"/>
            <w:col w:w="7246"/>
          </w:cols>
        </w:sectPr>
      </w:pPr>
    </w:p>
    <w:p>
      <w:pPr>
        <w:pStyle w:val="BodyText"/>
        <w:spacing w:before="2"/>
        <w:rPr>
          <w:sz w:val="9"/>
        </w:rPr>
      </w:pPr>
    </w:p>
    <w:p>
      <w:pPr>
        <w:pStyle w:val="ListParagraph"/>
        <w:numPr>
          <w:ilvl w:val="2"/>
          <w:numId w:val="8"/>
        </w:numPr>
        <w:tabs>
          <w:tab w:pos="1277" w:val="left" w:leader="none"/>
          <w:tab w:pos="1278" w:val="left" w:leader="none"/>
          <w:tab w:pos="2597" w:val="left" w:leader="none"/>
        </w:tabs>
        <w:spacing w:line="268" w:lineRule="auto" w:before="34" w:after="0"/>
        <w:ind w:left="2597" w:right="208" w:hanging="2376"/>
        <w:jc w:val="left"/>
        <w:rPr>
          <w:sz w:val="21"/>
        </w:rPr>
      </w:pPr>
      <w:r>
        <w:rPr>
          <w:i/>
          <w:sz w:val="22"/>
        </w:rPr>
        <w:t>补充通知</w:t>
        <w:tab/>
      </w:r>
      <w:r>
        <w:rPr>
          <w:sz w:val="21"/>
        </w:rPr>
        <w:t>以上证明和资料不完整的</w:t>
      </w:r>
      <w:r>
        <w:rPr>
          <w:spacing w:val="-58"/>
          <w:sz w:val="21"/>
        </w:rPr>
        <w:t>，</w:t>
      </w:r>
      <w:r>
        <w:rPr>
          <w:sz w:val="21"/>
        </w:rPr>
        <w:t>我们将及时一次性通知申请人补充提供有关的证明和资料。</w:t>
      </w:r>
    </w:p>
    <w:p>
      <w:pPr>
        <w:pStyle w:val="ListParagraph"/>
        <w:numPr>
          <w:ilvl w:val="2"/>
          <w:numId w:val="8"/>
        </w:numPr>
        <w:tabs>
          <w:tab w:pos="1277" w:val="left" w:leader="none"/>
          <w:tab w:pos="1278" w:val="left" w:leader="none"/>
          <w:tab w:pos="2597" w:val="left" w:leader="none"/>
        </w:tabs>
        <w:spacing w:line="268" w:lineRule="auto" w:before="170" w:after="0"/>
        <w:ind w:left="2597" w:right="208" w:hanging="2376"/>
        <w:jc w:val="left"/>
        <w:rPr>
          <w:sz w:val="21"/>
        </w:rPr>
      </w:pPr>
      <w:r>
        <w:rPr>
          <w:i/>
          <w:sz w:val="22"/>
        </w:rPr>
        <w:t>身体检查</w:t>
        <w:tab/>
      </w:r>
      <w:r>
        <w:rPr>
          <w:sz w:val="21"/>
        </w:rPr>
        <w:t>除上述相关证明外</w:t>
      </w:r>
      <w:r>
        <w:rPr>
          <w:spacing w:val="-29"/>
          <w:sz w:val="21"/>
        </w:rPr>
        <w:t>，</w:t>
      </w:r>
      <w:r>
        <w:rPr>
          <w:sz w:val="21"/>
        </w:rPr>
        <w:t>我们如认为必要</w:t>
      </w:r>
      <w:r>
        <w:rPr>
          <w:spacing w:val="-29"/>
          <w:sz w:val="21"/>
        </w:rPr>
        <w:t>，</w:t>
      </w:r>
      <w:r>
        <w:rPr>
          <w:sz w:val="21"/>
        </w:rPr>
        <w:t>在保险事故发生后可以对被保险人的身体状况进行检查或鉴定。</w:t>
      </w:r>
    </w:p>
    <w:p>
      <w:pPr>
        <w:pStyle w:val="BodyText"/>
        <w:spacing w:before="4"/>
        <w:rPr>
          <w:sz w:val="20"/>
        </w:rPr>
      </w:pPr>
    </w:p>
    <w:p>
      <w:pPr>
        <w:pStyle w:val="ListParagraph"/>
        <w:numPr>
          <w:ilvl w:val="1"/>
          <w:numId w:val="8"/>
        </w:numPr>
        <w:tabs>
          <w:tab w:pos="1277" w:val="left" w:leader="none"/>
          <w:tab w:pos="1278" w:val="left" w:leader="none"/>
          <w:tab w:pos="2597" w:val="left" w:leader="none"/>
        </w:tabs>
        <w:spacing w:line="273" w:lineRule="auto" w:before="0" w:after="0"/>
        <w:ind w:left="2597" w:right="208" w:hanging="2376"/>
        <w:jc w:val="left"/>
        <w:rPr>
          <w:sz w:val="21"/>
        </w:rPr>
      </w:pPr>
      <w:r>
        <w:rPr>
          <w:sz w:val="21"/>
        </w:rPr>
        <w:t>保险金给付</w:t>
        <w:tab/>
        <w:t>我们在收到保险金给付申请书及上述有关的证明和资料后</w:t>
      </w:r>
      <w:r>
        <w:rPr>
          <w:spacing w:val="-58"/>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2"/>
          <w:sz w:val="21"/>
        </w:rPr>
        <w:t> </w:t>
      </w:r>
      <w:r>
        <w:rPr>
          <w:sz w:val="21"/>
        </w:rPr>
        <w:t>30</w:t>
      </w:r>
      <w:r>
        <w:rPr>
          <w:spacing w:val="-62"/>
          <w:sz w:val="21"/>
        </w:rPr>
        <w:t> </w:t>
      </w:r>
      <w:r>
        <w:rPr>
          <w:sz w:val="21"/>
        </w:rPr>
        <w:t>日内作出核定。</w:t>
      </w:r>
    </w:p>
    <w:p>
      <w:pPr>
        <w:pStyle w:val="BodyText"/>
        <w:spacing w:before="7"/>
        <w:ind w:left="2597"/>
      </w:pPr>
      <w:r>
        <w:rPr/>
        <w:t>对属于保险责任的，我们在与受益人达成给付保险金的协议后 10 日内，履</w:t>
      </w:r>
    </w:p>
    <w:p>
      <w:pPr>
        <w:pStyle w:val="BodyText"/>
        <w:spacing w:before="36"/>
        <w:ind w:left="2597"/>
      </w:pPr>
      <w:r>
        <w:rPr>
          <w:spacing w:val="-10"/>
        </w:rPr>
        <w:t>行给付保险金义务。若我们在收齐相关证明和资料后 </w:t>
      </w:r>
      <w:r>
        <w:rPr/>
        <w:t>30</w:t>
      </w:r>
      <w:r>
        <w:rPr>
          <w:spacing w:val="-9"/>
        </w:rPr>
        <w:t> 日内仍未作出核定，</w:t>
      </w:r>
    </w:p>
    <w:p>
      <w:pPr>
        <w:pStyle w:val="BodyText"/>
        <w:spacing w:line="273" w:lineRule="auto" w:before="36"/>
        <w:ind w:left="2597" w:right="207"/>
        <w:jc w:val="both"/>
      </w:pPr>
      <w:r>
        <w:rPr>
          <w:spacing w:val="-3"/>
        </w:rPr>
        <w:t>除支付保险金外，我们将从第 </w:t>
      </w:r>
      <w:r>
        <w:rPr/>
        <w:t>31</w:t>
      </w:r>
      <w:r>
        <w:rPr>
          <w:spacing w:val="-6"/>
        </w:rPr>
        <w:t> 日起按超过天数赔偿受益人因此受到的利</w:t>
      </w:r>
      <w:r>
        <w:rPr>
          <w:spacing w:val="-9"/>
        </w:rPr>
        <w:t>息损失。利息按照不低于中国人民银行公布的同期金融机构人民币活期存款基准利率按复利计算。</w:t>
      </w:r>
    </w:p>
    <w:p>
      <w:pPr>
        <w:pStyle w:val="BodyText"/>
        <w:spacing w:before="7"/>
        <w:ind w:left="2597"/>
        <w:jc w:val="both"/>
      </w:pPr>
      <w:r>
        <w:rPr/>
        <w:t>对不属于保险责任的，我们自作出核定之日起 3 日内向受益人发出拒绝给付</w:t>
      </w:r>
    </w:p>
    <w:p>
      <w:pPr>
        <w:spacing w:after="0"/>
        <w:jc w:val="both"/>
        <w:sectPr>
          <w:type w:val="continuous"/>
          <w:pgSz w:w="11900" w:h="16840"/>
          <w:pgMar w:top="1100" w:bottom="280" w:left="800" w:right="1420"/>
        </w:sectPr>
      </w:pPr>
    </w:p>
    <w:p>
      <w:pPr>
        <w:pStyle w:val="BodyText"/>
        <w:spacing w:before="1"/>
      </w:pPr>
    </w:p>
    <w:p>
      <w:pPr>
        <w:pStyle w:val="BodyText"/>
        <w:spacing w:before="36"/>
        <w:ind w:left="2597"/>
      </w:pPr>
      <w:r>
        <w:rPr/>
        <w:t>保险金通知书并说明理由。</w:t>
      </w:r>
    </w:p>
    <w:p>
      <w:pPr>
        <w:pStyle w:val="BodyText"/>
        <w:spacing w:line="273" w:lineRule="auto" w:before="37"/>
        <w:ind w:left="2597" w:right="207"/>
        <w:jc w:val="both"/>
      </w:pPr>
      <w:r>
        <w:rPr>
          <w:spacing w:val="-2"/>
        </w:rPr>
        <w:t>我们在收到保险金给付申请书及有关证明和资料之日起 </w:t>
      </w:r>
      <w:r>
        <w:rPr/>
        <w:t>60</w:t>
      </w:r>
      <w:r>
        <w:rPr>
          <w:spacing w:val="-6"/>
        </w:rPr>
        <w:t> 日内，对给付保</w:t>
      </w:r>
      <w:r>
        <w:rPr>
          <w:spacing w:val="-10"/>
        </w:rPr>
        <w:t>险金的数额不能确定的，根据已有证明和资料可以确定的数额先予支付；我们最终确定给付保险金的数额后，将支付相应的差额。</w:t>
      </w:r>
    </w:p>
    <w:p>
      <w:pPr>
        <w:pStyle w:val="ListParagraph"/>
        <w:numPr>
          <w:ilvl w:val="1"/>
          <w:numId w:val="8"/>
        </w:numPr>
        <w:tabs>
          <w:tab w:pos="1276" w:val="left" w:leader="none"/>
          <w:tab w:pos="1277" w:val="left" w:leader="none"/>
          <w:tab w:pos="2597" w:val="left" w:leader="none"/>
        </w:tabs>
        <w:spacing w:line="273" w:lineRule="auto" w:before="178" w:after="0"/>
        <w:ind w:left="2597" w:right="208" w:hanging="2376"/>
        <w:jc w:val="left"/>
        <w:rPr>
          <w:sz w:val="21"/>
        </w:rPr>
      </w:pPr>
      <w:r>
        <w:rPr>
          <w:sz w:val="21"/>
        </w:rPr>
        <w:t>诉讼时效</w:t>
        <w:tab/>
        <w:t>受益人向我们请求给付保险金的诉讼时效期间为</w:t>
      </w:r>
      <w:r>
        <w:rPr>
          <w:spacing w:val="-54"/>
          <w:sz w:val="21"/>
        </w:rPr>
        <w:t> </w:t>
      </w:r>
      <w:r>
        <w:rPr>
          <w:sz w:val="21"/>
        </w:rPr>
        <w:t>2</w:t>
      </w:r>
      <w:r>
        <w:rPr>
          <w:spacing w:val="-53"/>
          <w:sz w:val="21"/>
        </w:rPr>
        <w:t> </w:t>
      </w:r>
      <w:r>
        <w:rPr>
          <w:sz w:val="21"/>
        </w:rPr>
        <w:t>年</w:t>
      </w:r>
      <w:r>
        <w:rPr>
          <w:spacing w:val="-58"/>
          <w:sz w:val="21"/>
        </w:rPr>
        <w:t>，</w:t>
      </w:r>
      <w:r>
        <w:rPr>
          <w:sz w:val="21"/>
        </w:rPr>
        <w:t>自其知道或者应当知道保险事故发生之日起计算。</w:t>
      </w:r>
    </w:p>
    <w:p>
      <w:pPr>
        <w:pStyle w:val="BodyText"/>
        <w:spacing w:before="9"/>
        <w:rPr>
          <w:sz w:val="19"/>
        </w:rPr>
      </w:pPr>
    </w:p>
    <w:p>
      <w:pPr>
        <w:pStyle w:val="Heading2"/>
        <w:numPr>
          <w:ilvl w:val="0"/>
          <w:numId w:val="8"/>
        </w:numPr>
        <w:tabs>
          <w:tab w:pos="1277" w:val="left" w:leader="none"/>
          <w:tab w:pos="1278" w:val="left" w:leader="none"/>
        </w:tabs>
        <w:spacing w:line="240" w:lineRule="auto" w:before="1" w:after="0"/>
        <w:ind w:left="1277" w:right="0" w:hanging="1056"/>
        <w:jc w:val="left"/>
      </w:pPr>
      <w:r>
        <w:rPr>
          <w:w w:val="95"/>
        </w:rPr>
        <w:t>保险费的交纳</w:t>
      </w:r>
    </w:p>
    <w:p>
      <w:pPr>
        <w:pStyle w:val="BodyText"/>
        <w:spacing w:before="3"/>
        <w:rPr>
          <w:sz w:val="10"/>
        </w:rPr>
      </w:pPr>
      <w:r>
        <w:rPr/>
        <w:pict>
          <v:group style="position:absolute;margin-left:45.66pt;margin-top:8.654844pt;width:473.25pt;height:1.45pt;mso-position-horizontal-relative:page;mso-position-vertical-relative:paragraph;z-index:1264;mso-wrap-distance-left:0;mso-wrap-distance-right:0" coordorigin="913,173" coordsize="9465,29">
            <v:line style="position:absolute" from="913,178" to="1969,178" stroked="true" strokeweight=".47998pt" strokecolor="#000000">
              <v:stroke dashstyle="solid"/>
            </v:line>
            <v:line style="position:absolute" from="913,197" to="1969,197" stroked="true" strokeweight=".47998pt" strokecolor="#000000">
              <v:stroke dashstyle="solid"/>
            </v:line>
            <v:rect style="position:absolute;left:1969;top:173;width:29;height:10" filled="true" fillcolor="#000000" stroked="false">
              <v:fill type="solid"/>
            </v:rect>
            <v:rect style="position:absolute;left:1969;top:192;width:29;height:10" filled="true" fillcolor="#000000" stroked="false">
              <v:fill type="solid"/>
            </v:rect>
            <v:line style="position:absolute" from="1998,178" to="3289,178" stroked="true" strokeweight=".47998pt" strokecolor="#000000">
              <v:stroke dashstyle="solid"/>
            </v:line>
            <v:line style="position:absolute" from="1998,197" to="3289,197" stroked="true" strokeweight=".47998pt" strokecolor="#000000">
              <v:stroke dashstyle="solid"/>
            </v:line>
            <v:rect style="position:absolute;left:3289;top:173;width:29;height:10" filled="true" fillcolor="#000000" stroked="false">
              <v:fill type="solid"/>
            </v:rect>
            <v:rect style="position:absolute;left:3289;top:192;width:29;height:10" filled="true" fillcolor="#000000" stroked="false">
              <v:fill type="solid"/>
            </v:rect>
            <v:line style="position:absolute" from="3318,178" to="10378,178" stroked="true" strokeweight=".47998pt" strokecolor="#000000">
              <v:stroke dashstyle="solid"/>
            </v:line>
            <v:line style="position:absolute" from="3318,197" to="10378,197" stroked="true" strokeweight=".47998pt" strokecolor="#000000">
              <v:stroke dashstyle="solid"/>
            </v:line>
            <w10:wrap type="topAndBottom"/>
          </v:group>
        </w:pict>
      </w:r>
    </w:p>
    <w:p>
      <w:pPr>
        <w:pStyle w:val="BodyText"/>
        <w:spacing w:before="4"/>
        <w:rPr>
          <w:sz w:val="5"/>
        </w:rPr>
      </w:pPr>
    </w:p>
    <w:p>
      <w:pPr>
        <w:spacing w:after="0"/>
        <w:rPr>
          <w:sz w:val="5"/>
        </w:rPr>
        <w:sectPr>
          <w:pgSz w:w="11900" w:h="16840"/>
          <w:pgMar w:header="575" w:footer="0" w:top="800" w:bottom="280" w:left="800" w:right="1420"/>
        </w:sectPr>
      </w:pPr>
    </w:p>
    <w:p>
      <w:pPr>
        <w:pStyle w:val="ListParagraph"/>
        <w:numPr>
          <w:ilvl w:val="1"/>
          <w:numId w:val="8"/>
        </w:numPr>
        <w:tabs>
          <w:tab w:pos="1277" w:val="left" w:leader="none"/>
          <w:tab w:pos="1278" w:val="left" w:leader="none"/>
        </w:tabs>
        <w:spacing w:line="273" w:lineRule="auto" w:before="28" w:after="0"/>
        <w:ind w:left="1277" w:right="0" w:hanging="1056"/>
        <w:jc w:val="left"/>
        <w:rPr>
          <w:sz w:val="21"/>
        </w:rPr>
      </w:pPr>
      <w:r>
        <w:rPr>
          <w:spacing w:val="11"/>
          <w:sz w:val="21"/>
        </w:rPr>
        <w:t>保险费的交</w:t>
      </w:r>
      <w:r>
        <w:rPr>
          <w:sz w:val="21"/>
        </w:rPr>
        <w:t>纳</w:t>
      </w:r>
    </w:p>
    <w:p>
      <w:pPr>
        <w:pStyle w:val="BodyText"/>
        <w:spacing w:line="273" w:lineRule="auto" w:before="28"/>
        <w:ind w:left="163" w:right="140"/>
      </w:pPr>
      <w:r>
        <w:rPr/>
        <w:br w:type="column"/>
      </w:r>
      <w:r>
        <w:rPr/>
        <w:t>本附加合同的保险费仅来自于主合同在终止前所产生的生存保险金，具体以主合同中与本附加合同有关的条款约定为准。</w:t>
      </w:r>
    </w:p>
    <w:p>
      <w:pPr>
        <w:spacing w:after="0" w:line="273" w:lineRule="auto"/>
        <w:sectPr>
          <w:type w:val="continuous"/>
          <w:pgSz w:w="11900" w:h="16840"/>
          <w:pgMar w:top="1100" w:bottom="280" w:left="800" w:right="1420"/>
          <w:cols w:num="2" w:equalWidth="0">
            <w:col w:w="2394" w:space="40"/>
            <w:col w:w="7246"/>
          </w:cols>
        </w:sectPr>
      </w:pPr>
    </w:p>
    <w:p>
      <w:pPr>
        <w:pStyle w:val="BodyText"/>
        <w:spacing w:before="9"/>
      </w:pPr>
    </w:p>
    <w:p>
      <w:pPr>
        <w:pStyle w:val="ListParagraph"/>
        <w:numPr>
          <w:ilvl w:val="1"/>
          <w:numId w:val="8"/>
        </w:numPr>
        <w:tabs>
          <w:tab w:pos="1277" w:val="left" w:leader="none"/>
          <w:tab w:pos="1278" w:val="left" w:leader="none"/>
          <w:tab w:pos="2597" w:val="left" w:leader="none"/>
        </w:tabs>
        <w:spacing w:line="273" w:lineRule="auto" w:before="36" w:after="0"/>
        <w:ind w:left="2597" w:right="208" w:hanging="2376"/>
        <w:jc w:val="left"/>
        <w:rPr>
          <w:sz w:val="21"/>
        </w:rPr>
      </w:pPr>
      <w:r>
        <w:rPr>
          <w:sz w:val="21"/>
        </w:rPr>
        <w:t>宽限期</w:t>
        <w:tab/>
        <w:t>如果在保证续保期间内我们同意您续保</w:t>
      </w:r>
      <w:r>
        <w:rPr>
          <w:spacing w:val="-58"/>
          <w:sz w:val="21"/>
        </w:rPr>
        <w:t>，</w:t>
      </w:r>
      <w:r>
        <w:rPr>
          <w:sz w:val="21"/>
        </w:rPr>
        <w:t>那么自保险期间届满日的次日零时起</w:t>
      </w:r>
      <w:r>
        <w:rPr>
          <w:spacing w:val="-55"/>
          <w:sz w:val="21"/>
        </w:rPr>
        <w:t> </w:t>
      </w:r>
      <w:r>
        <w:rPr>
          <w:sz w:val="21"/>
        </w:rPr>
        <w:t>60</w:t>
      </w:r>
      <w:r>
        <w:rPr>
          <w:spacing w:val="-54"/>
          <w:sz w:val="21"/>
        </w:rPr>
        <w:t> </w:t>
      </w:r>
      <w:r>
        <w:rPr>
          <w:sz w:val="21"/>
        </w:rPr>
        <w:t>天为宽限期。</w:t>
      </w:r>
    </w:p>
    <w:p>
      <w:pPr>
        <w:pStyle w:val="BodyText"/>
        <w:spacing w:line="273" w:lineRule="auto" w:before="8"/>
        <w:ind w:left="2597" w:right="140"/>
      </w:pPr>
      <w:r>
        <w:rPr/>
        <w:t>宽限期内发生的保险事故，我们仍会承担保险责任，但在给付保险金时会扣除您欠交的保险费。</w:t>
      </w:r>
    </w:p>
    <w:p>
      <w:pPr>
        <w:pStyle w:val="BodyText"/>
        <w:spacing w:line="273" w:lineRule="auto" w:before="8"/>
        <w:ind w:left="2597" w:right="140"/>
      </w:pPr>
      <w:r>
        <w:rPr/>
        <w:t>如果您宽限期结束之后仍未交纳保险费，则本附加合同自宽限期满的次日零时起效力终止。</w:t>
      </w:r>
    </w:p>
    <w:p>
      <w:pPr>
        <w:pStyle w:val="BodyText"/>
        <w:rPr>
          <w:sz w:val="20"/>
        </w:rPr>
      </w:pPr>
    </w:p>
    <w:p>
      <w:pPr>
        <w:pStyle w:val="BodyText"/>
        <w:spacing w:before="8"/>
        <w:rPr>
          <w:sz w:val="26"/>
        </w:rPr>
      </w:pPr>
    </w:p>
    <w:p>
      <w:pPr>
        <w:pStyle w:val="Heading2"/>
        <w:numPr>
          <w:ilvl w:val="0"/>
          <w:numId w:val="8"/>
        </w:numPr>
        <w:tabs>
          <w:tab w:pos="1277" w:val="left" w:leader="none"/>
          <w:tab w:pos="1278" w:val="left" w:leader="none"/>
        </w:tabs>
        <w:spacing w:line="240" w:lineRule="auto" w:before="0" w:after="0"/>
        <w:ind w:left="1277" w:right="0" w:hanging="1056"/>
        <w:jc w:val="left"/>
      </w:pPr>
      <w:r>
        <w:rPr>
          <w:w w:val="95"/>
        </w:rPr>
        <w:t>合同解除</w:t>
      </w:r>
    </w:p>
    <w:p>
      <w:pPr>
        <w:pStyle w:val="BodyText"/>
        <w:spacing w:before="2"/>
        <w:rPr>
          <w:sz w:val="10"/>
        </w:rPr>
      </w:pPr>
      <w:r>
        <w:rPr/>
        <w:pict>
          <v:group style="position:absolute;margin-left:45.66pt;margin-top:8.640862pt;width:473.25pt;height:1.45pt;mso-position-horizontal-relative:page;mso-position-vertical-relative:paragraph;z-index:1288;mso-wrap-distance-left:0;mso-wrap-distance-right:0" coordorigin="913,173" coordsize="9465,29">
            <v:line style="position:absolute" from="913,178" to="1969,178" stroked="true" strokeweight=".47998pt" strokecolor="#000000">
              <v:stroke dashstyle="solid"/>
            </v:line>
            <v:line style="position:absolute" from="913,197" to="1969,197" stroked="true" strokeweight=".47998pt" strokecolor="#000000">
              <v:stroke dashstyle="solid"/>
            </v:line>
            <v:rect style="position:absolute;left:1969;top:172;width:29;height:10" filled="true" fillcolor="#000000" stroked="false">
              <v:fill type="solid"/>
            </v:rect>
            <v:rect style="position:absolute;left:1969;top:192;width:29;height:10" filled="true" fillcolor="#000000" stroked="false">
              <v:fill type="solid"/>
            </v:rect>
            <v:line style="position:absolute" from="1998,178" to="3289,178" stroked="true" strokeweight=".47998pt" strokecolor="#000000">
              <v:stroke dashstyle="solid"/>
            </v:line>
            <v:line style="position:absolute" from="1998,197" to="3289,197" stroked="true" strokeweight=".47998pt" strokecolor="#000000">
              <v:stroke dashstyle="solid"/>
            </v:line>
            <v:rect style="position:absolute;left:3289;top:172;width:29;height:10" filled="true" fillcolor="#000000" stroked="false">
              <v:fill type="solid"/>
            </v:rect>
            <v:rect style="position:absolute;left:3289;top:192;width:29;height:10" filled="true" fillcolor="#000000" stroked="false">
              <v:fill type="solid"/>
            </v:rect>
            <v:line style="position:absolute" from="3318,178" to="10378,178" stroked="true" strokeweight=".47998pt" strokecolor="#000000">
              <v:stroke dashstyle="solid"/>
            </v:line>
            <v:line style="position:absolute" from="3318,197" to="10378,197" stroked="true" strokeweight=".47998pt" strokecolor="#000000">
              <v:stroke dashstyle="solid"/>
            </v:line>
            <w10:wrap type="topAndBottom"/>
          </v:group>
        </w:pict>
      </w:r>
    </w:p>
    <w:p>
      <w:pPr>
        <w:pStyle w:val="BodyText"/>
        <w:rPr>
          <w:sz w:val="9"/>
        </w:rPr>
      </w:pPr>
    </w:p>
    <w:p>
      <w:pPr>
        <w:spacing w:after="0"/>
        <w:rPr>
          <w:sz w:val="9"/>
        </w:rPr>
        <w:sectPr>
          <w:type w:val="continuous"/>
          <w:pgSz w:w="11900" w:h="16840"/>
          <w:pgMar w:top="1100" w:bottom="280" w:left="800" w:right="1420"/>
        </w:sectPr>
      </w:pPr>
    </w:p>
    <w:p>
      <w:pPr>
        <w:pStyle w:val="ListParagraph"/>
        <w:numPr>
          <w:ilvl w:val="1"/>
          <w:numId w:val="8"/>
        </w:numPr>
        <w:tabs>
          <w:tab w:pos="1278" w:val="left" w:leader="none"/>
        </w:tabs>
        <w:spacing w:line="273" w:lineRule="auto" w:before="36" w:after="0"/>
        <w:ind w:left="1277" w:right="0" w:hanging="1056"/>
        <w:jc w:val="both"/>
        <w:rPr>
          <w:sz w:val="21"/>
        </w:rPr>
      </w:pPr>
      <w:r>
        <w:rPr>
          <w:spacing w:val="11"/>
          <w:sz w:val="21"/>
        </w:rPr>
        <w:t>犹豫期后解除合同（退保）的手续</w:t>
      </w:r>
      <w:r>
        <w:rPr>
          <w:sz w:val="21"/>
        </w:rPr>
        <w:t>及风险</w:t>
      </w:r>
    </w:p>
    <w:p>
      <w:pPr>
        <w:pStyle w:val="BodyText"/>
        <w:spacing w:line="273" w:lineRule="auto" w:before="36"/>
        <w:ind w:left="163" w:right="208"/>
      </w:pPr>
      <w:r>
        <w:rPr/>
        <w:br w:type="column"/>
      </w:r>
      <w:r>
        <w:rPr/>
        <w:t>如您在犹豫期后合并主合同申请解除本附加合同</w:t>
      </w:r>
      <w:r>
        <w:rPr>
          <w:spacing w:val="0"/>
        </w:rPr>
        <w:t>（简称退保</w:t>
      </w:r>
      <w:r>
        <w:rPr>
          <w:spacing w:val="-104"/>
        </w:rPr>
        <w:t>）</w:t>
      </w:r>
      <w:r>
        <w:rPr/>
        <w:t>，请填写解除合同申请书并向我们提供下列资料：</w:t>
      </w:r>
    </w:p>
    <w:p>
      <w:pPr>
        <w:pStyle w:val="BodyText"/>
        <w:spacing w:before="7"/>
        <w:ind w:left="163"/>
      </w:pPr>
      <w:r>
        <w:rPr/>
        <w:t>（1）保险合同；</w:t>
      </w:r>
    </w:p>
    <w:p>
      <w:pPr>
        <w:pStyle w:val="BodyText"/>
        <w:spacing w:before="36"/>
        <w:ind w:left="163"/>
      </w:pPr>
      <w:r>
        <w:rPr/>
        <w:t>（2）您的有效身份证件。</w:t>
      </w:r>
    </w:p>
    <w:p>
      <w:pPr>
        <w:pStyle w:val="BodyText"/>
        <w:spacing w:line="273" w:lineRule="auto" w:before="36"/>
        <w:ind w:left="163" w:right="207"/>
        <w:jc w:val="both"/>
      </w:pPr>
      <w:r>
        <w:rPr>
          <w:spacing w:val="-4"/>
        </w:rPr>
        <w:t>自我们收到解除合同申请书时起，本附加合同效力终止。我们自收到解除合</w:t>
      </w:r>
      <w:r>
        <w:rPr>
          <w:spacing w:val="-8"/>
        </w:rPr>
        <w:t>同申请书之日起 </w:t>
      </w:r>
      <w:r>
        <w:rPr/>
        <w:t>30</w:t>
      </w:r>
      <w:r>
        <w:rPr>
          <w:spacing w:val="-6"/>
        </w:rPr>
        <w:t> 日内向您按比例退还本附加合同已交的该保险期间对应的保险费。</w:t>
      </w:r>
    </w:p>
    <w:p>
      <w:pPr>
        <w:pStyle w:val="BodyText"/>
        <w:spacing w:before="7"/>
        <w:ind w:left="163"/>
        <w:jc w:val="both"/>
      </w:pPr>
      <w:r>
        <w:rPr/>
        <w:t>您犹豫期后解除合同会遭受一定损失。</w:t>
      </w:r>
    </w:p>
    <w:p>
      <w:pPr>
        <w:spacing w:after="0"/>
        <w:jc w:val="both"/>
        <w:sectPr>
          <w:type w:val="continuous"/>
          <w:pgSz w:w="11900" w:h="16840"/>
          <w:pgMar w:top="1100" w:bottom="280" w:left="800" w:right="1420"/>
          <w:cols w:num="2" w:equalWidth="0">
            <w:col w:w="2394" w:space="40"/>
            <w:col w:w="7246"/>
          </w:cols>
        </w:sectPr>
      </w:pPr>
    </w:p>
    <w:p>
      <w:pPr>
        <w:pStyle w:val="BodyText"/>
        <w:rPr>
          <w:sz w:val="20"/>
        </w:rPr>
      </w:pPr>
    </w:p>
    <w:p>
      <w:pPr>
        <w:pStyle w:val="Heading2"/>
        <w:numPr>
          <w:ilvl w:val="0"/>
          <w:numId w:val="8"/>
        </w:numPr>
        <w:tabs>
          <w:tab w:pos="1277" w:val="left" w:leader="none"/>
          <w:tab w:pos="1278" w:val="left" w:leader="none"/>
        </w:tabs>
        <w:spacing w:line="240" w:lineRule="auto" w:before="150" w:after="0"/>
        <w:ind w:left="1277" w:right="0" w:hanging="1056"/>
        <w:jc w:val="left"/>
      </w:pPr>
      <w:r>
        <w:rPr>
          <w:w w:val="95"/>
        </w:rPr>
        <w:t>如实告知</w:t>
      </w:r>
    </w:p>
    <w:p>
      <w:pPr>
        <w:pStyle w:val="BodyText"/>
        <w:spacing w:before="2"/>
        <w:rPr>
          <w:sz w:val="10"/>
        </w:rPr>
      </w:pPr>
      <w:r>
        <w:rPr/>
        <w:pict>
          <v:group style="position:absolute;margin-left:45.66pt;margin-top:8.612129pt;width:473.25pt;height:1.45pt;mso-position-horizontal-relative:page;mso-position-vertical-relative:paragraph;z-index:1312;mso-wrap-distance-left:0;mso-wrap-distance-right:0" coordorigin="913,172" coordsize="9465,29">
            <v:line style="position:absolute" from="913,177" to="1969,177" stroked="true" strokeweight=".47998pt" strokecolor="#000000">
              <v:stroke dashstyle="solid"/>
            </v:line>
            <v:line style="position:absolute" from="913,196" to="1969,196" stroked="true" strokeweight=".48004pt" strokecolor="#000000">
              <v:stroke dashstyle="solid"/>
            </v:line>
            <v:rect style="position:absolute;left:1969;top:172;width:29;height:10" filled="true" fillcolor="#000000" stroked="false">
              <v:fill type="solid"/>
            </v:rect>
            <v:rect style="position:absolute;left:1969;top:191;width:29;height:10" filled="true" fillcolor="#000000" stroked="false">
              <v:fill type="solid"/>
            </v:rect>
            <v:line style="position:absolute" from="1998,177" to="3289,177" stroked="true" strokeweight=".47998pt" strokecolor="#000000">
              <v:stroke dashstyle="solid"/>
            </v:line>
            <v:line style="position:absolute" from="1998,196" to="3289,196" stroked="true" strokeweight=".48004pt" strokecolor="#000000">
              <v:stroke dashstyle="solid"/>
            </v:line>
            <v:rect style="position:absolute;left:3289;top:172;width:29;height:10" filled="true" fillcolor="#000000" stroked="false">
              <v:fill type="solid"/>
            </v:rect>
            <v:rect style="position:absolute;left:3289;top:191;width:29;height:10" filled="true" fillcolor="#000000" stroked="false">
              <v:fill type="solid"/>
            </v:rect>
            <v:line style="position:absolute" from="3318,177" to="10378,177" stroked="true" strokeweight=".47998pt" strokecolor="#000000">
              <v:stroke dashstyle="solid"/>
            </v:line>
            <v:line style="position:absolute" from="3318,196" to="10378,196" stroked="true" strokeweight=".48004pt" strokecolor="#000000">
              <v:stroke dashstyle="solid"/>
            </v:line>
            <w10:wrap type="topAndBottom"/>
          </v:group>
        </w:pict>
      </w:r>
    </w:p>
    <w:p>
      <w:pPr>
        <w:pStyle w:val="BodyText"/>
        <w:spacing w:before="12"/>
        <w:rPr>
          <w:sz w:val="5"/>
        </w:rPr>
      </w:pPr>
    </w:p>
    <w:p>
      <w:pPr>
        <w:spacing w:after="0"/>
        <w:rPr>
          <w:sz w:val="5"/>
        </w:rPr>
        <w:sectPr>
          <w:type w:val="continuous"/>
          <w:pgSz w:w="11900" w:h="16840"/>
          <w:pgMar w:top="1100" w:bottom="280" w:left="800" w:right="1420"/>
        </w:sectPr>
      </w:pPr>
    </w:p>
    <w:p>
      <w:pPr>
        <w:pStyle w:val="ListParagraph"/>
        <w:numPr>
          <w:ilvl w:val="1"/>
          <w:numId w:val="8"/>
        </w:numPr>
        <w:tabs>
          <w:tab w:pos="1277" w:val="left" w:leader="none"/>
          <w:tab w:pos="1278" w:val="left" w:leader="none"/>
        </w:tabs>
        <w:spacing w:line="273" w:lineRule="auto" w:before="35" w:after="0"/>
        <w:ind w:left="1277" w:right="0" w:hanging="1056"/>
        <w:jc w:val="left"/>
        <w:rPr>
          <w:sz w:val="21"/>
        </w:rPr>
      </w:pPr>
      <w:r>
        <w:rPr>
          <w:spacing w:val="11"/>
          <w:sz w:val="21"/>
        </w:rPr>
        <w:t>明确说明与</w:t>
      </w:r>
      <w:r>
        <w:rPr>
          <w:sz w:val="21"/>
        </w:rPr>
        <w:t>如实告知</w:t>
      </w:r>
    </w:p>
    <w:p>
      <w:pPr>
        <w:pStyle w:val="BodyText"/>
        <w:spacing w:before="35"/>
        <w:ind w:left="163"/>
      </w:pPr>
      <w:r>
        <w:rPr/>
        <w:br w:type="column"/>
      </w:r>
      <w:r>
        <w:rPr/>
        <w:t>订立本附加合同时，我们会向您说明本附加合同的内容。</w:t>
      </w:r>
    </w:p>
    <w:p>
      <w:pPr>
        <w:pStyle w:val="BodyText"/>
        <w:spacing w:line="273" w:lineRule="auto" w:before="36"/>
        <w:ind w:left="163" w:right="208"/>
        <w:jc w:val="both"/>
      </w:pPr>
      <w:r>
        <w:rPr>
          <w:spacing w:val="-3"/>
        </w:rPr>
        <w:t>对保险条款中免除我们责任的条款，我们在订立合同时会在投保单、保险单</w:t>
      </w:r>
      <w:r>
        <w:rPr>
          <w:spacing w:val="-6"/>
        </w:rPr>
        <w:t>或者其他保险凭证上作出足以引起您注意的提示，并对该条款的内容以书面</w:t>
      </w:r>
      <w:r>
        <w:rPr>
          <w:spacing w:val="-9"/>
        </w:rPr>
        <w:t>或者口头形式向您作出明确说明，未作提示或者明确说明的，该条款不产生效力。</w:t>
      </w:r>
    </w:p>
    <w:p>
      <w:pPr>
        <w:pStyle w:val="BodyText"/>
        <w:spacing w:before="7"/>
        <w:ind w:left="163"/>
      </w:pPr>
      <w:r>
        <w:rPr/>
        <w:t>我们就您和被保险人的有关情况提出询问，您应当如实告知。</w:t>
      </w:r>
    </w:p>
    <w:p>
      <w:pPr>
        <w:pStyle w:val="BodyText"/>
        <w:spacing w:line="273" w:lineRule="auto" w:before="37"/>
        <w:ind w:left="163" w:right="140"/>
      </w:pPr>
      <w:r>
        <w:rPr/>
        <w:t>如果您故意或者因重大过失未履行前款规定的如实告知义务，足以影响我们决定是否同意承保或者提高保险费率的，我们有权解除本附加合同。</w:t>
      </w:r>
    </w:p>
    <w:p>
      <w:pPr>
        <w:pStyle w:val="BodyText"/>
        <w:spacing w:line="273" w:lineRule="auto" w:before="8"/>
        <w:ind w:left="163" w:right="150"/>
      </w:pPr>
      <w:r>
        <w:rPr/>
        <w:t>如果您故意不履行如实告知义务，对于本附加合同解除前发生的保险事故， 我们不承担给付保险金的责任，并不退还保险费。</w:t>
      </w:r>
    </w:p>
    <w:p>
      <w:pPr>
        <w:pStyle w:val="BodyText"/>
        <w:spacing w:line="273" w:lineRule="auto" w:before="8"/>
        <w:ind w:left="163" w:right="150"/>
      </w:pPr>
      <w:r>
        <w:rPr/>
        <w:t>如果您因重大过失未履行如实告知义务，对保险事故的发生有严重影响的， 对于本附加合同解除前发生的保险事故，我们不承担给付保险金的责任，但</w:t>
      </w:r>
    </w:p>
    <w:p>
      <w:pPr>
        <w:spacing w:after="0" w:line="273" w:lineRule="auto"/>
        <w:sectPr>
          <w:type w:val="continuous"/>
          <w:pgSz w:w="11900" w:h="16840"/>
          <w:pgMar w:top="1100" w:bottom="280" w:left="800" w:right="1420"/>
          <w:cols w:num="2" w:equalWidth="0">
            <w:col w:w="2394" w:space="40"/>
            <w:col w:w="7246"/>
          </w:cols>
        </w:sectPr>
      </w:pPr>
    </w:p>
    <w:p>
      <w:pPr>
        <w:pStyle w:val="BodyText"/>
        <w:spacing w:before="1"/>
      </w:pPr>
    </w:p>
    <w:p>
      <w:pPr>
        <w:pStyle w:val="BodyText"/>
        <w:spacing w:before="36"/>
        <w:ind w:left="2597"/>
      </w:pPr>
      <w:r>
        <w:rPr/>
        <w:t>应当退还保险费。</w:t>
      </w:r>
    </w:p>
    <w:p>
      <w:pPr>
        <w:pStyle w:val="BodyText"/>
        <w:spacing w:line="273" w:lineRule="auto" w:before="37"/>
        <w:ind w:left="2597" w:right="140"/>
      </w:pPr>
      <w:r>
        <w:rPr/>
        <w:t>我们在合同订立时已经知道您未如实告知的情况的，我们不得解除合同；发生保险事故的，我们承担给付保险金的责任。</w:t>
      </w:r>
    </w:p>
    <w:p>
      <w:pPr>
        <w:pStyle w:val="BodyText"/>
        <w:spacing w:before="1"/>
        <w:rPr>
          <w:sz w:val="12"/>
        </w:rPr>
      </w:pPr>
    </w:p>
    <w:p>
      <w:pPr>
        <w:spacing w:after="0"/>
        <w:rPr>
          <w:sz w:val="12"/>
        </w:rPr>
        <w:sectPr>
          <w:pgSz w:w="11900" w:h="16840"/>
          <w:pgMar w:header="575" w:footer="0" w:top="800" w:bottom="280" w:left="800" w:right="1420"/>
        </w:sectPr>
      </w:pPr>
    </w:p>
    <w:p>
      <w:pPr>
        <w:pStyle w:val="ListParagraph"/>
        <w:numPr>
          <w:ilvl w:val="1"/>
          <w:numId w:val="8"/>
        </w:numPr>
        <w:tabs>
          <w:tab w:pos="1278" w:val="left" w:leader="none"/>
        </w:tabs>
        <w:spacing w:line="273" w:lineRule="auto" w:before="35" w:after="0"/>
        <w:ind w:left="1277" w:right="0" w:hanging="1056"/>
        <w:jc w:val="both"/>
        <w:rPr>
          <w:sz w:val="21"/>
        </w:rPr>
      </w:pPr>
      <w:r>
        <w:rPr>
          <w:spacing w:val="11"/>
          <w:sz w:val="21"/>
        </w:rPr>
        <w:t>本公司合同解除权的限</w:t>
      </w:r>
      <w:r>
        <w:rPr>
          <w:sz w:val="21"/>
        </w:rPr>
        <w:t>制</w:t>
      </w:r>
    </w:p>
    <w:p>
      <w:pPr>
        <w:pStyle w:val="BodyText"/>
        <w:spacing w:before="35"/>
        <w:ind w:left="163"/>
      </w:pPr>
      <w:r>
        <w:rPr/>
        <w:br w:type="column"/>
      </w:r>
      <w:r>
        <w:rPr/>
        <w:t>前条规定的合同解除权，自我们知道有解除事由之日起，超过 30 日不行使</w:t>
      </w:r>
    </w:p>
    <w:p>
      <w:pPr>
        <w:pStyle w:val="BodyText"/>
        <w:spacing w:line="273" w:lineRule="auto" w:before="36"/>
        <w:ind w:left="163" w:right="208"/>
      </w:pPr>
      <w:r>
        <w:rPr>
          <w:spacing w:val="-7"/>
        </w:rPr>
        <w:t>而消灭。自本附加合同首次生效之日起超过 </w:t>
      </w:r>
      <w:r>
        <w:rPr/>
        <w:t>2</w:t>
      </w:r>
      <w:r>
        <w:rPr>
          <w:spacing w:val="-10"/>
        </w:rPr>
        <w:t> 年的，我们不得解除合同；发生保险事故的，我们承担给付保险金的责任。</w:t>
      </w:r>
    </w:p>
    <w:p>
      <w:pPr>
        <w:spacing w:after="0" w:line="273" w:lineRule="auto"/>
        <w:sectPr>
          <w:type w:val="continuous"/>
          <w:pgSz w:w="11900" w:h="16840"/>
          <w:pgMar w:top="1100" w:bottom="280" w:left="800" w:right="1420"/>
          <w:cols w:num="2" w:equalWidth="0">
            <w:col w:w="2394" w:space="40"/>
            <w:col w:w="7246"/>
          </w:cols>
        </w:sectPr>
      </w:pPr>
    </w:p>
    <w:p>
      <w:pPr>
        <w:pStyle w:val="BodyText"/>
        <w:rPr>
          <w:sz w:val="20"/>
        </w:rPr>
      </w:pPr>
    </w:p>
    <w:p>
      <w:pPr>
        <w:pStyle w:val="BodyText"/>
        <w:spacing w:before="10"/>
      </w:pPr>
    </w:p>
    <w:p>
      <w:pPr>
        <w:pStyle w:val="Heading2"/>
        <w:numPr>
          <w:ilvl w:val="0"/>
          <w:numId w:val="8"/>
        </w:numPr>
        <w:tabs>
          <w:tab w:pos="1277" w:val="left" w:leader="none"/>
          <w:tab w:pos="1278" w:val="left" w:leader="none"/>
        </w:tabs>
        <w:spacing w:line="240" w:lineRule="auto" w:before="13" w:after="0"/>
        <w:ind w:left="1277" w:right="0" w:hanging="1056"/>
        <w:jc w:val="left"/>
      </w:pPr>
      <w:r>
        <w:rPr/>
        <w:t>其他需要关注的事项</w:t>
      </w:r>
    </w:p>
    <w:p>
      <w:pPr>
        <w:pStyle w:val="BodyText"/>
        <w:spacing w:before="2"/>
        <w:rPr>
          <w:sz w:val="13"/>
        </w:rPr>
      </w:pPr>
    </w:p>
    <w:p>
      <w:pPr>
        <w:spacing w:line="29" w:lineRule="exact"/>
        <w:ind w:left="108" w:right="0" w:firstLine="0"/>
        <w:rPr>
          <w:sz w:val="2"/>
        </w:rPr>
      </w:pPr>
      <w:r>
        <w:rPr>
          <w:rFonts w:ascii="Times New Roman"/>
          <w:sz w:val="2"/>
        </w:rPr>
        <w:t> </w:t>
      </w:r>
      <w:r>
        <w:rPr>
          <w:position w:val="0"/>
          <w:sz w:val="2"/>
        </w:rPr>
        <w:pict>
          <v:group style="width:473.25pt;height:1.45pt;mso-position-horizontal-relative:char;mso-position-vertical-relative:line" coordorigin="0,0" coordsize="9465,29">
            <v:line style="position:absolute" from="0,5" to="1056,5" stroked="true" strokeweight=".48004pt" strokecolor="#000000">
              <v:stroke dashstyle="solid"/>
            </v:line>
            <v:line style="position:absolute" from="0,24" to="1056,24" stroked="true" strokeweight=".47998pt" strokecolor="#000000">
              <v:stroke dashstyle="solid"/>
            </v:line>
            <v:rect style="position:absolute;left:1056;top:0;width:29;height:10" filled="true" fillcolor="#000000" stroked="false">
              <v:fill type="solid"/>
            </v:rect>
            <v:rect style="position:absolute;left:1056;top:19;width:29;height:10" filled="true" fillcolor="#000000" stroked="false">
              <v:fill type="solid"/>
            </v:rect>
            <v:line style="position:absolute" from="1085,5" to="2376,5" stroked="true" strokeweight=".48004pt" strokecolor="#000000">
              <v:stroke dashstyle="solid"/>
            </v:line>
            <v:line style="position:absolute" from="1085,24" to="2376,24" stroked="true" strokeweight=".47998pt" strokecolor="#000000">
              <v:stroke dashstyle="solid"/>
            </v:line>
            <v:rect style="position:absolute;left:2376;top:0;width:29;height:10" filled="true" fillcolor="#000000" stroked="false">
              <v:fill type="solid"/>
            </v:rect>
            <v:rect style="position:absolute;left:2376;top:19;width:29;height:10" filled="true" fillcolor="#000000" stroked="false">
              <v:fill type="solid"/>
            </v:rect>
            <v:line style="position:absolute" from="2405,5" to="9464,5" stroked="true" strokeweight=".48004pt" strokecolor="#000000">
              <v:stroke dashstyle="solid"/>
            </v:line>
            <v:line style="position:absolute" from="2405,24" to="9464,24" stroked="true" strokeweight=".47998pt" strokecolor="#000000">
              <v:stroke dashstyle="solid"/>
            </v:line>
          </v:group>
        </w:pict>
      </w:r>
      <w:r>
        <w:rPr>
          <w:position w:val="0"/>
          <w:sz w:val="2"/>
        </w:rPr>
      </w:r>
    </w:p>
    <w:p>
      <w:pPr>
        <w:spacing w:after="0" w:line="29" w:lineRule="exact"/>
        <w:rPr>
          <w:sz w:val="2"/>
        </w:rPr>
        <w:sectPr>
          <w:type w:val="continuous"/>
          <w:pgSz w:w="11900" w:h="16840"/>
          <w:pgMar w:top="1100" w:bottom="280" w:left="800" w:right="1420"/>
        </w:sectPr>
      </w:pPr>
    </w:p>
    <w:p>
      <w:pPr>
        <w:pStyle w:val="ListParagraph"/>
        <w:numPr>
          <w:ilvl w:val="1"/>
          <w:numId w:val="8"/>
        </w:numPr>
        <w:tabs>
          <w:tab w:pos="1277" w:val="left" w:leader="none"/>
          <w:tab w:pos="1278" w:val="left" w:leader="none"/>
        </w:tabs>
        <w:spacing w:line="261" w:lineRule="exact" w:before="0" w:after="0"/>
        <w:ind w:left="1277" w:right="0" w:hanging="1056"/>
        <w:jc w:val="left"/>
        <w:rPr>
          <w:sz w:val="21"/>
        </w:rPr>
      </w:pPr>
      <w:r>
        <w:rPr>
          <w:spacing w:val="11"/>
          <w:sz w:val="21"/>
        </w:rPr>
        <w:t>年龄性别错</w:t>
      </w:r>
    </w:p>
    <w:p>
      <w:pPr>
        <w:pStyle w:val="BodyText"/>
        <w:spacing w:before="37"/>
        <w:ind w:left="1277"/>
      </w:pPr>
      <w:r>
        <w:rPr/>
        <w:t>误处理</w:t>
      </w:r>
    </w:p>
    <w:p>
      <w:pPr>
        <w:pStyle w:val="BodyText"/>
        <w:spacing w:line="261" w:lineRule="exact"/>
        <w:ind w:left="166"/>
      </w:pPr>
      <w:r>
        <w:rPr/>
        <w:br w:type="column"/>
      </w:r>
      <w:r>
        <w:rPr/>
        <w:t>被保险人的年龄以周岁计算，您在申请投保时，应将与有效身份证件相符的</w:t>
      </w:r>
    </w:p>
    <w:p>
      <w:pPr>
        <w:pStyle w:val="BodyText"/>
        <w:spacing w:line="273" w:lineRule="auto" w:before="37"/>
        <w:ind w:left="163" w:right="140"/>
      </w:pPr>
      <w:r>
        <w:rPr/>
        <w:t>被保险人的出生日期和真实性别在投保单上填明，如果发生错误按照下列方式办理：</w:t>
      </w:r>
    </w:p>
    <w:p>
      <w:pPr>
        <w:pStyle w:val="BodyText"/>
        <w:spacing w:line="268" w:lineRule="auto" w:before="7"/>
        <w:ind w:left="690" w:right="204" w:hanging="525"/>
        <w:jc w:val="both"/>
      </w:pPr>
      <w:r>
        <w:rPr/>
        <w:t>（1）您申报的被保险人年龄不真实，并且真实年龄不符合本附加合同约定投保年龄限制的，我们有权解除合同，并向您按比例退还本附加合同已交的该保险期间对应的保险费。我们行使合同解除权适用 </w:t>
      </w:r>
      <w:r>
        <w:rPr>
          <w:i/>
          <w:sz w:val="22"/>
        </w:rPr>
        <w:t>7.2</w:t>
      </w:r>
      <w:r>
        <w:rPr/>
        <w:t>“本公司合同解除权的限制”的规定。</w:t>
      </w:r>
    </w:p>
    <w:p>
      <w:pPr>
        <w:pStyle w:val="BodyText"/>
        <w:spacing w:line="273" w:lineRule="auto" w:before="11"/>
        <w:ind w:left="682" w:right="259" w:hanging="522"/>
        <w:jc w:val="both"/>
      </w:pPr>
      <w:r>
        <w:rPr/>
        <w:t>（2）</w:t>
      </w:r>
      <w:r>
        <w:rPr>
          <w:shd w:fill="D8D8D8" w:color="auto" w:val="clear"/>
        </w:rPr>
        <w:t>您申报的被保险人年龄不真实，致使根据真实年龄计算的轻症重疾保险金和重大疾病保险金少于我们实际已给付的轻症重疾保险金和重大</w:t>
      </w:r>
      <w:r>
        <w:rPr>
          <w:spacing w:val="-210"/>
          <w:shd w:fill="D8D8D8" w:color="auto" w:val="clear"/>
        </w:rPr>
        <w:t>疾</w:t>
      </w:r>
      <w:r>
        <w:rPr>
          <w:shd w:fill="D8D8D8" w:color="auto" w:val="clear"/>
        </w:rPr>
        <w:t>病保险金的，我们有权更正并要求受益人退还实际已给付的轻症重疾保险金和重大疾病保险金超过根据被保险人真实年龄计算的轻症重疾保险金和重大疾病保险金的差额部分。</w:t>
      </w:r>
    </w:p>
    <w:p>
      <w:pPr>
        <w:pStyle w:val="BodyText"/>
        <w:spacing w:line="273" w:lineRule="auto" w:before="7"/>
        <w:ind w:left="682" w:right="259" w:hanging="522"/>
        <w:jc w:val="both"/>
      </w:pPr>
      <w:r>
        <w:rPr/>
        <w:t>（3）您申报的被保险人年龄不真实，致使根据真实年龄计算的轻症重疾保险金和重大疾病保险金多于我们实际已给付的轻症重疾保险金和重大疾病保险金的，我们应当向受益人无息返还根据被保险人真实年龄计算的轻症重疾保险金和重大疾病保险金超过实际已给付的轻症重疾保</w:t>
      </w:r>
    </w:p>
    <w:p>
      <w:pPr>
        <w:spacing w:after="0" w:line="273" w:lineRule="auto"/>
        <w:jc w:val="both"/>
        <w:sectPr>
          <w:type w:val="continuous"/>
          <w:pgSz w:w="11900" w:h="16840"/>
          <w:pgMar w:top="1100" w:bottom="280" w:left="800" w:right="1420"/>
          <w:cols w:num="2" w:equalWidth="0">
            <w:col w:w="2394" w:space="40"/>
            <w:col w:w="7246"/>
          </w:cols>
        </w:sectPr>
      </w:pPr>
    </w:p>
    <w:p>
      <w:pPr>
        <w:pStyle w:val="BodyText"/>
        <w:spacing w:before="6"/>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457" w:hRule="atLeast"/>
        </w:trPr>
        <w:tc>
          <w:tcPr>
            <w:tcW w:w="2383" w:type="dxa"/>
            <w:gridSpan w:val="2"/>
          </w:tcPr>
          <w:p>
            <w:pPr>
              <w:pStyle w:val="TableParagraph"/>
              <w:rPr>
                <w:rFonts w:ascii="Times New Roman"/>
                <w:sz w:val="20"/>
              </w:rPr>
            </w:pPr>
          </w:p>
        </w:tc>
        <w:tc>
          <w:tcPr>
            <w:tcW w:w="7083" w:type="dxa"/>
          </w:tcPr>
          <w:p>
            <w:pPr>
              <w:pStyle w:val="TableParagraph"/>
              <w:spacing w:line="210" w:lineRule="exact"/>
              <w:ind w:left="619"/>
              <w:rPr>
                <w:sz w:val="21"/>
              </w:rPr>
            </w:pPr>
            <w:r>
              <w:rPr>
                <w:sz w:val="21"/>
              </w:rPr>
              <w:t>险金和重大疾病保险金的差额部分。</w:t>
            </w:r>
          </w:p>
        </w:tc>
      </w:tr>
      <w:tr>
        <w:trPr>
          <w:trHeight w:val="1557" w:hRule="atLeast"/>
        </w:trPr>
        <w:tc>
          <w:tcPr>
            <w:tcW w:w="795" w:type="dxa"/>
          </w:tcPr>
          <w:p>
            <w:pPr>
              <w:pStyle w:val="TableParagraph"/>
              <w:spacing w:before="12"/>
              <w:rPr>
                <w:sz w:val="13"/>
              </w:rPr>
            </w:pPr>
          </w:p>
          <w:p>
            <w:pPr>
              <w:pStyle w:val="TableParagraph"/>
              <w:ind w:left="108"/>
              <w:rPr>
                <w:sz w:val="21"/>
              </w:rPr>
            </w:pPr>
            <w:r>
              <w:rPr>
                <w:sz w:val="21"/>
              </w:rPr>
              <w:t>8.2</w:t>
            </w:r>
          </w:p>
        </w:tc>
        <w:tc>
          <w:tcPr>
            <w:tcW w:w="1588" w:type="dxa"/>
          </w:tcPr>
          <w:p>
            <w:pPr>
              <w:pStyle w:val="TableParagraph"/>
              <w:spacing w:before="12"/>
              <w:rPr>
                <w:sz w:val="13"/>
              </w:rPr>
            </w:pPr>
          </w:p>
          <w:p>
            <w:pPr>
              <w:pStyle w:val="TableParagraph"/>
              <w:spacing w:line="273" w:lineRule="auto"/>
              <w:ind w:left="369" w:right="100"/>
              <w:rPr>
                <w:sz w:val="21"/>
              </w:rPr>
            </w:pPr>
            <w:r>
              <w:rPr>
                <w:sz w:val="21"/>
              </w:rPr>
              <w:t>合同效力终止</w:t>
            </w:r>
          </w:p>
        </w:tc>
        <w:tc>
          <w:tcPr>
            <w:tcW w:w="7083" w:type="dxa"/>
          </w:tcPr>
          <w:p>
            <w:pPr>
              <w:pStyle w:val="TableParagraph"/>
              <w:spacing w:before="12"/>
              <w:rPr>
                <w:sz w:val="13"/>
              </w:rPr>
            </w:pPr>
          </w:p>
          <w:p>
            <w:pPr>
              <w:pStyle w:val="TableParagraph"/>
              <w:ind w:left="101"/>
              <w:rPr>
                <w:sz w:val="21"/>
              </w:rPr>
            </w:pPr>
            <w:r>
              <w:rPr>
                <w:sz w:val="21"/>
              </w:rPr>
              <w:t>当发生下列情形之一时，本附加合同效力终止：</w:t>
            </w:r>
          </w:p>
          <w:p>
            <w:pPr>
              <w:pStyle w:val="TableParagraph"/>
              <w:spacing w:before="37"/>
              <w:ind w:left="101"/>
              <w:rPr>
                <w:sz w:val="21"/>
              </w:rPr>
            </w:pPr>
            <w:r>
              <w:rPr>
                <w:sz w:val="21"/>
              </w:rPr>
              <w:t>（1）主合同效力终止；</w:t>
            </w:r>
          </w:p>
          <w:p>
            <w:pPr>
              <w:pStyle w:val="TableParagraph"/>
              <w:spacing w:before="37"/>
              <w:ind w:left="101"/>
              <w:rPr>
                <w:sz w:val="21"/>
              </w:rPr>
            </w:pPr>
            <w:r>
              <w:rPr>
                <w:sz w:val="21"/>
              </w:rPr>
              <w:t>（2）您申请解除本附加合同；</w:t>
            </w:r>
          </w:p>
          <w:p>
            <w:pPr>
              <w:pStyle w:val="TableParagraph"/>
              <w:spacing w:before="37"/>
              <w:ind w:left="101"/>
              <w:rPr>
                <w:sz w:val="21"/>
              </w:rPr>
            </w:pPr>
            <w:r>
              <w:rPr>
                <w:sz w:val="21"/>
              </w:rPr>
              <w:t>（3）因主合同条款或本附加合同其他条款所列情况而效力终止。</w:t>
            </w:r>
          </w:p>
        </w:tc>
      </w:tr>
      <w:tr>
        <w:trPr>
          <w:trHeight w:val="1955" w:hRule="atLeast"/>
        </w:trPr>
        <w:tc>
          <w:tcPr>
            <w:tcW w:w="795" w:type="dxa"/>
          </w:tcPr>
          <w:p>
            <w:pPr>
              <w:pStyle w:val="TableParagraph"/>
              <w:spacing w:before="99"/>
              <w:ind w:left="107"/>
              <w:rPr>
                <w:sz w:val="21"/>
              </w:rPr>
            </w:pPr>
            <w:r>
              <w:rPr>
                <w:sz w:val="21"/>
              </w:rPr>
              <w:t>8.3</w:t>
            </w:r>
          </w:p>
        </w:tc>
        <w:tc>
          <w:tcPr>
            <w:tcW w:w="1588" w:type="dxa"/>
          </w:tcPr>
          <w:p>
            <w:pPr>
              <w:pStyle w:val="TableParagraph"/>
              <w:spacing w:line="273" w:lineRule="auto" w:before="99"/>
              <w:ind w:left="369" w:right="100"/>
              <w:rPr>
                <w:sz w:val="21"/>
              </w:rPr>
            </w:pPr>
            <w:r>
              <w:rPr>
                <w:sz w:val="21"/>
              </w:rPr>
              <w:t>适用主合同条款</w:t>
            </w:r>
          </w:p>
        </w:tc>
        <w:tc>
          <w:tcPr>
            <w:tcW w:w="7083" w:type="dxa"/>
          </w:tcPr>
          <w:p>
            <w:pPr>
              <w:pStyle w:val="TableParagraph"/>
              <w:spacing w:before="99"/>
              <w:ind w:left="101"/>
              <w:rPr>
                <w:sz w:val="21"/>
              </w:rPr>
            </w:pPr>
            <w:r>
              <w:rPr>
                <w:sz w:val="21"/>
              </w:rPr>
              <w:t>下列各项条款，适用主合同条款：</w:t>
            </w:r>
          </w:p>
          <w:p>
            <w:pPr>
              <w:pStyle w:val="TableParagraph"/>
              <w:spacing w:before="36"/>
              <w:ind w:left="101"/>
              <w:rPr>
                <w:sz w:val="21"/>
              </w:rPr>
            </w:pPr>
            <w:r>
              <w:rPr>
                <w:sz w:val="21"/>
              </w:rPr>
              <w:t>（1）欠款扣除；</w:t>
            </w:r>
          </w:p>
          <w:p>
            <w:pPr>
              <w:pStyle w:val="TableParagraph"/>
              <w:spacing w:before="36"/>
              <w:ind w:left="101"/>
              <w:rPr>
                <w:sz w:val="21"/>
              </w:rPr>
            </w:pPr>
            <w:r>
              <w:rPr>
                <w:sz w:val="21"/>
              </w:rPr>
              <w:t>（2）合同内容变更；</w:t>
            </w:r>
          </w:p>
          <w:p>
            <w:pPr>
              <w:pStyle w:val="TableParagraph"/>
              <w:spacing w:before="36"/>
              <w:ind w:left="101"/>
              <w:rPr>
                <w:sz w:val="21"/>
              </w:rPr>
            </w:pPr>
            <w:r>
              <w:rPr>
                <w:sz w:val="21"/>
              </w:rPr>
              <w:t>（3）联系方式变更；</w:t>
            </w:r>
          </w:p>
          <w:p>
            <w:pPr>
              <w:pStyle w:val="TableParagraph"/>
              <w:spacing w:before="36"/>
              <w:ind w:left="101"/>
              <w:rPr>
                <w:sz w:val="21"/>
              </w:rPr>
            </w:pPr>
            <w:r>
              <w:rPr>
                <w:sz w:val="21"/>
              </w:rPr>
              <w:t>（4）争议处理。</w:t>
            </w:r>
          </w:p>
        </w:tc>
      </w:tr>
      <w:tr>
        <w:trPr>
          <w:trHeight w:val="785" w:hRule="atLeast"/>
        </w:trPr>
        <w:tc>
          <w:tcPr>
            <w:tcW w:w="795" w:type="dxa"/>
            <w:tcBorders>
              <w:bottom w:val="double" w:sz="1" w:space="0" w:color="000000"/>
            </w:tcBorders>
          </w:tcPr>
          <w:p>
            <w:pPr>
              <w:pStyle w:val="TableParagraph"/>
              <w:spacing w:before="246"/>
              <w:ind w:left="108"/>
              <w:rPr>
                <w:sz w:val="28"/>
              </w:rPr>
            </w:pPr>
            <w:r>
              <w:rPr>
                <w:w w:val="99"/>
                <w:sz w:val="28"/>
              </w:rPr>
              <w:t>9</w:t>
            </w:r>
          </w:p>
        </w:tc>
        <w:tc>
          <w:tcPr>
            <w:tcW w:w="1588" w:type="dxa"/>
            <w:tcBorders>
              <w:bottom w:val="double" w:sz="1" w:space="0" w:color="000000"/>
            </w:tcBorders>
          </w:tcPr>
          <w:p>
            <w:pPr>
              <w:pStyle w:val="TableParagraph"/>
              <w:spacing w:before="246"/>
              <w:ind w:left="368"/>
              <w:rPr>
                <w:sz w:val="28"/>
              </w:rPr>
            </w:pPr>
            <w:r>
              <w:rPr>
                <w:w w:val="95"/>
                <w:sz w:val="28"/>
              </w:rPr>
              <w:t>释义</w:t>
            </w:r>
          </w:p>
        </w:tc>
        <w:tc>
          <w:tcPr>
            <w:tcW w:w="7083" w:type="dxa"/>
            <w:tcBorders>
              <w:bottom w:val="double" w:sz="1" w:space="0" w:color="000000"/>
            </w:tcBorders>
          </w:tcPr>
          <w:p>
            <w:pPr>
              <w:pStyle w:val="TableParagraph"/>
              <w:rPr>
                <w:rFonts w:ascii="Times New Roman"/>
                <w:sz w:val="20"/>
              </w:rPr>
            </w:pPr>
          </w:p>
        </w:tc>
      </w:tr>
      <w:tr>
        <w:trPr>
          <w:trHeight w:val="976" w:hRule="atLeast"/>
        </w:trPr>
        <w:tc>
          <w:tcPr>
            <w:tcW w:w="795" w:type="dxa"/>
            <w:tcBorders>
              <w:top w:val="double" w:sz="1" w:space="0" w:color="000000"/>
            </w:tcBorders>
          </w:tcPr>
          <w:p>
            <w:pPr>
              <w:pStyle w:val="TableParagraph"/>
              <w:spacing w:before="12"/>
              <w:rPr>
                <w:sz w:val="13"/>
              </w:rPr>
            </w:pPr>
          </w:p>
          <w:p>
            <w:pPr>
              <w:pStyle w:val="TableParagraph"/>
              <w:ind w:left="108"/>
              <w:rPr>
                <w:sz w:val="21"/>
              </w:rPr>
            </w:pPr>
            <w:r>
              <w:rPr>
                <w:sz w:val="21"/>
              </w:rPr>
              <w:t>9.1</w:t>
            </w:r>
          </w:p>
        </w:tc>
        <w:tc>
          <w:tcPr>
            <w:tcW w:w="1588" w:type="dxa"/>
            <w:tcBorders>
              <w:top w:val="double" w:sz="1" w:space="0" w:color="000000"/>
            </w:tcBorders>
          </w:tcPr>
          <w:p>
            <w:pPr>
              <w:pStyle w:val="TableParagraph"/>
              <w:spacing w:before="12"/>
              <w:rPr>
                <w:sz w:val="13"/>
              </w:rPr>
            </w:pPr>
          </w:p>
          <w:p>
            <w:pPr>
              <w:pStyle w:val="TableParagraph"/>
              <w:spacing w:line="273" w:lineRule="auto"/>
              <w:ind w:left="369" w:right="100"/>
              <w:rPr>
                <w:sz w:val="21"/>
              </w:rPr>
            </w:pPr>
            <w:r>
              <w:rPr>
                <w:sz w:val="21"/>
              </w:rPr>
              <w:t>有效身份证件</w:t>
            </w:r>
          </w:p>
        </w:tc>
        <w:tc>
          <w:tcPr>
            <w:tcW w:w="7083" w:type="dxa"/>
            <w:tcBorders>
              <w:top w:val="double" w:sz="1" w:space="0" w:color="000000"/>
            </w:tcBorders>
          </w:tcPr>
          <w:p>
            <w:pPr>
              <w:pStyle w:val="TableParagraph"/>
              <w:spacing w:before="12"/>
              <w:rPr>
                <w:sz w:val="13"/>
              </w:rPr>
            </w:pPr>
          </w:p>
          <w:p>
            <w:pPr>
              <w:pStyle w:val="TableParagraph"/>
              <w:spacing w:line="273" w:lineRule="auto"/>
              <w:ind w:left="101" w:right="39"/>
              <w:rPr>
                <w:sz w:val="21"/>
              </w:rPr>
            </w:pPr>
            <w:r>
              <w:rPr>
                <w:sz w:val="21"/>
              </w:rPr>
              <w:t>指由政府主管部门规定的证明个人身份的证件，如：居民身份证、按规定可使用的有效护照、军官证、警官证、士兵证等证件。</w:t>
            </w:r>
          </w:p>
        </w:tc>
      </w:tr>
      <w:tr>
        <w:trPr>
          <w:trHeight w:val="416" w:hRule="atLeast"/>
        </w:trPr>
        <w:tc>
          <w:tcPr>
            <w:tcW w:w="795" w:type="dxa"/>
          </w:tcPr>
          <w:p>
            <w:pPr>
              <w:pStyle w:val="TableParagraph"/>
              <w:spacing w:line="255" w:lineRule="exact" w:before="142"/>
              <w:ind w:left="107"/>
              <w:rPr>
                <w:sz w:val="21"/>
              </w:rPr>
            </w:pPr>
            <w:r>
              <w:rPr>
                <w:sz w:val="21"/>
              </w:rPr>
              <w:t>9.2</w:t>
            </w:r>
          </w:p>
        </w:tc>
        <w:tc>
          <w:tcPr>
            <w:tcW w:w="1588" w:type="dxa"/>
          </w:tcPr>
          <w:p>
            <w:pPr>
              <w:pStyle w:val="TableParagraph"/>
              <w:spacing w:line="255" w:lineRule="exact" w:before="142"/>
              <w:ind w:left="369"/>
              <w:rPr>
                <w:sz w:val="21"/>
              </w:rPr>
            </w:pPr>
            <w:r>
              <w:rPr>
                <w:sz w:val="21"/>
              </w:rPr>
              <w:t>周岁</w:t>
            </w:r>
          </w:p>
        </w:tc>
        <w:tc>
          <w:tcPr>
            <w:tcW w:w="7083" w:type="dxa"/>
          </w:tcPr>
          <w:p>
            <w:pPr>
              <w:pStyle w:val="TableParagraph"/>
              <w:spacing w:line="255" w:lineRule="exact" w:before="142"/>
              <w:ind w:left="101"/>
              <w:rPr>
                <w:sz w:val="21"/>
              </w:rPr>
            </w:pPr>
            <w:r>
              <w:rPr>
                <w:sz w:val="21"/>
              </w:rPr>
              <w:t>指按有效身份证件中记载的出生日期计算的年龄，自出生之日起为零周岁，</w:t>
            </w:r>
          </w:p>
        </w:tc>
      </w:tr>
    </w:tbl>
    <w:p>
      <w:pPr>
        <w:spacing w:after="0" w:line="255" w:lineRule="exact"/>
        <w:rPr>
          <w:sz w:val="21"/>
        </w:rPr>
        <w:sectPr>
          <w:type w:val="continuous"/>
          <w:pgSz w:w="11900" w:h="16840"/>
          <w:pgMar w:top="1100" w:bottom="280" w:left="800" w:right="1420"/>
        </w:sectPr>
      </w:pPr>
    </w:p>
    <w:p>
      <w:pPr>
        <w:pStyle w:val="BodyText"/>
        <w:rPr>
          <w:rFonts w:ascii="Times New Roman"/>
          <w:sz w:val="20"/>
        </w:rPr>
      </w:pPr>
    </w:p>
    <w:p>
      <w:pPr>
        <w:pStyle w:val="BodyText"/>
        <w:spacing w:before="8"/>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534"/>
        <w:gridCol w:w="7129"/>
      </w:tblGrid>
      <w:tr>
        <w:trPr>
          <w:trHeight w:val="416" w:hRule="atLeast"/>
        </w:trPr>
        <w:tc>
          <w:tcPr>
            <w:tcW w:w="790" w:type="dxa"/>
          </w:tcPr>
          <w:p>
            <w:pPr>
              <w:pStyle w:val="TableParagraph"/>
              <w:rPr>
                <w:rFonts w:ascii="Times New Roman"/>
                <w:sz w:val="20"/>
              </w:rPr>
            </w:pPr>
          </w:p>
        </w:tc>
        <w:tc>
          <w:tcPr>
            <w:tcW w:w="1534" w:type="dxa"/>
          </w:tcPr>
          <w:p>
            <w:pPr>
              <w:pStyle w:val="TableParagraph"/>
              <w:rPr>
                <w:rFonts w:ascii="Times New Roman"/>
                <w:sz w:val="20"/>
              </w:rPr>
            </w:pPr>
          </w:p>
        </w:tc>
        <w:tc>
          <w:tcPr>
            <w:tcW w:w="7129" w:type="dxa"/>
          </w:tcPr>
          <w:p>
            <w:pPr>
              <w:pStyle w:val="TableParagraph"/>
              <w:spacing w:line="210" w:lineRule="exact"/>
              <w:ind w:left="102"/>
              <w:rPr>
                <w:sz w:val="21"/>
              </w:rPr>
            </w:pPr>
            <w:r>
              <w:rPr>
                <w:sz w:val="21"/>
              </w:rPr>
              <w:t>每经过一年增加一岁，不足一年的不计。</w:t>
            </w:r>
          </w:p>
        </w:tc>
      </w:tr>
      <w:tr>
        <w:trPr>
          <w:trHeight w:val="935" w:hRule="atLeast"/>
        </w:trPr>
        <w:tc>
          <w:tcPr>
            <w:tcW w:w="790" w:type="dxa"/>
          </w:tcPr>
          <w:p>
            <w:pPr>
              <w:pStyle w:val="TableParagraph"/>
              <w:spacing w:before="142"/>
              <w:ind w:left="50"/>
              <w:rPr>
                <w:sz w:val="21"/>
              </w:rPr>
            </w:pPr>
            <w:r>
              <w:rPr>
                <w:sz w:val="21"/>
              </w:rPr>
              <w:t>9.3</w:t>
            </w:r>
          </w:p>
        </w:tc>
        <w:tc>
          <w:tcPr>
            <w:tcW w:w="1534" w:type="dxa"/>
          </w:tcPr>
          <w:p>
            <w:pPr>
              <w:pStyle w:val="TableParagraph"/>
              <w:spacing w:before="142"/>
              <w:ind w:left="316"/>
              <w:rPr>
                <w:sz w:val="21"/>
              </w:rPr>
            </w:pPr>
            <w:r>
              <w:rPr>
                <w:sz w:val="21"/>
              </w:rPr>
              <w:t>意外伤害</w:t>
            </w:r>
          </w:p>
        </w:tc>
        <w:tc>
          <w:tcPr>
            <w:tcW w:w="7129" w:type="dxa"/>
          </w:tcPr>
          <w:p>
            <w:pPr>
              <w:pStyle w:val="TableParagraph"/>
              <w:spacing w:line="273" w:lineRule="auto" w:before="142"/>
              <w:ind w:left="102" w:right="93"/>
              <w:rPr>
                <w:sz w:val="21"/>
              </w:rPr>
            </w:pPr>
            <w:r>
              <w:rPr>
                <w:sz w:val="21"/>
              </w:rPr>
              <w:t>指遭受外来的、突发的、非本意的、非疾病的客观事件直接致使身体受到的伤害。</w:t>
            </w:r>
          </w:p>
        </w:tc>
      </w:tr>
      <w:tr>
        <w:trPr>
          <w:trHeight w:val="1872" w:hRule="atLeast"/>
        </w:trPr>
        <w:tc>
          <w:tcPr>
            <w:tcW w:w="790" w:type="dxa"/>
          </w:tcPr>
          <w:p>
            <w:pPr>
              <w:pStyle w:val="TableParagraph"/>
              <w:spacing w:before="142"/>
              <w:ind w:left="50"/>
              <w:rPr>
                <w:sz w:val="21"/>
              </w:rPr>
            </w:pPr>
            <w:r>
              <w:rPr>
                <w:sz w:val="21"/>
              </w:rPr>
              <w:t>9.4</w:t>
            </w:r>
          </w:p>
        </w:tc>
        <w:tc>
          <w:tcPr>
            <w:tcW w:w="1534" w:type="dxa"/>
          </w:tcPr>
          <w:p>
            <w:pPr>
              <w:pStyle w:val="TableParagraph"/>
              <w:spacing w:line="273" w:lineRule="auto" w:before="142"/>
              <w:ind w:left="316" w:right="99"/>
              <w:rPr>
                <w:sz w:val="21"/>
              </w:rPr>
            </w:pPr>
            <w:r>
              <w:rPr>
                <w:sz w:val="21"/>
              </w:rPr>
              <w:t>我们认可的医院</w:t>
            </w:r>
          </w:p>
        </w:tc>
        <w:tc>
          <w:tcPr>
            <w:tcW w:w="7129" w:type="dxa"/>
          </w:tcPr>
          <w:p>
            <w:pPr>
              <w:pStyle w:val="TableParagraph"/>
              <w:spacing w:line="273" w:lineRule="auto" w:before="142"/>
              <w:ind w:left="102" w:right="152"/>
              <w:jc w:val="both"/>
              <w:rPr>
                <w:sz w:val="21"/>
              </w:rPr>
            </w:pPr>
            <w:r>
              <w:rPr>
                <w:spacing w:val="-2"/>
                <w:sz w:val="21"/>
              </w:rPr>
              <w:t>指经中华人民共和国卫生部门评审确定的二级或二级以上的公立医院，</w:t>
            </w:r>
            <w:r>
              <w:rPr>
                <w:sz w:val="21"/>
                <w:shd w:fill="E5E5E5" w:color="auto" w:val="clear"/>
              </w:rPr>
              <w:t>但不</w:t>
            </w:r>
            <w:r>
              <w:rPr>
                <w:spacing w:val="-5"/>
                <w:sz w:val="21"/>
                <w:shd w:fill="E5E5E5" w:color="auto" w:val="clear"/>
              </w:rPr>
              <w:t>包括精神病院及专供康复、休养、戒毒、戒酒、护理、养老等非以直接诊治</w:t>
            </w:r>
            <w:r>
              <w:rPr>
                <w:spacing w:val="-210"/>
                <w:sz w:val="21"/>
                <w:shd w:fill="E5E5E5" w:color="auto" w:val="clear"/>
              </w:rPr>
              <w:t>病</w:t>
            </w:r>
            <w:r>
              <w:rPr>
                <w:spacing w:val="-6"/>
                <w:sz w:val="21"/>
                <w:shd w:fill="E5E5E5" w:color="auto" w:val="clear"/>
              </w:rPr>
              <w:t>人为目的的医疗机构。</w:t>
            </w:r>
            <w:r>
              <w:rPr>
                <w:sz w:val="21"/>
              </w:rPr>
              <w:t>该医院必须具有符合国家有关医院管理规则设置标准</w:t>
            </w:r>
            <w:r>
              <w:rPr>
                <w:spacing w:val="-8"/>
                <w:sz w:val="21"/>
              </w:rPr>
              <w:t>的医疗设备，且全天二十四小时有合格医师及护士驻医院提供医疗及护理服务。</w:t>
            </w:r>
          </w:p>
        </w:tc>
      </w:tr>
      <w:tr>
        <w:trPr>
          <w:trHeight w:val="1805" w:hRule="atLeast"/>
        </w:trPr>
        <w:tc>
          <w:tcPr>
            <w:tcW w:w="790" w:type="dxa"/>
          </w:tcPr>
          <w:p>
            <w:pPr>
              <w:pStyle w:val="TableParagraph"/>
              <w:spacing w:before="142"/>
              <w:ind w:left="50"/>
              <w:rPr>
                <w:sz w:val="21"/>
              </w:rPr>
            </w:pPr>
            <w:r>
              <w:rPr>
                <w:sz w:val="21"/>
              </w:rPr>
              <w:t>9.5</w:t>
            </w:r>
          </w:p>
        </w:tc>
        <w:tc>
          <w:tcPr>
            <w:tcW w:w="1534" w:type="dxa"/>
          </w:tcPr>
          <w:p>
            <w:pPr>
              <w:pStyle w:val="TableParagraph"/>
              <w:spacing w:before="142"/>
              <w:ind w:left="316"/>
              <w:rPr>
                <w:sz w:val="21"/>
              </w:rPr>
            </w:pPr>
            <w:r>
              <w:rPr>
                <w:sz w:val="21"/>
              </w:rPr>
              <w:t>专科医生</w:t>
            </w:r>
          </w:p>
        </w:tc>
        <w:tc>
          <w:tcPr>
            <w:tcW w:w="7129" w:type="dxa"/>
          </w:tcPr>
          <w:p>
            <w:pPr>
              <w:pStyle w:val="TableParagraph"/>
              <w:spacing w:before="142"/>
              <w:ind w:left="102"/>
              <w:rPr>
                <w:sz w:val="21"/>
              </w:rPr>
            </w:pPr>
            <w:r>
              <w:rPr>
                <w:sz w:val="21"/>
              </w:rPr>
              <w:t>专科医生应当同时满足以下四项资格条件</w:t>
            </w:r>
            <w:r>
              <w:rPr>
                <w:spacing w:val="-134"/>
                <w:sz w:val="21"/>
              </w:rPr>
              <w:t>：</w:t>
            </w:r>
            <w:r>
              <w:rPr>
                <w:sz w:val="21"/>
              </w:rPr>
              <w:t>（1</w:t>
            </w:r>
            <w:r>
              <w:rPr>
                <w:spacing w:val="-31"/>
                <w:sz w:val="21"/>
              </w:rPr>
              <w:t>）</w:t>
            </w:r>
            <w:r>
              <w:rPr>
                <w:sz w:val="21"/>
              </w:rPr>
              <w:t>具有有效的中华人民共和国</w:t>
            </w:r>
          </w:p>
          <w:p>
            <w:pPr>
              <w:pStyle w:val="TableParagraph"/>
              <w:spacing w:line="273" w:lineRule="auto" w:before="37"/>
              <w:ind w:left="102" w:right="152"/>
              <w:jc w:val="both"/>
              <w:rPr>
                <w:sz w:val="21"/>
              </w:rPr>
            </w:pPr>
            <w:r>
              <w:rPr>
                <w:spacing w:val="-24"/>
                <w:sz w:val="21"/>
              </w:rPr>
              <w:t>《 医师资格证书》；</w:t>
            </w:r>
            <w:r>
              <w:rPr>
                <w:spacing w:val="-2"/>
                <w:sz w:val="21"/>
              </w:rPr>
              <w:t>（</w:t>
            </w:r>
            <w:r>
              <w:rPr>
                <w:sz w:val="21"/>
              </w:rPr>
              <w:t>2</w:t>
            </w:r>
            <w:r>
              <w:rPr>
                <w:spacing w:val="-16"/>
                <w:sz w:val="21"/>
              </w:rPr>
              <w:t>）</w:t>
            </w:r>
            <w:r>
              <w:rPr>
                <w:spacing w:val="-9"/>
                <w:sz w:val="21"/>
              </w:rPr>
              <w:t>具有有效的中华人民共和国《 医师执业证书》，并</w:t>
            </w:r>
            <w:r>
              <w:rPr>
                <w:sz w:val="21"/>
              </w:rPr>
              <w:t>按期到相关部门登记注册</w:t>
            </w:r>
            <w:r>
              <w:rPr>
                <w:spacing w:val="-134"/>
                <w:sz w:val="21"/>
              </w:rPr>
              <w:t>；</w:t>
            </w:r>
            <w:r>
              <w:rPr>
                <w:sz w:val="21"/>
              </w:rPr>
              <w:t>（3</w:t>
            </w:r>
            <w:r>
              <w:rPr>
                <w:spacing w:val="-29"/>
                <w:sz w:val="21"/>
              </w:rPr>
              <w:t>）</w:t>
            </w:r>
            <w:r>
              <w:rPr>
                <w:spacing w:val="-1"/>
                <w:sz w:val="21"/>
              </w:rPr>
              <w:t>具有有效的中华人民共和国主治医师或主治</w:t>
            </w:r>
            <w:r>
              <w:rPr>
                <w:spacing w:val="-11"/>
                <w:sz w:val="21"/>
              </w:rPr>
              <w:t>医师以上职称的《 医师职称证书》</w:t>
            </w:r>
            <w:r>
              <w:rPr>
                <w:spacing w:val="-125"/>
                <w:sz w:val="21"/>
              </w:rPr>
              <w:t>；</w:t>
            </w:r>
            <w:r>
              <w:rPr>
                <w:sz w:val="21"/>
              </w:rPr>
              <w:t>（4</w:t>
            </w:r>
            <w:r>
              <w:rPr>
                <w:spacing w:val="-20"/>
                <w:sz w:val="21"/>
              </w:rPr>
              <w:t>）</w:t>
            </w:r>
            <w:r>
              <w:rPr>
                <w:spacing w:val="-1"/>
                <w:sz w:val="21"/>
              </w:rPr>
              <w:t>在二级或二级以上医院的相应科室从事临床工作三年以上。</w:t>
            </w:r>
          </w:p>
        </w:tc>
      </w:tr>
      <w:tr>
        <w:trPr>
          <w:trHeight w:val="1451" w:hRule="atLeast"/>
        </w:trPr>
        <w:tc>
          <w:tcPr>
            <w:tcW w:w="790" w:type="dxa"/>
          </w:tcPr>
          <w:p>
            <w:pPr>
              <w:pStyle w:val="TableParagraph"/>
              <w:spacing w:before="76"/>
              <w:ind w:left="50"/>
              <w:rPr>
                <w:sz w:val="21"/>
              </w:rPr>
            </w:pPr>
            <w:r>
              <w:rPr>
                <w:sz w:val="21"/>
              </w:rPr>
              <w:t>9.6</w:t>
            </w:r>
          </w:p>
        </w:tc>
        <w:tc>
          <w:tcPr>
            <w:tcW w:w="1534" w:type="dxa"/>
          </w:tcPr>
          <w:p>
            <w:pPr>
              <w:pStyle w:val="TableParagraph"/>
              <w:spacing w:before="76"/>
              <w:ind w:left="316"/>
              <w:rPr>
                <w:sz w:val="21"/>
              </w:rPr>
            </w:pPr>
            <w:r>
              <w:rPr>
                <w:sz w:val="21"/>
              </w:rPr>
              <w:t>毒品</w:t>
            </w:r>
          </w:p>
        </w:tc>
        <w:tc>
          <w:tcPr>
            <w:tcW w:w="7129" w:type="dxa"/>
          </w:tcPr>
          <w:p>
            <w:pPr>
              <w:pStyle w:val="TableParagraph"/>
              <w:spacing w:line="273" w:lineRule="auto" w:before="76"/>
              <w:ind w:left="102" w:right="152"/>
              <w:jc w:val="both"/>
              <w:rPr>
                <w:sz w:val="21"/>
              </w:rPr>
            </w:pPr>
            <w:r>
              <w:rPr>
                <w:sz w:val="21"/>
              </w:rPr>
              <w:t>指中华人民共和国刑法规定的鸦片、海洛因、甲基苯丙胺（冰毒</w:t>
            </w:r>
            <w:r>
              <w:rPr>
                <w:spacing w:val="-104"/>
                <w:sz w:val="21"/>
              </w:rPr>
              <w:t>）</w:t>
            </w:r>
            <w:r>
              <w:rPr>
                <w:sz w:val="21"/>
              </w:rPr>
              <w:t>、吗啡、</w:t>
            </w:r>
            <w:r>
              <w:rPr>
                <w:spacing w:val="-8"/>
                <w:sz w:val="21"/>
              </w:rPr>
              <w:t>大麻、可卡因以及国家规定管制的其他能够使人形成瘾癖的麻醉药品和精神</w:t>
            </w:r>
            <w:r>
              <w:rPr>
                <w:spacing w:val="-9"/>
                <w:sz w:val="21"/>
              </w:rPr>
              <w:t>药品，但不包括由医生开具并遵医嘱使用的用于治疗疾病但含有毒品成分的处方药品。</w:t>
            </w:r>
          </w:p>
        </w:tc>
      </w:tr>
      <w:tr>
        <w:trPr>
          <w:trHeight w:val="1162" w:hRule="atLeast"/>
        </w:trPr>
        <w:tc>
          <w:tcPr>
            <w:tcW w:w="790" w:type="dxa"/>
          </w:tcPr>
          <w:p>
            <w:pPr>
              <w:pStyle w:val="TableParagraph"/>
              <w:spacing w:before="99"/>
              <w:ind w:left="50"/>
              <w:rPr>
                <w:sz w:val="21"/>
              </w:rPr>
            </w:pPr>
            <w:r>
              <w:rPr>
                <w:sz w:val="21"/>
              </w:rPr>
              <w:t>9.7</w:t>
            </w:r>
          </w:p>
        </w:tc>
        <w:tc>
          <w:tcPr>
            <w:tcW w:w="1534" w:type="dxa"/>
          </w:tcPr>
          <w:p>
            <w:pPr>
              <w:pStyle w:val="TableParagraph"/>
              <w:spacing w:before="99"/>
              <w:ind w:left="316"/>
              <w:rPr>
                <w:sz w:val="21"/>
              </w:rPr>
            </w:pPr>
            <w:r>
              <w:rPr>
                <w:sz w:val="21"/>
              </w:rPr>
              <w:t>酒后驾驶</w:t>
            </w:r>
          </w:p>
        </w:tc>
        <w:tc>
          <w:tcPr>
            <w:tcW w:w="7129" w:type="dxa"/>
          </w:tcPr>
          <w:p>
            <w:pPr>
              <w:pStyle w:val="TableParagraph"/>
              <w:spacing w:line="273" w:lineRule="auto" w:before="99"/>
              <w:ind w:left="102" w:right="152"/>
              <w:jc w:val="both"/>
              <w:rPr>
                <w:sz w:val="21"/>
              </w:rPr>
            </w:pPr>
            <w:r>
              <w:rPr>
                <w:spacing w:val="-8"/>
                <w:sz w:val="21"/>
              </w:rPr>
              <w:t>指经检测或鉴定，发生事故时车辆驾驶人员每百毫升血液中的酒精含量达到</w:t>
            </w:r>
            <w:r>
              <w:rPr>
                <w:spacing w:val="-11"/>
                <w:sz w:val="21"/>
              </w:rPr>
              <w:t>或超过一定的标准，公安机关交通管理部门依据《道路交通安全法》的规定认定为饮酒后驾驶或醉酒后驾驶。</w:t>
            </w:r>
          </w:p>
        </w:tc>
      </w:tr>
      <w:tr>
        <w:trPr>
          <w:trHeight w:val="2098" w:hRule="atLeast"/>
        </w:trPr>
        <w:tc>
          <w:tcPr>
            <w:tcW w:w="790" w:type="dxa"/>
          </w:tcPr>
          <w:p>
            <w:pPr>
              <w:pStyle w:val="TableParagraph"/>
              <w:spacing w:before="99"/>
              <w:ind w:left="50"/>
              <w:rPr>
                <w:sz w:val="21"/>
              </w:rPr>
            </w:pPr>
            <w:r>
              <w:rPr>
                <w:sz w:val="21"/>
              </w:rPr>
              <w:t>9.8</w:t>
            </w:r>
          </w:p>
        </w:tc>
        <w:tc>
          <w:tcPr>
            <w:tcW w:w="1534" w:type="dxa"/>
          </w:tcPr>
          <w:p>
            <w:pPr>
              <w:pStyle w:val="TableParagraph"/>
              <w:spacing w:line="273" w:lineRule="auto" w:before="99"/>
              <w:ind w:left="316" w:right="99"/>
              <w:rPr>
                <w:sz w:val="21"/>
              </w:rPr>
            </w:pPr>
            <w:r>
              <w:rPr>
                <w:sz w:val="21"/>
              </w:rPr>
              <w:t>无合法有效驾驶证驾驶</w:t>
            </w:r>
          </w:p>
        </w:tc>
        <w:tc>
          <w:tcPr>
            <w:tcW w:w="7129" w:type="dxa"/>
          </w:tcPr>
          <w:p>
            <w:pPr>
              <w:pStyle w:val="TableParagraph"/>
              <w:spacing w:before="99"/>
              <w:ind w:left="102"/>
              <w:rPr>
                <w:sz w:val="21"/>
              </w:rPr>
            </w:pPr>
            <w:r>
              <w:rPr>
                <w:sz w:val="21"/>
              </w:rPr>
              <w:t>指下列情形之一：</w:t>
            </w:r>
          </w:p>
          <w:p>
            <w:pPr>
              <w:pStyle w:val="TableParagraph"/>
              <w:spacing w:before="36"/>
              <w:ind w:left="102"/>
              <w:rPr>
                <w:sz w:val="21"/>
              </w:rPr>
            </w:pPr>
            <w:r>
              <w:rPr>
                <w:sz w:val="21"/>
              </w:rPr>
              <w:t>（1）没有取得驾驶资格；</w:t>
            </w:r>
          </w:p>
          <w:p>
            <w:pPr>
              <w:pStyle w:val="TableParagraph"/>
              <w:spacing w:before="36"/>
              <w:ind w:left="102"/>
              <w:rPr>
                <w:sz w:val="21"/>
              </w:rPr>
            </w:pPr>
            <w:r>
              <w:rPr>
                <w:sz w:val="21"/>
              </w:rPr>
              <w:t>（2）驾驶与驾驶证准驾车型不相符合的车辆；</w:t>
            </w:r>
          </w:p>
          <w:p>
            <w:pPr>
              <w:pStyle w:val="TableParagraph"/>
              <w:spacing w:before="36"/>
              <w:ind w:left="102"/>
              <w:rPr>
                <w:sz w:val="21"/>
              </w:rPr>
            </w:pPr>
            <w:r>
              <w:rPr>
                <w:sz w:val="21"/>
              </w:rPr>
              <w:t>（3）持审验不合格的驾驶证驾驶；</w:t>
            </w:r>
          </w:p>
          <w:p>
            <w:pPr>
              <w:pStyle w:val="TableParagraph"/>
              <w:spacing w:line="273" w:lineRule="auto" w:before="36"/>
              <w:ind w:left="102" w:right="152"/>
              <w:rPr>
                <w:sz w:val="21"/>
              </w:rPr>
            </w:pPr>
            <w:r>
              <w:rPr>
                <w:sz w:val="21"/>
              </w:rPr>
              <w:t>（4）持学习驾驶证学习驾车时，无教练员随车指导，或不按指定时间、路线学习驾车。</w:t>
            </w:r>
          </w:p>
        </w:tc>
      </w:tr>
      <w:tr>
        <w:trPr>
          <w:trHeight w:val="1517" w:hRule="atLeast"/>
        </w:trPr>
        <w:tc>
          <w:tcPr>
            <w:tcW w:w="790" w:type="dxa"/>
          </w:tcPr>
          <w:p>
            <w:pPr>
              <w:pStyle w:val="TableParagraph"/>
              <w:spacing w:before="99"/>
              <w:ind w:left="50"/>
              <w:rPr>
                <w:sz w:val="21"/>
              </w:rPr>
            </w:pPr>
            <w:r>
              <w:rPr>
                <w:sz w:val="21"/>
              </w:rPr>
              <w:t>9.9</w:t>
            </w:r>
          </w:p>
        </w:tc>
        <w:tc>
          <w:tcPr>
            <w:tcW w:w="1534" w:type="dxa"/>
          </w:tcPr>
          <w:p>
            <w:pPr>
              <w:pStyle w:val="TableParagraph"/>
              <w:spacing w:line="273" w:lineRule="auto" w:before="99"/>
              <w:ind w:left="316" w:right="99"/>
              <w:rPr>
                <w:sz w:val="21"/>
              </w:rPr>
            </w:pPr>
            <w:r>
              <w:rPr>
                <w:sz w:val="21"/>
              </w:rPr>
              <w:t>无有效行驶证</w:t>
            </w:r>
          </w:p>
        </w:tc>
        <w:tc>
          <w:tcPr>
            <w:tcW w:w="7129" w:type="dxa"/>
          </w:tcPr>
          <w:p>
            <w:pPr>
              <w:pStyle w:val="TableParagraph"/>
              <w:spacing w:before="99"/>
              <w:ind w:left="102"/>
              <w:rPr>
                <w:sz w:val="21"/>
              </w:rPr>
            </w:pPr>
            <w:r>
              <w:rPr>
                <w:sz w:val="21"/>
              </w:rPr>
              <w:t>指下列情形之一：</w:t>
            </w:r>
          </w:p>
          <w:p>
            <w:pPr>
              <w:pStyle w:val="TableParagraph"/>
              <w:spacing w:before="36"/>
              <w:ind w:left="102"/>
              <w:rPr>
                <w:sz w:val="21"/>
              </w:rPr>
            </w:pPr>
            <w:r>
              <w:rPr>
                <w:sz w:val="21"/>
              </w:rPr>
              <w:t>（1）未取得机动车行驶证；</w:t>
            </w:r>
          </w:p>
          <w:p>
            <w:pPr>
              <w:pStyle w:val="TableParagraph"/>
              <w:spacing w:before="36"/>
              <w:ind w:left="102"/>
              <w:rPr>
                <w:sz w:val="21"/>
              </w:rPr>
            </w:pPr>
            <w:r>
              <w:rPr>
                <w:sz w:val="21"/>
              </w:rPr>
              <w:t>（2）机动车被依法注销登记的；</w:t>
            </w:r>
          </w:p>
          <w:p>
            <w:pPr>
              <w:pStyle w:val="TableParagraph"/>
              <w:spacing w:before="36"/>
              <w:ind w:left="102"/>
              <w:rPr>
                <w:sz w:val="21"/>
              </w:rPr>
            </w:pPr>
            <w:r>
              <w:rPr>
                <w:sz w:val="21"/>
              </w:rPr>
              <w:t>（3）未依法按时进行或通过机动车安全技术检验。</w:t>
            </w:r>
          </w:p>
        </w:tc>
      </w:tr>
      <w:tr>
        <w:trPr>
          <w:trHeight w:val="935" w:hRule="atLeast"/>
        </w:trPr>
        <w:tc>
          <w:tcPr>
            <w:tcW w:w="790" w:type="dxa"/>
          </w:tcPr>
          <w:p>
            <w:pPr>
              <w:pStyle w:val="TableParagraph"/>
              <w:spacing w:before="142"/>
              <w:ind w:left="50"/>
              <w:rPr>
                <w:sz w:val="21"/>
              </w:rPr>
            </w:pPr>
            <w:r>
              <w:rPr>
                <w:sz w:val="21"/>
              </w:rPr>
              <w:t>9.10</w:t>
            </w:r>
          </w:p>
        </w:tc>
        <w:tc>
          <w:tcPr>
            <w:tcW w:w="1534" w:type="dxa"/>
          </w:tcPr>
          <w:p>
            <w:pPr>
              <w:pStyle w:val="TableParagraph"/>
              <w:spacing w:before="142"/>
              <w:ind w:left="316"/>
              <w:rPr>
                <w:sz w:val="21"/>
              </w:rPr>
            </w:pPr>
            <w:r>
              <w:rPr>
                <w:sz w:val="21"/>
              </w:rPr>
              <w:t>机动车</w:t>
            </w:r>
          </w:p>
        </w:tc>
        <w:tc>
          <w:tcPr>
            <w:tcW w:w="7129" w:type="dxa"/>
          </w:tcPr>
          <w:p>
            <w:pPr>
              <w:pStyle w:val="TableParagraph"/>
              <w:spacing w:line="273" w:lineRule="auto" w:before="142"/>
              <w:ind w:left="102" w:right="84"/>
              <w:rPr>
                <w:sz w:val="21"/>
              </w:rPr>
            </w:pPr>
            <w:r>
              <w:rPr>
                <w:sz w:val="21"/>
              </w:rPr>
              <w:t>指以动力装置驱动或牵引，上道路行驶的供人员乘用或用于运送物品以及进行工程专项作业的轮式车辆。</w:t>
            </w:r>
          </w:p>
        </w:tc>
      </w:tr>
      <w:tr>
        <w:trPr>
          <w:trHeight w:val="467" w:hRule="atLeast"/>
        </w:trPr>
        <w:tc>
          <w:tcPr>
            <w:tcW w:w="790" w:type="dxa"/>
          </w:tcPr>
          <w:p>
            <w:pPr>
              <w:pStyle w:val="TableParagraph"/>
              <w:spacing w:before="142"/>
              <w:ind w:left="50"/>
              <w:rPr>
                <w:sz w:val="21"/>
              </w:rPr>
            </w:pPr>
            <w:r>
              <w:rPr>
                <w:sz w:val="21"/>
              </w:rPr>
              <w:t>9.11</w:t>
            </w:r>
          </w:p>
        </w:tc>
        <w:tc>
          <w:tcPr>
            <w:tcW w:w="1534" w:type="dxa"/>
          </w:tcPr>
          <w:p>
            <w:pPr>
              <w:pStyle w:val="TableParagraph"/>
              <w:spacing w:before="142"/>
              <w:ind w:left="316"/>
              <w:rPr>
                <w:sz w:val="21"/>
              </w:rPr>
            </w:pPr>
            <w:r>
              <w:rPr>
                <w:sz w:val="21"/>
              </w:rPr>
              <w:t>患艾滋病或</w:t>
            </w:r>
          </w:p>
        </w:tc>
        <w:tc>
          <w:tcPr>
            <w:tcW w:w="7129" w:type="dxa"/>
          </w:tcPr>
          <w:p>
            <w:pPr>
              <w:pStyle w:val="TableParagraph"/>
              <w:spacing w:before="142"/>
              <w:ind w:left="102"/>
              <w:rPr>
                <w:sz w:val="21"/>
              </w:rPr>
            </w:pPr>
            <w:r>
              <w:rPr>
                <w:sz w:val="21"/>
              </w:rPr>
              <w:t>艾滋病病毒指人类免疫缺陷病毒，英文缩写为 HIV。艾滋病指人类免疫缺陷</w:t>
            </w:r>
          </w:p>
        </w:tc>
      </w:tr>
      <w:tr>
        <w:trPr>
          <w:trHeight w:val="311" w:hRule="atLeast"/>
        </w:trPr>
        <w:tc>
          <w:tcPr>
            <w:tcW w:w="790" w:type="dxa"/>
          </w:tcPr>
          <w:p>
            <w:pPr>
              <w:pStyle w:val="TableParagraph"/>
              <w:rPr>
                <w:rFonts w:ascii="Times New Roman"/>
                <w:sz w:val="20"/>
              </w:rPr>
            </w:pPr>
          </w:p>
        </w:tc>
        <w:tc>
          <w:tcPr>
            <w:tcW w:w="1534" w:type="dxa"/>
          </w:tcPr>
          <w:p>
            <w:pPr>
              <w:pStyle w:val="TableParagraph"/>
              <w:spacing w:line="261" w:lineRule="exact"/>
              <w:ind w:left="316"/>
              <w:rPr>
                <w:sz w:val="21"/>
              </w:rPr>
            </w:pPr>
            <w:r>
              <w:rPr>
                <w:sz w:val="21"/>
              </w:rPr>
              <w:t>感染艾滋病</w:t>
            </w:r>
          </w:p>
        </w:tc>
        <w:tc>
          <w:tcPr>
            <w:tcW w:w="7129" w:type="dxa"/>
          </w:tcPr>
          <w:p>
            <w:pPr>
              <w:pStyle w:val="TableParagraph"/>
              <w:spacing w:line="261" w:lineRule="exact"/>
              <w:ind w:left="102"/>
              <w:rPr>
                <w:sz w:val="21"/>
              </w:rPr>
            </w:pPr>
            <w:r>
              <w:rPr>
                <w:sz w:val="21"/>
              </w:rPr>
              <w:t>病毒引起的获得性免疫缺陷综合征，英文缩写为 AIDS。</w:t>
            </w:r>
          </w:p>
        </w:tc>
      </w:tr>
      <w:tr>
        <w:trPr>
          <w:trHeight w:val="311" w:hRule="atLeast"/>
        </w:trPr>
        <w:tc>
          <w:tcPr>
            <w:tcW w:w="790" w:type="dxa"/>
          </w:tcPr>
          <w:p>
            <w:pPr>
              <w:pStyle w:val="TableParagraph"/>
              <w:rPr>
                <w:rFonts w:ascii="Times New Roman"/>
                <w:sz w:val="20"/>
              </w:rPr>
            </w:pPr>
          </w:p>
        </w:tc>
        <w:tc>
          <w:tcPr>
            <w:tcW w:w="1534" w:type="dxa"/>
          </w:tcPr>
          <w:p>
            <w:pPr>
              <w:pStyle w:val="TableParagraph"/>
              <w:spacing w:line="261" w:lineRule="exact"/>
              <w:ind w:left="316"/>
              <w:rPr>
                <w:sz w:val="21"/>
              </w:rPr>
            </w:pPr>
            <w:r>
              <w:rPr>
                <w:sz w:val="21"/>
              </w:rPr>
              <w:t>病毒</w:t>
            </w:r>
          </w:p>
        </w:tc>
        <w:tc>
          <w:tcPr>
            <w:tcW w:w="7129" w:type="dxa"/>
          </w:tcPr>
          <w:p>
            <w:pPr>
              <w:pStyle w:val="TableParagraph"/>
              <w:spacing w:line="261" w:lineRule="exact"/>
              <w:ind w:left="102"/>
              <w:rPr>
                <w:sz w:val="21"/>
              </w:rPr>
            </w:pPr>
            <w:r>
              <w:rPr>
                <w:sz w:val="21"/>
              </w:rPr>
              <w:t>在人体血液或其他样本中检测到艾滋病病毒或其抗体呈阳性，没有出现临床</w:t>
            </w:r>
          </w:p>
        </w:tc>
      </w:tr>
      <w:tr>
        <w:trPr>
          <w:trHeight w:val="311" w:hRule="atLeast"/>
        </w:trPr>
        <w:tc>
          <w:tcPr>
            <w:tcW w:w="790" w:type="dxa"/>
          </w:tcPr>
          <w:p>
            <w:pPr>
              <w:pStyle w:val="TableParagraph"/>
              <w:rPr>
                <w:rFonts w:ascii="Times New Roman"/>
                <w:sz w:val="20"/>
              </w:rPr>
            </w:pPr>
          </w:p>
        </w:tc>
        <w:tc>
          <w:tcPr>
            <w:tcW w:w="1534" w:type="dxa"/>
          </w:tcPr>
          <w:p>
            <w:pPr>
              <w:pStyle w:val="TableParagraph"/>
              <w:rPr>
                <w:rFonts w:ascii="Times New Roman"/>
                <w:sz w:val="20"/>
              </w:rPr>
            </w:pPr>
          </w:p>
        </w:tc>
        <w:tc>
          <w:tcPr>
            <w:tcW w:w="7129" w:type="dxa"/>
          </w:tcPr>
          <w:p>
            <w:pPr>
              <w:pStyle w:val="TableParagraph"/>
              <w:spacing w:line="261" w:lineRule="exact"/>
              <w:ind w:left="102"/>
              <w:rPr>
                <w:sz w:val="21"/>
              </w:rPr>
            </w:pPr>
            <w:r>
              <w:rPr>
                <w:spacing w:val="-14"/>
                <w:sz w:val="21"/>
              </w:rPr>
              <w:t>症状或体征的，为感染艾滋病病毒；如果同时出现了明显临床症状或体征的，</w:t>
            </w:r>
          </w:p>
        </w:tc>
      </w:tr>
      <w:tr>
        <w:trPr>
          <w:trHeight w:val="260" w:hRule="atLeast"/>
        </w:trPr>
        <w:tc>
          <w:tcPr>
            <w:tcW w:w="790" w:type="dxa"/>
          </w:tcPr>
          <w:p>
            <w:pPr>
              <w:pStyle w:val="TableParagraph"/>
              <w:rPr>
                <w:rFonts w:ascii="Times New Roman"/>
                <w:sz w:val="18"/>
              </w:rPr>
            </w:pPr>
          </w:p>
        </w:tc>
        <w:tc>
          <w:tcPr>
            <w:tcW w:w="1534" w:type="dxa"/>
          </w:tcPr>
          <w:p>
            <w:pPr>
              <w:pStyle w:val="TableParagraph"/>
              <w:rPr>
                <w:rFonts w:ascii="Times New Roman"/>
                <w:sz w:val="18"/>
              </w:rPr>
            </w:pPr>
          </w:p>
        </w:tc>
        <w:tc>
          <w:tcPr>
            <w:tcW w:w="7129" w:type="dxa"/>
          </w:tcPr>
          <w:p>
            <w:pPr>
              <w:pStyle w:val="TableParagraph"/>
              <w:spacing w:line="241" w:lineRule="exact"/>
              <w:ind w:left="101"/>
              <w:rPr>
                <w:sz w:val="21"/>
              </w:rPr>
            </w:pPr>
            <w:r>
              <w:rPr>
                <w:sz w:val="21"/>
              </w:rPr>
              <w:t>为患艾滋病。</w:t>
            </w:r>
          </w:p>
        </w:tc>
      </w:tr>
    </w:tbl>
    <w:p>
      <w:pPr>
        <w:spacing w:after="0" w:line="241" w:lineRule="exact"/>
        <w:rPr>
          <w:sz w:val="21"/>
        </w:rPr>
        <w:sectPr>
          <w:pgSz w:w="11900" w:h="16840"/>
          <w:pgMar w:header="575" w:footer="0" w:top="800" w:bottom="280" w:left="860" w:right="1360"/>
        </w:sectPr>
      </w:pPr>
    </w:p>
    <w:p>
      <w:pPr>
        <w:pStyle w:val="BodyText"/>
        <w:rPr>
          <w:rFonts w:ascii="Times New Roman"/>
          <w:sz w:val="24"/>
        </w:rPr>
      </w:pPr>
    </w:p>
    <w:p>
      <w:pPr>
        <w:pStyle w:val="ListParagraph"/>
        <w:numPr>
          <w:ilvl w:val="1"/>
          <w:numId w:val="9"/>
        </w:numPr>
        <w:tabs>
          <w:tab w:pos="1157" w:val="left" w:leader="none"/>
          <w:tab w:pos="1158" w:val="left" w:leader="none"/>
          <w:tab w:pos="2477" w:val="left" w:leader="none"/>
        </w:tabs>
        <w:spacing w:line="273" w:lineRule="auto" w:before="35" w:after="0"/>
        <w:ind w:left="2477" w:right="228" w:hanging="2376"/>
        <w:jc w:val="left"/>
        <w:rPr>
          <w:sz w:val="21"/>
        </w:rPr>
      </w:pPr>
      <w:r>
        <w:rPr>
          <w:sz w:val="21"/>
        </w:rPr>
        <w:t>遗传性疾病</w:t>
        <w:tab/>
        <w:t>指生殖细胞或受精卵的遗传物</w:t>
      </w:r>
      <w:r>
        <w:rPr>
          <w:spacing w:val="-29"/>
          <w:sz w:val="21"/>
        </w:rPr>
        <w:t>质</w:t>
      </w:r>
      <w:r>
        <w:rPr>
          <w:sz w:val="21"/>
        </w:rPr>
        <w:t>（染色体和基因</w:t>
      </w:r>
      <w:r>
        <w:rPr>
          <w:spacing w:val="-29"/>
          <w:sz w:val="21"/>
        </w:rPr>
        <w:t>）</w:t>
      </w:r>
      <w:r>
        <w:rPr>
          <w:sz w:val="21"/>
        </w:rPr>
        <w:t>发生突变或畸变所引起的疾病，通常具有由亲代传至后代的垂直传递的特征。</w:t>
      </w:r>
    </w:p>
    <w:p>
      <w:pPr>
        <w:pStyle w:val="BodyText"/>
        <w:spacing w:before="9"/>
      </w:pPr>
    </w:p>
    <w:p>
      <w:pPr>
        <w:spacing w:after="0"/>
        <w:sectPr>
          <w:pgSz w:w="11900" w:h="16840"/>
          <w:pgMar w:header="575" w:footer="0" w:top="800" w:bottom="280" w:left="920" w:right="1400"/>
        </w:sectPr>
      </w:pPr>
    </w:p>
    <w:p>
      <w:pPr>
        <w:pStyle w:val="ListParagraph"/>
        <w:numPr>
          <w:ilvl w:val="1"/>
          <w:numId w:val="9"/>
        </w:numPr>
        <w:tabs>
          <w:tab w:pos="1157" w:val="left" w:leader="none"/>
          <w:tab w:pos="1158" w:val="left" w:leader="none"/>
        </w:tabs>
        <w:spacing w:line="273" w:lineRule="auto" w:before="35" w:after="0"/>
        <w:ind w:left="1157" w:right="0" w:hanging="1056"/>
        <w:jc w:val="left"/>
        <w:rPr>
          <w:sz w:val="21"/>
        </w:rPr>
      </w:pPr>
      <w:r>
        <w:rPr>
          <w:spacing w:val="63"/>
          <w:sz w:val="21"/>
        </w:rPr>
        <w:t>先天性畸</w:t>
      </w:r>
      <w:r>
        <w:rPr>
          <w:spacing w:val="11"/>
          <w:sz w:val="21"/>
        </w:rPr>
        <w:t>形、变形或</w:t>
      </w:r>
      <w:r>
        <w:rPr>
          <w:sz w:val="21"/>
        </w:rPr>
        <w:t>染色体异常</w:t>
      </w:r>
    </w:p>
    <w:p>
      <w:pPr>
        <w:pStyle w:val="BodyText"/>
        <w:spacing w:line="273" w:lineRule="auto" w:before="35"/>
        <w:ind w:left="89"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89"/>
      </w:pPr>
      <w:r>
        <w:rPr/>
        <w:t>（ICD-10）确定。</w:t>
      </w:r>
    </w:p>
    <w:p>
      <w:pPr>
        <w:spacing w:after="0"/>
        <w:sectPr>
          <w:type w:val="continuous"/>
          <w:pgSz w:w="11900" w:h="16840"/>
          <w:pgMar w:top="1100" w:bottom="280" w:left="920" w:right="1400"/>
          <w:cols w:num="2" w:equalWidth="0">
            <w:col w:w="2348" w:space="40"/>
            <w:col w:w="7192"/>
          </w:cols>
        </w:sectPr>
      </w:pPr>
    </w:p>
    <w:p>
      <w:pPr>
        <w:pStyle w:val="BodyText"/>
        <w:spacing w:before="9"/>
      </w:pPr>
    </w:p>
    <w:p>
      <w:pPr>
        <w:spacing w:after="0"/>
        <w:sectPr>
          <w:type w:val="continuous"/>
          <w:pgSz w:w="11900" w:h="16840"/>
          <w:pgMar w:top="1100" w:bottom="280" w:left="920" w:right="1400"/>
        </w:sectPr>
      </w:pPr>
    </w:p>
    <w:p>
      <w:pPr>
        <w:pStyle w:val="ListParagraph"/>
        <w:numPr>
          <w:ilvl w:val="1"/>
          <w:numId w:val="9"/>
        </w:numPr>
        <w:tabs>
          <w:tab w:pos="1157" w:val="left" w:leader="none"/>
          <w:tab w:pos="1158" w:val="left" w:leader="none"/>
        </w:tabs>
        <w:spacing w:line="273" w:lineRule="auto" w:before="35" w:after="0"/>
        <w:ind w:left="1157" w:right="0" w:hanging="1056"/>
        <w:jc w:val="left"/>
        <w:rPr>
          <w:sz w:val="21"/>
        </w:rPr>
      </w:pPr>
      <w:r>
        <w:rPr>
          <w:spacing w:val="11"/>
          <w:sz w:val="21"/>
        </w:rPr>
        <w:t>肢体机能完</w:t>
      </w:r>
      <w:r>
        <w:rPr>
          <w:sz w:val="21"/>
        </w:rPr>
        <w:t>全丧失</w:t>
      </w:r>
    </w:p>
    <w:p>
      <w:pPr>
        <w:pStyle w:val="BodyText"/>
        <w:spacing w:line="273" w:lineRule="auto" w:before="35"/>
        <w:ind w:left="101" w:right="160"/>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00" w:h="16840"/>
          <w:pgMar w:top="1100" w:bottom="280" w:left="920" w:right="1400"/>
          <w:cols w:num="2" w:equalWidth="0">
            <w:col w:w="2274" w:space="102"/>
            <w:col w:w="7204"/>
          </w:cols>
        </w:sectPr>
      </w:pPr>
    </w:p>
    <w:p>
      <w:pPr>
        <w:pStyle w:val="BodyText"/>
        <w:spacing w:before="9"/>
      </w:pPr>
    </w:p>
    <w:p>
      <w:pPr>
        <w:spacing w:after="0"/>
        <w:sectPr>
          <w:type w:val="continuous"/>
          <w:pgSz w:w="11900" w:h="16840"/>
          <w:pgMar w:top="1100" w:bottom="280" w:left="920" w:right="1400"/>
        </w:sectPr>
      </w:pPr>
    </w:p>
    <w:p>
      <w:pPr>
        <w:pStyle w:val="ListParagraph"/>
        <w:numPr>
          <w:ilvl w:val="1"/>
          <w:numId w:val="9"/>
        </w:numPr>
        <w:tabs>
          <w:tab w:pos="1158" w:val="left" w:leader="none"/>
        </w:tabs>
        <w:spacing w:line="273" w:lineRule="auto" w:before="35" w:after="0"/>
        <w:ind w:left="1157" w:right="0" w:hanging="1056"/>
        <w:jc w:val="both"/>
        <w:rPr>
          <w:sz w:val="21"/>
        </w:rPr>
      </w:pPr>
      <w:r>
        <w:rPr>
          <w:spacing w:val="11"/>
          <w:sz w:val="21"/>
        </w:rPr>
        <w:t>语言能力或咀嚼吞咽能</w:t>
      </w:r>
      <w:r>
        <w:rPr>
          <w:sz w:val="21"/>
        </w:rPr>
        <w:t>力完全丧失</w:t>
      </w:r>
    </w:p>
    <w:p>
      <w:pPr>
        <w:pStyle w:val="BodyText"/>
        <w:spacing w:line="273" w:lineRule="auto" w:before="35"/>
        <w:ind w:left="101" w:right="228"/>
        <w:jc w:val="both"/>
      </w:pPr>
      <w:r>
        <w:rPr/>
        <w:br w:type="column"/>
      </w:r>
      <w:r>
        <w:rPr>
          <w:spacing w:val="-3"/>
        </w:rPr>
        <w:t>语言能力完全丧失，指无法发出四种语音</w:t>
      </w:r>
      <w:r>
        <w:rPr/>
        <w:t>（</w:t>
      </w:r>
      <w:r>
        <w:rPr>
          <w:spacing w:val="-5"/>
        </w:rPr>
        <w:t>包括口唇音、齿舌音、口盖音和喉头音</w:t>
      </w:r>
      <w:r>
        <w:rPr>
          <w:spacing w:val="-20"/>
        </w:rPr>
        <w:t>）</w:t>
      </w:r>
      <w:r>
        <w:rPr>
          <w:spacing w:val="-5"/>
        </w:rPr>
        <w:t>中的任何三种、或声带全部切除，或因大脑语言中枢受伤害而患失语症。</w:t>
      </w:r>
    </w:p>
    <w:p>
      <w:pPr>
        <w:pStyle w:val="BodyText"/>
        <w:spacing w:line="273" w:lineRule="auto" w:before="7"/>
        <w:ind w:left="101" w:right="228"/>
        <w:jc w:val="both"/>
      </w:pPr>
      <w:r>
        <w:rPr>
          <w:spacing w:val="-4"/>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1100" w:bottom="280" w:left="920" w:right="1400"/>
          <w:cols w:num="2" w:equalWidth="0">
            <w:col w:w="2274" w:space="102"/>
            <w:col w:w="7204"/>
          </w:cols>
        </w:sectPr>
      </w:pPr>
    </w:p>
    <w:p>
      <w:pPr>
        <w:pStyle w:val="BodyText"/>
        <w:spacing w:before="9"/>
      </w:pPr>
    </w:p>
    <w:p>
      <w:pPr>
        <w:spacing w:after="0"/>
        <w:sectPr>
          <w:type w:val="continuous"/>
          <w:pgSz w:w="11900" w:h="16840"/>
          <w:pgMar w:top="1100" w:bottom="280" w:left="920" w:right="1400"/>
        </w:sectPr>
      </w:pPr>
    </w:p>
    <w:p>
      <w:pPr>
        <w:pStyle w:val="ListParagraph"/>
        <w:numPr>
          <w:ilvl w:val="1"/>
          <w:numId w:val="9"/>
        </w:numPr>
        <w:tabs>
          <w:tab w:pos="1157" w:val="left" w:leader="none"/>
          <w:tab w:pos="1158" w:val="left" w:leader="none"/>
        </w:tabs>
        <w:spacing w:line="273" w:lineRule="auto" w:before="35" w:after="0"/>
        <w:ind w:left="1157" w:right="0" w:hanging="1056"/>
        <w:jc w:val="left"/>
        <w:rPr>
          <w:sz w:val="21"/>
        </w:rPr>
      </w:pPr>
      <w:r>
        <w:rPr>
          <w:spacing w:val="11"/>
          <w:sz w:val="21"/>
        </w:rPr>
        <w:t>六项基本日</w:t>
      </w:r>
      <w:r>
        <w:rPr>
          <w:sz w:val="21"/>
        </w:rPr>
        <w:t>常生活活动</w:t>
      </w:r>
    </w:p>
    <w:p>
      <w:pPr>
        <w:pStyle w:val="BodyText"/>
        <w:spacing w:line="273" w:lineRule="auto" w:before="35"/>
        <w:ind w:left="101" w:right="170"/>
        <w:jc w:val="both"/>
      </w:pPr>
      <w:r>
        <w:rPr/>
        <w:br w:type="column"/>
      </w:r>
      <w:r>
        <w:rPr>
          <w:spacing w:val="-9"/>
        </w:rPr>
        <w:t>六项基本日常生活活动是指：</w:t>
      </w:r>
      <w:r>
        <w:rPr/>
        <w:t>（1</w:t>
      </w:r>
      <w:r>
        <w:rPr>
          <w:spacing w:val="-2"/>
        </w:rPr>
        <w:t>）</w:t>
      </w:r>
      <w:r>
        <w:rPr>
          <w:spacing w:val="-9"/>
        </w:rPr>
        <w:t>穿衣：自己能够穿衣及脱衣；</w:t>
      </w:r>
      <w:r>
        <w:rPr/>
        <w:t>（2</w:t>
      </w:r>
      <w:r>
        <w:rPr>
          <w:spacing w:val="-2"/>
        </w:rPr>
        <w:t>）</w:t>
      </w:r>
      <w:r>
        <w:rPr/>
        <w:t>移动：自己从一个房间到另一个房间</w:t>
      </w:r>
      <w:r>
        <w:rPr>
          <w:spacing w:val="-117"/>
        </w:rPr>
        <w:t>；</w:t>
      </w:r>
      <w:r>
        <w:rPr>
          <w:spacing w:val="-1"/>
        </w:rPr>
        <w:t>（3</w:t>
      </w:r>
      <w:r>
        <w:rPr>
          <w:spacing w:val="-12"/>
        </w:rPr>
        <w:t>）</w:t>
      </w:r>
      <w:r>
        <w:rPr>
          <w:spacing w:val="-13"/>
        </w:rPr>
        <w:t>行动：自己上下床或上下轮椅；</w:t>
      </w:r>
      <w:r>
        <w:rPr/>
        <w:t>（4</w:t>
      </w:r>
      <w:r>
        <w:rPr>
          <w:spacing w:val="-12"/>
        </w:rPr>
        <w:t>）</w:t>
      </w:r>
      <w:r>
        <w:rPr/>
        <w:t>如</w:t>
      </w:r>
      <w:r>
        <w:rPr>
          <w:spacing w:val="-4"/>
        </w:rPr>
        <w:t>厕：自己控制进行大小便</w:t>
      </w:r>
      <w:r>
        <w:rPr>
          <w:spacing w:val="-119"/>
        </w:rPr>
        <w:t>；</w:t>
      </w:r>
      <w:r>
        <w:rPr/>
        <w:t>（5</w:t>
      </w:r>
      <w:r>
        <w:rPr>
          <w:spacing w:val="-15"/>
        </w:rPr>
        <w:t>）</w:t>
      </w:r>
      <w:r>
        <w:rPr>
          <w:spacing w:val="-4"/>
        </w:rPr>
        <w:t>进食：自己从已准备好的碗或碟中取食物放</w:t>
      </w:r>
      <w:r>
        <w:rPr>
          <w:spacing w:val="-30"/>
        </w:rPr>
        <w:t>入口中；</w:t>
      </w:r>
      <w:r>
        <w:rPr>
          <w:spacing w:val="-1"/>
        </w:rPr>
        <w:t>（6）洗澡：自己进行淋浴或盆浴。</w:t>
      </w:r>
    </w:p>
    <w:p>
      <w:pPr>
        <w:spacing w:after="0" w:line="273" w:lineRule="auto"/>
        <w:jc w:val="both"/>
        <w:sectPr>
          <w:type w:val="continuous"/>
          <w:pgSz w:w="11900" w:h="16840"/>
          <w:pgMar w:top="1100" w:bottom="280" w:left="920" w:right="1400"/>
          <w:cols w:num="2" w:equalWidth="0">
            <w:col w:w="2274" w:space="102"/>
            <w:col w:w="7204"/>
          </w:cols>
        </w:sectPr>
      </w:pPr>
    </w:p>
    <w:p>
      <w:pPr>
        <w:pStyle w:val="BodyText"/>
        <w:spacing w:before="9"/>
      </w:pPr>
    </w:p>
    <w:p>
      <w:pPr>
        <w:pStyle w:val="ListParagraph"/>
        <w:numPr>
          <w:ilvl w:val="1"/>
          <w:numId w:val="9"/>
        </w:numPr>
        <w:tabs>
          <w:tab w:pos="1157" w:val="left" w:leader="none"/>
          <w:tab w:pos="1158" w:val="left" w:leader="none"/>
          <w:tab w:pos="2477" w:val="left" w:leader="none"/>
        </w:tabs>
        <w:spacing w:line="273" w:lineRule="auto" w:before="35" w:after="0"/>
        <w:ind w:left="2477" w:right="228" w:hanging="2376"/>
        <w:jc w:val="left"/>
        <w:rPr>
          <w:sz w:val="21"/>
        </w:rPr>
      </w:pPr>
      <w:r>
        <w:rPr>
          <w:sz w:val="21"/>
        </w:rPr>
        <w:t>永久不可逆</w:t>
        <w:tab/>
        <w:t>指自疾病确诊或意外伤害发生之日起</w:t>
      </w:r>
      <w:r>
        <w:rPr>
          <w:spacing w:val="-29"/>
          <w:sz w:val="21"/>
        </w:rPr>
        <w:t>，</w:t>
      </w:r>
      <w:r>
        <w:rPr>
          <w:sz w:val="21"/>
        </w:rPr>
        <w:t>经过积极治疗</w:t>
      </w:r>
      <w:r>
        <w:rPr>
          <w:spacing w:val="-53"/>
          <w:sz w:val="21"/>
        </w:rPr>
        <w:t> </w:t>
      </w:r>
      <w:r>
        <w:rPr>
          <w:sz w:val="21"/>
        </w:rPr>
        <w:t>180</w:t>
      </w:r>
      <w:r>
        <w:rPr>
          <w:spacing w:val="-53"/>
          <w:sz w:val="21"/>
        </w:rPr>
        <w:t> </w:t>
      </w:r>
      <w:r>
        <w:rPr>
          <w:sz w:val="21"/>
        </w:rPr>
        <w:t>天后</w:t>
      </w:r>
      <w:r>
        <w:rPr>
          <w:spacing w:val="-29"/>
          <w:sz w:val="21"/>
        </w:rPr>
        <w:t>，</w:t>
      </w:r>
      <w:r>
        <w:rPr>
          <w:sz w:val="21"/>
        </w:rPr>
        <w:t>仍无法通过现有医疗手段恢复。</w:t>
      </w:r>
    </w:p>
    <w:p>
      <w:pPr>
        <w:pStyle w:val="BodyText"/>
        <w:spacing w:before="9"/>
      </w:pPr>
    </w:p>
    <w:p>
      <w:pPr>
        <w:spacing w:after="0"/>
        <w:sectPr>
          <w:type w:val="continuous"/>
          <w:pgSz w:w="11900" w:h="16840"/>
          <w:pgMar w:top="1100" w:bottom="280" w:left="920" w:right="1400"/>
        </w:sectPr>
      </w:pPr>
    </w:p>
    <w:p>
      <w:pPr>
        <w:pStyle w:val="ListParagraph"/>
        <w:numPr>
          <w:ilvl w:val="1"/>
          <w:numId w:val="9"/>
        </w:numPr>
        <w:tabs>
          <w:tab w:pos="1157" w:val="left" w:leader="none"/>
          <w:tab w:pos="1158" w:val="left" w:leader="none"/>
        </w:tabs>
        <w:spacing w:line="273" w:lineRule="auto" w:before="35" w:after="0"/>
        <w:ind w:left="1157" w:right="0" w:hanging="1056"/>
        <w:jc w:val="left"/>
        <w:rPr>
          <w:sz w:val="21"/>
        </w:rPr>
      </w:pPr>
      <w:r>
        <w:rPr>
          <w:spacing w:val="11"/>
          <w:sz w:val="21"/>
        </w:rPr>
        <w:t>持续的输氧</w:t>
      </w:r>
      <w:r>
        <w:rPr>
          <w:sz w:val="21"/>
        </w:rPr>
        <w:t>治疗</w:t>
      </w:r>
    </w:p>
    <w:p>
      <w:pPr>
        <w:pStyle w:val="BodyText"/>
        <w:spacing w:before="35"/>
        <w:ind w:left="101"/>
      </w:pPr>
      <w:r>
        <w:rPr/>
        <w:br w:type="column"/>
      </w:r>
      <w:r>
        <w:rPr/>
        <w:t>指每日至少吸氧 15 小时，氧疗时间至少达到 6 个月以上。</w:t>
      </w:r>
    </w:p>
    <w:p>
      <w:pPr>
        <w:spacing w:after="0"/>
        <w:sectPr>
          <w:type w:val="continuous"/>
          <w:pgSz w:w="11900" w:h="16840"/>
          <w:pgMar w:top="1100" w:bottom="280" w:left="920" w:right="1400"/>
          <w:cols w:num="2" w:equalWidth="0">
            <w:col w:w="2274" w:space="102"/>
            <w:col w:w="7204"/>
          </w:cols>
        </w:sectPr>
      </w:pPr>
    </w:p>
    <w:p>
      <w:pPr>
        <w:pStyle w:val="BodyText"/>
        <w:spacing w:before="9"/>
        <w:rPr>
          <w:sz w:val="14"/>
        </w:rPr>
      </w:pPr>
    </w:p>
    <w:p>
      <w:pPr>
        <w:spacing w:after="0"/>
        <w:rPr>
          <w:sz w:val="14"/>
        </w:rPr>
        <w:sectPr>
          <w:type w:val="continuous"/>
          <w:pgSz w:w="11900" w:h="16840"/>
          <w:pgMar w:top="1100" w:bottom="280" w:left="920" w:right="1400"/>
        </w:sectPr>
      </w:pPr>
    </w:p>
    <w:p>
      <w:pPr>
        <w:pStyle w:val="ListParagraph"/>
        <w:numPr>
          <w:ilvl w:val="1"/>
          <w:numId w:val="9"/>
        </w:numPr>
        <w:tabs>
          <w:tab w:pos="1157" w:val="left" w:leader="none"/>
          <w:tab w:pos="1158" w:val="left" w:leader="none"/>
        </w:tabs>
        <w:spacing w:line="273" w:lineRule="auto" w:before="42" w:after="0"/>
        <w:ind w:left="1157" w:right="0" w:hanging="1056"/>
        <w:jc w:val="left"/>
        <w:rPr>
          <w:sz w:val="21"/>
        </w:rPr>
      </w:pPr>
      <w:r>
        <w:rPr>
          <w:spacing w:val="11"/>
          <w:sz w:val="21"/>
        </w:rPr>
        <w:t>持续性尿蛋白（尿蛋白</w:t>
      </w:r>
    </w:p>
    <w:p>
      <w:pPr>
        <w:spacing w:before="8"/>
        <w:ind w:left="1157" w:right="0" w:firstLine="0"/>
        <w:jc w:val="left"/>
        <w:rPr>
          <w:sz w:val="21"/>
        </w:rPr>
      </w:pPr>
      <w:r>
        <w:rPr>
          <w:rFonts w:ascii="Times New Roman" w:eastAsia="Times New Roman"/>
          <w:b/>
          <w:sz w:val="21"/>
        </w:rPr>
        <w:t>++</w:t>
      </w:r>
      <w:r>
        <w:rPr>
          <w:sz w:val="21"/>
        </w:rPr>
        <w:t>以上）</w:t>
      </w:r>
    </w:p>
    <w:p>
      <w:pPr>
        <w:pStyle w:val="BodyText"/>
        <w:spacing w:before="42"/>
        <w:ind w:left="101"/>
      </w:pPr>
      <w:r>
        <w:rPr/>
        <w:br w:type="column"/>
      </w:r>
      <w:r>
        <w:rPr/>
        <w:t>指在三个尿样中的两个检查中查出蛋白质；</w:t>
      </w:r>
      <w:r>
        <w:rPr>
          <w:rFonts w:ascii="Times New Roman" w:eastAsia="Times New Roman"/>
        </w:rPr>
        <w:t>++</w:t>
      </w:r>
      <w:r>
        <w:rPr/>
        <w:t>以上不包括</w:t>
      </w:r>
      <w:r>
        <w:rPr>
          <w:rFonts w:ascii="Times New Roman" w:eastAsia="Times New Roman"/>
        </w:rPr>
        <w:t>++</w:t>
      </w:r>
      <w:r>
        <w:rPr/>
        <w:t>。</w:t>
      </w:r>
    </w:p>
    <w:p>
      <w:pPr>
        <w:spacing w:after="0"/>
        <w:sectPr>
          <w:type w:val="continuous"/>
          <w:pgSz w:w="11900" w:h="16840"/>
          <w:pgMar w:top="1100" w:bottom="280" w:left="920" w:right="1400"/>
          <w:cols w:num="2" w:equalWidth="0">
            <w:col w:w="2274" w:space="102"/>
            <w:col w:w="7204"/>
          </w:cols>
        </w:sectPr>
      </w:pPr>
    </w:p>
    <w:p>
      <w:pPr>
        <w:pStyle w:val="BodyText"/>
        <w:spacing w:before="12"/>
        <w:rPr>
          <w:sz w:val="19"/>
        </w:rPr>
      </w:pPr>
    </w:p>
    <w:p>
      <w:pPr>
        <w:pStyle w:val="Heading3"/>
      </w:pPr>
      <w:r>
        <w:rPr/>
        <w:t>附表一：</w:t>
      </w:r>
    </w:p>
    <w:p>
      <w:pPr>
        <w:pStyle w:val="BodyText"/>
        <w:rPr>
          <w:sz w:val="20"/>
        </w:rPr>
      </w:pPr>
    </w:p>
    <w:p>
      <w:pPr>
        <w:spacing w:before="172"/>
        <w:ind w:left="2362" w:right="0" w:firstLine="0"/>
        <w:jc w:val="left"/>
        <w:rPr>
          <w:sz w:val="28"/>
        </w:rPr>
      </w:pPr>
      <w:r>
        <w:rPr>
          <w:sz w:val="28"/>
        </w:rPr>
        <w:t>阳光人寿附加阳光康睿重大疾病保险费率表</w:t>
      </w:r>
    </w:p>
    <w:p>
      <w:pPr>
        <w:spacing w:before="150" w:after="30"/>
        <w:ind w:left="1541" w:right="0" w:firstLine="0"/>
        <w:jc w:val="left"/>
        <w:rPr>
          <w:sz w:val="22"/>
        </w:rPr>
      </w:pPr>
      <w:r>
        <w:rPr>
          <w:sz w:val="22"/>
        </w:rPr>
        <w:t>每 </w:t>
      </w:r>
      <w:r>
        <w:rPr>
          <w:rFonts w:ascii="Times New Roman" w:eastAsia="Times New Roman"/>
          <w:sz w:val="22"/>
        </w:rPr>
        <w:t>1000 </w:t>
      </w:r>
      <w:r>
        <w:rPr>
          <w:sz w:val="22"/>
        </w:rPr>
        <w:t>元主合同累计已交保险费（单位：元）</w:t>
      </w:r>
    </w:p>
    <w:tbl>
      <w:tblPr>
        <w:tblW w:w="0" w:type="auto"/>
        <w:jc w:val="left"/>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8"/>
        <w:gridCol w:w="2365"/>
      </w:tblGrid>
      <w:tr>
        <w:trPr>
          <w:trHeight w:val="345" w:hRule="atLeast"/>
        </w:trPr>
        <w:tc>
          <w:tcPr>
            <w:tcW w:w="3488" w:type="dxa"/>
          </w:tcPr>
          <w:p>
            <w:pPr>
              <w:pStyle w:val="TableParagraph"/>
              <w:spacing w:line="308" w:lineRule="exact"/>
              <w:ind w:left="107" w:right="98"/>
              <w:jc w:val="center"/>
              <w:rPr>
                <w:sz w:val="24"/>
              </w:rPr>
            </w:pPr>
            <w:r>
              <w:rPr>
                <w:sz w:val="24"/>
              </w:rPr>
              <w:t>投保时被保险人的年龄</w:t>
            </w:r>
          </w:p>
        </w:tc>
        <w:tc>
          <w:tcPr>
            <w:tcW w:w="2365" w:type="dxa"/>
          </w:tcPr>
          <w:p>
            <w:pPr>
              <w:pStyle w:val="TableParagraph"/>
              <w:spacing w:line="308" w:lineRule="exact"/>
              <w:ind w:left="940"/>
              <w:rPr>
                <w:sz w:val="24"/>
              </w:rPr>
            </w:pPr>
            <w:r>
              <w:rPr>
                <w:sz w:val="24"/>
              </w:rPr>
              <w:t>费率</w:t>
            </w:r>
          </w:p>
        </w:tc>
      </w:tr>
      <w:tr>
        <w:trPr>
          <w:trHeight w:val="329" w:hRule="atLeast"/>
        </w:trPr>
        <w:tc>
          <w:tcPr>
            <w:tcW w:w="3488" w:type="dxa"/>
          </w:tcPr>
          <w:p>
            <w:pPr>
              <w:pStyle w:val="TableParagraph"/>
              <w:spacing w:line="303" w:lineRule="exact"/>
              <w:ind w:left="107" w:right="-29"/>
              <w:jc w:val="center"/>
              <w:rPr>
                <w:sz w:val="24"/>
              </w:rPr>
            </w:pPr>
            <w:r>
              <w:rPr>
                <w:spacing w:val="-15"/>
                <w:sz w:val="24"/>
              </w:rPr>
              <w:t>出生满 </w:t>
            </w:r>
            <w:r>
              <w:rPr>
                <w:rFonts w:ascii="Times New Roman" w:eastAsia="Times New Roman"/>
                <w:b/>
                <w:sz w:val="24"/>
              </w:rPr>
              <w:t>30</w:t>
            </w:r>
            <w:r>
              <w:rPr>
                <w:rFonts w:ascii="Times New Roman" w:eastAsia="Times New Roman"/>
                <w:b/>
                <w:spacing w:val="1"/>
                <w:sz w:val="24"/>
              </w:rPr>
              <w:t> </w:t>
            </w:r>
            <w:r>
              <w:rPr>
                <w:spacing w:val="-80"/>
                <w:sz w:val="24"/>
              </w:rPr>
              <w:t>天</w:t>
            </w:r>
            <w:r>
              <w:rPr>
                <w:sz w:val="24"/>
              </w:rPr>
              <w:t>（含</w:t>
            </w:r>
            <w:r>
              <w:rPr>
                <w:spacing w:val="-20"/>
                <w:sz w:val="24"/>
              </w:rPr>
              <w:t>）</w:t>
            </w:r>
            <w:r>
              <w:rPr>
                <w:rFonts w:ascii="Times New Roman" w:eastAsia="Times New Roman"/>
                <w:b/>
                <w:spacing w:val="-20"/>
                <w:sz w:val="24"/>
              </w:rPr>
              <w:t>-50</w:t>
            </w:r>
            <w:r>
              <w:rPr>
                <w:rFonts w:ascii="Times New Roman" w:eastAsia="Times New Roman"/>
                <w:b/>
                <w:sz w:val="24"/>
              </w:rPr>
              <w:t> </w:t>
            </w:r>
            <w:r>
              <w:rPr>
                <w:spacing w:val="-39"/>
                <w:sz w:val="24"/>
              </w:rPr>
              <w:t>周岁</w:t>
            </w:r>
            <w:r>
              <w:rPr>
                <w:sz w:val="24"/>
              </w:rPr>
              <w:t>（含）</w:t>
            </w:r>
          </w:p>
        </w:tc>
        <w:tc>
          <w:tcPr>
            <w:tcW w:w="2365" w:type="dxa"/>
          </w:tcPr>
          <w:p>
            <w:pPr>
              <w:pStyle w:val="TableParagraph"/>
              <w:spacing w:before="26"/>
              <w:ind w:left="911"/>
              <w:rPr>
                <w:rFonts w:ascii="Times New Roman"/>
                <w:sz w:val="24"/>
              </w:rPr>
            </w:pPr>
            <w:r>
              <w:rPr>
                <w:rFonts w:ascii="Times New Roman"/>
                <w:sz w:val="24"/>
              </w:rPr>
              <w:t>29.00</w:t>
            </w:r>
          </w:p>
        </w:tc>
      </w:tr>
    </w:tbl>
    <w:p>
      <w:pPr>
        <w:spacing w:after="0"/>
        <w:rPr>
          <w:rFonts w:ascii="Times New Roman"/>
          <w:sz w:val="24"/>
        </w:rPr>
        <w:sectPr>
          <w:pgSz w:w="11900" w:h="16840"/>
          <w:pgMar w:header="575" w:footer="0" w:top="800" w:bottom="280" w:left="920" w:right="1680"/>
        </w:sectPr>
      </w:pPr>
    </w:p>
    <w:p>
      <w:pPr>
        <w:pStyle w:val="BodyText"/>
        <w:spacing w:before="12"/>
        <w:rPr>
          <w:sz w:val="19"/>
        </w:rPr>
      </w:pPr>
    </w:p>
    <w:p>
      <w:pPr>
        <w:pStyle w:val="Heading3"/>
      </w:pPr>
      <w:r>
        <w:rPr/>
        <w:t>附表二：</w:t>
      </w:r>
    </w:p>
    <w:p>
      <w:pPr>
        <w:pStyle w:val="BodyText"/>
        <w:spacing w:line="273" w:lineRule="auto" w:before="22" w:after="22"/>
        <w:ind w:left="101" w:right="71"/>
      </w:pPr>
      <w:r>
        <w:rPr/>
        <w:t>按比例退还本附加合同已交的该保险期间对应的保险费：指按下表比例退还本附加合同已交的该保险期间对应的保险费。</w:t>
      </w: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2"/>
        <w:gridCol w:w="4518"/>
      </w:tblGrid>
      <w:tr>
        <w:trPr>
          <w:trHeight w:val="311" w:hRule="atLeast"/>
        </w:trPr>
        <w:tc>
          <w:tcPr>
            <w:tcW w:w="4562" w:type="dxa"/>
          </w:tcPr>
          <w:p>
            <w:pPr>
              <w:pStyle w:val="TableParagraph"/>
              <w:spacing w:line="260" w:lineRule="exact"/>
              <w:ind w:left="580" w:right="572"/>
              <w:jc w:val="center"/>
              <w:rPr>
                <w:sz w:val="21"/>
              </w:rPr>
            </w:pPr>
            <w:r>
              <w:rPr>
                <w:sz w:val="21"/>
              </w:rPr>
              <w:t>效力终止日至保险期间届满时的月数</w:t>
            </w:r>
          </w:p>
        </w:tc>
        <w:tc>
          <w:tcPr>
            <w:tcW w:w="4518" w:type="dxa"/>
          </w:tcPr>
          <w:p>
            <w:pPr>
              <w:pStyle w:val="TableParagraph"/>
              <w:spacing w:line="260" w:lineRule="exact"/>
              <w:ind w:left="1398" w:right="1389"/>
              <w:jc w:val="center"/>
              <w:rPr>
                <w:sz w:val="21"/>
              </w:rPr>
            </w:pPr>
            <w:r>
              <w:rPr>
                <w:sz w:val="21"/>
              </w:rPr>
              <w:t>退还保险费的比例</w:t>
            </w:r>
          </w:p>
        </w:tc>
      </w:tr>
      <w:tr>
        <w:trPr>
          <w:trHeight w:val="432" w:hRule="atLeast"/>
        </w:trPr>
        <w:tc>
          <w:tcPr>
            <w:tcW w:w="4562" w:type="dxa"/>
          </w:tcPr>
          <w:p>
            <w:pPr>
              <w:pStyle w:val="TableParagraph"/>
              <w:spacing w:before="46"/>
              <w:ind w:left="580" w:right="571"/>
              <w:jc w:val="center"/>
              <w:rPr>
                <w:sz w:val="21"/>
              </w:rPr>
            </w:pPr>
            <w:r>
              <w:rPr>
                <w:sz w:val="21"/>
              </w:rPr>
              <w:t>满 10 个月</w:t>
            </w:r>
          </w:p>
        </w:tc>
        <w:tc>
          <w:tcPr>
            <w:tcW w:w="4518" w:type="dxa"/>
          </w:tcPr>
          <w:p>
            <w:pPr>
              <w:pStyle w:val="TableParagraph"/>
              <w:spacing w:before="46"/>
              <w:ind w:left="1398" w:right="1389"/>
              <w:jc w:val="center"/>
              <w:rPr>
                <w:sz w:val="21"/>
              </w:rPr>
            </w:pPr>
            <w:r>
              <w:rPr>
                <w:sz w:val="21"/>
              </w:rPr>
              <w:t>60%</w:t>
            </w:r>
          </w:p>
        </w:tc>
      </w:tr>
      <w:tr>
        <w:trPr>
          <w:trHeight w:val="431" w:hRule="atLeast"/>
        </w:trPr>
        <w:tc>
          <w:tcPr>
            <w:tcW w:w="4562" w:type="dxa"/>
          </w:tcPr>
          <w:p>
            <w:pPr>
              <w:pStyle w:val="TableParagraph"/>
              <w:spacing w:before="45"/>
              <w:ind w:left="580" w:right="571"/>
              <w:jc w:val="center"/>
              <w:rPr>
                <w:sz w:val="21"/>
              </w:rPr>
            </w:pPr>
            <w:r>
              <w:rPr>
                <w:sz w:val="21"/>
              </w:rPr>
              <w:t>满 9 个月但不满 10 个月</w:t>
            </w:r>
          </w:p>
        </w:tc>
        <w:tc>
          <w:tcPr>
            <w:tcW w:w="4518" w:type="dxa"/>
          </w:tcPr>
          <w:p>
            <w:pPr>
              <w:pStyle w:val="TableParagraph"/>
              <w:spacing w:before="45"/>
              <w:ind w:left="1397" w:right="1389"/>
              <w:jc w:val="center"/>
              <w:rPr>
                <w:sz w:val="21"/>
              </w:rPr>
            </w:pPr>
            <w:r>
              <w:rPr>
                <w:sz w:val="21"/>
              </w:rPr>
              <w:t>50%</w:t>
            </w:r>
          </w:p>
        </w:tc>
      </w:tr>
      <w:tr>
        <w:trPr>
          <w:trHeight w:val="431" w:hRule="atLeast"/>
        </w:trPr>
        <w:tc>
          <w:tcPr>
            <w:tcW w:w="4562" w:type="dxa"/>
          </w:tcPr>
          <w:p>
            <w:pPr>
              <w:pStyle w:val="TableParagraph"/>
              <w:spacing w:before="45"/>
              <w:ind w:left="580" w:right="570"/>
              <w:jc w:val="center"/>
              <w:rPr>
                <w:sz w:val="21"/>
              </w:rPr>
            </w:pPr>
            <w:r>
              <w:rPr>
                <w:sz w:val="21"/>
              </w:rPr>
              <w:t>满 8 个月但不满 9 个月</w:t>
            </w:r>
          </w:p>
        </w:tc>
        <w:tc>
          <w:tcPr>
            <w:tcW w:w="4518" w:type="dxa"/>
          </w:tcPr>
          <w:p>
            <w:pPr>
              <w:pStyle w:val="TableParagraph"/>
              <w:spacing w:before="45"/>
              <w:ind w:left="1397" w:right="1389"/>
              <w:jc w:val="center"/>
              <w:rPr>
                <w:sz w:val="21"/>
              </w:rPr>
            </w:pPr>
            <w:r>
              <w:rPr>
                <w:sz w:val="21"/>
              </w:rPr>
              <w:t>40%</w:t>
            </w:r>
          </w:p>
        </w:tc>
      </w:tr>
      <w:tr>
        <w:trPr>
          <w:trHeight w:val="432" w:hRule="atLeast"/>
        </w:trPr>
        <w:tc>
          <w:tcPr>
            <w:tcW w:w="4562" w:type="dxa"/>
          </w:tcPr>
          <w:p>
            <w:pPr>
              <w:pStyle w:val="TableParagraph"/>
              <w:spacing w:before="46"/>
              <w:ind w:left="580" w:right="570"/>
              <w:jc w:val="center"/>
              <w:rPr>
                <w:sz w:val="21"/>
              </w:rPr>
            </w:pPr>
            <w:r>
              <w:rPr>
                <w:sz w:val="21"/>
              </w:rPr>
              <w:t>满 7 个月但不满 8 个月</w:t>
            </w:r>
          </w:p>
        </w:tc>
        <w:tc>
          <w:tcPr>
            <w:tcW w:w="4518" w:type="dxa"/>
          </w:tcPr>
          <w:p>
            <w:pPr>
              <w:pStyle w:val="TableParagraph"/>
              <w:spacing w:before="46"/>
              <w:ind w:left="1397" w:right="1389"/>
              <w:jc w:val="center"/>
              <w:rPr>
                <w:sz w:val="21"/>
              </w:rPr>
            </w:pPr>
            <w:r>
              <w:rPr>
                <w:sz w:val="21"/>
              </w:rPr>
              <w:t>30%</w:t>
            </w:r>
          </w:p>
        </w:tc>
      </w:tr>
      <w:tr>
        <w:trPr>
          <w:trHeight w:val="431" w:hRule="atLeast"/>
        </w:trPr>
        <w:tc>
          <w:tcPr>
            <w:tcW w:w="4562" w:type="dxa"/>
          </w:tcPr>
          <w:p>
            <w:pPr>
              <w:pStyle w:val="TableParagraph"/>
              <w:spacing w:before="45"/>
              <w:ind w:left="580" w:right="570"/>
              <w:jc w:val="center"/>
              <w:rPr>
                <w:sz w:val="21"/>
              </w:rPr>
            </w:pPr>
            <w:r>
              <w:rPr>
                <w:sz w:val="21"/>
              </w:rPr>
              <w:t>满 6 个月但不满 7 个月</w:t>
            </w:r>
          </w:p>
        </w:tc>
        <w:tc>
          <w:tcPr>
            <w:tcW w:w="4518" w:type="dxa"/>
          </w:tcPr>
          <w:p>
            <w:pPr>
              <w:pStyle w:val="TableParagraph"/>
              <w:spacing w:before="45"/>
              <w:ind w:left="1397" w:right="1389"/>
              <w:jc w:val="center"/>
              <w:rPr>
                <w:sz w:val="21"/>
              </w:rPr>
            </w:pPr>
            <w:r>
              <w:rPr>
                <w:sz w:val="21"/>
              </w:rPr>
              <w:t>25%</w:t>
            </w:r>
          </w:p>
        </w:tc>
      </w:tr>
      <w:tr>
        <w:trPr>
          <w:trHeight w:val="431" w:hRule="atLeast"/>
        </w:trPr>
        <w:tc>
          <w:tcPr>
            <w:tcW w:w="4562" w:type="dxa"/>
          </w:tcPr>
          <w:p>
            <w:pPr>
              <w:pStyle w:val="TableParagraph"/>
              <w:spacing w:before="45"/>
              <w:ind w:left="580" w:right="571"/>
              <w:jc w:val="center"/>
              <w:rPr>
                <w:sz w:val="21"/>
              </w:rPr>
            </w:pPr>
            <w:r>
              <w:rPr>
                <w:sz w:val="21"/>
              </w:rPr>
              <w:t>不满 6 个月</w:t>
            </w:r>
          </w:p>
        </w:tc>
        <w:tc>
          <w:tcPr>
            <w:tcW w:w="4518" w:type="dxa"/>
          </w:tcPr>
          <w:p>
            <w:pPr>
              <w:pStyle w:val="TableParagraph"/>
              <w:spacing w:before="45"/>
              <w:ind w:left="7"/>
              <w:jc w:val="center"/>
              <w:rPr>
                <w:sz w:val="21"/>
              </w:rPr>
            </w:pPr>
            <w:r>
              <w:rPr>
                <w:sz w:val="21"/>
              </w:rPr>
              <w:t>０</w:t>
            </w:r>
          </w:p>
        </w:tc>
      </w:tr>
    </w:tbl>
    <w:sectPr>
      <w:pgSz w:w="11900" w:h="16840"/>
      <w:pgMar w:header="575" w:footer="0" w:top="80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pt;margin-top:27.51968pt;width:22.35pt;height:13.9pt;mso-position-horizontal-relative:page;mso-position-vertical-relative:page;z-index:-86992" type="#_x0000_t202" filled="false" stroked="false">
          <v:textbox inset="0,0,0,0">
            <w:txbxContent>
              <w:p>
                <w:pPr>
                  <w:pStyle w:val="BodyText"/>
                  <w:spacing w:before="15"/>
                  <w:ind w:left="20"/>
                  <w:rPr>
                    <w:rFonts w:ascii="Times New Roman"/>
                  </w:rPr>
                </w:pPr>
                <w:r>
                  <w:rPr>
                    <w:rFonts w:ascii="Times New Roman"/>
                  </w:rPr>
                  <w:t>18-</w:t>
                </w:r>
                <w:r>
                  <w:rPr/>
                  <w:fldChar w:fldCharType="begin"/>
                </w:r>
                <w:r>
                  <w:rPr>
                    <w:rFonts w:ascii="Times New Roman"/>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0013pt;margin-top:27.743011pt;width:27.55pt;height:13.65pt;mso-position-horizontal-relative:page;mso-position-vertical-relative:page;z-index:-86968" type="#_x0000_t202" filled="false" stroked="false">
          <v:textbox inset="0,0,0,0">
            <w:txbxContent>
              <w:p>
                <w:pPr>
                  <w:pStyle w:val="BodyText"/>
                  <w:spacing w:before="11"/>
                  <w:ind w:left="20"/>
                  <w:rPr>
                    <w:rFonts w:ascii="Times New Roman"/>
                  </w:rPr>
                </w:pPr>
                <w:r>
                  <w:rPr>
                    <w:rFonts w:ascii="Times New Roman"/>
                  </w:rPr>
                  <w:t>18-</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20013pt;margin-top:27.743011pt;width:27.55pt;height:13.65pt;mso-position-horizontal-relative:page;mso-position-vertical-relative:page;z-index:-86944" type="#_x0000_t202" filled="false" stroked="false">
          <v:textbox inset="0,0,0,0">
            <w:txbxContent>
              <w:p>
                <w:pPr>
                  <w:pStyle w:val="BodyText"/>
                  <w:spacing w:before="11"/>
                  <w:ind w:left="20"/>
                  <w:rPr>
                    <w:rFonts w:ascii="Times New Roman"/>
                  </w:rPr>
                </w:pPr>
                <w:r>
                  <w:rPr>
                    <w:rFonts w:ascii="Times New Roman"/>
                  </w:rPr>
                  <w:t>18-</w:t>
                </w:r>
                <w:r>
                  <w:rPr/>
                  <w:fldChar w:fldCharType="begin"/>
                </w:r>
                <w:r>
                  <w:rPr>
                    <w:rFonts w:ascii="Times New Roman"/>
                  </w:rPr>
                  <w:instrText> PAGE </w:instrText>
                </w:r>
                <w:r>
                  <w:rPr/>
                  <w:fldChar w:fldCharType="separate"/>
                </w:r>
                <w:r>
                  <w:rPr/>
                  <w:t>12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9"/>
      <w:numFmt w:val="decimal"/>
      <w:lvlText w:val="%1"/>
      <w:lvlJc w:val="left"/>
      <w:pPr>
        <w:ind w:left="2477" w:hanging="1057"/>
        <w:jc w:val="left"/>
      </w:pPr>
      <w:rPr>
        <w:rFonts w:hint="default"/>
      </w:rPr>
    </w:lvl>
    <w:lvl w:ilvl="1">
      <w:start w:val="12"/>
      <w:numFmt w:val="decimal"/>
      <w:lvlText w:val="%1.%2"/>
      <w:lvlJc w:val="left"/>
      <w:pPr>
        <w:ind w:left="2477" w:hanging="1057"/>
        <w:jc w:val="left"/>
      </w:pPr>
      <w:rPr>
        <w:rFonts w:hint="default" w:ascii="宋体" w:hAnsi="宋体" w:eastAsia="宋体" w:cs="宋体"/>
        <w:spacing w:val="-29"/>
        <w:w w:val="100"/>
        <w:sz w:val="21"/>
        <w:szCs w:val="21"/>
      </w:rPr>
    </w:lvl>
    <w:lvl w:ilvl="2">
      <w:start w:val="0"/>
      <w:numFmt w:val="bullet"/>
      <w:lvlText w:val="•"/>
      <w:lvlJc w:val="left"/>
      <w:pPr>
        <w:ind w:left="3900" w:hanging="1057"/>
      </w:pPr>
      <w:rPr>
        <w:rFonts w:hint="default"/>
      </w:rPr>
    </w:lvl>
    <w:lvl w:ilvl="3">
      <w:start w:val="0"/>
      <w:numFmt w:val="bullet"/>
      <w:lvlText w:val="•"/>
      <w:lvlJc w:val="left"/>
      <w:pPr>
        <w:ind w:left="4610" w:hanging="1057"/>
      </w:pPr>
      <w:rPr>
        <w:rFonts w:hint="default"/>
      </w:rPr>
    </w:lvl>
    <w:lvl w:ilvl="4">
      <w:start w:val="0"/>
      <w:numFmt w:val="bullet"/>
      <w:lvlText w:val="•"/>
      <w:lvlJc w:val="left"/>
      <w:pPr>
        <w:ind w:left="5320" w:hanging="1057"/>
      </w:pPr>
      <w:rPr>
        <w:rFonts w:hint="default"/>
      </w:rPr>
    </w:lvl>
    <w:lvl w:ilvl="5">
      <w:start w:val="0"/>
      <w:numFmt w:val="bullet"/>
      <w:lvlText w:val="•"/>
      <w:lvlJc w:val="left"/>
      <w:pPr>
        <w:ind w:left="6030" w:hanging="1057"/>
      </w:pPr>
      <w:rPr>
        <w:rFonts w:hint="default"/>
      </w:rPr>
    </w:lvl>
    <w:lvl w:ilvl="6">
      <w:start w:val="0"/>
      <w:numFmt w:val="bullet"/>
      <w:lvlText w:val="•"/>
      <w:lvlJc w:val="left"/>
      <w:pPr>
        <w:ind w:left="6740" w:hanging="1057"/>
      </w:pPr>
      <w:rPr>
        <w:rFonts w:hint="default"/>
      </w:rPr>
    </w:lvl>
    <w:lvl w:ilvl="7">
      <w:start w:val="0"/>
      <w:numFmt w:val="bullet"/>
      <w:lvlText w:val="•"/>
      <w:lvlJc w:val="left"/>
      <w:pPr>
        <w:ind w:left="7450" w:hanging="1057"/>
      </w:pPr>
      <w:rPr>
        <w:rFonts w:hint="default"/>
      </w:rPr>
    </w:lvl>
    <w:lvl w:ilvl="8">
      <w:start w:val="0"/>
      <w:numFmt w:val="bullet"/>
      <w:lvlText w:val="•"/>
      <w:lvlJc w:val="left"/>
      <w:pPr>
        <w:ind w:left="8160" w:hanging="1057"/>
      </w:pPr>
      <w:rPr>
        <w:rFonts w:hint="default"/>
      </w:rPr>
    </w:lvl>
  </w:abstractNum>
  <w:abstractNum w:abstractNumId="7">
    <w:multiLevelType w:val="hybridMultilevel"/>
    <w:lvl w:ilvl="0">
      <w:start w:val="4"/>
      <w:numFmt w:val="decimal"/>
      <w:lvlText w:val="%1"/>
      <w:lvlJc w:val="left"/>
      <w:pPr>
        <w:ind w:left="1277" w:hanging="1056"/>
        <w:jc w:val="left"/>
      </w:pPr>
      <w:rPr>
        <w:rFonts w:hint="default" w:ascii="宋体" w:hAnsi="宋体" w:eastAsia="宋体" w:cs="宋体"/>
        <w:w w:val="99"/>
        <w:sz w:val="28"/>
        <w:szCs w:val="28"/>
      </w:rPr>
    </w:lvl>
    <w:lvl w:ilvl="1">
      <w:start w:val="1"/>
      <w:numFmt w:val="decimal"/>
      <w:lvlText w:val="%1.%2"/>
      <w:lvlJc w:val="left"/>
      <w:pPr>
        <w:ind w:left="1277" w:hanging="1057"/>
        <w:jc w:val="left"/>
      </w:pPr>
      <w:rPr>
        <w:rFonts w:hint="default" w:ascii="宋体" w:hAnsi="宋体" w:eastAsia="宋体" w:cs="宋体"/>
        <w:w w:val="100"/>
        <w:sz w:val="21"/>
        <w:szCs w:val="21"/>
      </w:rPr>
    </w:lvl>
    <w:lvl w:ilvl="2">
      <w:start w:val="1"/>
      <w:numFmt w:val="decimal"/>
      <w:lvlText w:val="%1.%2.%3"/>
      <w:lvlJc w:val="left"/>
      <w:pPr>
        <w:ind w:left="1277" w:hanging="1056"/>
        <w:jc w:val="left"/>
      </w:pPr>
      <w:rPr>
        <w:rFonts w:hint="default" w:ascii="宋体" w:hAnsi="宋体" w:eastAsia="宋体" w:cs="宋体"/>
        <w:i/>
        <w:spacing w:val="-1"/>
        <w:w w:val="95"/>
        <w:sz w:val="22"/>
        <w:szCs w:val="22"/>
      </w:rPr>
    </w:lvl>
    <w:lvl w:ilvl="3">
      <w:start w:val="0"/>
      <w:numFmt w:val="bullet"/>
      <w:lvlText w:val="•"/>
      <w:lvlJc w:val="left"/>
      <w:pPr>
        <w:ind w:left="1613" w:hanging="1056"/>
      </w:pPr>
      <w:rPr>
        <w:rFonts w:hint="default"/>
      </w:rPr>
    </w:lvl>
    <w:lvl w:ilvl="4">
      <w:start w:val="0"/>
      <w:numFmt w:val="bullet"/>
      <w:lvlText w:val="•"/>
      <w:lvlJc w:val="left"/>
      <w:pPr>
        <w:ind w:left="1725" w:hanging="1056"/>
      </w:pPr>
      <w:rPr>
        <w:rFonts w:hint="default"/>
      </w:rPr>
    </w:lvl>
    <w:lvl w:ilvl="5">
      <w:start w:val="0"/>
      <w:numFmt w:val="bullet"/>
      <w:lvlText w:val="•"/>
      <w:lvlJc w:val="left"/>
      <w:pPr>
        <w:ind w:left="1836" w:hanging="1056"/>
      </w:pPr>
      <w:rPr>
        <w:rFonts w:hint="default"/>
      </w:rPr>
    </w:lvl>
    <w:lvl w:ilvl="6">
      <w:start w:val="0"/>
      <w:numFmt w:val="bullet"/>
      <w:lvlText w:val="•"/>
      <w:lvlJc w:val="left"/>
      <w:pPr>
        <w:ind w:left="1947" w:hanging="1056"/>
      </w:pPr>
      <w:rPr>
        <w:rFonts w:hint="default"/>
      </w:rPr>
    </w:lvl>
    <w:lvl w:ilvl="7">
      <w:start w:val="0"/>
      <w:numFmt w:val="bullet"/>
      <w:lvlText w:val="•"/>
      <w:lvlJc w:val="left"/>
      <w:pPr>
        <w:ind w:left="2059" w:hanging="1056"/>
      </w:pPr>
      <w:rPr>
        <w:rFonts w:hint="default"/>
      </w:rPr>
    </w:lvl>
    <w:lvl w:ilvl="8">
      <w:start w:val="0"/>
      <w:numFmt w:val="bullet"/>
      <w:lvlText w:val="•"/>
      <w:lvlJc w:val="left"/>
      <w:pPr>
        <w:ind w:left="2170" w:hanging="1056"/>
      </w:pPr>
      <w:rPr>
        <w:rFonts w:hint="default"/>
      </w:rPr>
    </w:lvl>
  </w:abstractNum>
  <w:abstractNum w:abstractNumId="6">
    <w:multiLevelType w:val="hybridMultilevel"/>
    <w:lvl w:ilvl="0">
      <w:start w:val="1"/>
      <w:numFmt w:val="decimal"/>
      <w:lvlText w:val="（%1）"/>
      <w:lvlJc w:val="left"/>
      <w:pPr>
        <w:ind w:left="791" w:hanging="631"/>
        <w:jc w:val="left"/>
      </w:pPr>
      <w:rPr>
        <w:rFonts w:hint="default" w:ascii="宋体" w:hAnsi="宋体" w:eastAsia="宋体" w:cs="宋体"/>
        <w:spacing w:val="-53"/>
        <w:w w:val="100"/>
        <w:sz w:val="21"/>
        <w:szCs w:val="21"/>
      </w:rPr>
    </w:lvl>
    <w:lvl w:ilvl="1">
      <w:start w:val="0"/>
      <w:numFmt w:val="bullet"/>
      <w:lvlText w:val="•"/>
      <w:lvlJc w:val="left"/>
      <w:pPr>
        <w:ind w:left="1450" w:hanging="631"/>
      </w:pPr>
      <w:rPr>
        <w:rFonts w:hint="default"/>
      </w:rPr>
    </w:lvl>
    <w:lvl w:ilvl="2">
      <w:start w:val="0"/>
      <w:numFmt w:val="bullet"/>
      <w:lvlText w:val="•"/>
      <w:lvlJc w:val="left"/>
      <w:pPr>
        <w:ind w:left="2100" w:hanging="631"/>
      </w:pPr>
      <w:rPr>
        <w:rFonts w:hint="default"/>
      </w:rPr>
    </w:lvl>
    <w:lvl w:ilvl="3">
      <w:start w:val="0"/>
      <w:numFmt w:val="bullet"/>
      <w:lvlText w:val="•"/>
      <w:lvlJc w:val="left"/>
      <w:pPr>
        <w:ind w:left="2751" w:hanging="631"/>
      </w:pPr>
      <w:rPr>
        <w:rFonts w:hint="default"/>
      </w:rPr>
    </w:lvl>
    <w:lvl w:ilvl="4">
      <w:start w:val="0"/>
      <w:numFmt w:val="bullet"/>
      <w:lvlText w:val="•"/>
      <w:lvlJc w:val="left"/>
      <w:pPr>
        <w:ind w:left="3401" w:hanging="631"/>
      </w:pPr>
      <w:rPr>
        <w:rFonts w:hint="default"/>
      </w:rPr>
    </w:lvl>
    <w:lvl w:ilvl="5">
      <w:start w:val="0"/>
      <w:numFmt w:val="bullet"/>
      <w:lvlText w:val="•"/>
      <w:lvlJc w:val="left"/>
      <w:pPr>
        <w:ind w:left="4052" w:hanging="631"/>
      </w:pPr>
      <w:rPr>
        <w:rFonts w:hint="default"/>
      </w:rPr>
    </w:lvl>
    <w:lvl w:ilvl="6">
      <w:start w:val="0"/>
      <w:numFmt w:val="bullet"/>
      <w:lvlText w:val="•"/>
      <w:lvlJc w:val="left"/>
      <w:pPr>
        <w:ind w:left="4702" w:hanging="631"/>
      </w:pPr>
      <w:rPr>
        <w:rFonts w:hint="default"/>
      </w:rPr>
    </w:lvl>
    <w:lvl w:ilvl="7">
      <w:start w:val="0"/>
      <w:numFmt w:val="bullet"/>
      <w:lvlText w:val="•"/>
      <w:lvlJc w:val="left"/>
      <w:pPr>
        <w:ind w:left="5352" w:hanging="631"/>
      </w:pPr>
      <w:rPr>
        <w:rFonts w:hint="default"/>
      </w:rPr>
    </w:lvl>
    <w:lvl w:ilvl="8">
      <w:start w:val="0"/>
      <w:numFmt w:val="bullet"/>
      <w:lvlText w:val="•"/>
      <w:lvlJc w:val="left"/>
      <w:pPr>
        <w:ind w:left="6003" w:hanging="631"/>
      </w:pPr>
      <w:rPr>
        <w:rFonts w:hint="default"/>
      </w:rPr>
    </w:lvl>
  </w:abstractNum>
  <w:abstractNum w:abstractNumId="5">
    <w:multiLevelType w:val="hybridMultilevel"/>
    <w:lvl w:ilvl="0">
      <w:start w:val="3"/>
      <w:numFmt w:val="decimal"/>
      <w:lvlText w:val="%1"/>
      <w:lvlJc w:val="left"/>
      <w:pPr>
        <w:ind w:left="2537" w:hanging="1056"/>
        <w:jc w:val="left"/>
      </w:pPr>
      <w:rPr>
        <w:rFonts w:hint="default"/>
      </w:rPr>
    </w:lvl>
    <w:lvl w:ilvl="1">
      <w:start w:val="4"/>
      <w:numFmt w:val="decimal"/>
      <w:lvlText w:val="%1.%2"/>
      <w:lvlJc w:val="left"/>
      <w:pPr>
        <w:ind w:left="2537" w:hanging="1056"/>
        <w:jc w:val="left"/>
      </w:pPr>
      <w:rPr>
        <w:rFonts w:hint="default"/>
      </w:rPr>
    </w:lvl>
    <w:lvl w:ilvl="2">
      <w:start w:val="25"/>
      <w:numFmt w:val="decimal"/>
      <w:lvlText w:val="%1.%2.%3"/>
      <w:lvlJc w:val="left"/>
      <w:pPr>
        <w:ind w:left="2537" w:hanging="1056"/>
        <w:jc w:val="left"/>
      </w:pPr>
      <w:rPr>
        <w:rFonts w:hint="default" w:ascii="宋体" w:hAnsi="宋体" w:eastAsia="宋体" w:cs="宋体"/>
        <w:i/>
        <w:spacing w:val="-1"/>
        <w:w w:val="95"/>
        <w:sz w:val="22"/>
        <w:szCs w:val="22"/>
      </w:rPr>
    </w:lvl>
    <w:lvl w:ilvl="3">
      <w:start w:val="0"/>
      <w:numFmt w:val="bullet"/>
      <w:lvlText w:val="•"/>
      <w:lvlJc w:val="left"/>
      <w:pPr>
        <w:ind w:left="4682" w:hanging="1056"/>
      </w:pPr>
      <w:rPr>
        <w:rFonts w:hint="default"/>
      </w:rPr>
    </w:lvl>
    <w:lvl w:ilvl="4">
      <w:start w:val="0"/>
      <w:numFmt w:val="bullet"/>
      <w:lvlText w:val="•"/>
      <w:lvlJc w:val="left"/>
      <w:pPr>
        <w:ind w:left="5396" w:hanging="1056"/>
      </w:pPr>
      <w:rPr>
        <w:rFonts w:hint="default"/>
      </w:rPr>
    </w:lvl>
    <w:lvl w:ilvl="5">
      <w:start w:val="0"/>
      <w:numFmt w:val="bullet"/>
      <w:lvlText w:val="•"/>
      <w:lvlJc w:val="left"/>
      <w:pPr>
        <w:ind w:left="6110" w:hanging="1056"/>
      </w:pPr>
      <w:rPr>
        <w:rFonts w:hint="default"/>
      </w:rPr>
    </w:lvl>
    <w:lvl w:ilvl="6">
      <w:start w:val="0"/>
      <w:numFmt w:val="bullet"/>
      <w:lvlText w:val="•"/>
      <w:lvlJc w:val="left"/>
      <w:pPr>
        <w:ind w:left="6824" w:hanging="1056"/>
      </w:pPr>
      <w:rPr>
        <w:rFonts w:hint="default"/>
      </w:rPr>
    </w:lvl>
    <w:lvl w:ilvl="7">
      <w:start w:val="0"/>
      <w:numFmt w:val="bullet"/>
      <w:lvlText w:val="•"/>
      <w:lvlJc w:val="left"/>
      <w:pPr>
        <w:ind w:left="7538" w:hanging="1056"/>
      </w:pPr>
      <w:rPr>
        <w:rFonts w:hint="default"/>
      </w:rPr>
    </w:lvl>
    <w:lvl w:ilvl="8">
      <w:start w:val="0"/>
      <w:numFmt w:val="bullet"/>
      <w:lvlText w:val="•"/>
      <w:lvlJc w:val="left"/>
      <w:pPr>
        <w:ind w:left="8252" w:hanging="1056"/>
      </w:pPr>
      <w:rPr>
        <w:rFonts w:hint="default"/>
      </w:rPr>
    </w:lvl>
  </w:abstractNum>
  <w:abstractNum w:abstractNumId="4">
    <w:multiLevelType w:val="hybridMultilevel"/>
    <w:lvl w:ilvl="0">
      <w:start w:val="3"/>
      <w:numFmt w:val="decimal"/>
      <w:lvlText w:val="%1"/>
      <w:lvlJc w:val="left"/>
      <w:pPr>
        <w:ind w:left="2477" w:hanging="1056"/>
        <w:jc w:val="left"/>
      </w:pPr>
      <w:rPr>
        <w:rFonts w:hint="default"/>
      </w:rPr>
    </w:lvl>
    <w:lvl w:ilvl="1">
      <w:start w:val="4"/>
      <w:numFmt w:val="decimal"/>
      <w:lvlText w:val="%1.%2"/>
      <w:lvlJc w:val="left"/>
      <w:pPr>
        <w:ind w:left="2477" w:hanging="1056"/>
        <w:jc w:val="left"/>
      </w:pPr>
      <w:rPr>
        <w:rFonts w:hint="default"/>
      </w:rPr>
    </w:lvl>
    <w:lvl w:ilvl="2">
      <w:start w:val="11"/>
      <w:numFmt w:val="decimal"/>
      <w:lvlText w:val="%1.%2.%3"/>
      <w:lvlJc w:val="left"/>
      <w:pPr>
        <w:ind w:left="2477" w:hanging="1056"/>
        <w:jc w:val="left"/>
      </w:pPr>
      <w:rPr>
        <w:rFonts w:hint="default" w:ascii="宋体" w:hAnsi="宋体" w:eastAsia="宋体" w:cs="宋体"/>
        <w:i/>
        <w:spacing w:val="-1"/>
        <w:w w:val="95"/>
        <w:sz w:val="22"/>
        <w:szCs w:val="22"/>
      </w:rPr>
    </w:lvl>
    <w:lvl w:ilvl="3">
      <w:start w:val="0"/>
      <w:numFmt w:val="bullet"/>
      <w:lvlText w:val="•"/>
      <w:lvlJc w:val="left"/>
      <w:pPr>
        <w:ind w:left="2417" w:hanging="1056"/>
      </w:pPr>
      <w:rPr>
        <w:rFonts w:hint="default"/>
      </w:rPr>
    </w:lvl>
    <w:lvl w:ilvl="4">
      <w:start w:val="0"/>
      <w:numFmt w:val="bullet"/>
      <w:lvlText w:val="•"/>
      <w:lvlJc w:val="left"/>
      <w:pPr>
        <w:ind w:left="2397" w:hanging="1056"/>
      </w:pPr>
      <w:rPr>
        <w:rFonts w:hint="default"/>
      </w:rPr>
    </w:lvl>
    <w:lvl w:ilvl="5">
      <w:start w:val="0"/>
      <w:numFmt w:val="bullet"/>
      <w:lvlText w:val="•"/>
      <w:lvlJc w:val="left"/>
      <w:pPr>
        <w:ind w:left="2376" w:hanging="1056"/>
      </w:pPr>
      <w:rPr>
        <w:rFonts w:hint="default"/>
      </w:rPr>
    </w:lvl>
    <w:lvl w:ilvl="6">
      <w:start w:val="0"/>
      <w:numFmt w:val="bullet"/>
      <w:lvlText w:val="•"/>
      <w:lvlJc w:val="left"/>
      <w:pPr>
        <w:ind w:left="2355" w:hanging="1056"/>
      </w:pPr>
      <w:rPr>
        <w:rFonts w:hint="default"/>
      </w:rPr>
    </w:lvl>
    <w:lvl w:ilvl="7">
      <w:start w:val="0"/>
      <w:numFmt w:val="bullet"/>
      <w:lvlText w:val="•"/>
      <w:lvlJc w:val="left"/>
      <w:pPr>
        <w:ind w:left="2335" w:hanging="1056"/>
      </w:pPr>
      <w:rPr>
        <w:rFonts w:hint="default"/>
      </w:rPr>
    </w:lvl>
    <w:lvl w:ilvl="8">
      <w:start w:val="0"/>
      <w:numFmt w:val="bullet"/>
      <w:lvlText w:val="•"/>
      <w:lvlJc w:val="left"/>
      <w:pPr>
        <w:ind w:left="2314" w:hanging="1056"/>
      </w:pPr>
      <w:rPr>
        <w:rFonts w:hint="default"/>
      </w:rPr>
    </w:lvl>
  </w:abstractNum>
  <w:abstractNum w:abstractNumId="3">
    <w:multiLevelType w:val="hybridMultilevel"/>
    <w:lvl w:ilvl="0">
      <w:start w:val="1"/>
      <w:numFmt w:val="decimal"/>
      <w:lvlText w:val="%1"/>
      <w:lvlJc w:val="left"/>
      <w:pPr>
        <w:ind w:left="2945" w:hanging="212"/>
        <w:jc w:val="left"/>
      </w:pPr>
      <w:rPr>
        <w:rFonts w:hint="default" w:ascii="宋体" w:hAnsi="宋体" w:eastAsia="宋体" w:cs="宋体"/>
        <w:w w:val="100"/>
        <w:sz w:val="18"/>
        <w:szCs w:val="18"/>
      </w:rPr>
    </w:lvl>
    <w:lvl w:ilvl="1">
      <w:start w:val="0"/>
      <w:numFmt w:val="bullet"/>
      <w:lvlText w:val="•"/>
      <w:lvlJc w:val="left"/>
      <w:pPr>
        <w:ind w:left="3614" w:hanging="212"/>
      </w:pPr>
      <w:rPr>
        <w:rFonts w:hint="default"/>
      </w:rPr>
    </w:lvl>
    <w:lvl w:ilvl="2">
      <w:start w:val="0"/>
      <w:numFmt w:val="bullet"/>
      <w:lvlText w:val="•"/>
      <w:lvlJc w:val="left"/>
      <w:pPr>
        <w:ind w:left="4288" w:hanging="212"/>
      </w:pPr>
      <w:rPr>
        <w:rFonts w:hint="default"/>
      </w:rPr>
    </w:lvl>
    <w:lvl w:ilvl="3">
      <w:start w:val="0"/>
      <w:numFmt w:val="bullet"/>
      <w:lvlText w:val="•"/>
      <w:lvlJc w:val="left"/>
      <w:pPr>
        <w:ind w:left="4962" w:hanging="212"/>
      </w:pPr>
      <w:rPr>
        <w:rFonts w:hint="default"/>
      </w:rPr>
    </w:lvl>
    <w:lvl w:ilvl="4">
      <w:start w:val="0"/>
      <w:numFmt w:val="bullet"/>
      <w:lvlText w:val="•"/>
      <w:lvlJc w:val="left"/>
      <w:pPr>
        <w:ind w:left="5636" w:hanging="212"/>
      </w:pPr>
      <w:rPr>
        <w:rFonts w:hint="default"/>
      </w:rPr>
    </w:lvl>
    <w:lvl w:ilvl="5">
      <w:start w:val="0"/>
      <w:numFmt w:val="bullet"/>
      <w:lvlText w:val="•"/>
      <w:lvlJc w:val="left"/>
      <w:pPr>
        <w:ind w:left="6310" w:hanging="212"/>
      </w:pPr>
      <w:rPr>
        <w:rFonts w:hint="default"/>
      </w:rPr>
    </w:lvl>
    <w:lvl w:ilvl="6">
      <w:start w:val="0"/>
      <w:numFmt w:val="bullet"/>
      <w:lvlText w:val="•"/>
      <w:lvlJc w:val="left"/>
      <w:pPr>
        <w:ind w:left="6984" w:hanging="212"/>
      </w:pPr>
      <w:rPr>
        <w:rFonts w:hint="default"/>
      </w:rPr>
    </w:lvl>
    <w:lvl w:ilvl="7">
      <w:start w:val="0"/>
      <w:numFmt w:val="bullet"/>
      <w:lvlText w:val="•"/>
      <w:lvlJc w:val="left"/>
      <w:pPr>
        <w:ind w:left="7658" w:hanging="212"/>
      </w:pPr>
      <w:rPr>
        <w:rFonts w:hint="default"/>
      </w:rPr>
    </w:lvl>
    <w:lvl w:ilvl="8">
      <w:start w:val="0"/>
      <w:numFmt w:val="bullet"/>
      <w:lvlText w:val="•"/>
      <w:lvlJc w:val="left"/>
      <w:pPr>
        <w:ind w:left="8332" w:hanging="212"/>
      </w:pPr>
      <w:rPr>
        <w:rFonts w:hint="default"/>
      </w:rPr>
    </w:lvl>
  </w:abstractNum>
  <w:abstractNum w:abstractNumId="2">
    <w:multiLevelType w:val="hybridMultilevel"/>
    <w:lvl w:ilvl="0">
      <w:start w:val="1"/>
      <w:numFmt w:val="decimal"/>
      <w:lvlText w:val="%1"/>
      <w:lvlJc w:val="left"/>
      <w:pPr>
        <w:ind w:left="1277" w:hanging="1056"/>
        <w:jc w:val="left"/>
      </w:pPr>
      <w:rPr>
        <w:rFonts w:hint="default" w:ascii="宋体" w:hAnsi="宋体" w:eastAsia="宋体" w:cs="宋体"/>
        <w:w w:val="99"/>
        <w:sz w:val="28"/>
        <w:szCs w:val="28"/>
      </w:rPr>
    </w:lvl>
    <w:lvl w:ilvl="1">
      <w:start w:val="1"/>
      <w:numFmt w:val="decimal"/>
      <w:lvlText w:val="%1.%2"/>
      <w:lvlJc w:val="left"/>
      <w:pPr>
        <w:ind w:left="2597" w:hanging="1056"/>
        <w:jc w:val="left"/>
      </w:pPr>
      <w:rPr>
        <w:rFonts w:hint="default" w:ascii="宋体" w:hAnsi="宋体" w:eastAsia="宋体" w:cs="宋体"/>
        <w:spacing w:val="-105"/>
        <w:w w:val="100"/>
        <w:sz w:val="21"/>
        <w:szCs w:val="21"/>
      </w:rPr>
    </w:lvl>
    <w:lvl w:ilvl="2">
      <w:start w:val="0"/>
      <w:numFmt w:val="bullet"/>
      <w:lvlText w:val="•"/>
      <w:lvlJc w:val="left"/>
      <w:pPr>
        <w:ind w:left="3444" w:hanging="1056"/>
      </w:pPr>
      <w:rPr>
        <w:rFonts w:hint="default"/>
      </w:rPr>
    </w:lvl>
    <w:lvl w:ilvl="3">
      <w:start w:val="0"/>
      <w:numFmt w:val="bullet"/>
      <w:lvlText w:val="•"/>
      <w:lvlJc w:val="left"/>
      <w:pPr>
        <w:ind w:left="4288" w:hanging="1056"/>
      </w:pPr>
      <w:rPr>
        <w:rFonts w:hint="default"/>
      </w:rPr>
    </w:lvl>
    <w:lvl w:ilvl="4">
      <w:start w:val="0"/>
      <w:numFmt w:val="bullet"/>
      <w:lvlText w:val="•"/>
      <w:lvlJc w:val="left"/>
      <w:pPr>
        <w:ind w:left="5133" w:hanging="1056"/>
      </w:pPr>
      <w:rPr>
        <w:rFonts w:hint="default"/>
      </w:rPr>
    </w:lvl>
    <w:lvl w:ilvl="5">
      <w:start w:val="0"/>
      <w:numFmt w:val="bullet"/>
      <w:lvlText w:val="•"/>
      <w:lvlJc w:val="left"/>
      <w:pPr>
        <w:ind w:left="5977" w:hanging="1056"/>
      </w:pPr>
      <w:rPr>
        <w:rFonts w:hint="default"/>
      </w:rPr>
    </w:lvl>
    <w:lvl w:ilvl="6">
      <w:start w:val="0"/>
      <w:numFmt w:val="bullet"/>
      <w:lvlText w:val="•"/>
      <w:lvlJc w:val="left"/>
      <w:pPr>
        <w:ind w:left="6822" w:hanging="1056"/>
      </w:pPr>
      <w:rPr>
        <w:rFonts w:hint="default"/>
      </w:rPr>
    </w:lvl>
    <w:lvl w:ilvl="7">
      <w:start w:val="0"/>
      <w:numFmt w:val="bullet"/>
      <w:lvlText w:val="•"/>
      <w:lvlJc w:val="left"/>
      <w:pPr>
        <w:ind w:left="7666" w:hanging="1056"/>
      </w:pPr>
      <w:rPr>
        <w:rFonts w:hint="default"/>
      </w:rPr>
    </w:lvl>
    <w:lvl w:ilvl="8">
      <w:start w:val="0"/>
      <w:numFmt w:val="bullet"/>
      <w:lvlText w:val="•"/>
      <w:lvlJc w:val="left"/>
      <w:pPr>
        <w:ind w:left="8511" w:hanging="1056"/>
      </w:pPr>
      <w:rPr>
        <w:rFonts w:hint="default"/>
      </w:rPr>
    </w:lvl>
  </w:abstractNum>
  <w:abstractNum w:abstractNumId="1">
    <w:multiLevelType w:val="hybridMultilevel"/>
    <w:lvl w:ilvl="0">
      <w:start w:val="9"/>
      <w:numFmt w:val="decimal"/>
      <w:lvlText w:val="%1"/>
      <w:lvlJc w:val="left"/>
      <w:pPr>
        <w:ind w:left="7543" w:hanging="420"/>
        <w:jc w:val="left"/>
      </w:pPr>
      <w:rPr>
        <w:rFonts w:hint="default"/>
      </w:rPr>
    </w:lvl>
    <w:lvl w:ilvl="1">
      <w:start w:val="4"/>
      <w:numFmt w:val="decimal"/>
      <w:lvlText w:val="%1.%2"/>
      <w:lvlJc w:val="left"/>
      <w:pPr>
        <w:ind w:left="7543" w:hanging="420"/>
        <w:jc w:val="left"/>
      </w:pPr>
      <w:rPr>
        <w:rFonts w:hint="default" w:ascii="宋体" w:hAnsi="宋体" w:eastAsia="宋体" w:cs="宋体"/>
        <w:w w:val="100"/>
        <w:sz w:val="21"/>
        <w:szCs w:val="21"/>
      </w:rPr>
    </w:lvl>
    <w:lvl w:ilvl="2">
      <w:start w:val="0"/>
      <w:numFmt w:val="bullet"/>
      <w:lvlText w:val="•"/>
      <w:lvlJc w:val="left"/>
      <w:pPr>
        <w:ind w:left="8068" w:hanging="420"/>
      </w:pPr>
      <w:rPr>
        <w:rFonts w:hint="default"/>
      </w:rPr>
    </w:lvl>
    <w:lvl w:ilvl="3">
      <w:start w:val="0"/>
      <w:numFmt w:val="bullet"/>
      <w:lvlText w:val="•"/>
      <w:lvlJc w:val="left"/>
      <w:pPr>
        <w:ind w:left="8332" w:hanging="420"/>
      </w:pPr>
      <w:rPr>
        <w:rFonts w:hint="default"/>
      </w:rPr>
    </w:lvl>
    <w:lvl w:ilvl="4">
      <w:start w:val="0"/>
      <w:numFmt w:val="bullet"/>
      <w:lvlText w:val="•"/>
      <w:lvlJc w:val="left"/>
      <w:pPr>
        <w:ind w:left="8596" w:hanging="420"/>
      </w:pPr>
      <w:rPr>
        <w:rFonts w:hint="default"/>
      </w:rPr>
    </w:lvl>
    <w:lvl w:ilvl="5">
      <w:start w:val="0"/>
      <w:numFmt w:val="bullet"/>
      <w:lvlText w:val="•"/>
      <w:lvlJc w:val="left"/>
      <w:pPr>
        <w:ind w:left="8860" w:hanging="420"/>
      </w:pPr>
      <w:rPr>
        <w:rFonts w:hint="default"/>
      </w:rPr>
    </w:lvl>
    <w:lvl w:ilvl="6">
      <w:start w:val="0"/>
      <w:numFmt w:val="bullet"/>
      <w:lvlText w:val="•"/>
      <w:lvlJc w:val="left"/>
      <w:pPr>
        <w:ind w:left="9124" w:hanging="420"/>
      </w:pPr>
      <w:rPr>
        <w:rFonts w:hint="default"/>
      </w:rPr>
    </w:lvl>
    <w:lvl w:ilvl="7">
      <w:start w:val="0"/>
      <w:numFmt w:val="bullet"/>
      <w:lvlText w:val="•"/>
      <w:lvlJc w:val="left"/>
      <w:pPr>
        <w:ind w:left="9388" w:hanging="420"/>
      </w:pPr>
      <w:rPr>
        <w:rFonts w:hint="default"/>
      </w:rPr>
    </w:lvl>
    <w:lvl w:ilvl="8">
      <w:start w:val="0"/>
      <w:numFmt w:val="bullet"/>
      <w:lvlText w:val="•"/>
      <w:lvlJc w:val="left"/>
      <w:pPr>
        <w:ind w:left="9652" w:hanging="420"/>
      </w:pPr>
      <w:rPr>
        <w:rFonts w:hint="default"/>
      </w:rPr>
    </w:lvl>
  </w:abstractNum>
  <w:abstractNum w:abstractNumId="0">
    <w:multiLevelType w:val="hybridMultilevel"/>
    <w:lvl w:ilvl="0">
      <w:start w:val="1"/>
      <w:numFmt w:val="decimal"/>
      <w:lvlText w:val="%1"/>
      <w:lvlJc w:val="left"/>
      <w:pPr>
        <w:ind w:left="336" w:hanging="227"/>
        <w:jc w:val="left"/>
      </w:pPr>
      <w:rPr>
        <w:rFonts w:hint="default" w:ascii="宋体" w:hAnsi="宋体" w:eastAsia="宋体" w:cs="宋体"/>
        <w:w w:val="100"/>
        <w:sz w:val="21"/>
        <w:szCs w:val="21"/>
      </w:rPr>
    </w:lvl>
    <w:lvl w:ilvl="1">
      <w:start w:val="1"/>
      <w:numFmt w:val="decimal"/>
      <w:lvlText w:val="%1.%2"/>
      <w:lvlJc w:val="left"/>
      <w:pPr>
        <w:ind w:left="739" w:hanging="420"/>
        <w:jc w:val="left"/>
      </w:pPr>
      <w:rPr>
        <w:rFonts w:hint="default" w:ascii="宋体" w:hAnsi="宋体" w:eastAsia="宋体" w:cs="宋体"/>
        <w:w w:val="100"/>
        <w:sz w:val="21"/>
        <w:szCs w:val="21"/>
      </w:rPr>
    </w:lvl>
    <w:lvl w:ilvl="2">
      <w:start w:val="0"/>
      <w:numFmt w:val="bullet"/>
      <w:lvlText w:val="•"/>
      <w:lvlJc w:val="left"/>
      <w:pPr>
        <w:ind w:left="1788" w:hanging="420"/>
      </w:pPr>
      <w:rPr>
        <w:rFonts w:hint="default"/>
      </w:rPr>
    </w:lvl>
    <w:lvl w:ilvl="3">
      <w:start w:val="0"/>
      <w:numFmt w:val="bullet"/>
      <w:lvlText w:val="•"/>
      <w:lvlJc w:val="left"/>
      <w:pPr>
        <w:ind w:left="2837" w:hanging="420"/>
      </w:pPr>
      <w:rPr>
        <w:rFonts w:hint="default"/>
      </w:rPr>
    </w:lvl>
    <w:lvl w:ilvl="4">
      <w:start w:val="0"/>
      <w:numFmt w:val="bullet"/>
      <w:lvlText w:val="•"/>
      <w:lvlJc w:val="left"/>
      <w:pPr>
        <w:ind w:left="3886" w:hanging="420"/>
      </w:pPr>
      <w:rPr>
        <w:rFonts w:hint="default"/>
      </w:rPr>
    </w:lvl>
    <w:lvl w:ilvl="5">
      <w:start w:val="0"/>
      <w:numFmt w:val="bullet"/>
      <w:lvlText w:val="•"/>
      <w:lvlJc w:val="left"/>
      <w:pPr>
        <w:ind w:left="4935" w:hanging="420"/>
      </w:pPr>
      <w:rPr>
        <w:rFonts w:hint="default"/>
      </w:rPr>
    </w:lvl>
    <w:lvl w:ilvl="6">
      <w:start w:val="0"/>
      <w:numFmt w:val="bullet"/>
      <w:lvlText w:val="•"/>
      <w:lvlJc w:val="left"/>
      <w:pPr>
        <w:ind w:left="5984" w:hanging="420"/>
      </w:pPr>
      <w:rPr>
        <w:rFonts w:hint="default"/>
      </w:rPr>
    </w:lvl>
    <w:lvl w:ilvl="7">
      <w:start w:val="0"/>
      <w:numFmt w:val="bullet"/>
      <w:lvlText w:val="•"/>
      <w:lvlJc w:val="left"/>
      <w:pPr>
        <w:ind w:left="7033" w:hanging="420"/>
      </w:pPr>
      <w:rPr>
        <w:rFonts w:hint="default"/>
      </w:rPr>
    </w:lvl>
    <w:lvl w:ilvl="8">
      <w:start w:val="0"/>
      <w:numFmt w:val="bullet"/>
      <w:lvlText w:val="•"/>
      <w:lvlJc w:val="left"/>
      <w:pPr>
        <w:ind w:left="8082"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sz w:val="32"/>
      <w:szCs w:val="32"/>
    </w:rPr>
  </w:style>
  <w:style w:styleId="Heading2" w:type="paragraph">
    <w:name w:val="Heading 2"/>
    <w:basedOn w:val="Normal"/>
    <w:uiPriority w:val="1"/>
    <w:qFormat/>
    <w:pPr>
      <w:ind w:left="1277" w:hanging="1056"/>
      <w:outlineLvl w:val="2"/>
    </w:pPr>
    <w:rPr>
      <w:rFonts w:ascii="宋体" w:hAnsi="宋体" w:eastAsia="宋体" w:cs="宋体"/>
      <w:sz w:val="28"/>
      <w:szCs w:val="28"/>
    </w:rPr>
  </w:style>
  <w:style w:styleId="Heading3" w:type="paragraph">
    <w:name w:val="Heading 3"/>
    <w:basedOn w:val="Normal"/>
    <w:uiPriority w:val="1"/>
    <w:qFormat/>
    <w:pPr>
      <w:spacing w:before="27"/>
      <w:ind w:left="101"/>
      <w:outlineLvl w:val="3"/>
    </w:pPr>
    <w:rPr>
      <w:rFonts w:ascii="宋体" w:hAnsi="宋体" w:eastAsia="宋体" w:cs="宋体"/>
      <w:sz w:val="24"/>
      <w:szCs w:val="24"/>
    </w:rPr>
  </w:style>
  <w:style w:styleId="Heading4" w:type="paragraph">
    <w:name w:val="Heading 4"/>
    <w:basedOn w:val="Normal"/>
    <w:uiPriority w:val="1"/>
    <w:qFormat/>
    <w:pPr>
      <w:spacing w:before="34"/>
      <w:ind w:left="1157" w:hanging="1056"/>
      <w:outlineLvl w:val="4"/>
    </w:pPr>
    <w:rPr>
      <w:rFonts w:ascii="宋体" w:hAnsi="宋体" w:eastAsia="宋体" w:cs="宋体"/>
      <w:i/>
      <w:sz w:val="22"/>
      <w:szCs w:val="22"/>
    </w:rPr>
  </w:style>
  <w:style w:styleId="ListParagraph" w:type="paragraph">
    <w:name w:val="List Paragraph"/>
    <w:basedOn w:val="Normal"/>
    <w:uiPriority w:val="1"/>
    <w:qFormat/>
    <w:pPr>
      <w:ind w:left="1277"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huangzenghui-lhq</dc:creator>
  <dc:title>&lt;4D6963726F736F667420576F7264202D20303220D1F4B9E2C8CBCAD9B8BDBCD3D1F4B9E2BFB5EEA3D6D8B4F3BCB2B2A1B1A3CFD5CCF5BFEE&gt;</dc:title>
  <dcterms:created xsi:type="dcterms:W3CDTF">2018-10-20T00:11:14Z</dcterms:created>
  <dcterms:modified xsi:type="dcterms:W3CDTF">2018-10-20T00:11:14Z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PScript5.dll Version 5.2.2</vt:lpwstr>
  </property>
  <property fmtid="{D5CDD505-2E9C-101B-9397-08002B2CF9AE}" pid="4" name="LastSaved">
    <vt:filetime>2018-10-19T00:00:00Z</vt:filetime>
  </property>
</Properties>
</file>