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1"/>
        <w:ind w:right="115"/>
        <w:jc w:val="right"/>
      </w:pPr>
      <w:r>
        <w:rPr/>
        <w:drawing>
          <wp:anchor distT="0" distB="0" distL="0" distR="0" allowOverlap="1" layoutInCell="1" locked="0" behindDoc="0" simplePos="0" relativeHeight="0">
            <wp:simplePos x="0" y="0"/>
            <wp:positionH relativeFrom="page">
              <wp:posOffset>719455</wp:posOffset>
            </wp:positionH>
            <wp:positionV relativeFrom="paragraph">
              <wp:posOffset>440355</wp:posOffset>
            </wp:positionV>
            <wp:extent cx="1330245" cy="44805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0245" cy="448055"/>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5908675</wp:posOffset>
            </wp:positionH>
            <wp:positionV relativeFrom="paragraph">
              <wp:posOffset>253030</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t>中意人寿[2011]疾病保险 029 号</w:t>
      </w:r>
    </w:p>
    <w:p>
      <w:pPr>
        <w:spacing w:after="0"/>
        <w:jc w:val="right"/>
        <w:sectPr>
          <w:type w:val="continuous"/>
          <w:pgSz w:w="11910" w:h="16840"/>
          <w:pgMar w:top="140" w:bottom="280" w:left="940" w:right="440"/>
        </w:sectPr>
      </w:pPr>
    </w:p>
    <w:p>
      <w:pPr>
        <w:pStyle w:val="Heading1"/>
        <w:spacing w:before="197"/>
        <w:jc w:val="right"/>
      </w:pPr>
      <w:r>
        <w:rPr/>
        <w:t>阅 读 提 示</w:t>
      </w:r>
    </w:p>
    <w:p>
      <w:pPr>
        <w:pStyle w:val="BodyText"/>
        <w:spacing w:before="14"/>
        <w:ind w:left="192"/>
      </w:pPr>
      <w:r>
        <w:rPr/>
        <w:br w:type="column"/>
      </w:r>
      <w:r>
        <w:rPr/>
        <w:t>请扫描以查询验证条款</w:t>
      </w:r>
    </w:p>
    <w:p>
      <w:pPr>
        <w:spacing w:after="0"/>
        <w:sectPr>
          <w:type w:val="continuous"/>
          <w:pgSz w:w="11910" w:h="16840"/>
          <w:pgMar w:top="140" w:bottom="280" w:left="940" w:right="440"/>
          <w:cols w:num="2" w:equalWidth="0">
            <w:col w:w="5614" w:space="2080"/>
            <w:col w:w="2836"/>
          </w:cols>
        </w:sectPr>
      </w:pPr>
    </w:p>
    <w:p>
      <w:pPr>
        <w:pStyle w:val="BodyText"/>
        <w:rPr>
          <w:sz w:val="20"/>
        </w:rPr>
      </w:pPr>
      <w:r>
        <w:rPr/>
        <w:pict>
          <v:group style="position:absolute;margin-left:52.799999pt;margin-top:591.819946pt;width:460.3pt;height:1pt;mso-position-horizontal-relative:page;mso-position-vertical-relative:page;z-index:-44320" coordorigin="1056,11836" coordsize="9206,20">
            <v:shape style="position:absolute;left:1056;top:11836;width:20;height:20" type="#_x0000_t75" stroked="false">
              <v:imagedata r:id="rId7" o:title=""/>
            </v:shape>
            <v:shape style="position:absolute;left:1056;top:11836;width:9206;height:20" type="#_x0000_t75" stroked="false">
              <v:imagedata r:id="rId8" o:title=""/>
            </v:shape>
            <w10:wrap type="none"/>
          </v:group>
        </w:pict>
      </w:r>
    </w:p>
    <w:p>
      <w:pPr>
        <w:pStyle w:val="BodyText"/>
        <w:spacing w:before="8"/>
        <w:rPr>
          <w:sz w:val="14"/>
        </w:rPr>
      </w:pPr>
    </w:p>
    <w:p>
      <w:pPr>
        <w:spacing w:before="0"/>
        <w:ind w:left="812" w:right="1876" w:firstLine="0"/>
        <w:jc w:val="center"/>
        <w:rPr>
          <w:b/>
          <w:sz w:val="21"/>
        </w:rPr>
      </w:pPr>
      <w:r>
        <w:rPr>
          <w:b/>
          <w:sz w:val="21"/>
        </w:rPr>
        <w:t>本阅读提示是为了帮助您更好理解条款，对本附加合同内容的解释以条款正文为准。</w:t>
      </w:r>
    </w:p>
    <w:p>
      <w:pPr>
        <w:pStyle w:val="BodyText"/>
        <w:spacing w:before="8"/>
        <w:rPr>
          <w:b/>
          <w:sz w:val="26"/>
        </w:rPr>
      </w:pPr>
    </w:p>
    <w:p>
      <w:pPr>
        <w:tabs>
          <w:tab w:pos="613" w:val="left" w:leader="none"/>
        </w:tabs>
        <w:spacing w:before="0"/>
        <w:ind w:left="19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1033" w:val="left" w:leader="none"/>
          <w:tab w:pos="1034" w:val="left" w:leader="none"/>
          <w:tab w:pos="8808" w:val="right" w:leader="dot"/>
        </w:tabs>
        <w:spacing w:line="240" w:lineRule="auto" w:before="17" w:after="0"/>
        <w:ind w:left="1033" w:right="0" w:hanging="420"/>
        <w:jc w:val="left"/>
        <w:rPr>
          <w:rFonts w:ascii="Times New Roman" w:eastAsia="Times New Roman"/>
          <w:sz w:val="21"/>
        </w:rPr>
      </w:pPr>
      <w:r>
        <w:rPr>
          <w:sz w:val="21"/>
        </w:rPr>
        <w:t>签收</w:t>
      </w:r>
      <w:r>
        <w:rPr>
          <w:spacing w:val="-3"/>
          <w:sz w:val="21"/>
        </w:rPr>
        <w:t>合同</w:t>
      </w:r>
      <w:r>
        <w:rPr>
          <w:sz w:val="21"/>
        </w:rPr>
        <w:t>后</w:t>
      </w:r>
      <w:r>
        <w:rPr>
          <w:spacing w:val="-53"/>
          <w:sz w:val="21"/>
        </w:rPr>
        <w:t> </w:t>
      </w:r>
      <w:r>
        <w:rPr>
          <w:rFonts w:ascii="Times New Roman" w:eastAsia="Times New Roman"/>
          <w:sz w:val="21"/>
        </w:rPr>
        <w:t>10</w:t>
      </w:r>
      <w:r>
        <w:rPr>
          <w:rFonts w:ascii="Times New Roman" w:eastAsia="Times New Roman"/>
          <w:spacing w:val="-3"/>
          <w:sz w:val="21"/>
        </w:rPr>
        <w:t> </w:t>
      </w:r>
      <w:r>
        <w:rPr>
          <w:sz w:val="21"/>
        </w:rPr>
        <w:t>天</w:t>
      </w:r>
      <w:r>
        <w:rPr>
          <w:spacing w:val="-3"/>
          <w:sz w:val="21"/>
        </w:rPr>
        <w:t>内</w:t>
      </w:r>
      <w:r>
        <w:rPr>
          <w:sz w:val="21"/>
        </w:rPr>
        <w:t>您</w:t>
      </w:r>
      <w:r>
        <w:rPr>
          <w:spacing w:val="-3"/>
          <w:sz w:val="21"/>
        </w:rPr>
        <w:t>享有</w:t>
      </w:r>
      <w:r>
        <w:rPr>
          <w:sz w:val="21"/>
        </w:rPr>
        <w:t>犹豫</w:t>
      </w:r>
      <w:r>
        <w:rPr>
          <w:spacing w:val="-3"/>
          <w:sz w:val="21"/>
        </w:rPr>
        <w:t>期</w:t>
      </w:r>
      <w:r>
        <w:rPr>
          <w:sz w:val="21"/>
        </w:rPr>
        <w:t>解</w:t>
      </w:r>
      <w:r>
        <w:rPr>
          <w:spacing w:val="-3"/>
          <w:sz w:val="21"/>
        </w:rPr>
        <w:t>除</w:t>
      </w:r>
      <w:r>
        <w:rPr>
          <w:sz w:val="21"/>
        </w:rPr>
        <w:t>合</w:t>
      </w:r>
      <w:r>
        <w:rPr>
          <w:spacing w:val="-3"/>
          <w:sz w:val="21"/>
        </w:rPr>
        <w:t>同</w:t>
      </w:r>
      <w:r>
        <w:rPr>
          <w:sz w:val="21"/>
        </w:rPr>
        <w:t>的</w:t>
      </w:r>
      <w:r>
        <w:rPr>
          <w:spacing w:val="-3"/>
          <w:sz w:val="21"/>
        </w:rPr>
        <w:t>权</w:t>
      </w:r>
      <w:r>
        <w:rPr>
          <w:sz w:val="21"/>
        </w:rPr>
        <w:t>利</w:t>
        <w:tab/>
      </w:r>
      <w:r>
        <w:rPr>
          <w:rFonts w:ascii="Times New Roman" w:eastAsia="Times New Roman"/>
          <w:sz w:val="21"/>
        </w:rPr>
        <w:t>1.5</w:t>
      </w:r>
    </w:p>
    <w:p>
      <w:pPr>
        <w:pStyle w:val="ListParagraph"/>
        <w:numPr>
          <w:ilvl w:val="0"/>
          <w:numId w:val="1"/>
        </w:numPr>
        <w:tabs>
          <w:tab w:pos="1033" w:val="left" w:leader="none"/>
          <w:tab w:pos="1034" w:val="left" w:leader="none"/>
          <w:tab w:pos="8863" w:val="right" w:leader="dot"/>
        </w:tabs>
        <w:spacing w:line="240" w:lineRule="auto" w:before="20" w:after="0"/>
        <w:ind w:left="1033"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有</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2.4</w:t>
      </w:r>
    </w:p>
    <w:p>
      <w:pPr>
        <w:pStyle w:val="ListParagraph"/>
        <w:numPr>
          <w:ilvl w:val="0"/>
          <w:numId w:val="1"/>
        </w:numPr>
        <w:tabs>
          <w:tab w:pos="1033" w:val="left" w:leader="none"/>
          <w:tab w:pos="1034" w:val="left" w:leader="none"/>
          <w:tab w:pos="8863" w:val="right" w:leader="dot"/>
        </w:tabs>
        <w:spacing w:line="240" w:lineRule="auto" w:before="20" w:after="0"/>
        <w:ind w:left="1033" w:right="0" w:hanging="420"/>
        <w:jc w:val="left"/>
        <w:rPr>
          <w:rFonts w:ascii="Times New Roman" w:eastAsia="Times New Roman"/>
          <w:sz w:val="21"/>
        </w:rPr>
      </w:pPr>
      <w:r>
        <w:rPr>
          <w:sz w:val="21"/>
        </w:rPr>
        <w:t>您有</w:t>
      </w:r>
      <w:r>
        <w:rPr>
          <w:spacing w:val="-3"/>
          <w:sz w:val="21"/>
        </w:rPr>
        <w:t>权</w:t>
      </w:r>
      <w:r>
        <w:rPr>
          <w:sz w:val="21"/>
        </w:rPr>
        <w:t>解</w:t>
      </w:r>
      <w:r>
        <w:rPr>
          <w:spacing w:val="-3"/>
          <w:sz w:val="21"/>
        </w:rPr>
        <w:t>除</w:t>
      </w:r>
      <w:r>
        <w:rPr>
          <w:sz w:val="21"/>
        </w:rPr>
        <w:t>合同</w:t>
        <w:tab/>
      </w:r>
      <w:r>
        <w:rPr>
          <w:rFonts w:ascii="Times New Roman" w:eastAsia="Times New Roman"/>
          <w:sz w:val="21"/>
        </w:rPr>
        <w:t>5.1</w:t>
      </w:r>
    </w:p>
    <w:p>
      <w:pPr>
        <w:tabs>
          <w:tab w:pos="613" w:val="left" w:leader="none"/>
        </w:tabs>
        <w:spacing w:before="333"/>
        <w:ind w:left="192" w:right="0" w:firstLine="0"/>
        <w:jc w:val="left"/>
        <w:rPr>
          <w:b/>
          <w:sz w:val="21"/>
        </w:rPr>
      </w:pPr>
      <w:r>
        <w:rPr>
          <w:rFonts w:ascii="Symbol" w:hAnsi="Symbol" w:eastAsia="Symbol"/>
          <w:b/>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1033" w:val="left" w:leader="none"/>
          <w:tab w:pos="1034" w:val="left" w:leader="none"/>
          <w:tab w:pos="8863" w:val="right" w:leader="dot"/>
        </w:tabs>
        <w:spacing w:line="240" w:lineRule="auto" w:before="20" w:after="0"/>
        <w:ind w:left="1033" w:right="0" w:hanging="420"/>
        <w:jc w:val="left"/>
        <w:rPr>
          <w:rFonts w:ascii="Times New Roman" w:eastAsia="Times New Roman"/>
          <w:sz w:val="21"/>
        </w:rPr>
      </w:pPr>
      <w:r>
        <w:rPr>
          <w:sz w:val="21"/>
        </w:rPr>
        <w:t>等待</w:t>
      </w:r>
      <w:r>
        <w:rPr>
          <w:spacing w:val="-3"/>
          <w:sz w:val="21"/>
        </w:rPr>
        <w:t>期</w:t>
      </w:r>
      <w:r>
        <w:rPr>
          <w:sz w:val="21"/>
        </w:rPr>
        <w:t>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2.3</w:t>
      </w:r>
    </w:p>
    <w:p>
      <w:pPr>
        <w:pStyle w:val="ListParagraph"/>
        <w:numPr>
          <w:ilvl w:val="0"/>
          <w:numId w:val="1"/>
        </w:numPr>
        <w:tabs>
          <w:tab w:pos="1033" w:val="left" w:leader="none"/>
          <w:tab w:pos="1034" w:val="left" w:leader="none"/>
          <w:tab w:pos="8863" w:val="right" w:leader="dot"/>
        </w:tabs>
        <w:spacing w:line="240" w:lineRule="auto" w:before="21" w:after="0"/>
        <w:ind w:left="1033" w:right="0" w:hanging="420"/>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Times New Roman" w:eastAsia="Times New Roman"/>
          <w:sz w:val="21"/>
        </w:rPr>
        <w:t>2.5</w:t>
      </w:r>
    </w:p>
    <w:p>
      <w:pPr>
        <w:pStyle w:val="ListParagraph"/>
        <w:numPr>
          <w:ilvl w:val="0"/>
          <w:numId w:val="1"/>
        </w:numPr>
        <w:tabs>
          <w:tab w:pos="1033" w:val="left" w:leader="none"/>
          <w:tab w:pos="1034" w:val="left" w:leader="none"/>
          <w:tab w:pos="8863" w:val="right" w:leader="dot"/>
        </w:tabs>
        <w:spacing w:line="240" w:lineRule="auto" w:before="21" w:after="0"/>
        <w:ind w:left="1033" w:right="0" w:hanging="420"/>
        <w:jc w:val="left"/>
        <w:rPr>
          <w:rFonts w:ascii="Times New Roman" w:eastAsia="Times New Roman"/>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5.1</w:t>
      </w:r>
    </w:p>
    <w:p>
      <w:pPr>
        <w:pStyle w:val="ListParagraph"/>
        <w:numPr>
          <w:ilvl w:val="0"/>
          <w:numId w:val="1"/>
        </w:numPr>
        <w:tabs>
          <w:tab w:pos="1033" w:val="left" w:leader="none"/>
          <w:tab w:pos="1034" w:val="left" w:leader="none"/>
          <w:tab w:pos="8863" w:val="right" w:leader="dot"/>
        </w:tabs>
        <w:spacing w:line="240" w:lineRule="auto" w:before="21" w:after="0"/>
        <w:ind w:left="1033" w:right="0" w:hanging="420"/>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附</w:t>
      </w:r>
      <w:r>
        <w:rPr>
          <w:sz w:val="21"/>
        </w:rPr>
        <w:t>加</w:t>
      </w:r>
      <w:r>
        <w:rPr>
          <w:spacing w:val="-3"/>
          <w:sz w:val="21"/>
        </w:rPr>
        <w:t>合</w:t>
      </w:r>
      <w:r>
        <w:rPr>
          <w:sz w:val="21"/>
        </w:rPr>
        <w:t>同效</w:t>
      </w:r>
      <w:r>
        <w:rPr>
          <w:spacing w:val="-3"/>
          <w:sz w:val="21"/>
        </w:rPr>
        <w:t>力</w:t>
      </w:r>
      <w:r>
        <w:rPr>
          <w:sz w:val="21"/>
        </w:rPr>
        <w:t>终止</w:t>
        <w:tab/>
      </w:r>
      <w:r>
        <w:rPr>
          <w:rFonts w:ascii="Times New Roman" w:eastAsia="Times New Roman"/>
          <w:sz w:val="21"/>
        </w:rPr>
        <w:t>5.2</w:t>
      </w:r>
    </w:p>
    <w:p>
      <w:pPr>
        <w:pStyle w:val="ListParagraph"/>
        <w:numPr>
          <w:ilvl w:val="0"/>
          <w:numId w:val="1"/>
        </w:numPr>
        <w:tabs>
          <w:tab w:pos="1033" w:val="left" w:leader="none"/>
          <w:tab w:pos="1034" w:val="left" w:leader="none"/>
          <w:tab w:pos="8705" w:val="right" w:leader="dot"/>
        </w:tabs>
        <w:spacing w:line="240" w:lineRule="auto" w:before="21" w:after="0"/>
        <w:ind w:left="1033" w:right="0" w:hanging="420"/>
        <w:jc w:val="left"/>
        <w:rPr>
          <w:rFonts w:ascii="Times New Roman" w:eastAsia="Times New Roman"/>
          <w:sz w:val="21"/>
        </w:rPr>
      </w:pPr>
      <w:r>
        <w:rPr>
          <w:sz w:val="21"/>
        </w:rPr>
        <w:t>保险</w:t>
      </w:r>
      <w:r>
        <w:rPr>
          <w:spacing w:val="-3"/>
          <w:sz w:val="21"/>
        </w:rPr>
        <w:t>条</w:t>
      </w:r>
      <w:r>
        <w:rPr>
          <w:sz w:val="21"/>
        </w:rPr>
        <w:t>款</w:t>
      </w:r>
      <w:r>
        <w:rPr>
          <w:spacing w:val="-3"/>
          <w:sz w:val="21"/>
        </w:rPr>
        <w:t>有</w:t>
      </w:r>
      <w:r>
        <w:rPr>
          <w:sz w:val="21"/>
        </w:rPr>
        <w:t>关</w:t>
      </w:r>
      <w:r>
        <w:rPr>
          <w:spacing w:val="-3"/>
          <w:sz w:val="21"/>
        </w:rPr>
        <w:t>重</w:t>
      </w:r>
      <w:r>
        <w:rPr>
          <w:sz w:val="21"/>
        </w:rPr>
        <w:t>大</w:t>
      </w:r>
      <w:r>
        <w:rPr>
          <w:spacing w:val="-3"/>
          <w:sz w:val="21"/>
        </w:rPr>
        <w:t>疾</w:t>
      </w:r>
      <w:r>
        <w:rPr>
          <w:sz w:val="21"/>
        </w:rPr>
        <w:t>病</w:t>
      </w:r>
      <w:r>
        <w:rPr>
          <w:spacing w:val="-3"/>
          <w:sz w:val="21"/>
        </w:rPr>
        <w:t>的</w:t>
      </w:r>
      <w:r>
        <w:rPr>
          <w:sz w:val="21"/>
        </w:rPr>
        <w:t>释义</w:t>
      </w:r>
      <w:r>
        <w:rPr>
          <w:spacing w:val="-3"/>
          <w:sz w:val="21"/>
        </w:rPr>
        <w:t>，</w:t>
      </w:r>
      <w:r>
        <w:rPr>
          <w:sz w:val="21"/>
        </w:rPr>
        <w:t>请</w:t>
      </w:r>
      <w:r>
        <w:rPr>
          <w:spacing w:val="-3"/>
          <w:sz w:val="21"/>
        </w:rPr>
        <w:t>您</w:t>
      </w:r>
      <w:r>
        <w:rPr>
          <w:sz w:val="21"/>
        </w:rPr>
        <w:t>注意</w:t>
        <w:tab/>
      </w:r>
      <w:r>
        <w:rPr>
          <w:rFonts w:ascii="Times New Roman" w:eastAsia="Times New Roman"/>
          <w:sz w:val="21"/>
        </w:rPr>
        <w:t>6</w:t>
      </w:r>
    </w:p>
    <w:p>
      <w:pPr>
        <w:pStyle w:val="ListParagraph"/>
        <w:numPr>
          <w:ilvl w:val="0"/>
          <w:numId w:val="1"/>
        </w:numPr>
        <w:tabs>
          <w:tab w:pos="1033" w:val="left" w:leader="none"/>
          <w:tab w:pos="1034" w:val="left" w:leader="none"/>
          <w:tab w:pos="8705" w:val="right" w:leader="dot"/>
        </w:tabs>
        <w:spacing w:line="240" w:lineRule="auto" w:before="21" w:after="0"/>
        <w:ind w:left="1033"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请</w:t>
      </w:r>
      <w:r>
        <w:rPr>
          <w:sz w:val="21"/>
        </w:rPr>
        <w:t>您</w:t>
      </w:r>
      <w:r>
        <w:rPr>
          <w:spacing w:val="-3"/>
          <w:sz w:val="21"/>
        </w:rPr>
        <w:t>注</w:t>
      </w:r>
      <w:r>
        <w:rPr>
          <w:sz w:val="21"/>
        </w:rPr>
        <w:t>意</w:t>
        <w:tab/>
      </w:r>
      <w:r>
        <w:rPr>
          <w:rFonts w:ascii="Times New Roman" w:eastAsia="Times New Roman"/>
          <w:sz w:val="21"/>
        </w:rPr>
        <w:t>7</w:t>
      </w:r>
    </w:p>
    <w:p>
      <w:pPr>
        <w:tabs>
          <w:tab w:pos="613" w:val="left" w:leader="none"/>
        </w:tabs>
        <w:spacing w:before="333"/>
        <w:ind w:left="192" w:right="0" w:firstLine="0"/>
        <w:jc w:val="left"/>
        <w:rPr>
          <w:b/>
          <w:sz w:val="21"/>
        </w:rPr>
      </w:pPr>
      <w:r>
        <w:rPr>
          <w:rFonts w:ascii="Symbol" w:hAnsi="Symbol" w:eastAsia="Symbol"/>
          <w:b/>
          <w:sz w:val="21"/>
        </w:rPr>
        <w:t></w:t>
      </w:r>
      <w:r>
        <w:rPr>
          <w:rFonts w:ascii="Times New Roman" w:hAnsi="Times New Roman" w:eastAsia="Times New Roman"/>
          <w:sz w:val="21"/>
        </w:rPr>
        <w:tab/>
      </w:r>
      <w:r>
        <w:rPr>
          <w:b/>
          <w:spacing w:val="-3"/>
          <w:sz w:val="21"/>
        </w:rPr>
        <w:t>条款是保险合同的重要内容，为充分保障您的权益，请您仔细阅读本条款。</w:t>
      </w:r>
    </w:p>
    <w:p>
      <w:pPr>
        <w:tabs>
          <w:tab w:pos="613" w:val="left" w:leader="none"/>
        </w:tabs>
        <w:spacing w:before="241" w:after="16"/>
        <w:ind w:left="19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条款目录</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4"/>
        <w:gridCol w:w="2844"/>
        <w:gridCol w:w="3587"/>
      </w:tblGrid>
      <w:tr>
        <w:trPr>
          <w:trHeight w:val="399" w:hRule="atLeast"/>
        </w:trPr>
        <w:tc>
          <w:tcPr>
            <w:tcW w:w="2774" w:type="dxa"/>
            <w:tcBorders>
              <w:top w:val="single" w:sz="8" w:space="0" w:color="000000"/>
              <w:left w:val="single" w:sz="8" w:space="0" w:color="000000"/>
            </w:tcBorders>
          </w:tcPr>
          <w:p>
            <w:pPr>
              <w:pStyle w:val="TableParagraph"/>
              <w:spacing w:before="28"/>
              <w:ind w:left="110"/>
              <w:rPr>
                <w:b/>
                <w:sz w:val="21"/>
              </w:rPr>
            </w:pPr>
            <w:r>
              <w:rPr>
                <w:rFonts w:ascii="Times New Roman" w:eastAsia="Times New Roman"/>
                <w:b/>
                <w:sz w:val="21"/>
              </w:rPr>
              <w:t>1.  </w:t>
            </w:r>
            <w:r>
              <w:rPr>
                <w:b/>
                <w:sz w:val="21"/>
              </w:rPr>
              <w:t>您与我们订立的合同</w:t>
            </w:r>
          </w:p>
        </w:tc>
        <w:tc>
          <w:tcPr>
            <w:tcW w:w="2844" w:type="dxa"/>
            <w:tcBorders>
              <w:top w:val="single" w:sz="8" w:space="0" w:color="000000"/>
            </w:tcBorders>
          </w:tcPr>
          <w:p>
            <w:pPr>
              <w:pStyle w:val="TableParagraph"/>
              <w:spacing w:before="28"/>
              <w:ind w:left="464"/>
              <w:rPr>
                <w:sz w:val="21"/>
              </w:rPr>
            </w:pPr>
            <w:r>
              <w:rPr>
                <w:rFonts w:ascii="Times New Roman" w:eastAsia="Times New Roman"/>
                <w:sz w:val="21"/>
              </w:rPr>
              <w:t>2.3 </w:t>
            </w:r>
            <w:r>
              <w:rPr>
                <w:sz w:val="21"/>
              </w:rPr>
              <w:t>等待期</w:t>
            </w:r>
          </w:p>
        </w:tc>
        <w:tc>
          <w:tcPr>
            <w:tcW w:w="3587" w:type="dxa"/>
            <w:tcBorders>
              <w:top w:val="single" w:sz="8" w:space="0" w:color="000000"/>
              <w:right w:val="single" w:sz="8" w:space="0" w:color="000000"/>
            </w:tcBorders>
          </w:tcPr>
          <w:p>
            <w:pPr>
              <w:pStyle w:val="TableParagraph"/>
              <w:spacing w:before="28"/>
              <w:ind w:left="875"/>
              <w:rPr>
                <w:sz w:val="21"/>
              </w:rPr>
            </w:pPr>
            <w:r>
              <w:rPr>
                <w:rFonts w:ascii="Times New Roman" w:eastAsia="Times New Roman"/>
                <w:sz w:val="21"/>
              </w:rPr>
              <w:t>4.2 </w:t>
            </w:r>
            <w:r>
              <w:rPr>
                <w:sz w:val="21"/>
              </w:rPr>
              <w:t>风险保险费率的调整</w:t>
            </w:r>
          </w:p>
        </w:tc>
      </w:tr>
      <w:tr>
        <w:trPr>
          <w:trHeight w:val="397" w:hRule="atLeast"/>
        </w:trPr>
        <w:tc>
          <w:tcPr>
            <w:tcW w:w="2774" w:type="dxa"/>
            <w:tcBorders>
              <w:left w:val="single" w:sz="8" w:space="0" w:color="000000"/>
            </w:tcBorders>
          </w:tcPr>
          <w:p>
            <w:pPr>
              <w:pStyle w:val="TableParagraph"/>
              <w:spacing w:before="24"/>
              <w:ind w:left="216"/>
              <w:rPr>
                <w:sz w:val="21"/>
              </w:rPr>
            </w:pPr>
            <w:r>
              <w:rPr>
                <w:rFonts w:ascii="Times New Roman" w:eastAsia="Times New Roman"/>
                <w:sz w:val="21"/>
              </w:rPr>
              <w:t>1.1 </w:t>
            </w:r>
            <w:r>
              <w:rPr>
                <w:sz w:val="21"/>
              </w:rPr>
              <w:t>合同构成</w:t>
            </w:r>
          </w:p>
        </w:tc>
        <w:tc>
          <w:tcPr>
            <w:tcW w:w="2844" w:type="dxa"/>
          </w:tcPr>
          <w:p>
            <w:pPr>
              <w:pStyle w:val="TableParagraph"/>
              <w:spacing w:before="24"/>
              <w:ind w:left="464"/>
              <w:rPr>
                <w:sz w:val="21"/>
              </w:rPr>
            </w:pPr>
            <w:r>
              <w:rPr>
                <w:rFonts w:ascii="Times New Roman" w:eastAsia="Times New Roman"/>
                <w:sz w:val="21"/>
              </w:rPr>
              <w:t>2.4 </w:t>
            </w:r>
            <w:r>
              <w:rPr>
                <w:sz w:val="21"/>
              </w:rPr>
              <w:t>保险责任</w:t>
            </w:r>
          </w:p>
        </w:tc>
        <w:tc>
          <w:tcPr>
            <w:tcW w:w="3587" w:type="dxa"/>
            <w:tcBorders>
              <w:right w:val="single" w:sz="8" w:space="0" w:color="000000"/>
            </w:tcBorders>
          </w:tcPr>
          <w:p>
            <w:pPr>
              <w:pStyle w:val="TableParagraph"/>
              <w:spacing w:before="24"/>
              <w:ind w:left="769"/>
              <w:rPr>
                <w:b/>
                <w:sz w:val="21"/>
              </w:rPr>
            </w:pPr>
            <w:r>
              <w:rPr>
                <w:rFonts w:ascii="Times New Roman" w:eastAsia="Times New Roman"/>
                <w:b/>
                <w:sz w:val="21"/>
              </w:rPr>
              <w:t>5.</w:t>
            </w:r>
            <w:r>
              <w:rPr>
                <w:b/>
                <w:sz w:val="21"/>
              </w:rPr>
              <w:t>合同解除与效力终止</w:t>
            </w:r>
          </w:p>
        </w:tc>
      </w:tr>
      <w:tr>
        <w:trPr>
          <w:trHeight w:val="397" w:hRule="atLeast"/>
        </w:trPr>
        <w:tc>
          <w:tcPr>
            <w:tcW w:w="2774" w:type="dxa"/>
            <w:tcBorders>
              <w:left w:val="single" w:sz="8" w:space="0" w:color="000000"/>
            </w:tcBorders>
          </w:tcPr>
          <w:p>
            <w:pPr>
              <w:pStyle w:val="TableParagraph"/>
              <w:spacing w:before="25"/>
              <w:ind w:left="216"/>
              <w:rPr>
                <w:sz w:val="21"/>
              </w:rPr>
            </w:pPr>
            <w:r>
              <w:rPr>
                <w:rFonts w:ascii="Times New Roman" w:eastAsia="Times New Roman"/>
                <w:sz w:val="21"/>
              </w:rPr>
              <w:t>1.2 </w:t>
            </w:r>
            <w:r>
              <w:rPr>
                <w:sz w:val="21"/>
              </w:rPr>
              <w:t>保险合同成立与生效</w:t>
            </w:r>
          </w:p>
        </w:tc>
        <w:tc>
          <w:tcPr>
            <w:tcW w:w="2844" w:type="dxa"/>
          </w:tcPr>
          <w:p>
            <w:pPr>
              <w:pStyle w:val="TableParagraph"/>
              <w:spacing w:before="25"/>
              <w:ind w:left="464"/>
              <w:rPr>
                <w:sz w:val="21"/>
              </w:rPr>
            </w:pPr>
            <w:r>
              <w:rPr>
                <w:rFonts w:ascii="Times New Roman" w:eastAsia="Times New Roman"/>
                <w:sz w:val="21"/>
              </w:rPr>
              <w:t>2.5 </w:t>
            </w:r>
            <w:r>
              <w:rPr>
                <w:sz w:val="21"/>
              </w:rPr>
              <w:t>责任免除</w:t>
            </w:r>
          </w:p>
        </w:tc>
        <w:tc>
          <w:tcPr>
            <w:tcW w:w="3587" w:type="dxa"/>
            <w:tcBorders>
              <w:right w:val="single" w:sz="8" w:space="0" w:color="000000"/>
            </w:tcBorders>
          </w:tcPr>
          <w:p>
            <w:pPr>
              <w:pStyle w:val="TableParagraph"/>
              <w:spacing w:before="25"/>
              <w:ind w:left="0" w:right="282"/>
              <w:jc w:val="right"/>
              <w:rPr>
                <w:sz w:val="21"/>
              </w:rPr>
            </w:pPr>
            <w:r>
              <w:rPr>
                <w:rFonts w:ascii="Times New Roman" w:eastAsia="Times New Roman"/>
                <w:sz w:val="21"/>
              </w:rPr>
              <w:t>5.1 </w:t>
            </w:r>
            <w:r>
              <w:rPr>
                <w:sz w:val="21"/>
              </w:rPr>
              <w:t>解除合同的手续及风险</w:t>
            </w:r>
          </w:p>
        </w:tc>
      </w:tr>
      <w:tr>
        <w:trPr>
          <w:trHeight w:val="397" w:hRule="atLeast"/>
        </w:trPr>
        <w:tc>
          <w:tcPr>
            <w:tcW w:w="2774" w:type="dxa"/>
            <w:tcBorders>
              <w:left w:val="single" w:sz="8" w:space="0" w:color="000000"/>
            </w:tcBorders>
          </w:tcPr>
          <w:p>
            <w:pPr>
              <w:pStyle w:val="TableParagraph"/>
              <w:spacing w:before="24"/>
              <w:ind w:left="216"/>
              <w:rPr>
                <w:sz w:val="21"/>
              </w:rPr>
            </w:pPr>
            <w:r>
              <w:rPr>
                <w:rFonts w:ascii="Times New Roman" w:eastAsia="Times New Roman"/>
                <w:sz w:val="21"/>
              </w:rPr>
              <w:t>1.3 </w:t>
            </w:r>
            <w:r>
              <w:rPr>
                <w:sz w:val="21"/>
              </w:rPr>
              <w:t>投保年龄</w:t>
            </w:r>
          </w:p>
        </w:tc>
        <w:tc>
          <w:tcPr>
            <w:tcW w:w="2844" w:type="dxa"/>
          </w:tcPr>
          <w:p>
            <w:pPr>
              <w:pStyle w:val="TableParagraph"/>
              <w:spacing w:before="24"/>
              <w:ind w:left="358"/>
              <w:rPr>
                <w:b/>
                <w:sz w:val="21"/>
              </w:rPr>
            </w:pPr>
            <w:r>
              <w:rPr>
                <w:rFonts w:ascii="Times New Roman" w:eastAsia="Times New Roman"/>
                <w:b/>
                <w:sz w:val="21"/>
              </w:rPr>
              <w:t>3.  </w:t>
            </w:r>
            <w:r>
              <w:rPr>
                <w:b/>
                <w:sz w:val="21"/>
              </w:rPr>
              <w:t>保险金的申请</w:t>
            </w:r>
          </w:p>
        </w:tc>
        <w:tc>
          <w:tcPr>
            <w:tcW w:w="3587" w:type="dxa"/>
            <w:tcBorders>
              <w:right w:val="single" w:sz="8" w:space="0" w:color="000000"/>
            </w:tcBorders>
          </w:tcPr>
          <w:p>
            <w:pPr>
              <w:pStyle w:val="TableParagraph"/>
              <w:spacing w:before="24"/>
              <w:ind w:left="875"/>
              <w:rPr>
                <w:sz w:val="21"/>
              </w:rPr>
            </w:pPr>
            <w:r>
              <w:rPr>
                <w:rFonts w:ascii="Times New Roman" w:eastAsia="Times New Roman"/>
                <w:sz w:val="21"/>
              </w:rPr>
              <w:t>5.2 </w:t>
            </w:r>
            <w:r>
              <w:rPr>
                <w:sz w:val="21"/>
              </w:rPr>
              <w:t>附加合同效力终止</w:t>
            </w:r>
          </w:p>
        </w:tc>
      </w:tr>
      <w:tr>
        <w:trPr>
          <w:trHeight w:val="397" w:hRule="atLeast"/>
        </w:trPr>
        <w:tc>
          <w:tcPr>
            <w:tcW w:w="2774" w:type="dxa"/>
            <w:tcBorders>
              <w:left w:val="single" w:sz="8" w:space="0" w:color="000000"/>
            </w:tcBorders>
          </w:tcPr>
          <w:p>
            <w:pPr>
              <w:pStyle w:val="TableParagraph"/>
              <w:spacing w:before="25"/>
              <w:ind w:left="216"/>
              <w:rPr>
                <w:sz w:val="21"/>
              </w:rPr>
            </w:pPr>
            <w:r>
              <w:rPr>
                <w:rFonts w:ascii="Times New Roman" w:eastAsia="Times New Roman"/>
                <w:sz w:val="21"/>
              </w:rPr>
              <w:t>1.4 </w:t>
            </w:r>
            <w:r>
              <w:rPr>
                <w:sz w:val="21"/>
              </w:rPr>
              <w:t>合同的签收</w:t>
            </w:r>
          </w:p>
        </w:tc>
        <w:tc>
          <w:tcPr>
            <w:tcW w:w="2844" w:type="dxa"/>
          </w:tcPr>
          <w:p>
            <w:pPr>
              <w:pStyle w:val="TableParagraph"/>
              <w:spacing w:before="25"/>
              <w:ind w:left="464"/>
              <w:rPr>
                <w:sz w:val="21"/>
              </w:rPr>
            </w:pPr>
            <w:r>
              <w:rPr>
                <w:rFonts w:ascii="Times New Roman" w:eastAsia="Times New Roman"/>
                <w:sz w:val="21"/>
              </w:rPr>
              <w:t>3.1 </w:t>
            </w:r>
            <w:r>
              <w:rPr>
                <w:sz w:val="21"/>
              </w:rPr>
              <w:t>保险金的申请</w:t>
            </w:r>
          </w:p>
        </w:tc>
        <w:tc>
          <w:tcPr>
            <w:tcW w:w="3587" w:type="dxa"/>
            <w:tcBorders>
              <w:right w:val="single" w:sz="8" w:space="0" w:color="000000"/>
            </w:tcBorders>
          </w:tcPr>
          <w:p>
            <w:pPr>
              <w:pStyle w:val="TableParagraph"/>
              <w:spacing w:before="25"/>
              <w:ind w:left="0" w:right="222"/>
              <w:jc w:val="right"/>
              <w:rPr>
                <w:b/>
                <w:sz w:val="21"/>
              </w:rPr>
            </w:pPr>
            <w:r>
              <w:rPr>
                <w:rFonts w:ascii="Times New Roman" w:eastAsia="Times New Roman"/>
                <w:b/>
                <w:sz w:val="21"/>
              </w:rPr>
              <w:t>6.  </w:t>
            </w:r>
            <w:r>
              <w:rPr>
                <w:b/>
                <w:sz w:val="21"/>
              </w:rPr>
              <w:t>重大疾病保障范围及定义</w:t>
            </w:r>
          </w:p>
        </w:tc>
      </w:tr>
      <w:tr>
        <w:trPr>
          <w:trHeight w:val="396" w:hRule="atLeast"/>
        </w:trPr>
        <w:tc>
          <w:tcPr>
            <w:tcW w:w="2774" w:type="dxa"/>
            <w:tcBorders>
              <w:left w:val="single" w:sz="8" w:space="0" w:color="000000"/>
            </w:tcBorders>
          </w:tcPr>
          <w:p>
            <w:pPr>
              <w:pStyle w:val="TableParagraph"/>
              <w:spacing w:before="24"/>
              <w:ind w:left="216"/>
              <w:rPr>
                <w:sz w:val="21"/>
              </w:rPr>
            </w:pPr>
            <w:r>
              <w:rPr>
                <w:rFonts w:ascii="Times New Roman" w:eastAsia="Times New Roman"/>
                <w:sz w:val="21"/>
              </w:rPr>
              <w:t>1.5 </w:t>
            </w:r>
            <w:r>
              <w:rPr>
                <w:sz w:val="21"/>
              </w:rPr>
              <w:t>犹豫期</w:t>
            </w:r>
          </w:p>
        </w:tc>
        <w:tc>
          <w:tcPr>
            <w:tcW w:w="2844" w:type="dxa"/>
          </w:tcPr>
          <w:p>
            <w:pPr>
              <w:pStyle w:val="TableParagraph"/>
              <w:spacing w:before="24"/>
              <w:ind w:left="464"/>
              <w:rPr>
                <w:sz w:val="21"/>
              </w:rPr>
            </w:pPr>
            <w:r>
              <w:rPr>
                <w:rFonts w:ascii="Times New Roman" w:eastAsia="Times New Roman"/>
                <w:sz w:val="21"/>
              </w:rPr>
              <w:t>3.2  </w:t>
            </w:r>
            <w:r>
              <w:rPr>
                <w:sz w:val="21"/>
              </w:rPr>
              <w:t>保险金的给付</w:t>
            </w:r>
          </w:p>
        </w:tc>
        <w:tc>
          <w:tcPr>
            <w:tcW w:w="3587" w:type="dxa"/>
            <w:tcBorders>
              <w:right w:val="single" w:sz="8" w:space="0" w:color="000000"/>
            </w:tcBorders>
          </w:tcPr>
          <w:p>
            <w:pPr>
              <w:pStyle w:val="TableParagraph"/>
              <w:spacing w:before="24"/>
              <w:ind w:left="769"/>
              <w:rPr>
                <w:b/>
                <w:sz w:val="21"/>
              </w:rPr>
            </w:pPr>
            <w:r>
              <w:rPr>
                <w:rFonts w:ascii="Times New Roman" w:eastAsia="Times New Roman"/>
                <w:b/>
                <w:sz w:val="21"/>
              </w:rPr>
              <w:t>7.</w:t>
            </w:r>
            <w:r>
              <w:rPr>
                <w:rFonts w:ascii="Times New Roman" w:eastAsia="Times New Roman"/>
                <w:b/>
                <w:spacing w:val="51"/>
                <w:sz w:val="21"/>
              </w:rPr>
              <w:t> </w:t>
            </w:r>
            <w:r>
              <w:rPr>
                <w:b/>
                <w:sz w:val="21"/>
              </w:rPr>
              <w:t>释义</w:t>
            </w:r>
          </w:p>
        </w:tc>
      </w:tr>
      <w:tr>
        <w:trPr>
          <w:trHeight w:val="397" w:hRule="atLeast"/>
        </w:trPr>
        <w:tc>
          <w:tcPr>
            <w:tcW w:w="2774" w:type="dxa"/>
            <w:tcBorders>
              <w:left w:val="single" w:sz="8" w:space="0" w:color="000000"/>
            </w:tcBorders>
          </w:tcPr>
          <w:p>
            <w:pPr>
              <w:pStyle w:val="TableParagraph"/>
              <w:spacing w:before="24"/>
              <w:ind w:left="110"/>
              <w:rPr>
                <w:b/>
                <w:sz w:val="21"/>
              </w:rPr>
            </w:pPr>
            <w:r>
              <w:rPr>
                <w:rFonts w:ascii="Times New Roman" w:eastAsia="Times New Roman"/>
                <w:b/>
                <w:sz w:val="21"/>
              </w:rPr>
              <w:t>2.</w:t>
            </w:r>
            <w:r>
              <w:rPr>
                <w:b/>
                <w:sz w:val="21"/>
              </w:rPr>
              <w:t>我们提供的保障</w:t>
            </w:r>
          </w:p>
        </w:tc>
        <w:tc>
          <w:tcPr>
            <w:tcW w:w="2844" w:type="dxa"/>
          </w:tcPr>
          <w:p>
            <w:pPr>
              <w:pStyle w:val="TableParagraph"/>
              <w:spacing w:before="24"/>
              <w:ind w:left="464"/>
              <w:rPr>
                <w:sz w:val="21"/>
              </w:rPr>
            </w:pPr>
            <w:r>
              <w:rPr>
                <w:rFonts w:ascii="Times New Roman" w:eastAsia="Times New Roman"/>
                <w:sz w:val="21"/>
              </w:rPr>
              <w:t>3.3 </w:t>
            </w:r>
            <w:r>
              <w:rPr>
                <w:sz w:val="21"/>
              </w:rPr>
              <w:t>诉讼时效</w:t>
            </w:r>
          </w:p>
        </w:tc>
        <w:tc>
          <w:tcPr>
            <w:tcW w:w="3587" w:type="dxa"/>
            <w:tcBorders>
              <w:right w:val="single" w:sz="8" w:space="0" w:color="000000"/>
            </w:tcBorders>
          </w:tcPr>
          <w:p>
            <w:pPr>
              <w:pStyle w:val="TableParagraph"/>
              <w:spacing w:before="24"/>
              <w:ind w:left="769"/>
              <w:rPr>
                <w:b/>
                <w:sz w:val="21"/>
              </w:rPr>
            </w:pPr>
            <w:r>
              <w:rPr>
                <w:rFonts w:ascii="Times New Roman" w:eastAsia="Times New Roman"/>
                <w:b/>
                <w:sz w:val="21"/>
              </w:rPr>
              <w:t>8.  </w:t>
            </w:r>
            <w:r>
              <w:rPr>
                <w:b/>
                <w:sz w:val="21"/>
              </w:rPr>
              <w:t>特别说明</w:t>
            </w:r>
          </w:p>
        </w:tc>
      </w:tr>
      <w:tr>
        <w:trPr>
          <w:trHeight w:val="379" w:hRule="atLeast"/>
        </w:trPr>
        <w:tc>
          <w:tcPr>
            <w:tcW w:w="2774" w:type="dxa"/>
            <w:tcBorders>
              <w:left w:val="single" w:sz="8" w:space="0" w:color="000000"/>
            </w:tcBorders>
          </w:tcPr>
          <w:p>
            <w:pPr>
              <w:pStyle w:val="TableParagraph"/>
              <w:spacing w:before="25"/>
              <w:ind w:left="216"/>
              <w:rPr>
                <w:sz w:val="21"/>
              </w:rPr>
            </w:pPr>
            <w:r>
              <w:rPr>
                <w:rFonts w:ascii="Times New Roman" w:eastAsia="Times New Roman"/>
                <w:sz w:val="21"/>
              </w:rPr>
              <w:t>2.1 </w:t>
            </w:r>
            <w:r>
              <w:rPr>
                <w:sz w:val="21"/>
              </w:rPr>
              <w:t>基本保险金额</w:t>
            </w:r>
          </w:p>
        </w:tc>
        <w:tc>
          <w:tcPr>
            <w:tcW w:w="2844" w:type="dxa"/>
          </w:tcPr>
          <w:p>
            <w:pPr>
              <w:pStyle w:val="TableParagraph"/>
              <w:spacing w:before="25"/>
              <w:ind w:left="358"/>
              <w:rPr>
                <w:b/>
                <w:sz w:val="21"/>
              </w:rPr>
            </w:pPr>
            <w:r>
              <w:rPr>
                <w:rFonts w:ascii="Times New Roman" w:eastAsia="Times New Roman"/>
                <w:b/>
                <w:sz w:val="21"/>
              </w:rPr>
              <w:t>4.</w:t>
            </w:r>
            <w:r>
              <w:rPr>
                <w:b/>
                <w:sz w:val="21"/>
              </w:rPr>
              <w:t>风险保险费的支付</w:t>
            </w:r>
          </w:p>
        </w:tc>
        <w:tc>
          <w:tcPr>
            <w:tcW w:w="3587" w:type="dxa"/>
            <w:tcBorders>
              <w:right w:val="single" w:sz="8" w:space="0" w:color="000000"/>
            </w:tcBorders>
          </w:tcPr>
          <w:p>
            <w:pPr>
              <w:pStyle w:val="TableParagraph"/>
              <w:spacing w:before="0"/>
              <w:ind w:left="0"/>
              <w:rPr>
                <w:rFonts w:ascii="Times New Roman"/>
                <w:sz w:val="20"/>
              </w:rPr>
            </w:pPr>
          </w:p>
        </w:tc>
      </w:tr>
      <w:tr>
        <w:trPr>
          <w:trHeight w:val="340" w:hRule="atLeast"/>
        </w:trPr>
        <w:tc>
          <w:tcPr>
            <w:tcW w:w="2774" w:type="dxa"/>
            <w:tcBorders>
              <w:left w:val="single" w:sz="8" w:space="0" w:color="000000"/>
            </w:tcBorders>
          </w:tcPr>
          <w:p>
            <w:pPr>
              <w:pStyle w:val="TableParagraph"/>
              <w:spacing w:before="6"/>
              <w:ind w:left="216"/>
              <w:rPr>
                <w:sz w:val="21"/>
              </w:rPr>
            </w:pPr>
            <w:r>
              <w:rPr>
                <w:rFonts w:ascii="Times New Roman" w:eastAsia="Times New Roman"/>
                <w:sz w:val="21"/>
              </w:rPr>
              <w:t>2.2 </w:t>
            </w:r>
            <w:r>
              <w:rPr>
                <w:sz w:val="21"/>
              </w:rPr>
              <w:t>保险期间</w:t>
            </w:r>
          </w:p>
        </w:tc>
        <w:tc>
          <w:tcPr>
            <w:tcW w:w="2844" w:type="dxa"/>
          </w:tcPr>
          <w:p>
            <w:pPr>
              <w:pStyle w:val="TableParagraph"/>
              <w:spacing w:before="6"/>
              <w:ind w:left="464"/>
              <w:rPr>
                <w:sz w:val="21"/>
              </w:rPr>
            </w:pPr>
            <w:r>
              <w:rPr>
                <w:rFonts w:ascii="Times New Roman" w:eastAsia="Times New Roman"/>
                <w:sz w:val="21"/>
              </w:rPr>
              <w:t>4.1  </w:t>
            </w:r>
            <w:r>
              <w:rPr>
                <w:sz w:val="21"/>
              </w:rPr>
              <w:t>风险保险费的支付</w:t>
            </w:r>
          </w:p>
        </w:tc>
        <w:tc>
          <w:tcPr>
            <w:tcW w:w="3587" w:type="dxa"/>
            <w:tcBorders>
              <w:right w:val="single" w:sz="8" w:space="0" w:color="000000"/>
            </w:tcBorders>
          </w:tcPr>
          <w:p>
            <w:pPr>
              <w:pStyle w:val="TableParagraph"/>
              <w:spacing w:before="0"/>
              <w:ind w:left="0"/>
              <w:rPr>
                <w:rFonts w:ascii="Times New Roman"/>
                <w:sz w:val="20"/>
              </w:rPr>
            </w:pPr>
          </w:p>
        </w:tc>
      </w:tr>
    </w:tbl>
    <w:p>
      <w:pPr>
        <w:spacing w:after="0"/>
        <w:rPr>
          <w:rFonts w:ascii="Times New Roman"/>
          <w:sz w:val="20"/>
        </w:rPr>
        <w:sectPr>
          <w:type w:val="continuous"/>
          <w:pgSz w:w="11910" w:h="16840"/>
          <w:pgMar w:top="140" w:bottom="280" w:left="940" w:right="440"/>
        </w:sectPr>
      </w:pPr>
    </w:p>
    <w:p>
      <w:pPr>
        <w:pStyle w:val="BodyText"/>
        <w:ind w:left="2014"/>
        <w:rPr>
          <w:sz w:val="20"/>
        </w:rPr>
      </w:pPr>
      <w:r>
        <w:rPr>
          <w:sz w:val="20"/>
        </w:rPr>
        <w:drawing>
          <wp:inline distT="0" distB="0" distL="0" distR="0">
            <wp:extent cx="3609035" cy="886396"/>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1" cstate="print"/>
                    <a:stretch>
                      <a:fillRect/>
                    </a:stretch>
                  </pic:blipFill>
                  <pic:spPr>
                    <a:xfrm>
                      <a:off x="0" y="0"/>
                      <a:ext cx="3609035" cy="886396"/>
                    </a:xfrm>
                    <a:prstGeom prst="rect">
                      <a:avLst/>
                    </a:prstGeom>
                  </pic:spPr>
                </pic:pic>
              </a:graphicData>
            </a:graphic>
          </wp:inline>
        </w:drawing>
      </w:r>
      <w:r>
        <w:rPr>
          <w:sz w:val="20"/>
        </w:rPr>
      </w:r>
    </w:p>
    <w:p>
      <w:pPr>
        <w:pStyle w:val="BodyText"/>
        <w:spacing w:before="2"/>
        <w:rPr>
          <w:b/>
          <w:sz w:val="14"/>
        </w:rPr>
      </w:pPr>
    </w:p>
    <w:p>
      <w:pPr>
        <w:pStyle w:val="Heading1"/>
        <w:ind w:left="2287"/>
      </w:pPr>
      <w:r>
        <w:rPr>
          <w:w w:val="95"/>
        </w:rPr>
        <w:t>中意附加年年创意重大疾病保险条款</w:t>
      </w:r>
    </w:p>
    <w:p>
      <w:pPr>
        <w:pStyle w:val="BodyText"/>
        <w:spacing w:before="1"/>
        <w:rPr>
          <w:b/>
          <w:sz w:val="28"/>
        </w:rPr>
      </w:pPr>
    </w:p>
    <w:p>
      <w:pPr>
        <w:spacing w:before="0"/>
        <w:ind w:left="4263" w:right="0" w:firstLine="0"/>
        <w:jc w:val="left"/>
        <w:rPr>
          <w:sz w:val="18"/>
        </w:rPr>
      </w:pPr>
      <w:r>
        <w:rPr>
          <w:sz w:val="18"/>
        </w:rPr>
        <w:t>报中国保险监督管理委员会备案文号：中意人寿［</w:t>
      </w:r>
      <w:r>
        <w:rPr>
          <w:rFonts w:ascii="Times New Roman" w:eastAsia="Times New Roman"/>
          <w:sz w:val="18"/>
        </w:rPr>
        <w:t>2011</w:t>
      </w:r>
      <w:r>
        <w:rPr>
          <w:sz w:val="18"/>
        </w:rPr>
        <w:t>］第</w:t>
      </w:r>
      <w:r>
        <w:rPr>
          <w:rFonts w:ascii="Times New Roman" w:eastAsia="Times New Roman"/>
          <w:sz w:val="18"/>
        </w:rPr>
        <w:t>101</w:t>
      </w:r>
      <w:r>
        <w:rPr>
          <w:sz w:val="18"/>
        </w:rPr>
        <w:t>号</w:t>
      </w:r>
    </w:p>
    <w:p>
      <w:pPr>
        <w:pStyle w:val="BodyText"/>
        <w:rPr>
          <w:sz w:val="20"/>
        </w:rPr>
      </w:pPr>
    </w:p>
    <w:p>
      <w:pPr>
        <w:pStyle w:val="BodyText"/>
        <w:rPr>
          <w:sz w:val="20"/>
        </w:rPr>
      </w:pPr>
    </w:p>
    <w:p>
      <w:pPr>
        <w:pStyle w:val="BodyText"/>
        <w:spacing w:line="259" w:lineRule="auto" w:before="142"/>
        <w:ind w:left="110" w:right="32" w:firstLine="422"/>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均指中意人寿保险有限公司，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中意附加年年创意重大疾病保险</w:t>
      </w:r>
      <w:r>
        <w:rPr>
          <w:rFonts w:ascii="Times New Roman" w:hAnsi="Times New Roman" w:eastAsia="Times New Roman"/>
        </w:rPr>
        <w:t>”</w:t>
      </w:r>
      <w:r>
        <w:rPr/>
        <w:t>的保险合同。</w:t>
      </w:r>
    </w:p>
    <w:p>
      <w:pPr>
        <w:pStyle w:val="BodyText"/>
        <w:spacing w:before="5"/>
        <w:rPr>
          <w:sz w:val="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856"/>
        <w:gridCol w:w="6624"/>
      </w:tblGrid>
      <w:tr>
        <w:trPr>
          <w:trHeight w:val="355" w:hRule="atLeast"/>
        </w:trPr>
        <w:tc>
          <w:tcPr>
            <w:tcW w:w="766" w:type="dxa"/>
            <w:tcBorders>
              <w:bottom w:val="single" w:sz="4" w:space="0" w:color="000000"/>
            </w:tcBorders>
          </w:tcPr>
          <w:p>
            <w:pPr>
              <w:pStyle w:val="TableParagraph"/>
              <w:spacing w:line="266" w:lineRule="exact" w:before="0"/>
              <w:ind w:left="108"/>
              <w:rPr>
                <w:rFonts w:ascii="Times New Roman"/>
                <w:b/>
                <w:sz w:val="24"/>
              </w:rPr>
            </w:pPr>
            <w:r>
              <w:rPr>
                <w:rFonts w:ascii="Times New Roman"/>
                <w:b/>
                <w:sz w:val="24"/>
              </w:rPr>
              <w:t>1</w:t>
            </w:r>
          </w:p>
        </w:tc>
        <w:tc>
          <w:tcPr>
            <w:tcW w:w="8480" w:type="dxa"/>
            <w:gridSpan w:val="2"/>
            <w:tcBorders>
              <w:bottom w:val="single" w:sz="4" w:space="0" w:color="000000"/>
            </w:tcBorders>
          </w:tcPr>
          <w:p>
            <w:pPr>
              <w:pStyle w:val="TableParagraph"/>
              <w:spacing w:line="243" w:lineRule="exact" w:before="0"/>
              <w:ind w:left="393"/>
              <w:rPr>
                <w:b/>
                <w:sz w:val="24"/>
              </w:rPr>
            </w:pPr>
            <w:r>
              <w:rPr>
                <w:b/>
                <w:w w:val="95"/>
                <w:sz w:val="24"/>
              </w:rPr>
              <w:t>您与我们订立的合同</w:t>
            </w:r>
          </w:p>
        </w:tc>
      </w:tr>
      <w:tr>
        <w:trPr>
          <w:trHeight w:val="1400" w:hRule="atLeast"/>
        </w:trPr>
        <w:tc>
          <w:tcPr>
            <w:tcW w:w="766" w:type="dxa"/>
            <w:tcBorders>
              <w:top w:val="single" w:sz="4" w:space="0" w:color="000000"/>
            </w:tcBorders>
          </w:tcPr>
          <w:p>
            <w:pPr>
              <w:pStyle w:val="TableParagraph"/>
              <w:spacing w:before="34"/>
              <w:ind w:left="108"/>
              <w:rPr>
                <w:rFonts w:ascii="Times New Roman"/>
                <w:sz w:val="21"/>
              </w:rPr>
            </w:pPr>
            <w:r>
              <w:rPr>
                <w:rFonts w:ascii="Times New Roman"/>
                <w:sz w:val="21"/>
              </w:rPr>
              <w:t>1.1</w:t>
            </w:r>
          </w:p>
        </w:tc>
        <w:tc>
          <w:tcPr>
            <w:tcW w:w="1856" w:type="dxa"/>
            <w:tcBorders>
              <w:top w:val="single" w:sz="4" w:space="0" w:color="000000"/>
            </w:tcBorders>
          </w:tcPr>
          <w:p>
            <w:pPr>
              <w:pStyle w:val="TableParagraph"/>
              <w:spacing w:line="262" w:lineRule="exact" w:before="0"/>
              <w:ind w:left="393"/>
              <w:rPr>
                <w:b/>
                <w:sz w:val="21"/>
              </w:rPr>
            </w:pPr>
            <w:r>
              <w:rPr>
                <w:b/>
                <w:sz w:val="21"/>
              </w:rPr>
              <w:t>合同构成</w:t>
            </w:r>
          </w:p>
        </w:tc>
        <w:tc>
          <w:tcPr>
            <w:tcW w:w="6624" w:type="dxa"/>
            <w:tcBorders>
              <w:top w:val="single" w:sz="4" w:space="0" w:color="000000"/>
            </w:tcBorders>
          </w:tcPr>
          <w:p>
            <w:pPr>
              <w:pStyle w:val="TableParagraph"/>
              <w:spacing w:line="273" w:lineRule="auto" w:before="0"/>
              <w:ind w:left="107" w:right="208"/>
              <w:jc w:val="both"/>
              <w:rPr>
                <w:sz w:val="21"/>
              </w:rPr>
            </w:pPr>
            <w:r>
              <w:rPr>
                <w:sz w:val="21"/>
              </w:rPr>
              <w:t>本附加合同可以附加于我们供您选择的人身保险合同（以下简称主合同）。如您申请投保本附加合同，经我们审核同意后可以订立本附加合同。主合同的条款也适用于本附加合同，若互有冲突，则以本附加合同为准。</w:t>
            </w:r>
          </w:p>
        </w:tc>
      </w:tr>
      <w:tr>
        <w:trPr>
          <w:trHeight w:val="1872" w:hRule="atLeast"/>
        </w:trPr>
        <w:tc>
          <w:tcPr>
            <w:tcW w:w="766" w:type="dxa"/>
          </w:tcPr>
          <w:p>
            <w:pPr>
              <w:pStyle w:val="TableParagraph"/>
              <w:spacing w:before="194"/>
              <w:ind w:left="108"/>
              <w:rPr>
                <w:rFonts w:ascii="Times New Roman"/>
                <w:sz w:val="21"/>
              </w:rPr>
            </w:pPr>
            <w:r>
              <w:rPr>
                <w:rFonts w:ascii="Times New Roman"/>
                <w:sz w:val="21"/>
              </w:rPr>
              <w:t>1.2</w:t>
            </w:r>
          </w:p>
        </w:tc>
        <w:tc>
          <w:tcPr>
            <w:tcW w:w="1856" w:type="dxa"/>
          </w:tcPr>
          <w:p>
            <w:pPr>
              <w:pStyle w:val="TableParagraph"/>
              <w:spacing w:line="273" w:lineRule="auto" w:before="147"/>
              <w:ind w:left="393" w:right="107"/>
              <w:rPr>
                <w:b/>
                <w:sz w:val="21"/>
              </w:rPr>
            </w:pPr>
            <w:r>
              <w:rPr>
                <w:b/>
                <w:sz w:val="21"/>
              </w:rPr>
              <w:t>保险合同成立与生效</w:t>
            </w:r>
          </w:p>
        </w:tc>
        <w:tc>
          <w:tcPr>
            <w:tcW w:w="6624" w:type="dxa"/>
          </w:tcPr>
          <w:p>
            <w:pPr>
              <w:pStyle w:val="TableParagraph"/>
              <w:spacing w:before="147"/>
              <w:ind w:left="107"/>
              <w:rPr>
                <w:sz w:val="21"/>
              </w:rPr>
            </w:pPr>
            <w:r>
              <w:rPr>
                <w:sz w:val="21"/>
              </w:rPr>
              <w:t>您提出保险申请、我们同意承保，本附加合同成立。</w:t>
            </w:r>
          </w:p>
          <w:p>
            <w:pPr>
              <w:pStyle w:val="TableParagraph"/>
              <w:spacing w:line="273" w:lineRule="auto" w:before="37"/>
              <w:ind w:left="107" w:right="106"/>
              <w:rPr>
                <w:sz w:val="21"/>
              </w:rPr>
            </w:pPr>
            <w:r>
              <w:rPr>
                <w:sz w:val="21"/>
              </w:rPr>
              <w:t>本附加合同自我们同意承保并签发保险单后开始生效，合同生效日期在保险单上载明。保单年度以该日期计算。</w:t>
            </w:r>
          </w:p>
          <w:p>
            <w:pPr>
              <w:pStyle w:val="TableParagraph"/>
              <w:spacing w:line="273" w:lineRule="auto" w:before="8"/>
              <w:ind w:left="107" w:right="106"/>
              <w:rPr>
                <w:b/>
                <w:sz w:val="21"/>
              </w:rPr>
            </w:pPr>
            <w:r>
              <w:rPr>
                <w:b/>
                <w:sz w:val="21"/>
              </w:rPr>
              <w:t>我们自保险单上约定的生效日的次日零时起开始承担本附加合同约定的保险责任。</w:t>
            </w:r>
          </w:p>
        </w:tc>
      </w:tr>
      <w:tr>
        <w:trPr>
          <w:trHeight w:val="877" w:hRule="atLeast"/>
        </w:trPr>
        <w:tc>
          <w:tcPr>
            <w:tcW w:w="766" w:type="dxa"/>
          </w:tcPr>
          <w:p>
            <w:pPr>
              <w:pStyle w:val="TableParagraph"/>
              <w:spacing w:before="194"/>
              <w:ind w:left="108"/>
              <w:rPr>
                <w:rFonts w:ascii="Times New Roman"/>
                <w:sz w:val="21"/>
              </w:rPr>
            </w:pPr>
            <w:r>
              <w:rPr>
                <w:rFonts w:ascii="Times New Roman"/>
                <w:sz w:val="21"/>
              </w:rPr>
              <w:t>1.3</w:t>
            </w:r>
          </w:p>
        </w:tc>
        <w:tc>
          <w:tcPr>
            <w:tcW w:w="1856" w:type="dxa"/>
          </w:tcPr>
          <w:p>
            <w:pPr>
              <w:pStyle w:val="TableParagraph"/>
              <w:spacing w:before="147"/>
              <w:ind w:left="393"/>
              <w:rPr>
                <w:b/>
                <w:sz w:val="21"/>
              </w:rPr>
            </w:pPr>
            <w:r>
              <w:rPr>
                <w:b/>
                <w:sz w:val="21"/>
              </w:rPr>
              <w:t>投保年龄</w:t>
            </w:r>
          </w:p>
        </w:tc>
        <w:tc>
          <w:tcPr>
            <w:tcW w:w="6624" w:type="dxa"/>
          </w:tcPr>
          <w:p>
            <w:pPr>
              <w:pStyle w:val="TableParagraph"/>
              <w:spacing w:line="254" w:lineRule="auto" w:before="147"/>
              <w:ind w:left="107" w:right="1049"/>
              <w:rPr>
                <w:sz w:val="21"/>
              </w:rPr>
            </w:pPr>
            <w:r>
              <w:rPr>
                <w:spacing w:val="-3"/>
                <w:sz w:val="21"/>
              </w:rPr>
              <w:t>指您投保本附加合同时被保险人的年龄，年龄以周岁计算。</w:t>
            </w:r>
            <w:r>
              <w:rPr>
                <w:spacing w:val="-6"/>
                <w:sz w:val="21"/>
              </w:rPr>
              <w:t>本附加合同接受的被保险人投保年龄为 </w:t>
            </w:r>
            <w:r>
              <w:rPr>
                <w:rFonts w:ascii="Times New Roman" w:eastAsia="Times New Roman"/>
                <w:sz w:val="21"/>
              </w:rPr>
              <w:t>18 </w:t>
            </w:r>
            <w:r>
              <w:rPr>
                <w:spacing w:val="-14"/>
                <w:sz w:val="21"/>
              </w:rPr>
              <w:t>周岁至 </w:t>
            </w:r>
            <w:r>
              <w:rPr>
                <w:rFonts w:ascii="Times New Roman" w:eastAsia="Times New Roman"/>
                <w:sz w:val="21"/>
              </w:rPr>
              <w:t>59 </w:t>
            </w:r>
            <w:r>
              <w:rPr>
                <w:spacing w:val="-2"/>
                <w:sz w:val="21"/>
              </w:rPr>
              <w:t>周岁。</w:t>
            </w:r>
          </w:p>
        </w:tc>
      </w:tr>
      <w:tr>
        <w:trPr>
          <w:trHeight w:val="601" w:hRule="atLeast"/>
        </w:trPr>
        <w:tc>
          <w:tcPr>
            <w:tcW w:w="766" w:type="dxa"/>
          </w:tcPr>
          <w:p>
            <w:pPr>
              <w:pStyle w:val="TableParagraph"/>
              <w:spacing w:before="141"/>
              <w:ind w:left="108"/>
              <w:rPr>
                <w:rFonts w:ascii="Times New Roman"/>
                <w:sz w:val="21"/>
              </w:rPr>
            </w:pPr>
            <w:r>
              <w:rPr>
                <w:rFonts w:ascii="Times New Roman"/>
                <w:sz w:val="21"/>
              </w:rPr>
              <w:t>1.4</w:t>
            </w:r>
          </w:p>
        </w:tc>
        <w:tc>
          <w:tcPr>
            <w:tcW w:w="1856" w:type="dxa"/>
          </w:tcPr>
          <w:p>
            <w:pPr>
              <w:pStyle w:val="TableParagraph"/>
              <w:spacing w:before="94"/>
              <w:ind w:left="393"/>
              <w:rPr>
                <w:b/>
                <w:sz w:val="21"/>
              </w:rPr>
            </w:pPr>
            <w:r>
              <w:rPr>
                <w:b/>
                <w:sz w:val="21"/>
              </w:rPr>
              <w:t>合同的签收</w:t>
            </w:r>
          </w:p>
        </w:tc>
        <w:tc>
          <w:tcPr>
            <w:tcW w:w="6624" w:type="dxa"/>
          </w:tcPr>
          <w:p>
            <w:pPr>
              <w:pStyle w:val="TableParagraph"/>
              <w:spacing w:before="94"/>
              <w:ind w:left="107"/>
              <w:rPr>
                <w:sz w:val="21"/>
              </w:rPr>
            </w:pPr>
            <w:r>
              <w:rPr>
                <w:sz w:val="21"/>
              </w:rPr>
              <w:t>在您收到本附加合同时，您应当签署本附加合同的签收回执。</w:t>
            </w:r>
          </w:p>
        </w:tc>
      </w:tr>
      <w:tr>
        <w:trPr>
          <w:trHeight w:val="2196" w:hRule="atLeast"/>
        </w:trPr>
        <w:tc>
          <w:tcPr>
            <w:tcW w:w="766" w:type="dxa"/>
          </w:tcPr>
          <w:p>
            <w:pPr>
              <w:pStyle w:val="TableParagraph"/>
              <w:spacing w:before="0"/>
              <w:ind w:left="0"/>
              <w:rPr>
                <w:sz w:val="16"/>
              </w:rPr>
            </w:pPr>
          </w:p>
          <w:p>
            <w:pPr>
              <w:pStyle w:val="TableParagraph"/>
              <w:spacing w:before="0"/>
              <w:ind w:left="108"/>
              <w:rPr>
                <w:rFonts w:ascii="Times New Roman"/>
                <w:sz w:val="21"/>
              </w:rPr>
            </w:pPr>
            <w:r>
              <w:rPr>
                <w:rFonts w:ascii="Times New Roman"/>
                <w:sz w:val="21"/>
              </w:rPr>
              <w:t>1.5</w:t>
            </w:r>
          </w:p>
        </w:tc>
        <w:tc>
          <w:tcPr>
            <w:tcW w:w="1856" w:type="dxa"/>
          </w:tcPr>
          <w:p>
            <w:pPr>
              <w:pStyle w:val="TableParagraph"/>
              <w:spacing w:before="163"/>
              <w:ind w:left="393"/>
              <w:rPr>
                <w:b/>
                <w:sz w:val="21"/>
              </w:rPr>
            </w:pPr>
            <w:r>
              <w:rPr>
                <w:b/>
                <w:sz w:val="21"/>
              </w:rPr>
              <w:t>犹豫期</w:t>
            </w:r>
          </w:p>
        </w:tc>
        <w:tc>
          <w:tcPr>
            <w:tcW w:w="6624" w:type="dxa"/>
          </w:tcPr>
          <w:p>
            <w:pPr>
              <w:pStyle w:val="TableParagraph"/>
              <w:spacing w:line="264" w:lineRule="auto" w:before="163"/>
              <w:ind w:left="107" w:right="209"/>
              <w:jc w:val="both"/>
              <w:rPr>
                <w:sz w:val="21"/>
              </w:rPr>
            </w:pPr>
            <w:r>
              <w:rPr>
                <w:sz w:val="21"/>
              </w:rPr>
              <w:t>自您签收本附加合同的次日起，有</w:t>
            </w:r>
            <w:r>
              <w:rPr>
                <w:rFonts w:ascii="Times New Roman" w:eastAsia="Times New Roman"/>
                <w:sz w:val="21"/>
              </w:rPr>
              <w:t>10</w:t>
            </w:r>
            <w:r>
              <w:rPr>
                <w:sz w:val="21"/>
              </w:rPr>
              <w:t>日的犹豫期。在此期间，请您仔细阅读本附加合同，如果您认为本附加合同与您的需求不相符，您可以在犹豫期结束前解除本附加合同。</w:t>
            </w:r>
          </w:p>
          <w:p>
            <w:pPr>
              <w:pStyle w:val="TableParagraph"/>
              <w:spacing w:line="273" w:lineRule="auto" w:before="16"/>
              <w:ind w:left="107" w:right="208"/>
              <w:jc w:val="both"/>
              <w:rPr>
                <w:sz w:val="21"/>
              </w:rPr>
            </w:pPr>
            <w:r>
              <w:rPr>
                <w:sz w:val="21"/>
              </w:rPr>
              <w:t>解除本附加合同时，您需要填写申请书，并提供您的保险合同及有效身份证件。自您书面申请解除本附加合同之日起，本附加合同即被解除，我们自本附加合同生效日起不承担保险责任。</w:t>
            </w:r>
          </w:p>
        </w:tc>
      </w:tr>
      <w:tr>
        <w:trPr>
          <w:trHeight w:val="554" w:hRule="atLeast"/>
        </w:trPr>
        <w:tc>
          <w:tcPr>
            <w:tcW w:w="766" w:type="dxa"/>
            <w:tcBorders>
              <w:bottom w:val="single" w:sz="8" w:space="0" w:color="000000"/>
            </w:tcBorders>
          </w:tcPr>
          <w:p>
            <w:pPr>
              <w:pStyle w:val="TableParagraph"/>
              <w:spacing w:before="187"/>
              <w:ind w:left="108"/>
              <w:rPr>
                <w:rFonts w:ascii="Times New Roman"/>
                <w:b/>
                <w:sz w:val="24"/>
              </w:rPr>
            </w:pPr>
            <w:r>
              <w:rPr>
                <w:rFonts w:ascii="Times New Roman"/>
                <w:b/>
                <w:sz w:val="24"/>
              </w:rPr>
              <w:t>2</w:t>
            </w:r>
          </w:p>
        </w:tc>
        <w:tc>
          <w:tcPr>
            <w:tcW w:w="8480" w:type="dxa"/>
            <w:gridSpan w:val="2"/>
            <w:tcBorders>
              <w:bottom w:val="single" w:sz="8" w:space="0" w:color="000000"/>
            </w:tcBorders>
          </w:tcPr>
          <w:p>
            <w:pPr>
              <w:pStyle w:val="TableParagraph"/>
              <w:spacing w:before="126"/>
              <w:ind w:left="393"/>
              <w:rPr>
                <w:b/>
                <w:sz w:val="24"/>
              </w:rPr>
            </w:pPr>
            <w:r>
              <w:rPr>
                <w:b/>
                <w:w w:val="95"/>
                <w:sz w:val="24"/>
              </w:rPr>
              <w:t>我们提供的保障</w:t>
            </w:r>
          </w:p>
        </w:tc>
      </w:tr>
      <w:tr>
        <w:trPr>
          <w:trHeight w:val="775" w:hRule="atLeast"/>
        </w:trPr>
        <w:tc>
          <w:tcPr>
            <w:tcW w:w="766" w:type="dxa"/>
            <w:tcBorders>
              <w:top w:val="single" w:sz="8" w:space="0" w:color="000000"/>
            </w:tcBorders>
          </w:tcPr>
          <w:p>
            <w:pPr>
              <w:pStyle w:val="TableParagraph"/>
              <w:spacing w:before="34"/>
              <w:ind w:left="108"/>
              <w:rPr>
                <w:rFonts w:ascii="Times New Roman"/>
                <w:sz w:val="21"/>
              </w:rPr>
            </w:pPr>
            <w:r>
              <w:rPr>
                <w:rFonts w:ascii="Times New Roman"/>
                <w:sz w:val="21"/>
              </w:rPr>
              <w:t>2.1</w:t>
            </w:r>
          </w:p>
        </w:tc>
        <w:tc>
          <w:tcPr>
            <w:tcW w:w="1856" w:type="dxa"/>
            <w:tcBorders>
              <w:top w:val="single" w:sz="8" w:space="0" w:color="000000"/>
            </w:tcBorders>
          </w:tcPr>
          <w:p>
            <w:pPr>
              <w:pStyle w:val="TableParagraph"/>
              <w:spacing w:line="262" w:lineRule="exact" w:before="0"/>
              <w:ind w:left="393"/>
              <w:rPr>
                <w:b/>
                <w:sz w:val="21"/>
              </w:rPr>
            </w:pPr>
            <w:r>
              <w:rPr>
                <w:b/>
                <w:sz w:val="21"/>
              </w:rPr>
              <w:t>基本保险金额</w:t>
            </w:r>
          </w:p>
        </w:tc>
        <w:tc>
          <w:tcPr>
            <w:tcW w:w="6624" w:type="dxa"/>
            <w:tcBorders>
              <w:top w:val="single" w:sz="8" w:space="0" w:color="000000"/>
            </w:tcBorders>
          </w:tcPr>
          <w:p>
            <w:pPr>
              <w:pStyle w:val="TableParagraph"/>
              <w:spacing w:line="273" w:lineRule="auto" w:before="0"/>
              <w:ind w:left="107" w:right="2"/>
              <w:rPr>
                <w:sz w:val="21"/>
              </w:rPr>
            </w:pPr>
            <w:r>
              <w:rPr>
                <w:spacing w:val="-3"/>
                <w:sz w:val="21"/>
              </w:rPr>
              <w:t>本附加合同的基本保险金额由您在投保时与我们约定，并在保险单上 载明。如果该基本保险金额有所变更，以变更后的基本保险金额为准。</w:t>
            </w:r>
          </w:p>
        </w:tc>
      </w:tr>
      <w:tr>
        <w:trPr>
          <w:trHeight w:val="891" w:hRule="atLeast"/>
        </w:trPr>
        <w:tc>
          <w:tcPr>
            <w:tcW w:w="766" w:type="dxa"/>
          </w:tcPr>
          <w:p>
            <w:pPr>
              <w:pStyle w:val="TableParagraph"/>
              <w:spacing w:before="194"/>
              <w:ind w:left="108"/>
              <w:rPr>
                <w:rFonts w:ascii="Times New Roman"/>
                <w:sz w:val="21"/>
              </w:rPr>
            </w:pPr>
            <w:r>
              <w:rPr>
                <w:rFonts w:ascii="Times New Roman"/>
                <w:sz w:val="21"/>
              </w:rPr>
              <w:t>2.2</w:t>
            </w:r>
          </w:p>
        </w:tc>
        <w:tc>
          <w:tcPr>
            <w:tcW w:w="1856" w:type="dxa"/>
          </w:tcPr>
          <w:p>
            <w:pPr>
              <w:pStyle w:val="TableParagraph"/>
              <w:spacing w:before="147"/>
              <w:ind w:left="393"/>
              <w:rPr>
                <w:b/>
                <w:sz w:val="21"/>
              </w:rPr>
            </w:pPr>
            <w:r>
              <w:rPr>
                <w:b/>
                <w:sz w:val="21"/>
              </w:rPr>
              <w:t>保险期间</w:t>
            </w:r>
          </w:p>
        </w:tc>
        <w:tc>
          <w:tcPr>
            <w:tcW w:w="6624" w:type="dxa"/>
          </w:tcPr>
          <w:p>
            <w:pPr>
              <w:pStyle w:val="TableParagraph"/>
              <w:spacing w:line="256" w:lineRule="auto" w:before="147"/>
              <w:ind w:left="107" w:right="105"/>
              <w:rPr>
                <w:sz w:val="21"/>
              </w:rPr>
            </w:pPr>
            <w:r>
              <w:rPr>
                <w:sz w:val="21"/>
              </w:rPr>
              <w:t>本附加合同的保险期间与同一主合同下</w:t>
            </w:r>
            <w:r>
              <w:rPr>
                <w:rFonts w:ascii="Times New Roman" w:hAnsi="Times New Roman" w:eastAsia="Times New Roman"/>
                <w:sz w:val="21"/>
              </w:rPr>
              <w:t>“</w:t>
            </w:r>
            <w:r>
              <w:rPr>
                <w:sz w:val="21"/>
              </w:rPr>
              <w:t>中意附加年年创意定期寿险</w:t>
            </w:r>
            <w:r>
              <w:rPr>
                <w:rFonts w:ascii="Times New Roman" w:hAnsi="Times New Roman" w:eastAsia="Times New Roman"/>
                <w:sz w:val="21"/>
              </w:rPr>
              <w:t>” </w:t>
            </w:r>
            <w:r>
              <w:rPr>
                <w:sz w:val="21"/>
              </w:rPr>
              <w:t>的保险期间相同。</w:t>
            </w:r>
          </w:p>
        </w:tc>
      </w:tr>
      <w:tr>
        <w:trPr>
          <w:trHeight w:val="936" w:hRule="atLeast"/>
        </w:trPr>
        <w:tc>
          <w:tcPr>
            <w:tcW w:w="766" w:type="dxa"/>
          </w:tcPr>
          <w:p>
            <w:pPr>
              <w:pStyle w:val="TableParagraph"/>
              <w:spacing w:before="169"/>
              <w:ind w:left="108"/>
              <w:rPr>
                <w:rFonts w:ascii="Times New Roman"/>
                <w:sz w:val="21"/>
              </w:rPr>
            </w:pPr>
            <w:r>
              <w:rPr>
                <w:rFonts w:ascii="Times New Roman"/>
                <w:sz w:val="21"/>
              </w:rPr>
              <w:t>2.3</w:t>
            </w:r>
          </w:p>
        </w:tc>
        <w:tc>
          <w:tcPr>
            <w:tcW w:w="1856" w:type="dxa"/>
          </w:tcPr>
          <w:p>
            <w:pPr>
              <w:pStyle w:val="TableParagraph"/>
              <w:spacing w:before="122"/>
              <w:ind w:left="393"/>
              <w:rPr>
                <w:b/>
                <w:sz w:val="21"/>
              </w:rPr>
            </w:pPr>
            <w:r>
              <w:rPr>
                <w:b/>
                <w:sz w:val="21"/>
              </w:rPr>
              <w:t>等待期</w:t>
            </w:r>
          </w:p>
        </w:tc>
        <w:tc>
          <w:tcPr>
            <w:tcW w:w="6624" w:type="dxa"/>
          </w:tcPr>
          <w:p>
            <w:pPr>
              <w:pStyle w:val="TableParagraph"/>
              <w:spacing w:line="281" w:lineRule="exact" w:before="100"/>
              <w:ind w:left="107"/>
              <w:rPr>
                <w:sz w:val="21"/>
              </w:rPr>
            </w:pPr>
            <w:r>
              <w:rPr>
                <w:sz w:val="21"/>
              </w:rPr>
              <w:t>从本附加合同生效（或最后复效）之日 </w:t>
            </w:r>
            <w:r>
              <w:rPr>
                <w:rFonts w:ascii="Times New Roman" w:eastAsia="Times New Roman"/>
                <w:sz w:val="21"/>
              </w:rPr>
              <w:t>90 </w:t>
            </w:r>
            <w:r>
              <w:rPr>
                <w:sz w:val="21"/>
              </w:rPr>
              <w:t>天内，被保险人</w:t>
            </w:r>
            <w:r>
              <w:rPr>
                <w:b/>
                <w:sz w:val="21"/>
              </w:rPr>
              <w:t>发病，</w:t>
            </w:r>
            <w:r>
              <w:rPr>
                <w:sz w:val="21"/>
              </w:rPr>
              <w:t>我们</w:t>
            </w:r>
          </w:p>
          <w:p>
            <w:pPr>
              <w:pStyle w:val="TableParagraph"/>
              <w:spacing w:line="272" w:lineRule="exact" w:before="0"/>
              <w:ind w:left="107"/>
              <w:rPr>
                <w:sz w:val="21"/>
              </w:rPr>
            </w:pPr>
            <w:r>
              <w:rPr>
                <w:sz w:val="21"/>
              </w:rPr>
              <w:t>不承担保险责任。这 </w:t>
            </w:r>
            <w:r>
              <w:rPr>
                <w:rFonts w:ascii="Times New Roman" w:eastAsia="Times New Roman"/>
                <w:sz w:val="21"/>
              </w:rPr>
              <w:t>90 </w:t>
            </w:r>
            <w:r>
              <w:rPr>
                <w:sz w:val="21"/>
              </w:rPr>
              <w:t>天的时间称为等待期。但因意外伤害事故引起</w:t>
            </w:r>
          </w:p>
          <w:p>
            <w:pPr>
              <w:pStyle w:val="TableParagraph"/>
              <w:spacing w:line="262" w:lineRule="exact" w:before="0"/>
              <w:ind w:left="107"/>
              <w:rPr>
                <w:sz w:val="21"/>
              </w:rPr>
            </w:pPr>
            <w:r>
              <w:rPr>
                <w:sz w:val="21"/>
              </w:rPr>
              <w:t>的第 </w:t>
            </w:r>
            <w:r>
              <w:rPr>
                <w:rFonts w:ascii="Times New Roman" w:eastAsia="Times New Roman"/>
                <w:sz w:val="21"/>
              </w:rPr>
              <w:t>6 </w:t>
            </w:r>
            <w:r>
              <w:rPr>
                <w:sz w:val="21"/>
              </w:rPr>
              <w:t>条约定的重大疾病无等待期。</w:t>
            </w:r>
          </w:p>
        </w:tc>
      </w:tr>
    </w:tbl>
    <w:p>
      <w:pPr>
        <w:spacing w:after="0" w:line="262" w:lineRule="exact"/>
        <w:rPr>
          <w:sz w:val="21"/>
        </w:rPr>
        <w:sectPr>
          <w:footerReference w:type="default" r:id="rId9"/>
          <w:footerReference w:type="even" r:id="rId10"/>
          <w:pgSz w:w="11910" w:h="16840"/>
          <w:pgMar w:footer="773" w:header="0" w:top="1120" w:bottom="960" w:left="1380" w:right="1020"/>
          <w:pgNumType w:start="1"/>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784"/>
        <w:gridCol w:w="6613"/>
      </w:tblGrid>
      <w:tr>
        <w:trPr>
          <w:trHeight w:val="432" w:hRule="atLeast"/>
        </w:trPr>
        <w:tc>
          <w:tcPr>
            <w:tcW w:w="846" w:type="dxa"/>
          </w:tcPr>
          <w:p>
            <w:pPr>
              <w:pStyle w:val="TableParagraph"/>
              <w:spacing w:line="230" w:lineRule="exact" w:before="0"/>
              <w:ind w:left="110"/>
              <w:rPr>
                <w:rFonts w:ascii="Times New Roman"/>
                <w:sz w:val="21"/>
              </w:rPr>
            </w:pPr>
            <w:r>
              <w:rPr>
                <w:rFonts w:ascii="Times New Roman"/>
                <w:sz w:val="21"/>
              </w:rPr>
              <w:t>2.4</w:t>
            </w:r>
          </w:p>
        </w:tc>
        <w:tc>
          <w:tcPr>
            <w:tcW w:w="1784" w:type="dxa"/>
          </w:tcPr>
          <w:p>
            <w:pPr>
              <w:pStyle w:val="TableParagraph"/>
              <w:spacing w:line="217" w:lineRule="exact" w:before="0"/>
              <w:ind w:left="313"/>
              <w:rPr>
                <w:b/>
                <w:sz w:val="21"/>
              </w:rPr>
            </w:pPr>
            <w:r>
              <w:rPr>
                <w:b/>
                <w:sz w:val="21"/>
              </w:rPr>
              <w:t>保险责任</w:t>
            </w:r>
          </w:p>
        </w:tc>
        <w:tc>
          <w:tcPr>
            <w:tcW w:w="6613" w:type="dxa"/>
          </w:tcPr>
          <w:p>
            <w:pPr>
              <w:pStyle w:val="TableParagraph"/>
              <w:spacing w:line="250" w:lineRule="exact" w:before="0"/>
              <w:ind w:left="101"/>
              <w:rPr>
                <w:sz w:val="21"/>
              </w:rPr>
            </w:pPr>
            <w:r>
              <w:rPr>
                <w:sz w:val="21"/>
              </w:rPr>
              <w:t>在本附加合同有效期内，我们承担如下保险责任：</w:t>
            </w:r>
          </w:p>
        </w:tc>
      </w:tr>
      <w:tr>
        <w:trPr>
          <w:trHeight w:val="4081" w:hRule="atLeast"/>
        </w:trPr>
        <w:tc>
          <w:tcPr>
            <w:tcW w:w="846" w:type="dxa"/>
          </w:tcPr>
          <w:p>
            <w:pPr>
              <w:pStyle w:val="TableParagraph"/>
              <w:spacing w:before="180"/>
              <w:ind w:left="110"/>
              <w:rPr>
                <w:rFonts w:ascii="Times New Roman"/>
                <w:sz w:val="21"/>
              </w:rPr>
            </w:pPr>
            <w:r>
              <w:rPr>
                <w:rFonts w:ascii="Times New Roman"/>
                <w:sz w:val="21"/>
              </w:rPr>
              <w:t>2.4.1</w:t>
            </w:r>
          </w:p>
        </w:tc>
        <w:tc>
          <w:tcPr>
            <w:tcW w:w="1784" w:type="dxa"/>
          </w:tcPr>
          <w:p>
            <w:pPr>
              <w:pStyle w:val="TableParagraph"/>
              <w:spacing w:line="273" w:lineRule="auto" w:before="133"/>
              <w:ind w:left="313" w:right="99"/>
              <w:rPr>
                <w:b/>
                <w:sz w:val="21"/>
              </w:rPr>
            </w:pPr>
            <w:r>
              <w:rPr>
                <w:b/>
                <w:sz w:val="21"/>
              </w:rPr>
              <w:t>重大疾病提前给付保险金</w:t>
            </w:r>
          </w:p>
        </w:tc>
        <w:tc>
          <w:tcPr>
            <w:tcW w:w="6613" w:type="dxa"/>
          </w:tcPr>
          <w:p>
            <w:pPr>
              <w:pStyle w:val="TableParagraph"/>
              <w:spacing w:line="232" w:lineRule="auto" w:before="120"/>
              <w:ind w:left="101" w:right="100"/>
              <w:jc w:val="both"/>
              <w:rPr>
                <w:sz w:val="21"/>
              </w:rPr>
            </w:pPr>
            <w:r>
              <w:rPr>
                <w:sz w:val="21"/>
              </w:rPr>
              <w:t>在本附加合同有效期内，如果被保险人在等待期后首次</w:t>
            </w:r>
            <w:r>
              <w:rPr>
                <w:b/>
                <w:sz w:val="21"/>
              </w:rPr>
              <w:t>发病</w:t>
            </w:r>
            <w:r>
              <w:rPr>
                <w:sz w:val="21"/>
              </w:rPr>
              <w:t>并经</w:t>
            </w:r>
            <w:r>
              <w:rPr>
                <w:b/>
                <w:sz w:val="21"/>
              </w:rPr>
              <w:t>专科医生</w:t>
            </w:r>
            <w:r>
              <w:rPr>
                <w:sz w:val="21"/>
              </w:rPr>
              <w:t>首次确诊患有任何一项符合我们第 </w:t>
            </w:r>
            <w:r>
              <w:rPr>
                <w:rFonts w:ascii="Times New Roman" w:eastAsia="Times New Roman"/>
                <w:sz w:val="21"/>
              </w:rPr>
              <w:t>6 </w:t>
            </w:r>
            <w:r>
              <w:rPr>
                <w:sz w:val="21"/>
              </w:rPr>
              <w:t>条约定保障范围及定义的重大疾病，我们将按本附加合同的基本保险金额向被保险人给付重大疾病提前给付保险金，给付后本附加合同效力终止。</w:t>
            </w:r>
          </w:p>
          <w:p>
            <w:pPr>
              <w:pStyle w:val="TableParagraph"/>
              <w:spacing w:line="225" w:lineRule="auto" w:before="13"/>
              <w:ind w:left="101" w:right="112"/>
              <w:jc w:val="both"/>
              <w:rPr>
                <w:sz w:val="21"/>
              </w:rPr>
            </w:pPr>
            <w:r>
              <w:rPr>
                <w:sz w:val="21"/>
              </w:rPr>
              <w:t>在重大疾病提前给付保险金和同一主合同下</w:t>
            </w:r>
            <w:r>
              <w:rPr>
                <w:rFonts w:ascii="Times New Roman" w:hAnsi="Times New Roman" w:eastAsia="Times New Roman"/>
                <w:sz w:val="21"/>
              </w:rPr>
              <w:t>“</w:t>
            </w:r>
            <w:r>
              <w:rPr>
                <w:sz w:val="21"/>
              </w:rPr>
              <w:t>中意附加年年创意定期寿险</w:t>
            </w:r>
            <w:r>
              <w:rPr>
                <w:rFonts w:ascii="Times New Roman" w:hAnsi="Times New Roman" w:eastAsia="Times New Roman"/>
                <w:sz w:val="21"/>
              </w:rPr>
              <w:t>”</w:t>
            </w:r>
            <w:r>
              <w:rPr>
                <w:sz w:val="21"/>
              </w:rPr>
              <w:t>的身故保险金两项保险责任中，我们按照如下方式处理：</w:t>
            </w:r>
          </w:p>
          <w:p>
            <w:pPr>
              <w:pStyle w:val="TableParagraph"/>
              <w:spacing w:line="225" w:lineRule="auto" w:before="0"/>
              <w:ind w:left="101" w:right="99"/>
              <w:jc w:val="both"/>
              <w:rPr>
                <w:sz w:val="21"/>
              </w:rPr>
            </w:pPr>
            <w:r>
              <w:rPr>
                <w:spacing w:val="-16"/>
                <w:sz w:val="21"/>
              </w:rPr>
              <w:t>（</w:t>
            </w:r>
            <w:r>
              <w:rPr>
                <w:rFonts w:ascii="Times New Roman" w:hAnsi="Times New Roman" w:eastAsia="Times New Roman"/>
                <w:spacing w:val="-16"/>
                <w:sz w:val="21"/>
              </w:rPr>
              <w:t>1</w:t>
            </w:r>
            <w:r>
              <w:rPr>
                <w:spacing w:val="-16"/>
                <w:sz w:val="21"/>
              </w:rPr>
              <w:t>）</w:t>
            </w:r>
            <w:r>
              <w:rPr>
                <w:spacing w:val="-6"/>
                <w:sz w:val="21"/>
              </w:rPr>
              <w:t>在给付上述重大疾病提前给付保险金之后，则同一主合同下</w:t>
            </w:r>
            <w:r>
              <w:rPr>
                <w:rFonts w:ascii="Times New Roman" w:hAnsi="Times New Roman" w:eastAsia="Times New Roman"/>
                <w:spacing w:val="-3"/>
                <w:sz w:val="21"/>
              </w:rPr>
              <w:t>“</w:t>
            </w:r>
            <w:r>
              <w:rPr>
                <w:sz w:val="21"/>
              </w:rPr>
              <w:t>中意</w:t>
            </w:r>
            <w:r>
              <w:rPr>
                <w:spacing w:val="-3"/>
                <w:sz w:val="21"/>
              </w:rPr>
              <w:t>附加年年创意定期寿险</w:t>
            </w:r>
            <w:r>
              <w:rPr>
                <w:rFonts w:ascii="Times New Roman" w:hAnsi="Times New Roman" w:eastAsia="Times New Roman"/>
                <w:spacing w:val="-3"/>
                <w:sz w:val="21"/>
              </w:rPr>
              <w:t>”</w:t>
            </w:r>
            <w:r>
              <w:rPr>
                <w:spacing w:val="-3"/>
                <w:sz w:val="21"/>
              </w:rPr>
              <w:t>的基本保险金额自动调整并按下列方法计算： </w:t>
            </w:r>
            <w:r>
              <w:rPr>
                <w:spacing w:val="-1"/>
                <w:sz w:val="21"/>
              </w:rPr>
              <w:t>调整后基本保险金额 </w:t>
            </w:r>
            <w:r>
              <w:rPr>
                <w:rFonts w:ascii="Times New Roman" w:hAnsi="Times New Roman" w:eastAsia="Times New Roman"/>
                <w:spacing w:val="8"/>
                <w:sz w:val="21"/>
              </w:rPr>
              <w:t>= </w:t>
            </w:r>
            <w:r>
              <w:rPr>
                <w:spacing w:val="0"/>
                <w:sz w:val="21"/>
              </w:rPr>
              <w:t>给付上述保险金之前的基本保险金额 </w:t>
            </w:r>
            <w:r>
              <w:rPr>
                <w:rFonts w:ascii="Times New Roman" w:hAnsi="Times New Roman" w:eastAsia="Times New Roman"/>
                <w:spacing w:val="7"/>
                <w:sz w:val="21"/>
              </w:rPr>
              <w:t>– </w:t>
            </w:r>
            <w:r>
              <w:rPr>
                <w:sz w:val="21"/>
              </w:rPr>
              <w:t>已给</w:t>
            </w:r>
            <w:r>
              <w:rPr>
                <w:spacing w:val="-3"/>
                <w:sz w:val="21"/>
              </w:rPr>
              <w:t>付的上述保险金额</w:t>
            </w:r>
          </w:p>
          <w:p>
            <w:pPr>
              <w:pStyle w:val="TableParagraph"/>
              <w:spacing w:line="225" w:lineRule="auto" w:before="16"/>
              <w:ind w:left="101" w:right="102"/>
              <w:jc w:val="both"/>
              <w:rPr>
                <w:sz w:val="21"/>
              </w:rPr>
            </w:pPr>
            <w:r>
              <w:rPr>
                <w:sz w:val="21"/>
              </w:rPr>
              <w:t>若</w:t>
            </w:r>
            <w:r>
              <w:rPr>
                <w:rFonts w:ascii="Times New Roman" w:hAnsi="Times New Roman" w:eastAsia="Times New Roman"/>
                <w:sz w:val="21"/>
              </w:rPr>
              <w:t>“</w:t>
            </w:r>
            <w:r>
              <w:rPr>
                <w:sz w:val="21"/>
              </w:rPr>
              <w:t>中意附加年年创意定期寿险</w:t>
            </w:r>
            <w:r>
              <w:rPr>
                <w:rFonts w:ascii="Times New Roman" w:hAnsi="Times New Roman" w:eastAsia="Times New Roman"/>
                <w:sz w:val="21"/>
              </w:rPr>
              <w:t>”</w:t>
            </w:r>
            <w:r>
              <w:rPr>
                <w:sz w:val="21"/>
              </w:rPr>
              <w:t>的调整后基本保险金额为零，则</w:t>
            </w:r>
            <w:r>
              <w:rPr>
                <w:rFonts w:ascii="Times New Roman" w:hAnsi="Times New Roman" w:eastAsia="Times New Roman"/>
                <w:sz w:val="21"/>
              </w:rPr>
              <w:t>“</w:t>
            </w:r>
            <w:r>
              <w:rPr>
                <w:sz w:val="21"/>
              </w:rPr>
              <w:t>中意附加年年创意定期寿险</w:t>
            </w:r>
            <w:r>
              <w:rPr>
                <w:rFonts w:ascii="Times New Roman" w:hAnsi="Times New Roman" w:eastAsia="Times New Roman"/>
                <w:sz w:val="21"/>
              </w:rPr>
              <w:t>”</w:t>
            </w:r>
            <w:r>
              <w:rPr>
                <w:sz w:val="21"/>
              </w:rPr>
              <w:t>附加合同效力自动终止。</w:t>
            </w:r>
          </w:p>
          <w:p>
            <w:pPr>
              <w:pStyle w:val="TableParagraph"/>
              <w:spacing w:line="225" w:lineRule="auto" w:before="0"/>
              <w:ind w:left="101" w:right="-15"/>
              <w:rPr>
                <w:sz w:val="21"/>
              </w:rPr>
            </w:pPr>
            <w:r>
              <w:rPr>
                <w:sz w:val="21"/>
              </w:rPr>
              <w:t>（</w:t>
            </w:r>
            <w:r>
              <w:rPr>
                <w:rFonts w:ascii="Times New Roman" w:hAnsi="Times New Roman" w:eastAsia="Times New Roman"/>
                <w:sz w:val="21"/>
              </w:rPr>
              <w:t>2</w:t>
            </w:r>
            <w:r>
              <w:rPr>
                <w:sz w:val="21"/>
              </w:rPr>
              <w:t>）</w:t>
            </w:r>
            <w:r>
              <w:rPr>
                <w:spacing w:val="-2"/>
                <w:sz w:val="21"/>
              </w:rPr>
              <w:t>若我们已按同一主合同下</w:t>
            </w:r>
            <w:r>
              <w:rPr>
                <w:rFonts w:ascii="Times New Roman" w:hAnsi="Times New Roman" w:eastAsia="Times New Roman"/>
                <w:sz w:val="21"/>
              </w:rPr>
              <w:t>“</w:t>
            </w:r>
            <w:r>
              <w:rPr>
                <w:spacing w:val="-2"/>
                <w:sz w:val="21"/>
              </w:rPr>
              <w:t>中意附加年年创意定期寿险</w:t>
            </w:r>
            <w:r>
              <w:rPr>
                <w:rFonts w:ascii="Times New Roman" w:hAnsi="Times New Roman" w:eastAsia="Times New Roman"/>
                <w:sz w:val="21"/>
              </w:rPr>
              <w:t>”</w:t>
            </w:r>
            <w:r>
              <w:rPr>
                <w:sz w:val="21"/>
              </w:rPr>
              <w:t>的合同给</w:t>
            </w:r>
            <w:r>
              <w:rPr>
                <w:spacing w:val="-3"/>
                <w:sz w:val="21"/>
              </w:rPr>
              <w:t>付了身故保险金，则重大疾病提前给付保险金保险责任效力自动终止。</w:t>
            </w:r>
          </w:p>
        </w:tc>
      </w:tr>
      <w:tr>
        <w:trPr>
          <w:trHeight w:val="1874" w:hRule="atLeast"/>
        </w:trPr>
        <w:tc>
          <w:tcPr>
            <w:tcW w:w="846" w:type="dxa"/>
          </w:tcPr>
          <w:p>
            <w:pPr>
              <w:pStyle w:val="TableParagraph"/>
              <w:spacing w:before="155"/>
              <w:ind w:left="110"/>
              <w:rPr>
                <w:rFonts w:ascii="Times New Roman"/>
                <w:sz w:val="21"/>
              </w:rPr>
            </w:pPr>
            <w:r>
              <w:rPr>
                <w:rFonts w:ascii="Times New Roman"/>
                <w:sz w:val="21"/>
              </w:rPr>
              <w:t>2.4.2</w:t>
            </w:r>
          </w:p>
        </w:tc>
        <w:tc>
          <w:tcPr>
            <w:tcW w:w="1784" w:type="dxa"/>
          </w:tcPr>
          <w:p>
            <w:pPr>
              <w:pStyle w:val="TableParagraph"/>
              <w:spacing w:line="273" w:lineRule="auto" w:before="109"/>
              <w:ind w:left="313" w:right="99"/>
              <w:rPr>
                <w:b/>
                <w:sz w:val="21"/>
              </w:rPr>
            </w:pPr>
            <w:r>
              <w:rPr>
                <w:b/>
                <w:sz w:val="21"/>
              </w:rPr>
              <w:t>专项疾病额外给付保险金</w:t>
            </w:r>
          </w:p>
        </w:tc>
        <w:tc>
          <w:tcPr>
            <w:tcW w:w="6613" w:type="dxa"/>
          </w:tcPr>
          <w:p>
            <w:pPr>
              <w:pStyle w:val="TableParagraph"/>
              <w:spacing w:line="223" w:lineRule="auto" w:before="107"/>
              <w:ind w:left="101" w:right="100"/>
              <w:jc w:val="both"/>
              <w:rPr>
                <w:sz w:val="21"/>
              </w:rPr>
            </w:pPr>
            <w:r>
              <w:rPr>
                <w:spacing w:val="-7"/>
                <w:sz w:val="21"/>
              </w:rPr>
              <w:t>若被保险人在 </w:t>
            </w:r>
            <w:r>
              <w:rPr>
                <w:rFonts w:ascii="Times New Roman" w:eastAsia="Times New Roman"/>
                <w:sz w:val="21"/>
              </w:rPr>
              <w:t>70 </w:t>
            </w:r>
            <w:r>
              <w:rPr>
                <w:spacing w:val="-4"/>
                <w:sz w:val="21"/>
              </w:rPr>
              <w:t>周岁前，并在等待期后首次</w:t>
            </w:r>
            <w:r>
              <w:rPr>
                <w:b/>
                <w:sz w:val="21"/>
              </w:rPr>
              <w:t>发病</w:t>
            </w:r>
            <w:r>
              <w:rPr>
                <w:spacing w:val="-3"/>
                <w:sz w:val="21"/>
              </w:rPr>
              <w:t>并经</w:t>
            </w:r>
            <w:r>
              <w:rPr>
                <w:b/>
                <w:sz w:val="21"/>
              </w:rPr>
              <w:t>专科医生</w:t>
            </w:r>
            <w:r>
              <w:rPr>
                <w:spacing w:val="-2"/>
                <w:sz w:val="21"/>
              </w:rPr>
              <w:t>首次确</w:t>
            </w:r>
            <w:r>
              <w:rPr>
                <w:spacing w:val="-7"/>
                <w:sz w:val="21"/>
              </w:rPr>
              <w:t>诊患有任何一项符合我们第 </w:t>
            </w:r>
            <w:r>
              <w:rPr>
                <w:rFonts w:ascii="Times New Roman" w:eastAsia="Times New Roman"/>
                <w:sz w:val="21"/>
              </w:rPr>
              <w:t>6 </w:t>
            </w:r>
            <w:r>
              <w:rPr>
                <w:spacing w:val="-17"/>
                <w:sz w:val="21"/>
              </w:rPr>
              <w:t>条中 </w:t>
            </w:r>
            <w:r>
              <w:rPr>
                <w:rFonts w:ascii="Times New Roman" w:eastAsia="Times New Roman"/>
                <w:sz w:val="21"/>
              </w:rPr>
              <w:t>6.1 </w:t>
            </w:r>
            <w:r>
              <w:rPr>
                <w:spacing w:val="-17"/>
                <w:sz w:val="21"/>
              </w:rPr>
              <w:t>款至 </w:t>
            </w:r>
            <w:r>
              <w:rPr>
                <w:rFonts w:ascii="Times New Roman" w:eastAsia="Times New Roman"/>
                <w:sz w:val="21"/>
              </w:rPr>
              <w:t>6.6 </w:t>
            </w:r>
            <w:r>
              <w:rPr>
                <w:spacing w:val="-3"/>
                <w:sz w:val="21"/>
              </w:rPr>
              <w:t>款约定保障范围及定义</w:t>
            </w:r>
          </w:p>
          <w:p>
            <w:pPr>
              <w:pStyle w:val="TableParagraph"/>
              <w:spacing w:line="230" w:lineRule="auto" w:before="0"/>
              <w:ind w:left="101" w:right="99"/>
              <w:jc w:val="both"/>
              <w:rPr>
                <w:sz w:val="21"/>
              </w:rPr>
            </w:pPr>
            <w:r>
              <w:rPr>
                <w:sz w:val="21"/>
              </w:rPr>
              <w:t>的重大疾病，且于确诊 </w:t>
            </w:r>
            <w:r>
              <w:rPr>
                <w:rFonts w:ascii="Times New Roman" w:eastAsia="Times New Roman"/>
                <w:sz w:val="21"/>
              </w:rPr>
              <w:t>15 </w:t>
            </w:r>
            <w:r>
              <w:rPr>
                <w:sz w:val="21"/>
              </w:rPr>
              <w:t>天后仍然生存的，我们在按 </w:t>
            </w:r>
            <w:r>
              <w:rPr>
                <w:rFonts w:ascii="Times New Roman" w:eastAsia="Times New Roman"/>
                <w:sz w:val="21"/>
              </w:rPr>
              <w:t>2.4.1 </w:t>
            </w:r>
            <w:r>
              <w:rPr>
                <w:sz w:val="21"/>
              </w:rPr>
              <w:t>款赔付重大疾病提前给付保险金的基础上，还将按本附加合同的基本保险金额向被保险人额外给付专项疾病保险金。</w:t>
            </w:r>
          </w:p>
          <w:p>
            <w:pPr>
              <w:pStyle w:val="TableParagraph"/>
              <w:spacing w:line="271" w:lineRule="exact" w:before="6"/>
              <w:ind w:left="101"/>
              <w:jc w:val="both"/>
              <w:rPr>
                <w:sz w:val="21"/>
              </w:rPr>
            </w:pPr>
            <w:r>
              <w:rPr>
                <w:sz w:val="21"/>
              </w:rPr>
              <w:t>上述保险金给付以一次为限，给付后本附加合同效力终止。</w:t>
            </w:r>
          </w:p>
        </w:tc>
      </w:tr>
      <w:tr>
        <w:trPr>
          <w:trHeight w:val="1402" w:hRule="atLeast"/>
        </w:trPr>
        <w:tc>
          <w:tcPr>
            <w:tcW w:w="846" w:type="dxa"/>
          </w:tcPr>
          <w:p>
            <w:pPr>
              <w:pStyle w:val="TableParagraph"/>
              <w:spacing w:before="155"/>
              <w:ind w:left="110"/>
              <w:rPr>
                <w:rFonts w:ascii="Times New Roman"/>
                <w:sz w:val="21"/>
              </w:rPr>
            </w:pPr>
            <w:r>
              <w:rPr>
                <w:rFonts w:ascii="Times New Roman"/>
                <w:sz w:val="21"/>
              </w:rPr>
              <w:t>2.4.3</w:t>
            </w:r>
          </w:p>
        </w:tc>
        <w:tc>
          <w:tcPr>
            <w:tcW w:w="1784" w:type="dxa"/>
          </w:tcPr>
          <w:p>
            <w:pPr>
              <w:pStyle w:val="TableParagraph"/>
              <w:spacing w:line="273" w:lineRule="auto" w:before="109"/>
              <w:ind w:left="313" w:right="115"/>
              <w:rPr>
                <w:b/>
                <w:sz w:val="21"/>
              </w:rPr>
            </w:pPr>
            <w:r>
              <w:rPr>
                <w:b/>
                <w:sz w:val="21"/>
              </w:rPr>
              <w:t>豁免风险保险费</w:t>
            </w:r>
          </w:p>
        </w:tc>
        <w:tc>
          <w:tcPr>
            <w:tcW w:w="6613" w:type="dxa"/>
          </w:tcPr>
          <w:p>
            <w:pPr>
              <w:pStyle w:val="TableParagraph"/>
              <w:spacing w:line="225" w:lineRule="auto" w:before="105"/>
              <w:ind w:left="101" w:right="102"/>
              <w:rPr>
                <w:sz w:val="21"/>
              </w:rPr>
            </w:pPr>
            <w:r>
              <w:rPr>
                <w:sz w:val="21"/>
              </w:rPr>
              <w:t>若同一主合同下</w:t>
            </w:r>
            <w:r>
              <w:rPr>
                <w:rFonts w:ascii="Times New Roman" w:hAnsi="Times New Roman" w:eastAsia="Times New Roman"/>
                <w:sz w:val="21"/>
              </w:rPr>
              <w:t>“</w:t>
            </w:r>
            <w:r>
              <w:rPr>
                <w:sz w:val="21"/>
              </w:rPr>
              <w:t>中意附加年年创意定期寿险</w:t>
            </w:r>
            <w:r>
              <w:rPr>
                <w:rFonts w:ascii="Times New Roman" w:hAnsi="Times New Roman" w:eastAsia="Times New Roman"/>
                <w:sz w:val="21"/>
              </w:rPr>
              <w:t>”</w:t>
            </w:r>
            <w:r>
              <w:rPr>
                <w:sz w:val="21"/>
              </w:rPr>
              <w:t>按其条款开始豁免风险保险费，则豁免风险保险费也包括本附加合同的风险保险费。</w:t>
            </w:r>
          </w:p>
          <w:p>
            <w:pPr>
              <w:pStyle w:val="TableParagraph"/>
              <w:spacing w:line="273" w:lineRule="auto" w:before="18"/>
              <w:ind w:left="101" w:right="203"/>
              <w:rPr>
                <w:sz w:val="21"/>
              </w:rPr>
            </w:pPr>
            <w:r>
              <w:rPr>
                <w:sz w:val="21"/>
              </w:rPr>
              <w:t>豁免保险费期间，本附加合同继续有效，但本附加合同保险计划不得变更。</w:t>
            </w:r>
          </w:p>
        </w:tc>
      </w:tr>
      <w:tr>
        <w:trPr>
          <w:trHeight w:val="3691" w:hRule="atLeast"/>
        </w:trPr>
        <w:tc>
          <w:tcPr>
            <w:tcW w:w="846" w:type="dxa"/>
          </w:tcPr>
          <w:p>
            <w:pPr>
              <w:pStyle w:val="TableParagraph"/>
              <w:spacing w:before="165"/>
              <w:ind w:left="110"/>
              <w:rPr>
                <w:rFonts w:ascii="Times New Roman"/>
                <w:sz w:val="21"/>
              </w:rPr>
            </w:pPr>
            <w:r>
              <w:rPr>
                <w:rFonts w:ascii="Times New Roman"/>
                <w:sz w:val="21"/>
              </w:rPr>
              <w:t>2.5</w:t>
            </w:r>
          </w:p>
        </w:tc>
        <w:tc>
          <w:tcPr>
            <w:tcW w:w="1784" w:type="dxa"/>
          </w:tcPr>
          <w:p>
            <w:pPr>
              <w:pStyle w:val="TableParagraph"/>
              <w:spacing w:before="118"/>
              <w:ind w:left="313"/>
              <w:rPr>
                <w:b/>
                <w:sz w:val="21"/>
              </w:rPr>
            </w:pPr>
            <w:r>
              <w:rPr>
                <w:b/>
                <w:sz w:val="21"/>
              </w:rPr>
              <w:t>责任免除</w:t>
            </w:r>
          </w:p>
        </w:tc>
        <w:tc>
          <w:tcPr>
            <w:tcW w:w="6613" w:type="dxa"/>
          </w:tcPr>
          <w:p>
            <w:pPr>
              <w:pStyle w:val="TableParagraph"/>
              <w:spacing w:line="223" w:lineRule="auto" w:before="117"/>
              <w:ind w:left="101" w:right="117"/>
              <w:rPr>
                <w:b/>
                <w:sz w:val="21"/>
              </w:rPr>
            </w:pPr>
            <w:r>
              <w:rPr>
                <w:b/>
                <w:sz w:val="21"/>
              </w:rPr>
              <w:t>因下列情形之一导致被保险人发生第 </w:t>
            </w:r>
            <w:r>
              <w:rPr>
                <w:rFonts w:ascii="Times New Roman" w:eastAsia="Times New Roman"/>
                <w:b/>
                <w:sz w:val="21"/>
              </w:rPr>
              <w:t>6 </w:t>
            </w:r>
            <w:r>
              <w:rPr>
                <w:b/>
                <w:sz w:val="21"/>
              </w:rPr>
              <w:t>条所约定的疾病或达到疾病状态的，我们不承担给付保险金的责任：</w:t>
            </w:r>
          </w:p>
          <w:p>
            <w:pPr>
              <w:pStyle w:val="TableParagraph"/>
              <w:spacing w:before="20"/>
              <w:ind w:left="101"/>
              <w:rPr>
                <w:b/>
                <w:sz w:val="21"/>
              </w:rPr>
            </w:pPr>
            <w:r>
              <w:rPr>
                <w:b/>
                <w:sz w:val="21"/>
              </w:rPr>
              <w:t>（</w:t>
            </w:r>
            <w:r>
              <w:rPr>
                <w:rFonts w:ascii="Times New Roman" w:eastAsia="Times New Roman"/>
                <w:b/>
                <w:sz w:val="21"/>
              </w:rPr>
              <w:t>1</w:t>
            </w:r>
            <w:r>
              <w:rPr>
                <w:b/>
                <w:sz w:val="21"/>
              </w:rPr>
              <w:t>）投保人对被保险人的故意杀害、故意伤害；</w:t>
            </w:r>
          </w:p>
          <w:p>
            <w:pPr>
              <w:pStyle w:val="TableParagraph"/>
              <w:spacing w:before="21"/>
              <w:ind w:left="101"/>
              <w:rPr>
                <w:b/>
                <w:sz w:val="21"/>
              </w:rPr>
            </w:pPr>
            <w:r>
              <w:rPr>
                <w:b/>
                <w:spacing w:val="-23"/>
                <w:sz w:val="21"/>
              </w:rPr>
              <w:t>（</w:t>
            </w:r>
            <w:r>
              <w:rPr>
                <w:rFonts w:ascii="Times New Roman" w:eastAsia="Times New Roman"/>
                <w:b/>
                <w:spacing w:val="-23"/>
                <w:sz w:val="21"/>
              </w:rPr>
              <w:t>2</w:t>
            </w:r>
            <w:r>
              <w:rPr>
                <w:b/>
                <w:spacing w:val="-23"/>
                <w:sz w:val="21"/>
              </w:rPr>
              <w:t>）</w:t>
            </w:r>
            <w:r>
              <w:rPr>
                <w:b/>
                <w:spacing w:val="-9"/>
                <w:sz w:val="21"/>
              </w:rPr>
              <w:t>被保险人故意自伤、故意犯罪或者抗拒依法采取的刑事强制措施；</w:t>
            </w:r>
          </w:p>
          <w:p>
            <w:pPr>
              <w:pStyle w:val="TableParagraph"/>
              <w:spacing w:before="21"/>
              <w:ind w:left="101"/>
              <w:rPr>
                <w:b/>
                <w:sz w:val="21"/>
              </w:rPr>
            </w:pPr>
            <w:r>
              <w:rPr>
                <w:b/>
                <w:sz w:val="21"/>
              </w:rPr>
              <w:t>（</w:t>
            </w:r>
            <w:r>
              <w:rPr>
                <w:rFonts w:ascii="Times New Roman" w:eastAsia="Times New Roman"/>
                <w:b/>
                <w:sz w:val="21"/>
              </w:rPr>
              <w:t>3</w:t>
            </w:r>
            <w:r>
              <w:rPr>
                <w:b/>
                <w:sz w:val="21"/>
              </w:rPr>
              <w:t>）被保险人服用、吸食或注射毒品；</w:t>
            </w:r>
          </w:p>
          <w:p>
            <w:pPr>
              <w:pStyle w:val="TableParagraph"/>
              <w:spacing w:line="256" w:lineRule="auto" w:before="21"/>
              <w:ind w:left="101" w:right="50"/>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pStyle w:val="TableParagraph"/>
              <w:spacing w:before="22"/>
              <w:ind w:left="101"/>
              <w:rPr>
                <w:b/>
                <w:sz w:val="21"/>
              </w:rPr>
            </w:pPr>
            <w:r>
              <w:rPr>
                <w:b/>
                <w:sz w:val="21"/>
              </w:rPr>
              <w:t>（</w:t>
            </w:r>
            <w:r>
              <w:rPr>
                <w:rFonts w:ascii="Times New Roman" w:eastAsia="Times New Roman"/>
                <w:b/>
                <w:sz w:val="21"/>
              </w:rPr>
              <w:t>5</w:t>
            </w:r>
            <w:r>
              <w:rPr>
                <w:b/>
                <w:sz w:val="21"/>
              </w:rPr>
              <w:t>）被保险人感染艾滋病病毒或患艾滋病；</w:t>
            </w:r>
          </w:p>
          <w:p>
            <w:pPr>
              <w:pStyle w:val="TableParagraph"/>
              <w:spacing w:before="21"/>
              <w:ind w:left="101"/>
              <w:rPr>
                <w:b/>
                <w:sz w:val="21"/>
              </w:rPr>
            </w:pPr>
            <w:r>
              <w:rPr>
                <w:b/>
                <w:sz w:val="21"/>
              </w:rPr>
              <w:t>（</w:t>
            </w:r>
            <w:r>
              <w:rPr>
                <w:rFonts w:ascii="Times New Roman" w:eastAsia="Times New Roman"/>
                <w:b/>
                <w:sz w:val="21"/>
              </w:rPr>
              <w:t>6</w:t>
            </w:r>
            <w:r>
              <w:rPr>
                <w:b/>
                <w:sz w:val="21"/>
              </w:rPr>
              <w:t>）战争、军事冲突、暴乱或武装叛乱；</w:t>
            </w:r>
          </w:p>
          <w:p>
            <w:pPr>
              <w:pStyle w:val="TableParagraph"/>
              <w:spacing w:before="20"/>
              <w:ind w:left="101"/>
              <w:rPr>
                <w:b/>
                <w:sz w:val="21"/>
              </w:rPr>
            </w:pPr>
            <w:r>
              <w:rPr>
                <w:b/>
                <w:sz w:val="21"/>
              </w:rPr>
              <w:t>（</w:t>
            </w:r>
            <w:r>
              <w:rPr>
                <w:rFonts w:ascii="Times New Roman" w:eastAsia="Times New Roman"/>
                <w:b/>
                <w:sz w:val="21"/>
              </w:rPr>
              <w:t>7</w:t>
            </w:r>
            <w:r>
              <w:rPr>
                <w:b/>
                <w:sz w:val="21"/>
              </w:rPr>
              <w:t>）核爆炸、核辐射或核污染；</w:t>
            </w:r>
          </w:p>
          <w:p>
            <w:pPr>
              <w:pStyle w:val="TableParagraph"/>
              <w:spacing w:before="20"/>
              <w:ind w:left="101"/>
              <w:rPr>
                <w:b/>
                <w:sz w:val="21"/>
              </w:rPr>
            </w:pPr>
            <w:r>
              <w:rPr>
                <w:b/>
                <w:sz w:val="21"/>
              </w:rPr>
              <w:t>（</w:t>
            </w:r>
            <w:r>
              <w:rPr>
                <w:rFonts w:ascii="Times New Roman" w:eastAsia="Times New Roman"/>
                <w:b/>
                <w:sz w:val="21"/>
              </w:rPr>
              <w:t>8</w:t>
            </w:r>
            <w:r>
              <w:rPr>
                <w:b/>
                <w:sz w:val="21"/>
              </w:rPr>
              <w:t>）遗传性疾病、先天性畸形、变形或染色体异常。</w:t>
            </w:r>
          </w:p>
        </w:tc>
      </w:tr>
      <w:tr>
        <w:trPr>
          <w:trHeight w:val="616" w:hRule="atLeast"/>
        </w:trPr>
        <w:tc>
          <w:tcPr>
            <w:tcW w:w="846" w:type="dxa"/>
            <w:tcBorders>
              <w:bottom w:val="single" w:sz="4" w:space="0" w:color="000000"/>
            </w:tcBorders>
          </w:tcPr>
          <w:p>
            <w:pPr>
              <w:pStyle w:val="TableParagraph"/>
              <w:spacing w:before="224"/>
              <w:ind w:left="110"/>
              <w:rPr>
                <w:rFonts w:ascii="Times New Roman"/>
                <w:b/>
                <w:sz w:val="24"/>
              </w:rPr>
            </w:pPr>
            <w:r>
              <w:rPr>
                <w:rFonts w:ascii="Times New Roman"/>
                <w:b/>
                <w:sz w:val="24"/>
              </w:rPr>
              <w:t>3</w:t>
            </w:r>
          </w:p>
        </w:tc>
        <w:tc>
          <w:tcPr>
            <w:tcW w:w="1784" w:type="dxa"/>
            <w:tcBorders>
              <w:bottom w:val="single" w:sz="4" w:space="0" w:color="000000"/>
            </w:tcBorders>
          </w:tcPr>
          <w:p>
            <w:pPr>
              <w:pStyle w:val="TableParagraph"/>
              <w:spacing w:before="162"/>
              <w:ind w:left="313"/>
              <w:rPr>
                <w:b/>
                <w:sz w:val="24"/>
              </w:rPr>
            </w:pPr>
            <w:r>
              <w:rPr>
                <w:b/>
                <w:w w:val="95"/>
                <w:sz w:val="24"/>
              </w:rPr>
              <w:t>保险金的申请</w:t>
            </w:r>
          </w:p>
        </w:tc>
        <w:tc>
          <w:tcPr>
            <w:tcW w:w="6613" w:type="dxa"/>
            <w:tcBorders>
              <w:bottom w:val="single" w:sz="4" w:space="0" w:color="000000"/>
            </w:tcBorders>
          </w:tcPr>
          <w:p>
            <w:pPr>
              <w:pStyle w:val="TableParagraph"/>
              <w:spacing w:before="0"/>
              <w:ind w:left="0"/>
              <w:rPr>
                <w:rFonts w:ascii="Times New Roman"/>
                <w:sz w:val="20"/>
              </w:rPr>
            </w:pPr>
          </w:p>
        </w:tc>
      </w:tr>
      <w:tr>
        <w:trPr>
          <w:trHeight w:val="540" w:hRule="atLeast"/>
        </w:trPr>
        <w:tc>
          <w:tcPr>
            <w:tcW w:w="846" w:type="dxa"/>
            <w:tcBorders>
              <w:top w:val="single" w:sz="4" w:space="0" w:color="000000"/>
            </w:tcBorders>
          </w:tcPr>
          <w:p>
            <w:pPr>
              <w:pStyle w:val="TableParagraph"/>
              <w:spacing w:before="30"/>
              <w:ind w:left="110"/>
              <w:rPr>
                <w:rFonts w:ascii="Times New Roman"/>
                <w:sz w:val="21"/>
              </w:rPr>
            </w:pPr>
            <w:r>
              <w:rPr>
                <w:rFonts w:ascii="Times New Roman"/>
                <w:sz w:val="21"/>
              </w:rPr>
              <w:t>3.1</w:t>
            </w:r>
          </w:p>
        </w:tc>
        <w:tc>
          <w:tcPr>
            <w:tcW w:w="1784" w:type="dxa"/>
            <w:tcBorders>
              <w:top w:val="single" w:sz="4" w:space="0" w:color="000000"/>
            </w:tcBorders>
          </w:tcPr>
          <w:p>
            <w:pPr>
              <w:pStyle w:val="TableParagraph"/>
              <w:spacing w:line="259" w:lineRule="exact" w:before="0"/>
              <w:ind w:left="313"/>
              <w:rPr>
                <w:b/>
                <w:sz w:val="21"/>
              </w:rPr>
            </w:pPr>
            <w:r>
              <w:rPr>
                <w:b/>
                <w:sz w:val="21"/>
              </w:rPr>
              <w:t>保险金的申请</w:t>
            </w:r>
          </w:p>
        </w:tc>
        <w:tc>
          <w:tcPr>
            <w:tcW w:w="6613" w:type="dxa"/>
            <w:tcBorders>
              <w:top w:val="single" w:sz="4" w:space="0" w:color="000000"/>
            </w:tcBorders>
          </w:tcPr>
          <w:p>
            <w:pPr>
              <w:pStyle w:val="TableParagraph"/>
              <w:spacing w:line="237" w:lineRule="exact" w:before="0"/>
              <w:ind w:left="101"/>
              <w:rPr>
                <w:sz w:val="21"/>
              </w:rPr>
            </w:pPr>
            <w:r>
              <w:rPr>
                <w:sz w:val="21"/>
              </w:rPr>
              <w:t>申请保险金时，申请人须填写保险金申请书，并须提供下列证明和资</w:t>
            </w:r>
          </w:p>
          <w:p>
            <w:pPr>
              <w:pStyle w:val="TableParagraph"/>
              <w:spacing w:line="274" w:lineRule="exact" w:before="0"/>
              <w:ind w:left="101"/>
              <w:rPr>
                <w:sz w:val="21"/>
              </w:rPr>
            </w:pPr>
            <w:r>
              <w:rPr>
                <w:sz w:val="21"/>
              </w:rPr>
              <w:t>料：</w:t>
            </w:r>
          </w:p>
        </w:tc>
      </w:tr>
      <w:tr>
        <w:trPr>
          <w:trHeight w:val="1708" w:hRule="atLeast"/>
        </w:trPr>
        <w:tc>
          <w:tcPr>
            <w:tcW w:w="846" w:type="dxa"/>
          </w:tcPr>
          <w:p>
            <w:pPr>
              <w:pStyle w:val="TableParagraph"/>
              <w:spacing w:before="0"/>
              <w:ind w:left="0"/>
              <w:rPr>
                <w:rFonts w:ascii="Times New Roman"/>
                <w:sz w:val="20"/>
              </w:rPr>
            </w:pPr>
          </w:p>
        </w:tc>
        <w:tc>
          <w:tcPr>
            <w:tcW w:w="1784" w:type="dxa"/>
          </w:tcPr>
          <w:p>
            <w:pPr>
              <w:pStyle w:val="TableParagraph"/>
              <w:spacing w:before="0"/>
              <w:ind w:left="0"/>
              <w:rPr>
                <w:rFonts w:ascii="Times New Roman"/>
                <w:sz w:val="20"/>
              </w:rPr>
            </w:pPr>
          </w:p>
        </w:tc>
        <w:tc>
          <w:tcPr>
            <w:tcW w:w="6613" w:type="dxa"/>
          </w:tcPr>
          <w:p>
            <w:pPr>
              <w:pStyle w:val="TableParagraph"/>
              <w:spacing w:line="248" w:lineRule="exact" w:before="0"/>
              <w:ind w:left="101"/>
              <w:rPr>
                <w:sz w:val="21"/>
              </w:rPr>
            </w:pPr>
            <w:r>
              <w:rPr>
                <w:sz w:val="21"/>
              </w:rPr>
              <w:t>（</w:t>
            </w:r>
            <w:r>
              <w:rPr>
                <w:rFonts w:ascii="Times New Roman" w:eastAsia="Times New Roman"/>
                <w:sz w:val="21"/>
              </w:rPr>
              <w:t>1</w:t>
            </w:r>
            <w:r>
              <w:rPr>
                <w:sz w:val="21"/>
              </w:rPr>
              <w:t>）保险合同；</w:t>
            </w:r>
          </w:p>
          <w:p>
            <w:pPr>
              <w:pStyle w:val="TableParagraph"/>
              <w:spacing w:line="272" w:lineRule="exact" w:before="0"/>
              <w:ind w:left="101"/>
              <w:rPr>
                <w:sz w:val="21"/>
              </w:rPr>
            </w:pPr>
            <w:r>
              <w:rPr>
                <w:sz w:val="21"/>
              </w:rPr>
              <w:t>（</w:t>
            </w:r>
            <w:r>
              <w:rPr>
                <w:rFonts w:ascii="Times New Roman" w:eastAsia="Times New Roman"/>
                <w:sz w:val="21"/>
              </w:rPr>
              <w:t>2</w:t>
            </w:r>
            <w:r>
              <w:rPr>
                <w:sz w:val="21"/>
              </w:rPr>
              <w:t>）被保险人或其他有权领取保险金的人的有效身份证件；</w:t>
            </w:r>
          </w:p>
          <w:p>
            <w:pPr>
              <w:pStyle w:val="TableParagraph"/>
              <w:spacing w:line="281" w:lineRule="exact" w:before="0"/>
              <w:ind w:left="101"/>
              <w:rPr>
                <w:sz w:val="21"/>
              </w:rPr>
            </w:pPr>
            <w:r>
              <w:rPr>
                <w:sz w:val="21"/>
              </w:rPr>
              <w:t>（</w:t>
            </w:r>
            <w:r>
              <w:rPr>
                <w:rFonts w:ascii="Times New Roman" w:eastAsia="Times New Roman"/>
                <w:sz w:val="21"/>
              </w:rPr>
              <w:t>3</w:t>
            </w:r>
            <w:r>
              <w:rPr>
                <w:sz w:val="21"/>
              </w:rPr>
              <w:t>）医院出具的诊断证明、病历及检查报告；</w:t>
            </w:r>
          </w:p>
          <w:p>
            <w:pPr>
              <w:pStyle w:val="TableParagraph"/>
              <w:spacing w:line="256" w:lineRule="auto" w:before="5"/>
              <w:ind w:left="101" w:right="102"/>
              <w:rPr>
                <w:sz w:val="21"/>
              </w:rPr>
            </w:pPr>
            <w:r>
              <w:rPr>
                <w:sz w:val="21"/>
              </w:rPr>
              <w:t>（</w:t>
            </w:r>
            <w:r>
              <w:rPr>
                <w:rFonts w:ascii="Times New Roman" w:eastAsia="Times New Roman"/>
                <w:sz w:val="21"/>
              </w:rPr>
              <w:t>4</w:t>
            </w:r>
            <w:r>
              <w:rPr>
                <w:sz w:val="21"/>
              </w:rPr>
              <w:t>）所能提供的与确认保险事故的性质、原因等有关的其他证明和资料。</w:t>
            </w:r>
          </w:p>
          <w:p>
            <w:pPr>
              <w:pStyle w:val="TableParagraph"/>
              <w:spacing w:line="258" w:lineRule="exact" w:before="22"/>
              <w:ind w:left="101"/>
              <w:rPr>
                <w:sz w:val="21"/>
              </w:rPr>
            </w:pPr>
            <w:r>
              <w:rPr>
                <w:sz w:val="21"/>
              </w:rPr>
              <w:t>以上申请资料和证明不完整的，我们将及时一次性通知申请人补充提</w:t>
            </w:r>
          </w:p>
        </w:tc>
      </w:tr>
    </w:tbl>
    <w:p>
      <w:pPr>
        <w:spacing w:after="0" w:line="258" w:lineRule="exact"/>
        <w:rPr>
          <w:sz w:val="21"/>
        </w:rPr>
        <w:sectPr>
          <w:pgSz w:w="11910" w:h="16840"/>
          <w:pgMar w:header="0" w:footer="773" w:top="1160" w:bottom="960" w:left="820" w:right="16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856"/>
        <w:gridCol w:w="6623"/>
      </w:tblGrid>
      <w:tr>
        <w:trPr>
          <w:trHeight w:val="378" w:hRule="atLeast"/>
        </w:trPr>
        <w:tc>
          <w:tcPr>
            <w:tcW w:w="766" w:type="dxa"/>
          </w:tcPr>
          <w:p>
            <w:pPr>
              <w:pStyle w:val="TableParagraph"/>
              <w:spacing w:before="0"/>
              <w:ind w:left="0"/>
              <w:rPr>
                <w:rFonts w:ascii="Times New Roman"/>
                <w:sz w:val="20"/>
              </w:rPr>
            </w:pPr>
          </w:p>
        </w:tc>
        <w:tc>
          <w:tcPr>
            <w:tcW w:w="1856" w:type="dxa"/>
          </w:tcPr>
          <w:p>
            <w:pPr>
              <w:pStyle w:val="TableParagraph"/>
              <w:spacing w:before="0"/>
              <w:ind w:left="0"/>
              <w:rPr>
                <w:rFonts w:ascii="Times New Roman"/>
                <w:sz w:val="20"/>
              </w:rPr>
            </w:pPr>
          </w:p>
        </w:tc>
        <w:tc>
          <w:tcPr>
            <w:tcW w:w="6623" w:type="dxa"/>
          </w:tcPr>
          <w:p>
            <w:pPr>
              <w:pStyle w:val="TableParagraph"/>
              <w:spacing w:line="211" w:lineRule="exact" w:before="0"/>
              <w:ind w:left="107"/>
              <w:rPr>
                <w:sz w:val="21"/>
              </w:rPr>
            </w:pPr>
            <w:r>
              <w:rPr>
                <w:sz w:val="21"/>
              </w:rPr>
              <w:t>供有关资料和证明。</w:t>
            </w:r>
          </w:p>
        </w:tc>
      </w:tr>
      <w:tr>
        <w:trPr>
          <w:trHeight w:val="3675" w:hRule="atLeast"/>
        </w:trPr>
        <w:tc>
          <w:tcPr>
            <w:tcW w:w="766" w:type="dxa"/>
          </w:tcPr>
          <w:p>
            <w:pPr>
              <w:pStyle w:val="TableParagraph"/>
              <w:spacing w:before="159"/>
              <w:ind w:left="108"/>
              <w:rPr>
                <w:rFonts w:ascii="Times New Roman"/>
                <w:sz w:val="21"/>
              </w:rPr>
            </w:pPr>
            <w:r>
              <w:rPr>
                <w:rFonts w:ascii="Times New Roman"/>
                <w:sz w:val="21"/>
              </w:rPr>
              <w:t>3.2</w:t>
            </w:r>
          </w:p>
        </w:tc>
        <w:tc>
          <w:tcPr>
            <w:tcW w:w="1856" w:type="dxa"/>
          </w:tcPr>
          <w:p>
            <w:pPr>
              <w:pStyle w:val="TableParagraph"/>
              <w:spacing w:before="112"/>
              <w:ind w:left="393"/>
              <w:rPr>
                <w:b/>
                <w:sz w:val="21"/>
              </w:rPr>
            </w:pPr>
            <w:r>
              <w:rPr>
                <w:b/>
                <w:sz w:val="21"/>
              </w:rPr>
              <w:t>保险金的给付</w:t>
            </w:r>
          </w:p>
        </w:tc>
        <w:tc>
          <w:tcPr>
            <w:tcW w:w="6623" w:type="dxa"/>
          </w:tcPr>
          <w:p>
            <w:pPr>
              <w:pStyle w:val="TableParagraph"/>
              <w:spacing w:line="256" w:lineRule="auto" w:before="112"/>
              <w:ind w:left="107" w:right="104"/>
              <w:jc w:val="both"/>
              <w:rPr>
                <w:sz w:val="21"/>
              </w:rPr>
            </w:pPr>
            <w:r>
              <w:rPr>
                <w:sz w:val="21"/>
              </w:rPr>
              <w:t>我们在收到保险金给付申请书及合同约定的证明和资料后，将在 </w:t>
            </w:r>
            <w:r>
              <w:rPr>
                <w:rFonts w:ascii="Times New Roman" w:eastAsia="Times New Roman"/>
                <w:sz w:val="21"/>
                <w:u w:val="single"/>
              </w:rPr>
              <w:t>5 </w:t>
            </w:r>
            <w:r>
              <w:rPr>
                <w:sz w:val="21"/>
              </w:rPr>
              <w:t>日内作出核定；情形复杂的，在 </w:t>
            </w:r>
            <w:r>
              <w:rPr>
                <w:rFonts w:ascii="Times New Roman" w:eastAsia="Times New Roman"/>
                <w:sz w:val="21"/>
              </w:rPr>
              <w:t>30 </w:t>
            </w:r>
            <w:r>
              <w:rPr>
                <w:sz w:val="21"/>
              </w:rPr>
              <w:t>日内作出核定。</w:t>
            </w:r>
          </w:p>
          <w:p>
            <w:pPr>
              <w:pStyle w:val="TableParagraph"/>
              <w:spacing w:line="256" w:lineRule="auto" w:before="4"/>
              <w:ind w:left="107" w:right="1"/>
              <w:rPr>
                <w:sz w:val="21"/>
              </w:rPr>
            </w:pPr>
            <w:r>
              <w:rPr>
                <w:spacing w:val="-13"/>
                <w:sz w:val="21"/>
              </w:rPr>
              <w:t>对属于保险责任的，我们在与受益人达成给付保险金的协议后 </w:t>
            </w:r>
            <w:r>
              <w:rPr>
                <w:rFonts w:ascii="Times New Roman" w:eastAsia="Times New Roman"/>
                <w:sz w:val="21"/>
              </w:rPr>
              <w:t>10 </w:t>
            </w:r>
            <w:r>
              <w:rPr>
                <w:sz w:val="21"/>
              </w:rPr>
              <w:t>日内， </w:t>
            </w:r>
            <w:r>
              <w:rPr>
                <w:spacing w:val="-3"/>
                <w:sz w:val="21"/>
              </w:rPr>
              <w:t>履行给付保险金义务。</w:t>
            </w:r>
          </w:p>
          <w:p>
            <w:pPr>
              <w:pStyle w:val="TableParagraph"/>
              <w:spacing w:line="273" w:lineRule="auto" w:before="22"/>
              <w:ind w:left="107" w:right="105"/>
              <w:jc w:val="both"/>
              <w:rPr>
                <w:sz w:val="21"/>
              </w:rPr>
            </w:pPr>
            <w:r>
              <w:rPr>
                <w:sz w:val="21"/>
              </w:rPr>
              <w:t>我们未及时履行前款规定义务的，除支付保险金外，应当赔偿受益人因此受到的损失。</w:t>
            </w:r>
          </w:p>
          <w:p>
            <w:pPr>
              <w:pStyle w:val="TableParagraph"/>
              <w:spacing w:line="256" w:lineRule="auto" w:before="7"/>
              <w:ind w:left="107" w:right="104"/>
              <w:jc w:val="both"/>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64" w:lineRule="auto" w:before="21"/>
              <w:ind w:left="107" w:right="104"/>
              <w:jc w:val="both"/>
              <w:rPr>
                <w:sz w:val="21"/>
              </w:rPr>
            </w:pPr>
            <w:r>
              <w:rPr>
                <w:spacing w:val="-5"/>
                <w:sz w:val="21"/>
              </w:rPr>
              <w:t>我们在收到保险金给付申请书及有关证明和资料之日起 </w:t>
            </w:r>
            <w:r>
              <w:rPr>
                <w:rFonts w:ascii="Times New Roman" w:eastAsia="Times New Roman"/>
                <w:sz w:val="21"/>
              </w:rPr>
              <w:t>60 </w:t>
            </w:r>
            <w:r>
              <w:rPr>
                <w:spacing w:val="-3"/>
                <w:sz w:val="21"/>
              </w:rPr>
              <w:t>日内，对给付保险金的数额不能确定的，根据已有证明和资料可以确定的数额先予支付；我们最终确定给付保险金的数额后，将支付相应的差额。</w:t>
            </w:r>
          </w:p>
        </w:tc>
      </w:tr>
      <w:tr>
        <w:trPr>
          <w:trHeight w:val="952" w:hRule="atLeast"/>
        </w:trPr>
        <w:tc>
          <w:tcPr>
            <w:tcW w:w="766" w:type="dxa"/>
          </w:tcPr>
          <w:p>
            <w:pPr>
              <w:pStyle w:val="TableParagraph"/>
              <w:spacing w:before="159"/>
              <w:ind w:left="108"/>
              <w:rPr>
                <w:rFonts w:ascii="Times New Roman"/>
                <w:sz w:val="21"/>
              </w:rPr>
            </w:pPr>
            <w:r>
              <w:rPr>
                <w:rFonts w:ascii="Times New Roman"/>
                <w:sz w:val="21"/>
              </w:rPr>
              <w:t>3.3</w:t>
            </w:r>
          </w:p>
        </w:tc>
        <w:tc>
          <w:tcPr>
            <w:tcW w:w="1856" w:type="dxa"/>
          </w:tcPr>
          <w:p>
            <w:pPr>
              <w:pStyle w:val="TableParagraph"/>
              <w:spacing w:before="112"/>
              <w:ind w:left="393"/>
              <w:rPr>
                <w:b/>
                <w:sz w:val="21"/>
              </w:rPr>
            </w:pPr>
            <w:r>
              <w:rPr>
                <w:b/>
                <w:sz w:val="21"/>
              </w:rPr>
              <w:t>诉讼时效</w:t>
            </w:r>
          </w:p>
        </w:tc>
        <w:tc>
          <w:tcPr>
            <w:tcW w:w="6623" w:type="dxa"/>
          </w:tcPr>
          <w:p>
            <w:pPr>
              <w:pStyle w:val="TableParagraph"/>
              <w:spacing w:line="273" w:lineRule="auto" w:before="112"/>
              <w:ind w:left="107" w:right="105"/>
              <w:rPr>
                <w:sz w:val="21"/>
              </w:rPr>
            </w:pPr>
            <w:r>
              <w:rPr>
                <w:sz w:val="21"/>
              </w:rPr>
              <w:t>受益人及其他有权领取保险金的人向我们请求给付保险金的诉讼时效期间为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616" w:hRule="atLeast"/>
        </w:trPr>
        <w:tc>
          <w:tcPr>
            <w:tcW w:w="766" w:type="dxa"/>
            <w:tcBorders>
              <w:bottom w:val="single" w:sz="4" w:space="0" w:color="000000"/>
            </w:tcBorders>
          </w:tcPr>
          <w:p>
            <w:pPr>
              <w:pStyle w:val="TableParagraph"/>
              <w:spacing w:before="227"/>
              <w:ind w:left="108"/>
              <w:rPr>
                <w:rFonts w:ascii="Times New Roman"/>
                <w:b/>
                <w:sz w:val="24"/>
              </w:rPr>
            </w:pPr>
            <w:r>
              <w:rPr>
                <w:rFonts w:ascii="Times New Roman"/>
                <w:b/>
                <w:sz w:val="24"/>
              </w:rPr>
              <w:t>4</w:t>
            </w:r>
          </w:p>
        </w:tc>
        <w:tc>
          <w:tcPr>
            <w:tcW w:w="8479" w:type="dxa"/>
            <w:gridSpan w:val="2"/>
            <w:tcBorders>
              <w:bottom w:val="single" w:sz="4" w:space="0" w:color="000000"/>
            </w:tcBorders>
          </w:tcPr>
          <w:p>
            <w:pPr>
              <w:pStyle w:val="TableParagraph"/>
              <w:spacing w:before="166"/>
              <w:ind w:left="393"/>
              <w:rPr>
                <w:b/>
                <w:sz w:val="24"/>
              </w:rPr>
            </w:pPr>
            <w:r>
              <w:rPr>
                <w:b/>
                <w:w w:val="95"/>
                <w:sz w:val="24"/>
              </w:rPr>
              <w:t>风险保险费的支付</w:t>
            </w:r>
          </w:p>
        </w:tc>
      </w:tr>
      <w:tr>
        <w:trPr>
          <w:trHeight w:val="2024" w:hRule="atLeast"/>
        </w:trPr>
        <w:tc>
          <w:tcPr>
            <w:tcW w:w="766" w:type="dxa"/>
            <w:tcBorders>
              <w:top w:val="single" w:sz="4" w:space="0" w:color="000000"/>
            </w:tcBorders>
          </w:tcPr>
          <w:p>
            <w:pPr>
              <w:pStyle w:val="TableParagraph"/>
              <w:spacing w:before="34"/>
              <w:ind w:left="108"/>
              <w:rPr>
                <w:rFonts w:ascii="Times New Roman"/>
                <w:sz w:val="21"/>
              </w:rPr>
            </w:pPr>
            <w:r>
              <w:rPr>
                <w:rFonts w:ascii="Times New Roman"/>
                <w:sz w:val="21"/>
              </w:rPr>
              <w:t>4.1</w:t>
            </w:r>
          </w:p>
        </w:tc>
        <w:tc>
          <w:tcPr>
            <w:tcW w:w="1856" w:type="dxa"/>
            <w:tcBorders>
              <w:top w:val="single" w:sz="4" w:space="0" w:color="000000"/>
            </w:tcBorders>
          </w:tcPr>
          <w:p>
            <w:pPr>
              <w:pStyle w:val="TableParagraph"/>
              <w:spacing w:line="273" w:lineRule="auto" w:before="0"/>
              <w:ind w:left="393" w:right="107"/>
              <w:rPr>
                <w:b/>
                <w:sz w:val="21"/>
              </w:rPr>
            </w:pPr>
            <w:r>
              <w:rPr>
                <w:b/>
                <w:sz w:val="21"/>
              </w:rPr>
              <w:t>风险保险费的支付</w:t>
            </w:r>
          </w:p>
        </w:tc>
        <w:tc>
          <w:tcPr>
            <w:tcW w:w="6623" w:type="dxa"/>
            <w:tcBorders>
              <w:top w:val="single" w:sz="4" w:space="0" w:color="000000"/>
            </w:tcBorders>
          </w:tcPr>
          <w:p>
            <w:pPr>
              <w:pStyle w:val="TableParagraph"/>
              <w:spacing w:line="273" w:lineRule="auto" w:before="0"/>
              <w:ind w:left="107" w:right="207"/>
              <w:rPr>
                <w:sz w:val="21"/>
              </w:rPr>
            </w:pPr>
            <w:r>
              <w:rPr>
                <w:spacing w:val="-3"/>
                <w:sz w:val="21"/>
              </w:rPr>
              <w:t>本附加合同风险保险费的收取期间与本附加合同的保险期间相同。 在每个保险单月费用处理日，我们从您的保单投资账户中按该日理财账户单位卖出价以理财账户单位数的形式收取本附加合同当月</w:t>
            </w:r>
            <w:r>
              <w:rPr>
                <w:sz w:val="21"/>
              </w:rPr>
              <w:t>（</w:t>
            </w:r>
            <w:r>
              <w:rPr>
                <w:spacing w:val="-2"/>
                <w:sz w:val="21"/>
              </w:rPr>
              <w:t>保单月份</w:t>
            </w:r>
            <w:r>
              <w:rPr>
                <w:spacing w:val="-3"/>
                <w:sz w:val="21"/>
              </w:rPr>
              <w:t>）的风险保险费。如果本保单拥有多个投资账户，我们将根据每个投资账户价值占所有投资账户总价值的比例，计算各投资账户所需扣减的风险保险费。</w:t>
            </w:r>
          </w:p>
        </w:tc>
      </w:tr>
      <w:tr>
        <w:trPr>
          <w:trHeight w:val="1300" w:hRule="atLeast"/>
        </w:trPr>
        <w:tc>
          <w:tcPr>
            <w:tcW w:w="766" w:type="dxa"/>
          </w:tcPr>
          <w:p>
            <w:pPr>
              <w:pStyle w:val="TableParagraph"/>
              <w:spacing w:before="194"/>
              <w:ind w:left="108"/>
              <w:rPr>
                <w:rFonts w:ascii="Times New Roman"/>
                <w:sz w:val="21"/>
              </w:rPr>
            </w:pPr>
            <w:r>
              <w:rPr>
                <w:rFonts w:ascii="Times New Roman"/>
                <w:sz w:val="21"/>
              </w:rPr>
              <w:t>4.2</w:t>
            </w:r>
          </w:p>
        </w:tc>
        <w:tc>
          <w:tcPr>
            <w:tcW w:w="1856" w:type="dxa"/>
          </w:tcPr>
          <w:p>
            <w:pPr>
              <w:pStyle w:val="TableParagraph"/>
              <w:spacing w:line="273" w:lineRule="auto" w:before="147"/>
              <w:ind w:left="393" w:right="107"/>
              <w:rPr>
                <w:b/>
                <w:sz w:val="21"/>
              </w:rPr>
            </w:pPr>
            <w:r>
              <w:rPr>
                <w:b/>
                <w:sz w:val="21"/>
              </w:rPr>
              <w:t>风险保险费费率的调整</w:t>
            </w:r>
          </w:p>
        </w:tc>
        <w:tc>
          <w:tcPr>
            <w:tcW w:w="6623" w:type="dxa"/>
          </w:tcPr>
          <w:p>
            <w:pPr>
              <w:pStyle w:val="TableParagraph"/>
              <w:spacing w:line="273" w:lineRule="auto" w:before="147"/>
              <w:ind w:left="107" w:right="105"/>
              <w:jc w:val="both"/>
              <w:rPr>
                <w:sz w:val="21"/>
              </w:rPr>
            </w:pPr>
            <w:r>
              <w:rPr>
                <w:sz w:val="21"/>
              </w:rPr>
              <w:t>在本附加合同的有效期内，我们有权重新调整本附加合同的风险保险费费率，但风险保险费费率的调整须符合保险监管机构的相关规定。如果我们要行使该项权利，需提前</w:t>
            </w:r>
            <w:r>
              <w:rPr>
                <w:rFonts w:ascii="Times New Roman" w:eastAsia="Times New Roman"/>
                <w:sz w:val="21"/>
              </w:rPr>
              <w:t>3</w:t>
            </w:r>
            <w:r>
              <w:rPr>
                <w:sz w:val="21"/>
              </w:rPr>
              <w:t>个月以书面形式通知投保人。</w:t>
            </w:r>
          </w:p>
        </w:tc>
      </w:tr>
      <w:tr>
        <w:trPr>
          <w:trHeight w:val="617" w:hRule="atLeast"/>
        </w:trPr>
        <w:tc>
          <w:tcPr>
            <w:tcW w:w="766" w:type="dxa"/>
            <w:tcBorders>
              <w:bottom w:val="single" w:sz="4" w:space="0" w:color="000000"/>
            </w:tcBorders>
          </w:tcPr>
          <w:p>
            <w:pPr>
              <w:pStyle w:val="TableParagraph"/>
              <w:spacing w:before="228"/>
              <w:ind w:left="108"/>
              <w:rPr>
                <w:rFonts w:ascii="Times New Roman"/>
                <w:b/>
                <w:sz w:val="24"/>
              </w:rPr>
            </w:pPr>
            <w:r>
              <w:rPr>
                <w:rFonts w:ascii="Times New Roman"/>
                <w:b/>
                <w:sz w:val="24"/>
              </w:rPr>
              <w:t>5</w:t>
            </w:r>
          </w:p>
        </w:tc>
        <w:tc>
          <w:tcPr>
            <w:tcW w:w="8479" w:type="dxa"/>
            <w:gridSpan w:val="2"/>
            <w:tcBorders>
              <w:bottom w:val="single" w:sz="4" w:space="0" w:color="000000"/>
            </w:tcBorders>
          </w:tcPr>
          <w:p>
            <w:pPr>
              <w:pStyle w:val="TableParagraph"/>
              <w:spacing w:before="167"/>
              <w:ind w:left="393"/>
              <w:rPr>
                <w:b/>
                <w:sz w:val="24"/>
              </w:rPr>
            </w:pPr>
            <w:r>
              <w:rPr>
                <w:b/>
                <w:w w:val="95"/>
                <w:sz w:val="24"/>
              </w:rPr>
              <w:t>合同解除与效力终止</w:t>
            </w:r>
          </w:p>
        </w:tc>
      </w:tr>
      <w:tr>
        <w:trPr>
          <w:trHeight w:val="1939" w:hRule="atLeast"/>
        </w:trPr>
        <w:tc>
          <w:tcPr>
            <w:tcW w:w="766" w:type="dxa"/>
            <w:tcBorders>
              <w:top w:val="single" w:sz="4" w:space="0" w:color="000000"/>
            </w:tcBorders>
          </w:tcPr>
          <w:p>
            <w:pPr>
              <w:pStyle w:val="TableParagraph"/>
              <w:spacing w:before="34"/>
              <w:ind w:left="108"/>
              <w:rPr>
                <w:rFonts w:ascii="Times New Roman"/>
                <w:sz w:val="21"/>
              </w:rPr>
            </w:pPr>
            <w:r>
              <w:rPr>
                <w:rFonts w:ascii="Times New Roman"/>
                <w:sz w:val="21"/>
              </w:rPr>
              <w:t>5.1</w:t>
            </w:r>
          </w:p>
        </w:tc>
        <w:tc>
          <w:tcPr>
            <w:tcW w:w="1856" w:type="dxa"/>
            <w:tcBorders>
              <w:top w:val="single" w:sz="4" w:space="0" w:color="000000"/>
            </w:tcBorders>
          </w:tcPr>
          <w:p>
            <w:pPr>
              <w:pStyle w:val="TableParagraph"/>
              <w:spacing w:line="273" w:lineRule="auto" w:before="0"/>
              <w:ind w:left="393" w:right="107"/>
              <w:rPr>
                <w:b/>
                <w:sz w:val="21"/>
              </w:rPr>
            </w:pPr>
            <w:r>
              <w:rPr>
                <w:b/>
                <w:sz w:val="21"/>
              </w:rPr>
              <w:t>解除合同的手续及风险</w:t>
            </w:r>
          </w:p>
        </w:tc>
        <w:tc>
          <w:tcPr>
            <w:tcW w:w="6623" w:type="dxa"/>
            <w:tcBorders>
              <w:top w:val="single" w:sz="4" w:space="0" w:color="000000"/>
            </w:tcBorders>
          </w:tcPr>
          <w:p>
            <w:pPr>
              <w:pStyle w:val="TableParagraph"/>
              <w:spacing w:line="273" w:lineRule="auto" w:before="0"/>
              <w:ind w:left="107" w:right="105"/>
              <w:rPr>
                <w:sz w:val="21"/>
              </w:rPr>
            </w:pPr>
            <w:r>
              <w:rPr>
                <w:sz w:val="21"/>
              </w:rPr>
              <w:t>如您在犹豫期后申请解除本附加合同，请填写解除合同申请书并向我们提供下列资料：</w:t>
            </w:r>
          </w:p>
          <w:p>
            <w:pPr>
              <w:pStyle w:val="TableParagraph"/>
              <w:spacing w:line="269" w:lineRule="exact" w:before="12"/>
              <w:ind w:left="107"/>
              <w:rPr>
                <w:sz w:val="21"/>
              </w:rPr>
            </w:pPr>
            <w:r>
              <w:rPr>
                <w:sz w:val="21"/>
              </w:rPr>
              <w:t>（</w:t>
            </w:r>
            <w:r>
              <w:rPr>
                <w:rFonts w:ascii="Times New Roman" w:eastAsia="Times New Roman"/>
                <w:sz w:val="21"/>
              </w:rPr>
              <w:t>1</w:t>
            </w:r>
            <w:r>
              <w:rPr>
                <w:sz w:val="21"/>
              </w:rPr>
              <w:t>）保险合同；</w:t>
            </w:r>
          </w:p>
          <w:p>
            <w:pPr>
              <w:pStyle w:val="TableParagraph"/>
              <w:spacing w:line="282" w:lineRule="exact" w:before="0"/>
              <w:ind w:left="107"/>
              <w:rPr>
                <w:sz w:val="21"/>
              </w:rPr>
            </w:pPr>
            <w:r>
              <w:rPr>
                <w:sz w:val="21"/>
              </w:rPr>
              <w:t>（</w:t>
            </w:r>
            <w:r>
              <w:rPr>
                <w:rFonts w:ascii="Times New Roman" w:eastAsia="Times New Roman"/>
                <w:sz w:val="21"/>
              </w:rPr>
              <w:t>2</w:t>
            </w:r>
            <w:r>
              <w:rPr>
                <w:sz w:val="21"/>
              </w:rPr>
              <w:t>）您的有效身份证件。</w:t>
            </w:r>
          </w:p>
          <w:p>
            <w:pPr>
              <w:pStyle w:val="TableParagraph"/>
              <w:spacing w:line="273" w:lineRule="auto" w:before="2"/>
              <w:ind w:left="107" w:right="1047"/>
              <w:rPr>
                <w:sz w:val="21"/>
              </w:rPr>
            </w:pPr>
            <w:r>
              <w:rPr>
                <w:sz w:val="21"/>
              </w:rPr>
              <w:t>自本我们收到解除合同申请书时起，本附加合同效力终止。您在犹豫期后解除合同会遭受一定损失。</w:t>
            </w:r>
          </w:p>
        </w:tc>
      </w:tr>
      <w:tr>
        <w:trPr>
          <w:trHeight w:val="1514" w:hRule="atLeast"/>
        </w:trPr>
        <w:tc>
          <w:tcPr>
            <w:tcW w:w="766" w:type="dxa"/>
          </w:tcPr>
          <w:p>
            <w:pPr>
              <w:pStyle w:val="TableParagraph"/>
              <w:spacing w:before="3"/>
              <w:ind w:left="0"/>
              <w:rPr>
                <w:sz w:val="15"/>
              </w:rPr>
            </w:pPr>
          </w:p>
          <w:p>
            <w:pPr>
              <w:pStyle w:val="TableParagraph"/>
              <w:spacing w:before="1"/>
              <w:ind w:left="108"/>
              <w:rPr>
                <w:rFonts w:ascii="Times New Roman"/>
                <w:sz w:val="21"/>
              </w:rPr>
            </w:pPr>
            <w:r>
              <w:rPr>
                <w:rFonts w:ascii="Times New Roman"/>
                <w:sz w:val="21"/>
              </w:rPr>
              <w:t>5.2</w:t>
            </w:r>
          </w:p>
        </w:tc>
        <w:tc>
          <w:tcPr>
            <w:tcW w:w="1856" w:type="dxa"/>
          </w:tcPr>
          <w:p>
            <w:pPr>
              <w:pStyle w:val="TableParagraph"/>
              <w:spacing w:line="273" w:lineRule="auto" w:before="153"/>
              <w:ind w:left="393" w:right="107"/>
              <w:rPr>
                <w:b/>
                <w:sz w:val="21"/>
              </w:rPr>
            </w:pPr>
            <w:r>
              <w:rPr>
                <w:b/>
                <w:sz w:val="21"/>
              </w:rPr>
              <w:t>附加合同效力终止</w:t>
            </w:r>
          </w:p>
        </w:tc>
        <w:tc>
          <w:tcPr>
            <w:tcW w:w="6623" w:type="dxa"/>
          </w:tcPr>
          <w:p>
            <w:pPr>
              <w:pStyle w:val="TableParagraph"/>
              <w:spacing w:line="273" w:lineRule="exact" w:before="132"/>
              <w:ind w:left="107"/>
              <w:rPr>
                <w:sz w:val="21"/>
              </w:rPr>
            </w:pPr>
            <w:r>
              <w:rPr>
                <w:sz w:val="21"/>
              </w:rPr>
              <w:t>发生下列情况之一时，本附加合同效力终止：</w:t>
            </w:r>
          </w:p>
          <w:p>
            <w:pPr>
              <w:pStyle w:val="TableParagraph"/>
              <w:spacing w:line="280" w:lineRule="exact" w:before="0"/>
              <w:ind w:left="107"/>
              <w:rPr>
                <w:sz w:val="21"/>
              </w:rPr>
            </w:pPr>
            <w:r>
              <w:rPr>
                <w:sz w:val="21"/>
              </w:rPr>
              <w:t>（</w:t>
            </w:r>
            <w:r>
              <w:rPr>
                <w:rFonts w:ascii="Times New Roman" w:eastAsia="Times New Roman"/>
                <w:sz w:val="21"/>
              </w:rPr>
              <w:t>1</w:t>
            </w:r>
            <w:r>
              <w:rPr>
                <w:sz w:val="21"/>
              </w:rPr>
              <w:t>）我们收到解除合同申请书；</w:t>
            </w:r>
          </w:p>
          <w:p>
            <w:pPr>
              <w:pStyle w:val="TableParagraph"/>
              <w:spacing w:line="272" w:lineRule="exact" w:before="0"/>
              <w:ind w:left="107"/>
              <w:rPr>
                <w:sz w:val="21"/>
              </w:rPr>
            </w:pPr>
            <w:r>
              <w:rPr>
                <w:sz w:val="21"/>
              </w:rPr>
              <w:t>（</w:t>
            </w:r>
            <w:r>
              <w:rPr>
                <w:rFonts w:ascii="Times New Roman" w:eastAsia="Times New Roman"/>
                <w:sz w:val="21"/>
              </w:rPr>
              <w:t>2</w:t>
            </w:r>
            <w:r>
              <w:rPr>
                <w:sz w:val="21"/>
              </w:rPr>
              <w:t>）主合同因任何原因效力终止；</w:t>
            </w:r>
          </w:p>
          <w:p>
            <w:pPr>
              <w:pStyle w:val="TableParagraph"/>
              <w:spacing w:line="281" w:lineRule="exact" w:before="0"/>
              <w:ind w:left="107"/>
              <w:rPr>
                <w:sz w:val="21"/>
              </w:rPr>
            </w:pPr>
            <w:r>
              <w:rPr>
                <w:sz w:val="21"/>
              </w:rPr>
              <w:t>（</w:t>
            </w:r>
            <w:r>
              <w:rPr>
                <w:rFonts w:ascii="Times New Roman" w:eastAsia="Times New Roman"/>
                <w:sz w:val="21"/>
              </w:rPr>
              <w:t>3</w:t>
            </w:r>
            <w:r>
              <w:rPr>
                <w:sz w:val="21"/>
              </w:rPr>
              <w:t>）本附加合同因其他条款所列情况而效力终止。</w:t>
            </w:r>
          </w:p>
        </w:tc>
      </w:tr>
      <w:tr>
        <w:trPr>
          <w:trHeight w:val="655" w:hRule="atLeast"/>
        </w:trPr>
        <w:tc>
          <w:tcPr>
            <w:tcW w:w="766" w:type="dxa"/>
            <w:tcBorders>
              <w:bottom w:val="single" w:sz="4" w:space="0" w:color="000000"/>
            </w:tcBorders>
          </w:tcPr>
          <w:p>
            <w:pPr>
              <w:pStyle w:val="TableParagraph"/>
              <w:spacing w:before="4"/>
              <w:ind w:left="0"/>
              <w:rPr>
                <w:sz w:val="20"/>
              </w:rPr>
            </w:pPr>
          </w:p>
          <w:p>
            <w:pPr>
              <w:pStyle w:val="TableParagraph"/>
              <w:spacing w:before="0"/>
              <w:ind w:left="108"/>
              <w:rPr>
                <w:rFonts w:ascii="Times New Roman"/>
                <w:b/>
                <w:sz w:val="24"/>
              </w:rPr>
            </w:pPr>
            <w:r>
              <w:rPr>
                <w:rFonts w:ascii="Times New Roman"/>
                <w:b/>
                <w:sz w:val="24"/>
              </w:rPr>
              <w:t>6</w:t>
            </w:r>
          </w:p>
        </w:tc>
        <w:tc>
          <w:tcPr>
            <w:tcW w:w="8479" w:type="dxa"/>
            <w:gridSpan w:val="2"/>
            <w:tcBorders>
              <w:bottom w:val="single" w:sz="4" w:space="0" w:color="000000"/>
            </w:tcBorders>
          </w:tcPr>
          <w:p>
            <w:pPr>
              <w:pStyle w:val="TableParagraph"/>
              <w:spacing w:before="204"/>
              <w:ind w:left="393"/>
              <w:rPr>
                <w:b/>
                <w:sz w:val="24"/>
              </w:rPr>
            </w:pPr>
            <w:r>
              <w:rPr>
                <w:b/>
                <w:w w:val="95"/>
                <w:sz w:val="24"/>
              </w:rPr>
              <w:t>重大疾病保障范围及定义</w:t>
            </w:r>
          </w:p>
        </w:tc>
      </w:tr>
      <w:tr>
        <w:trPr>
          <w:trHeight w:val="262" w:hRule="atLeast"/>
        </w:trPr>
        <w:tc>
          <w:tcPr>
            <w:tcW w:w="766" w:type="dxa"/>
            <w:tcBorders>
              <w:top w:val="single" w:sz="4" w:space="0" w:color="000000"/>
            </w:tcBorders>
          </w:tcPr>
          <w:p>
            <w:pPr>
              <w:pStyle w:val="TableParagraph"/>
              <w:spacing w:before="0"/>
              <w:ind w:left="0"/>
              <w:rPr>
                <w:rFonts w:ascii="Times New Roman"/>
                <w:sz w:val="18"/>
              </w:rPr>
            </w:pPr>
          </w:p>
        </w:tc>
        <w:tc>
          <w:tcPr>
            <w:tcW w:w="8479" w:type="dxa"/>
            <w:gridSpan w:val="2"/>
            <w:tcBorders>
              <w:top w:val="single" w:sz="4" w:space="0" w:color="000000"/>
            </w:tcBorders>
          </w:tcPr>
          <w:p>
            <w:pPr>
              <w:pStyle w:val="TableParagraph"/>
              <w:spacing w:line="242" w:lineRule="exact" w:before="0"/>
              <w:ind w:left="393"/>
              <w:rPr>
                <w:sz w:val="21"/>
              </w:rPr>
            </w:pPr>
            <w:r>
              <w:rPr>
                <w:sz w:val="21"/>
              </w:rPr>
              <w:t>被保险人发生符合以下疾病定义所述条件的疾病，应当由专科医生明确诊断。</w:t>
            </w:r>
          </w:p>
        </w:tc>
      </w:tr>
    </w:tbl>
    <w:p>
      <w:pPr>
        <w:spacing w:after="0" w:line="242" w:lineRule="exact"/>
        <w:rPr>
          <w:sz w:val="21"/>
        </w:rPr>
        <w:sectPr>
          <w:pgSz w:w="11910" w:h="16840"/>
          <w:pgMar w:header="0" w:footer="773" w:top="1160" w:bottom="960" w:left="1380" w:right="10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1864"/>
        <w:gridCol w:w="6816"/>
      </w:tblGrid>
      <w:tr>
        <w:trPr>
          <w:trHeight w:val="3550" w:hRule="atLeast"/>
        </w:trPr>
        <w:tc>
          <w:tcPr>
            <w:tcW w:w="857" w:type="dxa"/>
          </w:tcPr>
          <w:p>
            <w:pPr>
              <w:pStyle w:val="TableParagraph"/>
              <w:spacing w:line="230" w:lineRule="exact" w:before="0"/>
              <w:ind w:left="200"/>
              <w:rPr>
                <w:rFonts w:ascii="Times New Roman"/>
                <w:sz w:val="21"/>
              </w:rPr>
            </w:pPr>
            <w:r>
              <w:rPr>
                <w:rFonts w:ascii="Times New Roman"/>
                <w:sz w:val="21"/>
              </w:rPr>
              <w:t>6.1</w:t>
            </w:r>
          </w:p>
        </w:tc>
        <w:tc>
          <w:tcPr>
            <w:tcW w:w="1864" w:type="dxa"/>
          </w:tcPr>
          <w:p>
            <w:pPr>
              <w:pStyle w:val="TableParagraph"/>
              <w:spacing w:line="217" w:lineRule="exact" w:before="0"/>
              <w:ind w:left="392"/>
              <w:rPr>
                <w:b/>
                <w:sz w:val="21"/>
              </w:rPr>
            </w:pPr>
            <w:r>
              <w:rPr>
                <w:b/>
                <w:sz w:val="21"/>
              </w:rPr>
              <w:t>恶性肿瘤</w:t>
            </w:r>
          </w:p>
        </w:tc>
        <w:tc>
          <w:tcPr>
            <w:tcW w:w="6816" w:type="dxa"/>
          </w:tcPr>
          <w:p>
            <w:pPr>
              <w:pStyle w:val="TableParagraph"/>
              <w:spacing w:line="217" w:lineRule="exact" w:before="0"/>
              <w:ind w:left="100"/>
              <w:rPr>
                <w:sz w:val="21"/>
              </w:rPr>
            </w:pPr>
            <w:r>
              <w:rPr>
                <w:sz w:val="21"/>
              </w:rPr>
              <w:t>指恶性细胞不受控制的进行性增长和扩散，浸润和破坏周围正常组织，</w:t>
            </w:r>
          </w:p>
          <w:p>
            <w:pPr>
              <w:pStyle w:val="TableParagraph"/>
              <w:spacing w:line="273" w:lineRule="auto" w:before="37"/>
              <w:ind w:left="100" w:right="305"/>
              <w:jc w:val="both"/>
              <w:rPr>
                <w:sz w:val="21"/>
              </w:rPr>
            </w:pPr>
            <w:r>
              <w:rPr>
                <w:sz w:val="21"/>
              </w:rPr>
              <w:t>可以经血管、淋巴管和体腔扩散转移到身体其它部位的疾病。经病理学检查结果明确诊断，临床诊断属于世界卫生组织《疾病和有关健康问题的国际统计分类》（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before="0"/>
              <w:ind w:left="100"/>
              <w:jc w:val="both"/>
              <w:rPr>
                <w:sz w:val="21"/>
              </w:rPr>
            </w:pPr>
            <w:r>
              <w:rPr>
                <w:sz w:val="21"/>
              </w:rPr>
              <w:t>下列疾病不在保障范围内：</w:t>
            </w:r>
          </w:p>
          <w:p>
            <w:pPr>
              <w:pStyle w:val="TableParagraph"/>
              <w:spacing w:before="37"/>
              <w:ind w:left="100"/>
              <w:jc w:val="both"/>
              <w:rPr>
                <w:sz w:val="21"/>
              </w:rPr>
            </w:pPr>
            <w:r>
              <w:rPr>
                <w:sz w:val="21"/>
              </w:rPr>
              <w:t>（</w:t>
            </w:r>
            <w:r>
              <w:rPr>
                <w:rFonts w:ascii="Times New Roman" w:eastAsia="Times New Roman"/>
                <w:sz w:val="21"/>
              </w:rPr>
              <w:t>1</w:t>
            </w:r>
            <w:r>
              <w:rPr>
                <w:sz w:val="21"/>
              </w:rPr>
              <w:t>）原位癌；</w:t>
            </w:r>
          </w:p>
          <w:p>
            <w:pPr>
              <w:pStyle w:val="TableParagraph"/>
              <w:spacing w:before="20"/>
              <w:ind w:left="100"/>
              <w:jc w:val="both"/>
              <w:rPr>
                <w:sz w:val="21"/>
              </w:rPr>
            </w:pPr>
            <w:r>
              <w:rPr>
                <w:sz w:val="21"/>
              </w:rPr>
              <w:t>（</w:t>
            </w:r>
            <w:r>
              <w:rPr>
                <w:rFonts w:ascii="Times New Roman" w:eastAsia="Times New Roman"/>
                <w:sz w:val="21"/>
              </w:rPr>
              <w:t>2</w:t>
            </w:r>
            <w:r>
              <w:rPr>
                <w:sz w:val="21"/>
              </w:rPr>
              <w:t>）相当于</w:t>
            </w:r>
            <w:r>
              <w:rPr>
                <w:rFonts w:ascii="Times New Roman" w:eastAsia="Times New Roman"/>
                <w:sz w:val="21"/>
              </w:rPr>
              <w:t>Binet</w:t>
            </w:r>
            <w:r>
              <w:rPr>
                <w:sz w:val="21"/>
              </w:rPr>
              <w:t>分期方案</w:t>
            </w:r>
            <w:r>
              <w:rPr>
                <w:rFonts w:ascii="Times New Roman" w:eastAsia="Times New Roman"/>
                <w:sz w:val="21"/>
              </w:rPr>
              <w:t>A</w:t>
            </w:r>
            <w:r>
              <w:rPr>
                <w:sz w:val="21"/>
              </w:rPr>
              <w:t>期程度的慢性淋巴细胞白血病；</w:t>
            </w:r>
          </w:p>
          <w:p>
            <w:pPr>
              <w:pStyle w:val="TableParagraph"/>
              <w:spacing w:before="20"/>
              <w:ind w:left="100"/>
              <w:jc w:val="both"/>
              <w:rPr>
                <w:sz w:val="21"/>
              </w:rPr>
            </w:pPr>
            <w:r>
              <w:rPr>
                <w:sz w:val="21"/>
              </w:rPr>
              <w:t>（</w:t>
            </w:r>
            <w:r>
              <w:rPr>
                <w:rFonts w:ascii="Times New Roman" w:eastAsia="Times New Roman"/>
                <w:sz w:val="21"/>
              </w:rPr>
              <w:t>3</w:t>
            </w:r>
            <w:r>
              <w:rPr>
                <w:sz w:val="21"/>
              </w:rPr>
              <w:t>）相当于</w:t>
            </w:r>
            <w:r>
              <w:rPr>
                <w:rFonts w:ascii="Times New Roman" w:eastAsia="Times New Roman"/>
                <w:sz w:val="21"/>
              </w:rPr>
              <w:t>Ann Arbor</w:t>
            </w:r>
            <w:r>
              <w:rPr>
                <w:sz w:val="21"/>
              </w:rPr>
              <w:t>分期方案</w:t>
            </w:r>
            <w:r>
              <w:rPr>
                <w:rFonts w:ascii="Times New Roman" w:eastAsia="Times New Roman"/>
                <w:sz w:val="21"/>
              </w:rPr>
              <w:t>I</w:t>
            </w:r>
            <w:r>
              <w:rPr>
                <w:sz w:val="21"/>
              </w:rPr>
              <w:t>期程度的何杰金氏病；</w:t>
            </w:r>
          </w:p>
          <w:p>
            <w:pPr>
              <w:pStyle w:val="TableParagraph"/>
              <w:spacing w:before="20"/>
              <w:ind w:left="100"/>
              <w:jc w:val="both"/>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20"/>
              <w:ind w:left="100"/>
              <w:jc w:val="both"/>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20"/>
              <w:ind w:left="100"/>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2773" w:hRule="atLeast"/>
        </w:trPr>
        <w:tc>
          <w:tcPr>
            <w:tcW w:w="857" w:type="dxa"/>
          </w:tcPr>
          <w:p>
            <w:pPr>
              <w:pStyle w:val="TableParagraph"/>
              <w:spacing w:before="183"/>
              <w:ind w:left="200"/>
              <w:rPr>
                <w:rFonts w:ascii="Times New Roman"/>
                <w:sz w:val="21"/>
              </w:rPr>
            </w:pPr>
            <w:r>
              <w:rPr>
                <w:rFonts w:ascii="Times New Roman"/>
                <w:sz w:val="21"/>
              </w:rPr>
              <w:t>6.2</w:t>
            </w:r>
          </w:p>
        </w:tc>
        <w:tc>
          <w:tcPr>
            <w:tcW w:w="1864" w:type="dxa"/>
          </w:tcPr>
          <w:p>
            <w:pPr>
              <w:pStyle w:val="TableParagraph"/>
              <w:spacing w:before="136"/>
              <w:ind w:left="392"/>
              <w:rPr>
                <w:b/>
                <w:sz w:val="21"/>
              </w:rPr>
            </w:pPr>
            <w:r>
              <w:rPr>
                <w:b/>
                <w:sz w:val="21"/>
              </w:rPr>
              <w:t>急性心肌梗塞</w:t>
            </w:r>
          </w:p>
        </w:tc>
        <w:tc>
          <w:tcPr>
            <w:tcW w:w="6816" w:type="dxa"/>
          </w:tcPr>
          <w:p>
            <w:pPr>
              <w:pStyle w:val="TableParagraph"/>
              <w:spacing w:line="273" w:lineRule="auto" w:before="136"/>
              <w:ind w:left="100" w:right="305"/>
              <w:rPr>
                <w:sz w:val="21"/>
              </w:rPr>
            </w:pPr>
            <w:r>
              <w:rPr>
                <w:sz w:val="21"/>
              </w:rPr>
              <w:t>指因冠状动脉阻塞导致的相应区域供血不足造成部分心肌坏死。须满足下列至少三项条件：</w:t>
            </w:r>
          </w:p>
          <w:p>
            <w:pPr>
              <w:pStyle w:val="TableParagraph"/>
              <w:spacing w:before="7"/>
              <w:ind w:left="100"/>
              <w:rPr>
                <w:sz w:val="21"/>
              </w:rPr>
            </w:pPr>
            <w:r>
              <w:rPr>
                <w:sz w:val="21"/>
              </w:rPr>
              <w:t>（</w:t>
            </w:r>
            <w:r>
              <w:rPr>
                <w:rFonts w:ascii="Times New Roman" w:eastAsia="Times New Roman"/>
                <w:sz w:val="21"/>
              </w:rPr>
              <w:t>1</w:t>
            </w:r>
            <w:r>
              <w:rPr>
                <w:sz w:val="21"/>
              </w:rPr>
              <w:t>）典型临床表现，例如急性胸痛等；</w:t>
            </w:r>
          </w:p>
          <w:p>
            <w:pPr>
              <w:pStyle w:val="TableParagraph"/>
              <w:spacing w:before="20"/>
              <w:ind w:left="100"/>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left="100" w:right="306"/>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1"/>
              <w:ind w:left="100" w:right="306"/>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天后，经检查证实左心室功能降低，如左心室射血分数低于</w:t>
            </w:r>
            <w:r>
              <w:rPr>
                <w:rFonts w:ascii="Times New Roman" w:eastAsia="Times New Roman"/>
                <w:sz w:val="21"/>
              </w:rPr>
              <w:t>50%</w:t>
            </w:r>
            <w:r>
              <w:rPr>
                <w:sz w:val="21"/>
              </w:rPr>
              <w:t>。</w:t>
            </w:r>
          </w:p>
        </w:tc>
      </w:tr>
      <w:tr>
        <w:trPr>
          <w:trHeight w:val="2453" w:hRule="atLeast"/>
        </w:trPr>
        <w:tc>
          <w:tcPr>
            <w:tcW w:w="857" w:type="dxa"/>
          </w:tcPr>
          <w:p>
            <w:pPr>
              <w:pStyle w:val="TableParagraph"/>
              <w:spacing w:before="148"/>
              <w:ind w:left="200"/>
              <w:rPr>
                <w:rFonts w:ascii="Times New Roman"/>
                <w:sz w:val="21"/>
              </w:rPr>
            </w:pPr>
            <w:r>
              <w:rPr>
                <w:rFonts w:ascii="Times New Roman"/>
                <w:sz w:val="21"/>
              </w:rPr>
              <w:t>6.3</w:t>
            </w:r>
          </w:p>
        </w:tc>
        <w:tc>
          <w:tcPr>
            <w:tcW w:w="1864" w:type="dxa"/>
          </w:tcPr>
          <w:p>
            <w:pPr>
              <w:pStyle w:val="TableParagraph"/>
              <w:spacing w:before="101"/>
              <w:ind w:left="392"/>
              <w:rPr>
                <w:b/>
                <w:sz w:val="21"/>
              </w:rPr>
            </w:pPr>
            <w:r>
              <w:rPr>
                <w:b/>
                <w:sz w:val="21"/>
              </w:rPr>
              <w:t>脑中风后遗症</w:t>
            </w:r>
          </w:p>
        </w:tc>
        <w:tc>
          <w:tcPr>
            <w:tcW w:w="6816" w:type="dxa"/>
          </w:tcPr>
          <w:p>
            <w:pPr>
              <w:pStyle w:val="TableParagraph"/>
              <w:spacing w:line="264" w:lineRule="auto" w:before="101"/>
              <w:ind w:left="100" w:right="304"/>
              <w:jc w:val="both"/>
              <w:rPr>
                <w:sz w:val="21"/>
              </w:rPr>
            </w:pPr>
            <w:r>
              <w:rPr>
                <w:sz w:val="21"/>
              </w:rPr>
              <w:t>指因脑血管的突发病变引起脑血管出血、栓塞或梗塞，并导致神经系统永久性的功能障碍。神经系统永久性的功能障碍，指疾病确诊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16"/>
              <w:ind w:left="100"/>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w:t>
            </w:r>
          </w:p>
          <w:p>
            <w:pPr>
              <w:pStyle w:val="TableParagraph"/>
              <w:spacing w:before="21"/>
              <w:ind w:left="100"/>
              <w:rPr>
                <w:sz w:val="21"/>
              </w:rPr>
            </w:pPr>
            <w:r>
              <w:rPr>
                <w:sz w:val="21"/>
              </w:rPr>
              <w:t>（</w:t>
            </w:r>
            <w:r>
              <w:rPr>
                <w:rFonts w:ascii="Times New Roman" w:eastAsia="Times New Roman"/>
                <w:sz w:val="21"/>
              </w:rPr>
              <w:t>2</w:t>
            </w:r>
            <w:r>
              <w:rPr>
                <w:sz w:val="21"/>
              </w:rPr>
              <w:t>）</w:t>
            </w:r>
            <w:r>
              <w:rPr>
                <w:b/>
                <w:sz w:val="21"/>
              </w:rPr>
              <w:t>语言能力或咀嚼吞咽能力完全丧失</w:t>
            </w:r>
            <w:r>
              <w:rPr>
                <w:sz w:val="21"/>
              </w:rPr>
              <w:t>；</w:t>
            </w:r>
          </w:p>
          <w:p>
            <w:pPr>
              <w:pStyle w:val="TableParagraph"/>
              <w:spacing w:line="256" w:lineRule="auto" w:before="21"/>
              <w:ind w:left="100" w:right="263"/>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中的三项或三项以上。</w:t>
            </w:r>
          </w:p>
        </w:tc>
      </w:tr>
      <w:tr>
        <w:trPr>
          <w:trHeight w:val="1837" w:hRule="atLeast"/>
        </w:trPr>
        <w:tc>
          <w:tcPr>
            <w:tcW w:w="857" w:type="dxa"/>
          </w:tcPr>
          <w:p>
            <w:pPr>
              <w:pStyle w:val="TableParagraph"/>
              <w:spacing w:before="190"/>
              <w:ind w:left="200"/>
              <w:rPr>
                <w:rFonts w:ascii="Times New Roman"/>
                <w:sz w:val="21"/>
              </w:rPr>
            </w:pPr>
            <w:r>
              <w:rPr>
                <w:rFonts w:ascii="Times New Roman"/>
                <w:sz w:val="21"/>
              </w:rPr>
              <w:t>6.4</w:t>
            </w:r>
          </w:p>
        </w:tc>
        <w:tc>
          <w:tcPr>
            <w:tcW w:w="1864" w:type="dxa"/>
          </w:tcPr>
          <w:p>
            <w:pPr>
              <w:pStyle w:val="TableParagraph"/>
              <w:spacing w:line="273" w:lineRule="auto" w:before="143"/>
              <w:ind w:left="392" w:right="99"/>
              <w:jc w:val="both"/>
              <w:rPr>
                <w:b/>
                <w:sz w:val="21"/>
              </w:rPr>
            </w:pPr>
            <w:r>
              <w:rPr>
                <w:b/>
                <w:sz w:val="21"/>
              </w:rPr>
              <w:t>重大器官移植术或造血干细胞移植术</w:t>
            </w:r>
          </w:p>
        </w:tc>
        <w:tc>
          <w:tcPr>
            <w:tcW w:w="6816" w:type="dxa"/>
          </w:tcPr>
          <w:p>
            <w:pPr>
              <w:pStyle w:val="TableParagraph"/>
              <w:spacing w:line="273" w:lineRule="auto" w:before="143"/>
              <w:ind w:left="100" w:right="305"/>
              <w:jc w:val="both"/>
              <w:rPr>
                <w:sz w:val="21"/>
              </w:rPr>
            </w:pPr>
            <w:r>
              <w:rPr>
                <w:sz w:val="21"/>
              </w:rPr>
              <w:t>重大器官移植术，指因相应器官功能衰竭，已经实施了肾脏、肝脏、心脏或肺脏的异体移植手术。</w:t>
            </w:r>
          </w:p>
          <w:p>
            <w:pPr>
              <w:pStyle w:val="TableParagraph"/>
              <w:spacing w:line="273" w:lineRule="auto" w:before="7"/>
              <w:ind w:left="100" w:right="30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25" w:hRule="atLeast"/>
        </w:trPr>
        <w:tc>
          <w:tcPr>
            <w:tcW w:w="857" w:type="dxa"/>
          </w:tcPr>
          <w:p>
            <w:pPr>
              <w:pStyle w:val="TableParagraph"/>
              <w:spacing w:before="155"/>
              <w:ind w:left="200"/>
              <w:rPr>
                <w:rFonts w:ascii="Times New Roman"/>
                <w:sz w:val="21"/>
              </w:rPr>
            </w:pPr>
            <w:r>
              <w:rPr>
                <w:rFonts w:ascii="Times New Roman"/>
                <w:sz w:val="21"/>
              </w:rPr>
              <w:t>6.5</w:t>
            </w:r>
          </w:p>
        </w:tc>
        <w:tc>
          <w:tcPr>
            <w:tcW w:w="1864" w:type="dxa"/>
          </w:tcPr>
          <w:p>
            <w:pPr>
              <w:pStyle w:val="TableParagraph"/>
              <w:spacing w:line="273" w:lineRule="auto" w:before="109"/>
              <w:ind w:left="392" w:right="116"/>
              <w:jc w:val="both"/>
              <w:rPr>
                <w:b/>
                <w:sz w:val="21"/>
              </w:rPr>
            </w:pPr>
            <w:r>
              <w:rPr>
                <w:b/>
                <w:sz w:val="21"/>
              </w:rPr>
              <w:t>冠状动脉搭桥术（或称冠状动脉旁路移植术）</w:t>
            </w:r>
          </w:p>
        </w:tc>
        <w:tc>
          <w:tcPr>
            <w:tcW w:w="6816" w:type="dxa"/>
          </w:tcPr>
          <w:p>
            <w:pPr>
              <w:pStyle w:val="TableParagraph"/>
              <w:spacing w:line="273" w:lineRule="auto" w:before="109"/>
              <w:ind w:left="100" w:right="305"/>
              <w:rPr>
                <w:sz w:val="21"/>
              </w:rPr>
            </w:pPr>
            <w:r>
              <w:rPr>
                <w:sz w:val="21"/>
              </w:rPr>
              <w:t>指为治疗严重的冠心病，实际实施了开胸进行的冠状动脉血管旁路移植的手术。</w:t>
            </w:r>
          </w:p>
          <w:p>
            <w:pPr>
              <w:pStyle w:val="TableParagraph"/>
              <w:spacing w:line="273" w:lineRule="auto" w:before="8"/>
              <w:ind w:left="100" w:right="305"/>
              <w:rPr>
                <w:sz w:val="21"/>
              </w:rPr>
            </w:pPr>
            <w:r>
              <w:rPr>
                <w:sz w:val="21"/>
              </w:rPr>
              <w:t>冠状动脉支架植入术、心导管球囊扩张术、激光射频技术及其它非开胸的介入手术、腔镜手术不在保障范围内。</w:t>
            </w:r>
          </w:p>
        </w:tc>
      </w:tr>
      <w:tr>
        <w:trPr>
          <w:trHeight w:val="1560" w:hRule="atLeast"/>
        </w:trPr>
        <w:tc>
          <w:tcPr>
            <w:tcW w:w="857" w:type="dxa"/>
          </w:tcPr>
          <w:p>
            <w:pPr>
              <w:pStyle w:val="TableParagraph"/>
              <w:spacing w:before="190"/>
              <w:ind w:left="200"/>
              <w:rPr>
                <w:rFonts w:ascii="Times New Roman"/>
                <w:sz w:val="21"/>
              </w:rPr>
            </w:pPr>
            <w:r>
              <w:rPr>
                <w:rFonts w:ascii="Times New Roman"/>
                <w:sz w:val="21"/>
              </w:rPr>
              <w:t>6.6</w:t>
            </w:r>
          </w:p>
        </w:tc>
        <w:tc>
          <w:tcPr>
            <w:tcW w:w="1864" w:type="dxa"/>
          </w:tcPr>
          <w:p>
            <w:pPr>
              <w:pStyle w:val="TableParagraph"/>
              <w:spacing w:before="143"/>
              <w:ind w:left="392"/>
              <w:rPr>
                <w:b/>
                <w:sz w:val="21"/>
              </w:rPr>
            </w:pPr>
            <w:r>
              <w:rPr>
                <w:b/>
                <w:sz w:val="21"/>
              </w:rPr>
              <w:t>终末期肾 病</w:t>
            </w:r>
          </w:p>
          <w:p>
            <w:pPr>
              <w:pStyle w:val="TableParagraph"/>
              <w:spacing w:line="273" w:lineRule="auto" w:before="36"/>
              <w:ind w:left="392" w:right="116"/>
              <w:jc w:val="both"/>
              <w:rPr>
                <w:b/>
                <w:sz w:val="21"/>
              </w:rPr>
            </w:pPr>
            <w:r>
              <w:rPr>
                <w:b/>
                <w:sz w:val="21"/>
              </w:rPr>
              <w:t>（</w:t>
            </w:r>
            <w:r>
              <w:rPr>
                <w:b/>
                <w:spacing w:val="-5"/>
                <w:sz w:val="21"/>
              </w:rPr>
              <w:t> 或称慢性肾</w:t>
            </w:r>
            <w:r>
              <w:rPr>
                <w:b/>
                <w:spacing w:val="11"/>
                <w:sz w:val="21"/>
              </w:rPr>
              <w:t>功能衰竭尿毒症期）</w:t>
            </w:r>
          </w:p>
        </w:tc>
        <w:tc>
          <w:tcPr>
            <w:tcW w:w="6816" w:type="dxa"/>
          </w:tcPr>
          <w:p>
            <w:pPr>
              <w:pStyle w:val="TableParagraph"/>
              <w:spacing w:line="273" w:lineRule="auto" w:before="143"/>
              <w:ind w:left="100" w:right="305"/>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734" w:hRule="atLeast"/>
        </w:trPr>
        <w:tc>
          <w:tcPr>
            <w:tcW w:w="857" w:type="dxa"/>
          </w:tcPr>
          <w:p>
            <w:pPr>
              <w:pStyle w:val="TableParagraph"/>
              <w:spacing w:before="190"/>
              <w:ind w:left="200"/>
              <w:rPr>
                <w:rFonts w:ascii="Times New Roman"/>
                <w:sz w:val="21"/>
              </w:rPr>
            </w:pPr>
            <w:r>
              <w:rPr>
                <w:rFonts w:ascii="Times New Roman"/>
                <w:sz w:val="21"/>
              </w:rPr>
              <w:t>6.7</w:t>
            </w:r>
          </w:p>
        </w:tc>
        <w:tc>
          <w:tcPr>
            <w:tcW w:w="1864" w:type="dxa"/>
          </w:tcPr>
          <w:p>
            <w:pPr>
              <w:pStyle w:val="TableParagraph"/>
              <w:spacing w:before="144"/>
              <w:ind w:left="392"/>
              <w:rPr>
                <w:b/>
                <w:sz w:val="21"/>
              </w:rPr>
            </w:pPr>
            <w:r>
              <w:rPr>
                <w:b/>
                <w:sz w:val="21"/>
              </w:rPr>
              <w:t>多个肢体缺失</w:t>
            </w:r>
          </w:p>
        </w:tc>
        <w:tc>
          <w:tcPr>
            <w:tcW w:w="6816" w:type="dxa"/>
          </w:tcPr>
          <w:p>
            <w:pPr>
              <w:pStyle w:val="TableParagraph"/>
              <w:spacing w:before="144"/>
              <w:ind w:left="100"/>
              <w:rPr>
                <w:sz w:val="21"/>
              </w:rPr>
            </w:pPr>
            <w:r>
              <w:rPr>
                <w:sz w:val="21"/>
              </w:rPr>
              <w:t>指因疾病或意外伤害导致两个或两个以上肢体自腕关节或踝关节近端</w:t>
            </w:r>
          </w:p>
          <w:p>
            <w:pPr>
              <w:pStyle w:val="TableParagraph"/>
              <w:spacing w:line="258" w:lineRule="exact" w:before="37"/>
              <w:ind w:left="100"/>
              <w:rPr>
                <w:sz w:val="21"/>
              </w:rPr>
            </w:pPr>
            <w:r>
              <w:rPr>
                <w:sz w:val="21"/>
              </w:rPr>
              <w:t>（靠近躯干端）以上完全性断离。</w:t>
            </w:r>
          </w:p>
        </w:tc>
      </w:tr>
    </w:tbl>
    <w:p>
      <w:pPr>
        <w:spacing w:after="0" w:line="258" w:lineRule="exact"/>
        <w:rPr>
          <w:sz w:val="21"/>
        </w:rPr>
        <w:sectPr>
          <w:pgSz w:w="11910" w:h="16840"/>
          <w:pgMar w:header="0" w:footer="773" w:top="1160" w:bottom="960" w:left="720" w:right="14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802"/>
        <w:gridCol w:w="6823"/>
      </w:tblGrid>
      <w:tr>
        <w:trPr>
          <w:trHeight w:val="1955" w:hRule="atLeast"/>
        </w:trPr>
        <w:tc>
          <w:tcPr>
            <w:tcW w:w="910" w:type="dxa"/>
          </w:tcPr>
          <w:p>
            <w:pPr>
              <w:pStyle w:val="TableParagraph"/>
              <w:spacing w:line="230" w:lineRule="exact" w:before="0"/>
              <w:ind w:left="200"/>
              <w:rPr>
                <w:rFonts w:ascii="Times New Roman"/>
                <w:sz w:val="21"/>
              </w:rPr>
            </w:pPr>
            <w:r>
              <w:rPr>
                <w:rFonts w:ascii="Times New Roman"/>
                <w:sz w:val="21"/>
              </w:rPr>
              <w:t>6.8</w:t>
            </w:r>
          </w:p>
        </w:tc>
        <w:tc>
          <w:tcPr>
            <w:tcW w:w="1802" w:type="dxa"/>
          </w:tcPr>
          <w:p>
            <w:pPr>
              <w:pStyle w:val="TableParagraph"/>
              <w:spacing w:line="217" w:lineRule="exact" w:before="0"/>
              <w:ind w:left="341"/>
              <w:rPr>
                <w:b/>
                <w:sz w:val="21"/>
              </w:rPr>
            </w:pPr>
            <w:r>
              <w:rPr>
                <w:b/>
                <w:sz w:val="21"/>
              </w:rPr>
              <w:t>急性或亚急性</w:t>
            </w:r>
          </w:p>
          <w:p>
            <w:pPr>
              <w:pStyle w:val="TableParagraph"/>
              <w:spacing w:before="37"/>
              <w:ind w:left="341"/>
              <w:rPr>
                <w:b/>
                <w:sz w:val="21"/>
              </w:rPr>
            </w:pPr>
            <w:r>
              <w:rPr>
                <w:b/>
                <w:sz w:val="21"/>
              </w:rPr>
              <w:t>重症肝炎</w:t>
            </w:r>
          </w:p>
        </w:tc>
        <w:tc>
          <w:tcPr>
            <w:tcW w:w="6823" w:type="dxa"/>
          </w:tcPr>
          <w:p>
            <w:pPr>
              <w:pStyle w:val="TableParagraph"/>
              <w:spacing w:line="217" w:lineRule="exact" w:before="0"/>
              <w:rPr>
                <w:sz w:val="21"/>
              </w:rPr>
            </w:pPr>
            <w:r>
              <w:rPr>
                <w:sz w:val="21"/>
              </w:rPr>
              <w:t>指因肝炎病毒感染引起肝脏组织弥漫性坏死，导致急性肝功能衰竭，</w:t>
            </w:r>
          </w:p>
          <w:p>
            <w:pPr>
              <w:pStyle w:val="TableParagraph"/>
              <w:spacing w:before="37"/>
              <w:rPr>
                <w:sz w:val="21"/>
              </w:rPr>
            </w:pPr>
            <w:r>
              <w:rPr>
                <w:sz w:val="21"/>
              </w:rPr>
              <w:t>且经血清学或病毒学检查证实，并须满足下列全部条件：</w:t>
            </w:r>
          </w:p>
          <w:p>
            <w:pPr>
              <w:pStyle w:val="TableParagraph"/>
              <w:spacing w:before="36"/>
              <w:rPr>
                <w:sz w:val="21"/>
              </w:rPr>
            </w:pPr>
            <w:r>
              <w:rPr>
                <w:sz w:val="21"/>
              </w:rPr>
              <w:t>（</w:t>
            </w:r>
            <w:r>
              <w:rPr>
                <w:rFonts w:ascii="Times New Roman" w:eastAsia="Times New Roman"/>
                <w:sz w:val="21"/>
              </w:rPr>
              <w:t>1</w:t>
            </w:r>
            <w:r>
              <w:rPr>
                <w:sz w:val="21"/>
              </w:rPr>
              <w:t>）重度黄疸或黄疸迅速加重；</w:t>
            </w:r>
          </w:p>
          <w:p>
            <w:pPr>
              <w:pStyle w:val="TableParagraph"/>
              <w:spacing w:before="20"/>
              <w:rPr>
                <w:sz w:val="21"/>
              </w:rPr>
            </w:pPr>
            <w:r>
              <w:rPr>
                <w:sz w:val="21"/>
              </w:rPr>
              <w:t>（</w:t>
            </w:r>
            <w:r>
              <w:rPr>
                <w:rFonts w:ascii="Times New Roman" w:eastAsia="Times New Roman"/>
                <w:sz w:val="21"/>
              </w:rPr>
              <w:t>2</w:t>
            </w:r>
            <w:r>
              <w:rPr>
                <w:sz w:val="21"/>
              </w:rPr>
              <w:t>）肝性脑病；</w:t>
            </w:r>
          </w:p>
          <w:p>
            <w:pPr>
              <w:pStyle w:val="TableParagraph"/>
              <w:spacing w:before="2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0"/>
              <w:rPr>
                <w:sz w:val="21"/>
              </w:rPr>
            </w:pPr>
            <w:r>
              <w:rPr>
                <w:sz w:val="21"/>
              </w:rPr>
              <w:t>（</w:t>
            </w:r>
            <w:r>
              <w:rPr>
                <w:rFonts w:ascii="Times New Roman" w:eastAsia="Times New Roman"/>
                <w:sz w:val="21"/>
              </w:rPr>
              <w:t>4</w:t>
            </w:r>
            <w:r>
              <w:rPr>
                <w:sz w:val="21"/>
              </w:rPr>
              <w:t>）肝功能指标进行性恶化。</w:t>
            </w:r>
          </w:p>
        </w:tc>
      </w:tr>
      <w:tr>
        <w:trPr>
          <w:trHeight w:val="2419" w:hRule="atLeast"/>
        </w:trPr>
        <w:tc>
          <w:tcPr>
            <w:tcW w:w="910" w:type="dxa"/>
          </w:tcPr>
          <w:p>
            <w:pPr>
              <w:pStyle w:val="TableParagraph"/>
              <w:spacing w:before="148"/>
              <w:ind w:left="200"/>
              <w:rPr>
                <w:rFonts w:ascii="Times New Roman"/>
                <w:sz w:val="21"/>
              </w:rPr>
            </w:pPr>
            <w:r>
              <w:rPr>
                <w:rFonts w:ascii="Times New Roman"/>
                <w:sz w:val="21"/>
              </w:rPr>
              <w:t>6.9</w:t>
            </w:r>
          </w:p>
        </w:tc>
        <w:tc>
          <w:tcPr>
            <w:tcW w:w="1802" w:type="dxa"/>
          </w:tcPr>
          <w:p>
            <w:pPr>
              <w:pStyle w:val="TableParagraph"/>
              <w:spacing w:before="101"/>
              <w:ind w:left="341"/>
              <w:rPr>
                <w:b/>
                <w:sz w:val="21"/>
              </w:rPr>
            </w:pPr>
            <w:r>
              <w:rPr>
                <w:b/>
                <w:sz w:val="21"/>
              </w:rPr>
              <w:t>良性脑肿瘤</w:t>
            </w:r>
          </w:p>
        </w:tc>
        <w:tc>
          <w:tcPr>
            <w:tcW w:w="6823" w:type="dxa"/>
          </w:tcPr>
          <w:p>
            <w:pPr>
              <w:pStyle w:val="TableParagraph"/>
              <w:spacing w:line="273" w:lineRule="auto" w:before="101"/>
              <w:ind w:right="199"/>
              <w:rPr>
                <w:sz w:val="21"/>
              </w:rPr>
            </w:pPr>
            <w:r>
              <w:rPr>
                <w:sz w:val="21"/>
              </w:rPr>
              <w:t>指脑的良性肿瘤，已经引起颅内压增高，临床表现为视神经乳头水肿、精神症状、癫痫及运动感觉障碍等，并危及生命。须由头颅断层扫描</w:t>
            </w:r>
          </w:p>
          <w:p>
            <w:pPr>
              <w:pStyle w:val="TableParagraph"/>
              <w:spacing w:line="256" w:lineRule="auto" w:before="8"/>
              <w:ind w:right="302"/>
              <w:rPr>
                <w:sz w:val="21"/>
              </w:rPr>
            </w:pPr>
            <w:r>
              <w:rPr>
                <w:w w:val="100"/>
                <w:sz w:val="21"/>
              </w:rPr>
              <w:t>（</w:t>
            </w:r>
            <w:r>
              <w:rPr>
                <w:rFonts w:ascii="Times New Roman" w:eastAsia="Times New Roman"/>
                <w:w w:val="100"/>
                <w:sz w:val="21"/>
              </w:rPr>
              <w:t>CT</w:t>
            </w:r>
            <w:r>
              <w:rPr>
                <w:spacing w:val="-108"/>
                <w:w w:val="100"/>
                <w:sz w:val="21"/>
              </w:rPr>
              <w:t>）</w:t>
            </w:r>
            <w:r>
              <w:rPr>
                <w:spacing w:val="-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或正电子发射断层扫描（</w:t>
            </w:r>
            <w:r>
              <w:rPr>
                <w:rFonts w:ascii="Times New Roman" w:eastAsia="Times New Roman"/>
                <w:w w:val="100"/>
                <w:sz w:val="21"/>
              </w:rPr>
              <w:t>PE</w:t>
            </w:r>
            <w:r>
              <w:rPr>
                <w:rFonts w:ascii="Times New Roman" w:eastAsia="Times New Roman"/>
                <w:w w:val="100"/>
                <w:sz w:val="21"/>
              </w:rPr>
              <w:t>T</w:t>
            </w:r>
            <w:r>
              <w:rPr>
                <w:spacing w:val="-3"/>
                <w:w w:val="100"/>
                <w:sz w:val="21"/>
              </w:rPr>
              <w:t>）</w:t>
            </w:r>
            <w:r>
              <w:rPr>
                <w:w w:val="100"/>
                <w:sz w:val="21"/>
              </w:rPr>
              <w:t>等影像</w:t>
            </w:r>
            <w:r>
              <w:rPr>
                <w:spacing w:val="-3"/>
                <w:sz w:val="21"/>
              </w:rPr>
              <w:t>学检查证实，并须满足下列至少一项条件：</w:t>
            </w:r>
          </w:p>
          <w:p>
            <w:pPr>
              <w:pStyle w:val="TableParagraph"/>
              <w:spacing w:before="2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rPr>
                <w:sz w:val="21"/>
              </w:rPr>
            </w:pPr>
            <w:r>
              <w:rPr>
                <w:sz w:val="21"/>
              </w:rPr>
              <w:t>脑垂体瘤、脑囊肿、脑血管性疾病不在保障范围内。</w:t>
            </w:r>
          </w:p>
        </w:tc>
      </w:tr>
      <w:tr>
        <w:trPr>
          <w:trHeight w:val="2113" w:hRule="atLeast"/>
        </w:trPr>
        <w:tc>
          <w:tcPr>
            <w:tcW w:w="910" w:type="dxa"/>
          </w:tcPr>
          <w:p>
            <w:pPr>
              <w:pStyle w:val="TableParagraph"/>
              <w:spacing w:before="155"/>
              <w:ind w:left="200"/>
              <w:rPr>
                <w:rFonts w:ascii="Times New Roman"/>
                <w:sz w:val="21"/>
              </w:rPr>
            </w:pPr>
            <w:r>
              <w:rPr>
                <w:rFonts w:ascii="Times New Roman"/>
                <w:sz w:val="21"/>
              </w:rPr>
              <w:t>6.10</w:t>
            </w:r>
          </w:p>
        </w:tc>
        <w:tc>
          <w:tcPr>
            <w:tcW w:w="1802" w:type="dxa"/>
          </w:tcPr>
          <w:p>
            <w:pPr>
              <w:pStyle w:val="TableParagraph"/>
              <w:spacing w:line="273" w:lineRule="auto" w:before="109"/>
              <w:ind w:left="341" w:right="105"/>
              <w:rPr>
                <w:b/>
                <w:sz w:val="21"/>
              </w:rPr>
            </w:pPr>
            <w:r>
              <w:rPr>
                <w:b/>
                <w:sz w:val="21"/>
              </w:rPr>
              <w:t>慢性肝功能衰竭失代偿期</w:t>
            </w:r>
          </w:p>
        </w:tc>
        <w:tc>
          <w:tcPr>
            <w:tcW w:w="6823" w:type="dxa"/>
          </w:tcPr>
          <w:p>
            <w:pPr>
              <w:pStyle w:val="TableParagraph"/>
              <w:spacing w:before="109"/>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1562"/>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2460" w:hRule="atLeast"/>
        </w:trPr>
        <w:tc>
          <w:tcPr>
            <w:tcW w:w="910" w:type="dxa"/>
          </w:tcPr>
          <w:p>
            <w:pPr>
              <w:pStyle w:val="TableParagraph"/>
              <w:spacing w:before="154"/>
              <w:ind w:left="200"/>
              <w:rPr>
                <w:rFonts w:ascii="Times New Roman"/>
                <w:sz w:val="21"/>
              </w:rPr>
            </w:pPr>
            <w:r>
              <w:rPr>
                <w:rFonts w:ascii="Times New Roman"/>
                <w:sz w:val="21"/>
              </w:rPr>
              <w:t>6.11</w:t>
            </w:r>
          </w:p>
        </w:tc>
        <w:tc>
          <w:tcPr>
            <w:tcW w:w="1802" w:type="dxa"/>
          </w:tcPr>
          <w:p>
            <w:pPr>
              <w:pStyle w:val="TableParagraph"/>
              <w:spacing w:line="273" w:lineRule="auto" w:before="107"/>
              <w:ind w:left="341" w:right="105"/>
              <w:rPr>
                <w:b/>
                <w:sz w:val="21"/>
              </w:rPr>
            </w:pPr>
            <w:r>
              <w:rPr>
                <w:b/>
                <w:sz w:val="21"/>
              </w:rPr>
              <w:t>脑炎后遗症或脑膜炎后遗症</w:t>
            </w:r>
          </w:p>
        </w:tc>
        <w:tc>
          <w:tcPr>
            <w:tcW w:w="6823" w:type="dxa"/>
          </w:tcPr>
          <w:p>
            <w:pPr>
              <w:pStyle w:val="TableParagraph"/>
              <w:spacing w:line="264" w:lineRule="auto" w:before="107"/>
              <w:ind w:right="302"/>
              <w:jc w:val="both"/>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1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30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25" w:hRule="atLeast"/>
        </w:trPr>
        <w:tc>
          <w:tcPr>
            <w:tcW w:w="910" w:type="dxa"/>
          </w:tcPr>
          <w:p>
            <w:pPr>
              <w:pStyle w:val="TableParagraph"/>
              <w:spacing w:before="190"/>
              <w:ind w:left="200"/>
              <w:rPr>
                <w:rFonts w:ascii="Times New Roman"/>
                <w:sz w:val="21"/>
              </w:rPr>
            </w:pPr>
            <w:r>
              <w:rPr>
                <w:rFonts w:ascii="Times New Roman"/>
                <w:sz w:val="21"/>
              </w:rPr>
              <w:t>6.12</w:t>
            </w:r>
          </w:p>
        </w:tc>
        <w:tc>
          <w:tcPr>
            <w:tcW w:w="1802" w:type="dxa"/>
          </w:tcPr>
          <w:p>
            <w:pPr>
              <w:pStyle w:val="TableParagraph"/>
              <w:spacing w:before="143"/>
              <w:ind w:left="341"/>
              <w:rPr>
                <w:b/>
                <w:sz w:val="21"/>
              </w:rPr>
            </w:pPr>
            <w:r>
              <w:rPr>
                <w:b/>
                <w:sz w:val="21"/>
              </w:rPr>
              <w:t>深度昏迷</w:t>
            </w:r>
          </w:p>
        </w:tc>
        <w:tc>
          <w:tcPr>
            <w:tcW w:w="6823" w:type="dxa"/>
          </w:tcPr>
          <w:p>
            <w:pPr>
              <w:pStyle w:val="TableParagraph"/>
              <w:spacing w:line="273" w:lineRule="auto" w:before="143"/>
              <w:ind w:right="197"/>
              <w:rPr>
                <w:rFonts w:ascii="Times New Roman" w:eastAsia="Times New Roman"/>
                <w:sz w:val="21"/>
              </w:rPr>
            </w:pPr>
            <w:r>
              <w:rPr>
                <w:spacing w:val="-3"/>
                <w:sz w:val="21"/>
              </w:rPr>
              <w:t>指因疾病或意外伤害导致意识丧失，对外界刺激和体内需求均无反应， </w:t>
            </w:r>
            <w:r>
              <w:rPr>
                <w:spacing w:val="-7"/>
                <w:sz w:val="21"/>
              </w:rPr>
              <w:t>昏迷程度按照格拉斯哥昏迷分级</w:t>
            </w:r>
            <w:r>
              <w:rPr>
                <w:sz w:val="21"/>
              </w:rPr>
              <w:t>（</w:t>
            </w:r>
            <w:r>
              <w:rPr>
                <w:rFonts w:ascii="Times New Roman" w:eastAsia="Times New Roman"/>
                <w:sz w:val="21"/>
              </w:rPr>
              <w:t>Glasgow coma </w:t>
            </w:r>
            <w:r>
              <w:rPr>
                <w:rFonts w:ascii="Times New Roman" w:eastAsia="Times New Roman"/>
                <w:spacing w:val="-9"/>
                <w:sz w:val="21"/>
              </w:rPr>
              <w:t>scale</w:t>
            </w:r>
            <w:r>
              <w:rPr>
                <w:spacing w:val="-9"/>
                <w:sz w:val="21"/>
              </w:rPr>
              <w:t>）</w:t>
            </w:r>
            <w:r>
              <w:rPr>
                <w:spacing w:val="-14"/>
                <w:sz w:val="21"/>
              </w:rPr>
              <w:t>结果为 </w:t>
            </w:r>
            <w:r>
              <w:rPr>
                <w:rFonts w:ascii="Times New Roman" w:eastAsia="Times New Roman"/>
                <w:sz w:val="21"/>
              </w:rPr>
              <w:t>5 </w:t>
            </w:r>
            <w:r>
              <w:rPr>
                <w:spacing w:val="-17"/>
                <w:sz w:val="21"/>
              </w:rPr>
              <w:t>分或 </w:t>
            </w:r>
            <w:r>
              <w:rPr>
                <w:rFonts w:ascii="Times New Roman" w:eastAsia="Times New Roman"/>
                <w:sz w:val="21"/>
              </w:rPr>
              <w:t>5</w:t>
            </w:r>
          </w:p>
          <w:p>
            <w:pPr>
              <w:pStyle w:val="TableParagraph"/>
              <w:spacing w:line="259" w:lineRule="auto" w:before="0"/>
              <w:ind w:right="448"/>
              <w:rPr>
                <w:sz w:val="21"/>
              </w:rPr>
            </w:pPr>
            <w:r>
              <w:rPr>
                <w:sz w:val="21"/>
              </w:rPr>
              <w:t>分以下，且已经持续使用呼吸机及其它生命维持系统 </w:t>
            </w:r>
            <w:r>
              <w:rPr>
                <w:rFonts w:ascii="Times New Roman" w:eastAsia="Times New Roman"/>
                <w:sz w:val="21"/>
              </w:rPr>
              <w:t>96 </w:t>
            </w:r>
            <w:r>
              <w:rPr>
                <w:sz w:val="21"/>
              </w:rPr>
              <w:t>小时以上。因酗酒或药物滥用导致的深度昏迷不在保障范围内。</w:t>
            </w:r>
          </w:p>
        </w:tc>
      </w:tr>
      <w:tr>
        <w:trPr>
          <w:trHeight w:val="1178" w:hRule="atLeast"/>
        </w:trPr>
        <w:tc>
          <w:tcPr>
            <w:tcW w:w="910" w:type="dxa"/>
          </w:tcPr>
          <w:p>
            <w:pPr>
              <w:pStyle w:val="TableParagraph"/>
              <w:spacing w:before="155"/>
              <w:ind w:left="200"/>
              <w:rPr>
                <w:rFonts w:ascii="Times New Roman"/>
                <w:sz w:val="21"/>
              </w:rPr>
            </w:pPr>
            <w:r>
              <w:rPr>
                <w:rFonts w:ascii="Times New Roman"/>
                <w:sz w:val="21"/>
              </w:rPr>
              <w:t>6.13</w:t>
            </w:r>
          </w:p>
        </w:tc>
        <w:tc>
          <w:tcPr>
            <w:tcW w:w="1802" w:type="dxa"/>
          </w:tcPr>
          <w:p>
            <w:pPr>
              <w:pStyle w:val="TableParagraph"/>
              <w:spacing w:before="109"/>
              <w:ind w:left="341"/>
              <w:rPr>
                <w:b/>
                <w:sz w:val="21"/>
              </w:rPr>
            </w:pPr>
            <w:r>
              <w:rPr>
                <w:b/>
                <w:sz w:val="21"/>
              </w:rPr>
              <w:t>双耳失聪</w:t>
            </w:r>
          </w:p>
        </w:tc>
        <w:tc>
          <w:tcPr>
            <w:tcW w:w="6823" w:type="dxa"/>
          </w:tcPr>
          <w:p>
            <w:pPr>
              <w:pStyle w:val="TableParagraph"/>
              <w:spacing w:before="109"/>
              <w:rPr>
                <w:sz w:val="21"/>
              </w:rPr>
            </w:pPr>
            <w:r>
              <w:rPr>
                <w:sz w:val="21"/>
              </w:rPr>
              <w:t>指因疾病或意外伤害导致双耳听力永久不可逆性丧失，在 </w:t>
            </w:r>
            <w:r>
              <w:rPr>
                <w:rFonts w:ascii="Times New Roman" w:eastAsia="Times New Roman"/>
                <w:sz w:val="21"/>
              </w:rPr>
              <w:t>500  </w:t>
            </w:r>
            <w:r>
              <w:rPr>
                <w:sz w:val="21"/>
              </w:rPr>
              <w:t>赫兹、</w:t>
            </w:r>
          </w:p>
          <w:p>
            <w:pPr>
              <w:pStyle w:val="TableParagraph"/>
              <w:spacing w:line="256" w:lineRule="auto" w:before="21"/>
              <w:ind w:right="239"/>
              <w:rPr>
                <w:sz w:val="21"/>
              </w:rPr>
            </w:pP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tc>
      </w:tr>
      <w:tr>
        <w:trPr>
          <w:trHeight w:val="2121" w:hRule="atLeast"/>
        </w:trPr>
        <w:tc>
          <w:tcPr>
            <w:tcW w:w="910" w:type="dxa"/>
          </w:tcPr>
          <w:p>
            <w:pPr>
              <w:pStyle w:val="TableParagraph"/>
              <w:spacing w:before="155"/>
              <w:ind w:left="200"/>
              <w:rPr>
                <w:rFonts w:ascii="Times New Roman"/>
                <w:sz w:val="21"/>
              </w:rPr>
            </w:pPr>
            <w:r>
              <w:rPr>
                <w:rFonts w:ascii="Times New Roman"/>
                <w:sz w:val="21"/>
              </w:rPr>
              <w:t>6.14</w:t>
            </w:r>
          </w:p>
        </w:tc>
        <w:tc>
          <w:tcPr>
            <w:tcW w:w="1802" w:type="dxa"/>
          </w:tcPr>
          <w:p>
            <w:pPr>
              <w:pStyle w:val="TableParagraph"/>
              <w:spacing w:before="109"/>
              <w:ind w:left="341"/>
              <w:rPr>
                <w:b/>
                <w:sz w:val="21"/>
              </w:rPr>
            </w:pPr>
            <w:r>
              <w:rPr>
                <w:b/>
                <w:sz w:val="21"/>
              </w:rPr>
              <w:t>双目失明</w:t>
            </w:r>
          </w:p>
        </w:tc>
        <w:tc>
          <w:tcPr>
            <w:tcW w:w="6823" w:type="dxa"/>
          </w:tcPr>
          <w:p>
            <w:pPr>
              <w:pStyle w:val="TableParagraph"/>
              <w:spacing w:line="273" w:lineRule="auto" w:before="109"/>
              <w:ind w:right="303"/>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304"/>
              <w:rPr>
                <w:sz w:val="21"/>
              </w:rPr>
            </w:pPr>
            <w:r>
              <w:rPr>
                <w:sz w:val="21"/>
              </w:rPr>
              <w:t>（</w:t>
            </w:r>
            <w:r>
              <w:rPr>
                <w:rFonts w:ascii="Times New Roman" w:eastAsia="Times New Roman"/>
                <w:sz w:val="21"/>
              </w:rPr>
              <w:t>2</w:t>
            </w:r>
            <w:r>
              <w:rPr>
                <w:sz w:val="21"/>
              </w:rPr>
              <w:t>）</w:t>
            </w:r>
            <w:r>
              <w:rPr>
                <w:spacing w:val="-8"/>
                <w:sz w:val="21"/>
              </w:rPr>
              <w:t>矫正视力低于 </w:t>
            </w:r>
            <w:r>
              <w:rPr>
                <w:rFonts w:ascii="Times New Roman" w:eastAsia="Times New Roman"/>
                <w:sz w:val="21"/>
              </w:rPr>
              <w:t>0.02</w:t>
            </w:r>
            <w:r>
              <w:rPr>
                <w:sz w:val="21"/>
              </w:rPr>
              <w:t>（</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706" w:hRule="atLeast"/>
        </w:trPr>
        <w:tc>
          <w:tcPr>
            <w:tcW w:w="910" w:type="dxa"/>
          </w:tcPr>
          <w:p>
            <w:pPr>
              <w:pStyle w:val="TableParagraph"/>
              <w:spacing w:before="146"/>
              <w:ind w:left="200"/>
              <w:rPr>
                <w:rFonts w:ascii="Times New Roman"/>
                <w:sz w:val="21"/>
              </w:rPr>
            </w:pPr>
            <w:r>
              <w:rPr>
                <w:rFonts w:ascii="Times New Roman"/>
                <w:sz w:val="21"/>
              </w:rPr>
              <w:t>6.15</w:t>
            </w:r>
          </w:p>
        </w:tc>
        <w:tc>
          <w:tcPr>
            <w:tcW w:w="1802" w:type="dxa"/>
          </w:tcPr>
          <w:p>
            <w:pPr>
              <w:pStyle w:val="TableParagraph"/>
              <w:spacing w:before="99"/>
              <w:ind w:left="341"/>
              <w:rPr>
                <w:b/>
                <w:sz w:val="21"/>
              </w:rPr>
            </w:pPr>
            <w:r>
              <w:rPr>
                <w:b/>
                <w:sz w:val="21"/>
              </w:rPr>
              <w:t>瘫痪</w:t>
            </w:r>
          </w:p>
        </w:tc>
        <w:tc>
          <w:tcPr>
            <w:tcW w:w="6823" w:type="dxa"/>
          </w:tcPr>
          <w:p>
            <w:pPr>
              <w:pStyle w:val="TableParagraph"/>
              <w:spacing w:line="320" w:lineRule="atLeast" w:before="54"/>
              <w:ind w:right="197"/>
              <w:rPr>
                <w:sz w:val="21"/>
              </w:rPr>
            </w:pPr>
            <w:r>
              <w:rPr>
                <w:sz w:val="21"/>
              </w:rPr>
              <w:t>指因疾病或意外伤害导致两肢或两肢以上肢体机能永久完全丧失。肢 </w:t>
            </w:r>
            <w:r>
              <w:rPr>
                <w:spacing w:val="-6"/>
                <w:sz w:val="21"/>
              </w:rPr>
              <w:t>体机能永久完全丧失，指疾病确诊 </w:t>
            </w:r>
            <w:r>
              <w:rPr>
                <w:rFonts w:ascii="Times New Roman" w:eastAsia="Times New Roman"/>
                <w:sz w:val="21"/>
              </w:rPr>
              <w:t>180</w:t>
            </w:r>
            <w:r>
              <w:rPr>
                <w:rFonts w:ascii="Times New Roman" w:eastAsia="Times New Roman"/>
                <w:spacing w:val="6"/>
                <w:sz w:val="21"/>
              </w:rPr>
              <w:t> </w:t>
            </w:r>
            <w:r>
              <w:rPr>
                <w:spacing w:val="-8"/>
                <w:sz w:val="21"/>
              </w:rPr>
              <w:t>天后或意外伤害发生 </w:t>
            </w:r>
            <w:r>
              <w:rPr>
                <w:rFonts w:ascii="Times New Roman" w:eastAsia="Times New Roman"/>
                <w:sz w:val="21"/>
              </w:rPr>
              <w:t>180</w:t>
            </w:r>
            <w:r>
              <w:rPr>
                <w:rFonts w:ascii="Times New Roman" w:eastAsia="Times New Roman"/>
                <w:spacing w:val="6"/>
                <w:sz w:val="21"/>
              </w:rPr>
              <w:t> </w:t>
            </w:r>
            <w:r>
              <w:rPr>
                <w:spacing w:val="-2"/>
                <w:sz w:val="21"/>
              </w:rPr>
              <w:t>天后，</w:t>
            </w:r>
          </w:p>
        </w:tc>
      </w:tr>
    </w:tbl>
    <w:p>
      <w:pPr>
        <w:spacing w:after="0" w:line="320" w:lineRule="atLeast"/>
        <w:rPr>
          <w:sz w:val="21"/>
        </w:rPr>
        <w:sectPr>
          <w:pgSz w:w="11910" w:h="16840"/>
          <w:pgMar w:header="0" w:footer="773" w:top="1160" w:bottom="960" w:left="128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1802"/>
        <w:gridCol w:w="6824"/>
      </w:tblGrid>
      <w:tr>
        <w:trPr>
          <w:trHeight w:val="378" w:hRule="atLeast"/>
        </w:trPr>
        <w:tc>
          <w:tcPr>
            <w:tcW w:w="909" w:type="dxa"/>
          </w:tcPr>
          <w:p>
            <w:pPr>
              <w:pStyle w:val="TableParagraph"/>
              <w:spacing w:before="0"/>
              <w:ind w:left="0"/>
              <w:rPr>
                <w:rFonts w:ascii="Times New Roman"/>
                <w:sz w:val="20"/>
              </w:rPr>
            </w:pPr>
          </w:p>
        </w:tc>
        <w:tc>
          <w:tcPr>
            <w:tcW w:w="1802" w:type="dxa"/>
          </w:tcPr>
          <w:p>
            <w:pPr>
              <w:pStyle w:val="TableParagraph"/>
              <w:spacing w:before="0"/>
              <w:ind w:left="0"/>
              <w:rPr>
                <w:rFonts w:ascii="Times New Roman"/>
                <w:sz w:val="20"/>
              </w:rPr>
            </w:pPr>
          </w:p>
        </w:tc>
        <w:tc>
          <w:tcPr>
            <w:tcW w:w="6824" w:type="dxa"/>
          </w:tcPr>
          <w:p>
            <w:pPr>
              <w:pStyle w:val="TableParagraph"/>
              <w:spacing w:line="211" w:lineRule="exact" w:before="0"/>
              <w:ind w:left="110"/>
              <w:rPr>
                <w:sz w:val="21"/>
              </w:rPr>
            </w:pPr>
            <w:r>
              <w:rPr>
                <w:sz w:val="21"/>
              </w:rPr>
              <w:t>每肢三大关节中的两大关节仍然完全僵硬，或不能随意识活动。</w:t>
            </w:r>
          </w:p>
        </w:tc>
      </w:tr>
      <w:tr>
        <w:trPr>
          <w:trHeight w:val="866" w:hRule="atLeast"/>
        </w:trPr>
        <w:tc>
          <w:tcPr>
            <w:tcW w:w="909" w:type="dxa"/>
          </w:tcPr>
          <w:p>
            <w:pPr>
              <w:pStyle w:val="TableParagraph"/>
              <w:spacing w:before="159"/>
              <w:ind w:left="200"/>
              <w:rPr>
                <w:rFonts w:ascii="Times New Roman"/>
                <w:sz w:val="21"/>
              </w:rPr>
            </w:pPr>
            <w:r>
              <w:rPr>
                <w:rFonts w:ascii="Times New Roman"/>
                <w:sz w:val="21"/>
              </w:rPr>
              <w:t>6.16</w:t>
            </w:r>
          </w:p>
        </w:tc>
        <w:tc>
          <w:tcPr>
            <w:tcW w:w="1802" w:type="dxa"/>
          </w:tcPr>
          <w:p>
            <w:pPr>
              <w:pStyle w:val="TableParagraph"/>
              <w:spacing w:before="112"/>
              <w:ind w:left="340"/>
              <w:rPr>
                <w:b/>
                <w:sz w:val="21"/>
              </w:rPr>
            </w:pPr>
            <w:r>
              <w:rPr>
                <w:b/>
                <w:sz w:val="21"/>
              </w:rPr>
              <w:t>心脏瓣膜手术</w:t>
            </w:r>
          </w:p>
        </w:tc>
        <w:tc>
          <w:tcPr>
            <w:tcW w:w="6824" w:type="dxa"/>
          </w:tcPr>
          <w:p>
            <w:pPr>
              <w:pStyle w:val="TableParagraph"/>
              <w:spacing w:line="273" w:lineRule="auto" w:before="112"/>
              <w:ind w:left="110" w:right="303"/>
              <w:rPr>
                <w:sz w:val="21"/>
              </w:rPr>
            </w:pPr>
            <w:r>
              <w:rPr>
                <w:sz w:val="21"/>
              </w:rPr>
              <w:t>指为治疗心脏瓣膜疾病，实际实施了开胸进行的心脏瓣膜置换或修复的手术。</w:t>
            </w:r>
          </w:p>
        </w:tc>
      </w:tr>
      <w:tr>
        <w:trPr>
          <w:trHeight w:val="2113" w:hRule="atLeast"/>
        </w:trPr>
        <w:tc>
          <w:tcPr>
            <w:tcW w:w="909" w:type="dxa"/>
          </w:tcPr>
          <w:p>
            <w:pPr>
              <w:pStyle w:val="TableParagraph"/>
              <w:spacing w:before="159"/>
              <w:ind w:left="200"/>
              <w:rPr>
                <w:rFonts w:ascii="Times New Roman"/>
                <w:sz w:val="21"/>
              </w:rPr>
            </w:pPr>
            <w:r>
              <w:rPr>
                <w:rFonts w:ascii="Times New Roman"/>
                <w:sz w:val="21"/>
              </w:rPr>
              <w:t>6.17</w:t>
            </w:r>
          </w:p>
        </w:tc>
        <w:tc>
          <w:tcPr>
            <w:tcW w:w="1802" w:type="dxa"/>
          </w:tcPr>
          <w:p>
            <w:pPr>
              <w:pStyle w:val="TableParagraph"/>
              <w:spacing w:line="273" w:lineRule="auto" w:before="112"/>
              <w:ind w:left="340" w:right="106"/>
              <w:rPr>
                <w:b/>
                <w:sz w:val="21"/>
              </w:rPr>
            </w:pPr>
            <w:r>
              <w:rPr>
                <w:b/>
                <w:sz w:val="21"/>
              </w:rPr>
              <w:t>严重阿尔茨海默病</w:t>
            </w:r>
          </w:p>
        </w:tc>
        <w:tc>
          <w:tcPr>
            <w:tcW w:w="6824" w:type="dxa"/>
          </w:tcPr>
          <w:p>
            <w:pPr>
              <w:pStyle w:val="TableParagraph"/>
              <w:spacing w:line="266" w:lineRule="auto" w:before="112"/>
              <w:ind w:left="110" w:right="268"/>
              <w:rPr>
                <w:sz w:val="21"/>
              </w:rPr>
            </w:pPr>
            <w:r>
              <w:rPr>
                <w:sz w:val="21"/>
              </w:rPr>
              <w:t>指因大脑进行性、不可逆性改变导致智能严重衰退或丧失，临床表现为明显的认知能力障碍、行为异常和社交能力减退，其日常生活必须</w:t>
            </w:r>
            <w:r>
              <w:rPr>
                <w:spacing w:val="-3"/>
                <w:w w:val="100"/>
                <w:sz w:val="21"/>
              </w:rPr>
              <w:t>持续受到他人监护。须由头颅断层扫描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5"/>
                <w:sz w:val="21"/>
              </w:rPr>
              <w:t>或正电子发射断层扫描（</w:t>
            </w:r>
            <w:r>
              <w:rPr>
                <w:rFonts w:ascii="Times New Roman" w:eastAsia="Times New Roman"/>
                <w:spacing w:val="-5"/>
                <w:sz w:val="21"/>
              </w:rPr>
              <w:t>PET</w:t>
            </w:r>
            <w:r>
              <w:rPr>
                <w:spacing w:val="-5"/>
                <w:sz w:val="21"/>
              </w:rPr>
              <w:t>）</w:t>
            </w:r>
            <w:r>
              <w:rPr>
                <w:spacing w:val="-6"/>
                <w:sz w:val="21"/>
              </w:rPr>
              <w:t>等影像学检查证实，且自主生活能力完</w:t>
            </w:r>
            <w:r>
              <w:rPr>
                <w:spacing w:val="-4"/>
                <w:sz w:val="21"/>
              </w:rPr>
              <w:t>全丧失，无法独立完成六项基本日常生活活动中的三项或三项以上。</w:t>
            </w:r>
            <w:r>
              <w:rPr>
                <w:spacing w:val="-3"/>
                <w:sz w:val="21"/>
              </w:rPr>
              <w:t>神经官能症和精神疾病不在保障范围内。</w:t>
            </w:r>
          </w:p>
        </w:tc>
      </w:tr>
      <w:tr>
        <w:trPr>
          <w:trHeight w:val="2737" w:hRule="atLeast"/>
        </w:trPr>
        <w:tc>
          <w:tcPr>
            <w:tcW w:w="909" w:type="dxa"/>
          </w:tcPr>
          <w:p>
            <w:pPr>
              <w:pStyle w:val="TableParagraph"/>
              <w:spacing w:before="158"/>
              <w:ind w:left="200"/>
              <w:rPr>
                <w:rFonts w:ascii="Times New Roman"/>
                <w:sz w:val="21"/>
              </w:rPr>
            </w:pPr>
            <w:r>
              <w:rPr>
                <w:rFonts w:ascii="Times New Roman"/>
                <w:sz w:val="21"/>
              </w:rPr>
              <w:t>6.18</w:t>
            </w:r>
          </w:p>
        </w:tc>
        <w:tc>
          <w:tcPr>
            <w:tcW w:w="1802" w:type="dxa"/>
          </w:tcPr>
          <w:p>
            <w:pPr>
              <w:pStyle w:val="TableParagraph"/>
              <w:spacing w:before="111"/>
              <w:ind w:left="340"/>
              <w:rPr>
                <w:b/>
                <w:sz w:val="21"/>
              </w:rPr>
            </w:pPr>
            <w:r>
              <w:rPr>
                <w:b/>
                <w:sz w:val="21"/>
              </w:rPr>
              <w:t>严重脑损伤</w:t>
            </w:r>
          </w:p>
        </w:tc>
        <w:tc>
          <w:tcPr>
            <w:tcW w:w="6824" w:type="dxa"/>
          </w:tcPr>
          <w:p>
            <w:pPr>
              <w:pStyle w:val="TableParagraph"/>
              <w:spacing w:line="261" w:lineRule="auto" w:before="111"/>
              <w:ind w:left="110" w:right="302"/>
              <w:jc w:val="both"/>
              <w:rPr>
                <w:sz w:val="21"/>
              </w:rPr>
            </w:pPr>
            <w:r>
              <w:rPr>
                <w:sz w:val="21"/>
              </w:rPr>
              <w:t>指因头部遭受机械性外力，引起脑重要部位损伤，导致神经系统永久</w:t>
            </w:r>
            <w:r>
              <w:rPr>
                <w:spacing w:val="-5"/>
                <w:w w:val="100"/>
                <w:sz w:val="21"/>
              </w:rPr>
              <w:t>性的功能障碍。须由头颅断层扫描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5"/>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8"/>
                <w:w w:val="100"/>
                <w:sz w:val="21"/>
              </w:rPr>
              <w:t>）</w:t>
            </w:r>
            <w:r>
              <w:rPr>
                <w:w w:val="100"/>
                <w:sz w:val="21"/>
              </w:rPr>
              <w:t>或正</w:t>
            </w:r>
            <w:r>
              <w:rPr>
                <w:spacing w:val="-6"/>
                <w:sz w:val="21"/>
              </w:rPr>
              <w:t>电子发射断层扫描（</w:t>
            </w:r>
            <w:r>
              <w:rPr>
                <w:rFonts w:ascii="Times New Roman" w:eastAsia="Times New Roman"/>
                <w:spacing w:val="-6"/>
                <w:sz w:val="21"/>
              </w:rPr>
              <w:t>PET</w:t>
            </w:r>
            <w:r>
              <w:rPr>
                <w:spacing w:val="-6"/>
                <w:sz w:val="21"/>
              </w:rPr>
              <w:t>）</w:t>
            </w:r>
            <w:r>
              <w:rPr>
                <w:spacing w:val="-5"/>
                <w:sz w:val="21"/>
              </w:rPr>
              <w:t>等影像学检查证实。神经系统永久性的功能</w:t>
            </w:r>
            <w:r>
              <w:rPr>
                <w:spacing w:val="-8"/>
                <w:sz w:val="21"/>
              </w:rPr>
              <w:t>障碍，指脑损伤 </w:t>
            </w:r>
            <w:r>
              <w:rPr>
                <w:rFonts w:ascii="Times New Roman" w:eastAsia="Times New Roman"/>
                <w:sz w:val="21"/>
              </w:rPr>
              <w:t>180 </w:t>
            </w:r>
            <w:r>
              <w:rPr>
                <w:spacing w:val="-3"/>
                <w:sz w:val="21"/>
              </w:rPr>
              <w:t>天后，仍遗留下列一种或一种以上障碍：</w:t>
            </w:r>
          </w:p>
          <w:p>
            <w:pPr>
              <w:pStyle w:val="TableParagraph"/>
              <w:spacing w:before="0"/>
              <w:ind w:left="11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1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10" w:right="30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114" w:hRule="atLeast"/>
        </w:trPr>
        <w:tc>
          <w:tcPr>
            <w:tcW w:w="909" w:type="dxa"/>
          </w:tcPr>
          <w:p>
            <w:pPr>
              <w:pStyle w:val="TableParagraph"/>
              <w:spacing w:before="159"/>
              <w:ind w:left="200"/>
              <w:rPr>
                <w:rFonts w:ascii="Times New Roman"/>
                <w:sz w:val="21"/>
              </w:rPr>
            </w:pPr>
            <w:r>
              <w:rPr>
                <w:rFonts w:ascii="Times New Roman"/>
                <w:sz w:val="21"/>
              </w:rPr>
              <w:t>6.19</w:t>
            </w:r>
          </w:p>
        </w:tc>
        <w:tc>
          <w:tcPr>
            <w:tcW w:w="1802" w:type="dxa"/>
          </w:tcPr>
          <w:p>
            <w:pPr>
              <w:pStyle w:val="TableParagraph"/>
              <w:spacing w:before="112"/>
              <w:ind w:left="340"/>
              <w:rPr>
                <w:b/>
                <w:sz w:val="21"/>
              </w:rPr>
            </w:pPr>
            <w:r>
              <w:rPr>
                <w:b/>
                <w:sz w:val="21"/>
              </w:rPr>
              <w:t>严重帕金森病</w:t>
            </w:r>
          </w:p>
        </w:tc>
        <w:tc>
          <w:tcPr>
            <w:tcW w:w="6824" w:type="dxa"/>
          </w:tcPr>
          <w:p>
            <w:pPr>
              <w:pStyle w:val="TableParagraph"/>
              <w:spacing w:line="273" w:lineRule="auto" w:before="112"/>
              <w:ind w:left="110" w:right="303"/>
              <w:rPr>
                <w:sz w:val="21"/>
              </w:rPr>
            </w:pPr>
            <w:r>
              <w:rPr>
                <w:sz w:val="21"/>
              </w:rPr>
              <w:t>是一种中枢神经系统的退行性疾病，临床表现为震颤麻痹、共济失调等。须满足下列全部条件：</w:t>
            </w:r>
          </w:p>
          <w:p>
            <w:pPr>
              <w:pStyle w:val="TableParagraph"/>
              <w:spacing w:before="8"/>
              <w:ind w:left="110"/>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110" w:right="304"/>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110"/>
              <w:rPr>
                <w:sz w:val="21"/>
              </w:rPr>
            </w:pPr>
            <w:r>
              <w:rPr>
                <w:sz w:val="21"/>
              </w:rPr>
              <w:t>继发性帕金森综合征不在保障范围内。</w:t>
            </w:r>
          </w:p>
        </w:tc>
      </w:tr>
      <w:tr>
        <w:trPr>
          <w:trHeight w:val="873" w:hRule="atLeast"/>
        </w:trPr>
        <w:tc>
          <w:tcPr>
            <w:tcW w:w="909" w:type="dxa"/>
          </w:tcPr>
          <w:p>
            <w:pPr>
              <w:pStyle w:val="TableParagraph"/>
              <w:spacing w:before="159"/>
              <w:ind w:left="200"/>
              <w:rPr>
                <w:rFonts w:ascii="Times New Roman"/>
                <w:sz w:val="21"/>
              </w:rPr>
            </w:pPr>
            <w:r>
              <w:rPr>
                <w:rFonts w:ascii="Times New Roman"/>
                <w:sz w:val="21"/>
              </w:rPr>
              <w:t>6.20</w:t>
            </w:r>
          </w:p>
        </w:tc>
        <w:tc>
          <w:tcPr>
            <w:tcW w:w="1802" w:type="dxa"/>
          </w:tcPr>
          <w:p>
            <w:pPr>
              <w:pStyle w:val="TableParagraph"/>
              <w:spacing w:before="112"/>
              <w:ind w:left="340"/>
              <w:rPr>
                <w:b/>
                <w:sz w:val="21"/>
              </w:rPr>
            </w:pPr>
            <w:r>
              <w:rPr>
                <w:b/>
                <w:sz w:val="21"/>
              </w:rPr>
              <w:t>严重Ⅲ度烧伤</w:t>
            </w:r>
          </w:p>
        </w:tc>
        <w:tc>
          <w:tcPr>
            <w:tcW w:w="6824" w:type="dxa"/>
          </w:tcPr>
          <w:p>
            <w:pPr>
              <w:pStyle w:val="TableParagraph"/>
              <w:spacing w:before="112"/>
              <w:ind w:left="110"/>
              <w:rPr>
                <w:sz w:val="21"/>
              </w:rPr>
            </w:pPr>
            <w:r>
              <w:rPr>
                <w:sz w:val="21"/>
              </w:rPr>
              <w:t>指烧伤程度为Ⅲ度，且Ⅲ度烧伤的面积达到全身体表面积的 </w:t>
            </w:r>
            <w:r>
              <w:rPr>
                <w:rFonts w:ascii="Times New Roman" w:hAnsi="Times New Roman" w:eastAsia="Times New Roman"/>
                <w:sz w:val="21"/>
              </w:rPr>
              <w:t>20</w:t>
            </w:r>
            <w:r>
              <w:rPr>
                <w:sz w:val="21"/>
              </w:rPr>
              <w:t>％ 或</w:t>
            </w:r>
          </w:p>
          <w:p>
            <w:pPr>
              <w:pStyle w:val="TableParagraph"/>
              <w:spacing w:before="21"/>
              <w:ind w:left="110"/>
              <w:rPr>
                <w:sz w:val="21"/>
              </w:rPr>
            </w:pPr>
            <w:r>
              <w:rPr>
                <w:rFonts w:ascii="Times New Roman" w:eastAsia="Times New Roman"/>
                <w:sz w:val="21"/>
              </w:rPr>
              <w:t>20</w:t>
            </w:r>
            <w:r>
              <w:rPr>
                <w:sz w:val="21"/>
              </w:rPr>
              <w:t>％以上。体表面积根据《中国新九分法》计算。</w:t>
            </w:r>
          </w:p>
        </w:tc>
      </w:tr>
      <w:tr>
        <w:trPr>
          <w:trHeight w:val="1056" w:hRule="atLeast"/>
        </w:trPr>
        <w:tc>
          <w:tcPr>
            <w:tcW w:w="909" w:type="dxa"/>
          </w:tcPr>
          <w:p>
            <w:pPr>
              <w:pStyle w:val="TableParagraph"/>
              <w:spacing w:before="150"/>
              <w:ind w:left="200"/>
              <w:rPr>
                <w:rFonts w:ascii="Times New Roman"/>
                <w:sz w:val="21"/>
              </w:rPr>
            </w:pPr>
            <w:r>
              <w:rPr>
                <w:rFonts w:ascii="Times New Roman"/>
                <w:sz w:val="21"/>
              </w:rPr>
              <w:t>6.21</w:t>
            </w:r>
          </w:p>
        </w:tc>
        <w:tc>
          <w:tcPr>
            <w:tcW w:w="1802" w:type="dxa"/>
          </w:tcPr>
          <w:p>
            <w:pPr>
              <w:pStyle w:val="TableParagraph"/>
              <w:spacing w:line="273" w:lineRule="auto" w:before="103"/>
              <w:ind w:left="340" w:right="106"/>
              <w:rPr>
                <w:b/>
                <w:sz w:val="21"/>
              </w:rPr>
            </w:pPr>
            <w:r>
              <w:rPr>
                <w:b/>
                <w:sz w:val="21"/>
              </w:rPr>
              <w:t>严重原发性肺动脉高压</w:t>
            </w:r>
          </w:p>
        </w:tc>
        <w:tc>
          <w:tcPr>
            <w:tcW w:w="6824" w:type="dxa"/>
          </w:tcPr>
          <w:p>
            <w:pPr>
              <w:pStyle w:val="TableParagraph"/>
              <w:spacing w:line="312" w:lineRule="exact" w:before="99"/>
              <w:ind w:left="110" w:right="156"/>
              <w:rPr>
                <w:sz w:val="21"/>
              </w:rPr>
            </w:pPr>
            <w:r>
              <w:rPr>
                <w:sz w:val="21"/>
              </w:rPr>
              <w:t>指不明原因的肺动脉压力持续性增高，进行性发展而导致的慢性疾病， 已经造成永久不可逆性的体力活动能力受限，达到</w:t>
            </w:r>
            <w:r>
              <w:rPr>
                <w:b/>
                <w:sz w:val="21"/>
              </w:rPr>
              <w:t>美国纽约心脏病学会心功能状态分级 </w:t>
            </w:r>
            <w:r>
              <w:rPr>
                <w:rFonts w:ascii="Times New Roman" w:eastAsia="Times New Roman"/>
                <w:b/>
                <w:sz w:val="21"/>
              </w:rPr>
              <w:t>IV </w:t>
            </w:r>
            <w:r>
              <w:rPr>
                <w:b/>
                <w:sz w:val="21"/>
              </w:rPr>
              <w:t>级</w:t>
            </w:r>
            <w:r>
              <w:rPr>
                <w:sz w:val="21"/>
              </w:rPr>
              <w:t>，且静息状态下肺动脉平均压超过 </w:t>
            </w:r>
            <w:r>
              <w:rPr>
                <w:rFonts w:ascii="Times New Roman" w:eastAsia="Times New Roman"/>
                <w:sz w:val="21"/>
              </w:rPr>
              <w:t>30mmHg</w:t>
            </w:r>
            <w:r>
              <w:rPr>
                <w:sz w:val="21"/>
              </w:rPr>
              <w:t>。</w:t>
            </w:r>
          </w:p>
        </w:tc>
      </w:tr>
      <w:tr>
        <w:trPr>
          <w:trHeight w:val="1396" w:hRule="atLeast"/>
        </w:trPr>
        <w:tc>
          <w:tcPr>
            <w:tcW w:w="909" w:type="dxa"/>
          </w:tcPr>
          <w:p>
            <w:pPr>
              <w:pStyle w:val="TableParagraph"/>
              <w:spacing w:before="30"/>
              <w:ind w:left="200"/>
              <w:rPr>
                <w:rFonts w:ascii="Times New Roman"/>
                <w:sz w:val="21"/>
              </w:rPr>
            </w:pPr>
            <w:r>
              <w:rPr>
                <w:rFonts w:ascii="Times New Roman"/>
                <w:sz w:val="21"/>
              </w:rPr>
              <w:t>6.22</w:t>
            </w:r>
          </w:p>
        </w:tc>
        <w:tc>
          <w:tcPr>
            <w:tcW w:w="1802" w:type="dxa"/>
          </w:tcPr>
          <w:p>
            <w:pPr>
              <w:pStyle w:val="TableParagraph"/>
              <w:spacing w:line="258" w:lineRule="exact" w:before="0"/>
              <w:ind w:left="340"/>
              <w:rPr>
                <w:b/>
                <w:sz w:val="21"/>
              </w:rPr>
            </w:pPr>
            <w:r>
              <w:rPr>
                <w:b/>
                <w:sz w:val="21"/>
              </w:rPr>
              <w:t>严重运动神经</w:t>
            </w:r>
          </w:p>
          <w:p>
            <w:pPr>
              <w:pStyle w:val="TableParagraph"/>
              <w:spacing w:before="37"/>
              <w:ind w:left="340"/>
              <w:rPr>
                <w:b/>
                <w:sz w:val="21"/>
              </w:rPr>
            </w:pPr>
            <w:r>
              <w:rPr>
                <w:b/>
                <w:sz w:val="21"/>
              </w:rPr>
              <w:t>元病</w:t>
            </w:r>
          </w:p>
        </w:tc>
        <w:tc>
          <w:tcPr>
            <w:tcW w:w="6824" w:type="dxa"/>
          </w:tcPr>
          <w:p>
            <w:pPr>
              <w:pStyle w:val="TableParagraph"/>
              <w:spacing w:line="258" w:lineRule="exact" w:before="0"/>
              <w:ind w:left="110"/>
              <w:rPr>
                <w:sz w:val="21"/>
              </w:rPr>
            </w:pPr>
            <w:r>
              <w:rPr>
                <w:sz w:val="21"/>
              </w:rPr>
              <w:t>是一组中枢神经系统运动神经元的进行性变性疾病，包括进行性脊肌</w:t>
            </w:r>
          </w:p>
          <w:p>
            <w:pPr>
              <w:pStyle w:val="TableParagraph"/>
              <w:spacing w:line="273" w:lineRule="auto" w:before="37"/>
              <w:ind w:left="110" w:right="303"/>
              <w:jc w:val="both"/>
              <w:rPr>
                <w:sz w:val="21"/>
              </w:rPr>
            </w:pPr>
            <w:r>
              <w:rPr>
                <w:sz w:val="21"/>
              </w:rPr>
              <w:t>萎缩症、进行性延髓麻痹症、原发性侧索硬化症、肌萎缩性侧索硬化症。须满足自主生活能力完全丧失，无法独立完成六项基本日常生活活动中的三项或三项以上的条件。</w:t>
            </w:r>
          </w:p>
        </w:tc>
      </w:tr>
      <w:tr>
        <w:trPr>
          <w:trHeight w:val="1213" w:hRule="atLeast"/>
        </w:trPr>
        <w:tc>
          <w:tcPr>
            <w:tcW w:w="909" w:type="dxa"/>
          </w:tcPr>
          <w:p>
            <w:pPr>
              <w:pStyle w:val="TableParagraph"/>
              <w:spacing w:before="194"/>
              <w:ind w:left="200"/>
              <w:rPr>
                <w:rFonts w:ascii="Times New Roman"/>
                <w:sz w:val="21"/>
              </w:rPr>
            </w:pPr>
            <w:r>
              <w:rPr>
                <w:rFonts w:ascii="Times New Roman"/>
                <w:sz w:val="21"/>
              </w:rPr>
              <w:t>6.23</w:t>
            </w:r>
          </w:p>
        </w:tc>
        <w:tc>
          <w:tcPr>
            <w:tcW w:w="1802" w:type="dxa"/>
          </w:tcPr>
          <w:p>
            <w:pPr>
              <w:pStyle w:val="TableParagraph"/>
              <w:spacing w:before="147"/>
              <w:ind w:left="340"/>
              <w:rPr>
                <w:b/>
                <w:sz w:val="21"/>
              </w:rPr>
            </w:pPr>
            <w:r>
              <w:rPr>
                <w:b/>
                <w:sz w:val="21"/>
              </w:rPr>
              <w:t>语言能力丧失</w:t>
            </w:r>
          </w:p>
        </w:tc>
        <w:tc>
          <w:tcPr>
            <w:tcW w:w="6824" w:type="dxa"/>
          </w:tcPr>
          <w:p>
            <w:pPr>
              <w:pStyle w:val="TableParagraph"/>
              <w:spacing w:line="264" w:lineRule="auto" w:before="147"/>
              <w:ind w:left="110" w:right="302"/>
              <w:jc w:val="both"/>
              <w:rPr>
                <w:sz w:val="21"/>
              </w:rPr>
            </w:pPr>
            <w:r>
              <w:rPr>
                <w:spacing w:val="-5"/>
                <w:sz w:val="21"/>
              </w:rPr>
              <w:t>指因疾病或意外伤害导致完全丧失语言能力，经过积极治疗至少 </w:t>
            </w:r>
            <w:r>
              <w:rPr>
                <w:rFonts w:ascii="Times New Roman" w:eastAsia="Times New Roman"/>
                <w:sz w:val="21"/>
              </w:rPr>
              <w:t>12 </w:t>
            </w:r>
            <w:r>
              <w:rPr>
                <w:sz w:val="21"/>
              </w:rPr>
              <w:t>个</w:t>
            </w: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1651" w:hRule="atLeast"/>
        </w:trPr>
        <w:tc>
          <w:tcPr>
            <w:tcW w:w="909" w:type="dxa"/>
          </w:tcPr>
          <w:p>
            <w:pPr>
              <w:pStyle w:val="TableParagraph"/>
              <w:spacing w:before="159"/>
              <w:ind w:left="200"/>
              <w:rPr>
                <w:rFonts w:ascii="Times New Roman"/>
                <w:sz w:val="21"/>
              </w:rPr>
            </w:pPr>
            <w:r>
              <w:rPr>
                <w:rFonts w:ascii="Times New Roman"/>
                <w:sz w:val="21"/>
              </w:rPr>
              <w:t>6.24</w:t>
            </w:r>
          </w:p>
        </w:tc>
        <w:tc>
          <w:tcPr>
            <w:tcW w:w="1802" w:type="dxa"/>
          </w:tcPr>
          <w:p>
            <w:pPr>
              <w:pStyle w:val="TableParagraph"/>
              <w:spacing w:line="273" w:lineRule="auto" w:before="112"/>
              <w:ind w:left="340" w:right="106"/>
              <w:rPr>
                <w:b/>
                <w:sz w:val="21"/>
              </w:rPr>
            </w:pPr>
            <w:r>
              <w:rPr>
                <w:b/>
                <w:sz w:val="21"/>
              </w:rPr>
              <w:t>重型再生障碍性贫血</w:t>
            </w:r>
          </w:p>
        </w:tc>
        <w:tc>
          <w:tcPr>
            <w:tcW w:w="6824" w:type="dxa"/>
          </w:tcPr>
          <w:p>
            <w:pPr>
              <w:pStyle w:val="TableParagraph"/>
              <w:spacing w:line="273" w:lineRule="auto" w:before="112"/>
              <w:ind w:left="110" w:right="303"/>
              <w:rPr>
                <w:sz w:val="21"/>
              </w:rPr>
            </w:pPr>
            <w:r>
              <w:rPr>
                <w:sz w:val="21"/>
              </w:rPr>
              <w:t>指因骨髓造血功能慢性持续性衰竭导致的贫血、中性粒细胞减少及血小板减少。须满足下列全部条件：</w:t>
            </w:r>
          </w:p>
          <w:p>
            <w:pPr>
              <w:pStyle w:val="TableParagraph"/>
              <w:spacing w:before="8"/>
              <w:ind w:left="110"/>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110"/>
              <w:rPr>
                <w:sz w:val="21"/>
              </w:rPr>
            </w:pPr>
            <w:r>
              <w:rPr>
                <w:sz w:val="21"/>
              </w:rPr>
              <w:t>（</w:t>
            </w:r>
            <w:r>
              <w:rPr>
                <w:rFonts w:ascii="Times New Roman" w:eastAsia="Times New Roman"/>
                <w:sz w:val="21"/>
              </w:rPr>
              <w:t>2</w:t>
            </w:r>
            <w:r>
              <w:rPr>
                <w:sz w:val="21"/>
              </w:rPr>
              <w:t>）外周血象须具备以下三项条件：</w:t>
            </w:r>
          </w:p>
          <w:p>
            <w:pPr>
              <w:pStyle w:val="TableParagraph"/>
              <w:spacing w:line="271" w:lineRule="exact" w:before="21"/>
              <w:ind w:left="220" w:right="3344"/>
              <w:jc w:val="center"/>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tc>
      </w:tr>
    </w:tbl>
    <w:p>
      <w:pPr>
        <w:spacing w:after="0" w:line="271" w:lineRule="exact"/>
        <w:jc w:val="center"/>
        <w:rPr>
          <w:sz w:val="21"/>
        </w:rPr>
        <w:sectPr>
          <w:pgSz w:w="11910" w:h="16840"/>
          <w:pgMar w:header="0" w:footer="773" w:top="1160" w:bottom="960" w:left="720" w:right="14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802"/>
        <w:gridCol w:w="6821"/>
      </w:tblGrid>
      <w:tr>
        <w:trPr>
          <w:trHeight w:val="705" w:hRule="atLeast"/>
        </w:trPr>
        <w:tc>
          <w:tcPr>
            <w:tcW w:w="910" w:type="dxa"/>
          </w:tcPr>
          <w:p>
            <w:pPr>
              <w:pStyle w:val="TableParagraph"/>
              <w:spacing w:before="0"/>
              <w:ind w:left="0"/>
              <w:rPr>
                <w:rFonts w:ascii="Times New Roman"/>
                <w:sz w:val="20"/>
              </w:rPr>
            </w:pPr>
          </w:p>
        </w:tc>
        <w:tc>
          <w:tcPr>
            <w:tcW w:w="1802" w:type="dxa"/>
          </w:tcPr>
          <w:p>
            <w:pPr>
              <w:pStyle w:val="TableParagraph"/>
              <w:spacing w:before="0"/>
              <w:ind w:left="0"/>
              <w:rPr>
                <w:rFonts w:ascii="Times New Roman"/>
                <w:sz w:val="20"/>
              </w:rPr>
            </w:pPr>
          </w:p>
        </w:tc>
        <w:tc>
          <w:tcPr>
            <w:tcW w:w="6821" w:type="dxa"/>
          </w:tcPr>
          <w:p>
            <w:pPr>
              <w:pStyle w:val="TableParagraph"/>
              <w:spacing w:line="234" w:lineRule="exact" w:before="0"/>
              <w:ind w:left="214"/>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214"/>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517" w:hRule="atLeast"/>
        </w:trPr>
        <w:tc>
          <w:tcPr>
            <w:tcW w:w="910" w:type="dxa"/>
          </w:tcPr>
          <w:p>
            <w:pPr>
              <w:pStyle w:val="TableParagraph"/>
              <w:spacing w:before="151"/>
              <w:ind w:left="200"/>
              <w:rPr>
                <w:rFonts w:ascii="Times New Roman"/>
                <w:sz w:val="21"/>
              </w:rPr>
            </w:pPr>
            <w:r>
              <w:rPr>
                <w:rFonts w:ascii="Times New Roman"/>
                <w:sz w:val="21"/>
              </w:rPr>
              <w:t>6.25</w:t>
            </w:r>
          </w:p>
        </w:tc>
        <w:tc>
          <w:tcPr>
            <w:tcW w:w="1802" w:type="dxa"/>
          </w:tcPr>
          <w:p>
            <w:pPr>
              <w:pStyle w:val="TableParagraph"/>
              <w:spacing w:before="104"/>
              <w:ind w:left="341"/>
              <w:rPr>
                <w:b/>
                <w:sz w:val="21"/>
              </w:rPr>
            </w:pPr>
            <w:r>
              <w:rPr>
                <w:b/>
                <w:sz w:val="21"/>
              </w:rPr>
              <w:t>主动脉手术</w:t>
            </w:r>
          </w:p>
        </w:tc>
        <w:tc>
          <w:tcPr>
            <w:tcW w:w="6821" w:type="dxa"/>
          </w:tcPr>
          <w:p>
            <w:pPr>
              <w:pStyle w:val="TableParagraph"/>
              <w:spacing w:line="273" w:lineRule="auto" w:before="104"/>
              <w:ind w:right="30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jc w:val="both"/>
              <w:rPr>
                <w:sz w:val="21"/>
              </w:rPr>
            </w:pPr>
            <w:r>
              <w:rPr>
                <w:sz w:val="21"/>
              </w:rPr>
              <w:t>动脉内血管成形术不在保障范围内。</w:t>
            </w:r>
          </w:p>
        </w:tc>
      </w:tr>
      <w:tr>
        <w:trPr>
          <w:trHeight w:val="1554" w:hRule="atLeast"/>
        </w:trPr>
        <w:tc>
          <w:tcPr>
            <w:tcW w:w="910" w:type="dxa"/>
          </w:tcPr>
          <w:p>
            <w:pPr>
              <w:pStyle w:val="TableParagraph"/>
              <w:spacing w:before="194"/>
              <w:ind w:left="200"/>
              <w:rPr>
                <w:rFonts w:ascii="Times New Roman"/>
                <w:sz w:val="21"/>
              </w:rPr>
            </w:pPr>
            <w:r>
              <w:rPr>
                <w:rFonts w:ascii="Times New Roman"/>
                <w:sz w:val="21"/>
              </w:rPr>
              <w:t>6.26</w:t>
            </w:r>
          </w:p>
        </w:tc>
        <w:tc>
          <w:tcPr>
            <w:tcW w:w="1802" w:type="dxa"/>
          </w:tcPr>
          <w:p>
            <w:pPr>
              <w:pStyle w:val="TableParagraph"/>
              <w:spacing w:before="147"/>
              <w:ind w:left="341"/>
              <w:rPr>
                <w:b/>
                <w:sz w:val="21"/>
              </w:rPr>
            </w:pPr>
            <w:r>
              <w:rPr>
                <w:b/>
                <w:sz w:val="21"/>
              </w:rPr>
              <w:t>严重心肌病</w:t>
            </w:r>
          </w:p>
        </w:tc>
        <w:tc>
          <w:tcPr>
            <w:tcW w:w="6821" w:type="dxa"/>
          </w:tcPr>
          <w:p>
            <w:pPr>
              <w:pStyle w:val="TableParagraph"/>
              <w:spacing w:line="273" w:lineRule="auto" w:before="147"/>
              <w:ind w:right="301"/>
              <w:rPr>
                <w:sz w:val="21"/>
              </w:rPr>
            </w:pPr>
            <w:r>
              <w:rPr>
                <w:sz w:val="21"/>
              </w:rPr>
              <w:t>指被保险人因心肌病导致慢性心功能损害造成永久不可逆性的体力活动能力受限，达到美国纽约心脏病学会心功能状态分级</w:t>
            </w:r>
            <w:r>
              <w:rPr>
                <w:rFonts w:ascii="Times New Roman" w:eastAsia="Times New Roman"/>
                <w:sz w:val="21"/>
              </w:rPr>
              <w:t>IV</w:t>
            </w:r>
            <w:r>
              <w:rPr>
                <w:sz w:val="21"/>
              </w:rPr>
              <w:t>级。</w:t>
            </w:r>
          </w:p>
          <w:p>
            <w:pPr>
              <w:pStyle w:val="TableParagraph"/>
              <w:spacing w:line="264" w:lineRule="exact" w:before="0"/>
              <w:rPr>
                <w:sz w:val="21"/>
              </w:rPr>
            </w:pPr>
            <w:r>
              <w:rPr>
                <w:sz w:val="21"/>
              </w:rPr>
              <w:t>心肌病必须经医院的超声心动图检查来确认。</w:t>
            </w:r>
          </w:p>
          <w:p>
            <w:pPr>
              <w:pStyle w:val="TableParagraph"/>
              <w:spacing w:before="37"/>
              <w:rPr>
                <w:sz w:val="21"/>
              </w:rPr>
            </w:pPr>
            <w:r>
              <w:rPr>
                <w:sz w:val="21"/>
              </w:rPr>
              <w:t>因酗酒或药物滥用导致的心肌病不在保障范围内。</w:t>
            </w:r>
          </w:p>
        </w:tc>
      </w:tr>
      <w:tr>
        <w:trPr>
          <w:trHeight w:val="1914" w:hRule="atLeast"/>
        </w:trPr>
        <w:tc>
          <w:tcPr>
            <w:tcW w:w="910" w:type="dxa"/>
          </w:tcPr>
          <w:p>
            <w:pPr>
              <w:pStyle w:val="TableParagraph"/>
              <w:spacing w:before="4"/>
              <w:ind w:left="0"/>
              <w:rPr>
                <w:sz w:val="15"/>
              </w:rPr>
            </w:pPr>
          </w:p>
          <w:p>
            <w:pPr>
              <w:pStyle w:val="TableParagraph"/>
              <w:spacing w:before="0"/>
              <w:ind w:left="200"/>
              <w:rPr>
                <w:rFonts w:ascii="Times New Roman"/>
                <w:sz w:val="21"/>
              </w:rPr>
            </w:pPr>
            <w:r>
              <w:rPr>
                <w:rFonts w:ascii="Times New Roman"/>
                <w:sz w:val="21"/>
              </w:rPr>
              <w:t>6.27</w:t>
            </w:r>
          </w:p>
        </w:tc>
        <w:tc>
          <w:tcPr>
            <w:tcW w:w="1802" w:type="dxa"/>
          </w:tcPr>
          <w:p>
            <w:pPr>
              <w:pStyle w:val="TableParagraph"/>
              <w:spacing w:line="273" w:lineRule="auto" w:before="153"/>
              <w:ind w:left="341" w:right="105"/>
              <w:rPr>
                <w:b/>
                <w:sz w:val="21"/>
              </w:rPr>
            </w:pPr>
            <w:r>
              <w:rPr>
                <w:b/>
                <w:sz w:val="21"/>
              </w:rPr>
              <w:t>慢性肺功能衰竭</w:t>
            </w:r>
          </w:p>
        </w:tc>
        <w:tc>
          <w:tcPr>
            <w:tcW w:w="6821" w:type="dxa"/>
          </w:tcPr>
          <w:p>
            <w:pPr>
              <w:pStyle w:val="TableParagraph"/>
              <w:spacing w:before="132"/>
              <w:ind w:right="301"/>
              <w:rPr>
                <w:sz w:val="21"/>
              </w:rPr>
            </w:pPr>
            <w:r>
              <w:rPr>
                <w:sz w:val="21"/>
              </w:rPr>
              <w:t>慢性肺部疾病导致永久不可逆性的慢性呼吸功能衰竭，必须符合下列所有条件：</w:t>
            </w:r>
          </w:p>
          <w:p>
            <w:pPr>
              <w:pStyle w:val="TableParagraph"/>
              <w:spacing w:line="279" w:lineRule="exact" w:before="0"/>
              <w:rPr>
                <w:sz w:val="21"/>
              </w:rPr>
            </w:pPr>
            <w:r>
              <w:rPr>
                <w:sz w:val="21"/>
              </w:rPr>
              <w:t>（</w:t>
            </w:r>
            <w:r>
              <w:rPr>
                <w:rFonts w:ascii="Times New Roman" w:eastAsia="Times New Roman"/>
                <w:sz w:val="21"/>
              </w:rPr>
              <w:t>1</w:t>
            </w:r>
            <w:r>
              <w:rPr>
                <w:sz w:val="21"/>
              </w:rPr>
              <w:t>）休息时出现呼吸困难；</w:t>
            </w:r>
          </w:p>
          <w:p>
            <w:pPr>
              <w:pStyle w:val="TableParagraph"/>
              <w:spacing w:line="272" w:lineRule="exact" w:before="0"/>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line="271" w:lineRule="exact" w:before="0"/>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line="281" w:lineRule="exact" w:before="0"/>
              <w:rPr>
                <w:sz w:val="21"/>
              </w:rPr>
            </w:pPr>
            <w:r>
              <w:rPr>
                <w:sz w:val="21"/>
              </w:rPr>
              <w:t>（</w:t>
            </w:r>
            <w:r>
              <w:rPr>
                <w:rFonts w:ascii="Times New Roman" w:eastAsia="Times New Roman"/>
                <w:sz w:val="21"/>
              </w:rPr>
              <w:t>4</w:t>
            </w:r>
            <w:r>
              <w:rPr>
                <w:sz w:val="21"/>
              </w:rPr>
              <w:t>）因缺氧必须接受持续的输氧治疗。</w:t>
            </w:r>
          </w:p>
        </w:tc>
      </w:tr>
      <w:tr>
        <w:trPr>
          <w:trHeight w:val="1603" w:hRule="atLeast"/>
        </w:trPr>
        <w:tc>
          <w:tcPr>
            <w:tcW w:w="910" w:type="dxa"/>
          </w:tcPr>
          <w:p>
            <w:pPr>
              <w:pStyle w:val="TableParagraph"/>
              <w:spacing w:before="122"/>
              <w:ind w:left="200"/>
              <w:rPr>
                <w:rFonts w:ascii="Times New Roman"/>
                <w:sz w:val="21"/>
              </w:rPr>
            </w:pPr>
            <w:r>
              <w:rPr>
                <w:rFonts w:ascii="Times New Roman"/>
                <w:sz w:val="21"/>
              </w:rPr>
              <w:t>6.28</w:t>
            </w:r>
          </w:p>
        </w:tc>
        <w:tc>
          <w:tcPr>
            <w:tcW w:w="1802" w:type="dxa"/>
          </w:tcPr>
          <w:p>
            <w:pPr>
              <w:pStyle w:val="TableParagraph"/>
              <w:spacing w:line="273" w:lineRule="auto" w:before="116"/>
              <w:ind w:left="341" w:right="105"/>
              <w:rPr>
                <w:b/>
                <w:sz w:val="21"/>
              </w:rPr>
            </w:pPr>
            <w:r>
              <w:rPr>
                <w:b/>
                <w:sz w:val="21"/>
              </w:rPr>
              <w:t>严重多发性硬化症</w:t>
            </w:r>
          </w:p>
        </w:tc>
        <w:tc>
          <w:tcPr>
            <w:tcW w:w="6821" w:type="dxa"/>
          </w:tcPr>
          <w:p>
            <w:pPr>
              <w:pStyle w:val="TableParagraph"/>
              <w:spacing w:line="230" w:lineRule="auto" w:before="105"/>
              <w:ind w:right="301"/>
              <w:jc w:val="both"/>
              <w:rPr>
                <w:sz w:val="21"/>
              </w:rPr>
            </w:pPr>
            <w:r>
              <w:rPr>
                <w:sz w:val="21"/>
              </w:rPr>
              <w:t>多发性硬化为中枢神经系统白质多灶性脱髓鞘病变。多发性硬化须由</w:t>
            </w:r>
            <w:r>
              <w:rPr>
                <w:spacing w:val="-8"/>
                <w:sz w:val="21"/>
              </w:rPr>
              <w:t>核磁共振</w:t>
            </w:r>
            <w:r>
              <w:rPr>
                <w:spacing w:val="-7"/>
                <w:sz w:val="21"/>
              </w:rPr>
              <w:t>（</w:t>
            </w:r>
            <w:r>
              <w:rPr>
                <w:rFonts w:ascii="Times New Roman" w:eastAsia="Times New Roman"/>
                <w:spacing w:val="-7"/>
                <w:sz w:val="21"/>
              </w:rPr>
              <w:t>MRI</w:t>
            </w:r>
            <w:r>
              <w:rPr>
                <w:spacing w:val="-7"/>
                <w:sz w:val="21"/>
              </w:rPr>
              <w:t>）</w:t>
            </w:r>
            <w:r>
              <w:rPr>
                <w:spacing w:val="-6"/>
                <w:sz w:val="21"/>
              </w:rPr>
              <w:t>等影像学检查证实，并且被保险人已永久不可逆地无</w:t>
            </w:r>
            <w:r>
              <w:rPr>
                <w:spacing w:val="-4"/>
                <w:sz w:val="21"/>
              </w:rPr>
              <w:t>法独立完成下列任何一项基本日常生活活动：</w:t>
            </w:r>
          </w:p>
          <w:p>
            <w:pPr>
              <w:pStyle w:val="TableParagraph"/>
              <w:spacing w:line="278" w:lineRule="exact" w:before="0"/>
              <w:ind w:left="111"/>
              <w:jc w:val="both"/>
              <w:rPr>
                <w:sz w:val="21"/>
              </w:rPr>
            </w:pPr>
            <w:r>
              <w:rPr>
                <w:sz w:val="21"/>
              </w:rPr>
              <w:t>（</w:t>
            </w:r>
            <w:r>
              <w:rPr>
                <w:rFonts w:ascii="Times New Roman" w:eastAsia="Times New Roman"/>
                <w:sz w:val="21"/>
              </w:rPr>
              <w:t>1</w:t>
            </w:r>
            <w:r>
              <w:rPr>
                <w:sz w:val="21"/>
              </w:rPr>
              <w:t>）移动：自己从一个房间到另一个房间；</w:t>
            </w:r>
          </w:p>
          <w:p>
            <w:pPr>
              <w:pStyle w:val="TableParagraph"/>
              <w:spacing w:line="281" w:lineRule="exact" w:before="0"/>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1595" w:hRule="atLeast"/>
        </w:trPr>
        <w:tc>
          <w:tcPr>
            <w:tcW w:w="910" w:type="dxa"/>
          </w:tcPr>
          <w:p>
            <w:pPr>
              <w:pStyle w:val="TableParagraph"/>
              <w:spacing w:before="122"/>
              <w:ind w:left="200"/>
              <w:rPr>
                <w:rFonts w:ascii="Times New Roman"/>
                <w:sz w:val="21"/>
              </w:rPr>
            </w:pPr>
            <w:r>
              <w:rPr>
                <w:rFonts w:ascii="Times New Roman"/>
                <w:sz w:val="21"/>
              </w:rPr>
              <w:t>6.29</w:t>
            </w:r>
          </w:p>
        </w:tc>
        <w:tc>
          <w:tcPr>
            <w:tcW w:w="1802" w:type="dxa"/>
          </w:tcPr>
          <w:p>
            <w:pPr>
              <w:pStyle w:val="TableParagraph"/>
              <w:spacing w:line="273" w:lineRule="auto" w:before="116"/>
              <w:ind w:left="341" w:right="105"/>
              <w:rPr>
                <w:b/>
                <w:sz w:val="21"/>
              </w:rPr>
            </w:pPr>
            <w:r>
              <w:rPr>
                <w:b/>
                <w:sz w:val="21"/>
              </w:rPr>
              <w:t>严重溃疡性结肠炎</w:t>
            </w:r>
          </w:p>
        </w:tc>
        <w:tc>
          <w:tcPr>
            <w:tcW w:w="6821" w:type="dxa"/>
          </w:tcPr>
          <w:p>
            <w:pPr>
              <w:pStyle w:val="TableParagraph"/>
              <w:spacing w:line="237" w:lineRule="auto" w:before="97"/>
              <w:ind w:right="300"/>
              <w:jc w:val="both"/>
              <w:rPr>
                <w:sz w:val="21"/>
              </w:rPr>
            </w:pPr>
            <w:r>
              <w:rPr>
                <w:sz w:val="21"/>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1603" w:hRule="atLeast"/>
        </w:trPr>
        <w:tc>
          <w:tcPr>
            <w:tcW w:w="910" w:type="dxa"/>
          </w:tcPr>
          <w:p>
            <w:pPr>
              <w:pStyle w:val="TableParagraph"/>
              <w:spacing w:before="130"/>
              <w:ind w:left="200"/>
              <w:rPr>
                <w:rFonts w:ascii="Times New Roman"/>
                <w:sz w:val="21"/>
              </w:rPr>
            </w:pPr>
            <w:r>
              <w:rPr>
                <w:rFonts w:ascii="Times New Roman"/>
                <w:sz w:val="21"/>
              </w:rPr>
              <w:t>6.30</w:t>
            </w:r>
          </w:p>
        </w:tc>
        <w:tc>
          <w:tcPr>
            <w:tcW w:w="1802" w:type="dxa"/>
          </w:tcPr>
          <w:p>
            <w:pPr>
              <w:pStyle w:val="TableParagraph"/>
              <w:spacing w:before="102"/>
              <w:ind w:left="341"/>
              <w:rPr>
                <w:b/>
                <w:sz w:val="21"/>
              </w:rPr>
            </w:pPr>
            <w:r>
              <w:rPr>
                <w:b/>
                <w:sz w:val="21"/>
              </w:rPr>
              <w:t>终末期疾病</w:t>
            </w:r>
          </w:p>
        </w:tc>
        <w:tc>
          <w:tcPr>
            <w:tcW w:w="6821" w:type="dxa"/>
          </w:tcPr>
          <w:p>
            <w:pPr>
              <w:pStyle w:val="TableParagraph"/>
              <w:spacing w:line="237" w:lineRule="auto" w:before="105"/>
              <w:ind w:right="301"/>
              <w:jc w:val="both"/>
              <w:rPr>
                <w:sz w:val="21"/>
              </w:rPr>
            </w:pPr>
            <w:r>
              <w:rPr>
                <w:sz w:val="21"/>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r>
        <w:trPr>
          <w:trHeight w:val="2020" w:hRule="atLeast"/>
        </w:trPr>
        <w:tc>
          <w:tcPr>
            <w:tcW w:w="910" w:type="dxa"/>
          </w:tcPr>
          <w:p>
            <w:pPr>
              <w:pStyle w:val="TableParagraph"/>
              <w:spacing w:before="130"/>
              <w:ind w:left="200"/>
              <w:rPr>
                <w:rFonts w:ascii="Times New Roman"/>
                <w:sz w:val="21"/>
              </w:rPr>
            </w:pPr>
            <w:r>
              <w:rPr>
                <w:rFonts w:ascii="Times New Roman"/>
                <w:sz w:val="21"/>
              </w:rPr>
              <w:t>6.31</w:t>
            </w:r>
          </w:p>
        </w:tc>
        <w:tc>
          <w:tcPr>
            <w:tcW w:w="1802" w:type="dxa"/>
          </w:tcPr>
          <w:p>
            <w:pPr>
              <w:pStyle w:val="TableParagraph"/>
              <w:spacing w:line="273" w:lineRule="auto" w:before="124"/>
              <w:ind w:left="341" w:right="105"/>
              <w:rPr>
                <w:b/>
                <w:sz w:val="21"/>
              </w:rPr>
            </w:pPr>
            <w:r>
              <w:rPr>
                <w:b/>
                <w:sz w:val="21"/>
              </w:rPr>
              <w:t>全身性重症肌无力</w:t>
            </w:r>
          </w:p>
        </w:tc>
        <w:tc>
          <w:tcPr>
            <w:tcW w:w="6821" w:type="dxa"/>
          </w:tcPr>
          <w:p>
            <w:pPr>
              <w:pStyle w:val="TableParagraph"/>
              <w:spacing w:line="237" w:lineRule="auto" w:before="105"/>
              <w:ind w:right="299" w:firstLine="2"/>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17"/>
              <w:rPr>
                <w:sz w:val="21"/>
              </w:rPr>
            </w:pPr>
            <w:r>
              <w:rPr>
                <w:sz w:val="21"/>
              </w:rPr>
              <w:t>（</w:t>
            </w:r>
            <w:r>
              <w:rPr>
                <w:rFonts w:ascii="Times New Roman" w:eastAsia="Times New Roman"/>
                <w:sz w:val="21"/>
              </w:rPr>
              <w:t>1</w:t>
            </w:r>
            <w:r>
              <w:rPr>
                <w:sz w:val="21"/>
              </w:rPr>
              <w:t>）经药物治疗和胸腺切除治疗一年以上仍无法控制病情；</w:t>
            </w:r>
          </w:p>
          <w:p>
            <w:pPr>
              <w:pStyle w:val="TableParagraph"/>
              <w:spacing w:line="256" w:lineRule="auto" w:before="21"/>
              <w:ind w:right="302"/>
              <w:jc w:val="both"/>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r>
        <w:trPr>
          <w:trHeight w:val="1782" w:hRule="atLeast"/>
        </w:trPr>
        <w:tc>
          <w:tcPr>
            <w:tcW w:w="910" w:type="dxa"/>
          </w:tcPr>
          <w:p>
            <w:pPr>
              <w:pStyle w:val="TableParagraph"/>
              <w:spacing w:before="173"/>
              <w:ind w:left="200"/>
              <w:rPr>
                <w:rFonts w:ascii="Times New Roman"/>
                <w:sz w:val="21"/>
              </w:rPr>
            </w:pPr>
            <w:r>
              <w:rPr>
                <w:rFonts w:ascii="Times New Roman"/>
                <w:sz w:val="21"/>
              </w:rPr>
              <w:t>6.32</w:t>
            </w:r>
          </w:p>
        </w:tc>
        <w:tc>
          <w:tcPr>
            <w:tcW w:w="1802" w:type="dxa"/>
          </w:tcPr>
          <w:p>
            <w:pPr>
              <w:pStyle w:val="TableParagraph"/>
              <w:spacing w:line="273" w:lineRule="auto" w:before="167"/>
              <w:ind w:left="341" w:right="105"/>
              <w:rPr>
                <w:b/>
                <w:sz w:val="21"/>
              </w:rPr>
            </w:pPr>
            <w:r>
              <w:rPr>
                <w:b/>
                <w:sz w:val="21"/>
              </w:rPr>
              <w:t>严重类风湿性关节炎</w:t>
            </w:r>
          </w:p>
        </w:tc>
        <w:tc>
          <w:tcPr>
            <w:tcW w:w="6821" w:type="dxa"/>
          </w:tcPr>
          <w:p>
            <w:pPr>
              <w:pStyle w:val="TableParagraph"/>
              <w:spacing w:line="235" w:lineRule="auto" w:before="151"/>
              <w:ind w:right="197" w:firstLine="2"/>
              <w:rPr>
                <w:sz w:val="21"/>
              </w:rPr>
            </w:pPr>
            <w:r>
              <w:rPr>
                <w:sz w:val="21"/>
              </w:rPr>
              <w:t>类风湿性关节炎为广泛分布的慢性进行性多关节病变，表现为关节严 </w:t>
            </w:r>
            <w:r>
              <w:rPr>
                <w:spacing w:val="-3"/>
                <w:sz w:val="21"/>
              </w:rPr>
              <w:t>重变形，侵犯至少三个主要关节或关节组，如：双手（</w:t>
            </w:r>
            <w:r>
              <w:rPr>
                <w:spacing w:val="-2"/>
                <w:sz w:val="21"/>
              </w:rPr>
              <w:t>多手指</w:t>
            </w:r>
            <w:r>
              <w:rPr>
                <w:spacing w:val="-3"/>
                <w:sz w:val="21"/>
              </w:rPr>
              <w:t>）</w:t>
            </w:r>
            <w:r>
              <w:rPr>
                <w:sz w:val="21"/>
              </w:rPr>
              <w:t>关节、双足（多足趾）关节、双腕关节、双膝关节和双髋关节。类风湿性关 </w:t>
            </w:r>
            <w:r>
              <w:rPr>
                <w:spacing w:val="-5"/>
                <w:sz w:val="21"/>
              </w:rPr>
              <w:t>节炎必须明确诊断并且已经达到类风湿性关节炎功能分类 </w:t>
            </w:r>
            <w:r>
              <w:rPr>
                <w:rFonts w:ascii="Times New Roman" w:eastAsia="Times New Roman"/>
                <w:sz w:val="21"/>
              </w:rPr>
              <w:t>IV</w:t>
            </w:r>
            <w:r>
              <w:rPr>
                <w:rFonts w:ascii="Times New Roman" w:eastAsia="Times New Roman"/>
                <w:spacing w:val="0"/>
                <w:sz w:val="21"/>
              </w:rPr>
              <w:t> </w:t>
            </w:r>
            <w:r>
              <w:rPr>
                <w:spacing w:val="-3"/>
                <w:sz w:val="21"/>
              </w:rPr>
              <w:t>级的永久不可逆性关节功能障碍（生活不能自理，且丧失工作能力）并且满足</w:t>
            </w:r>
          </w:p>
          <w:p>
            <w:pPr>
              <w:pStyle w:val="TableParagraph"/>
              <w:spacing w:line="251" w:lineRule="exact" w:before="0"/>
              <w:rPr>
                <w:sz w:val="21"/>
              </w:rPr>
            </w:pPr>
            <w:r>
              <w:rPr>
                <w:sz w:val="21"/>
              </w:rPr>
              <w:t>下列全部条件：</w:t>
            </w:r>
          </w:p>
        </w:tc>
      </w:tr>
    </w:tbl>
    <w:p>
      <w:pPr>
        <w:spacing w:after="0" w:line="251" w:lineRule="exact"/>
        <w:rPr>
          <w:sz w:val="21"/>
        </w:rPr>
        <w:sectPr>
          <w:pgSz w:w="11910" w:h="16840"/>
          <w:pgMar w:header="0" w:footer="773" w:top="1160" w:bottom="960" w:left="1280" w:right="8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802"/>
        <w:gridCol w:w="6622"/>
      </w:tblGrid>
      <w:tr>
        <w:trPr>
          <w:trHeight w:val="1488" w:hRule="atLeast"/>
        </w:trPr>
        <w:tc>
          <w:tcPr>
            <w:tcW w:w="820" w:type="dxa"/>
          </w:tcPr>
          <w:p>
            <w:pPr>
              <w:pStyle w:val="TableParagraph"/>
              <w:spacing w:before="0"/>
              <w:ind w:left="0"/>
              <w:rPr>
                <w:rFonts w:ascii="Times New Roman"/>
                <w:sz w:val="20"/>
              </w:rPr>
            </w:pPr>
          </w:p>
        </w:tc>
        <w:tc>
          <w:tcPr>
            <w:tcW w:w="1802" w:type="dxa"/>
          </w:tcPr>
          <w:p>
            <w:pPr>
              <w:pStyle w:val="TableParagraph"/>
              <w:spacing w:before="0"/>
              <w:ind w:left="0"/>
              <w:rPr>
                <w:rFonts w:ascii="Times New Roman"/>
                <w:sz w:val="20"/>
              </w:rPr>
            </w:pPr>
          </w:p>
        </w:tc>
        <w:tc>
          <w:tcPr>
            <w:tcW w:w="6622" w:type="dxa"/>
          </w:tcPr>
          <w:p>
            <w:pPr>
              <w:pStyle w:val="TableParagraph"/>
              <w:spacing w:line="222" w:lineRule="exact" w:before="0"/>
              <w:ind w:left="111"/>
              <w:rPr>
                <w:sz w:val="21"/>
              </w:rPr>
            </w:pPr>
            <w:r>
              <w:rPr>
                <w:sz w:val="21"/>
              </w:rPr>
              <w:t>（</w:t>
            </w:r>
            <w:r>
              <w:rPr>
                <w:rFonts w:ascii="Times New Roman" w:eastAsia="Times New Roman"/>
                <w:sz w:val="21"/>
              </w:rPr>
              <w:t>1</w:t>
            </w:r>
            <w:r>
              <w:rPr>
                <w:sz w:val="21"/>
              </w:rPr>
              <w:t>）晨僵；</w:t>
            </w:r>
          </w:p>
          <w:p>
            <w:pPr>
              <w:pStyle w:val="TableParagraph"/>
              <w:spacing w:line="273" w:lineRule="exact" w:before="0"/>
              <w:ind w:left="111"/>
              <w:rPr>
                <w:sz w:val="21"/>
              </w:rPr>
            </w:pPr>
            <w:r>
              <w:rPr>
                <w:sz w:val="21"/>
              </w:rPr>
              <w:t>（</w:t>
            </w:r>
            <w:r>
              <w:rPr>
                <w:rFonts w:ascii="Times New Roman" w:eastAsia="Times New Roman"/>
                <w:sz w:val="21"/>
              </w:rPr>
              <w:t>2</w:t>
            </w:r>
            <w:r>
              <w:rPr>
                <w:sz w:val="21"/>
              </w:rPr>
              <w:t>）对称性关节炎；</w:t>
            </w:r>
          </w:p>
          <w:p>
            <w:pPr>
              <w:pStyle w:val="TableParagraph"/>
              <w:spacing w:line="273" w:lineRule="exact" w:before="0"/>
              <w:ind w:left="111"/>
              <w:rPr>
                <w:sz w:val="21"/>
              </w:rPr>
            </w:pPr>
            <w:r>
              <w:rPr>
                <w:sz w:val="21"/>
              </w:rPr>
              <w:t>（</w:t>
            </w:r>
            <w:r>
              <w:rPr>
                <w:rFonts w:ascii="Times New Roman" w:eastAsia="Times New Roman"/>
                <w:sz w:val="21"/>
              </w:rPr>
              <w:t>3</w:t>
            </w:r>
            <w:r>
              <w:rPr>
                <w:sz w:val="21"/>
              </w:rPr>
              <w:t>）类风湿性皮下结节；</w:t>
            </w:r>
          </w:p>
          <w:p>
            <w:pPr>
              <w:pStyle w:val="TableParagraph"/>
              <w:spacing w:line="272" w:lineRule="exact" w:before="0"/>
              <w:ind w:left="111"/>
              <w:rPr>
                <w:sz w:val="21"/>
              </w:rPr>
            </w:pPr>
            <w:r>
              <w:rPr>
                <w:sz w:val="21"/>
              </w:rPr>
              <w:t>（</w:t>
            </w:r>
            <w:r>
              <w:rPr>
                <w:rFonts w:ascii="Times New Roman" w:eastAsia="Times New Roman"/>
                <w:sz w:val="21"/>
              </w:rPr>
              <w:t>4</w:t>
            </w:r>
            <w:r>
              <w:rPr>
                <w:sz w:val="21"/>
              </w:rPr>
              <w:t>）类风湿因子滴度升高；</w:t>
            </w:r>
          </w:p>
          <w:p>
            <w:pPr>
              <w:pStyle w:val="TableParagraph"/>
              <w:spacing w:line="281" w:lineRule="exact" w:before="0"/>
              <w:ind w:left="111"/>
              <w:rPr>
                <w:sz w:val="21"/>
              </w:rPr>
            </w:pPr>
            <w:r>
              <w:rPr>
                <w:sz w:val="21"/>
              </w:rPr>
              <w:t>（</w:t>
            </w:r>
            <w:r>
              <w:rPr>
                <w:rFonts w:ascii="Times New Roman" w:eastAsia="Times New Roman"/>
                <w:sz w:val="21"/>
              </w:rPr>
              <w:t>5</w:t>
            </w:r>
            <w:r>
              <w:rPr>
                <w:sz w:val="21"/>
              </w:rPr>
              <w:t>）</w:t>
            </w:r>
            <w:r>
              <w:rPr>
                <w:rFonts w:ascii="Times New Roman" w:eastAsia="Times New Roman"/>
                <w:sz w:val="21"/>
              </w:rPr>
              <w:t>X </w:t>
            </w:r>
            <w:r>
              <w:rPr>
                <w:sz w:val="21"/>
              </w:rPr>
              <w:t>线显示严重的关节（软骨和骨）破坏和关节畸形。</w:t>
            </w:r>
          </w:p>
        </w:tc>
      </w:tr>
      <w:tr>
        <w:trPr>
          <w:trHeight w:val="1938" w:hRule="atLeast"/>
        </w:trPr>
        <w:tc>
          <w:tcPr>
            <w:tcW w:w="820" w:type="dxa"/>
          </w:tcPr>
          <w:p>
            <w:pPr>
              <w:pStyle w:val="TableParagraph"/>
              <w:spacing w:before="154"/>
              <w:ind w:left="110"/>
              <w:rPr>
                <w:rFonts w:ascii="Times New Roman"/>
                <w:sz w:val="21"/>
              </w:rPr>
            </w:pPr>
            <w:r>
              <w:rPr>
                <w:rFonts w:ascii="Times New Roman"/>
                <w:sz w:val="21"/>
              </w:rPr>
              <w:t>6.33</w:t>
            </w:r>
          </w:p>
        </w:tc>
        <w:tc>
          <w:tcPr>
            <w:tcW w:w="1802" w:type="dxa"/>
          </w:tcPr>
          <w:p>
            <w:pPr>
              <w:pStyle w:val="TableParagraph"/>
              <w:spacing w:before="148"/>
              <w:ind w:left="339"/>
              <w:rPr>
                <w:b/>
                <w:sz w:val="21"/>
              </w:rPr>
            </w:pPr>
            <w:r>
              <w:rPr>
                <w:b/>
                <w:sz w:val="21"/>
              </w:rPr>
              <w:t>脊髓灰质炎</w:t>
            </w:r>
          </w:p>
        </w:tc>
        <w:tc>
          <w:tcPr>
            <w:tcW w:w="6622" w:type="dxa"/>
          </w:tcPr>
          <w:p>
            <w:pPr>
              <w:pStyle w:val="TableParagraph"/>
              <w:spacing w:line="235" w:lineRule="auto" w:before="132"/>
              <w:ind w:right="101" w:firstLine="2"/>
              <w:jc w:val="both"/>
              <w:rPr>
                <w:sz w:val="21"/>
              </w:rPr>
            </w:pPr>
            <w:r>
              <w:rPr>
                <w:sz w:val="21"/>
              </w:rPr>
              <w:t>脊髓灰质炎是由于脊髓灰质炎病毒感染所致的瘫痪性疾病，临床表现为运动功能损害或呼吸无力。脊髓灰质炎必须明确诊断。本附加合同仅对脊髓灰质炎造成的神经系统功能损害导致被保险人一肢或一肢以上肢体机能永久完全丧失的情况予以理赔。肢体机能永久完全丧失， 指疾病确诊 </w:t>
            </w:r>
            <w:r>
              <w:rPr>
                <w:rFonts w:ascii="Times New Roman" w:eastAsia="Times New Roman"/>
                <w:sz w:val="21"/>
              </w:rPr>
              <w:t>180 </w:t>
            </w:r>
            <w:r>
              <w:rPr>
                <w:sz w:val="21"/>
              </w:rPr>
              <w:t>天后，每肢三大关节中的两大关节仍然完全僵硬，或不能随意识活动。</w:t>
            </w:r>
          </w:p>
        </w:tc>
      </w:tr>
      <w:tr>
        <w:trPr>
          <w:trHeight w:val="3419" w:hRule="atLeast"/>
        </w:trPr>
        <w:tc>
          <w:tcPr>
            <w:tcW w:w="820" w:type="dxa"/>
          </w:tcPr>
          <w:p>
            <w:pPr>
              <w:pStyle w:val="TableParagraph"/>
              <w:spacing w:before="163"/>
              <w:ind w:left="110"/>
              <w:rPr>
                <w:rFonts w:ascii="Times New Roman"/>
                <w:sz w:val="21"/>
              </w:rPr>
            </w:pPr>
            <w:r>
              <w:rPr>
                <w:rFonts w:ascii="Times New Roman"/>
                <w:sz w:val="21"/>
              </w:rPr>
              <w:t>6.34</w:t>
            </w:r>
          </w:p>
        </w:tc>
        <w:tc>
          <w:tcPr>
            <w:tcW w:w="1802" w:type="dxa"/>
          </w:tcPr>
          <w:p>
            <w:pPr>
              <w:pStyle w:val="TableParagraph"/>
              <w:spacing w:line="273" w:lineRule="auto" w:before="157"/>
              <w:ind w:left="339" w:right="107"/>
              <w:jc w:val="both"/>
              <w:rPr>
                <w:b/>
                <w:sz w:val="21"/>
              </w:rPr>
            </w:pPr>
            <w:r>
              <w:rPr>
                <w:b/>
                <w:sz w:val="21"/>
              </w:rPr>
              <w:t>经输血导致的人类免疫缺陷病毒感染</w:t>
            </w:r>
          </w:p>
        </w:tc>
        <w:tc>
          <w:tcPr>
            <w:tcW w:w="6622" w:type="dxa"/>
          </w:tcPr>
          <w:p>
            <w:pPr>
              <w:pStyle w:val="TableParagraph"/>
              <w:spacing w:line="281" w:lineRule="exact" w:before="135"/>
              <w:ind w:left="111"/>
              <w:rPr>
                <w:sz w:val="21"/>
              </w:rPr>
            </w:pPr>
            <w:r>
              <w:rPr>
                <w:sz w:val="21"/>
              </w:rPr>
              <w:t>被保险人感染上人类免疫缺陷病毒（</w:t>
            </w:r>
            <w:r>
              <w:rPr>
                <w:rFonts w:ascii="Times New Roman" w:eastAsia="Times New Roman"/>
                <w:sz w:val="21"/>
              </w:rPr>
              <w:t>HIV</w:t>
            </w:r>
            <w:r>
              <w:rPr>
                <w:sz w:val="21"/>
              </w:rPr>
              <w:t>）并且满足下列全部条件：</w:t>
            </w:r>
          </w:p>
          <w:p>
            <w:pPr>
              <w:pStyle w:val="TableParagraph"/>
              <w:spacing w:line="272" w:lineRule="exact" w:before="0"/>
              <w:ind w:left="111"/>
              <w:rPr>
                <w:sz w:val="21"/>
              </w:rPr>
            </w:pPr>
            <w:r>
              <w:rPr>
                <w:sz w:val="21"/>
              </w:rPr>
              <w:t>（</w:t>
            </w:r>
            <w:r>
              <w:rPr>
                <w:rFonts w:ascii="Times New Roman" w:eastAsia="Times New Roman"/>
                <w:sz w:val="21"/>
              </w:rPr>
              <w:t>1</w:t>
            </w:r>
            <w:r>
              <w:rPr>
                <w:sz w:val="21"/>
              </w:rPr>
              <w:t>）在保障起始日或复效日之后，被保险人因输血而感染 </w:t>
            </w:r>
            <w:r>
              <w:rPr>
                <w:rFonts w:ascii="Times New Roman" w:eastAsia="Times New Roman"/>
                <w:sz w:val="21"/>
              </w:rPr>
              <w:t>HIV</w:t>
            </w:r>
            <w:r>
              <w:rPr>
                <w:sz w:val="21"/>
              </w:rPr>
              <w:t>；</w:t>
            </w:r>
          </w:p>
          <w:p>
            <w:pPr>
              <w:pStyle w:val="TableParagraph"/>
              <w:spacing w:line="223" w:lineRule="auto" w:before="12"/>
              <w:ind w:right="100" w:firstLine="2"/>
              <w:jc w:val="both"/>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line="280" w:lineRule="exact" w:before="0"/>
              <w:ind w:left="111"/>
              <w:rPr>
                <w:sz w:val="21"/>
              </w:rPr>
            </w:pPr>
            <w:r>
              <w:rPr>
                <w:sz w:val="21"/>
              </w:rPr>
              <w:t>（</w:t>
            </w:r>
            <w:r>
              <w:rPr>
                <w:rFonts w:ascii="Times New Roman" w:eastAsia="Times New Roman"/>
                <w:sz w:val="21"/>
              </w:rPr>
              <w:t>3</w:t>
            </w:r>
            <w:r>
              <w:rPr>
                <w:sz w:val="21"/>
              </w:rPr>
              <w:t>）受感染的被保险人不是血友病患者。</w:t>
            </w:r>
          </w:p>
          <w:p>
            <w:pPr>
              <w:pStyle w:val="TableParagraph"/>
              <w:spacing w:line="225" w:lineRule="auto" w:before="7"/>
              <w:ind w:right="74" w:firstLine="2"/>
              <w:jc w:val="both"/>
              <w:rPr>
                <w:sz w:val="21"/>
              </w:rPr>
            </w:pPr>
            <w:r>
              <w:rPr>
                <w:spacing w:val="-3"/>
                <w:sz w:val="21"/>
              </w:rPr>
              <w:t>在任何治愈艾滋病</w:t>
            </w:r>
            <w:r>
              <w:rPr>
                <w:sz w:val="21"/>
              </w:rPr>
              <w:t>（</w:t>
            </w:r>
            <w:r>
              <w:rPr>
                <w:rFonts w:ascii="Times New Roman" w:eastAsia="Times New Roman"/>
                <w:sz w:val="21"/>
              </w:rPr>
              <w:t>AIDS</w:t>
            </w:r>
            <w:r>
              <w:rPr>
                <w:sz w:val="21"/>
              </w:rPr>
              <w:t>）</w:t>
            </w:r>
            <w:r>
              <w:rPr>
                <w:spacing w:val="-13"/>
                <w:sz w:val="21"/>
              </w:rPr>
              <w:t>或阻止 </w:t>
            </w:r>
            <w:r>
              <w:rPr>
                <w:rFonts w:ascii="Times New Roman" w:eastAsia="Times New Roman"/>
                <w:sz w:val="21"/>
              </w:rPr>
              <w:t>HIV </w:t>
            </w:r>
            <w:r>
              <w:rPr>
                <w:spacing w:val="-3"/>
                <w:sz w:val="21"/>
              </w:rPr>
              <w:t>病毒作用的疗法被发现以后， </w:t>
            </w:r>
            <w:r>
              <w:rPr>
                <w:spacing w:val="-12"/>
                <w:sz w:val="21"/>
              </w:rPr>
              <w:t>或能防止 </w:t>
            </w:r>
            <w:r>
              <w:rPr>
                <w:rFonts w:ascii="Times New Roman" w:eastAsia="Times New Roman"/>
                <w:sz w:val="21"/>
              </w:rPr>
              <w:t>AIDS </w:t>
            </w:r>
            <w:r>
              <w:rPr>
                <w:spacing w:val="-8"/>
                <w:sz w:val="21"/>
              </w:rPr>
              <w:t>发生的医疗方法被研究出来以后，本附加合同将不再予</w:t>
            </w:r>
            <w:r>
              <w:rPr>
                <w:spacing w:val="-1"/>
                <w:sz w:val="21"/>
              </w:rPr>
              <w:t>以赔付。</w:t>
            </w:r>
          </w:p>
          <w:p>
            <w:pPr>
              <w:pStyle w:val="TableParagraph"/>
              <w:spacing w:line="264" w:lineRule="auto" w:before="19"/>
              <w:ind w:right="100"/>
              <w:jc w:val="both"/>
              <w:rPr>
                <w:sz w:val="21"/>
              </w:rPr>
            </w:pPr>
            <w:r>
              <w:rPr>
                <w:sz w:val="21"/>
              </w:rPr>
              <w:t>任何因其他传播方式（包括：性传播或静脉注射毒品）导致的 </w:t>
            </w:r>
            <w:r>
              <w:rPr>
                <w:rFonts w:ascii="Times New Roman" w:eastAsia="Times New Roman"/>
                <w:sz w:val="21"/>
              </w:rPr>
              <w:t>HIV </w:t>
            </w:r>
            <w:r>
              <w:rPr>
                <w:sz w:val="21"/>
              </w:rPr>
              <w:t>感染不在本附加合同保障范围内。保险公司必须拥有获得使用被保险人的所有血液样本的权利和能够对这些样本进行独立检验的权利。</w:t>
            </w:r>
          </w:p>
        </w:tc>
      </w:tr>
      <w:tr>
        <w:trPr>
          <w:trHeight w:val="1304" w:hRule="atLeast"/>
        </w:trPr>
        <w:tc>
          <w:tcPr>
            <w:tcW w:w="820" w:type="dxa"/>
          </w:tcPr>
          <w:p>
            <w:pPr>
              <w:pStyle w:val="TableParagraph"/>
              <w:spacing w:before="171"/>
              <w:ind w:left="110"/>
              <w:rPr>
                <w:rFonts w:ascii="Times New Roman"/>
                <w:sz w:val="21"/>
              </w:rPr>
            </w:pPr>
            <w:r>
              <w:rPr>
                <w:rFonts w:ascii="Times New Roman"/>
                <w:sz w:val="21"/>
              </w:rPr>
              <w:t>6.35</w:t>
            </w:r>
          </w:p>
        </w:tc>
        <w:tc>
          <w:tcPr>
            <w:tcW w:w="1802" w:type="dxa"/>
          </w:tcPr>
          <w:p>
            <w:pPr>
              <w:pStyle w:val="TableParagraph"/>
              <w:spacing w:before="165"/>
              <w:ind w:left="339"/>
              <w:rPr>
                <w:b/>
                <w:sz w:val="21"/>
              </w:rPr>
            </w:pPr>
            <w:r>
              <w:rPr>
                <w:b/>
                <w:sz w:val="21"/>
              </w:rPr>
              <w:t>严重克隆病</w:t>
            </w:r>
          </w:p>
        </w:tc>
        <w:tc>
          <w:tcPr>
            <w:tcW w:w="6622" w:type="dxa"/>
          </w:tcPr>
          <w:p>
            <w:pPr>
              <w:pStyle w:val="TableParagraph"/>
              <w:spacing w:line="273" w:lineRule="auto" w:before="165"/>
              <w:ind w:right="102"/>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603" w:hRule="atLeast"/>
        </w:trPr>
        <w:tc>
          <w:tcPr>
            <w:tcW w:w="820" w:type="dxa"/>
            <w:tcBorders>
              <w:bottom w:val="single" w:sz="4" w:space="0" w:color="000000"/>
            </w:tcBorders>
          </w:tcPr>
          <w:p>
            <w:pPr>
              <w:pStyle w:val="TableParagraph"/>
              <w:spacing w:before="225"/>
              <w:ind w:left="110"/>
              <w:rPr>
                <w:rFonts w:ascii="Times New Roman"/>
                <w:b/>
                <w:sz w:val="24"/>
              </w:rPr>
            </w:pPr>
            <w:r>
              <w:rPr>
                <w:rFonts w:ascii="Times New Roman"/>
                <w:b/>
                <w:sz w:val="24"/>
              </w:rPr>
              <w:t>7</w:t>
            </w:r>
          </w:p>
        </w:tc>
        <w:tc>
          <w:tcPr>
            <w:tcW w:w="1802" w:type="dxa"/>
            <w:tcBorders>
              <w:bottom w:val="single" w:sz="4" w:space="0" w:color="000000"/>
            </w:tcBorders>
          </w:tcPr>
          <w:p>
            <w:pPr>
              <w:pStyle w:val="TableParagraph"/>
              <w:spacing w:before="164"/>
              <w:ind w:left="339"/>
              <w:rPr>
                <w:b/>
                <w:sz w:val="24"/>
              </w:rPr>
            </w:pPr>
            <w:r>
              <w:rPr>
                <w:b/>
                <w:sz w:val="24"/>
              </w:rPr>
              <w:t>释义</w:t>
            </w:r>
          </w:p>
        </w:tc>
        <w:tc>
          <w:tcPr>
            <w:tcW w:w="6622" w:type="dxa"/>
            <w:tcBorders>
              <w:bottom w:val="single" w:sz="4" w:space="0" w:color="000000"/>
            </w:tcBorders>
          </w:tcPr>
          <w:p>
            <w:pPr>
              <w:pStyle w:val="TableParagraph"/>
              <w:spacing w:before="0"/>
              <w:ind w:left="0"/>
              <w:rPr>
                <w:rFonts w:ascii="Times New Roman"/>
                <w:sz w:val="20"/>
              </w:rPr>
            </w:pPr>
          </w:p>
        </w:tc>
      </w:tr>
      <w:tr>
        <w:trPr>
          <w:trHeight w:val="937" w:hRule="atLeast"/>
        </w:trPr>
        <w:tc>
          <w:tcPr>
            <w:tcW w:w="820" w:type="dxa"/>
            <w:tcBorders>
              <w:top w:val="single" w:sz="4" w:space="0" w:color="000000"/>
            </w:tcBorders>
          </w:tcPr>
          <w:p>
            <w:pPr>
              <w:pStyle w:val="TableParagraph"/>
              <w:spacing w:before="34"/>
              <w:ind w:left="110"/>
              <w:rPr>
                <w:rFonts w:ascii="Times New Roman"/>
                <w:sz w:val="21"/>
              </w:rPr>
            </w:pPr>
            <w:r>
              <w:rPr>
                <w:rFonts w:ascii="Times New Roman"/>
                <w:sz w:val="21"/>
              </w:rPr>
              <w:t>7.1</w:t>
            </w:r>
          </w:p>
        </w:tc>
        <w:tc>
          <w:tcPr>
            <w:tcW w:w="1802" w:type="dxa"/>
            <w:tcBorders>
              <w:top w:val="single" w:sz="4" w:space="0" w:color="000000"/>
            </w:tcBorders>
          </w:tcPr>
          <w:p>
            <w:pPr>
              <w:pStyle w:val="TableParagraph"/>
              <w:spacing w:line="262" w:lineRule="exact" w:before="0"/>
              <w:ind w:left="339"/>
              <w:rPr>
                <w:b/>
                <w:sz w:val="21"/>
              </w:rPr>
            </w:pPr>
            <w:r>
              <w:rPr>
                <w:b/>
                <w:sz w:val="21"/>
              </w:rPr>
              <w:t>发病</w:t>
            </w:r>
          </w:p>
        </w:tc>
        <w:tc>
          <w:tcPr>
            <w:tcW w:w="6622" w:type="dxa"/>
            <w:tcBorders>
              <w:top w:val="single" w:sz="4" w:space="0" w:color="000000"/>
            </w:tcBorders>
          </w:tcPr>
          <w:p>
            <w:pPr>
              <w:pStyle w:val="TableParagraph"/>
              <w:spacing w:line="246" w:lineRule="exact" w:before="0"/>
              <w:rPr>
                <w:sz w:val="21"/>
              </w:rPr>
            </w:pPr>
            <w:r>
              <w:rPr>
                <w:sz w:val="21"/>
              </w:rPr>
              <w:t>发病是指出现第 </w:t>
            </w:r>
            <w:r>
              <w:rPr>
                <w:rFonts w:ascii="Times New Roman" w:eastAsia="Times New Roman"/>
                <w:sz w:val="21"/>
              </w:rPr>
              <w:t>6  </w:t>
            </w:r>
            <w:r>
              <w:rPr>
                <w:sz w:val="21"/>
              </w:rPr>
              <w:t>条约定的疾病前兆或异常身体状况，该疾病前兆或</w:t>
            </w:r>
          </w:p>
          <w:p>
            <w:pPr>
              <w:pStyle w:val="TableParagraph"/>
              <w:spacing w:line="237" w:lineRule="auto" w:before="0"/>
              <w:ind w:right="129"/>
              <w:rPr>
                <w:sz w:val="21"/>
              </w:rPr>
            </w:pPr>
            <w:r>
              <w:rPr>
                <w:sz w:val="21"/>
              </w:rPr>
              <w:t>异常身体状况按常识足以引起或应当引起被保险人或被保险人的监护人注意并寻求检查、诊断、治疗或护理。</w:t>
            </w:r>
          </w:p>
        </w:tc>
      </w:tr>
      <w:tr>
        <w:trPr>
          <w:trHeight w:val="1835" w:hRule="atLeast"/>
        </w:trPr>
        <w:tc>
          <w:tcPr>
            <w:tcW w:w="820" w:type="dxa"/>
          </w:tcPr>
          <w:p>
            <w:pPr>
              <w:pStyle w:val="TableParagraph"/>
              <w:spacing w:before="154"/>
              <w:ind w:left="110"/>
              <w:rPr>
                <w:rFonts w:ascii="Times New Roman"/>
                <w:sz w:val="21"/>
              </w:rPr>
            </w:pPr>
            <w:r>
              <w:rPr>
                <w:rFonts w:ascii="Times New Roman"/>
                <w:sz w:val="21"/>
              </w:rPr>
              <w:t>7.2</w:t>
            </w:r>
          </w:p>
        </w:tc>
        <w:tc>
          <w:tcPr>
            <w:tcW w:w="1802" w:type="dxa"/>
          </w:tcPr>
          <w:p>
            <w:pPr>
              <w:pStyle w:val="TableParagraph"/>
              <w:spacing w:line="237" w:lineRule="auto" w:before="88"/>
              <w:ind w:left="339" w:right="107"/>
              <w:jc w:val="both"/>
              <w:rPr>
                <w:b/>
                <w:sz w:val="21"/>
              </w:rPr>
            </w:pPr>
            <w:r>
              <w:rPr>
                <w:b/>
                <w:sz w:val="21"/>
              </w:rPr>
              <w:t>语言能力或咀嚼吞咽能力完全丧失</w:t>
            </w:r>
          </w:p>
        </w:tc>
        <w:tc>
          <w:tcPr>
            <w:tcW w:w="6622" w:type="dxa"/>
          </w:tcPr>
          <w:p>
            <w:pPr>
              <w:pStyle w:val="TableParagraph"/>
              <w:spacing w:line="273" w:lineRule="auto" w:before="107"/>
              <w:ind w:right="204"/>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rPr>
                <w:sz w:val="21"/>
              </w:rPr>
            </w:pPr>
            <w:r>
              <w:rPr>
                <w:spacing w:val="-3"/>
                <w:sz w:val="21"/>
              </w:rPr>
              <w:t>咀嚼吞咽能力完全丧失，指因牙齿以外的原因导致器质障碍或机能障 碍，以致不能作咀嚼吞咽运动，除流质食物外不能摄取或吞咽的状态。</w:t>
            </w:r>
          </w:p>
        </w:tc>
      </w:tr>
      <w:tr>
        <w:trPr>
          <w:trHeight w:val="1872" w:hRule="atLeast"/>
        </w:trPr>
        <w:tc>
          <w:tcPr>
            <w:tcW w:w="820" w:type="dxa"/>
          </w:tcPr>
          <w:p>
            <w:pPr>
              <w:pStyle w:val="TableParagraph"/>
              <w:spacing w:before="191"/>
              <w:ind w:left="110"/>
              <w:rPr>
                <w:rFonts w:ascii="Times New Roman"/>
                <w:sz w:val="21"/>
              </w:rPr>
            </w:pPr>
            <w:r>
              <w:rPr>
                <w:rFonts w:ascii="Times New Roman"/>
                <w:sz w:val="21"/>
              </w:rPr>
              <w:t>7.3</w:t>
            </w:r>
          </w:p>
        </w:tc>
        <w:tc>
          <w:tcPr>
            <w:tcW w:w="1802" w:type="dxa"/>
          </w:tcPr>
          <w:p>
            <w:pPr>
              <w:pStyle w:val="TableParagraph"/>
              <w:spacing w:line="273" w:lineRule="auto" w:before="144"/>
              <w:ind w:left="339" w:right="107"/>
              <w:rPr>
                <w:b/>
                <w:sz w:val="21"/>
              </w:rPr>
            </w:pPr>
            <w:r>
              <w:rPr>
                <w:b/>
                <w:sz w:val="21"/>
              </w:rPr>
              <w:t>感染艾滋病病毒或患艾滋病</w:t>
            </w:r>
          </w:p>
        </w:tc>
        <w:tc>
          <w:tcPr>
            <w:tcW w:w="6622" w:type="dxa"/>
          </w:tcPr>
          <w:p>
            <w:pPr>
              <w:pStyle w:val="TableParagraph"/>
              <w:spacing w:line="256" w:lineRule="auto" w:before="144"/>
              <w:ind w:right="101"/>
              <w:jc w:val="both"/>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line="273" w:lineRule="auto" w:before="4"/>
              <w:ind w:right="102"/>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734" w:hRule="atLeast"/>
        </w:trPr>
        <w:tc>
          <w:tcPr>
            <w:tcW w:w="820" w:type="dxa"/>
          </w:tcPr>
          <w:p>
            <w:pPr>
              <w:pStyle w:val="TableParagraph"/>
              <w:spacing w:before="191"/>
              <w:ind w:left="110"/>
              <w:rPr>
                <w:rFonts w:ascii="Times New Roman"/>
                <w:sz w:val="21"/>
              </w:rPr>
            </w:pPr>
            <w:r>
              <w:rPr>
                <w:rFonts w:ascii="Times New Roman"/>
                <w:sz w:val="21"/>
              </w:rPr>
              <w:t>7.4</w:t>
            </w:r>
          </w:p>
        </w:tc>
        <w:tc>
          <w:tcPr>
            <w:tcW w:w="1802" w:type="dxa"/>
          </w:tcPr>
          <w:p>
            <w:pPr>
              <w:pStyle w:val="TableParagraph"/>
              <w:spacing w:before="144"/>
              <w:ind w:left="339"/>
              <w:rPr>
                <w:b/>
                <w:sz w:val="21"/>
              </w:rPr>
            </w:pPr>
            <w:r>
              <w:rPr>
                <w:b/>
                <w:sz w:val="21"/>
              </w:rPr>
              <w:t>永久不可逆</w:t>
            </w:r>
          </w:p>
        </w:tc>
        <w:tc>
          <w:tcPr>
            <w:tcW w:w="6622" w:type="dxa"/>
          </w:tcPr>
          <w:p>
            <w:pPr>
              <w:pStyle w:val="TableParagraph"/>
              <w:spacing w:line="290" w:lineRule="atLeast" w:before="144"/>
              <w:ind w:right="10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spacing w:after="0" w:line="290" w:lineRule="atLeast"/>
        <w:rPr>
          <w:sz w:val="21"/>
        </w:rPr>
        <w:sectPr>
          <w:pgSz w:w="11910" w:h="16840"/>
          <w:pgMar w:header="0" w:footer="773" w:top="1140" w:bottom="960" w:left="820" w:right="16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802"/>
        <w:gridCol w:w="6622"/>
      </w:tblGrid>
      <w:tr>
        <w:trPr>
          <w:trHeight w:val="734" w:hRule="atLeast"/>
        </w:trPr>
        <w:tc>
          <w:tcPr>
            <w:tcW w:w="818" w:type="dxa"/>
          </w:tcPr>
          <w:p>
            <w:pPr>
              <w:pStyle w:val="TableParagraph"/>
              <w:spacing w:line="230" w:lineRule="exact" w:before="0"/>
              <w:ind w:left="108"/>
              <w:rPr>
                <w:rFonts w:ascii="Times New Roman"/>
                <w:sz w:val="21"/>
              </w:rPr>
            </w:pPr>
            <w:r>
              <w:rPr>
                <w:rFonts w:ascii="Times New Roman"/>
                <w:sz w:val="21"/>
              </w:rPr>
              <w:t>7.5</w:t>
            </w:r>
          </w:p>
        </w:tc>
        <w:tc>
          <w:tcPr>
            <w:tcW w:w="1802" w:type="dxa"/>
          </w:tcPr>
          <w:p>
            <w:pPr>
              <w:pStyle w:val="TableParagraph"/>
              <w:spacing w:line="217" w:lineRule="exact" w:before="0"/>
              <w:ind w:left="341"/>
              <w:rPr>
                <w:b/>
                <w:sz w:val="21"/>
              </w:rPr>
            </w:pPr>
            <w:r>
              <w:rPr>
                <w:b/>
                <w:sz w:val="21"/>
              </w:rPr>
              <w:t>遗传性疾病</w:t>
            </w:r>
          </w:p>
        </w:tc>
        <w:tc>
          <w:tcPr>
            <w:tcW w:w="6622" w:type="dxa"/>
          </w:tcPr>
          <w:p>
            <w:pPr>
              <w:pStyle w:val="TableParagraph"/>
              <w:spacing w:line="217" w:lineRule="exact" w:before="0"/>
              <w:rPr>
                <w:sz w:val="21"/>
              </w:rPr>
            </w:pPr>
            <w:r>
              <w:rPr>
                <w:sz w:val="21"/>
              </w:rPr>
              <w:t>指生殖细胞或受精卵的遗传物质（染色体和基因）发生突变或畸变所</w:t>
            </w:r>
          </w:p>
          <w:p>
            <w:pPr>
              <w:pStyle w:val="TableParagraph"/>
              <w:spacing w:before="37"/>
              <w:rPr>
                <w:sz w:val="21"/>
              </w:rPr>
            </w:pPr>
            <w:r>
              <w:rPr>
                <w:sz w:val="21"/>
              </w:rPr>
              <w:t>引起的疾病，通常具有由亲代传至后代的垂直传递的特征。</w:t>
            </w:r>
          </w:p>
        </w:tc>
      </w:tr>
      <w:tr>
        <w:trPr>
          <w:trHeight w:val="1325" w:hRule="atLeast"/>
        </w:trPr>
        <w:tc>
          <w:tcPr>
            <w:tcW w:w="818" w:type="dxa"/>
          </w:tcPr>
          <w:p>
            <w:pPr>
              <w:pStyle w:val="TableParagraph"/>
              <w:spacing w:before="190"/>
              <w:ind w:left="108"/>
              <w:rPr>
                <w:rFonts w:ascii="Times New Roman"/>
                <w:sz w:val="21"/>
              </w:rPr>
            </w:pPr>
            <w:r>
              <w:rPr>
                <w:rFonts w:ascii="Times New Roman"/>
                <w:sz w:val="21"/>
              </w:rPr>
              <w:t>7.6</w:t>
            </w:r>
          </w:p>
        </w:tc>
        <w:tc>
          <w:tcPr>
            <w:tcW w:w="1802" w:type="dxa"/>
          </w:tcPr>
          <w:p>
            <w:pPr>
              <w:pStyle w:val="TableParagraph"/>
              <w:spacing w:line="273" w:lineRule="auto" w:before="143"/>
              <w:ind w:left="341" w:right="105"/>
              <w:jc w:val="both"/>
              <w:rPr>
                <w:b/>
                <w:sz w:val="21"/>
              </w:rPr>
            </w:pPr>
            <w:r>
              <w:rPr>
                <w:b/>
                <w:sz w:val="21"/>
              </w:rPr>
              <w:t>先天性畸形、变形或染色体异常</w:t>
            </w:r>
          </w:p>
        </w:tc>
        <w:tc>
          <w:tcPr>
            <w:tcW w:w="6622" w:type="dxa"/>
          </w:tcPr>
          <w:p>
            <w:pPr>
              <w:pStyle w:val="TableParagraph"/>
              <w:spacing w:line="273" w:lineRule="auto" w:before="143"/>
              <w:ind w:right="101"/>
              <w:jc w:val="both"/>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2573" w:hRule="atLeast"/>
        </w:trPr>
        <w:tc>
          <w:tcPr>
            <w:tcW w:w="818" w:type="dxa"/>
          </w:tcPr>
          <w:p>
            <w:pPr>
              <w:pStyle w:val="TableParagraph"/>
              <w:spacing w:before="3"/>
              <w:ind w:left="0"/>
              <w:rPr>
                <w:sz w:val="19"/>
              </w:rPr>
            </w:pPr>
          </w:p>
          <w:p>
            <w:pPr>
              <w:pStyle w:val="TableParagraph"/>
              <w:spacing w:before="0"/>
              <w:ind w:left="108"/>
              <w:rPr>
                <w:rFonts w:ascii="Times New Roman"/>
                <w:sz w:val="21"/>
              </w:rPr>
            </w:pPr>
            <w:r>
              <w:rPr>
                <w:rFonts w:ascii="Times New Roman"/>
                <w:sz w:val="21"/>
              </w:rPr>
              <w:t>7.7</w:t>
            </w:r>
          </w:p>
        </w:tc>
        <w:tc>
          <w:tcPr>
            <w:tcW w:w="1802" w:type="dxa"/>
          </w:tcPr>
          <w:p>
            <w:pPr>
              <w:pStyle w:val="TableParagraph"/>
              <w:spacing w:before="9"/>
              <w:ind w:left="0"/>
              <w:rPr>
                <w:sz w:val="15"/>
              </w:rPr>
            </w:pPr>
          </w:p>
          <w:p>
            <w:pPr>
              <w:pStyle w:val="TableParagraph"/>
              <w:spacing w:before="0"/>
              <w:ind w:left="341"/>
              <w:rPr>
                <w:b/>
                <w:sz w:val="21"/>
              </w:rPr>
            </w:pPr>
            <w:r>
              <w:rPr>
                <w:b/>
                <w:sz w:val="21"/>
              </w:rPr>
              <w:t>专科医生</w:t>
            </w:r>
          </w:p>
        </w:tc>
        <w:tc>
          <w:tcPr>
            <w:tcW w:w="6622" w:type="dxa"/>
          </w:tcPr>
          <w:p>
            <w:pPr>
              <w:pStyle w:val="TableParagraph"/>
              <w:spacing w:before="9"/>
              <w:ind w:left="0"/>
              <w:rPr>
                <w:sz w:val="15"/>
              </w:rPr>
            </w:pPr>
          </w:p>
          <w:p>
            <w:pPr>
              <w:pStyle w:val="TableParagraph"/>
              <w:spacing w:before="0"/>
              <w:rPr>
                <w:sz w:val="21"/>
              </w:rPr>
            </w:pPr>
            <w:r>
              <w:rPr>
                <w:sz w:val="21"/>
              </w:rPr>
              <w:t>专科医生应当同时满足以下四项资格条件：</w:t>
            </w:r>
          </w:p>
          <w:p>
            <w:pPr>
              <w:pStyle w:val="TableParagraph"/>
              <w:spacing w:before="37"/>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56" w:lineRule="auto" w:before="21"/>
              <w:ind w:right="105"/>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line="256" w:lineRule="auto" w:before="23"/>
              <w:ind w:right="101"/>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22"/>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2526" w:hRule="atLeast"/>
        </w:trPr>
        <w:tc>
          <w:tcPr>
            <w:tcW w:w="818" w:type="dxa"/>
          </w:tcPr>
          <w:p>
            <w:pPr>
              <w:pStyle w:val="TableParagraph"/>
              <w:spacing w:before="190"/>
              <w:ind w:left="108"/>
              <w:rPr>
                <w:rFonts w:ascii="Times New Roman"/>
                <w:sz w:val="21"/>
              </w:rPr>
            </w:pPr>
            <w:r>
              <w:rPr>
                <w:rFonts w:ascii="Times New Roman"/>
                <w:sz w:val="21"/>
              </w:rPr>
              <w:t>7.8</w:t>
            </w:r>
          </w:p>
        </w:tc>
        <w:tc>
          <w:tcPr>
            <w:tcW w:w="1802" w:type="dxa"/>
          </w:tcPr>
          <w:p>
            <w:pPr>
              <w:pStyle w:val="TableParagraph"/>
              <w:spacing w:line="273" w:lineRule="auto" w:before="143"/>
              <w:ind w:left="341" w:right="105"/>
              <w:rPr>
                <w:b/>
                <w:sz w:val="21"/>
              </w:rPr>
            </w:pPr>
            <w:r>
              <w:rPr>
                <w:b/>
                <w:sz w:val="21"/>
              </w:rPr>
              <w:t>六项基本日常生活活动</w:t>
            </w:r>
          </w:p>
        </w:tc>
        <w:tc>
          <w:tcPr>
            <w:tcW w:w="6622" w:type="dxa"/>
          </w:tcPr>
          <w:p>
            <w:pPr>
              <w:pStyle w:val="TableParagraph"/>
              <w:spacing w:before="143"/>
              <w:rPr>
                <w:sz w:val="21"/>
              </w:rPr>
            </w:pPr>
            <w:r>
              <w:rPr>
                <w:sz w:val="21"/>
              </w:rPr>
              <w:t>六项基本日常生活活动是指：</w:t>
            </w:r>
          </w:p>
          <w:p>
            <w:pPr>
              <w:pStyle w:val="TableParagraph"/>
              <w:spacing w:before="37"/>
              <w:rPr>
                <w:sz w:val="21"/>
              </w:rPr>
            </w:pPr>
            <w:r>
              <w:rPr>
                <w:sz w:val="21"/>
              </w:rPr>
              <w:t>（</w:t>
            </w:r>
            <w:r>
              <w:rPr>
                <w:rFonts w:ascii="Times New Roman" w:eastAsia="Times New Roman"/>
                <w:sz w:val="21"/>
              </w:rPr>
              <w:t>1</w:t>
            </w:r>
            <w:r>
              <w:rPr>
                <w:sz w:val="21"/>
              </w:rPr>
              <w:t>）穿衣：自己能够穿衣及脱衣；</w:t>
            </w:r>
          </w:p>
          <w:p>
            <w:pPr>
              <w:pStyle w:val="TableParagraph"/>
              <w:spacing w:before="21"/>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rPr>
                <w:sz w:val="21"/>
              </w:rPr>
            </w:pPr>
            <w:r>
              <w:rPr>
                <w:sz w:val="21"/>
              </w:rPr>
              <w:t>（</w:t>
            </w:r>
            <w:r>
              <w:rPr>
                <w:rFonts w:ascii="Times New Roman" w:eastAsia="Times New Roman"/>
                <w:sz w:val="21"/>
              </w:rPr>
              <w:t>3</w:t>
            </w:r>
            <w:r>
              <w:rPr>
                <w:sz w:val="21"/>
              </w:rPr>
              <w:t>）行动：自己上下床或上下轮椅；</w:t>
            </w:r>
          </w:p>
          <w:p>
            <w:pPr>
              <w:pStyle w:val="TableParagraph"/>
              <w:spacing w:before="21"/>
              <w:rPr>
                <w:sz w:val="21"/>
              </w:rPr>
            </w:pPr>
            <w:r>
              <w:rPr>
                <w:sz w:val="21"/>
              </w:rPr>
              <w:t>（</w:t>
            </w:r>
            <w:r>
              <w:rPr>
                <w:rFonts w:ascii="Times New Roman" w:eastAsia="Times New Roman"/>
                <w:sz w:val="21"/>
              </w:rPr>
              <w:t>4</w:t>
            </w:r>
            <w:r>
              <w:rPr>
                <w:sz w:val="21"/>
              </w:rPr>
              <w:t>）如厕：自己控制进行大小便；</w:t>
            </w:r>
          </w:p>
          <w:p>
            <w:pPr>
              <w:pStyle w:val="TableParagraph"/>
              <w:spacing w:before="21"/>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1"/>
              <w:rPr>
                <w:sz w:val="21"/>
              </w:rPr>
            </w:pPr>
            <w:r>
              <w:rPr>
                <w:sz w:val="21"/>
              </w:rPr>
              <w:t>（</w:t>
            </w:r>
            <w:r>
              <w:rPr>
                <w:rFonts w:ascii="Times New Roman" w:eastAsia="Times New Roman"/>
                <w:sz w:val="21"/>
              </w:rPr>
              <w:t>6</w:t>
            </w:r>
            <w:r>
              <w:rPr>
                <w:sz w:val="21"/>
              </w:rPr>
              <w:t>）洗澡：自己进行淋浴或盆浴。</w:t>
            </w:r>
          </w:p>
        </w:tc>
      </w:tr>
      <w:tr>
        <w:trPr>
          <w:trHeight w:val="999" w:hRule="atLeast"/>
        </w:trPr>
        <w:tc>
          <w:tcPr>
            <w:tcW w:w="818" w:type="dxa"/>
          </w:tcPr>
          <w:p>
            <w:pPr>
              <w:pStyle w:val="TableParagraph"/>
              <w:spacing w:before="9"/>
              <w:ind w:left="0"/>
              <w:rPr>
                <w:sz w:val="15"/>
              </w:rPr>
            </w:pPr>
          </w:p>
          <w:p>
            <w:pPr>
              <w:pStyle w:val="TableParagraph"/>
              <w:spacing w:before="0"/>
              <w:ind w:left="108"/>
              <w:rPr>
                <w:rFonts w:ascii="Times New Roman"/>
                <w:sz w:val="21"/>
              </w:rPr>
            </w:pPr>
            <w:r>
              <w:rPr>
                <w:rFonts w:ascii="Times New Roman"/>
                <w:sz w:val="21"/>
              </w:rPr>
              <w:t>7.9</w:t>
            </w:r>
          </w:p>
        </w:tc>
        <w:tc>
          <w:tcPr>
            <w:tcW w:w="1802" w:type="dxa"/>
          </w:tcPr>
          <w:p>
            <w:pPr>
              <w:pStyle w:val="TableParagraph"/>
              <w:spacing w:line="273" w:lineRule="auto" w:before="158"/>
              <w:ind w:left="341" w:right="105"/>
              <w:rPr>
                <w:b/>
                <w:sz w:val="21"/>
              </w:rPr>
            </w:pPr>
            <w:r>
              <w:rPr>
                <w:b/>
                <w:sz w:val="21"/>
              </w:rPr>
              <w:t>肢体机能完全丧失</w:t>
            </w:r>
          </w:p>
        </w:tc>
        <w:tc>
          <w:tcPr>
            <w:tcW w:w="6622" w:type="dxa"/>
          </w:tcPr>
          <w:p>
            <w:pPr>
              <w:pStyle w:val="TableParagraph"/>
              <w:spacing w:line="273" w:lineRule="auto" w:before="158"/>
              <w:ind w:right="204"/>
              <w:rPr>
                <w:sz w:val="21"/>
              </w:rPr>
            </w:pPr>
            <w:r>
              <w:rPr>
                <w:sz w:val="21"/>
              </w:rPr>
              <w:t>肢体机能完全丧失指肢体的三大关节中的两大关节僵硬，或不能随意识活动。肢体是指包括肩关节的整个上肢或包括髋关节的整个下肢。</w:t>
            </w:r>
          </w:p>
        </w:tc>
      </w:tr>
      <w:tr>
        <w:trPr>
          <w:trHeight w:val="1270" w:hRule="atLeast"/>
        </w:trPr>
        <w:tc>
          <w:tcPr>
            <w:tcW w:w="818" w:type="dxa"/>
          </w:tcPr>
          <w:p>
            <w:pPr>
              <w:pStyle w:val="TableParagraph"/>
              <w:spacing w:before="3"/>
              <w:ind w:left="0"/>
              <w:rPr>
                <w:sz w:val="18"/>
              </w:rPr>
            </w:pPr>
          </w:p>
          <w:p>
            <w:pPr>
              <w:pStyle w:val="TableParagraph"/>
              <w:spacing w:before="0"/>
              <w:ind w:left="108"/>
              <w:rPr>
                <w:rFonts w:ascii="Times New Roman"/>
                <w:sz w:val="21"/>
              </w:rPr>
            </w:pPr>
            <w:r>
              <w:rPr>
                <w:rFonts w:ascii="Times New Roman"/>
                <w:sz w:val="21"/>
              </w:rPr>
              <w:t>7.10</w:t>
            </w:r>
          </w:p>
        </w:tc>
        <w:tc>
          <w:tcPr>
            <w:tcW w:w="1802" w:type="dxa"/>
          </w:tcPr>
          <w:p>
            <w:pPr>
              <w:pStyle w:val="TableParagraph"/>
              <w:spacing w:line="273" w:lineRule="auto" w:before="191"/>
              <w:ind w:left="341" w:right="105"/>
              <w:jc w:val="both"/>
              <w:rPr>
                <w:b/>
                <w:sz w:val="21"/>
              </w:rPr>
            </w:pPr>
            <w:r>
              <w:rPr>
                <w:b/>
                <w:spacing w:val="11"/>
                <w:sz w:val="21"/>
              </w:rPr>
              <w:t>美国纽约心脏病学会心功能</w:t>
            </w:r>
            <w:r>
              <w:rPr>
                <w:b/>
                <w:spacing w:val="15"/>
                <w:sz w:val="21"/>
              </w:rPr>
              <w:t>状态分级</w:t>
            </w:r>
            <w:r>
              <w:rPr>
                <w:rFonts w:ascii="Times New Roman" w:eastAsia="Times New Roman"/>
                <w:b/>
                <w:sz w:val="21"/>
              </w:rPr>
              <w:t>IV</w:t>
            </w:r>
            <w:r>
              <w:rPr>
                <w:rFonts w:ascii="Times New Roman" w:eastAsia="Times New Roman"/>
                <w:b/>
                <w:spacing w:val="-20"/>
                <w:sz w:val="21"/>
              </w:rPr>
              <w:t> </w:t>
            </w:r>
            <w:r>
              <w:rPr>
                <w:b/>
                <w:sz w:val="21"/>
              </w:rPr>
              <w:t>级</w:t>
            </w:r>
          </w:p>
        </w:tc>
        <w:tc>
          <w:tcPr>
            <w:tcW w:w="6622" w:type="dxa"/>
          </w:tcPr>
          <w:p>
            <w:pPr>
              <w:pStyle w:val="TableParagraph"/>
              <w:spacing w:before="8"/>
              <w:ind w:left="0"/>
              <w:rPr>
                <w:sz w:val="14"/>
              </w:rPr>
            </w:pPr>
          </w:p>
          <w:p>
            <w:pPr>
              <w:pStyle w:val="TableParagraph"/>
              <w:spacing w:line="273" w:lineRule="auto" w:before="0"/>
              <w:ind w:right="102"/>
              <w:jc w:val="both"/>
              <w:rPr>
                <w:sz w:val="21"/>
              </w:rPr>
            </w:pPr>
            <w:r>
              <w:rPr>
                <w:sz w:val="21"/>
              </w:rPr>
              <w:t>心功能状态分级Ⅳ级是指被保险人不能无症状地进行任何体力活动， 休息时也会出现心力衰竭或心绞痛的症状，任何体力活动都会加重病情。</w:t>
            </w:r>
          </w:p>
        </w:tc>
      </w:tr>
      <w:tr>
        <w:trPr>
          <w:trHeight w:val="547" w:hRule="atLeast"/>
        </w:trPr>
        <w:tc>
          <w:tcPr>
            <w:tcW w:w="818" w:type="dxa"/>
            <w:tcBorders>
              <w:bottom w:val="single" w:sz="4" w:space="0" w:color="000000"/>
            </w:tcBorders>
          </w:tcPr>
          <w:p>
            <w:pPr>
              <w:pStyle w:val="TableParagraph"/>
              <w:spacing w:before="147"/>
              <w:ind w:left="108"/>
              <w:rPr>
                <w:rFonts w:ascii="Times New Roman"/>
                <w:b/>
                <w:sz w:val="24"/>
              </w:rPr>
            </w:pPr>
            <w:r>
              <w:rPr>
                <w:rFonts w:ascii="Times New Roman"/>
                <w:b/>
                <w:sz w:val="24"/>
              </w:rPr>
              <w:t>8</w:t>
            </w:r>
          </w:p>
        </w:tc>
        <w:tc>
          <w:tcPr>
            <w:tcW w:w="1802" w:type="dxa"/>
            <w:tcBorders>
              <w:bottom w:val="single" w:sz="4" w:space="0" w:color="000000"/>
            </w:tcBorders>
          </w:tcPr>
          <w:p>
            <w:pPr>
              <w:pStyle w:val="TableParagraph"/>
              <w:spacing w:before="86"/>
              <w:ind w:left="341"/>
              <w:rPr>
                <w:b/>
                <w:sz w:val="24"/>
              </w:rPr>
            </w:pPr>
            <w:r>
              <w:rPr>
                <w:b/>
                <w:sz w:val="24"/>
              </w:rPr>
              <w:t>特别说明</w:t>
            </w:r>
          </w:p>
        </w:tc>
        <w:tc>
          <w:tcPr>
            <w:tcW w:w="6622" w:type="dxa"/>
            <w:tcBorders>
              <w:bottom w:val="single" w:sz="4" w:space="0" w:color="000000"/>
            </w:tcBorders>
          </w:tcPr>
          <w:p>
            <w:pPr>
              <w:pStyle w:val="TableParagraph"/>
              <w:spacing w:before="0"/>
              <w:ind w:left="0"/>
              <w:rPr>
                <w:rFonts w:ascii="Times New Roman"/>
                <w:sz w:val="20"/>
              </w:rPr>
            </w:pPr>
          </w:p>
        </w:tc>
      </w:tr>
      <w:tr>
        <w:trPr>
          <w:trHeight w:val="1602" w:hRule="atLeast"/>
        </w:trPr>
        <w:tc>
          <w:tcPr>
            <w:tcW w:w="818" w:type="dxa"/>
            <w:tcBorders>
              <w:top w:val="single" w:sz="4" w:space="0" w:color="000000"/>
            </w:tcBorders>
          </w:tcPr>
          <w:p>
            <w:pPr>
              <w:pStyle w:val="TableParagraph"/>
              <w:spacing w:before="0"/>
              <w:ind w:left="0"/>
              <w:rPr>
                <w:rFonts w:ascii="Times New Roman"/>
                <w:sz w:val="20"/>
              </w:rPr>
            </w:pPr>
          </w:p>
        </w:tc>
        <w:tc>
          <w:tcPr>
            <w:tcW w:w="1802" w:type="dxa"/>
            <w:tcBorders>
              <w:top w:val="single" w:sz="4" w:space="0" w:color="000000"/>
            </w:tcBorders>
          </w:tcPr>
          <w:p>
            <w:pPr>
              <w:pStyle w:val="TableParagraph"/>
              <w:spacing w:before="0"/>
              <w:ind w:left="0"/>
              <w:rPr>
                <w:rFonts w:ascii="Times New Roman"/>
                <w:sz w:val="20"/>
              </w:rPr>
            </w:pPr>
          </w:p>
        </w:tc>
        <w:tc>
          <w:tcPr>
            <w:tcW w:w="6622" w:type="dxa"/>
            <w:tcBorders>
              <w:top w:val="single" w:sz="4" w:space="0" w:color="000000"/>
            </w:tcBorders>
          </w:tcPr>
          <w:p>
            <w:pPr>
              <w:pStyle w:val="TableParagraph"/>
              <w:spacing w:line="244" w:lineRule="exact" w:before="0"/>
              <w:ind w:left="303"/>
              <w:rPr>
                <w:sz w:val="21"/>
              </w:rPr>
            </w:pPr>
            <w:r>
              <w:rPr>
                <w:sz w:val="21"/>
              </w:rPr>
              <w:t>（</w:t>
            </w:r>
            <w:r>
              <w:rPr>
                <w:rFonts w:ascii="Times New Roman" w:eastAsia="Times New Roman"/>
                <w:sz w:val="21"/>
              </w:rPr>
              <w:t>1</w:t>
            </w:r>
            <w:r>
              <w:rPr>
                <w:sz w:val="21"/>
              </w:rPr>
              <w:t>）</w:t>
            </w:r>
            <w:r>
              <w:rPr>
                <w:spacing w:val="-10"/>
                <w:sz w:val="21"/>
              </w:rPr>
              <w:t>本附加合同第 </w:t>
            </w:r>
            <w:r>
              <w:rPr>
                <w:rFonts w:ascii="Times New Roman" w:eastAsia="Times New Roman"/>
                <w:sz w:val="21"/>
              </w:rPr>
              <w:t>6 </w:t>
            </w:r>
            <w:r>
              <w:rPr>
                <w:spacing w:val="-25"/>
                <w:sz w:val="21"/>
              </w:rPr>
              <w:t>条 </w:t>
            </w:r>
            <w:r>
              <w:rPr>
                <w:rFonts w:ascii="Times New Roman" w:eastAsia="Times New Roman"/>
                <w:sz w:val="21"/>
              </w:rPr>
              <w:t>6.1 </w:t>
            </w:r>
            <w:r>
              <w:rPr>
                <w:spacing w:val="-23"/>
                <w:sz w:val="21"/>
              </w:rPr>
              <w:t>至 </w:t>
            </w:r>
            <w:r>
              <w:rPr>
                <w:rFonts w:ascii="Times New Roman" w:eastAsia="Times New Roman"/>
                <w:sz w:val="21"/>
              </w:rPr>
              <w:t>6.25 </w:t>
            </w:r>
            <w:r>
              <w:rPr>
                <w:sz w:val="21"/>
              </w:rPr>
              <w:t>款</w:t>
            </w:r>
            <w:r>
              <w:rPr>
                <w:spacing w:val="-3"/>
                <w:sz w:val="21"/>
              </w:rPr>
              <w:t>（除特别声明</w:t>
            </w:r>
            <w:r>
              <w:rPr>
                <w:sz w:val="21"/>
              </w:rPr>
              <w:t>）</w:t>
            </w:r>
            <w:r>
              <w:rPr>
                <w:spacing w:val="-3"/>
                <w:sz w:val="21"/>
              </w:rPr>
              <w:t>使用了中国保</w:t>
            </w:r>
          </w:p>
          <w:p>
            <w:pPr>
              <w:pStyle w:val="TableParagraph"/>
              <w:spacing w:line="273" w:lineRule="exact" w:before="0"/>
              <w:ind w:left="303" w:right="-15"/>
              <w:rPr>
                <w:sz w:val="21"/>
              </w:rPr>
            </w:pPr>
            <w:r>
              <w:rPr>
                <w:spacing w:val="-7"/>
                <w:sz w:val="21"/>
              </w:rPr>
              <w:t>险行业协会《重大疾病保险的疾病定义使用规范</w:t>
            </w:r>
            <w:r>
              <w:rPr>
                <w:spacing w:val="-137"/>
                <w:sz w:val="21"/>
              </w:rPr>
              <w:t>》</w:t>
            </w:r>
            <w:r>
              <w:rPr>
                <w:spacing w:val="-3"/>
                <w:sz w:val="21"/>
              </w:rPr>
              <w:t>（</w:t>
            </w:r>
            <w:r>
              <w:rPr>
                <w:spacing w:val="-8"/>
                <w:sz w:val="21"/>
              </w:rPr>
              <w:t>中保协寿【</w:t>
            </w:r>
            <w:r>
              <w:rPr>
                <w:rFonts w:ascii="Times New Roman" w:eastAsia="Times New Roman"/>
                <w:sz w:val="21"/>
              </w:rPr>
              <w:t>2007</w:t>
            </w:r>
            <w:r>
              <w:rPr>
                <w:sz w:val="21"/>
              </w:rPr>
              <w:t>】</w:t>
            </w:r>
          </w:p>
          <w:p>
            <w:pPr>
              <w:pStyle w:val="TableParagraph"/>
              <w:spacing w:line="272" w:lineRule="exact" w:before="0"/>
              <w:ind w:left="303"/>
              <w:rPr>
                <w:sz w:val="21"/>
              </w:rPr>
            </w:pPr>
            <w:r>
              <w:rPr>
                <w:rFonts w:ascii="Times New Roman" w:eastAsia="Times New Roman"/>
                <w:sz w:val="21"/>
              </w:rPr>
              <w:t>9 </w:t>
            </w:r>
            <w:r>
              <w:rPr>
                <w:sz w:val="21"/>
              </w:rPr>
              <w:t>号）的疾病名称和疾病定义。</w:t>
            </w:r>
          </w:p>
          <w:p>
            <w:pPr>
              <w:pStyle w:val="TableParagraph"/>
              <w:spacing w:line="272" w:lineRule="exact" w:before="0"/>
              <w:ind w:left="303"/>
              <w:rPr>
                <w:sz w:val="21"/>
              </w:rPr>
            </w:pPr>
            <w:r>
              <w:rPr>
                <w:spacing w:val="-16"/>
                <w:sz w:val="21"/>
              </w:rPr>
              <w:t>（</w:t>
            </w:r>
            <w:r>
              <w:rPr>
                <w:rFonts w:ascii="Times New Roman" w:eastAsia="Times New Roman"/>
                <w:spacing w:val="-16"/>
                <w:sz w:val="21"/>
              </w:rPr>
              <w:t>2</w:t>
            </w:r>
            <w:r>
              <w:rPr>
                <w:spacing w:val="-16"/>
                <w:sz w:val="21"/>
              </w:rPr>
              <w:t>）</w:t>
            </w:r>
            <w:r>
              <w:rPr>
                <w:spacing w:val="-10"/>
                <w:sz w:val="21"/>
              </w:rPr>
              <w:t>本附加合同第 </w:t>
            </w:r>
            <w:r>
              <w:rPr>
                <w:rFonts w:ascii="Times New Roman" w:eastAsia="Times New Roman"/>
                <w:sz w:val="21"/>
              </w:rPr>
              <w:t>7 </w:t>
            </w:r>
            <w:r>
              <w:rPr>
                <w:spacing w:val="-26"/>
                <w:sz w:val="21"/>
              </w:rPr>
              <w:t>条 </w:t>
            </w:r>
            <w:r>
              <w:rPr>
                <w:rFonts w:ascii="Times New Roman" w:eastAsia="Times New Roman"/>
                <w:sz w:val="21"/>
              </w:rPr>
              <w:t>7.2 </w:t>
            </w:r>
            <w:r>
              <w:rPr>
                <w:spacing w:val="-25"/>
                <w:sz w:val="21"/>
              </w:rPr>
              <w:t>至 </w:t>
            </w:r>
            <w:r>
              <w:rPr>
                <w:rFonts w:ascii="Times New Roman" w:eastAsia="Times New Roman"/>
                <w:sz w:val="21"/>
              </w:rPr>
              <w:t>7.9 </w:t>
            </w:r>
            <w:r>
              <w:rPr>
                <w:spacing w:val="-7"/>
                <w:sz w:val="21"/>
              </w:rPr>
              <w:t>款使用了中国保险行业协会《重大</w:t>
            </w:r>
          </w:p>
          <w:p>
            <w:pPr>
              <w:pStyle w:val="TableParagraph"/>
              <w:spacing w:line="272" w:lineRule="exact" w:before="19"/>
              <w:ind w:left="303" w:right="45"/>
              <w:rPr>
                <w:sz w:val="21"/>
              </w:rPr>
            </w:pPr>
            <w:r>
              <w:rPr>
                <w:sz w:val="21"/>
              </w:rPr>
              <w:t>疾病保险的疾病定义使用规范》（中保协寿【</w:t>
            </w:r>
            <w:r>
              <w:rPr>
                <w:rFonts w:ascii="Times New Roman" w:eastAsia="Times New Roman"/>
                <w:sz w:val="21"/>
              </w:rPr>
              <w:t>2007</w:t>
            </w:r>
            <w:r>
              <w:rPr>
                <w:sz w:val="21"/>
              </w:rPr>
              <w:t>】</w:t>
            </w:r>
            <w:r>
              <w:rPr>
                <w:rFonts w:ascii="Times New Roman" w:eastAsia="Times New Roman"/>
                <w:sz w:val="21"/>
              </w:rPr>
              <w:t>9 </w:t>
            </w:r>
            <w:r>
              <w:rPr>
                <w:sz w:val="21"/>
              </w:rPr>
              <w:t>号）的术语释义。</w:t>
            </w:r>
          </w:p>
        </w:tc>
      </w:tr>
    </w:tbl>
    <w:p>
      <w:pPr>
        <w:spacing w:after="0" w:line="272" w:lineRule="exact"/>
        <w:rPr>
          <w:sz w:val="21"/>
        </w:rPr>
        <w:sectPr>
          <w:pgSz w:w="11910" w:h="16840"/>
          <w:pgMar w:header="0" w:footer="773" w:top="1160" w:bottom="960" w:left="1380" w:right="1060"/>
        </w:sectPr>
      </w:pPr>
    </w:p>
    <w:p>
      <w:pPr>
        <w:spacing w:before="14"/>
        <w:ind w:left="2017" w:right="0" w:firstLine="0"/>
        <w:jc w:val="left"/>
        <w:rPr>
          <w:b/>
          <w:sz w:val="24"/>
        </w:rPr>
      </w:pPr>
      <w:r>
        <w:rPr>
          <w:b/>
          <w:w w:val="95"/>
          <w:sz w:val="24"/>
        </w:rPr>
        <w:t>中意附加年年创意重大疾病保险风险保险费费率表</w:t>
      </w:r>
    </w:p>
    <w:p>
      <w:pPr>
        <w:pStyle w:val="BodyText"/>
        <w:spacing w:before="11"/>
        <w:rPr>
          <w:b/>
          <w:sz w:val="18"/>
        </w:rPr>
      </w:pPr>
    </w:p>
    <w:p>
      <w:pPr>
        <w:pStyle w:val="BodyText"/>
        <w:tabs>
          <w:tab w:pos="7401" w:val="left" w:leader="none"/>
        </w:tabs>
        <w:ind w:left="3726"/>
      </w:pPr>
      <w:r>
        <w:rPr>
          <w:spacing w:val="-3"/>
        </w:rPr>
        <w:t>（</w:t>
      </w:r>
      <w:r>
        <w:rPr/>
        <w:t>每</w:t>
      </w:r>
      <w:r>
        <w:rPr>
          <w:spacing w:val="-3"/>
        </w:rPr>
        <w:t>月</w:t>
      </w:r>
      <w:r>
        <w:rPr/>
        <w:t>每</w:t>
      </w:r>
      <w:r>
        <w:rPr>
          <w:spacing w:val="-51"/>
        </w:rPr>
        <w:t> </w:t>
      </w:r>
      <w:r>
        <w:rPr>
          <w:rFonts w:ascii="Times New Roman" w:eastAsia="Times New Roman"/>
        </w:rPr>
        <w:t>1000</w:t>
      </w:r>
      <w:r>
        <w:rPr>
          <w:rFonts w:ascii="Times New Roman" w:eastAsia="Times New Roman"/>
          <w:spacing w:val="-1"/>
        </w:rPr>
        <w:t> </w:t>
      </w:r>
      <w:r>
        <w:rPr>
          <w:spacing w:val="-3"/>
        </w:rPr>
        <w:t>元</w:t>
      </w:r>
      <w:r>
        <w:rPr/>
        <w:t>保险</w:t>
      </w:r>
      <w:r>
        <w:rPr>
          <w:spacing w:val="-3"/>
        </w:rPr>
        <w:t>金</w:t>
      </w:r>
      <w:r>
        <w:rPr/>
        <w:t>额）</w:t>
        <w:tab/>
      </w:r>
      <w:r>
        <w:rPr>
          <w:spacing w:val="-3"/>
        </w:rPr>
        <w:t>单</w:t>
      </w:r>
      <w:r>
        <w:rPr/>
        <w:t>位：</w:t>
      </w:r>
      <w:r>
        <w:rPr>
          <w:spacing w:val="-3"/>
        </w:rPr>
        <w:t>人</w:t>
      </w:r>
      <w:r>
        <w:rPr/>
        <w:t>民</w:t>
      </w:r>
      <w:r>
        <w:rPr>
          <w:spacing w:val="-3"/>
        </w:rPr>
        <w:t>币</w:t>
      </w:r>
      <w:r>
        <w:rPr/>
        <w:t>元</w:t>
      </w:r>
    </w:p>
    <w:p>
      <w:pPr>
        <w:pStyle w:val="BodyText"/>
        <w:rPr>
          <w:sz w:val="20"/>
        </w:rPr>
      </w:pPr>
    </w:p>
    <w:p>
      <w:pPr>
        <w:pStyle w:val="BodyText"/>
        <w:rPr>
          <w:sz w:val="1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469"/>
        <w:gridCol w:w="1365"/>
        <w:gridCol w:w="734"/>
        <w:gridCol w:w="1366"/>
        <w:gridCol w:w="1366"/>
        <w:gridCol w:w="1367"/>
      </w:tblGrid>
      <w:tr>
        <w:trPr>
          <w:trHeight w:val="327" w:hRule="atLeast"/>
        </w:trPr>
        <w:tc>
          <w:tcPr>
            <w:tcW w:w="1380" w:type="dxa"/>
            <w:shd w:val="clear" w:color="auto" w:fill="F3F3F3"/>
          </w:tcPr>
          <w:p>
            <w:pPr>
              <w:pStyle w:val="TableParagraph"/>
              <w:spacing w:before="1"/>
              <w:ind w:left="458" w:right="450"/>
              <w:jc w:val="center"/>
              <w:rPr>
                <w:b/>
                <w:sz w:val="21"/>
              </w:rPr>
            </w:pPr>
            <w:r>
              <w:rPr>
                <w:b/>
                <w:sz w:val="21"/>
              </w:rPr>
              <w:t>年龄</w:t>
            </w:r>
          </w:p>
        </w:tc>
        <w:tc>
          <w:tcPr>
            <w:tcW w:w="1469" w:type="dxa"/>
            <w:shd w:val="clear" w:color="auto" w:fill="F3F3F3"/>
          </w:tcPr>
          <w:p>
            <w:pPr>
              <w:pStyle w:val="TableParagraph"/>
              <w:spacing w:before="1"/>
              <w:ind w:left="425" w:right="415"/>
              <w:jc w:val="center"/>
              <w:rPr>
                <w:b/>
                <w:sz w:val="21"/>
              </w:rPr>
            </w:pPr>
            <w:r>
              <w:rPr>
                <w:b/>
                <w:sz w:val="21"/>
              </w:rPr>
              <w:t>男性</w:t>
            </w:r>
          </w:p>
        </w:tc>
        <w:tc>
          <w:tcPr>
            <w:tcW w:w="1365" w:type="dxa"/>
            <w:shd w:val="clear" w:color="auto" w:fill="F3F3F3"/>
          </w:tcPr>
          <w:p>
            <w:pPr>
              <w:pStyle w:val="TableParagraph"/>
              <w:spacing w:before="1"/>
              <w:ind w:left="375" w:right="361"/>
              <w:jc w:val="center"/>
              <w:rPr>
                <w:b/>
                <w:sz w:val="21"/>
              </w:rPr>
            </w:pPr>
            <w:r>
              <w:rPr>
                <w:b/>
                <w:sz w:val="21"/>
              </w:rPr>
              <w:t>女性</w:t>
            </w:r>
          </w:p>
        </w:tc>
        <w:tc>
          <w:tcPr>
            <w:tcW w:w="734" w:type="dxa"/>
            <w:vMerge w:val="restart"/>
            <w:tcBorders>
              <w:top w:val="nil"/>
              <w:bottom w:val="nil"/>
            </w:tcBorders>
          </w:tcPr>
          <w:p>
            <w:pPr>
              <w:pStyle w:val="TableParagraph"/>
              <w:spacing w:before="0"/>
              <w:ind w:left="0"/>
              <w:rPr>
                <w:rFonts w:ascii="Times New Roman"/>
                <w:sz w:val="20"/>
              </w:rPr>
            </w:pPr>
          </w:p>
        </w:tc>
        <w:tc>
          <w:tcPr>
            <w:tcW w:w="1366" w:type="dxa"/>
            <w:shd w:val="clear" w:color="auto" w:fill="F3F3F3"/>
          </w:tcPr>
          <w:p>
            <w:pPr>
              <w:pStyle w:val="TableParagraph"/>
              <w:spacing w:before="1"/>
              <w:ind w:left="376" w:right="360"/>
              <w:jc w:val="center"/>
              <w:rPr>
                <w:b/>
                <w:sz w:val="21"/>
              </w:rPr>
            </w:pPr>
            <w:r>
              <w:rPr>
                <w:b/>
                <w:sz w:val="21"/>
              </w:rPr>
              <w:t>年龄</w:t>
            </w:r>
          </w:p>
        </w:tc>
        <w:tc>
          <w:tcPr>
            <w:tcW w:w="1366" w:type="dxa"/>
            <w:shd w:val="clear" w:color="auto" w:fill="F3F3F3"/>
          </w:tcPr>
          <w:p>
            <w:pPr>
              <w:pStyle w:val="TableParagraph"/>
              <w:spacing w:before="1"/>
              <w:ind w:left="376" w:right="361"/>
              <w:jc w:val="center"/>
              <w:rPr>
                <w:b/>
                <w:sz w:val="21"/>
              </w:rPr>
            </w:pPr>
            <w:r>
              <w:rPr>
                <w:b/>
                <w:sz w:val="21"/>
              </w:rPr>
              <w:t>男性</w:t>
            </w:r>
          </w:p>
        </w:tc>
        <w:tc>
          <w:tcPr>
            <w:tcW w:w="1367" w:type="dxa"/>
            <w:shd w:val="clear" w:color="auto" w:fill="F3F3F3"/>
          </w:tcPr>
          <w:p>
            <w:pPr>
              <w:pStyle w:val="TableParagraph"/>
              <w:spacing w:before="1"/>
              <w:ind w:left="374" w:right="365"/>
              <w:jc w:val="center"/>
              <w:rPr>
                <w:b/>
                <w:sz w:val="21"/>
              </w:rPr>
            </w:pPr>
            <w:r>
              <w:rPr>
                <w:b/>
                <w:sz w:val="21"/>
              </w:rPr>
              <w:t>女性</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18</w:t>
            </w:r>
          </w:p>
        </w:tc>
        <w:tc>
          <w:tcPr>
            <w:tcW w:w="1469" w:type="dxa"/>
          </w:tcPr>
          <w:p>
            <w:pPr>
              <w:pStyle w:val="TableParagraph"/>
              <w:ind w:left="425" w:right="415"/>
              <w:jc w:val="center"/>
              <w:rPr>
                <w:rFonts w:ascii="Times New Roman"/>
                <w:sz w:val="21"/>
              </w:rPr>
            </w:pPr>
            <w:r>
              <w:rPr>
                <w:rFonts w:ascii="Times New Roman"/>
                <w:sz w:val="21"/>
              </w:rPr>
              <w:t>0.0797</w:t>
            </w:r>
          </w:p>
        </w:tc>
        <w:tc>
          <w:tcPr>
            <w:tcW w:w="1365" w:type="dxa"/>
          </w:tcPr>
          <w:p>
            <w:pPr>
              <w:pStyle w:val="TableParagraph"/>
              <w:ind w:left="375" w:right="361"/>
              <w:jc w:val="center"/>
              <w:rPr>
                <w:rFonts w:ascii="Times New Roman"/>
                <w:sz w:val="21"/>
              </w:rPr>
            </w:pPr>
            <w:r>
              <w:rPr>
                <w:rFonts w:ascii="Times New Roman"/>
                <w:sz w:val="21"/>
              </w:rPr>
              <w:t>0.0592</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54</w:t>
            </w:r>
          </w:p>
        </w:tc>
        <w:tc>
          <w:tcPr>
            <w:tcW w:w="1366" w:type="dxa"/>
          </w:tcPr>
          <w:p>
            <w:pPr>
              <w:pStyle w:val="TableParagraph"/>
              <w:ind w:left="376" w:right="361"/>
              <w:jc w:val="center"/>
              <w:rPr>
                <w:rFonts w:ascii="Times New Roman"/>
                <w:sz w:val="21"/>
              </w:rPr>
            </w:pPr>
            <w:r>
              <w:rPr>
                <w:rFonts w:ascii="Times New Roman"/>
                <w:sz w:val="21"/>
              </w:rPr>
              <w:t>1.7261</w:t>
            </w:r>
          </w:p>
        </w:tc>
        <w:tc>
          <w:tcPr>
            <w:tcW w:w="1367" w:type="dxa"/>
          </w:tcPr>
          <w:p>
            <w:pPr>
              <w:pStyle w:val="TableParagraph"/>
              <w:ind w:left="374" w:right="365"/>
              <w:jc w:val="center"/>
              <w:rPr>
                <w:rFonts w:ascii="Times New Roman"/>
                <w:sz w:val="21"/>
              </w:rPr>
            </w:pPr>
            <w:r>
              <w:rPr>
                <w:rFonts w:ascii="Times New Roman"/>
                <w:sz w:val="21"/>
              </w:rPr>
              <w:t>1.3914</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19</w:t>
            </w:r>
          </w:p>
        </w:tc>
        <w:tc>
          <w:tcPr>
            <w:tcW w:w="1469" w:type="dxa"/>
          </w:tcPr>
          <w:p>
            <w:pPr>
              <w:pStyle w:val="TableParagraph"/>
              <w:ind w:left="425" w:right="415"/>
              <w:jc w:val="center"/>
              <w:rPr>
                <w:rFonts w:ascii="Times New Roman"/>
                <w:sz w:val="21"/>
              </w:rPr>
            </w:pPr>
            <w:r>
              <w:rPr>
                <w:rFonts w:ascii="Times New Roman"/>
                <w:sz w:val="21"/>
              </w:rPr>
              <w:t>0.0840</w:t>
            </w:r>
          </w:p>
        </w:tc>
        <w:tc>
          <w:tcPr>
            <w:tcW w:w="1365" w:type="dxa"/>
          </w:tcPr>
          <w:p>
            <w:pPr>
              <w:pStyle w:val="TableParagraph"/>
              <w:ind w:left="375" w:right="361"/>
              <w:jc w:val="center"/>
              <w:rPr>
                <w:rFonts w:ascii="Times New Roman"/>
                <w:sz w:val="21"/>
              </w:rPr>
            </w:pPr>
            <w:r>
              <w:rPr>
                <w:rFonts w:ascii="Times New Roman"/>
                <w:sz w:val="21"/>
              </w:rPr>
              <w:t>0.0628</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55</w:t>
            </w:r>
          </w:p>
        </w:tc>
        <w:tc>
          <w:tcPr>
            <w:tcW w:w="1366" w:type="dxa"/>
          </w:tcPr>
          <w:p>
            <w:pPr>
              <w:pStyle w:val="TableParagraph"/>
              <w:ind w:left="376" w:right="361"/>
              <w:jc w:val="center"/>
              <w:rPr>
                <w:rFonts w:ascii="Times New Roman"/>
                <w:sz w:val="21"/>
              </w:rPr>
            </w:pPr>
            <w:r>
              <w:rPr>
                <w:rFonts w:ascii="Times New Roman"/>
                <w:sz w:val="21"/>
              </w:rPr>
              <w:t>1.8621</w:t>
            </w:r>
          </w:p>
        </w:tc>
        <w:tc>
          <w:tcPr>
            <w:tcW w:w="1367" w:type="dxa"/>
          </w:tcPr>
          <w:p>
            <w:pPr>
              <w:pStyle w:val="TableParagraph"/>
              <w:ind w:left="374" w:right="365"/>
              <w:jc w:val="center"/>
              <w:rPr>
                <w:rFonts w:ascii="Times New Roman"/>
                <w:sz w:val="21"/>
              </w:rPr>
            </w:pPr>
            <w:r>
              <w:rPr>
                <w:rFonts w:ascii="Times New Roman"/>
                <w:sz w:val="21"/>
              </w:rPr>
              <w:t>1.4745</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20</w:t>
            </w:r>
          </w:p>
        </w:tc>
        <w:tc>
          <w:tcPr>
            <w:tcW w:w="1469" w:type="dxa"/>
          </w:tcPr>
          <w:p>
            <w:pPr>
              <w:pStyle w:val="TableParagraph"/>
              <w:spacing w:before="41"/>
              <w:ind w:left="425" w:right="415"/>
              <w:jc w:val="center"/>
              <w:rPr>
                <w:rFonts w:ascii="Times New Roman"/>
                <w:sz w:val="21"/>
              </w:rPr>
            </w:pPr>
            <w:r>
              <w:rPr>
                <w:rFonts w:ascii="Times New Roman"/>
                <w:sz w:val="21"/>
              </w:rPr>
              <w:t>0.0875</w:t>
            </w:r>
          </w:p>
        </w:tc>
        <w:tc>
          <w:tcPr>
            <w:tcW w:w="1365" w:type="dxa"/>
          </w:tcPr>
          <w:p>
            <w:pPr>
              <w:pStyle w:val="TableParagraph"/>
              <w:spacing w:before="41"/>
              <w:ind w:left="375" w:right="361"/>
              <w:jc w:val="center"/>
              <w:rPr>
                <w:rFonts w:ascii="Times New Roman"/>
                <w:sz w:val="21"/>
              </w:rPr>
            </w:pPr>
            <w:r>
              <w:rPr>
                <w:rFonts w:ascii="Times New Roman"/>
                <w:sz w:val="21"/>
              </w:rPr>
              <w:t>0.0665</w:t>
            </w:r>
          </w:p>
        </w:tc>
        <w:tc>
          <w:tcPr>
            <w:tcW w:w="734" w:type="dxa"/>
            <w:vMerge/>
            <w:tcBorders>
              <w:top w:val="nil"/>
              <w:bottom w:val="nil"/>
            </w:tcBorders>
          </w:tcPr>
          <w:p>
            <w:pPr>
              <w:rPr>
                <w:sz w:val="2"/>
                <w:szCs w:val="2"/>
              </w:rPr>
            </w:pPr>
          </w:p>
        </w:tc>
        <w:tc>
          <w:tcPr>
            <w:tcW w:w="1366" w:type="dxa"/>
          </w:tcPr>
          <w:p>
            <w:pPr>
              <w:pStyle w:val="TableParagraph"/>
              <w:spacing w:before="41"/>
              <w:ind w:left="376" w:right="360"/>
              <w:jc w:val="center"/>
              <w:rPr>
                <w:rFonts w:ascii="Times New Roman"/>
                <w:sz w:val="21"/>
              </w:rPr>
            </w:pPr>
            <w:r>
              <w:rPr>
                <w:rFonts w:ascii="Times New Roman"/>
                <w:sz w:val="21"/>
              </w:rPr>
              <w:t>56</w:t>
            </w:r>
          </w:p>
        </w:tc>
        <w:tc>
          <w:tcPr>
            <w:tcW w:w="1366" w:type="dxa"/>
          </w:tcPr>
          <w:p>
            <w:pPr>
              <w:pStyle w:val="TableParagraph"/>
              <w:spacing w:before="41"/>
              <w:ind w:left="376" w:right="361"/>
              <w:jc w:val="center"/>
              <w:rPr>
                <w:rFonts w:ascii="Times New Roman"/>
                <w:sz w:val="21"/>
              </w:rPr>
            </w:pPr>
            <w:r>
              <w:rPr>
                <w:rFonts w:ascii="Times New Roman"/>
                <w:sz w:val="21"/>
              </w:rPr>
              <w:t>2.0082</w:t>
            </w:r>
          </w:p>
        </w:tc>
        <w:tc>
          <w:tcPr>
            <w:tcW w:w="1367" w:type="dxa"/>
          </w:tcPr>
          <w:p>
            <w:pPr>
              <w:pStyle w:val="TableParagraph"/>
              <w:spacing w:before="41"/>
              <w:ind w:left="374" w:right="365"/>
              <w:jc w:val="center"/>
              <w:rPr>
                <w:rFonts w:ascii="Times New Roman"/>
                <w:sz w:val="21"/>
              </w:rPr>
            </w:pPr>
            <w:r>
              <w:rPr>
                <w:rFonts w:ascii="Times New Roman"/>
                <w:sz w:val="21"/>
              </w:rPr>
              <w:t>1.5608</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21</w:t>
            </w:r>
          </w:p>
        </w:tc>
        <w:tc>
          <w:tcPr>
            <w:tcW w:w="1469" w:type="dxa"/>
          </w:tcPr>
          <w:p>
            <w:pPr>
              <w:pStyle w:val="TableParagraph"/>
              <w:ind w:left="425" w:right="415"/>
              <w:jc w:val="center"/>
              <w:rPr>
                <w:rFonts w:ascii="Times New Roman"/>
                <w:sz w:val="21"/>
              </w:rPr>
            </w:pPr>
            <w:r>
              <w:rPr>
                <w:rFonts w:ascii="Times New Roman"/>
                <w:sz w:val="21"/>
              </w:rPr>
              <w:t>0.0914</w:t>
            </w:r>
          </w:p>
        </w:tc>
        <w:tc>
          <w:tcPr>
            <w:tcW w:w="1365" w:type="dxa"/>
          </w:tcPr>
          <w:p>
            <w:pPr>
              <w:pStyle w:val="TableParagraph"/>
              <w:ind w:left="375" w:right="361"/>
              <w:jc w:val="center"/>
              <w:rPr>
                <w:rFonts w:ascii="Times New Roman"/>
                <w:sz w:val="21"/>
              </w:rPr>
            </w:pPr>
            <w:r>
              <w:rPr>
                <w:rFonts w:ascii="Times New Roman"/>
                <w:sz w:val="21"/>
              </w:rPr>
              <w:t>0.0703</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57</w:t>
            </w:r>
          </w:p>
        </w:tc>
        <w:tc>
          <w:tcPr>
            <w:tcW w:w="1366" w:type="dxa"/>
          </w:tcPr>
          <w:p>
            <w:pPr>
              <w:pStyle w:val="TableParagraph"/>
              <w:ind w:left="376" w:right="361"/>
              <w:jc w:val="center"/>
              <w:rPr>
                <w:rFonts w:ascii="Times New Roman"/>
                <w:sz w:val="21"/>
              </w:rPr>
            </w:pPr>
            <w:r>
              <w:rPr>
                <w:rFonts w:ascii="Times New Roman"/>
                <w:sz w:val="21"/>
              </w:rPr>
              <w:t>2.1692</w:t>
            </w:r>
          </w:p>
        </w:tc>
        <w:tc>
          <w:tcPr>
            <w:tcW w:w="1367" w:type="dxa"/>
          </w:tcPr>
          <w:p>
            <w:pPr>
              <w:pStyle w:val="TableParagraph"/>
              <w:ind w:left="374" w:right="365"/>
              <w:jc w:val="center"/>
              <w:rPr>
                <w:rFonts w:ascii="Times New Roman"/>
                <w:sz w:val="21"/>
              </w:rPr>
            </w:pPr>
            <w:r>
              <w:rPr>
                <w:rFonts w:ascii="Times New Roman"/>
                <w:sz w:val="21"/>
              </w:rPr>
              <w:t>1.6658</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22</w:t>
            </w:r>
          </w:p>
        </w:tc>
        <w:tc>
          <w:tcPr>
            <w:tcW w:w="1469" w:type="dxa"/>
          </w:tcPr>
          <w:p>
            <w:pPr>
              <w:pStyle w:val="TableParagraph"/>
              <w:ind w:left="425" w:right="415"/>
              <w:jc w:val="center"/>
              <w:rPr>
                <w:rFonts w:ascii="Times New Roman"/>
                <w:sz w:val="21"/>
              </w:rPr>
            </w:pPr>
            <w:r>
              <w:rPr>
                <w:rFonts w:ascii="Times New Roman"/>
                <w:sz w:val="21"/>
              </w:rPr>
              <w:t>0.0949</w:t>
            </w:r>
          </w:p>
        </w:tc>
        <w:tc>
          <w:tcPr>
            <w:tcW w:w="1365" w:type="dxa"/>
          </w:tcPr>
          <w:p>
            <w:pPr>
              <w:pStyle w:val="TableParagraph"/>
              <w:ind w:left="375" w:right="361"/>
              <w:jc w:val="center"/>
              <w:rPr>
                <w:rFonts w:ascii="Times New Roman"/>
                <w:sz w:val="21"/>
              </w:rPr>
            </w:pPr>
            <w:r>
              <w:rPr>
                <w:rFonts w:ascii="Times New Roman"/>
                <w:sz w:val="21"/>
              </w:rPr>
              <w:t>0.0752</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58</w:t>
            </w:r>
          </w:p>
        </w:tc>
        <w:tc>
          <w:tcPr>
            <w:tcW w:w="1366" w:type="dxa"/>
          </w:tcPr>
          <w:p>
            <w:pPr>
              <w:pStyle w:val="TableParagraph"/>
              <w:ind w:left="376" w:right="361"/>
              <w:jc w:val="center"/>
              <w:rPr>
                <w:rFonts w:ascii="Times New Roman"/>
                <w:sz w:val="21"/>
              </w:rPr>
            </w:pPr>
            <w:r>
              <w:rPr>
                <w:rFonts w:ascii="Times New Roman"/>
                <w:sz w:val="21"/>
              </w:rPr>
              <w:t>2.3705</w:t>
            </w:r>
          </w:p>
        </w:tc>
        <w:tc>
          <w:tcPr>
            <w:tcW w:w="1367" w:type="dxa"/>
          </w:tcPr>
          <w:p>
            <w:pPr>
              <w:pStyle w:val="TableParagraph"/>
              <w:ind w:left="374" w:right="365"/>
              <w:jc w:val="center"/>
              <w:rPr>
                <w:rFonts w:ascii="Times New Roman"/>
                <w:sz w:val="21"/>
              </w:rPr>
            </w:pPr>
            <w:r>
              <w:rPr>
                <w:rFonts w:ascii="Times New Roman"/>
                <w:sz w:val="21"/>
              </w:rPr>
              <w:t>1.7867</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23</w:t>
            </w:r>
          </w:p>
        </w:tc>
        <w:tc>
          <w:tcPr>
            <w:tcW w:w="1469" w:type="dxa"/>
          </w:tcPr>
          <w:p>
            <w:pPr>
              <w:pStyle w:val="TableParagraph"/>
              <w:ind w:left="425" w:right="415"/>
              <w:jc w:val="center"/>
              <w:rPr>
                <w:rFonts w:ascii="Times New Roman"/>
                <w:sz w:val="21"/>
              </w:rPr>
            </w:pPr>
            <w:r>
              <w:rPr>
                <w:rFonts w:ascii="Times New Roman"/>
                <w:sz w:val="21"/>
              </w:rPr>
              <w:t>0.0999</w:t>
            </w:r>
          </w:p>
        </w:tc>
        <w:tc>
          <w:tcPr>
            <w:tcW w:w="1365" w:type="dxa"/>
          </w:tcPr>
          <w:p>
            <w:pPr>
              <w:pStyle w:val="TableParagraph"/>
              <w:ind w:left="375" w:right="361"/>
              <w:jc w:val="center"/>
              <w:rPr>
                <w:rFonts w:ascii="Times New Roman"/>
                <w:sz w:val="21"/>
              </w:rPr>
            </w:pPr>
            <w:r>
              <w:rPr>
                <w:rFonts w:ascii="Times New Roman"/>
                <w:sz w:val="21"/>
              </w:rPr>
              <w:t>0.0813</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59</w:t>
            </w:r>
          </w:p>
        </w:tc>
        <w:tc>
          <w:tcPr>
            <w:tcW w:w="1366" w:type="dxa"/>
          </w:tcPr>
          <w:p>
            <w:pPr>
              <w:pStyle w:val="TableParagraph"/>
              <w:ind w:left="376" w:right="361"/>
              <w:jc w:val="center"/>
              <w:rPr>
                <w:rFonts w:ascii="Times New Roman"/>
                <w:sz w:val="21"/>
              </w:rPr>
            </w:pPr>
            <w:r>
              <w:rPr>
                <w:rFonts w:ascii="Times New Roman"/>
                <w:sz w:val="21"/>
              </w:rPr>
              <w:t>2.5702</w:t>
            </w:r>
          </w:p>
        </w:tc>
        <w:tc>
          <w:tcPr>
            <w:tcW w:w="1367" w:type="dxa"/>
          </w:tcPr>
          <w:p>
            <w:pPr>
              <w:pStyle w:val="TableParagraph"/>
              <w:ind w:left="374" w:right="365"/>
              <w:jc w:val="center"/>
              <w:rPr>
                <w:rFonts w:ascii="Times New Roman"/>
                <w:sz w:val="21"/>
              </w:rPr>
            </w:pPr>
            <w:r>
              <w:rPr>
                <w:rFonts w:ascii="Times New Roman"/>
                <w:sz w:val="21"/>
              </w:rPr>
              <w:t>1.9240</w:t>
            </w:r>
          </w:p>
        </w:tc>
      </w:tr>
      <w:tr>
        <w:trPr>
          <w:trHeight w:val="319" w:hRule="atLeast"/>
        </w:trPr>
        <w:tc>
          <w:tcPr>
            <w:tcW w:w="1380" w:type="dxa"/>
          </w:tcPr>
          <w:p>
            <w:pPr>
              <w:pStyle w:val="TableParagraph"/>
              <w:spacing w:before="42"/>
              <w:ind w:left="458" w:right="450"/>
              <w:jc w:val="center"/>
              <w:rPr>
                <w:rFonts w:ascii="Times New Roman"/>
                <w:sz w:val="21"/>
              </w:rPr>
            </w:pPr>
            <w:r>
              <w:rPr>
                <w:rFonts w:ascii="Times New Roman"/>
                <w:sz w:val="21"/>
              </w:rPr>
              <w:t>24</w:t>
            </w:r>
          </w:p>
        </w:tc>
        <w:tc>
          <w:tcPr>
            <w:tcW w:w="1469" w:type="dxa"/>
          </w:tcPr>
          <w:p>
            <w:pPr>
              <w:pStyle w:val="TableParagraph"/>
              <w:spacing w:before="42"/>
              <w:ind w:left="425" w:right="415"/>
              <w:jc w:val="center"/>
              <w:rPr>
                <w:rFonts w:ascii="Times New Roman"/>
                <w:sz w:val="21"/>
              </w:rPr>
            </w:pPr>
            <w:r>
              <w:rPr>
                <w:rFonts w:ascii="Times New Roman"/>
                <w:sz w:val="21"/>
              </w:rPr>
              <w:t>0.1062</w:t>
            </w:r>
          </w:p>
        </w:tc>
        <w:tc>
          <w:tcPr>
            <w:tcW w:w="1365" w:type="dxa"/>
          </w:tcPr>
          <w:p>
            <w:pPr>
              <w:pStyle w:val="TableParagraph"/>
              <w:spacing w:before="42"/>
              <w:ind w:left="375" w:right="361"/>
              <w:jc w:val="center"/>
              <w:rPr>
                <w:rFonts w:ascii="Times New Roman"/>
                <w:sz w:val="21"/>
              </w:rPr>
            </w:pPr>
            <w:r>
              <w:rPr>
                <w:rFonts w:ascii="Times New Roman"/>
                <w:sz w:val="21"/>
              </w:rPr>
              <w:t>0.0885</w:t>
            </w:r>
          </w:p>
        </w:tc>
        <w:tc>
          <w:tcPr>
            <w:tcW w:w="734" w:type="dxa"/>
            <w:vMerge/>
            <w:tcBorders>
              <w:top w:val="nil"/>
              <w:bottom w:val="nil"/>
            </w:tcBorders>
          </w:tcPr>
          <w:p>
            <w:pPr>
              <w:rPr>
                <w:sz w:val="2"/>
                <w:szCs w:val="2"/>
              </w:rPr>
            </w:pPr>
          </w:p>
        </w:tc>
        <w:tc>
          <w:tcPr>
            <w:tcW w:w="1366" w:type="dxa"/>
          </w:tcPr>
          <w:p>
            <w:pPr>
              <w:pStyle w:val="TableParagraph"/>
              <w:spacing w:before="42"/>
              <w:ind w:left="376" w:right="360"/>
              <w:jc w:val="center"/>
              <w:rPr>
                <w:rFonts w:ascii="Times New Roman"/>
                <w:sz w:val="21"/>
              </w:rPr>
            </w:pPr>
            <w:r>
              <w:rPr>
                <w:rFonts w:ascii="Times New Roman"/>
                <w:sz w:val="21"/>
              </w:rPr>
              <w:t>60</w:t>
            </w:r>
          </w:p>
        </w:tc>
        <w:tc>
          <w:tcPr>
            <w:tcW w:w="1366" w:type="dxa"/>
          </w:tcPr>
          <w:p>
            <w:pPr>
              <w:pStyle w:val="TableParagraph"/>
              <w:spacing w:before="42"/>
              <w:ind w:left="376" w:right="361"/>
              <w:jc w:val="center"/>
              <w:rPr>
                <w:rFonts w:ascii="Times New Roman"/>
                <w:sz w:val="21"/>
              </w:rPr>
            </w:pPr>
            <w:r>
              <w:rPr>
                <w:rFonts w:ascii="Times New Roman"/>
                <w:sz w:val="21"/>
              </w:rPr>
              <w:t>2.7738</w:t>
            </w:r>
          </w:p>
        </w:tc>
        <w:tc>
          <w:tcPr>
            <w:tcW w:w="1367" w:type="dxa"/>
          </w:tcPr>
          <w:p>
            <w:pPr>
              <w:pStyle w:val="TableParagraph"/>
              <w:spacing w:before="42"/>
              <w:ind w:left="374" w:right="365"/>
              <w:jc w:val="center"/>
              <w:rPr>
                <w:rFonts w:ascii="Times New Roman"/>
                <w:sz w:val="21"/>
              </w:rPr>
            </w:pPr>
            <w:r>
              <w:rPr>
                <w:rFonts w:ascii="Times New Roman"/>
                <w:sz w:val="21"/>
              </w:rPr>
              <w:t>2.0673</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25</w:t>
            </w:r>
          </w:p>
        </w:tc>
        <w:tc>
          <w:tcPr>
            <w:tcW w:w="1469" w:type="dxa"/>
          </w:tcPr>
          <w:p>
            <w:pPr>
              <w:pStyle w:val="TableParagraph"/>
              <w:ind w:left="425" w:right="415"/>
              <w:jc w:val="center"/>
              <w:rPr>
                <w:rFonts w:ascii="Times New Roman"/>
                <w:sz w:val="21"/>
              </w:rPr>
            </w:pPr>
            <w:r>
              <w:rPr>
                <w:rFonts w:ascii="Times New Roman"/>
                <w:sz w:val="21"/>
              </w:rPr>
              <w:t>0.1109</w:t>
            </w:r>
          </w:p>
        </w:tc>
        <w:tc>
          <w:tcPr>
            <w:tcW w:w="1365" w:type="dxa"/>
          </w:tcPr>
          <w:p>
            <w:pPr>
              <w:pStyle w:val="TableParagraph"/>
              <w:ind w:left="375" w:right="361"/>
              <w:jc w:val="center"/>
              <w:rPr>
                <w:rFonts w:ascii="Times New Roman"/>
                <w:sz w:val="21"/>
              </w:rPr>
            </w:pPr>
            <w:r>
              <w:rPr>
                <w:rFonts w:ascii="Times New Roman"/>
                <w:sz w:val="21"/>
              </w:rPr>
              <w:t>0.0959</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61</w:t>
            </w:r>
          </w:p>
        </w:tc>
        <w:tc>
          <w:tcPr>
            <w:tcW w:w="1366" w:type="dxa"/>
          </w:tcPr>
          <w:p>
            <w:pPr>
              <w:pStyle w:val="TableParagraph"/>
              <w:ind w:left="376" w:right="361"/>
              <w:jc w:val="center"/>
              <w:rPr>
                <w:rFonts w:ascii="Times New Roman"/>
                <w:sz w:val="21"/>
              </w:rPr>
            </w:pPr>
            <w:r>
              <w:rPr>
                <w:rFonts w:ascii="Times New Roman"/>
                <w:sz w:val="21"/>
              </w:rPr>
              <w:t>2.9466</w:t>
            </w:r>
          </w:p>
        </w:tc>
        <w:tc>
          <w:tcPr>
            <w:tcW w:w="1367" w:type="dxa"/>
          </w:tcPr>
          <w:p>
            <w:pPr>
              <w:pStyle w:val="TableParagraph"/>
              <w:ind w:left="374" w:right="365"/>
              <w:jc w:val="center"/>
              <w:rPr>
                <w:rFonts w:ascii="Times New Roman"/>
                <w:sz w:val="21"/>
              </w:rPr>
            </w:pPr>
            <w:r>
              <w:rPr>
                <w:rFonts w:ascii="Times New Roman"/>
                <w:sz w:val="21"/>
              </w:rPr>
              <w:t>2.2378</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26</w:t>
            </w:r>
          </w:p>
        </w:tc>
        <w:tc>
          <w:tcPr>
            <w:tcW w:w="1469" w:type="dxa"/>
          </w:tcPr>
          <w:p>
            <w:pPr>
              <w:pStyle w:val="TableParagraph"/>
              <w:ind w:left="425" w:right="415"/>
              <w:jc w:val="center"/>
              <w:rPr>
                <w:rFonts w:ascii="Times New Roman"/>
                <w:sz w:val="21"/>
              </w:rPr>
            </w:pPr>
            <w:r>
              <w:rPr>
                <w:rFonts w:ascii="Times New Roman"/>
                <w:sz w:val="21"/>
              </w:rPr>
              <w:t>0.1186</w:t>
            </w:r>
          </w:p>
        </w:tc>
        <w:tc>
          <w:tcPr>
            <w:tcW w:w="1365" w:type="dxa"/>
          </w:tcPr>
          <w:p>
            <w:pPr>
              <w:pStyle w:val="TableParagraph"/>
              <w:ind w:left="375" w:right="361"/>
              <w:jc w:val="center"/>
              <w:rPr>
                <w:rFonts w:ascii="Times New Roman"/>
                <w:sz w:val="21"/>
              </w:rPr>
            </w:pPr>
            <w:r>
              <w:rPr>
                <w:rFonts w:ascii="Times New Roman"/>
                <w:sz w:val="21"/>
              </w:rPr>
              <w:t>0.1043</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62</w:t>
            </w:r>
          </w:p>
        </w:tc>
        <w:tc>
          <w:tcPr>
            <w:tcW w:w="1366" w:type="dxa"/>
          </w:tcPr>
          <w:p>
            <w:pPr>
              <w:pStyle w:val="TableParagraph"/>
              <w:ind w:left="376" w:right="361"/>
              <w:jc w:val="center"/>
              <w:rPr>
                <w:rFonts w:ascii="Times New Roman"/>
                <w:sz w:val="21"/>
              </w:rPr>
            </w:pPr>
            <w:r>
              <w:rPr>
                <w:rFonts w:ascii="Times New Roman"/>
                <w:sz w:val="21"/>
              </w:rPr>
              <w:t>3.2225</w:t>
            </w:r>
          </w:p>
        </w:tc>
        <w:tc>
          <w:tcPr>
            <w:tcW w:w="1367" w:type="dxa"/>
          </w:tcPr>
          <w:p>
            <w:pPr>
              <w:pStyle w:val="TableParagraph"/>
              <w:ind w:left="374" w:right="365"/>
              <w:jc w:val="center"/>
              <w:rPr>
                <w:rFonts w:ascii="Times New Roman"/>
                <w:sz w:val="21"/>
              </w:rPr>
            </w:pPr>
            <w:r>
              <w:rPr>
                <w:rFonts w:ascii="Times New Roman"/>
                <w:sz w:val="21"/>
              </w:rPr>
              <w:t>2.4147</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27</w:t>
            </w:r>
          </w:p>
        </w:tc>
        <w:tc>
          <w:tcPr>
            <w:tcW w:w="1469" w:type="dxa"/>
          </w:tcPr>
          <w:p>
            <w:pPr>
              <w:pStyle w:val="TableParagraph"/>
              <w:ind w:left="425" w:right="415"/>
              <w:jc w:val="center"/>
              <w:rPr>
                <w:rFonts w:ascii="Times New Roman"/>
                <w:sz w:val="21"/>
              </w:rPr>
            </w:pPr>
            <w:r>
              <w:rPr>
                <w:rFonts w:ascii="Times New Roman"/>
                <w:sz w:val="21"/>
              </w:rPr>
              <w:t>0.1272</w:t>
            </w:r>
          </w:p>
        </w:tc>
        <w:tc>
          <w:tcPr>
            <w:tcW w:w="1365" w:type="dxa"/>
          </w:tcPr>
          <w:p>
            <w:pPr>
              <w:pStyle w:val="TableParagraph"/>
              <w:ind w:left="375" w:right="361"/>
              <w:jc w:val="center"/>
              <w:rPr>
                <w:rFonts w:ascii="Times New Roman"/>
                <w:sz w:val="21"/>
              </w:rPr>
            </w:pPr>
            <w:r>
              <w:rPr>
                <w:rFonts w:ascii="Times New Roman"/>
                <w:sz w:val="21"/>
              </w:rPr>
              <w:t>0.1147</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63</w:t>
            </w:r>
          </w:p>
        </w:tc>
        <w:tc>
          <w:tcPr>
            <w:tcW w:w="1366" w:type="dxa"/>
          </w:tcPr>
          <w:p>
            <w:pPr>
              <w:pStyle w:val="TableParagraph"/>
              <w:ind w:left="376" w:right="361"/>
              <w:jc w:val="center"/>
              <w:rPr>
                <w:rFonts w:ascii="Times New Roman"/>
                <w:sz w:val="21"/>
              </w:rPr>
            </w:pPr>
            <w:r>
              <w:rPr>
                <w:rFonts w:ascii="Times New Roman"/>
                <w:sz w:val="21"/>
              </w:rPr>
              <w:t>3.4969</w:t>
            </w:r>
          </w:p>
        </w:tc>
        <w:tc>
          <w:tcPr>
            <w:tcW w:w="1367" w:type="dxa"/>
          </w:tcPr>
          <w:p>
            <w:pPr>
              <w:pStyle w:val="TableParagraph"/>
              <w:ind w:left="374" w:right="365"/>
              <w:jc w:val="center"/>
              <w:rPr>
                <w:rFonts w:ascii="Times New Roman"/>
                <w:sz w:val="21"/>
              </w:rPr>
            </w:pPr>
            <w:r>
              <w:rPr>
                <w:rFonts w:ascii="Times New Roman"/>
                <w:sz w:val="21"/>
              </w:rPr>
              <w:t>2.5944</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28</w:t>
            </w:r>
          </w:p>
        </w:tc>
        <w:tc>
          <w:tcPr>
            <w:tcW w:w="1469" w:type="dxa"/>
          </w:tcPr>
          <w:p>
            <w:pPr>
              <w:pStyle w:val="TableParagraph"/>
              <w:spacing w:before="41"/>
              <w:ind w:left="425" w:right="415"/>
              <w:jc w:val="center"/>
              <w:rPr>
                <w:rFonts w:ascii="Times New Roman"/>
                <w:sz w:val="21"/>
              </w:rPr>
            </w:pPr>
            <w:r>
              <w:rPr>
                <w:rFonts w:ascii="Times New Roman"/>
                <w:sz w:val="21"/>
              </w:rPr>
              <w:t>0.1405</w:t>
            </w:r>
          </w:p>
        </w:tc>
        <w:tc>
          <w:tcPr>
            <w:tcW w:w="1365" w:type="dxa"/>
          </w:tcPr>
          <w:p>
            <w:pPr>
              <w:pStyle w:val="TableParagraph"/>
              <w:spacing w:before="41"/>
              <w:ind w:left="375" w:right="361"/>
              <w:jc w:val="center"/>
              <w:rPr>
                <w:rFonts w:ascii="Times New Roman"/>
                <w:sz w:val="21"/>
              </w:rPr>
            </w:pPr>
            <w:r>
              <w:rPr>
                <w:rFonts w:ascii="Times New Roman"/>
                <w:sz w:val="21"/>
              </w:rPr>
              <w:t>0.1288</w:t>
            </w:r>
          </w:p>
        </w:tc>
        <w:tc>
          <w:tcPr>
            <w:tcW w:w="734" w:type="dxa"/>
            <w:vMerge/>
            <w:tcBorders>
              <w:top w:val="nil"/>
              <w:bottom w:val="nil"/>
            </w:tcBorders>
          </w:tcPr>
          <w:p>
            <w:pPr>
              <w:rPr>
                <w:sz w:val="2"/>
                <w:szCs w:val="2"/>
              </w:rPr>
            </w:pPr>
          </w:p>
        </w:tc>
        <w:tc>
          <w:tcPr>
            <w:tcW w:w="1366" w:type="dxa"/>
          </w:tcPr>
          <w:p>
            <w:pPr>
              <w:pStyle w:val="TableParagraph"/>
              <w:spacing w:before="41"/>
              <w:ind w:left="376" w:right="360"/>
              <w:jc w:val="center"/>
              <w:rPr>
                <w:rFonts w:ascii="Times New Roman"/>
                <w:sz w:val="21"/>
              </w:rPr>
            </w:pPr>
            <w:r>
              <w:rPr>
                <w:rFonts w:ascii="Times New Roman"/>
                <w:sz w:val="21"/>
              </w:rPr>
              <w:t>64</w:t>
            </w:r>
          </w:p>
        </w:tc>
        <w:tc>
          <w:tcPr>
            <w:tcW w:w="1366" w:type="dxa"/>
          </w:tcPr>
          <w:p>
            <w:pPr>
              <w:pStyle w:val="TableParagraph"/>
              <w:spacing w:before="41"/>
              <w:ind w:left="376" w:right="361"/>
              <w:jc w:val="center"/>
              <w:rPr>
                <w:rFonts w:ascii="Times New Roman"/>
                <w:sz w:val="21"/>
              </w:rPr>
            </w:pPr>
            <w:r>
              <w:rPr>
                <w:rFonts w:ascii="Times New Roman"/>
                <w:sz w:val="21"/>
              </w:rPr>
              <w:t>3.7987</w:t>
            </w:r>
          </w:p>
        </w:tc>
        <w:tc>
          <w:tcPr>
            <w:tcW w:w="1367" w:type="dxa"/>
          </w:tcPr>
          <w:p>
            <w:pPr>
              <w:pStyle w:val="TableParagraph"/>
              <w:spacing w:before="41"/>
              <w:ind w:left="374" w:right="365"/>
              <w:jc w:val="center"/>
              <w:rPr>
                <w:rFonts w:ascii="Times New Roman"/>
                <w:sz w:val="21"/>
              </w:rPr>
            </w:pPr>
            <w:r>
              <w:rPr>
                <w:rFonts w:ascii="Times New Roman"/>
                <w:sz w:val="21"/>
              </w:rPr>
              <w:t>2.7882</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29</w:t>
            </w:r>
          </w:p>
        </w:tc>
        <w:tc>
          <w:tcPr>
            <w:tcW w:w="1469" w:type="dxa"/>
          </w:tcPr>
          <w:p>
            <w:pPr>
              <w:pStyle w:val="TableParagraph"/>
              <w:ind w:left="425" w:right="415"/>
              <w:jc w:val="center"/>
              <w:rPr>
                <w:rFonts w:ascii="Times New Roman"/>
                <w:sz w:val="21"/>
              </w:rPr>
            </w:pPr>
            <w:r>
              <w:rPr>
                <w:rFonts w:ascii="Times New Roman"/>
                <w:sz w:val="21"/>
              </w:rPr>
              <w:t>0.1543</w:t>
            </w:r>
          </w:p>
        </w:tc>
        <w:tc>
          <w:tcPr>
            <w:tcW w:w="1365" w:type="dxa"/>
          </w:tcPr>
          <w:p>
            <w:pPr>
              <w:pStyle w:val="TableParagraph"/>
              <w:ind w:left="375" w:right="361"/>
              <w:jc w:val="center"/>
              <w:rPr>
                <w:rFonts w:ascii="Times New Roman"/>
                <w:sz w:val="21"/>
              </w:rPr>
            </w:pPr>
            <w:r>
              <w:rPr>
                <w:rFonts w:ascii="Times New Roman"/>
                <w:sz w:val="21"/>
              </w:rPr>
              <w:t>0.1447</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65</w:t>
            </w:r>
          </w:p>
        </w:tc>
        <w:tc>
          <w:tcPr>
            <w:tcW w:w="1366" w:type="dxa"/>
          </w:tcPr>
          <w:p>
            <w:pPr>
              <w:pStyle w:val="TableParagraph"/>
              <w:ind w:left="376" w:right="361"/>
              <w:jc w:val="center"/>
              <w:rPr>
                <w:rFonts w:ascii="Times New Roman"/>
                <w:sz w:val="21"/>
              </w:rPr>
            </w:pPr>
            <w:r>
              <w:rPr>
                <w:rFonts w:ascii="Times New Roman"/>
                <w:sz w:val="21"/>
              </w:rPr>
              <w:t>4.1329</w:t>
            </w:r>
          </w:p>
        </w:tc>
        <w:tc>
          <w:tcPr>
            <w:tcW w:w="1367" w:type="dxa"/>
          </w:tcPr>
          <w:p>
            <w:pPr>
              <w:pStyle w:val="TableParagraph"/>
              <w:ind w:left="374" w:right="365"/>
              <w:jc w:val="center"/>
              <w:rPr>
                <w:rFonts w:ascii="Times New Roman"/>
                <w:sz w:val="21"/>
              </w:rPr>
            </w:pPr>
            <w:r>
              <w:rPr>
                <w:rFonts w:ascii="Times New Roman"/>
                <w:sz w:val="21"/>
              </w:rPr>
              <w:t>2.9953</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30</w:t>
            </w:r>
          </w:p>
        </w:tc>
        <w:tc>
          <w:tcPr>
            <w:tcW w:w="1469" w:type="dxa"/>
          </w:tcPr>
          <w:p>
            <w:pPr>
              <w:pStyle w:val="TableParagraph"/>
              <w:ind w:left="425" w:right="415"/>
              <w:jc w:val="center"/>
              <w:rPr>
                <w:rFonts w:ascii="Times New Roman"/>
                <w:sz w:val="21"/>
              </w:rPr>
            </w:pPr>
            <w:r>
              <w:rPr>
                <w:rFonts w:ascii="Times New Roman"/>
                <w:sz w:val="21"/>
              </w:rPr>
              <w:t>0.1694</w:t>
            </w:r>
          </w:p>
        </w:tc>
        <w:tc>
          <w:tcPr>
            <w:tcW w:w="1365" w:type="dxa"/>
          </w:tcPr>
          <w:p>
            <w:pPr>
              <w:pStyle w:val="TableParagraph"/>
              <w:ind w:left="375" w:right="361"/>
              <w:jc w:val="center"/>
              <w:rPr>
                <w:rFonts w:ascii="Times New Roman"/>
                <w:sz w:val="21"/>
              </w:rPr>
            </w:pPr>
            <w:r>
              <w:rPr>
                <w:rFonts w:ascii="Times New Roman"/>
                <w:sz w:val="21"/>
              </w:rPr>
              <w:t>0.1612</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66</w:t>
            </w:r>
          </w:p>
        </w:tc>
        <w:tc>
          <w:tcPr>
            <w:tcW w:w="1366" w:type="dxa"/>
          </w:tcPr>
          <w:p>
            <w:pPr>
              <w:pStyle w:val="TableParagraph"/>
              <w:ind w:left="376" w:right="361"/>
              <w:jc w:val="center"/>
              <w:rPr>
                <w:rFonts w:ascii="Times New Roman"/>
                <w:sz w:val="21"/>
              </w:rPr>
            </w:pPr>
            <w:r>
              <w:rPr>
                <w:rFonts w:ascii="Times New Roman"/>
                <w:sz w:val="21"/>
              </w:rPr>
              <w:t>4.4861</w:t>
            </w:r>
          </w:p>
        </w:tc>
        <w:tc>
          <w:tcPr>
            <w:tcW w:w="1367" w:type="dxa"/>
          </w:tcPr>
          <w:p>
            <w:pPr>
              <w:pStyle w:val="TableParagraph"/>
              <w:ind w:left="374" w:right="365"/>
              <w:jc w:val="center"/>
              <w:rPr>
                <w:rFonts w:ascii="Times New Roman"/>
                <w:sz w:val="21"/>
              </w:rPr>
            </w:pPr>
            <w:r>
              <w:rPr>
                <w:rFonts w:ascii="Times New Roman"/>
                <w:sz w:val="21"/>
              </w:rPr>
              <w:t>3.2152</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31</w:t>
            </w:r>
          </w:p>
        </w:tc>
        <w:tc>
          <w:tcPr>
            <w:tcW w:w="1469" w:type="dxa"/>
          </w:tcPr>
          <w:p>
            <w:pPr>
              <w:pStyle w:val="TableParagraph"/>
              <w:ind w:left="425" w:right="415"/>
              <w:jc w:val="center"/>
              <w:rPr>
                <w:rFonts w:ascii="Times New Roman"/>
                <w:sz w:val="21"/>
              </w:rPr>
            </w:pPr>
            <w:r>
              <w:rPr>
                <w:rFonts w:ascii="Times New Roman"/>
                <w:sz w:val="21"/>
              </w:rPr>
              <w:t>0.1849</w:t>
            </w:r>
          </w:p>
        </w:tc>
        <w:tc>
          <w:tcPr>
            <w:tcW w:w="1365" w:type="dxa"/>
          </w:tcPr>
          <w:p>
            <w:pPr>
              <w:pStyle w:val="TableParagraph"/>
              <w:ind w:left="375" w:right="361"/>
              <w:jc w:val="center"/>
              <w:rPr>
                <w:rFonts w:ascii="Times New Roman"/>
                <w:sz w:val="21"/>
              </w:rPr>
            </w:pPr>
            <w:r>
              <w:rPr>
                <w:rFonts w:ascii="Times New Roman"/>
                <w:sz w:val="21"/>
              </w:rPr>
              <w:t>0.1803</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67</w:t>
            </w:r>
          </w:p>
        </w:tc>
        <w:tc>
          <w:tcPr>
            <w:tcW w:w="1366" w:type="dxa"/>
          </w:tcPr>
          <w:p>
            <w:pPr>
              <w:pStyle w:val="TableParagraph"/>
              <w:ind w:left="376" w:right="361"/>
              <w:jc w:val="center"/>
              <w:rPr>
                <w:rFonts w:ascii="Times New Roman"/>
                <w:sz w:val="21"/>
              </w:rPr>
            </w:pPr>
            <w:r>
              <w:rPr>
                <w:rFonts w:ascii="Times New Roman"/>
                <w:sz w:val="21"/>
              </w:rPr>
              <w:t>4.8958</w:t>
            </w:r>
          </w:p>
        </w:tc>
        <w:tc>
          <w:tcPr>
            <w:tcW w:w="1367" w:type="dxa"/>
          </w:tcPr>
          <w:p>
            <w:pPr>
              <w:pStyle w:val="TableParagraph"/>
              <w:ind w:left="374" w:right="365"/>
              <w:jc w:val="center"/>
              <w:rPr>
                <w:rFonts w:ascii="Times New Roman"/>
                <w:sz w:val="21"/>
              </w:rPr>
            </w:pPr>
            <w:r>
              <w:rPr>
                <w:rFonts w:ascii="Times New Roman"/>
                <w:sz w:val="21"/>
              </w:rPr>
              <w:t>3.4718</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32</w:t>
            </w:r>
          </w:p>
        </w:tc>
        <w:tc>
          <w:tcPr>
            <w:tcW w:w="1469" w:type="dxa"/>
          </w:tcPr>
          <w:p>
            <w:pPr>
              <w:pStyle w:val="TableParagraph"/>
              <w:spacing w:before="41"/>
              <w:ind w:left="425" w:right="415"/>
              <w:jc w:val="center"/>
              <w:rPr>
                <w:rFonts w:ascii="Times New Roman"/>
                <w:sz w:val="21"/>
              </w:rPr>
            </w:pPr>
            <w:r>
              <w:rPr>
                <w:rFonts w:ascii="Times New Roman"/>
                <w:sz w:val="21"/>
              </w:rPr>
              <w:t>0.2018</w:t>
            </w:r>
          </w:p>
        </w:tc>
        <w:tc>
          <w:tcPr>
            <w:tcW w:w="1365" w:type="dxa"/>
          </w:tcPr>
          <w:p>
            <w:pPr>
              <w:pStyle w:val="TableParagraph"/>
              <w:spacing w:before="41"/>
              <w:ind w:left="375" w:right="361"/>
              <w:jc w:val="center"/>
              <w:rPr>
                <w:rFonts w:ascii="Times New Roman"/>
                <w:sz w:val="21"/>
              </w:rPr>
            </w:pPr>
            <w:r>
              <w:rPr>
                <w:rFonts w:ascii="Times New Roman"/>
                <w:sz w:val="21"/>
              </w:rPr>
              <w:t>0.2022</w:t>
            </w:r>
          </w:p>
        </w:tc>
        <w:tc>
          <w:tcPr>
            <w:tcW w:w="734" w:type="dxa"/>
            <w:vMerge/>
            <w:tcBorders>
              <w:top w:val="nil"/>
              <w:bottom w:val="nil"/>
            </w:tcBorders>
          </w:tcPr>
          <w:p>
            <w:pPr>
              <w:rPr>
                <w:sz w:val="2"/>
                <w:szCs w:val="2"/>
              </w:rPr>
            </w:pPr>
          </w:p>
        </w:tc>
        <w:tc>
          <w:tcPr>
            <w:tcW w:w="1366" w:type="dxa"/>
          </w:tcPr>
          <w:p>
            <w:pPr>
              <w:pStyle w:val="TableParagraph"/>
              <w:spacing w:before="41"/>
              <w:ind w:left="376" w:right="360"/>
              <w:jc w:val="center"/>
              <w:rPr>
                <w:rFonts w:ascii="Times New Roman"/>
                <w:sz w:val="21"/>
              </w:rPr>
            </w:pPr>
            <w:r>
              <w:rPr>
                <w:rFonts w:ascii="Times New Roman"/>
                <w:sz w:val="21"/>
              </w:rPr>
              <w:t>68</w:t>
            </w:r>
          </w:p>
        </w:tc>
        <w:tc>
          <w:tcPr>
            <w:tcW w:w="1366" w:type="dxa"/>
          </w:tcPr>
          <w:p>
            <w:pPr>
              <w:pStyle w:val="TableParagraph"/>
              <w:spacing w:before="41"/>
              <w:ind w:left="376" w:right="361"/>
              <w:jc w:val="center"/>
              <w:rPr>
                <w:rFonts w:ascii="Times New Roman"/>
                <w:sz w:val="21"/>
              </w:rPr>
            </w:pPr>
            <w:r>
              <w:rPr>
                <w:rFonts w:ascii="Times New Roman"/>
                <w:sz w:val="21"/>
              </w:rPr>
              <w:t>5.2837</w:t>
            </w:r>
          </w:p>
        </w:tc>
        <w:tc>
          <w:tcPr>
            <w:tcW w:w="1367" w:type="dxa"/>
          </w:tcPr>
          <w:p>
            <w:pPr>
              <w:pStyle w:val="TableParagraph"/>
              <w:spacing w:before="41"/>
              <w:ind w:left="374" w:right="365"/>
              <w:jc w:val="center"/>
              <w:rPr>
                <w:rFonts w:ascii="Times New Roman"/>
                <w:sz w:val="21"/>
              </w:rPr>
            </w:pPr>
            <w:r>
              <w:rPr>
                <w:rFonts w:ascii="Times New Roman"/>
                <w:sz w:val="21"/>
              </w:rPr>
              <w:t>3.7193</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33</w:t>
            </w:r>
          </w:p>
        </w:tc>
        <w:tc>
          <w:tcPr>
            <w:tcW w:w="1469" w:type="dxa"/>
          </w:tcPr>
          <w:p>
            <w:pPr>
              <w:pStyle w:val="TableParagraph"/>
              <w:ind w:left="425" w:right="415"/>
              <w:jc w:val="center"/>
              <w:rPr>
                <w:rFonts w:ascii="Times New Roman"/>
                <w:sz w:val="21"/>
              </w:rPr>
            </w:pPr>
            <w:r>
              <w:rPr>
                <w:rFonts w:ascii="Times New Roman"/>
                <w:sz w:val="21"/>
              </w:rPr>
              <w:t>0.2253</w:t>
            </w:r>
          </w:p>
        </w:tc>
        <w:tc>
          <w:tcPr>
            <w:tcW w:w="1365" w:type="dxa"/>
          </w:tcPr>
          <w:p>
            <w:pPr>
              <w:pStyle w:val="TableParagraph"/>
              <w:ind w:left="375" w:right="361"/>
              <w:jc w:val="center"/>
              <w:rPr>
                <w:rFonts w:ascii="Times New Roman"/>
                <w:sz w:val="21"/>
              </w:rPr>
            </w:pPr>
            <w:r>
              <w:rPr>
                <w:rFonts w:ascii="Times New Roman"/>
                <w:sz w:val="21"/>
              </w:rPr>
              <w:t>0.2260</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69</w:t>
            </w:r>
          </w:p>
        </w:tc>
        <w:tc>
          <w:tcPr>
            <w:tcW w:w="1366" w:type="dxa"/>
          </w:tcPr>
          <w:p>
            <w:pPr>
              <w:pStyle w:val="TableParagraph"/>
              <w:ind w:left="376" w:right="361"/>
              <w:jc w:val="center"/>
              <w:rPr>
                <w:rFonts w:ascii="Times New Roman"/>
                <w:sz w:val="21"/>
              </w:rPr>
            </w:pPr>
            <w:r>
              <w:rPr>
                <w:rFonts w:ascii="Times New Roman"/>
                <w:sz w:val="21"/>
              </w:rPr>
              <w:t>5.7082</w:t>
            </w:r>
          </w:p>
        </w:tc>
        <w:tc>
          <w:tcPr>
            <w:tcW w:w="1367" w:type="dxa"/>
          </w:tcPr>
          <w:p>
            <w:pPr>
              <w:pStyle w:val="TableParagraph"/>
              <w:ind w:left="374" w:right="365"/>
              <w:jc w:val="center"/>
              <w:rPr>
                <w:rFonts w:ascii="Times New Roman"/>
                <w:sz w:val="21"/>
              </w:rPr>
            </w:pPr>
            <w:r>
              <w:rPr>
                <w:rFonts w:ascii="Times New Roman"/>
                <w:sz w:val="21"/>
              </w:rPr>
              <w:t>4.0010</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34</w:t>
            </w:r>
          </w:p>
        </w:tc>
        <w:tc>
          <w:tcPr>
            <w:tcW w:w="1469" w:type="dxa"/>
          </w:tcPr>
          <w:p>
            <w:pPr>
              <w:pStyle w:val="TableParagraph"/>
              <w:ind w:left="425" w:right="415"/>
              <w:jc w:val="center"/>
              <w:rPr>
                <w:rFonts w:ascii="Times New Roman"/>
                <w:sz w:val="21"/>
              </w:rPr>
            </w:pPr>
            <w:r>
              <w:rPr>
                <w:rFonts w:ascii="Times New Roman"/>
                <w:sz w:val="21"/>
              </w:rPr>
              <w:t>0.2505</w:t>
            </w:r>
          </w:p>
        </w:tc>
        <w:tc>
          <w:tcPr>
            <w:tcW w:w="1365" w:type="dxa"/>
          </w:tcPr>
          <w:p>
            <w:pPr>
              <w:pStyle w:val="TableParagraph"/>
              <w:ind w:left="375" w:right="361"/>
              <w:jc w:val="center"/>
              <w:rPr>
                <w:rFonts w:ascii="Times New Roman"/>
                <w:sz w:val="21"/>
              </w:rPr>
            </w:pPr>
            <w:r>
              <w:rPr>
                <w:rFonts w:ascii="Times New Roman"/>
                <w:sz w:val="21"/>
              </w:rPr>
              <w:t>0.2517</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70</w:t>
            </w:r>
          </w:p>
        </w:tc>
        <w:tc>
          <w:tcPr>
            <w:tcW w:w="1366" w:type="dxa"/>
          </w:tcPr>
          <w:p>
            <w:pPr>
              <w:pStyle w:val="TableParagraph"/>
              <w:ind w:left="376" w:right="361"/>
              <w:jc w:val="center"/>
              <w:rPr>
                <w:rFonts w:ascii="Times New Roman"/>
                <w:sz w:val="21"/>
              </w:rPr>
            </w:pPr>
            <w:r>
              <w:rPr>
                <w:rFonts w:ascii="Times New Roman"/>
                <w:sz w:val="21"/>
              </w:rPr>
              <w:t>6.1989</w:t>
            </w:r>
          </w:p>
        </w:tc>
        <w:tc>
          <w:tcPr>
            <w:tcW w:w="1367" w:type="dxa"/>
          </w:tcPr>
          <w:p>
            <w:pPr>
              <w:pStyle w:val="TableParagraph"/>
              <w:ind w:left="374" w:right="365"/>
              <w:jc w:val="center"/>
              <w:rPr>
                <w:rFonts w:ascii="Times New Roman"/>
                <w:sz w:val="21"/>
              </w:rPr>
            </w:pPr>
            <w:r>
              <w:rPr>
                <w:rFonts w:ascii="Times New Roman"/>
                <w:sz w:val="21"/>
              </w:rPr>
              <w:t>4.2216</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35</w:t>
            </w:r>
          </w:p>
        </w:tc>
        <w:tc>
          <w:tcPr>
            <w:tcW w:w="1469" w:type="dxa"/>
          </w:tcPr>
          <w:p>
            <w:pPr>
              <w:pStyle w:val="TableParagraph"/>
              <w:ind w:left="425" w:right="415"/>
              <w:jc w:val="center"/>
              <w:rPr>
                <w:rFonts w:ascii="Times New Roman"/>
                <w:sz w:val="21"/>
              </w:rPr>
            </w:pPr>
            <w:r>
              <w:rPr>
                <w:rFonts w:ascii="Times New Roman"/>
                <w:sz w:val="21"/>
              </w:rPr>
              <w:t>0.2783</w:t>
            </w:r>
          </w:p>
        </w:tc>
        <w:tc>
          <w:tcPr>
            <w:tcW w:w="1365" w:type="dxa"/>
          </w:tcPr>
          <w:p>
            <w:pPr>
              <w:pStyle w:val="TableParagraph"/>
              <w:ind w:left="375" w:right="361"/>
              <w:jc w:val="center"/>
              <w:rPr>
                <w:rFonts w:ascii="Times New Roman"/>
                <w:sz w:val="21"/>
              </w:rPr>
            </w:pPr>
            <w:r>
              <w:rPr>
                <w:rFonts w:ascii="Times New Roman"/>
                <w:sz w:val="21"/>
              </w:rPr>
              <w:t>0.2812</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71</w:t>
            </w:r>
          </w:p>
        </w:tc>
        <w:tc>
          <w:tcPr>
            <w:tcW w:w="1366" w:type="dxa"/>
          </w:tcPr>
          <w:p>
            <w:pPr>
              <w:pStyle w:val="TableParagraph"/>
              <w:ind w:left="376" w:right="361"/>
              <w:jc w:val="center"/>
              <w:rPr>
                <w:rFonts w:ascii="Times New Roman"/>
                <w:sz w:val="21"/>
              </w:rPr>
            </w:pPr>
            <w:r>
              <w:rPr>
                <w:rFonts w:ascii="Times New Roman"/>
                <w:sz w:val="21"/>
              </w:rPr>
              <w:t>2.6690</w:t>
            </w:r>
          </w:p>
        </w:tc>
        <w:tc>
          <w:tcPr>
            <w:tcW w:w="1367" w:type="dxa"/>
          </w:tcPr>
          <w:p>
            <w:pPr>
              <w:pStyle w:val="TableParagraph"/>
              <w:ind w:left="374" w:right="365"/>
              <w:jc w:val="center"/>
              <w:rPr>
                <w:rFonts w:ascii="Times New Roman"/>
                <w:sz w:val="21"/>
              </w:rPr>
            </w:pPr>
            <w:r>
              <w:rPr>
                <w:rFonts w:ascii="Times New Roman"/>
                <w:sz w:val="21"/>
              </w:rPr>
              <w:t>1.9146</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36</w:t>
            </w:r>
          </w:p>
        </w:tc>
        <w:tc>
          <w:tcPr>
            <w:tcW w:w="1469" w:type="dxa"/>
          </w:tcPr>
          <w:p>
            <w:pPr>
              <w:pStyle w:val="TableParagraph"/>
              <w:spacing w:before="41"/>
              <w:ind w:left="425" w:right="415"/>
              <w:jc w:val="center"/>
              <w:rPr>
                <w:rFonts w:ascii="Times New Roman"/>
                <w:sz w:val="21"/>
              </w:rPr>
            </w:pPr>
            <w:r>
              <w:rPr>
                <w:rFonts w:ascii="Times New Roman"/>
                <w:sz w:val="21"/>
              </w:rPr>
              <w:t>0.3085</w:t>
            </w:r>
          </w:p>
        </w:tc>
        <w:tc>
          <w:tcPr>
            <w:tcW w:w="1365" w:type="dxa"/>
          </w:tcPr>
          <w:p>
            <w:pPr>
              <w:pStyle w:val="TableParagraph"/>
              <w:spacing w:before="41"/>
              <w:ind w:left="375" w:right="361"/>
              <w:jc w:val="center"/>
              <w:rPr>
                <w:rFonts w:ascii="Times New Roman"/>
                <w:sz w:val="21"/>
              </w:rPr>
            </w:pPr>
            <w:r>
              <w:rPr>
                <w:rFonts w:ascii="Times New Roman"/>
                <w:sz w:val="21"/>
              </w:rPr>
              <w:t>0.3145</w:t>
            </w:r>
          </w:p>
        </w:tc>
        <w:tc>
          <w:tcPr>
            <w:tcW w:w="734" w:type="dxa"/>
            <w:vMerge/>
            <w:tcBorders>
              <w:top w:val="nil"/>
              <w:bottom w:val="nil"/>
            </w:tcBorders>
          </w:tcPr>
          <w:p>
            <w:pPr>
              <w:rPr>
                <w:sz w:val="2"/>
                <w:szCs w:val="2"/>
              </w:rPr>
            </w:pPr>
          </w:p>
        </w:tc>
        <w:tc>
          <w:tcPr>
            <w:tcW w:w="1366" w:type="dxa"/>
          </w:tcPr>
          <w:p>
            <w:pPr>
              <w:pStyle w:val="TableParagraph"/>
              <w:spacing w:before="41"/>
              <w:ind w:left="376" w:right="360"/>
              <w:jc w:val="center"/>
              <w:rPr>
                <w:rFonts w:ascii="Times New Roman"/>
                <w:sz w:val="21"/>
              </w:rPr>
            </w:pPr>
            <w:r>
              <w:rPr>
                <w:rFonts w:ascii="Times New Roman"/>
                <w:sz w:val="21"/>
              </w:rPr>
              <w:t>72</w:t>
            </w:r>
          </w:p>
        </w:tc>
        <w:tc>
          <w:tcPr>
            <w:tcW w:w="1366" w:type="dxa"/>
          </w:tcPr>
          <w:p>
            <w:pPr>
              <w:pStyle w:val="TableParagraph"/>
              <w:spacing w:before="41"/>
              <w:ind w:left="376" w:right="361"/>
              <w:jc w:val="center"/>
              <w:rPr>
                <w:rFonts w:ascii="Times New Roman"/>
                <w:sz w:val="21"/>
              </w:rPr>
            </w:pPr>
            <w:r>
              <w:rPr>
                <w:rFonts w:ascii="Times New Roman"/>
                <w:sz w:val="21"/>
              </w:rPr>
              <w:t>2.7474</w:t>
            </w:r>
          </w:p>
        </w:tc>
        <w:tc>
          <w:tcPr>
            <w:tcW w:w="1367" w:type="dxa"/>
          </w:tcPr>
          <w:p>
            <w:pPr>
              <w:pStyle w:val="TableParagraph"/>
              <w:spacing w:before="41"/>
              <w:ind w:left="374" w:right="365"/>
              <w:jc w:val="center"/>
              <w:rPr>
                <w:rFonts w:ascii="Times New Roman"/>
                <w:sz w:val="21"/>
              </w:rPr>
            </w:pPr>
            <w:r>
              <w:rPr>
                <w:rFonts w:ascii="Times New Roman"/>
                <w:sz w:val="21"/>
              </w:rPr>
              <w:t>2.0015</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37</w:t>
            </w:r>
          </w:p>
        </w:tc>
        <w:tc>
          <w:tcPr>
            <w:tcW w:w="1469" w:type="dxa"/>
          </w:tcPr>
          <w:p>
            <w:pPr>
              <w:pStyle w:val="TableParagraph"/>
              <w:ind w:left="425" w:right="415"/>
              <w:jc w:val="center"/>
              <w:rPr>
                <w:rFonts w:ascii="Times New Roman"/>
                <w:sz w:val="21"/>
              </w:rPr>
            </w:pPr>
            <w:r>
              <w:rPr>
                <w:rFonts w:ascii="Times New Roman"/>
                <w:sz w:val="21"/>
              </w:rPr>
              <w:t>0.3428</w:t>
            </w:r>
          </w:p>
        </w:tc>
        <w:tc>
          <w:tcPr>
            <w:tcW w:w="1365" w:type="dxa"/>
          </w:tcPr>
          <w:p>
            <w:pPr>
              <w:pStyle w:val="TableParagraph"/>
              <w:ind w:left="375" w:right="361"/>
              <w:jc w:val="center"/>
              <w:rPr>
                <w:rFonts w:ascii="Times New Roman"/>
                <w:sz w:val="21"/>
              </w:rPr>
            </w:pPr>
            <w:r>
              <w:rPr>
                <w:rFonts w:ascii="Times New Roman"/>
                <w:sz w:val="21"/>
              </w:rPr>
              <w:t>0.3483</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73</w:t>
            </w:r>
          </w:p>
        </w:tc>
        <w:tc>
          <w:tcPr>
            <w:tcW w:w="1366" w:type="dxa"/>
          </w:tcPr>
          <w:p>
            <w:pPr>
              <w:pStyle w:val="TableParagraph"/>
              <w:ind w:left="376" w:right="361"/>
              <w:jc w:val="center"/>
              <w:rPr>
                <w:rFonts w:ascii="Times New Roman"/>
                <w:sz w:val="21"/>
              </w:rPr>
            </w:pPr>
            <w:r>
              <w:rPr>
                <w:rFonts w:ascii="Times New Roman"/>
                <w:sz w:val="21"/>
              </w:rPr>
              <w:t>2.8502</w:t>
            </w:r>
          </w:p>
        </w:tc>
        <w:tc>
          <w:tcPr>
            <w:tcW w:w="1367" w:type="dxa"/>
          </w:tcPr>
          <w:p>
            <w:pPr>
              <w:pStyle w:val="TableParagraph"/>
              <w:ind w:left="374" w:right="365"/>
              <w:jc w:val="center"/>
              <w:rPr>
                <w:rFonts w:ascii="Times New Roman"/>
                <w:sz w:val="21"/>
              </w:rPr>
            </w:pPr>
            <w:r>
              <w:rPr>
                <w:rFonts w:ascii="Times New Roman"/>
                <w:sz w:val="21"/>
              </w:rPr>
              <w:t>2.0931</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38</w:t>
            </w:r>
          </w:p>
        </w:tc>
        <w:tc>
          <w:tcPr>
            <w:tcW w:w="1469" w:type="dxa"/>
          </w:tcPr>
          <w:p>
            <w:pPr>
              <w:pStyle w:val="TableParagraph"/>
              <w:ind w:left="425" w:right="415"/>
              <w:jc w:val="center"/>
              <w:rPr>
                <w:rFonts w:ascii="Times New Roman"/>
                <w:sz w:val="21"/>
              </w:rPr>
            </w:pPr>
            <w:r>
              <w:rPr>
                <w:rFonts w:ascii="Times New Roman"/>
                <w:sz w:val="21"/>
              </w:rPr>
              <w:t>0.3752</w:t>
            </w:r>
          </w:p>
        </w:tc>
        <w:tc>
          <w:tcPr>
            <w:tcW w:w="1365" w:type="dxa"/>
          </w:tcPr>
          <w:p>
            <w:pPr>
              <w:pStyle w:val="TableParagraph"/>
              <w:ind w:left="375" w:right="361"/>
              <w:jc w:val="center"/>
              <w:rPr>
                <w:rFonts w:ascii="Times New Roman"/>
                <w:sz w:val="21"/>
              </w:rPr>
            </w:pPr>
            <w:r>
              <w:rPr>
                <w:rFonts w:ascii="Times New Roman"/>
                <w:sz w:val="21"/>
              </w:rPr>
              <w:t>0.3845</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74</w:t>
            </w:r>
          </w:p>
        </w:tc>
        <w:tc>
          <w:tcPr>
            <w:tcW w:w="1366" w:type="dxa"/>
          </w:tcPr>
          <w:p>
            <w:pPr>
              <w:pStyle w:val="TableParagraph"/>
              <w:ind w:left="376" w:right="361"/>
              <w:jc w:val="center"/>
              <w:rPr>
                <w:rFonts w:ascii="Times New Roman"/>
                <w:sz w:val="21"/>
              </w:rPr>
            </w:pPr>
            <w:r>
              <w:rPr>
                <w:rFonts w:ascii="Times New Roman"/>
                <w:sz w:val="21"/>
              </w:rPr>
              <w:t>3.0174</w:t>
            </w:r>
          </w:p>
        </w:tc>
        <w:tc>
          <w:tcPr>
            <w:tcW w:w="1367" w:type="dxa"/>
          </w:tcPr>
          <w:p>
            <w:pPr>
              <w:pStyle w:val="TableParagraph"/>
              <w:ind w:left="374" w:right="365"/>
              <w:jc w:val="center"/>
              <w:rPr>
                <w:rFonts w:ascii="Times New Roman"/>
                <w:sz w:val="21"/>
              </w:rPr>
            </w:pPr>
            <w:r>
              <w:rPr>
                <w:rFonts w:ascii="Times New Roman"/>
                <w:sz w:val="21"/>
              </w:rPr>
              <w:t>2.1793</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39</w:t>
            </w:r>
          </w:p>
        </w:tc>
        <w:tc>
          <w:tcPr>
            <w:tcW w:w="1469" w:type="dxa"/>
          </w:tcPr>
          <w:p>
            <w:pPr>
              <w:pStyle w:val="TableParagraph"/>
              <w:ind w:left="425" w:right="415"/>
              <w:jc w:val="center"/>
              <w:rPr>
                <w:rFonts w:ascii="Times New Roman"/>
                <w:sz w:val="21"/>
              </w:rPr>
            </w:pPr>
            <w:r>
              <w:rPr>
                <w:rFonts w:ascii="Times New Roman"/>
                <w:sz w:val="21"/>
              </w:rPr>
              <w:t>0.4148</w:t>
            </w:r>
          </w:p>
        </w:tc>
        <w:tc>
          <w:tcPr>
            <w:tcW w:w="1365" w:type="dxa"/>
          </w:tcPr>
          <w:p>
            <w:pPr>
              <w:pStyle w:val="TableParagraph"/>
              <w:ind w:left="375" w:right="361"/>
              <w:jc w:val="center"/>
              <w:rPr>
                <w:rFonts w:ascii="Times New Roman"/>
                <w:sz w:val="21"/>
              </w:rPr>
            </w:pPr>
            <w:r>
              <w:rPr>
                <w:rFonts w:ascii="Times New Roman"/>
                <w:sz w:val="21"/>
              </w:rPr>
              <w:t>0.4251</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75</w:t>
            </w:r>
          </w:p>
        </w:tc>
        <w:tc>
          <w:tcPr>
            <w:tcW w:w="1366" w:type="dxa"/>
          </w:tcPr>
          <w:p>
            <w:pPr>
              <w:pStyle w:val="TableParagraph"/>
              <w:ind w:left="376" w:right="361"/>
              <w:jc w:val="center"/>
              <w:rPr>
                <w:rFonts w:ascii="Times New Roman"/>
                <w:sz w:val="21"/>
              </w:rPr>
            </w:pPr>
            <w:r>
              <w:rPr>
                <w:rFonts w:ascii="Times New Roman"/>
                <w:sz w:val="21"/>
              </w:rPr>
              <w:t>3.0859</w:t>
            </w:r>
          </w:p>
        </w:tc>
        <w:tc>
          <w:tcPr>
            <w:tcW w:w="1367" w:type="dxa"/>
          </w:tcPr>
          <w:p>
            <w:pPr>
              <w:pStyle w:val="TableParagraph"/>
              <w:ind w:left="374" w:right="365"/>
              <w:jc w:val="center"/>
              <w:rPr>
                <w:rFonts w:ascii="Times New Roman"/>
                <w:sz w:val="21"/>
              </w:rPr>
            </w:pPr>
            <w:r>
              <w:rPr>
                <w:rFonts w:ascii="Times New Roman"/>
                <w:sz w:val="21"/>
              </w:rPr>
              <w:t>2.2448</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40</w:t>
            </w:r>
          </w:p>
        </w:tc>
        <w:tc>
          <w:tcPr>
            <w:tcW w:w="1469" w:type="dxa"/>
          </w:tcPr>
          <w:p>
            <w:pPr>
              <w:pStyle w:val="TableParagraph"/>
              <w:spacing w:before="41"/>
              <w:ind w:left="425" w:right="415"/>
              <w:jc w:val="center"/>
              <w:rPr>
                <w:rFonts w:ascii="Times New Roman"/>
                <w:sz w:val="21"/>
              </w:rPr>
            </w:pPr>
            <w:r>
              <w:rPr>
                <w:rFonts w:ascii="Times New Roman"/>
                <w:sz w:val="21"/>
              </w:rPr>
              <w:t>0.4587</w:t>
            </w:r>
          </w:p>
        </w:tc>
        <w:tc>
          <w:tcPr>
            <w:tcW w:w="1365" w:type="dxa"/>
          </w:tcPr>
          <w:p>
            <w:pPr>
              <w:pStyle w:val="TableParagraph"/>
              <w:spacing w:before="41"/>
              <w:ind w:left="375" w:right="361"/>
              <w:jc w:val="center"/>
              <w:rPr>
                <w:rFonts w:ascii="Times New Roman"/>
                <w:sz w:val="21"/>
              </w:rPr>
            </w:pPr>
            <w:r>
              <w:rPr>
                <w:rFonts w:ascii="Times New Roman"/>
                <w:sz w:val="21"/>
              </w:rPr>
              <w:t>0.4684</w:t>
            </w:r>
          </w:p>
        </w:tc>
        <w:tc>
          <w:tcPr>
            <w:tcW w:w="734" w:type="dxa"/>
            <w:vMerge/>
            <w:tcBorders>
              <w:top w:val="nil"/>
              <w:bottom w:val="nil"/>
            </w:tcBorders>
          </w:tcPr>
          <w:p>
            <w:pPr>
              <w:rPr>
                <w:sz w:val="2"/>
                <w:szCs w:val="2"/>
              </w:rPr>
            </w:pPr>
          </w:p>
        </w:tc>
        <w:tc>
          <w:tcPr>
            <w:tcW w:w="1366" w:type="dxa"/>
          </w:tcPr>
          <w:p>
            <w:pPr>
              <w:pStyle w:val="TableParagraph"/>
              <w:spacing w:before="41"/>
              <w:ind w:left="376" w:right="360"/>
              <w:jc w:val="center"/>
              <w:rPr>
                <w:rFonts w:ascii="Times New Roman"/>
                <w:sz w:val="21"/>
              </w:rPr>
            </w:pPr>
            <w:r>
              <w:rPr>
                <w:rFonts w:ascii="Times New Roman"/>
                <w:sz w:val="21"/>
              </w:rPr>
              <w:t>76</w:t>
            </w:r>
          </w:p>
        </w:tc>
        <w:tc>
          <w:tcPr>
            <w:tcW w:w="1366" w:type="dxa"/>
          </w:tcPr>
          <w:p>
            <w:pPr>
              <w:pStyle w:val="TableParagraph"/>
              <w:spacing w:before="41"/>
              <w:ind w:left="376" w:right="361"/>
              <w:jc w:val="center"/>
              <w:rPr>
                <w:rFonts w:ascii="Times New Roman"/>
                <w:sz w:val="21"/>
              </w:rPr>
            </w:pPr>
            <w:r>
              <w:rPr>
                <w:rFonts w:ascii="Times New Roman"/>
                <w:sz w:val="21"/>
              </w:rPr>
              <w:t>3.2917</w:t>
            </w:r>
          </w:p>
        </w:tc>
        <w:tc>
          <w:tcPr>
            <w:tcW w:w="1367" w:type="dxa"/>
          </w:tcPr>
          <w:p>
            <w:pPr>
              <w:pStyle w:val="TableParagraph"/>
              <w:spacing w:before="41"/>
              <w:ind w:left="374" w:right="365"/>
              <w:jc w:val="center"/>
              <w:rPr>
                <w:rFonts w:ascii="Times New Roman"/>
                <w:sz w:val="21"/>
              </w:rPr>
            </w:pPr>
            <w:r>
              <w:rPr>
                <w:rFonts w:ascii="Times New Roman"/>
                <w:sz w:val="21"/>
              </w:rPr>
              <w:t>2.2976</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41</w:t>
            </w:r>
          </w:p>
        </w:tc>
        <w:tc>
          <w:tcPr>
            <w:tcW w:w="1469" w:type="dxa"/>
          </w:tcPr>
          <w:p>
            <w:pPr>
              <w:pStyle w:val="TableParagraph"/>
              <w:ind w:left="425" w:right="415"/>
              <w:jc w:val="center"/>
              <w:rPr>
                <w:rFonts w:ascii="Times New Roman"/>
                <w:sz w:val="21"/>
              </w:rPr>
            </w:pPr>
            <w:r>
              <w:rPr>
                <w:rFonts w:ascii="Times New Roman"/>
                <w:sz w:val="21"/>
              </w:rPr>
              <w:t>0.5064</w:t>
            </w:r>
          </w:p>
        </w:tc>
        <w:tc>
          <w:tcPr>
            <w:tcW w:w="1365" w:type="dxa"/>
          </w:tcPr>
          <w:p>
            <w:pPr>
              <w:pStyle w:val="TableParagraph"/>
              <w:ind w:left="375" w:right="361"/>
              <w:jc w:val="center"/>
              <w:rPr>
                <w:rFonts w:ascii="Times New Roman"/>
                <w:sz w:val="21"/>
              </w:rPr>
            </w:pPr>
            <w:r>
              <w:rPr>
                <w:rFonts w:ascii="Times New Roman"/>
                <w:sz w:val="21"/>
              </w:rPr>
              <w:t>0.5174</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77</w:t>
            </w:r>
          </w:p>
        </w:tc>
        <w:tc>
          <w:tcPr>
            <w:tcW w:w="1366" w:type="dxa"/>
          </w:tcPr>
          <w:p>
            <w:pPr>
              <w:pStyle w:val="TableParagraph"/>
              <w:ind w:left="376" w:right="361"/>
              <w:jc w:val="center"/>
              <w:rPr>
                <w:rFonts w:ascii="Times New Roman"/>
                <w:sz w:val="21"/>
              </w:rPr>
            </w:pPr>
            <w:r>
              <w:rPr>
                <w:rFonts w:ascii="Times New Roman"/>
                <w:sz w:val="21"/>
              </w:rPr>
              <w:t>3.4306</w:t>
            </w:r>
          </w:p>
        </w:tc>
        <w:tc>
          <w:tcPr>
            <w:tcW w:w="1367" w:type="dxa"/>
          </w:tcPr>
          <w:p>
            <w:pPr>
              <w:pStyle w:val="TableParagraph"/>
              <w:ind w:left="374" w:right="365"/>
              <w:jc w:val="center"/>
              <w:rPr>
                <w:rFonts w:ascii="Times New Roman"/>
                <w:sz w:val="21"/>
              </w:rPr>
            </w:pPr>
            <w:r>
              <w:rPr>
                <w:rFonts w:ascii="Times New Roman"/>
                <w:sz w:val="21"/>
              </w:rPr>
              <w:t>2.3355</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42</w:t>
            </w:r>
          </w:p>
        </w:tc>
        <w:tc>
          <w:tcPr>
            <w:tcW w:w="1469" w:type="dxa"/>
          </w:tcPr>
          <w:p>
            <w:pPr>
              <w:pStyle w:val="TableParagraph"/>
              <w:ind w:left="425" w:right="415"/>
              <w:jc w:val="center"/>
              <w:rPr>
                <w:rFonts w:ascii="Times New Roman"/>
                <w:sz w:val="21"/>
              </w:rPr>
            </w:pPr>
            <w:r>
              <w:rPr>
                <w:rFonts w:ascii="Times New Roman"/>
                <w:sz w:val="21"/>
              </w:rPr>
              <w:t>0.5579</w:t>
            </w:r>
          </w:p>
        </w:tc>
        <w:tc>
          <w:tcPr>
            <w:tcW w:w="1365" w:type="dxa"/>
          </w:tcPr>
          <w:p>
            <w:pPr>
              <w:pStyle w:val="TableParagraph"/>
              <w:ind w:left="375" w:right="361"/>
              <w:jc w:val="center"/>
              <w:rPr>
                <w:rFonts w:ascii="Times New Roman"/>
                <w:sz w:val="21"/>
              </w:rPr>
            </w:pPr>
            <w:r>
              <w:rPr>
                <w:rFonts w:ascii="Times New Roman"/>
                <w:sz w:val="21"/>
              </w:rPr>
              <w:t>0.5686</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78</w:t>
            </w:r>
          </w:p>
        </w:tc>
        <w:tc>
          <w:tcPr>
            <w:tcW w:w="1366" w:type="dxa"/>
          </w:tcPr>
          <w:p>
            <w:pPr>
              <w:pStyle w:val="TableParagraph"/>
              <w:ind w:left="376" w:right="361"/>
              <w:jc w:val="center"/>
              <w:rPr>
                <w:rFonts w:ascii="Times New Roman"/>
                <w:sz w:val="21"/>
              </w:rPr>
            </w:pPr>
            <w:r>
              <w:rPr>
                <w:rFonts w:ascii="Times New Roman"/>
                <w:sz w:val="21"/>
              </w:rPr>
              <w:t>3.5171</w:t>
            </w:r>
          </w:p>
        </w:tc>
        <w:tc>
          <w:tcPr>
            <w:tcW w:w="1367" w:type="dxa"/>
          </w:tcPr>
          <w:p>
            <w:pPr>
              <w:pStyle w:val="TableParagraph"/>
              <w:ind w:left="374" w:right="365"/>
              <w:jc w:val="center"/>
              <w:rPr>
                <w:rFonts w:ascii="Times New Roman"/>
                <w:sz w:val="21"/>
              </w:rPr>
            </w:pPr>
            <w:r>
              <w:rPr>
                <w:rFonts w:ascii="Times New Roman"/>
                <w:sz w:val="21"/>
              </w:rPr>
              <w:t>2.4419</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43</w:t>
            </w:r>
          </w:p>
        </w:tc>
        <w:tc>
          <w:tcPr>
            <w:tcW w:w="1469" w:type="dxa"/>
          </w:tcPr>
          <w:p>
            <w:pPr>
              <w:pStyle w:val="TableParagraph"/>
              <w:ind w:left="425" w:right="415"/>
              <w:jc w:val="center"/>
              <w:rPr>
                <w:rFonts w:ascii="Times New Roman"/>
                <w:sz w:val="21"/>
              </w:rPr>
            </w:pPr>
            <w:r>
              <w:rPr>
                <w:rFonts w:ascii="Times New Roman"/>
                <w:sz w:val="21"/>
              </w:rPr>
              <w:t>0.6104</w:t>
            </w:r>
          </w:p>
        </w:tc>
        <w:tc>
          <w:tcPr>
            <w:tcW w:w="1365" w:type="dxa"/>
          </w:tcPr>
          <w:p>
            <w:pPr>
              <w:pStyle w:val="TableParagraph"/>
              <w:ind w:left="375" w:right="361"/>
              <w:jc w:val="center"/>
              <w:rPr>
                <w:rFonts w:ascii="Times New Roman"/>
                <w:sz w:val="21"/>
              </w:rPr>
            </w:pPr>
            <w:r>
              <w:rPr>
                <w:rFonts w:ascii="Times New Roman"/>
                <w:sz w:val="21"/>
              </w:rPr>
              <w:t>0.6230</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79</w:t>
            </w:r>
          </w:p>
        </w:tc>
        <w:tc>
          <w:tcPr>
            <w:tcW w:w="1366" w:type="dxa"/>
          </w:tcPr>
          <w:p>
            <w:pPr>
              <w:pStyle w:val="TableParagraph"/>
              <w:ind w:left="376" w:right="361"/>
              <w:jc w:val="center"/>
              <w:rPr>
                <w:rFonts w:ascii="Times New Roman"/>
                <w:sz w:val="21"/>
              </w:rPr>
            </w:pPr>
            <w:r>
              <w:rPr>
                <w:rFonts w:ascii="Times New Roman"/>
                <w:sz w:val="21"/>
              </w:rPr>
              <w:t>3.6618</w:t>
            </w:r>
          </w:p>
        </w:tc>
        <w:tc>
          <w:tcPr>
            <w:tcW w:w="1367" w:type="dxa"/>
          </w:tcPr>
          <w:p>
            <w:pPr>
              <w:pStyle w:val="TableParagraph"/>
              <w:ind w:left="374" w:right="365"/>
              <w:jc w:val="center"/>
              <w:rPr>
                <w:rFonts w:ascii="Times New Roman"/>
                <w:sz w:val="21"/>
              </w:rPr>
            </w:pPr>
            <w:r>
              <w:rPr>
                <w:rFonts w:ascii="Times New Roman"/>
                <w:sz w:val="21"/>
              </w:rPr>
              <w:t>2.5018</w:t>
            </w:r>
          </w:p>
        </w:tc>
      </w:tr>
      <w:tr>
        <w:trPr>
          <w:trHeight w:val="319" w:hRule="atLeast"/>
        </w:trPr>
        <w:tc>
          <w:tcPr>
            <w:tcW w:w="1380" w:type="dxa"/>
          </w:tcPr>
          <w:p>
            <w:pPr>
              <w:pStyle w:val="TableParagraph"/>
              <w:spacing w:before="42"/>
              <w:ind w:left="458" w:right="450"/>
              <w:jc w:val="center"/>
              <w:rPr>
                <w:rFonts w:ascii="Times New Roman"/>
                <w:sz w:val="21"/>
              </w:rPr>
            </w:pPr>
            <w:r>
              <w:rPr>
                <w:rFonts w:ascii="Times New Roman"/>
                <w:sz w:val="21"/>
              </w:rPr>
              <w:t>44</w:t>
            </w:r>
          </w:p>
        </w:tc>
        <w:tc>
          <w:tcPr>
            <w:tcW w:w="1469" w:type="dxa"/>
          </w:tcPr>
          <w:p>
            <w:pPr>
              <w:pStyle w:val="TableParagraph"/>
              <w:spacing w:before="42"/>
              <w:ind w:left="425" w:right="415"/>
              <w:jc w:val="center"/>
              <w:rPr>
                <w:rFonts w:ascii="Times New Roman"/>
                <w:sz w:val="21"/>
              </w:rPr>
            </w:pPr>
            <w:r>
              <w:rPr>
                <w:rFonts w:ascii="Times New Roman"/>
                <w:sz w:val="21"/>
              </w:rPr>
              <w:t>0.6702</w:t>
            </w:r>
          </w:p>
        </w:tc>
        <w:tc>
          <w:tcPr>
            <w:tcW w:w="1365" w:type="dxa"/>
          </w:tcPr>
          <w:p>
            <w:pPr>
              <w:pStyle w:val="TableParagraph"/>
              <w:spacing w:before="42"/>
              <w:ind w:left="375" w:right="361"/>
              <w:jc w:val="center"/>
              <w:rPr>
                <w:rFonts w:ascii="Times New Roman"/>
                <w:sz w:val="21"/>
              </w:rPr>
            </w:pPr>
            <w:r>
              <w:rPr>
                <w:rFonts w:ascii="Times New Roman"/>
                <w:sz w:val="21"/>
              </w:rPr>
              <w:t>0.6831</w:t>
            </w:r>
          </w:p>
        </w:tc>
        <w:tc>
          <w:tcPr>
            <w:tcW w:w="734" w:type="dxa"/>
            <w:vMerge/>
            <w:tcBorders>
              <w:top w:val="nil"/>
              <w:bottom w:val="nil"/>
            </w:tcBorders>
          </w:tcPr>
          <w:p>
            <w:pPr>
              <w:rPr>
                <w:sz w:val="2"/>
                <w:szCs w:val="2"/>
              </w:rPr>
            </w:pPr>
          </w:p>
        </w:tc>
        <w:tc>
          <w:tcPr>
            <w:tcW w:w="1366" w:type="dxa"/>
          </w:tcPr>
          <w:p>
            <w:pPr>
              <w:pStyle w:val="TableParagraph"/>
              <w:spacing w:before="42"/>
              <w:ind w:left="376" w:right="360"/>
              <w:jc w:val="center"/>
              <w:rPr>
                <w:rFonts w:ascii="Times New Roman"/>
                <w:sz w:val="21"/>
              </w:rPr>
            </w:pPr>
            <w:r>
              <w:rPr>
                <w:rFonts w:ascii="Times New Roman"/>
                <w:sz w:val="21"/>
              </w:rPr>
              <w:t>80</w:t>
            </w:r>
          </w:p>
        </w:tc>
        <w:tc>
          <w:tcPr>
            <w:tcW w:w="1366" w:type="dxa"/>
          </w:tcPr>
          <w:p>
            <w:pPr>
              <w:pStyle w:val="TableParagraph"/>
              <w:spacing w:before="42"/>
              <w:ind w:left="376" w:right="361"/>
              <w:jc w:val="center"/>
              <w:rPr>
                <w:rFonts w:ascii="Times New Roman"/>
                <w:sz w:val="21"/>
              </w:rPr>
            </w:pPr>
            <w:r>
              <w:rPr>
                <w:rFonts w:ascii="Times New Roman"/>
                <w:sz w:val="21"/>
              </w:rPr>
              <w:t>3.8112</w:t>
            </w:r>
          </w:p>
        </w:tc>
        <w:tc>
          <w:tcPr>
            <w:tcW w:w="1367" w:type="dxa"/>
          </w:tcPr>
          <w:p>
            <w:pPr>
              <w:pStyle w:val="TableParagraph"/>
              <w:spacing w:before="42"/>
              <w:ind w:left="374" w:right="365"/>
              <w:jc w:val="center"/>
              <w:rPr>
                <w:rFonts w:ascii="Times New Roman"/>
                <w:sz w:val="21"/>
              </w:rPr>
            </w:pPr>
            <w:r>
              <w:rPr>
                <w:rFonts w:ascii="Times New Roman"/>
                <w:sz w:val="21"/>
              </w:rPr>
              <w:t>2.6369</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45</w:t>
            </w:r>
          </w:p>
        </w:tc>
        <w:tc>
          <w:tcPr>
            <w:tcW w:w="1469" w:type="dxa"/>
          </w:tcPr>
          <w:p>
            <w:pPr>
              <w:pStyle w:val="TableParagraph"/>
              <w:ind w:left="425" w:right="415"/>
              <w:jc w:val="center"/>
              <w:rPr>
                <w:rFonts w:ascii="Times New Roman"/>
                <w:sz w:val="21"/>
              </w:rPr>
            </w:pPr>
            <w:r>
              <w:rPr>
                <w:rFonts w:ascii="Times New Roman"/>
                <w:sz w:val="21"/>
              </w:rPr>
              <w:t>0.7321</w:t>
            </w:r>
          </w:p>
        </w:tc>
        <w:tc>
          <w:tcPr>
            <w:tcW w:w="1365" w:type="dxa"/>
          </w:tcPr>
          <w:p>
            <w:pPr>
              <w:pStyle w:val="TableParagraph"/>
              <w:ind w:left="375" w:right="361"/>
              <w:jc w:val="center"/>
              <w:rPr>
                <w:rFonts w:ascii="Times New Roman"/>
                <w:sz w:val="21"/>
              </w:rPr>
            </w:pPr>
            <w:r>
              <w:rPr>
                <w:rFonts w:ascii="Times New Roman"/>
                <w:sz w:val="21"/>
              </w:rPr>
              <w:t>0.7477</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81</w:t>
            </w:r>
          </w:p>
        </w:tc>
        <w:tc>
          <w:tcPr>
            <w:tcW w:w="1366" w:type="dxa"/>
          </w:tcPr>
          <w:p>
            <w:pPr>
              <w:pStyle w:val="TableParagraph"/>
              <w:ind w:left="376" w:right="361"/>
              <w:jc w:val="center"/>
              <w:rPr>
                <w:rFonts w:ascii="Times New Roman"/>
                <w:sz w:val="21"/>
              </w:rPr>
            </w:pPr>
            <w:r>
              <w:rPr>
                <w:rFonts w:ascii="Times New Roman"/>
                <w:sz w:val="21"/>
              </w:rPr>
              <w:t>3.9625</w:t>
            </w:r>
          </w:p>
        </w:tc>
        <w:tc>
          <w:tcPr>
            <w:tcW w:w="1367" w:type="dxa"/>
          </w:tcPr>
          <w:p>
            <w:pPr>
              <w:pStyle w:val="TableParagraph"/>
              <w:ind w:left="374" w:right="365"/>
              <w:jc w:val="center"/>
              <w:rPr>
                <w:rFonts w:ascii="Times New Roman"/>
                <w:sz w:val="21"/>
              </w:rPr>
            </w:pPr>
            <w:r>
              <w:rPr>
                <w:rFonts w:ascii="Times New Roman"/>
                <w:sz w:val="21"/>
              </w:rPr>
              <w:t>2.7154</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46</w:t>
            </w:r>
          </w:p>
        </w:tc>
        <w:tc>
          <w:tcPr>
            <w:tcW w:w="1469" w:type="dxa"/>
          </w:tcPr>
          <w:p>
            <w:pPr>
              <w:pStyle w:val="TableParagraph"/>
              <w:ind w:left="425" w:right="415"/>
              <w:jc w:val="center"/>
              <w:rPr>
                <w:rFonts w:ascii="Times New Roman"/>
                <w:sz w:val="21"/>
              </w:rPr>
            </w:pPr>
            <w:r>
              <w:rPr>
                <w:rFonts w:ascii="Times New Roman"/>
                <w:sz w:val="21"/>
              </w:rPr>
              <w:t>0.8153</w:t>
            </w:r>
          </w:p>
        </w:tc>
        <w:tc>
          <w:tcPr>
            <w:tcW w:w="1365" w:type="dxa"/>
          </w:tcPr>
          <w:p>
            <w:pPr>
              <w:pStyle w:val="TableParagraph"/>
              <w:ind w:left="375" w:right="361"/>
              <w:jc w:val="center"/>
              <w:rPr>
                <w:rFonts w:ascii="Times New Roman"/>
                <w:sz w:val="21"/>
              </w:rPr>
            </w:pPr>
            <w:r>
              <w:rPr>
                <w:rFonts w:ascii="Times New Roman"/>
                <w:sz w:val="21"/>
              </w:rPr>
              <w:t>0.8183</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82</w:t>
            </w:r>
          </w:p>
        </w:tc>
        <w:tc>
          <w:tcPr>
            <w:tcW w:w="1366" w:type="dxa"/>
          </w:tcPr>
          <w:p>
            <w:pPr>
              <w:pStyle w:val="TableParagraph"/>
              <w:ind w:left="376" w:right="361"/>
              <w:jc w:val="center"/>
              <w:rPr>
                <w:rFonts w:ascii="Times New Roman"/>
                <w:sz w:val="21"/>
              </w:rPr>
            </w:pPr>
            <w:r>
              <w:rPr>
                <w:rFonts w:ascii="Times New Roman"/>
                <w:sz w:val="21"/>
              </w:rPr>
              <w:t>4.0947</w:t>
            </w:r>
          </w:p>
        </w:tc>
        <w:tc>
          <w:tcPr>
            <w:tcW w:w="1367" w:type="dxa"/>
          </w:tcPr>
          <w:p>
            <w:pPr>
              <w:pStyle w:val="TableParagraph"/>
              <w:ind w:left="374" w:right="365"/>
              <w:jc w:val="center"/>
              <w:rPr>
                <w:rFonts w:ascii="Times New Roman"/>
                <w:sz w:val="21"/>
              </w:rPr>
            </w:pPr>
            <w:r>
              <w:rPr>
                <w:rFonts w:ascii="Times New Roman"/>
                <w:sz w:val="21"/>
              </w:rPr>
              <w:t>2.8412</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47</w:t>
            </w:r>
          </w:p>
        </w:tc>
        <w:tc>
          <w:tcPr>
            <w:tcW w:w="1469" w:type="dxa"/>
          </w:tcPr>
          <w:p>
            <w:pPr>
              <w:pStyle w:val="TableParagraph"/>
              <w:ind w:left="425" w:right="415"/>
              <w:jc w:val="center"/>
              <w:rPr>
                <w:rFonts w:ascii="Times New Roman"/>
                <w:sz w:val="21"/>
              </w:rPr>
            </w:pPr>
            <w:r>
              <w:rPr>
                <w:rFonts w:ascii="Times New Roman"/>
                <w:sz w:val="21"/>
              </w:rPr>
              <w:t>0.8925</w:t>
            </w:r>
          </w:p>
        </w:tc>
        <w:tc>
          <w:tcPr>
            <w:tcW w:w="1365" w:type="dxa"/>
          </w:tcPr>
          <w:p>
            <w:pPr>
              <w:pStyle w:val="TableParagraph"/>
              <w:ind w:left="375" w:right="361"/>
              <w:jc w:val="center"/>
              <w:rPr>
                <w:rFonts w:ascii="Times New Roman"/>
                <w:sz w:val="21"/>
              </w:rPr>
            </w:pPr>
            <w:r>
              <w:rPr>
                <w:rFonts w:ascii="Times New Roman"/>
                <w:sz w:val="21"/>
              </w:rPr>
              <w:t>0.8853</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83</w:t>
            </w:r>
          </w:p>
        </w:tc>
        <w:tc>
          <w:tcPr>
            <w:tcW w:w="1366" w:type="dxa"/>
          </w:tcPr>
          <w:p>
            <w:pPr>
              <w:pStyle w:val="TableParagraph"/>
              <w:ind w:left="376" w:right="361"/>
              <w:jc w:val="center"/>
              <w:rPr>
                <w:rFonts w:ascii="Times New Roman"/>
                <w:sz w:val="21"/>
              </w:rPr>
            </w:pPr>
            <w:r>
              <w:rPr>
                <w:rFonts w:ascii="Times New Roman"/>
                <w:sz w:val="21"/>
              </w:rPr>
              <w:t>4.2022</w:t>
            </w:r>
          </w:p>
        </w:tc>
        <w:tc>
          <w:tcPr>
            <w:tcW w:w="1367" w:type="dxa"/>
          </w:tcPr>
          <w:p>
            <w:pPr>
              <w:pStyle w:val="TableParagraph"/>
              <w:ind w:left="374" w:right="365"/>
              <w:jc w:val="center"/>
              <w:rPr>
                <w:rFonts w:ascii="Times New Roman"/>
                <w:sz w:val="21"/>
              </w:rPr>
            </w:pPr>
            <w:r>
              <w:rPr>
                <w:rFonts w:ascii="Times New Roman"/>
                <w:sz w:val="21"/>
              </w:rPr>
              <w:t>2.9531</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48</w:t>
            </w:r>
          </w:p>
        </w:tc>
        <w:tc>
          <w:tcPr>
            <w:tcW w:w="1469" w:type="dxa"/>
          </w:tcPr>
          <w:p>
            <w:pPr>
              <w:pStyle w:val="TableParagraph"/>
              <w:spacing w:before="41"/>
              <w:ind w:left="425" w:right="415"/>
              <w:jc w:val="center"/>
              <w:rPr>
                <w:rFonts w:ascii="Times New Roman"/>
                <w:sz w:val="21"/>
              </w:rPr>
            </w:pPr>
            <w:r>
              <w:rPr>
                <w:rFonts w:ascii="Times New Roman"/>
                <w:sz w:val="21"/>
              </w:rPr>
              <w:t>1.0060</w:t>
            </w:r>
          </w:p>
        </w:tc>
        <w:tc>
          <w:tcPr>
            <w:tcW w:w="1365" w:type="dxa"/>
          </w:tcPr>
          <w:p>
            <w:pPr>
              <w:pStyle w:val="TableParagraph"/>
              <w:spacing w:before="41"/>
              <w:ind w:left="375" w:right="361"/>
              <w:jc w:val="center"/>
              <w:rPr>
                <w:rFonts w:ascii="Times New Roman"/>
                <w:sz w:val="21"/>
              </w:rPr>
            </w:pPr>
            <w:r>
              <w:rPr>
                <w:rFonts w:ascii="Times New Roman"/>
                <w:sz w:val="21"/>
              </w:rPr>
              <w:t>0.9476</w:t>
            </w:r>
          </w:p>
        </w:tc>
        <w:tc>
          <w:tcPr>
            <w:tcW w:w="734" w:type="dxa"/>
            <w:vMerge/>
            <w:tcBorders>
              <w:top w:val="nil"/>
              <w:bottom w:val="nil"/>
            </w:tcBorders>
          </w:tcPr>
          <w:p>
            <w:pPr>
              <w:rPr>
                <w:sz w:val="2"/>
                <w:szCs w:val="2"/>
              </w:rPr>
            </w:pPr>
          </w:p>
        </w:tc>
        <w:tc>
          <w:tcPr>
            <w:tcW w:w="1366" w:type="dxa"/>
          </w:tcPr>
          <w:p>
            <w:pPr>
              <w:pStyle w:val="TableParagraph"/>
              <w:spacing w:before="41"/>
              <w:ind w:left="376" w:right="360"/>
              <w:jc w:val="center"/>
              <w:rPr>
                <w:rFonts w:ascii="Times New Roman"/>
                <w:sz w:val="21"/>
              </w:rPr>
            </w:pPr>
            <w:r>
              <w:rPr>
                <w:rFonts w:ascii="Times New Roman"/>
                <w:sz w:val="21"/>
              </w:rPr>
              <w:t>84</w:t>
            </w:r>
          </w:p>
        </w:tc>
        <w:tc>
          <w:tcPr>
            <w:tcW w:w="1366" w:type="dxa"/>
          </w:tcPr>
          <w:p>
            <w:pPr>
              <w:pStyle w:val="TableParagraph"/>
              <w:spacing w:before="41"/>
              <w:ind w:left="376" w:right="361"/>
              <w:jc w:val="center"/>
              <w:rPr>
                <w:rFonts w:ascii="Times New Roman"/>
                <w:sz w:val="21"/>
              </w:rPr>
            </w:pPr>
            <w:r>
              <w:rPr>
                <w:rFonts w:ascii="Times New Roman"/>
                <w:sz w:val="21"/>
              </w:rPr>
              <w:t>4.3094</w:t>
            </w:r>
          </w:p>
        </w:tc>
        <w:tc>
          <w:tcPr>
            <w:tcW w:w="1367" w:type="dxa"/>
          </w:tcPr>
          <w:p>
            <w:pPr>
              <w:pStyle w:val="TableParagraph"/>
              <w:spacing w:before="41"/>
              <w:ind w:left="374" w:right="365"/>
              <w:jc w:val="center"/>
              <w:rPr>
                <w:rFonts w:ascii="Times New Roman"/>
                <w:sz w:val="21"/>
              </w:rPr>
            </w:pPr>
            <w:r>
              <w:rPr>
                <w:rFonts w:ascii="Times New Roman"/>
                <w:sz w:val="21"/>
              </w:rPr>
              <w:t>3.0695</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49</w:t>
            </w:r>
          </w:p>
        </w:tc>
        <w:tc>
          <w:tcPr>
            <w:tcW w:w="1469" w:type="dxa"/>
          </w:tcPr>
          <w:p>
            <w:pPr>
              <w:pStyle w:val="TableParagraph"/>
              <w:ind w:left="425" w:right="415"/>
              <w:jc w:val="center"/>
              <w:rPr>
                <w:rFonts w:ascii="Times New Roman"/>
                <w:sz w:val="21"/>
              </w:rPr>
            </w:pPr>
            <w:r>
              <w:rPr>
                <w:rFonts w:ascii="Times New Roman"/>
                <w:sz w:val="21"/>
              </w:rPr>
              <w:t>1.1090</w:t>
            </w:r>
          </w:p>
        </w:tc>
        <w:tc>
          <w:tcPr>
            <w:tcW w:w="1365" w:type="dxa"/>
          </w:tcPr>
          <w:p>
            <w:pPr>
              <w:pStyle w:val="TableParagraph"/>
              <w:ind w:left="375" w:right="361"/>
              <w:jc w:val="center"/>
              <w:rPr>
                <w:rFonts w:ascii="Times New Roman"/>
                <w:sz w:val="21"/>
              </w:rPr>
            </w:pPr>
            <w:r>
              <w:rPr>
                <w:rFonts w:ascii="Times New Roman"/>
                <w:sz w:val="21"/>
              </w:rPr>
              <w:t>1.0132</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85</w:t>
            </w:r>
          </w:p>
        </w:tc>
        <w:tc>
          <w:tcPr>
            <w:tcW w:w="1366" w:type="dxa"/>
          </w:tcPr>
          <w:p>
            <w:pPr>
              <w:pStyle w:val="TableParagraph"/>
              <w:ind w:left="376" w:right="361"/>
              <w:jc w:val="center"/>
              <w:rPr>
                <w:rFonts w:ascii="Times New Roman"/>
                <w:sz w:val="21"/>
              </w:rPr>
            </w:pPr>
            <w:r>
              <w:rPr>
                <w:rFonts w:ascii="Times New Roman"/>
                <w:sz w:val="21"/>
              </w:rPr>
              <w:t>4.4368</w:t>
            </w:r>
          </w:p>
        </w:tc>
        <w:tc>
          <w:tcPr>
            <w:tcW w:w="1367" w:type="dxa"/>
          </w:tcPr>
          <w:p>
            <w:pPr>
              <w:pStyle w:val="TableParagraph"/>
              <w:ind w:left="374" w:right="365"/>
              <w:jc w:val="center"/>
              <w:rPr>
                <w:rFonts w:ascii="Times New Roman"/>
                <w:sz w:val="21"/>
              </w:rPr>
            </w:pPr>
            <w:r>
              <w:rPr>
                <w:rFonts w:ascii="Times New Roman"/>
                <w:sz w:val="21"/>
              </w:rPr>
              <w:t>3.1229</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50</w:t>
            </w:r>
          </w:p>
        </w:tc>
        <w:tc>
          <w:tcPr>
            <w:tcW w:w="1469" w:type="dxa"/>
          </w:tcPr>
          <w:p>
            <w:pPr>
              <w:pStyle w:val="TableParagraph"/>
              <w:ind w:left="425" w:right="415"/>
              <w:jc w:val="center"/>
              <w:rPr>
                <w:rFonts w:ascii="Times New Roman"/>
                <w:sz w:val="21"/>
              </w:rPr>
            </w:pPr>
            <w:r>
              <w:rPr>
                <w:rFonts w:ascii="Times New Roman"/>
                <w:sz w:val="21"/>
              </w:rPr>
              <w:t>1.2406</w:t>
            </w:r>
          </w:p>
        </w:tc>
        <w:tc>
          <w:tcPr>
            <w:tcW w:w="1365" w:type="dxa"/>
          </w:tcPr>
          <w:p>
            <w:pPr>
              <w:pStyle w:val="TableParagraph"/>
              <w:ind w:left="375" w:right="361"/>
              <w:jc w:val="center"/>
              <w:rPr>
                <w:rFonts w:ascii="Times New Roman"/>
                <w:sz w:val="21"/>
              </w:rPr>
            </w:pPr>
            <w:r>
              <w:rPr>
                <w:rFonts w:ascii="Times New Roman"/>
                <w:sz w:val="21"/>
              </w:rPr>
              <w:t>1.0836</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86</w:t>
            </w:r>
          </w:p>
        </w:tc>
        <w:tc>
          <w:tcPr>
            <w:tcW w:w="1366" w:type="dxa"/>
          </w:tcPr>
          <w:p>
            <w:pPr>
              <w:pStyle w:val="TableParagraph"/>
              <w:ind w:left="376" w:right="361"/>
              <w:jc w:val="center"/>
              <w:rPr>
                <w:rFonts w:ascii="Times New Roman"/>
                <w:sz w:val="21"/>
              </w:rPr>
            </w:pPr>
            <w:r>
              <w:rPr>
                <w:rFonts w:ascii="Times New Roman"/>
                <w:sz w:val="21"/>
              </w:rPr>
              <w:t>4.5098</w:t>
            </w:r>
          </w:p>
        </w:tc>
        <w:tc>
          <w:tcPr>
            <w:tcW w:w="1367" w:type="dxa"/>
          </w:tcPr>
          <w:p>
            <w:pPr>
              <w:pStyle w:val="TableParagraph"/>
              <w:ind w:left="374" w:right="365"/>
              <w:jc w:val="center"/>
              <w:rPr>
                <w:rFonts w:ascii="Times New Roman"/>
                <w:sz w:val="21"/>
              </w:rPr>
            </w:pPr>
            <w:r>
              <w:rPr>
                <w:rFonts w:ascii="Times New Roman"/>
                <w:sz w:val="21"/>
              </w:rPr>
              <w:t>3.3086</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51</w:t>
            </w:r>
          </w:p>
        </w:tc>
        <w:tc>
          <w:tcPr>
            <w:tcW w:w="1469" w:type="dxa"/>
          </w:tcPr>
          <w:p>
            <w:pPr>
              <w:pStyle w:val="TableParagraph"/>
              <w:ind w:left="425" w:right="415"/>
              <w:jc w:val="center"/>
              <w:rPr>
                <w:rFonts w:ascii="Times New Roman"/>
                <w:sz w:val="21"/>
              </w:rPr>
            </w:pPr>
            <w:r>
              <w:rPr>
                <w:rFonts w:ascii="Times New Roman"/>
                <w:sz w:val="21"/>
              </w:rPr>
              <w:t>1.3493</w:t>
            </w:r>
          </w:p>
        </w:tc>
        <w:tc>
          <w:tcPr>
            <w:tcW w:w="1365" w:type="dxa"/>
          </w:tcPr>
          <w:p>
            <w:pPr>
              <w:pStyle w:val="TableParagraph"/>
              <w:ind w:left="375" w:right="361"/>
              <w:jc w:val="center"/>
              <w:rPr>
                <w:rFonts w:ascii="Times New Roman"/>
                <w:sz w:val="21"/>
              </w:rPr>
            </w:pPr>
            <w:r>
              <w:rPr>
                <w:rFonts w:ascii="Times New Roman"/>
                <w:sz w:val="21"/>
              </w:rPr>
              <w:t>1.1584</w:t>
            </w:r>
          </w:p>
        </w:tc>
        <w:tc>
          <w:tcPr>
            <w:tcW w:w="734" w:type="dxa"/>
            <w:vMerge/>
            <w:tcBorders>
              <w:top w:val="nil"/>
              <w:bottom w:val="nil"/>
            </w:tcBorders>
          </w:tcPr>
          <w:p>
            <w:pPr>
              <w:rPr>
                <w:sz w:val="2"/>
                <w:szCs w:val="2"/>
              </w:rPr>
            </w:pPr>
          </w:p>
        </w:tc>
        <w:tc>
          <w:tcPr>
            <w:tcW w:w="1366" w:type="dxa"/>
          </w:tcPr>
          <w:p>
            <w:pPr>
              <w:pStyle w:val="TableParagraph"/>
              <w:ind w:left="376" w:right="360"/>
              <w:jc w:val="center"/>
              <w:rPr>
                <w:rFonts w:ascii="Times New Roman"/>
                <w:sz w:val="21"/>
              </w:rPr>
            </w:pPr>
            <w:r>
              <w:rPr>
                <w:rFonts w:ascii="Times New Roman"/>
                <w:sz w:val="21"/>
              </w:rPr>
              <w:t>87</w:t>
            </w:r>
          </w:p>
        </w:tc>
        <w:tc>
          <w:tcPr>
            <w:tcW w:w="1366" w:type="dxa"/>
          </w:tcPr>
          <w:p>
            <w:pPr>
              <w:pStyle w:val="TableParagraph"/>
              <w:ind w:left="376" w:right="361"/>
              <w:jc w:val="center"/>
              <w:rPr>
                <w:rFonts w:ascii="Times New Roman"/>
                <w:sz w:val="21"/>
              </w:rPr>
            </w:pPr>
            <w:r>
              <w:rPr>
                <w:rFonts w:ascii="Times New Roman"/>
                <w:sz w:val="21"/>
              </w:rPr>
              <w:t>4.5872</w:t>
            </w:r>
          </w:p>
        </w:tc>
        <w:tc>
          <w:tcPr>
            <w:tcW w:w="1367" w:type="dxa"/>
          </w:tcPr>
          <w:p>
            <w:pPr>
              <w:pStyle w:val="TableParagraph"/>
              <w:ind w:left="374" w:right="365"/>
              <w:jc w:val="center"/>
              <w:rPr>
                <w:rFonts w:ascii="Times New Roman"/>
                <w:sz w:val="21"/>
              </w:rPr>
            </w:pPr>
            <w:r>
              <w:rPr>
                <w:rFonts w:ascii="Times New Roman"/>
                <w:sz w:val="21"/>
              </w:rPr>
              <w:t>3.4186</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52</w:t>
            </w:r>
          </w:p>
        </w:tc>
        <w:tc>
          <w:tcPr>
            <w:tcW w:w="1469" w:type="dxa"/>
          </w:tcPr>
          <w:p>
            <w:pPr>
              <w:pStyle w:val="TableParagraph"/>
              <w:spacing w:before="41"/>
              <w:ind w:left="425" w:right="415"/>
              <w:jc w:val="center"/>
              <w:rPr>
                <w:rFonts w:ascii="Times New Roman"/>
                <w:sz w:val="21"/>
              </w:rPr>
            </w:pPr>
            <w:r>
              <w:rPr>
                <w:rFonts w:ascii="Times New Roman"/>
                <w:sz w:val="21"/>
              </w:rPr>
              <w:t>1.4608</w:t>
            </w:r>
          </w:p>
        </w:tc>
        <w:tc>
          <w:tcPr>
            <w:tcW w:w="1365" w:type="dxa"/>
          </w:tcPr>
          <w:p>
            <w:pPr>
              <w:pStyle w:val="TableParagraph"/>
              <w:spacing w:before="41"/>
              <w:ind w:left="375" w:right="361"/>
              <w:jc w:val="center"/>
              <w:rPr>
                <w:rFonts w:ascii="Times New Roman"/>
                <w:sz w:val="21"/>
              </w:rPr>
            </w:pPr>
            <w:r>
              <w:rPr>
                <w:rFonts w:ascii="Times New Roman"/>
                <w:sz w:val="21"/>
              </w:rPr>
              <w:t>1.2332</w:t>
            </w:r>
          </w:p>
        </w:tc>
        <w:tc>
          <w:tcPr>
            <w:tcW w:w="734" w:type="dxa"/>
            <w:vMerge/>
            <w:tcBorders>
              <w:top w:val="nil"/>
              <w:bottom w:val="nil"/>
            </w:tcBorders>
          </w:tcPr>
          <w:p>
            <w:pPr>
              <w:rPr>
                <w:sz w:val="2"/>
                <w:szCs w:val="2"/>
              </w:rPr>
            </w:pPr>
          </w:p>
        </w:tc>
        <w:tc>
          <w:tcPr>
            <w:tcW w:w="1366" w:type="dxa"/>
          </w:tcPr>
          <w:p>
            <w:pPr>
              <w:pStyle w:val="TableParagraph"/>
              <w:spacing w:before="41"/>
              <w:ind w:left="376" w:right="360"/>
              <w:jc w:val="center"/>
              <w:rPr>
                <w:rFonts w:ascii="Times New Roman"/>
                <w:sz w:val="21"/>
              </w:rPr>
            </w:pPr>
            <w:r>
              <w:rPr>
                <w:rFonts w:ascii="Times New Roman"/>
                <w:sz w:val="21"/>
              </w:rPr>
              <w:t>88</w:t>
            </w:r>
          </w:p>
        </w:tc>
        <w:tc>
          <w:tcPr>
            <w:tcW w:w="1366" w:type="dxa"/>
          </w:tcPr>
          <w:p>
            <w:pPr>
              <w:pStyle w:val="TableParagraph"/>
              <w:spacing w:before="41"/>
              <w:ind w:left="376" w:right="361"/>
              <w:jc w:val="center"/>
              <w:rPr>
                <w:rFonts w:ascii="Times New Roman"/>
                <w:sz w:val="21"/>
              </w:rPr>
            </w:pPr>
            <w:r>
              <w:rPr>
                <w:rFonts w:ascii="Times New Roman"/>
                <w:sz w:val="21"/>
              </w:rPr>
              <w:t>4.7230</w:t>
            </w:r>
          </w:p>
        </w:tc>
        <w:tc>
          <w:tcPr>
            <w:tcW w:w="1367" w:type="dxa"/>
          </w:tcPr>
          <w:p>
            <w:pPr>
              <w:pStyle w:val="TableParagraph"/>
              <w:spacing w:before="41"/>
              <w:ind w:left="374" w:right="365"/>
              <w:jc w:val="center"/>
              <w:rPr>
                <w:rFonts w:ascii="Times New Roman"/>
                <w:sz w:val="21"/>
              </w:rPr>
            </w:pPr>
            <w:r>
              <w:rPr>
                <w:rFonts w:ascii="Times New Roman"/>
                <w:sz w:val="21"/>
              </w:rPr>
              <w:t>3.4900</w:t>
            </w:r>
          </w:p>
        </w:tc>
      </w:tr>
      <w:tr>
        <w:trPr>
          <w:trHeight w:val="317" w:hRule="atLeast"/>
        </w:trPr>
        <w:tc>
          <w:tcPr>
            <w:tcW w:w="1380" w:type="dxa"/>
          </w:tcPr>
          <w:p>
            <w:pPr>
              <w:pStyle w:val="TableParagraph"/>
              <w:ind w:left="458" w:right="450"/>
              <w:jc w:val="center"/>
              <w:rPr>
                <w:rFonts w:ascii="Times New Roman"/>
                <w:sz w:val="21"/>
              </w:rPr>
            </w:pPr>
            <w:r>
              <w:rPr>
                <w:rFonts w:ascii="Times New Roman"/>
                <w:sz w:val="21"/>
              </w:rPr>
              <w:t>53</w:t>
            </w:r>
          </w:p>
        </w:tc>
        <w:tc>
          <w:tcPr>
            <w:tcW w:w="1469" w:type="dxa"/>
          </w:tcPr>
          <w:p>
            <w:pPr>
              <w:pStyle w:val="TableParagraph"/>
              <w:ind w:left="425" w:right="415"/>
              <w:jc w:val="center"/>
              <w:rPr>
                <w:rFonts w:ascii="Times New Roman"/>
                <w:sz w:val="21"/>
              </w:rPr>
            </w:pPr>
            <w:r>
              <w:rPr>
                <w:rFonts w:ascii="Times New Roman"/>
                <w:sz w:val="21"/>
              </w:rPr>
              <w:t>1.5762</w:t>
            </w:r>
          </w:p>
        </w:tc>
        <w:tc>
          <w:tcPr>
            <w:tcW w:w="1365" w:type="dxa"/>
          </w:tcPr>
          <w:p>
            <w:pPr>
              <w:pStyle w:val="TableParagraph"/>
              <w:ind w:left="375" w:right="361"/>
              <w:jc w:val="center"/>
              <w:rPr>
                <w:rFonts w:ascii="Times New Roman"/>
                <w:sz w:val="21"/>
              </w:rPr>
            </w:pPr>
            <w:r>
              <w:rPr>
                <w:rFonts w:ascii="Times New Roman"/>
                <w:sz w:val="21"/>
              </w:rPr>
              <w:t>1.3107</w:t>
            </w:r>
          </w:p>
        </w:tc>
        <w:tc>
          <w:tcPr>
            <w:tcW w:w="734" w:type="dxa"/>
            <w:vMerge/>
            <w:tcBorders>
              <w:top w:val="nil"/>
              <w:bottom w:val="nil"/>
            </w:tcBorders>
          </w:tcPr>
          <w:p>
            <w:pPr>
              <w:rPr>
                <w:sz w:val="2"/>
                <w:szCs w:val="2"/>
              </w:rPr>
            </w:pPr>
          </w:p>
        </w:tc>
        <w:tc>
          <w:tcPr>
            <w:tcW w:w="1366" w:type="dxa"/>
          </w:tcPr>
          <w:p>
            <w:pPr>
              <w:pStyle w:val="TableParagraph"/>
              <w:spacing w:before="0"/>
              <w:ind w:left="0"/>
              <w:rPr>
                <w:rFonts w:ascii="Times New Roman"/>
                <w:sz w:val="20"/>
              </w:rPr>
            </w:pPr>
          </w:p>
        </w:tc>
        <w:tc>
          <w:tcPr>
            <w:tcW w:w="1366" w:type="dxa"/>
          </w:tcPr>
          <w:p>
            <w:pPr>
              <w:pStyle w:val="TableParagraph"/>
              <w:spacing w:before="0"/>
              <w:ind w:left="0"/>
              <w:rPr>
                <w:rFonts w:ascii="Times New Roman"/>
                <w:sz w:val="20"/>
              </w:rPr>
            </w:pPr>
          </w:p>
        </w:tc>
        <w:tc>
          <w:tcPr>
            <w:tcW w:w="1367" w:type="dxa"/>
          </w:tcPr>
          <w:p>
            <w:pPr>
              <w:pStyle w:val="TableParagraph"/>
              <w:spacing w:before="0"/>
              <w:ind w:left="0"/>
              <w:rPr>
                <w:rFonts w:ascii="Times New Roman"/>
                <w:sz w:val="20"/>
              </w:rPr>
            </w:pPr>
          </w:p>
        </w:tc>
      </w:tr>
    </w:tbl>
    <w:p>
      <w:pPr>
        <w:pStyle w:val="BodyText"/>
        <w:rPr>
          <w:sz w:val="20"/>
        </w:rPr>
      </w:pPr>
    </w:p>
    <w:p>
      <w:pPr>
        <w:pStyle w:val="BodyText"/>
        <w:spacing w:before="2"/>
        <w:rPr>
          <w:sz w:val="14"/>
        </w:rPr>
      </w:pPr>
    </w:p>
    <w:p>
      <w:pPr>
        <w:pStyle w:val="BodyText"/>
        <w:ind w:left="4336" w:right="4283"/>
        <w:jc w:val="center"/>
      </w:pPr>
      <w:r>
        <w:rPr/>
        <w:t>（完）</w:t>
      </w:r>
    </w:p>
    <w:p>
      <w:pPr>
        <w:spacing w:after="0"/>
        <w:jc w:val="center"/>
        <w:sectPr>
          <w:pgSz w:w="11910" w:h="16840"/>
          <w:pgMar w:header="0" w:footer="773" w:top="1060" w:bottom="960" w:left="1000" w:right="1620"/>
        </w:sectPr>
      </w:pPr>
    </w:p>
    <w:p>
      <w:pPr>
        <w:pStyle w:val="BodyText"/>
        <w:spacing w:before="25"/>
        <w:ind w:left="3910" w:right="3340"/>
        <w:jc w:val="center"/>
      </w:pPr>
      <w:r>
        <w:rPr/>
        <w:t>（此页空白）</w:t>
      </w:r>
    </w:p>
    <w:sectPr>
      <w:pgSz w:w="11910" w:h="16840"/>
      <w:pgMar w:header="0" w:footer="773" w:top="154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5.010010pt;margin-top:788.259949pt;width:13.15pt;height:12pt;mso-position-horizontal-relative:page;mso-position-vertical-relative:page;z-index:-44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570007pt;margin-top:788.259949pt;width:13.15pt;height:12pt;mso-position-horizontal-relative:page;mso-position-vertical-relative:page;z-index:-44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3" w:hanging="420"/>
      </w:pPr>
      <w:rPr>
        <w:rFonts w:hint="default" w:ascii="Wingdings" w:hAnsi="Wingdings" w:eastAsia="Wingdings" w:cs="Wingdings"/>
        <w:w w:val="100"/>
        <w:sz w:val="21"/>
        <w:szCs w:val="21"/>
      </w:rPr>
    </w:lvl>
    <w:lvl w:ilvl="1">
      <w:start w:val="0"/>
      <w:numFmt w:val="bullet"/>
      <w:lvlText w:val="•"/>
      <w:lvlJc w:val="left"/>
      <w:pPr>
        <w:ind w:left="1988" w:hanging="420"/>
      </w:pPr>
      <w:rPr>
        <w:rFonts w:hint="default"/>
      </w:rPr>
    </w:lvl>
    <w:lvl w:ilvl="2">
      <w:start w:val="0"/>
      <w:numFmt w:val="bullet"/>
      <w:lvlText w:val="•"/>
      <w:lvlJc w:val="left"/>
      <w:pPr>
        <w:ind w:left="2937" w:hanging="420"/>
      </w:pPr>
      <w:rPr>
        <w:rFonts w:hint="default"/>
      </w:rPr>
    </w:lvl>
    <w:lvl w:ilvl="3">
      <w:start w:val="0"/>
      <w:numFmt w:val="bullet"/>
      <w:lvlText w:val="•"/>
      <w:lvlJc w:val="left"/>
      <w:pPr>
        <w:ind w:left="3885" w:hanging="420"/>
      </w:pPr>
      <w:rPr>
        <w:rFonts w:hint="default"/>
      </w:rPr>
    </w:lvl>
    <w:lvl w:ilvl="4">
      <w:start w:val="0"/>
      <w:numFmt w:val="bullet"/>
      <w:lvlText w:val="•"/>
      <w:lvlJc w:val="left"/>
      <w:pPr>
        <w:ind w:left="4834" w:hanging="420"/>
      </w:pPr>
      <w:rPr>
        <w:rFonts w:hint="default"/>
      </w:rPr>
    </w:lvl>
    <w:lvl w:ilvl="5">
      <w:start w:val="0"/>
      <w:numFmt w:val="bullet"/>
      <w:lvlText w:val="•"/>
      <w:lvlJc w:val="left"/>
      <w:pPr>
        <w:ind w:left="5783" w:hanging="420"/>
      </w:pPr>
      <w:rPr>
        <w:rFonts w:hint="default"/>
      </w:rPr>
    </w:lvl>
    <w:lvl w:ilvl="6">
      <w:start w:val="0"/>
      <w:numFmt w:val="bullet"/>
      <w:lvlText w:val="•"/>
      <w:lvlJc w:val="left"/>
      <w:pPr>
        <w:ind w:left="6731" w:hanging="420"/>
      </w:pPr>
      <w:rPr>
        <w:rFonts w:hint="default"/>
      </w:rPr>
    </w:lvl>
    <w:lvl w:ilvl="7">
      <w:start w:val="0"/>
      <w:numFmt w:val="bullet"/>
      <w:lvlText w:val="•"/>
      <w:lvlJc w:val="left"/>
      <w:pPr>
        <w:ind w:left="7680" w:hanging="420"/>
      </w:pPr>
      <w:rPr>
        <w:rFonts w:hint="default"/>
      </w:rPr>
    </w:lvl>
    <w:lvl w:ilvl="8">
      <w:start w:val="0"/>
      <w:numFmt w:val="bullet"/>
      <w:lvlText w:val="•"/>
      <w:lvlJc w:val="left"/>
      <w:pPr>
        <w:ind w:left="8629"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2"/>
      <w:szCs w:val="32"/>
    </w:rPr>
  </w:style>
  <w:style w:styleId="ListParagraph" w:type="paragraph">
    <w:name w:val="List Paragraph"/>
    <w:basedOn w:val="Normal"/>
    <w:uiPriority w:val="1"/>
    <w:qFormat/>
    <w:pPr>
      <w:spacing w:before="21"/>
      <w:ind w:left="1033" w:hanging="420"/>
    </w:pPr>
    <w:rPr>
      <w:rFonts w:ascii="宋体" w:hAnsi="宋体" w:eastAsia="宋体" w:cs="宋体"/>
    </w:rPr>
  </w:style>
  <w:style w:styleId="TableParagraph" w:type="paragraph">
    <w:name w:val="Table Paragraph"/>
    <w:basedOn w:val="Normal"/>
    <w:uiPriority w:val="1"/>
    <w:qFormat/>
    <w:pPr>
      <w:spacing w:before="39"/>
      <w:ind w:left="10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5.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gatr008</dc:creator>
  <dcterms:created xsi:type="dcterms:W3CDTF">2018-10-19T22:42:56Z</dcterms:created>
  <dcterms:modified xsi:type="dcterms:W3CDTF">2018-10-19T22:42:56Z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Microsoft® Office Word 2007</vt:lpwstr>
  </property>
  <property fmtid="{D5CDD505-2E9C-101B-9397-08002B2CF9AE}" pid="4" name="LastSaved">
    <vt:filetime>2018-10-19T00:00:00Z</vt:filetime>
  </property>
</Properties>
</file>