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left="6973"/>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华泰人寿[2010]疾病保险 005 号</w:t>
      </w:r>
    </w:p>
    <w:p>
      <w:pPr>
        <w:pStyle w:val="BodyText"/>
        <w:spacing w:before="10"/>
        <w:ind w:left="7496"/>
      </w:pPr>
      <w:r>
        <w:rPr/>
        <w:t>请扫描以查询验证条款</w:t>
      </w:r>
    </w:p>
    <w:p>
      <w:pPr>
        <w:pStyle w:val="Heading1"/>
        <w:spacing w:line="218" w:lineRule="auto" w:before="55"/>
        <w:ind w:left="2529" w:right="2707"/>
        <w:jc w:val="center"/>
      </w:pPr>
      <w:r>
        <w:rPr/>
        <w:t>附加吉康额外给付重大疾病保险条款阅  读  指 引</w:t>
      </w:r>
    </w:p>
    <w:p>
      <w:pPr>
        <w:pStyle w:val="BodyText"/>
        <w:spacing w:before="221" w:after="23"/>
        <w:ind w:left="1836" w:right="195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ind w:left="118"/>
        <w:rPr>
          <w:sz w:val="20"/>
        </w:rPr>
      </w:pPr>
      <w:r>
        <w:rPr>
          <w:sz w:val="20"/>
        </w:rPr>
        <w:pict>
          <v:group style="width:506.5pt;height:491.35pt;mso-position-horizontal-relative:char;mso-position-vertical-relative:line" coordorigin="0,0" coordsize="10130,9827">
            <v:shape style="position:absolute;left:0;top:0;width:10130;height:9827" type="#_x0000_t75" stroked="false">
              <v:imagedata r:id="rId7" o:title=""/>
            </v:shape>
            <v:shape style="position:absolute;left:155;top:115;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785;top:253;width:8711;height:1347" type="#_x0000_t202" filled="false" stroked="false">
              <v:textbox inset="0,0,0,0">
                <w:txbxContent>
                  <w:p>
                    <w:pPr>
                      <w:spacing w:line="210" w:lineRule="exact" w:before="0"/>
                      <w:ind w:left="380" w:right="0" w:firstLine="0"/>
                      <w:jc w:val="left"/>
                      <w:rPr>
                        <w:b/>
                        <w:sz w:val="21"/>
                      </w:rPr>
                    </w:pPr>
                    <w:r>
                      <w:rPr>
                        <w:b/>
                        <w:w w:val="95"/>
                        <w:sz w:val="21"/>
                      </w:rPr>
                      <w:t>您拥有的重要权益</w:t>
                    </w:r>
                  </w:p>
                  <w:p>
                    <w:pPr>
                      <w:spacing w:line="240" w:lineRule="auto" w:before="0"/>
                      <w:rPr>
                        <w:sz w:val="17"/>
                      </w:rPr>
                    </w:pPr>
                  </w:p>
                  <w:p>
                    <w:pPr>
                      <w:numPr>
                        <w:ilvl w:val="0"/>
                        <w:numId w:val="1"/>
                      </w:numPr>
                      <w:tabs>
                        <w:tab w:pos="397" w:val="left" w:leader="none"/>
                        <w:tab w:pos="398" w:val="left" w:leader="none"/>
                      </w:tabs>
                      <w:spacing w:before="0"/>
                      <w:ind w:left="397"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numPr>
                        <w:ilvl w:val="0"/>
                        <w:numId w:val="1"/>
                      </w:numPr>
                      <w:tabs>
                        <w:tab w:pos="397" w:val="left" w:leader="none"/>
                        <w:tab w:pos="398" w:val="left" w:leader="none"/>
                        <w:tab w:pos="8688" w:val="right" w:leader="dot"/>
                      </w:tabs>
                      <w:spacing w:before="36"/>
                      <w:ind w:left="397" w:right="0" w:hanging="397"/>
                      <w:jc w:val="left"/>
                      <w:rPr>
                        <w:sz w:val="21"/>
                      </w:rPr>
                    </w:pPr>
                    <w:r>
                      <w:rPr>
                        <w:sz w:val="21"/>
                      </w:rPr>
                      <w:t>本附加合同提供的保障在保险责任条款中列明.</w:t>
                      <w:tab/>
                      <w:t>2.3</w:t>
                    </w:r>
                  </w:p>
                  <w:p>
                    <w:pPr>
                      <w:numPr>
                        <w:ilvl w:val="0"/>
                        <w:numId w:val="1"/>
                      </w:numPr>
                      <w:tabs>
                        <w:tab w:pos="397" w:val="left" w:leader="none"/>
                        <w:tab w:pos="398" w:val="left" w:leader="none"/>
                        <w:tab w:pos="8687" w:val="right" w:leader="dot"/>
                      </w:tabs>
                      <w:spacing w:before="36"/>
                      <w:ind w:left="397" w:right="0" w:hanging="397"/>
                      <w:jc w:val="left"/>
                      <w:rPr>
                        <w:sz w:val="21"/>
                      </w:rPr>
                    </w:pPr>
                    <w:r>
                      <w:rPr>
                        <w:sz w:val="21"/>
                      </w:rPr>
                      <w:t>您有退保的权利.</w:t>
                      <w:tab/>
                      <w:t>5.1</w:t>
                    </w:r>
                  </w:p>
                </w:txbxContent>
              </v:textbox>
              <w10:wrap type="none"/>
            </v:shape>
            <v:shape style="position:absolute;left:155;top:1675;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1165;top:1813;width:2129;height:210" type="#_x0000_t202" filled="false" stroked="false">
              <v:textbox inset="0,0,0,0">
                <w:txbxContent>
                  <w:p>
                    <w:pPr>
                      <w:spacing w:line="210" w:lineRule="exact" w:before="0"/>
                      <w:ind w:left="0" w:right="0" w:firstLine="0"/>
                      <w:jc w:val="left"/>
                      <w:rPr>
                        <w:b/>
                        <w:sz w:val="21"/>
                      </w:rPr>
                    </w:pPr>
                    <w:r>
                      <w:rPr>
                        <w:b/>
                        <w:w w:val="95"/>
                        <w:sz w:val="21"/>
                      </w:rPr>
                      <w:t>您应当特别注意的事项</w:t>
                    </w:r>
                  </w:p>
                </w:txbxContent>
              </v:textbox>
              <w10:wrap type="none"/>
            </v:shape>
            <v:shape style="position:absolute;left:785;top:2302;width:8710;height:858" type="#_x0000_t202" filled="false" stroked="false">
              <v:textbox inset="0,0,0,0">
                <w:txbxContent>
                  <w:p>
                    <w:pPr>
                      <w:numPr>
                        <w:ilvl w:val="0"/>
                        <w:numId w:val="2"/>
                      </w:numPr>
                      <w:tabs>
                        <w:tab w:pos="397" w:val="left" w:leader="none"/>
                        <w:tab w:pos="398" w:val="left" w:leader="none"/>
                        <w:tab w:pos="8689" w:val="right" w:leader="dot"/>
                      </w:tabs>
                      <w:spacing w:line="218" w:lineRule="exact" w:before="0"/>
                      <w:ind w:left="397" w:right="0" w:hanging="397"/>
                      <w:jc w:val="left"/>
                      <w:rPr>
                        <w:sz w:val="21"/>
                      </w:rPr>
                    </w:pPr>
                    <w:r>
                      <w:rPr>
                        <w:sz w:val="21"/>
                      </w:rPr>
                      <w:t>在某些情况下，我们不承担保险责任.</w:t>
                      <w:tab/>
                      <w:t>2.4</w:t>
                    </w:r>
                  </w:p>
                  <w:p>
                    <w:pPr>
                      <w:numPr>
                        <w:ilvl w:val="0"/>
                        <w:numId w:val="2"/>
                      </w:numPr>
                      <w:tabs>
                        <w:tab w:pos="397" w:val="left" w:leader="none"/>
                        <w:tab w:pos="398" w:val="left" w:leader="none"/>
                        <w:tab w:pos="8688" w:val="right" w:leader="dot"/>
                      </w:tabs>
                      <w:spacing w:before="37"/>
                      <w:ind w:left="397" w:right="0" w:hanging="397"/>
                      <w:jc w:val="left"/>
                      <w:rPr>
                        <w:sz w:val="21"/>
                      </w:rPr>
                    </w:pPr>
                    <w:r>
                      <w:rPr>
                        <w:sz w:val="21"/>
                      </w:rPr>
                      <w:t>退保会给您造成一定的损失，请您慎重决策.</w:t>
                      <w:tab/>
                      <w:t>5.1</w:t>
                    </w:r>
                  </w:p>
                  <w:p>
                    <w:pPr>
                      <w:numPr>
                        <w:ilvl w:val="0"/>
                        <w:numId w:val="2"/>
                      </w:numPr>
                      <w:tabs>
                        <w:tab w:pos="397" w:val="left" w:leader="none"/>
                        <w:tab w:pos="398" w:val="left" w:leader="none"/>
                        <w:tab w:pos="8479" w:val="right" w:leader="dot"/>
                      </w:tabs>
                      <w:spacing w:before="37"/>
                      <w:ind w:left="397" w:right="0" w:hanging="397"/>
                      <w:jc w:val="left"/>
                      <w:rPr>
                        <w:sz w:val="21"/>
                      </w:rPr>
                    </w:pPr>
                    <w:r>
                      <w:rPr>
                        <w:sz w:val="21"/>
                      </w:rPr>
                      <w:t>我们对一些重要术语进行了解释，并作了显著标识，请您注意.</w:t>
                      <w:tab/>
                      <w:t>6</w:t>
                    </w:r>
                  </w:p>
                </w:txbxContent>
              </v:textbox>
              <w10:wrap type="none"/>
            </v:shape>
            <v:shape style="position:absolute;left:155;top:3235;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1165;top:3373;width:6973;height:210" type="#_x0000_t202" filled="false" stroked="false">
              <v:textbox inset="0,0,0,0">
                <w:txbxContent>
                  <w:p>
                    <w:pPr>
                      <w:spacing w:line="210" w:lineRule="exact" w:before="0"/>
                      <w:ind w:left="0" w:right="0" w:firstLine="0"/>
                      <w:jc w:val="left"/>
                      <w:rPr>
                        <w:b/>
                        <w:sz w:val="21"/>
                      </w:rPr>
                    </w:pPr>
                    <w:r>
                      <w:rPr>
                        <w:b/>
                        <w:w w:val="95"/>
                        <w:sz w:val="21"/>
                      </w:rPr>
                      <w:t>条款是保险合同的重要内容，为充分保障您的权益，请您仔细阅读本条款。</w:t>
                    </w:r>
                  </w:p>
                </w:txbxContent>
              </v:textbox>
              <w10:wrap type="none"/>
            </v:shape>
          </v:group>
        </w:pict>
      </w:r>
      <w:r>
        <w:rPr>
          <w:sz w:val="20"/>
        </w:rPr>
      </w:r>
    </w:p>
    <w:p>
      <w:pPr>
        <w:spacing w:after="0"/>
        <w:rPr>
          <w:sz w:val="20"/>
        </w:rPr>
        <w:sectPr>
          <w:footerReference w:type="default" r:id="rId5"/>
          <w:type w:val="continuous"/>
          <w:pgSz w:w="11910" w:h="16840"/>
          <w:pgMar w:footer="1008" w:top="1600" w:bottom="1200" w:left="860" w:right="680"/>
          <w:pgNumType w:start="1"/>
        </w:sectPr>
      </w:pPr>
    </w:p>
    <w:p>
      <w:pPr>
        <w:pStyle w:val="BodyText"/>
        <w:spacing w:before="1"/>
        <w:rPr>
          <w:sz w:val="25"/>
        </w:rPr>
      </w:pPr>
    </w:p>
    <w:p>
      <w:pPr>
        <w:spacing w:after="0"/>
        <w:rPr>
          <w:sz w:val="25"/>
        </w:rPr>
        <w:sectPr>
          <w:pgSz w:w="11910" w:h="16840"/>
          <w:pgMar w:header="0" w:footer="1008" w:top="1400" w:bottom="1200" w:left="860" w:right="680"/>
        </w:sectPr>
      </w:pPr>
    </w:p>
    <w:p>
      <w:pPr>
        <w:tabs>
          <w:tab w:pos="1284" w:val="left" w:leader="none"/>
        </w:tabs>
        <w:spacing w:before="51"/>
        <w:ind w:left="274" w:right="0" w:firstLine="0"/>
        <w:jc w:val="left"/>
        <w:rPr>
          <w:b/>
          <w:sz w:val="21"/>
        </w:rPr>
      </w:pPr>
      <w:r>
        <w:rPr/>
        <w:drawing>
          <wp:anchor distT="0" distB="0" distL="0" distR="0" allowOverlap="1" layoutInCell="1" locked="0" behindDoc="1" simplePos="0" relativeHeight="268396199">
            <wp:simplePos x="0" y="0"/>
            <wp:positionH relativeFrom="page">
              <wp:posOffset>621576</wp:posOffset>
            </wp:positionH>
            <wp:positionV relativeFrom="paragraph">
              <wp:posOffset>-207505</wp:posOffset>
            </wp:positionV>
            <wp:extent cx="6432473" cy="4475657"/>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432473" cy="4475657"/>
                    </a:xfrm>
                    <a:prstGeom prst="rect">
                      <a:avLst/>
                    </a:prstGeom>
                  </pic:spPr>
                </pic:pic>
              </a:graphicData>
            </a:graphic>
          </wp:anchor>
        </w:drawing>
      </w:r>
      <w:r>
        <w:rPr>
          <w:rFonts w:ascii="Arial" w:hAnsi="Arial" w:eastAsia="Arial"/>
          <w:b/>
          <w:w w:val="150"/>
          <w:position w:val="-11"/>
          <w:sz w:val="52"/>
        </w:rPr>
        <w:t>¤</w:t>
        <w:tab/>
      </w:r>
      <w:r>
        <w:rPr>
          <w:b/>
          <w:w w:val="95"/>
          <w:sz w:val="21"/>
        </w:rPr>
        <w:t>条款目录</w:t>
      </w:r>
    </w:p>
    <w:p>
      <w:pPr>
        <w:pStyle w:val="Heading3"/>
        <w:numPr>
          <w:ilvl w:val="0"/>
          <w:numId w:val="3"/>
        </w:numPr>
        <w:tabs>
          <w:tab w:pos="1019" w:val="left" w:leader="none"/>
        </w:tabs>
        <w:spacing w:line="240" w:lineRule="auto" w:before="22" w:after="0"/>
        <w:ind w:left="1018" w:right="0" w:hanging="319"/>
        <w:jc w:val="left"/>
      </w:pPr>
      <w:r>
        <w:rPr>
          <w:w w:val="95"/>
        </w:rPr>
        <w:t>您与我们订立的合同</w:t>
      </w:r>
    </w:p>
    <w:p>
      <w:pPr>
        <w:pStyle w:val="ListParagraph"/>
        <w:numPr>
          <w:ilvl w:val="1"/>
          <w:numId w:val="3"/>
        </w:numPr>
        <w:tabs>
          <w:tab w:pos="1225" w:val="left" w:leader="none"/>
        </w:tabs>
        <w:spacing w:line="240" w:lineRule="auto" w:before="36" w:after="0"/>
        <w:ind w:left="1224" w:right="0" w:hanging="419"/>
        <w:jc w:val="left"/>
        <w:rPr>
          <w:sz w:val="21"/>
        </w:rPr>
      </w:pPr>
      <w:r>
        <w:rPr>
          <w:spacing w:val="-1"/>
          <w:sz w:val="21"/>
        </w:rPr>
        <w:t>合同构成</w:t>
      </w:r>
    </w:p>
    <w:p>
      <w:pPr>
        <w:pStyle w:val="ListParagraph"/>
        <w:numPr>
          <w:ilvl w:val="1"/>
          <w:numId w:val="3"/>
        </w:numPr>
        <w:tabs>
          <w:tab w:pos="1226" w:val="left" w:leader="none"/>
        </w:tabs>
        <w:spacing w:line="240" w:lineRule="auto" w:before="36" w:after="0"/>
        <w:ind w:left="1225" w:right="0" w:hanging="420"/>
        <w:jc w:val="left"/>
        <w:rPr>
          <w:sz w:val="21"/>
        </w:rPr>
      </w:pPr>
      <w:r>
        <w:rPr>
          <w:spacing w:val="-1"/>
          <w:sz w:val="21"/>
        </w:rPr>
        <w:t>合同成立及生效</w:t>
      </w:r>
    </w:p>
    <w:p>
      <w:pPr>
        <w:pStyle w:val="BodyText"/>
        <w:rPr>
          <w:sz w:val="20"/>
        </w:rPr>
      </w:pPr>
      <w:r>
        <w:rPr/>
        <w:br w:type="column"/>
      </w:r>
      <w:r>
        <w:rPr>
          <w:sz w:val="20"/>
        </w:rPr>
      </w:r>
    </w:p>
    <w:p>
      <w:pPr>
        <w:pStyle w:val="BodyText"/>
        <w:rPr>
          <w:sz w:val="20"/>
        </w:rPr>
      </w:pPr>
    </w:p>
    <w:p>
      <w:pPr>
        <w:pStyle w:val="Heading3"/>
        <w:numPr>
          <w:ilvl w:val="0"/>
          <w:numId w:val="4"/>
        </w:numPr>
        <w:tabs>
          <w:tab w:pos="581" w:val="left" w:leader="none"/>
        </w:tabs>
        <w:spacing w:line="240" w:lineRule="auto" w:before="148" w:after="0"/>
        <w:ind w:left="580" w:right="0" w:hanging="318"/>
        <w:jc w:val="left"/>
      </w:pPr>
      <w:r>
        <w:rPr>
          <w:w w:val="95"/>
        </w:rPr>
        <w:t>合同解除</w:t>
      </w:r>
    </w:p>
    <w:p>
      <w:pPr>
        <w:pStyle w:val="BodyText"/>
        <w:spacing w:before="37"/>
        <w:ind w:left="367"/>
      </w:pPr>
      <w:r>
        <w:rPr/>
        <w:t>5.1 您解除合同的手续及风险</w:t>
      </w:r>
    </w:p>
    <w:p>
      <w:pPr>
        <w:pStyle w:val="Heading3"/>
        <w:numPr>
          <w:ilvl w:val="0"/>
          <w:numId w:val="4"/>
        </w:numPr>
        <w:tabs>
          <w:tab w:pos="581" w:val="left" w:leader="none"/>
        </w:tabs>
        <w:spacing w:line="240" w:lineRule="auto" w:before="37" w:after="0"/>
        <w:ind w:left="580" w:right="0" w:hanging="318"/>
        <w:jc w:val="left"/>
      </w:pPr>
      <w:r>
        <w:rPr>
          <w:w w:val="95"/>
        </w:rPr>
        <w:t>释义</w:t>
      </w:r>
    </w:p>
    <w:p>
      <w:pPr>
        <w:pStyle w:val="BodyText"/>
        <w:rPr>
          <w:b/>
          <w:sz w:val="20"/>
        </w:rPr>
      </w:pPr>
      <w:r>
        <w:rPr/>
        <w:br w:type="column"/>
      </w:r>
      <w:r>
        <w:rPr>
          <w:b/>
          <w:sz w:val="20"/>
        </w:rPr>
      </w:r>
    </w:p>
    <w:p>
      <w:pPr>
        <w:pStyle w:val="BodyText"/>
        <w:rPr>
          <w:b/>
          <w:sz w:val="20"/>
        </w:rPr>
      </w:pPr>
    </w:p>
    <w:p>
      <w:pPr>
        <w:pStyle w:val="ListParagraph"/>
        <w:numPr>
          <w:ilvl w:val="1"/>
          <w:numId w:val="5"/>
        </w:numPr>
        <w:tabs>
          <w:tab w:pos="800" w:val="left" w:leader="none"/>
        </w:tabs>
        <w:spacing w:line="240" w:lineRule="auto" w:before="148" w:after="0"/>
        <w:ind w:left="755" w:right="0" w:hanging="481"/>
        <w:jc w:val="left"/>
        <w:rPr>
          <w:sz w:val="21"/>
        </w:rPr>
      </w:pPr>
      <w:r>
        <w:rPr>
          <w:spacing w:val="-1"/>
          <w:sz w:val="21"/>
        </w:rPr>
        <w:t>肢体机能完全丧失</w:t>
      </w:r>
    </w:p>
    <w:p>
      <w:pPr>
        <w:pStyle w:val="ListParagraph"/>
        <w:numPr>
          <w:ilvl w:val="1"/>
          <w:numId w:val="5"/>
        </w:numPr>
        <w:tabs>
          <w:tab w:pos="800" w:val="left" w:leader="none"/>
        </w:tabs>
        <w:spacing w:line="273" w:lineRule="auto" w:before="37" w:after="0"/>
        <w:ind w:left="755" w:right="386" w:hanging="481"/>
        <w:jc w:val="left"/>
        <w:rPr>
          <w:sz w:val="21"/>
        </w:rPr>
      </w:pPr>
      <w:r>
        <w:rPr>
          <w:sz w:val="21"/>
        </w:rPr>
        <w:t>语言能力或咀嚼吞咽能力完全丧失</w:t>
      </w:r>
    </w:p>
    <w:p>
      <w:pPr>
        <w:spacing w:after="0" w:line="273" w:lineRule="auto"/>
        <w:jc w:val="left"/>
        <w:rPr>
          <w:sz w:val="21"/>
        </w:rPr>
        <w:sectPr>
          <w:type w:val="continuous"/>
          <w:pgSz w:w="11910" w:h="16840"/>
          <w:pgMar w:top="1600" w:bottom="1200" w:left="860" w:right="680"/>
          <w:cols w:num="3" w:equalWidth="0">
            <w:col w:w="2915" w:space="40"/>
            <w:col w:w="3098" w:space="604"/>
            <w:col w:w="3713"/>
          </w:cols>
        </w:sectPr>
      </w:pPr>
    </w:p>
    <w:p>
      <w:pPr>
        <w:pStyle w:val="BodyText"/>
        <w:spacing w:before="6"/>
        <w:rPr>
          <w:sz w:val="5"/>
        </w:rPr>
      </w:pPr>
    </w:p>
    <w:tbl>
      <w:tblPr>
        <w:tblW w:w="0" w:type="auto"/>
        <w:jc w:val="left"/>
        <w:tblInd w:w="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732"/>
        <w:gridCol w:w="3082"/>
        <w:gridCol w:w="580"/>
        <w:gridCol w:w="2201"/>
      </w:tblGrid>
      <w:tr>
        <w:trPr>
          <w:trHeight w:val="261" w:hRule="atLeast"/>
        </w:trPr>
        <w:tc>
          <w:tcPr>
            <w:tcW w:w="2358" w:type="dxa"/>
          </w:tcPr>
          <w:p>
            <w:pPr>
              <w:pStyle w:val="TableParagraph"/>
              <w:spacing w:line="210" w:lineRule="exact"/>
              <w:ind w:left="155"/>
              <w:rPr>
                <w:sz w:val="21"/>
              </w:rPr>
            </w:pPr>
            <w:r>
              <w:rPr>
                <w:sz w:val="21"/>
              </w:rPr>
              <w:t>1.3 投保年龄</w:t>
            </w:r>
          </w:p>
        </w:tc>
        <w:tc>
          <w:tcPr>
            <w:tcW w:w="732" w:type="dxa"/>
          </w:tcPr>
          <w:p>
            <w:pPr>
              <w:pStyle w:val="TableParagraph"/>
              <w:spacing w:line="210" w:lineRule="exact"/>
              <w:ind w:left="313"/>
              <w:rPr>
                <w:sz w:val="21"/>
              </w:rPr>
            </w:pPr>
            <w:r>
              <w:rPr>
                <w:sz w:val="21"/>
              </w:rPr>
              <w:t>6.1</w:t>
            </w:r>
          </w:p>
        </w:tc>
        <w:tc>
          <w:tcPr>
            <w:tcW w:w="3082" w:type="dxa"/>
          </w:tcPr>
          <w:p>
            <w:pPr>
              <w:pStyle w:val="TableParagraph"/>
              <w:spacing w:line="210" w:lineRule="exact"/>
              <w:ind w:left="1"/>
              <w:rPr>
                <w:sz w:val="21"/>
              </w:rPr>
            </w:pPr>
            <w:r>
              <w:rPr>
                <w:sz w:val="21"/>
              </w:rPr>
              <w:t>周岁</w:t>
            </w:r>
          </w:p>
        </w:tc>
        <w:tc>
          <w:tcPr>
            <w:tcW w:w="580" w:type="dxa"/>
          </w:tcPr>
          <w:p>
            <w:pPr>
              <w:pStyle w:val="TableParagraph"/>
              <w:spacing w:line="210" w:lineRule="exact"/>
              <w:ind w:right="48"/>
              <w:jc w:val="right"/>
              <w:rPr>
                <w:sz w:val="21"/>
              </w:rPr>
            </w:pPr>
            <w:r>
              <w:rPr>
                <w:sz w:val="21"/>
              </w:rPr>
              <w:t>6.18</w:t>
            </w:r>
          </w:p>
        </w:tc>
        <w:tc>
          <w:tcPr>
            <w:tcW w:w="2201" w:type="dxa"/>
          </w:tcPr>
          <w:p>
            <w:pPr>
              <w:pStyle w:val="TableParagraph"/>
              <w:spacing w:line="210" w:lineRule="exact"/>
              <w:ind w:left="54"/>
              <w:rPr>
                <w:sz w:val="21"/>
              </w:rPr>
            </w:pPr>
            <w:r>
              <w:rPr>
                <w:sz w:val="21"/>
              </w:rPr>
              <w:t>六项基本日常生活活动</w:t>
            </w:r>
          </w:p>
        </w:tc>
      </w:tr>
      <w:tr>
        <w:trPr>
          <w:trHeight w:val="311" w:hRule="atLeast"/>
        </w:trPr>
        <w:tc>
          <w:tcPr>
            <w:tcW w:w="2358" w:type="dxa"/>
          </w:tcPr>
          <w:p>
            <w:pPr>
              <w:pStyle w:val="TableParagraph"/>
              <w:spacing w:line="261" w:lineRule="exact"/>
              <w:ind w:left="155"/>
              <w:rPr>
                <w:sz w:val="21"/>
              </w:rPr>
            </w:pPr>
            <w:r>
              <w:rPr>
                <w:sz w:val="21"/>
              </w:rPr>
              <w:t>1.4 犹豫期</w:t>
            </w:r>
          </w:p>
        </w:tc>
        <w:tc>
          <w:tcPr>
            <w:tcW w:w="732" w:type="dxa"/>
          </w:tcPr>
          <w:p>
            <w:pPr>
              <w:pStyle w:val="TableParagraph"/>
              <w:spacing w:line="261" w:lineRule="exact"/>
              <w:ind w:left="314"/>
              <w:rPr>
                <w:sz w:val="21"/>
              </w:rPr>
            </w:pPr>
            <w:r>
              <w:rPr>
                <w:sz w:val="21"/>
              </w:rPr>
              <w:t>6.2</w:t>
            </w:r>
          </w:p>
        </w:tc>
        <w:tc>
          <w:tcPr>
            <w:tcW w:w="3082" w:type="dxa"/>
          </w:tcPr>
          <w:p>
            <w:pPr>
              <w:pStyle w:val="TableParagraph"/>
              <w:spacing w:line="261" w:lineRule="exact"/>
              <w:ind w:left="2"/>
              <w:rPr>
                <w:sz w:val="21"/>
              </w:rPr>
            </w:pPr>
            <w:r>
              <w:rPr>
                <w:sz w:val="21"/>
              </w:rPr>
              <w:t>有效身份证件</w:t>
            </w:r>
          </w:p>
        </w:tc>
        <w:tc>
          <w:tcPr>
            <w:tcW w:w="580" w:type="dxa"/>
          </w:tcPr>
          <w:p>
            <w:pPr>
              <w:pStyle w:val="TableParagraph"/>
              <w:spacing w:line="261" w:lineRule="exact"/>
              <w:ind w:right="48"/>
              <w:jc w:val="right"/>
              <w:rPr>
                <w:sz w:val="21"/>
              </w:rPr>
            </w:pPr>
            <w:r>
              <w:rPr>
                <w:sz w:val="21"/>
              </w:rPr>
              <w:t>6.19</w:t>
            </w:r>
          </w:p>
        </w:tc>
        <w:tc>
          <w:tcPr>
            <w:tcW w:w="2201" w:type="dxa"/>
          </w:tcPr>
          <w:p>
            <w:pPr>
              <w:pStyle w:val="TableParagraph"/>
              <w:spacing w:line="261" w:lineRule="exact"/>
              <w:ind w:left="54"/>
              <w:rPr>
                <w:sz w:val="21"/>
              </w:rPr>
            </w:pPr>
            <w:r>
              <w:rPr>
                <w:sz w:val="21"/>
              </w:rPr>
              <w:t>永久不可逆</w:t>
            </w:r>
          </w:p>
        </w:tc>
      </w:tr>
      <w:tr>
        <w:trPr>
          <w:trHeight w:val="312" w:hRule="atLeast"/>
        </w:trPr>
        <w:tc>
          <w:tcPr>
            <w:tcW w:w="2358" w:type="dxa"/>
          </w:tcPr>
          <w:p>
            <w:pPr>
              <w:pStyle w:val="TableParagraph"/>
              <w:spacing w:line="261" w:lineRule="exact"/>
              <w:ind w:left="50"/>
              <w:rPr>
                <w:b/>
                <w:sz w:val="21"/>
              </w:rPr>
            </w:pPr>
            <w:r>
              <w:rPr>
                <w:b/>
                <w:sz w:val="21"/>
              </w:rPr>
              <w:t>2. 我们提供的保障</w:t>
            </w:r>
          </w:p>
        </w:tc>
        <w:tc>
          <w:tcPr>
            <w:tcW w:w="732" w:type="dxa"/>
          </w:tcPr>
          <w:p>
            <w:pPr>
              <w:pStyle w:val="TableParagraph"/>
              <w:spacing w:line="261" w:lineRule="exact"/>
              <w:ind w:left="314"/>
              <w:rPr>
                <w:sz w:val="21"/>
              </w:rPr>
            </w:pPr>
            <w:r>
              <w:rPr>
                <w:sz w:val="21"/>
              </w:rPr>
              <w:t>6.3</w:t>
            </w:r>
          </w:p>
        </w:tc>
        <w:tc>
          <w:tcPr>
            <w:tcW w:w="3082" w:type="dxa"/>
          </w:tcPr>
          <w:p>
            <w:pPr>
              <w:pStyle w:val="TableParagraph"/>
              <w:spacing w:line="261" w:lineRule="exact"/>
              <w:ind w:left="2"/>
              <w:rPr>
                <w:sz w:val="21"/>
              </w:rPr>
            </w:pPr>
            <w:r>
              <w:rPr>
                <w:sz w:val="21"/>
              </w:rPr>
              <w:t>医院</w:t>
            </w:r>
          </w:p>
        </w:tc>
        <w:tc>
          <w:tcPr>
            <w:tcW w:w="580" w:type="dxa"/>
          </w:tcPr>
          <w:p>
            <w:pPr>
              <w:pStyle w:val="TableParagraph"/>
              <w:spacing w:line="261" w:lineRule="exact"/>
              <w:ind w:right="48"/>
              <w:jc w:val="right"/>
              <w:rPr>
                <w:sz w:val="21"/>
              </w:rPr>
            </w:pPr>
            <w:r>
              <w:rPr>
                <w:sz w:val="21"/>
              </w:rPr>
              <w:t>6.20</w:t>
            </w:r>
          </w:p>
        </w:tc>
        <w:tc>
          <w:tcPr>
            <w:tcW w:w="2201" w:type="dxa"/>
          </w:tcPr>
          <w:p>
            <w:pPr>
              <w:pStyle w:val="TableParagraph"/>
              <w:spacing w:line="261" w:lineRule="exact"/>
              <w:ind w:left="54"/>
              <w:rPr>
                <w:sz w:val="21"/>
              </w:rPr>
            </w:pPr>
            <w:r>
              <w:rPr>
                <w:sz w:val="21"/>
              </w:rPr>
              <w:t>未到期保险费</w:t>
            </w:r>
          </w:p>
        </w:tc>
      </w:tr>
      <w:tr>
        <w:trPr>
          <w:trHeight w:val="311" w:hRule="atLeast"/>
        </w:trPr>
        <w:tc>
          <w:tcPr>
            <w:tcW w:w="2358" w:type="dxa"/>
          </w:tcPr>
          <w:p>
            <w:pPr>
              <w:pStyle w:val="TableParagraph"/>
              <w:spacing w:line="261" w:lineRule="exact"/>
              <w:ind w:left="155"/>
              <w:rPr>
                <w:sz w:val="21"/>
              </w:rPr>
            </w:pPr>
            <w:r>
              <w:rPr>
                <w:sz w:val="21"/>
              </w:rPr>
              <w:t>2.1 基本保险金额</w:t>
            </w:r>
          </w:p>
        </w:tc>
        <w:tc>
          <w:tcPr>
            <w:tcW w:w="732" w:type="dxa"/>
          </w:tcPr>
          <w:p>
            <w:pPr>
              <w:pStyle w:val="TableParagraph"/>
              <w:spacing w:line="261" w:lineRule="exact"/>
              <w:ind w:left="313"/>
              <w:rPr>
                <w:sz w:val="21"/>
              </w:rPr>
            </w:pPr>
            <w:r>
              <w:rPr>
                <w:sz w:val="21"/>
              </w:rPr>
              <w:t>6.4</w:t>
            </w:r>
          </w:p>
        </w:tc>
        <w:tc>
          <w:tcPr>
            <w:tcW w:w="3082" w:type="dxa"/>
          </w:tcPr>
          <w:p>
            <w:pPr>
              <w:pStyle w:val="TableParagraph"/>
              <w:spacing w:line="261" w:lineRule="exact"/>
              <w:ind w:left="1"/>
              <w:rPr>
                <w:sz w:val="21"/>
              </w:rPr>
            </w:pPr>
            <w:r>
              <w:rPr>
                <w:sz w:val="21"/>
              </w:rPr>
              <w:t>专科医生</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2.2 保险期间和续保</w:t>
            </w:r>
          </w:p>
        </w:tc>
        <w:tc>
          <w:tcPr>
            <w:tcW w:w="732" w:type="dxa"/>
          </w:tcPr>
          <w:p>
            <w:pPr>
              <w:pStyle w:val="TableParagraph"/>
              <w:spacing w:line="261" w:lineRule="exact"/>
              <w:ind w:left="313"/>
              <w:rPr>
                <w:sz w:val="21"/>
              </w:rPr>
            </w:pPr>
            <w:r>
              <w:rPr>
                <w:sz w:val="21"/>
              </w:rPr>
              <w:t>6.5</w:t>
            </w:r>
          </w:p>
        </w:tc>
        <w:tc>
          <w:tcPr>
            <w:tcW w:w="3082" w:type="dxa"/>
          </w:tcPr>
          <w:p>
            <w:pPr>
              <w:pStyle w:val="TableParagraph"/>
              <w:spacing w:line="261" w:lineRule="exact"/>
              <w:ind w:left="1"/>
              <w:rPr>
                <w:sz w:val="21"/>
              </w:rPr>
            </w:pPr>
            <w:r>
              <w:rPr>
                <w:sz w:val="21"/>
              </w:rPr>
              <w:t>重大疾病</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2.3 保险责任</w:t>
            </w:r>
          </w:p>
        </w:tc>
        <w:tc>
          <w:tcPr>
            <w:tcW w:w="732" w:type="dxa"/>
          </w:tcPr>
          <w:p>
            <w:pPr>
              <w:pStyle w:val="TableParagraph"/>
              <w:spacing w:line="261" w:lineRule="exact"/>
              <w:ind w:left="313"/>
              <w:rPr>
                <w:sz w:val="21"/>
              </w:rPr>
            </w:pPr>
            <w:r>
              <w:rPr>
                <w:sz w:val="21"/>
              </w:rPr>
              <w:t>6.6</w:t>
            </w:r>
          </w:p>
        </w:tc>
        <w:tc>
          <w:tcPr>
            <w:tcW w:w="3082" w:type="dxa"/>
          </w:tcPr>
          <w:p>
            <w:pPr>
              <w:pStyle w:val="TableParagraph"/>
              <w:spacing w:line="261" w:lineRule="exact"/>
              <w:ind w:left="1"/>
              <w:rPr>
                <w:sz w:val="21"/>
              </w:rPr>
            </w:pPr>
            <w:r>
              <w:rPr>
                <w:sz w:val="21"/>
              </w:rPr>
              <w:t>意外伤害事故</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2.4 责任免除</w:t>
            </w:r>
          </w:p>
        </w:tc>
        <w:tc>
          <w:tcPr>
            <w:tcW w:w="732" w:type="dxa"/>
          </w:tcPr>
          <w:p>
            <w:pPr>
              <w:pStyle w:val="TableParagraph"/>
              <w:spacing w:line="261" w:lineRule="exact"/>
              <w:ind w:left="313"/>
              <w:rPr>
                <w:sz w:val="21"/>
              </w:rPr>
            </w:pPr>
            <w:r>
              <w:rPr>
                <w:sz w:val="21"/>
              </w:rPr>
              <w:t>6.7</w:t>
            </w:r>
          </w:p>
        </w:tc>
        <w:tc>
          <w:tcPr>
            <w:tcW w:w="3082" w:type="dxa"/>
          </w:tcPr>
          <w:p>
            <w:pPr>
              <w:pStyle w:val="TableParagraph"/>
              <w:spacing w:line="261" w:lineRule="exact"/>
              <w:ind w:left="1"/>
              <w:rPr>
                <w:sz w:val="21"/>
              </w:rPr>
            </w:pPr>
            <w:r>
              <w:rPr>
                <w:sz w:val="21"/>
              </w:rPr>
              <w:t>毒品</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50"/>
              <w:rPr>
                <w:b/>
                <w:sz w:val="21"/>
              </w:rPr>
            </w:pPr>
            <w:r>
              <w:rPr>
                <w:b/>
                <w:sz w:val="21"/>
              </w:rPr>
              <w:t>3. 保险金的申请</w:t>
            </w:r>
          </w:p>
        </w:tc>
        <w:tc>
          <w:tcPr>
            <w:tcW w:w="732" w:type="dxa"/>
          </w:tcPr>
          <w:p>
            <w:pPr>
              <w:pStyle w:val="TableParagraph"/>
              <w:spacing w:line="261" w:lineRule="exact"/>
              <w:ind w:left="313"/>
              <w:rPr>
                <w:sz w:val="21"/>
              </w:rPr>
            </w:pPr>
            <w:r>
              <w:rPr>
                <w:sz w:val="21"/>
              </w:rPr>
              <w:t>6.8</w:t>
            </w:r>
          </w:p>
        </w:tc>
        <w:tc>
          <w:tcPr>
            <w:tcW w:w="3082" w:type="dxa"/>
          </w:tcPr>
          <w:p>
            <w:pPr>
              <w:pStyle w:val="TableParagraph"/>
              <w:spacing w:line="261" w:lineRule="exact"/>
              <w:ind w:left="1"/>
              <w:rPr>
                <w:sz w:val="21"/>
              </w:rPr>
            </w:pPr>
            <w:r>
              <w:rPr>
                <w:sz w:val="21"/>
              </w:rPr>
              <w:t>酒后驾驶</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3.1 受益人</w:t>
            </w:r>
          </w:p>
        </w:tc>
        <w:tc>
          <w:tcPr>
            <w:tcW w:w="732" w:type="dxa"/>
          </w:tcPr>
          <w:p>
            <w:pPr>
              <w:pStyle w:val="TableParagraph"/>
              <w:spacing w:line="261" w:lineRule="exact"/>
              <w:ind w:left="313"/>
              <w:rPr>
                <w:sz w:val="21"/>
              </w:rPr>
            </w:pPr>
            <w:r>
              <w:rPr>
                <w:sz w:val="21"/>
              </w:rPr>
              <w:t>6.9</w:t>
            </w:r>
          </w:p>
        </w:tc>
        <w:tc>
          <w:tcPr>
            <w:tcW w:w="3082" w:type="dxa"/>
          </w:tcPr>
          <w:p>
            <w:pPr>
              <w:pStyle w:val="TableParagraph"/>
              <w:spacing w:line="261" w:lineRule="exact"/>
              <w:ind w:left="1"/>
              <w:rPr>
                <w:sz w:val="21"/>
              </w:rPr>
            </w:pPr>
            <w:r>
              <w:rPr>
                <w:sz w:val="21"/>
              </w:rPr>
              <w:t>无合法有效驾驶证驾驶</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3.2 保险金申请</w:t>
            </w:r>
          </w:p>
        </w:tc>
        <w:tc>
          <w:tcPr>
            <w:tcW w:w="732" w:type="dxa"/>
          </w:tcPr>
          <w:p>
            <w:pPr>
              <w:pStyle w:val="TableParagraph"/>
              <w:spacing w:line="261" w:lineRule="exact"/>
              <w:ind w:left="314" w:right="-15"/>
              <w:rPr>
                <w:sz w:val="21"/>
              </w:rPr>
            </w:pPr>
            <w:r>
              <w:rPr>
                <w:sz w:val="21"/>
              </w:rPr>
              <w:t>6.10</w:t>
            </w:r>
          </w:p>
        </w:tc>
        <w:tc>
          <w:tcPr>
            <w:tcW w:w="3082" w:type="dxa"/>
          </w:tcPr>
          <w:p>
            <w:pPr>
              <w:pStyle w:val="TableParagraph"/>
              <w:spacing w:line="261" w:lineRule="exact"/>
              <w:ind w:left="107"/>
              <w:rPr>
                <w:sz w:val="21"/>
              </w:rPr>
            </w:pPr>
            <w:r>
              <w:rPr>
                <w:sz w:val="21"/>
              </w:rPr>
              <w:t>无有效行驶证</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3.3 保险金给付</w:t>
            </w:r>
          </w:p>
        </w:tc>
        <w:tc>
          <w:tcPr>
            <w:tcW w:w="732" w:type="dxa"/>
          </w:tcPr>
          <w:p>
            <w:pPr>
              <w:pStyle w:val="TableParagraph"/>
              <w:spacing w:line="261" w:lineRule="exact"/>
              <w:ind w:left="314" w:right="-15"/>
              <w:rPr>
                <w:sz w:val="21"/>
              </w:rPr>
            </w:pPr>
            <w:r>
              <w:rPr>
                <w:sz w:val="21"/>
              </w:rPr>
              <w:t>6.11</w:t>
            </w:r>
          </w:p>
        </w:tc>
        <w:tc>
          <w:tcPr>
            <w:tcW w:w="3082" w:type="dxa"/>
          </w:tcPr>
          <w:p>
            <w:pPr>
              <w:pStyle w:val="TableParagraph"/>
              <w:spacing w:line="261" w:lineRule="exact"/>
              <w:ind w:left="106"/>
              <w:rPr>
                <w:sz w:val="21"/>
              </w:rPr>
            </w:pPr>
            <w:r>
              <w:rPr>
                <w:sz w:val="21"/>
              </w:rPr>
              <w:t>机动车</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3.4 诉讼时效</w:t>
            </w:r>
          </w:p>
        </w:tc>
        <w:tc>
          <w:tcPr>
            <w:tcW w:w="732" w:type="dxa"/>
          </w:tcPr>
          <w:p>
            <w:pPr>
              <w:pStyle w:val="TableParagraph"/>
              <w:spacing w:line="261" w:lineRule="exact"/>
              <w:ind w:left="314" w:right="-15"/>
              <w:rPr>
                <w:sz w:val="21"/>
              </w:rPr>
            </w:pPr>
            <w:r>
              <w:rPr>
                <w:sz w:val="21"/>
              </w:rPr>
              <w:t>6.12</w:t>
            </w:r>
          </w:p>
        </w:tc>
        <w:tc>
          <w:tcPr>
            <w:tcW w:w="3082" w:type="dxa"/>
          </w:tcPr>
          <w:p>
            <w:pPr>
              <w:pStyle w:val="TableParagraph"/>
              <w:spacing w:line="261" w:lineRule="exact"/>
              <w:ind w:left="107"/>
              <w:rPr>
                <w:sz w:val="21"/>
              </w:rPr>
            </w:pPr>
            <w:r>
              <w:rPr>
                <w:sz w:val="21"/>
              </w:rPr>
              <w:t>感染艾滋病病毒或患艾滋病</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50"/>
              <w:rPr>
                <w:b/>
                <w:sz w:val="21"/>
              </w:rPr>
            </w:pPr>
            <w:r>
              <w:rPr>
                <w:b/>
                <w:sz w:val="21"/>
              </w:rPr>
              <w:t>4. 保险费的交纳</w:t>
            </w:r>
          </w:p>
        </w:tc>
        <w:tc>
          <w:tcPr>
            <w:tcW w:w="732" w:type="dxa"/>
          </w:tcPr>
          <w:p>
            <w:pPr>
              <w:pStyle w:val="TableParagraph"/>
              <w:spacing w:line="261" w:lineRule="exact"/>
              <w:ind w:left="314" w:right="-15"/>
              <w:rPr>
                <w:sz w:val="21"/>
              </w:rPr>
            </w:pPr>
            <w:r>
              <w:rPr>
                <w:sz w:val="21"/>
              </w:rPr>
              <w:t>6.13</w:t>
            </w:r>
          </w:p>
        </w:tc>
        <w:tc>
          <w:tcPr>
            <w:tcW w:w="3082" w:type="dxa"/>
          </w:tcPr>
          <w:p>
            <w:pPr>
              <w:pStyle w:val="TableParagraph"/>
              <w:spacing w:line="261" w:lineRule="exact"/>
              <w:ind w:left="107"/>
              <w:rPr>
                <w:sz w:val="21"/>
              </w:rPr>
            </w:pPr>
            <w:r>
              <w:rPr>
                <w:sz w:val="21"/>
              </w:rPr>
              <w:t>遗传性疾病</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4.1 保险费的交纳</w:t>
            </w:r>
          </w:p>
        </w:tc>
        <w:tc>
          <w:tcPr>
            <w:tcW w:w="732" w:type="dxa"/>
          </w:tcPr>
          <w:p>
            <w:pPr>
              <w:pStyle w:val="TableParagraph"/>
              <w:spacing w:line="261" w:lineRule="exact"/>
              <w:ind w:left="314" w:right="-15"/>
              <w:rPr>
                <w:sz w:val="21"/>
              </w:rPr>
            </w:pPr>
            <w:r>
              <w:rPr>
                <w:sz w:val="21"/>
              </w:rPr>
              <w:t>6.14</w:t>
            </w:r>
          </w:p>
        </w:tc>
        <w:tc>
          <w:tcPr>
            <w:tcW w:w="3082" w:type="dxa"/>
          </w:tcPr>
          <w:p>
            <w:pPr>
              <w:pStyle w:val="TableParagraph"/>
              <w:spacing w:line="261" w:lineRule="exact"/>
              <w:ind w:left="107"/>
              <w:rPr>
                <w:sz w:val="21"/>
              </w:rPr>
            </w:pPr>
            <w:r>
              <w:rPr>
                <w:sz w:val="21"/>
              </w:rPr>
              <w:t>先天性畸形、变形或染色体异常</w:t>
            </w:r>
          </w:p>
        </w:tc>
        <w:tc>
          <w:tcPr>
            <w:tcW w:w="580" w:type="dxa"/>
          </w:tcPr>
          <w:p>
            <w:pPr>
              <w:pStyle w:val="TableParagraph"/>
              <w:spacing w:line="240" w:lineRule="auto"/>
              <w:rPr>
                <w:rFonts w:ascii="Times New Roman"/>
                <w:sz w:val="20"/>
              </w:rPr>
            </w:pPr>
          </w:p>
        </w:tc>
        <w:tc>
          <w:tcPr>
            <w:tcW w:w="2201" w:type="dxa"/>
          </w:tcPr>
          <w:p>
            <w:pPr>
              <w:pStyle w:val="TableParagraph"/>
              <w:spacing w:line="240" w:lineRule="auto"/>
              <w:rPr>
                <w:rFonts w:ascii="Times New Roman"/>
                <w:sz w:val="20"/>
              </w:rPr>
            </w:pPr>
          </w:p>
        </w:tc>
      </w:tr>
      <w:tr>
        <w:trPr>
          <w:trHeight w:val="261" w:hRule="atLeast"/>
        </w:trPr>
        <w:tc>
          <w:tcPr>
            <w:tcW w:w="2358" w:type="dxa"/>
          </w:tcPr>
          <w:p>
            <w:pPr>
              <w:pStyle w:val="TableParagraph"/>
              <w:spacing w:line="241" w:lineRule="exact"/>
              <w:ind w:left="155"/>
              <w:rPr>
                <w:sz w:val="21"/>
              </w:rPr>
            </w:pPr>
            <w:r>
              <w:rPr>
                <w:sz w:val="21"/>
              </w:rPr>
              <w:t>4.2 宽限期</w:t>
            </w:r>
          </w:p>
        </w:tc>
        <w:tc>
          <w:tcPr>
            <w:tcW w:w="732" w:type="dxa"/>
          </w:tcPr>
          <w:p>
            <w:pPr>
              <w:pStyle w:val="TableParagraph"/>
              <w:spacing w:line="241" w:lineRule="exact"/>
              <w:ind w:left="314" w:right="-15"/>
              <w:rPr>
                <w:sz w:val="21"/>
              </w:rPr>
            </w:pPr>
            <w:r>
              <w:rPr>
                <w:sz w:val="21"/>
              </w:rPr>
              <w:t>6.15</w:t>
            </w:r>
          </w:p>
        </w:tc>
        <w:tc>
          <w:tcPr>
            <w:tcW w:w="3082" w:type="dxa"/>
          </w:tcPr>
          <w:p>
            <w:pPr>
              <w:pStyle w:val="TableParagraph"/>
              <w:spacing w:line="241" w:lineRule="exact"/>
              <w:ind w:left="106"/>
              <w:rPr>
                <w:sz w:val="21"/>
              </w:rPr>
            </w:pPr>
            <w:r>
              <w:rPr>
                <w:sz w:val="21"/>
              </w:rPr>
              <w:t>现金价值</w:t>
            </w:r>
          </w:p>
        </w:tc>
        <w:tc>
          <w:tcPr>
            <w:tcW w:w="580" w:type="dxa"/>
          </w:tcPr>
          <w:p>
            <w:pPr>
              <w:pStyle w:val="TableParagraph"/>
              <w:spacing w:line="240" w:lineRule="auto"/>
              <w:rPr>
                <w:rFonts w:ascii="Times New Roman"/>
                <w:sz w:val="18"/>
              </w:rPr>
            </w:pPr>
          </w:p>
        </w:tc>
        <w:tc>
          <w:tcPr>
            <w:tcW w:w="2201"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1600" w:bottom="1200" w:left="860" w:right="680"/>
        </w:sectPr>
      </w:pPr>
    </w:p>
    <w:p>
      <w:pPr>
        <w:pStyle w:val="Heading1"/>
        <w:spacing w:line="478" w:lineRule="exact"/>
        <w:ind w:left="3017"/>
      </w:pPr>
      <w:r>
        <w:rPr/>
        <w:t>华泰人寿保险股份有限公司</w:t>
      </w:r>
    </w:p>
    <w:p>
      <w:pPr>
        <w:spacing w:before="71"/>
        <w:ind w:left="2376" w:right="0" w:firstLine="0"/>
        <w:jc w:val="left"/>
        <w:rPr>
          <w:rFonts w:ascii="微软雅黑" w:eastAsia="微软雅黑" w:hint="eastAsia"/>
          <w:b/>
          <w:sz w:val="32"/>
        </w:rPr>
      </w:pPr>
      <w:r>
        <w:rPr>
          <w:rFonts w:ascii="微软雅黑" w:eastAsia="微软雅黑" w:hint="eastAsia"/>
          <w:b/>
          <w:sz w:val="32"/>
        </w:rPr>
        <w:t>附加吉康额外给付重大疾病保险条款</w:t>
      </w:r>
    </w:p>
    <w:p>
      <w:pPr>
        <w:pStyle w:val="BodyText"/>
        <w:spacing w:before="10"/>
        <w:rPr>
          <w:rFonts w:ascii="微软雅黑"/>
          <w:b/>
          <w:sz w:val="55"/>
        </w:rPr>
      </w:pPr>
    </w:p>
    <w:p>
      <w:pPr>
        <w:pStyle w:val="BodyText"/>
        <w:spacing w:line="273" w:lineRule="auto"/>
        <w:ind w:left="213" w:right="317"/>
        <w:jc w:val="both"/>
      </w:pPr>
      <w:r>
        <w:rPr/>
        <w:t>在本条款中，“您”指投保人，“我们”、“本公司”均指在保险单上签章的华泰人寿保险股份有限公</w:t>
      </w:r>
      <w:r>
        <w:rPr>
          <w:spacing w:val="-14"/>
        </w:rPr>
        <w:t>司，“本附加合同”指您与我们之间订立的“附加吉康额外给付重大疾病保险保险合同”，“被保险人”指本附加合同的被保险人，投保人、被保险人的姓名在保险单上载明。</w:t>
      </w:r>
    </w:p>
    <w:p>
      <w:pPr>
        <w:pStyle w:val="BodyText"/>
        <w:spacing w:before="6"/>
        <w:rPr>
          <w:sz w:val="28"/>
        </w:rPr>
      </w:pPr>
    </w:p>
    <w:p>
      <w:pPr>
        <w:pStyle w:val="Heading2"/>
        <w:numPr>
          <w:ilvl w:val="0"/>
          <w:numId w:val="6"/>
        </w:numPr>
        <w:tabs>
          <w:tab w:pos="1009" w:val="left" w:leader="none"/>
        </w:tabs>
        <w:spacing w:line="240" w:lineRule="auto" w:before="0" w:after="0"/>
        <w:ind w:left="1008" w:right="0" w:hanging="794"/>
        <w:jc w:val="both"/>
      </w:pPr>
      <w:r>
        <w:rPr/>
        <w:t>您与我们订立的合同</w:t>
      </w:r>
    </w:p>
    <w:p>
      <w:pPr>
        <w:pStyle w:val="BodyText"/>
        <w:spacing w:before="3"/>
        <w:rPr>
          <w:b/>
          <w:sz w:val="19"/>
        </w:rPr>
      </w:pPr>
      <w:r>
        <w:rPr/>
        <w:pict>
          <v:line style="position:absolute;mso-position-horizontal-relative:page;mso-position-vertical-relative:paragraph;z-index:1264;mso-wrap-distance-left:0;mso-wrap-distance-right:0" from="51.299999pt,14.791323pt" to="539.699999pt,14.791323pt" stroked="true" strokeweight=".47998pt" strokecolor="#000000">
            <v:stroke dashstyle="solid"/>
            <w10:wrap type="topAndBottom"/>
          </v:line>
        </w:pict>
      </w:r>
    </w:p>
    <w:p>
      <w:pPr>
        <w:pStyle w:val="BodyText"/>
        <w:spacing w:before="3"/>
        <w:rPr>
          <w:b/>
          <w:sz w:val="6"/>
        </w:rPr>
      </w:pPr>
    </w:p>
    <w:p>
      <w:pPr>
        <w:pStyle w:val="ListParagraph"/>
        <w:numPr>
          <w:ilvl w:val="1"/>
          <w:numId w:val="6"/>
        </w:numPr>
        <w:tabs>
          <w:tab w:pos="1009" w:val="left" w:leader="none"/>
        </w:tabs>
        <w:spacing w:line="273" w:lineRule="auto" w:before="35" w:after="0"/>
        <w:ind w:left="2538" w:right="303" w:hanging="2324"/>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38" w:right="303"/>
      </w:pPr>
      <w:r>
        <w:rPr/>
        <w:t>主合同的条款也适用于本附加合同，若主合同与本附加合同的条款互有抵触， 则以本附加合同为准。</w:t>
      </w:r>
    </w:p>
    <w:p>
      <w:pPr>
        <w:pStyle w:val="BodyText"/>
        <w:spacing w:before="163"/>
        <w:ind w:left="2538"/>
      </w:pPr>
      <w:r>
        <w:rPr/>
        <w:t>阅读指引和条款目录仅供辅助理解使用，不构成保险合同的组成部分。</w:t>
      </w:r>
    </w:p>
    <w:p>
      <w:pPr>
        <w:pStyle w:val="BodyText"/>
        <w:spacing w:before="1"/>
        <w:rPr>
          <w:sz w:val="25"/>
        </w:rPr>
      </w:pPr>
    </w:p>
    <w:p>
      <w:pPr>
        <w:spacing w:after="0"/>
        <w:rPr>
          <w:sz w:val="25"/>
        </w:rPr>
        <w:sectPr>
          <w:pgSz w:w="11910" w:h="16840"/>
          <w:pgMar w:header="0" w:footer="1008" w:top="1240" w:bottom="1200" w:left="920" w:right="1000"/>
        </w:sectPr>
      </w:pPr>
    </w:p>
    <w:p>
      <w:pPr>
        <w:pStyle w:val="Heading3"/>
        <w:numPr>
          <w:ilvl w:val="1"/>
          <w:numId w:val="6"/>
        </w:numPr>
        <w:tabs>
          <w:tab w:pos="1008" w:val="left" w:leader="none"/>
          <w:tab w:pos="1009" w:val="left" w:leader="none"/>
        </w:tabs>
        <w:spacing w:line="273" w:lineRule="auto" w:before="35" w:after="0"/>
        <w:ind w:left="1008" w:right="0" w:hanging="794"/>
        <w:jc w:val="left"/>
      </w:pPr>
      <w:r>
        <w:rPr>
          <w:w w:val="95"/>
        </w:rPr>
        <w:t>合同成立及生</w:t>
      </w:r>
      <w:r>
        <w:rPr/>
        <w:t>效</w:t>
      </w:r>
    </w:p>
    <w:p>
      <w:pPr>
        <w:pStyle w:val="BodyText"/>
        <w:spacing w:before="35"/>
        <w:ind w:left="213"/>
      </w:pPr>
      <w:r>
        <w:rPr/>
        <w:br w:type="column"/>
      </w:r>
      <w:r>
        <w:rPr/>
        <w:t>您向我们提出保险申请，我们同意承保，本附加合同成立。</w:t>
      </w:r>
    </w:p>
    <w:p>
      <w:pPr>
        <w:pStyle w:val="BodyText"/>
        <w:spacing w:before="9"/>
        <w:rPr>
          <w:sz w:val="14"/>
        </w:rPr>
      </w:pPr>
    </w:p>
    <w:p>
      <w:pPr>
        <w:pStyle w:val="BodyText"/>
        <w:spacing w:line="273" w:lineRule="auto"/>
        <w:ind w:left="213" w:right="66"/>
      </w:pPr>
      <w:r>
        <w:rPr/>
        <w:t>若本附加合同与主合同同时投保，则以主合同的生效日为本附加合同的生效日； 若您于主合同有效期间内投保本附加合同，本附加合同的生效日期以保险单或批注上记载的日期为准。保险单年度、保险费约定交纳日、保险单满期日均以该日期计算。</w:t>
      </w:r>
    </w:p>
    <w:p>
      <w:pPr>
        <w:spacing w:after="0" w:line="273" w:lineRule="auto"/>
        <w:sectPr>
          <w:type w:val="continuous"/>
          <w:pgSz w:w="11910" w:h="16840"/>
          <w:pgMar w:top="1600" w:bottom="1200" w:left="920" w:right="1000"/>
          <w:cols w:num="2" w:equalWidth="0">
            <w:col w:w="2273" w:space="52"/>
            <w:col w:w="7665"/>
          </w:cols>
        </w:sectPr>
      </w:pPr>
    </w:p>
    <w:p>
      <w:pPr>
        <w:pStyle w:val="BodyText"/>
        <w:spacing w:before="9"/>
        <w:rPr>
          <w:sz w:val="22"/>
        </w:rPr>
      </w:pPr>
    </w:p>
    <w:p>
      <w:pPr>
        <w:pStyle w:val="ListParagraph"/>
        <w:numPr>
          <w:ilvl w:val="1"/>
          <w:numId w:val="6"/>
        </w:numPr>
        <w:tabs>
          <w:tab w:pos="1008" w:val="left" w:leader="none"/>
          <w:tab w:pos="1009" w:val="left" w:leader="none"/>
          <w:tab w:pos="2538" w:val="left" w:leader="none"/>
        </w:tabs>
        <w:spacing w:line="240" w:lineRule="auto" w:before="35" w:after="0"/>
        <w:ind w:left="2538" w:right="0" w:hanging="2324"/>
        <w:jc w:val="left"/>
        <w:rPr>
          <w:sz w:val="21"/>
        </w:rPr>
      </w:pPr>
      <w:r>
        <w:rPr>
          <w:b/>
          <w:sz w:val="21"/>
        </w:rPr>
        <w:t>投保年龄</w:t>
        <w:tab/>
      </w:r>
      <w:r>
        <w:rPr>
          <w:sz w:val="21"/>
        </w:rPr>
        <w:t>投保年龄以</w:t>
      </w:r>
      <w:r>
        <w:rPr>
          <w:b/>
          <w:sz w:val="21"/>
        </w:rPr>
        <w:t>周岁</w:t>
      </w:r>
      <w:r>
        <w:rPr>
          <w:sz w:val="21"/>
        </w:rPr>
        <w:t>（见</w:t>
      </w:r>
      <w:r>
        <w:rPr>
          <w:spacing w:val="-62"/>
          <w:sz w:val="21"/>
        </w:rPr>
        <w:t> </w:t>
      </w:r>
      <w:r>
        <w:rPr>
          <w:sz w:val="21"/>
        </w:rPr>
        <w:t>6.1）计算，投保时被保险人的年龄须为</w:t>
      </w:r>
      <w:r>
        <w:rPr>
          <w:spacing w:val="-62"/>
          <w:sz w:val="21"/>
        </w:rPr>
        <w:t> </w:t>
      </w:r>
      <w:r>
        <w:rPr>
          <w:sz w:val="21"/>
        </w:rPr>
        <w:t>0</w:t>
      </w:r>
      <w:r>
        <w:rPr>
          <w:spacing w:val="-61"/>
          <w:sz w:val="21"/>
        </w:rPr>
        <w:t> </w:t>
      </w:r>
      <w:r>
        <w:rPr>
          <w:sz w:val="21"/>
        </w:rPr>
        <w:t>周岁（出生满</w:t>
      </w:r>
    </w:p>
    <w:p>
      <w:pPr>
        <w:pStyle w:val="BodyText"/>
        <w:spacing w:before="37"/>
        <w:ind w:left="2538"/>
      </w:pPr>
      <w:r>
        <w:rPr/>
        <w:t>30 天）至 64 周岁。</w:t>
      </w:r>
    </w:p>
    <w:p>
      <w:pPr>
        <w:pStyle w:val="BodyText"/>
        <w:spacing w:before="10"/>
        <w:rPr>
          <w:sz w:val="27"/>
        </w:rPr>
      </w:pPr>
    </w:p>
    <w:p>
      <w:pPr>
        <w:pStyle w:val="ListParagraph"/>
        <w:numPr>
          <w:ilvl w:val="1"/>
          <w:numId w:val="6"/>
        </w:numPr>
        <w:tabs>
          <w:tab w:pos="1008" w:val="left" w:leader="none"/>
          <w:tab w:pos="1009" w:val="left" w:leader="none"/>
          <w:tab w:pos="2538" w:val="left" w:leader="none"/>
        </w:tabs>
        <w:spacing w:line="273" w:lineRule="auto" w:before="0" w:after="0"/>
        <w:ind w:left="2538" w:right="217" w:hanging="2324"/>
        <w:jc w:val="left"/>
        <w:rPr>
          <w:sz w:val="21"/>
        </w:rPr>
      </w:pPr>
      <w:r>
        <w:rPr>
          <w:b/>
          <w:sz w:val="21"/>
        </w:rPr>
        <w:t>犹豫期</w:t>
        <w:tab/>
      </w:r>
      <w:r>
        <w:rPr>
          <w:sz w:val="21"/>
        </w:rPr>
        <w:t>自您签收本附加合同之日起</w:t>
      </w:r>
      <w:r>
        <w:rPr>
          <w:spacing w:val="-4"/>
          <w:sz w:val="21"/>
        </w:rPr>
        <w:t>，</w:t>
      </w:r>
      <w:r>
        <w:rPr>
          <w:sz w:val="21"/>
        </w:rPr>
        <w:t>有</w:t>
      </w:r>
      <w:r>
        <w:rPr>
          <w:spacing w:val="-54"/>
          <w:sz w:val="21"/>
        </w:rPr>
        <w:t> </w:t>
      </w:r>
      <w:r>
        <w:rPr>
          <w:sz w:val="21"/>
        </w:rPr>
        <w:t>10</w:t>
      </w:r>
      <w:r>
        <w:rPr>
          <w:spacing w:val="-54"/>
          <w:sz w:val="21"/>
        </w:rPr>
        <w:t> </w:t>
      </w:r>
      <w:r>
        <w:rPr>
          <w:spacing w:val="-4"/>
          <w:sz w:val="21"/>
        </w:rPr>
        <w:t>天</w:t>
      </w:r>
      <w:r>
        <w:rPr>
          <w:sz w:val="21"/>
        </w:rPr>
        <w:t>（含</w:t>
      </w:r>
      <w:r>
        <w:rPr>
          <w:spacing w:val="-4"/>
          <w:sz w:val="21"/>
        </w:rPr>
        <w:t>）</w:t>
      </w:r>
      <w:r>
        <w:rPr>
          <w:sz w:val="21"/>
        </w:rPr>
        <w:t>的犹豫期</w:t>
      </w:r>
      <w:r>
        <w:rPr>
          <w:spacing w:val="-4"/>
          <w:sz w:val="21"/>
        </w:rPr>
        <w:t>。</w:t>
      </w:r>
      <w:r>
        <w:rPr>
          <w:sz w:val="21"/>
        </w:rPr>
        <w:t>在此期间</w:t>
      </w:r>
      <w:r>
        <w:rPr>
          <w:spacing w:val="-4"/>
          <w:sz w:val="21"/>
        </w:rPr>
        <w:t>，</w:t>
      </w:r>
      <w:r>
        <w:rPr>
          <w:sz w:val="21"/>
        </w:rPr>
        <w:t>请您认真阅读本附加合同，您可以在此期间提出解除本附加合同，我们将无息退还您所交纳的保险费。</w:t>
      </w:r>
    </w:p>
    <w:p>
      <w:pPr>
        <w:spacing w:line="273" w:lineRule="auto" w:before="163"/>
        <w:ind w:left="2538" w:right="228" w:firstLine="0"/>
        <w:jc w:val="left"/>
        <w:rPr>
          <w:b/>
          <w:sz w:val="21"/>
        </w:rPr>
      </w:pPr>
      <w:r>
        <w:rPr>
          <w:sz w:val="21"/>
        </w:rPr>
        <w:t>解除本附加合同时，您需要填写申请书，并提供本附加合同、交费凭证及</w:t>
      </w:r>
      <w:r>
        <w:rPr>
          <w:b/>
          <w:sz w:val="21"/>
        </w:rPr>
        <w:t>有效</w:t>
      </w:r>
      <w:r>
        <w:rPr>
          <w:b/>
          <w:spacing w:val="0"/>
          <w:w w:val="99"/>
          <w:sz w:val="21"/>
        </w:rPr>
        <w:t>身份证件</w:t>
      </w:r>
      <w:r>
        <w:rPr>
          <w:spacing w:val="-2"/>
          <w:sz w:val="21"/>
        </w:rPr>
        <w:t>（</w:t>
      </w:r>
      <w:r>
        <w:rPr>
          <w:spacing w:val="-27"/>
          <w:sz w:val="21"/>
        </w:rPr>
        <w:t>见 </w:t>
      </w:r>
      <w:r>
        <w:rPr>
          <w:sz w:val="21"/>
        </w:rPr>
        <w:t>6</w:t>
      </w:r>
      <w:r>
        <w:rPr>
          <w:spacing w:val="-1"/>
          <w:sz w:val="21"/>
        </w:rPr>
        <w:t>.</w:t>
      </w:r>
      <w:r>
        <w:rPr>
          <w:sz w:val="21"/>
        </w:rPr>
        <w:t>2</w:t>
      </w:r>
      <w:r>
        <w:rPr>
          <w:spacing w:val="-105"/>
          <w:sz w:val="21"/>
        </w:rPr>
        <w:t>）</w:t>
      </w:r>
      <w:r>
        <w:rPr>
          <w:spacing w:val="-2"/>
          <w:sz w:val="21"/>
        </w:rPr>
        <w:t>。</w:t>
      </w:r>
      <w:r>
        <w:rPr>
          <w:b/>
          <w:w w:val="99"/>
          <w:sz w:val="21"/>
        </w:rPr>
        <w:t>自我们收到您解除合同的书面申请时起，本附加合同即被</w:t>
      </w:r>
      <w:r>
        <w:rPr>
          <w:b/>
          <w:w w:val="95"/>
          <w:sz w:val="21"/>
        </w:rPr>
        <w:t>解除，合同解除前发生的保险事故我们不承担责任。</w:t>
      </w:r>
    </w:p>
    <w:p>
      <w:pPr>
        <w:pStyle w:val="BodyText"/>
        <w:spacing w:before="7"/>
        <w:rPr>
          <w:b/>
          <w:sz w:val="24"/>
        </w:rPr>
      </w:pPr>
    </w:p>
    <w:p>
      <w:pPr>
        <w:pStyle w:val="Heading2"/>
        <w:numPr>
          <w:ilvl w:val="0"/>
          <w:numId w:val="6"/>
        </w:numPr>
        <w:tabs>
          <w:tab w:pos="1008" w:val="left" w:leader="none"/>
          <w:tab w:pos="1009" w:val="left" w:leader="none"/>
        </w:tabs>
        <w:spacing w:line="240" w:lineRule="auto" w:before="0" w:after="0"/>
        <w:ind w:left="1008" w:right="0" w:hanging="794"/>
        <w:jc w:val="left"/>
      </w:pPr>
      <w:r>
        <w:rPr/>
        <w:t>我们提供的保障</w:t>
      </w:r>
    </w:p>
    <w:p>
      <w:pPr>
        <w:pStyle w:val="BodyText"/>
        <w:spacing w:before="3"/>
        <w:rPr>
          <w:b/>
          <w:sz w:val="19"/>
        </w:rPr>
      </w:pPr>
      <w:r>
        <w:rPr/>
        <w:pict>
          <v:line style="position:absolute;mso-position-horizontal-relative:page;mso-position-vertical-relative:paragraph;z-index:1288;mso-wrap-distance-left:0;mso-wrap-distance-right:0" from="51.299999pt,14.786074pt" to="539.699999pt,14.786074pt" stroked="true" strokeweight=".48001pt" strokecolor="#000000">
            <v:stroke dashstyle="solid"/>
            <w10:wrap type="topAndBottom"/>
          </v:line>
        </w:pict>
      </w:r>
    </w:p>
    <w:p>
      <w:pPr>
        <w:pStyle w:val="BodyText"/>
        <w:spacing w:before="3"/>
        <w:rPr>
          <w:b/>
          <w:sz w:val="6"/>
        </w:rPr>
      </w:pPr>
    </w:p>
    <w:p>
      <w:pPr>
        <w:pStyle w:val="ListParagraph"/>
        <w:numPr>
          <w:ilvl w:val="1"/>
          <w:numId w:val="6"/>
        </w:numPr>
        <w:tabs>
          <w:tab w:pos="1009" w:val="left" w:leader="none"/>
        </w:tabs>
        <w:spacing w:line="273" w:lineRule="auto" w:before="35" w:after="0"/>
        <w:ind w:left="2538" w:right="303" w:hanging="2324"/>
        <w:jc w:val="both"/>
        <w:rPr>
          <w:sz w:val="21"/>
        </w:rPr>
      </w:pPr>
      <w:r>
        <w:rPr>
          <w:b/>
          <w:spacing w:val="5"/>
          <w:sz w:val="21"/>
        </w:rPr>
        <w:t>基本保险金额 </w:t>
      </w:r>
      <w:r>
        <w:rPr>
          <w:sz w:val="21"/>
        </w:rPr>
        <w:t>本附加合同的基本保险金额以保险单上载明的投保份数为基准计算。每份对应的基本保险金额见附表一。续保时以被保险人的实际年龄为基础，按当时我们核定的费率计算基本保险金额。</w:t>
      </w:r>
    </w:p>
    <w:p>
      <w:pPr>
        <w:spacing w:after="0" w:line="273" w:lineRule="auto"/>
        <w:jc w:val="both"/>
        <w:rPr>
          <w:sz w:val="21"/>
        </w:rPr>
        <w:sectPr>
          <w:type w:val="continuous"/>
          <w:pgSz w:w="11910" w:h="16840"/>
          <w:pgMar w:top="1600" w:bottom="1200" w:left="920" w:right="1000"/>
        </w:sectPr>
      </w:pPr>
    </w:p>
    <w:p>
      <w:pPr>
        <w:pStyle w:val="Heading3"/>
        <w:numPr>
          <w:ilvl w:val="1"/>
          <w:numId w:val="6"/>
        </w:numPr>
        <w:tabs>
          <w:tab w:pos="908" w:val="left" w:leader="none"/>
          <w:tab w:pos="909" w:val="left" w:leader="none"/>
        </w:tabs>
        <w:spacing w:line="273" w:lineRule="auto" w:before="19" w:after="0"/>
        <w:ind w:left="908" w:right="0" w:hanging="794"/>
        <w:jc w:val="left"/>
      </w:pPr>
      <w:r>
        <w:rPr>
          <w:w w:val="95"/>
        </w:rPr>
        <w:t>保险期间和续</w:t>
      </w:r>
      <w:r>
        <w:rPr/>
        <w:t>保</w:t>
      </w:r>
    </w:p>
    <w:p>
      <w:pPr>
        <w:pStyle w:val="BodyText"/>
        <w:spacing w:line="273" w:lineRule="auto" w:before="19"/>
        <w:ind w:left="113" w:right="303"/>
        <w:jc w:val="both"/>
      </w:pPr>
      <w:r>
        <w:rPr/>
        <w:br w:type="column"/>
      </w:r>
      <w:r>
        <w:rPr>
          <w:spacing w:val="-5"/>
        </w:rPr>
        <w:t>本附加合同保险期间为 </w:t>
      </w:r>
      <w:r>
        <w:rPr/>
        <w:t>1</w:t>
      </w:r>
      <w:r>
        <w:rPr>
          <w:spacing w:val="-8"/>
        </w:rPr>
        <w:t> 年。除合同另有约定外，保险期间自本附加合同生效日起，至合同约定的保险单满期日止。除下列情形外，您可于每个保险期间届</w:t>
      </w:r>
      <w:r>
        <w:rPr>
          <w:spacing w:val="-10"/>
        </w:rPr>
        <w:t>满时，向我们交付续保保险费，则本附加合同延续有效 </w:t>
      </w:r>
      <w:r>
        <w:rPr/>
        <w:t>1</w:t>
      </w:r>
      <w:r>
        <w:rPr>
          <w:spacing w:val="-18"/>
        </w:rPr>
        <w:t> 年：</w:t>
      </w:r>
    </w:p>
    <w:p>
      <w:pPr>
        <w:pStyle w:val="ListParagraph"/>
        <w:numPr>
          <w:ilvl w:val="0"/>
          <w:numId w:val="7"/>
        </w:numPr>
        <w:tabs>
          <w:tab w:pos="834" w:val="left" w:leader="none"/>
        </w:tabs>
        <w:spacing w:line="240" w:lineRule="auto" w:before="163" w:after="0"/>
        <w:ind w:left="834" w:right="0" w:hanging="720"/>
        <w:jc w:val="left"/>
        <w:rPr>
          <w:sz w:val="21"/>
        </w:rPr>
      </w:pPr>
      <w:r>
        <w:rPr>
          <w:sz w:val="21"/>
        </w:rPr>
        <w:t>您做出不续保的书面申请；</w:t>
      </w:r>
    </w:p>
    <w:p>
      <w:pPr>
        <w:pStyle w:val="BodyText"/>
        <w:spacing w:before="9"/>
        <w:rPr>
          <w:sz w:val="14"/>
        </w:rPr>
      </w:pPr>
    </w:p>
    <w:p>
      <w:pPr>
        <w:pStyle w:val="ListParagraph"/>
        <w:numPr>
          <w:ilvl w:val="0"/>
          <w:numId w:val="7"/>
        </w:numPr>
        <w:tabs>
          <w:tab w:pos="834" w:val="left" w:leader="none"/>
        </w:tabs>
        <w:spacing w:line="273" w:lineRule="auto" w:before="0" w:after="0"/>
        <w:ind w:left="834" w:right="216" w:hanging="720"/>
        <w:jc w:val="left"/>
        <w:rPr>
          <w:sz w:val="21"/>
        </w:rPr>
      </w:pPr>
      <w:r>
        <w:rPr>
          <w:sz w:val="21"/>
        </w:rPr>
        <w:t>主合同处于交费期间，但未按照保险合同约定及时、足额交纳主合同的应交保险费；</w:t>
      </w:r>
    </w:p>
    <w:p>
      <w:pPr>
        <w:pStyle w:val="ListParagraph"/>
        <w:numPr>
          <w:ilvl w:val="0"/>
          <w:numId w:val="7"/>
        </w:numPr>
        <w:tabs>
          <w:tab w:pos="834" w:val="left" w:leader="none"/>
        </w:tabs>
        <w:spacing w:line="240" w:lineRule="auto" w:before="163" w:after="0"/>
        <w:ind w:left="833" w:right="0" w:hanging="719"/>
        <w:jc w:val="left"/>
        <w:rPr>
          <w:sz w:val="21"/>
        </w:rPr>
      </w:pPr>
      <w:r>
        <w:rPr>
          <w:sz w:val="21"/>
        </w:rPr>
        <w:t>本附加合同保险期间届满前合同效力已终止；</w:t>
      </w:r>
    </w:p>
    <w:p>
      <w:pPr>
        <w:pStyle w:val="BodyText"/>
        <w:spacing w:before="9"/>
        <w:rPr>
          <w:sz w:val="14"/>
        </w:rPr>
      </w:pPr>
    </w:p>
    <w:p>
      <w:pPr>
        <w:pStyle w:val="ListParagraph"/>
        <w:numPr>
          <w:ilvl w:val="0"/>
          <w:numId w:val="7"/>
        </w:numPr>
        <w:tabs>
          <w:tab w:pos="835" w:val="left" w:leader="none"/>
        </w:tabs>
        <w:spacing w:line="240" w:lineRule="auto" w:before="0" w:after="0"/>
        <w:ind w:left="834" w:right="0" w:hanging="720"/>
        <w:jc w:val="left"/>
        <w:rPr>
          <w:sz w:val="21"/>
        </w:rPr>
      </w:pPr>
      <w:r>
        <w:rPr>
          <w:sz w:val="21"/>
        </w:rPr>
        <w:t>主合同效力终止。</w:t>
      </w:r>
    </w:p>
    <w:p>
      <w:pPr>
        <w:pStyle w:val="BodyText"/>
        <w:spacing w:line="273" w:lineRule="auto" w:before="176"/>
        <w:ind w:left="113" w:right="216"/>
      </w:pPr>
      <w:r>
        <w:rPr>
          <w:spacing w:val="-3"/>
        </w:rPr>
        <w:t>本附加合同可按上述续保方式保证续保至被保险人年满 </w:t>
      </w:r>
      <w:r>
        <w:rPr/>
        <w:t>65</w:t>
      </w:r>
      <w:r>
        <w:rPr>
          <w:spacing w:val="-9"/>
        </w:rPr>
        <w:t> 周岁后的首个保险单满期日。在上述保证续保期间内，本附加合同的保险责任、责任免除不变。</w:t>
      </w:r>
    </w:p>
    <w:p>
      <w:pPr>
        <w:spacing w:after="0" w:line="273" w:lineRule="auto"/>
        <w:sectPr>
          <w:pgSz w:w="11910" w:h="16840"/>
          <w:pgMar w:header="0" w:footer="1008" w:top="1100" w:bottom="1200" w:left="1020" w:right="1000"/>
          <w:cols w:num="2" w:equalWidth="0">
            <w:col w:w="2173" w:space="152"/>
            <w:col w:w="7565"/>
          </w:cols>
        </w:sectPr>
      </w:pPr>
    </w:p>
    <w:p>
      <w:pPr>
        <w:pStyle w:val="BodyText"/>
        <w:spacing w:before="10"/>
        <w:rPr>
          <w:sz w:val="22"/>
        </w:rPr>
      </w:pPr>
    </w:p>
    <w:p>
      <w:pPr>
        <w:pStyle w:val="ListParagraph"/>
        <w:numPr>
          <w:ilvl w:val="1"/>
          <w:numId w:val="6"/>
        </w:numPr>
        <w:tabs>
          <w:tab w:pos="908" w:val="left" w:leader="none"/>
          <w:tab w:pos="909" w:val="left" w:leader="none"/>
          <w:tab w:pos="2438" w:val="left" w:leader="none"/>
        </w:tabs>
        <w:spacing w:line="240" w:lineRule="auto" w:before="35" w:after="0"/>
        <w:ind w:left="908" w:right="0" w:hanging="794"/>
        <w:jc w:val="left"/>
        <w:rPr>
          <w:sz w:val="21"/>
        </w:rPr>
      </w:pPr>
      <w:r>
        <w:rPr>
          <w:b/>
          <w:sz w:val="21"/>
        </w:rPr>
        <w:t>保险责任</w:t>
        <w:tab/>
      </w:r>
      <w:r>
        <w:rPr>
          <w:sz w:val="21"/>
        </w:rPr>
        <w:t>在本附加合同的保险期间内，我们承担以下保险责任：</w:t>
      </w:r>
    </w:p>
    <w:p>
      <w:pPr>
        <w:pStyle w:val="BodyText"/>
        <w:spacing w:before="9"/>
        <w:rPr>
          <w:sz w:val="14"/>
        </w:rPr>
      </w:pPr>
    </w:p>
    <w:p>
      <w:pPr>
        <w:pStyle w:val="BodyText"/>
        <w:spacing w:line="273" w:lineRule="auto"/>
        <w:ind w:left="2438" w:right="111"/>
      </w:pPr>
      <w:r>
        <w:rPr>
          <w:spacing w:val="-4"/>
        </w:rPr>
        <w:t>若被保险人于本附加合同生效之日起 </w:t>
      </w:r>
      <w:r>
        <w:rPr/>
        <w:t>90</w:t>
      </w:r>
      <w:r>
        <w:rPr>
          <w:spacing w:val="-24"/>
        </w:rPr>
        <w:t> 天后</w:t>
      </w:r>
      <w:r>
        <w:rPr/>
        <w:t>（</w:t>
      </w:r>
      <w:r>
        <w:rPr>
          <w:b/>
          <w:spacing w:val="-29"/>
        </w:rPr>
        <w:t>此 </w:t>
      </w:r>
      <w:r>
        <w:rPr>
          <w:b/>
        </w:rPr>
        <w:t>90</w:t>
      </w:r>
      <w:r>
        <w:rPr>
          <w:b/>
          <w:spacing w:val="-9"/>
        </w:rPr>
        <w:t> 天称为等待期</w:t>
      </w:r>
      <w:r>
        <w:rPr>
          <w:spacing w:val="-14"/>
        </w:rPr>
        <w:t>）</w:t>
      </w:r>
      <w:r>
        <w:rPr/>
        <w:t>首次发生， 并在我们认可的</w:t>
      </w:r>
      <w:r>
        <w:rPr>
          <w:b/>
          <w:spacing w:val="-3"/>
        </w:rPr>
        <w:t>医院</w:t>
      </w:r>
      <w:r>
        <w:rPr/>
        <w:t>（</w:t>
      </w:r>
      <w:r>
        <w:rPr>
          <w:spacing w:val="-29"/>
        </w:rPr>
        <w:t>见 </w:t>
      </w:r>
      <w:r>
        <w:rPr/>
        <w:t>6.3）由</w:t>
      </w:r>
      <w:r>
        <w:rPr>
          <w:b/>
          <w:spacing w:val="-2"/>
        </w:rPr>
        <w:t>专科医生</w:t>
      </w:r>
      <w:r>
        <w:rPr/>
        <w:t>（</w:t>
      </w:r>
      <w:r>
        <w:rPr>
          <w:spacing w:val="-30"/>
        </w:rPr>
        <w:t>见 </w:t>
      </w:r>
      <w:r>
        <w:rPr/>
        <w:t>6.4）确诊患本附加合同所列的任何一种或多种</w:t>
      </w:r>
      <w:r>
        <w:rPr>
          <w:b/>
          <w:spacing w:val="-22"/>
          <w:w w:val="99"/>
        </w:rPr>
        <w:t>重大疾病</w:t>
      </w:r>
      <w:r>
        <w:rPr/>
        <w:t>（</w:t>
      </w:r>
      <w:r>
        <w:rPr>
          <w:spacing w:val="-27"/>
        </w:rPr>
        <w:t>见 </w:t>
      </w:r>
      <w:r>
        <w:rPr/>
        <w:t>6</w:t>
      </w:r>
      <w:r>
        <w:rPr>
          <w:spacing w:val="-1"/>
        </w:rPr>
        <w:t>.</w:t>
      </w:r>
      <w:r>
        <w:rPr/>
        <w:t>5</w:t>
      </w:r>
      <w:r>
        <w:rPr>
          <w:spacing w:val="-90"/>
        </w:rPr>
        <w:t>）</w:t>
      </w:r>
      <w:r>
        <w:rPr/>
        <w:t>并符合本附加合同约定的给付保险金条件的，</w:t>
      </w:r>
      <w:r>
        <w:rPr>
          <w:spacing w:val="-8"/>
        </w:rPr>
        <w:t>且自确诊之日起 </w:t>
      </w:r>
      <w:r>
        <w:rPr/>
        <w:t>30</w:t>
      </w:r>
      <w:r>
        <w:rPr>
          <w:spacing w:val="-8"/>
        </w:rPr>
        <w:t> 天后仍生存，我们按基本保险金额给付重大疾病保险金，同时本附加合同效力终止。</w:t>
      </w:r>
    </w:p>
    <w:p>
      <w:pPr>
        <w:pStyle w:val="BodyText"/>
        <w:spacing w:line="273" w:lineRule="auto" w:before="163"/>
        <w:ind w:left="2438" w:right="216"/>
      </w:pPr>
      <w:r>
        <w:rPr>
          <w:spacing w:val="-4"/>
        </w:rPr>
        <w:t>若被保险人于本附加合同生效之日起 </w:t>
      </w:r>
      <w:r>
        <w:rPr/>
        <w:t>90</w:t>
      </w:r>
      <w:r>
        <w:rPr>
          <w:spacing w:val="-9"/>
        </w:rPr>
        <w:t> 天内发生本附加合同所列的任何一种或多种重大疾病，我们无息返还保险费，同时本附加合同效力终止。</w:t>
      </w:r>
    </w:p>
    <w:p>
      <w:pPr>
        <w:pStyle w:val="BodyText"/>
        <w:spacing w:before="163"/>
        <w:ind w:left="2438"/>
      </w:pPr>
      <w:r>
        <w:rPr/>
        <w:t>续保或因</w:t>
      </w:r>
      <w:r>
        <w:rPr>
          <w:b/>
        </w:rPr>
        <w:t>意外伤害事故</w:t>
      </w:r>
      <w:r>
        <w:rPr/>
        <w:t>（见 6.6）所致的重大疾病无 90 天等待期的限制。</w:t>
      </w:r>
    </w:p>
    <w:p>
      <w:pPr>
        <w:pStyle w:val="BodyText"/>
        <w:spacing w:before="8"/>
        <w:rPr>
          <w:sz w:val="27"/>
        </w:rPr>
      </w:pPr>
    </w:p>
    <w:p>
      <w:pPr>
        <w:pStyle w:val="Heading3"/>
        <w:numPr>
          <w:ilvl w:val="1"/>
          <w:numId w:val="6"/>
        </w:numPr>
        <w:tabs>
          <w:tab w:pos="908" w:val="left" w:leader="none"/>
          <w:tab w:pos="909" w:val="left" w:leader="none"/>
          <w:tab w:pos="2438" w:val="left" w:leader="none"/>
        </w:tabs>
        <w:spacing w:line="273" w:lineRule="auto" w:before="0" w:after="0"/>
        <w:ind w:left="2438" w:right="278" w:hanging="2324"/>
        <w:jc w:val="left"/>
      </w:pPr>
      <w:r>
        <w:rPr/>
        <w:t>责任免除</w:t>
        <w:tab/>
      </w:r>
      <w:r>
        <w:rPr>
          <w:w w:val="95"/>
        </w:rPr>
        <w:t>因下列情形之一，导致被保险人发生疾病、达到疾病状态或者进行手术的，我    们不承担保险责任：</w:t>
      </w:r>
    </w:p>
    <w:p>
      <w:pPr>
        <w:spacing w:before="163"/>
        <w:ind w:left="2438" w:right="0" w:firstLine="0"/>
        <w:jc w:val="left"/>
        <w:rPr>
          <w:b/>
          <w:sz w:val="21"/>
        </w:rPr>
      </w:pPr>
      <w:r>
        <w:rPr>
          <w:b/>
          <w:w w:val="95"/>
          <w:sz w:val="21"/>
        </w:rPr>
        <w:t>1.投保人对被保险人的故意杀害、故意伤害；</w:t>
      </w:r>
    </w:p>
    <w:p>
      <w:pPr>
        <w:pStyle w:val="BodyText"/>
        <w:spacing w:before="9"/>
        <w:rPr>
          <w:b/>
          <w:sz w:val="14"/>
        </w:rPr>
      </w:pPr>
    </w:p>
    <w:p>
      <w:pPr>
        <w:spacing w:before="0"/>
        <w:ind w:left="2438" w:right="0" w:firstLine="0"/>
        <w:jc w:val="left"/>
        <w:rPr>
          <w:b/>
          <w:sz w:val="21"/>
        </w:rPr>
      </w:pPr>
      <w:r>
        <w:rPr>
          <w:b/>
          <w:w w:val="95"/>
          <w:sz w:val="21"/>
        </w:rPr>
        <w:t>2.被保险人故意犯罪或者抗拒依法采取的刑事强制措施；</w:t>
      </w:r>
    </w:p>
    <w:p>
      <w:pPr>
        <w:pStyle w:val="BodyText"/>
        <w:spacing w:before="9"/>
        <w:rPr>
          <w:b/>
          <w:sz w:val="14"/>
        </w:rPr>
      </w:pPr>
    </w:p>
    <w:p>
      <w:pPr>
        <w:spacing w:before="0"/>
        <w:ind w:left="2438" w:right="0" w:firstLine="0"/>
        <w:jc w:val="left"/>
        <w:rPr>
          <w:b/>
          <w:sz w:val="21"/>
        </w:rPr>
      </w:pPr>
      <w:r>
        <w:rPr>
          <w:b/>
          <w:w w:val="95"/>
          <w:sz w:val="21"/>
        </w:rPr>
        <w:t>3.被保险人故意自伤；</w:t>
      </w:r>
    </w:p>
    <w:p>
      <w:pPr>
        <w:pStyle w:val="BodyText"/>
        <w:spacing w:before="9"/>
        <w:rPr>
          <w:b/>
          <w:sz w:val="14"/>
        </w:rPr>
      </w:pPr>
    </w:p>
    <w:p>
      <w:pPr>
        <w:spacing w:before="0"/>
        <w:ind w:left="2438" w:right="0" w:firstLine="0"/>
        <w:jc w:val="left"/>
        <w:rPr>
          <w:b/>
          <w:sz w:val="21"/>
        </w:rPr>
      </w:pPr>
      <w:r>
        <w:rPr>
          <w:b/>
          <w:spacing w:val="0"/>
          <w:w w:val="99"/>
          <w:sz w:val="21"/>
        </w:rPr>
        <w:t>4.</w:t>
      </w:r>
      <w:r>
        <w:rPr>
          <w:b/>
          <w:w w:val="99"/>
          <w:sz w:val="21"/>
        </w:rPr>
        <w:t>被保</w:t>
      </w:r>
      <w:r>
        <w:rPr>
          <w:b/>
          <w:w w:val="99"/>
          <w:sz w:val="21"/>
        </w:rPr>
        <w:t>险人主动吸食或注射毒品（见</w:t>
      </w:r>
      <w:r>
        <w:rPr>
          <w:b/>
          <w:spacing w:val="-52"/>
          <w:sz w:val="21"/>
        </w:rPr>
        <w:t> </w:t>
      </w:r>
      <w:r>
        <w:rPr>
          <w:b/>
          <w:spacing w:val="0"/>
          <w:w w:val="99"/>
          <w:sz w:val="21"/>
        </w:rPr>
        <w:t>6.7</w:t>
      </w:r>
      <w:r>
        <w:rPr>
          <w:b/>
          <w:spacing w:val="-105"/>
          <w:w w:val="99"/>
          <w:sz w:val="21"/>
        </w:rPr>
        <w:t>）</w:t>
      </w:r>
      <w:r>
        <w:rPr>
          <w:b/>
          <w:w w:val="99"/>
          <w:sz w:val="21"/>
        </w:rPr>
        <w:t>；</w:t>
      </w:r>
    </w:p>
    <w:p>
      <w:pPr>
        <w:pStyle w:val="BodyText"/>
        <w:spacing w:before="9"/>
        <w:rPr>
          <w:b/>
          <w:sz w:val="14"/>
        </w:rPr>
      </w:pPr>
    </w:p>
    <w:p>
      <w:pPr>
        <w:spacing w:line="273" w:lineRule="auto" w:before="0"/>
        <w:ind w:left="2438" w:right="216" w:firstLine="0"/>
        <w:jc w:val="left"/>
        <w:rPr>
          <w:b/>
          <w:sz w:val="21"/>
        </w:rPr>
      </w:pPr>
      <w:r>
        <w:rPr>
          <w:b/>
          <w:spacing w:val="0"/>
          <w:w w:val="99"/>
          <w:sz w:val="21"/>
        </w:rPr>
        <w:t>5.</w:t>
      </w:r>
      <w:r>
        <w:rPr>
          <w:b/>
          <w:w w:val="99"/>
          <w:sz w:val="21"/>
        </w:rPr>
        <w:t>被保</w:t>
      </w:r>
      <w:r>
        <w:rPr>
          <w:b/>
          <w:spacing w:val="-2"/>
          <w:w w:val="99"/>
          <w:sz w:val="21"/>
        </w:rPr>
        <w:t>险人酒后驾驶</w:t>
      </w:r>
      <w:r>
        <w:rPr>
          <w:b/>
          <w:w w:val="99"/>
          <w:sz w:val="21"/>
        </w:rPr>
        <w:t>（见</w:t>
      </w:r>
      <w:r>
        <w:rPr>
          <w:b/>
          <w:spacing w:val="-52"/>
          <w:sz w:val="21"/>
        </w:rPr>
        <w:t> </w:t>
      </w:r>
      <w:r>
        <w:rPr>
          <w:b/>
          <w:spacing w:val="0"/>
          <w:w w:val="99"/>
          <w:sz w:val="21"/>
        </w:rPr>
        <w:t>6.8</w:t>
      </w:r>
      <w:r>
        <w:rPr>
          <w:b/>
          <w:spacing w:val="-106"/>
          <w:w w:val="99"/>
          <w:sz w:val="21"/>
        </w:rPr>
        <w:t>）</w:t>
      </w:r>
      <w:r>
        <w:rPr>
          <w:b/>
          <w:spacing w:val="-4"/>
          <w:w w:val="99"/>
          <w:sz w:val="21"/>
        </w:rPr>
        <w:t>，无合法有效驾驶证驾驶</w:t>
      </w:r>
      <w:r>
        <w:rPr>
          <w:b/>
          <w:w w:val="99"/>
          <w:sz w:val="21"/>
        </w:rPr>
        <w:t>（见</w:t>
      </w:r>
      <w:r>
        <w:rPr>
          <w:b/>
          <w:spacing w:val="-52"/>
          <w:sz w:val="21"/>
        </w:rPr>
        <w:t> </w:t>
      </w:r>
      <w:r>
        <w:rPr>
          <w:b/>
          <w:spacing w:val="0"/>
          <w:w w:val="99"/>
          <w:sz w:val="21"/>
        </w:rPr>
        <w:t>6.9</w:t>
      </w:r>
      <w:r>
        <w:rPr>
          <w:b/>
          <w:spacing w:val="-106"/>
          <w:w w:val="99"/>
          <w:sz w:val="21"/>
        </w:rPr>
        <w:t>）</w:t>
      </w:r>
      <w:r>
        <w:rPr>
          <w:b/>
          <w:spacing w:val="-3"/>
          <w:w w:val="99"/>
          <w:sz w:val="21"/>
        </w:rPr>
        <w:t>，或驾驶无有</w:t>
      </w:r>
      <w:r>
        <w:rPr>
          <w:b/>
          <w:w w:val="99"/>
          <w:sz w:val="21"/>
        </w:rPr>
        <w:t>效行驶证（见</w:t>
      </w:r>
      <w:r>
        <w:rPr>
          <w:b/>
          <w:spacing w:val="-52"/>
          <w:sz w:val="21"/>
        </w:rPr>
        <w:t> </w:t>
      </w:r>
      <w:r>
        <w:rPr>
          <w:b/>
          <w:w w:val="99"/>
          <w:sz w:val="21"/>
        </w:rPr>
        <w:t>6.10）的机动车（见</w:t>
      </w:r>
      <w:r>
        <w:rPr>
          <w:b/>
          <w:spacing w:val="-54"/>
          <w:sz w:val="21"/>
        </w:rPr>
        <w:t> </w:t>
      </w:r>
      <w:r>
        <w:rPr>
          <w:b/>
          <w:w w:val="99"/>
          <w:sz w:val="21"/>
        </w:rPr>
        <w:t>6.11</w:t>
      </w:r>
      <w:r>
        <w:rPr>
          <w:b/>
          <w:spacing w:val="-104"/>
          <w:w w:val="99"/>
          <w:sz w:val="21"/>
        </w:rPr>
        <w:t>）</w:t>
      </w:r>
      <w:r>
        <w:rPr>
          <w:b/>
          <w:w w:val="99"/>
          <w:sz w:val="21"/>
        </w:rPr>
        <w:t>；</w:t>
      </w:r>
    </w:p>
    <w:p>
      <w:pPr>
        <w:spacing w:before="163"/>
        <w:ind w:left="2438" w:right="0" w:firstLine="0"/>
        <w:jc w:val="left"/>
        <w:rPr>
          <w:b/>
          <w:sz w:val="21"/>
        </w:rPr>
      </w:pPr>
      <w:r>
        <w:rPr>
          <w:b/>
          <w:w w:val="99"/>
          <w:sz w:val="21"/>
        </w:rPr>
        <w:t>6.被保险人感染艾滋病病毒或患艾滋病（见</w:t>
      </w:r>
      <w:r>
        <w:rPr>
          <w:b/>
          <w:spacing w:val="-54"/>
          <w:sz w:val="21"/>
        </w:rPr>
        <w:t> </w:t>
      </w:r>
      <w:r>
        <w:rPr>
          <w:b/>
          <w:w w:val="99"/>
          <w:sz w:val="21"/>
        </w:rPr>
        <w:t>6.12</w:t>
      </w:r>
      <w:r>
        <w:rPr>
          <w:b/>
          <w:spacing w:val="-105"/>
          <w:w w:val="99"/>
          <w:sz w:val="21"/>
        </w:rPr>
        <w:t>）</w:t>
      </w:r>
      <w:r>
        <w:rPr>
          <w:b/>
          <w:w w:val="99"/>
          <w:sz w:val="21"/>
        </w:rPr>
        <w:t>；</w:t>
      </w:r>
    </w:p>
    <w:p>
      <w:pPr>
        <w:pStyle w:val="BodyText"/>
        <w:spacing w:before="9"/>
        <w:rPr>
          <w:b/>
          <w:sz w:val="14"/>
        </w:rPr>
      </w:pPr>
    </w:p>
    <w:p>
      <w:pPr>
        <w:spacing w:before="0"/>
        <w:ind w:left="2438" w:right="0" w:firstLine="0"/>
        <w:jc w:val="left"/>
        <w:rPr>
          <w:b/>
          <w:sz w:val="21"/>
        </w:rPr>
      </w:pPr>
      <w:r>
        <w:rPr>
          <w:b/>
          <w:w w:val="95"/>
          <w:sz w:val="21"/>
        </w:rPr>
        <w:t>7.战争、军事冲突、暴乱或武装叛乱；</w:t>
      </w:r>
    </w:p>
    <w:p>
      <w:pPr>
        <w:pStyle w:val="BodyText"/>
        <w:spacing w:before="9"/>
        <w:rPr>
          <w:b/>
          <w:sz w:val="14"/>
        </w:rPr>
      </w:pPr>
    </w:p>
    <w:p>
      <w:pPr>
        <w:spacing w:before="0"/>
        <w:ind w:left="2438" w:right="0" w:firstLine="0"/>
        <w:jc w:val="left"/>
        <w:rPr>
          <w:b/>
          <w:sz w:val="21"/>
        </w:rPr>
      </w:pPr>
      <w:r>
        <w:rPr>
          <w:b/>
          <w:w w:val="95"/>
          <w:sz w:val="21"/>
        </w:rPr>
        <w:t>8.核爆炸、核辐射或核污染；</w:t>
      </w:r>
    </w:p>
    <w:p>
      <w:pPr>
        <w:pStyle w:val="BodyText"/>
        <w:spacing w:before="9"/>
        <w:rPr>
          <w:b/>
          <w:sz w:val="14"/>
        </w:rPr>
      </w:pPr>
    </w:p>
    <w:p>
      <w:pPr>
        <w:spacing w:before="0"/>
        <w:ind w:left="2438" w:right="0" w:firstLine="0"/>
        <w:jc w:val="left"/>
        <w:rPr>
          <w:b/>
          <w:sz w:val="21"/>
        </w:rPr>
      </w:pPr>
      <w:r>
        <w:rPr>
          <w:b/>
          <w:spacing w:val="0"/>
          <w:w w:val="99"/>
          <w:sz w:val="21"/>
        </w:rPr>
        <w:t>9.</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6.13</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6.14</w:t>
      </w:r>
      <w:r>
        <w:rPr>
          <w:b/>
          <w:spacing w:val="-105"/>
          <w:w w:val="99"/>
          <w:sz w:val="21"/>
        </w:rPr>
        <w:t>）</w:t>
      </w:r>
      <w:r>
        <w:rPr>
          <w:b/>
          <w:w w:val="99"/>
          <w:sz w:val="21"/>
        </w:rPr>
        <w:t>；</w:t>
      </w:r>
    </w:p>
    <w:p>
      <w:pPr>
        <w:pStyle w:val="BodyText"/>
        <w:spacing w:before="9"/>
        <w:rPr>
          <w:b/>
          <w:sz w:val="14"/>
        </w:rPr>
      </w:pPr>
    </w:p>
    <w:p>
      <w:pPr>
        <w:spacing w:before="0"/>
        <w:ind w:left="2438" w:right="0" w:firstLine="0"/>
        <w:jc w:val="left"/>
        <w:rPr>
          <w:b/>
          <w:sz w:val="21"/>
        </w:rPr>
      </w:pPr>
      <w:r>
        <w:rPr>
          <w:b/>
          <w:w w:val="95"/>
          <w:sz w:val="21"/>
        </w:rPr>
        <w:t>10.主合同各项责任免除亦为本附加合同的责任免除。</w:t>
      </w:r>
    </w:p>
    <w:p>
      <w:pPr>
        <w:pStyle w:val="BodyText"/>
        <w:spacing w:before="9"/>
        <w:rPr>
          <w:b/>
          <w:sz w:val="14"/>
        </w:rPr>
      </w:pPr>
    </w:p>
    <w:p>
      <w:pPr>
        <w:spacing w:line="273" w:lineRule="auto" w:before="0"/>
        <w:ind w:left="2438" w:right="277" w:firstLine="0"/>
        <w:jc w:val="left"/>
        <w:rPr>
          <w:b/>
          <w:sz w:val="21"/>
        </w:rPr>
      </w:pPr>
      <w:r>
        <w:rPr>
          <w:b/>
          <w:sz w:val="21"/>
        </w:rPr>
        <w:t>发生上述第１项情形导致被保险人身故的，本附加合同终止，我们向其他权利</w:t>
      </w:r>
      <w:r>
        <w:rPr>
          <w:b/>
          <w:w w:val="99"/>
          <w:sz w:val="21"/>
        </w:rPr>
        <w:t>人退还保险单的现金价值</w:t>
      </w:r>
      <w:r>
        <w:rPr>
          <w:b/>
          <w:spacing w:val="0"/>
          <w:w w:val="99"/>
          <w:sz w:val="21"/>
        </w:rPr>
        <w:t>（</w:t>
      </w:r>
      <w:r>
        <w:rPr>
          <w:b/>
          <w:w w:val="99"/>
          <w:sz w:val="21"/>
        </w:rPr>
        <w:t>见</w:t>
      </w:r>
      <w:r>
        <w:rPr>
          <w:b/>
          <w:spacing w:val="-54"/>
          <w:sz w:val="21"/>
        </w:rPr>
        <w:t> </w:t>
      </w:r>
      <w:r>
        <w:rPr>
          <w:b/>
          <w:spacing w:val="0"/>
          <w:w w:val="99"/>
          <w:sz w:val="21"/>
        </w:rPr>
        <w:t>6.15</w:t>
      </w:r>
      <w:r>
        <w:rPr>
          <w:b/>
          <w:spacing w:val="-107"/>
          <w:w w:val="99"/>
          <w:sz w:val="21"/>
        </w:rPr>
        <w:t>）</w:t>
      </w:r>
      <w:r>
        <w:rPr>
          <w:b/>
          <w:w w:val="99"/>
          <w:sz w:val="21"/>
        </w:rPr>
        <w:t>。</w:t>
      </w:r>
    </w:p>
    <w:p>
      <w:pPr>
        <w:spacing w:after="0" w:line="273" w:lineRule="auto"/>
        <w:jc w:val="left"/>
        <w:rPr>
          <w:sz w:val="21"/>
        </w:rPr>
        <w:sectPr>
          <w:type w:val="continuous"/>
          <w:pgSz w:w="11910" w:h="16840"/>
          <w:pgMar w:top="1600" w:bottom="1200" w:left="1020" w:right="1000"/>
        </w:sectPr>
      </w:pPr>
    </w:p>
    <w:p>
      <w:pPr>
        <w:spacing w:line="273" w:lineRule="auto" w:before="19"/>
        <w:ind w:left="2538" w:right="277" w:firstLine="0"/>
        <w:jc w:val="left"/>
        <w:rPr>
          <w:b/>
          <w:sz w:val="21"/>
        </w:rPr>
      </w:pPr>
      <w:r>
        <w:rPr>
          <w:b/>
          <w:sz w:val="21"/>
        </w:rPr>
        <w:t>发生上述其他情形导致被保险人身故的，本附加合同终止，我们向您退还保险</w:t>
      </w:r>
      <w:r>
        <w:rPr>
          <w:b/>
          <w:w w:val="95"/>
          <w:sz w:val="21"/>
        </w:rPr>
        <w:t>单的现金价值。</w:t>
      </w:r>
    </w:p>
    <w:p>
      <w:pPr>
        <w:pStyle w:val="BodyText"/>
        <w:spacing w:before="9"/>
        <w:rPr>
          <w:b/>
        </w:rPr>
      </w:pPr>
    </w:p>
    <w:p>
      <w:pPr>
        <w:pStyle w:val="ListParagraph"/>
        <w:numPr>
          <w:ilvl w:val="0"/>
          <w:numId w:val="6"/>
        </w:numPr>
        <w:tabs>
          <w:tab w:pos="1008" w:val="left" w:leader="none"/>
          <w:tab w:pos="1009" w:val="left" w:leader="none"/>
        </w:tabs>
        <w:spacing w:line="240" w:lineRule="auto" w:before="26" w:after="0"/>
        <w:ind w:left="1008" w:right="0" w:hanging="794"/>
        <w:jc w:val="left"/>
        <w:rPr>
          <w:b/>
          <w:sz w:val="24"/>
        </w:rPr>
      </w:pPr>
      <w:r>
        <w:rPr>
          <w:b/>
          <w:sz w:val="24"/>
        </w:rPr>
        <w:t>保险金的申请</w:t>
      </w:r>
    </w:p>
    <w:p>
      <w:pPr>
        <w:pStyle w:val="BodyText"/>
        <w:spacing w:before="3"/>
        <w:rPr>
          <w:b/>
          <w:sz w:val="19"/>
        </w:rPr>
      </w:pPr>
      <w:r>
        <w:rPr/>
        <w:pict>
          <v:line style="position:absolute;mso-position-horizontal-relative:page;mso-position-vertical-relative:paragraph;z-index:1312;mso-wrap-distance-left:0;mso-wrap-distance-right:0" from="51.299999pt,14.811118pt" to="539.699999pt,14.811118pt" stroked="true" strokeweight=".47998pt" strokecolor="#000000">
            <v:stroke dashstyle="solid"/>
            <w10:wrap type="topAndBottom"/>
          </v:line>
        </w:pict>
      </w:r>
    </w:p>
    <w:p>
      <w:pPr>
        <w:pStyle w:val="BodyText"/>
        <w:spacing w:before="3"/>
        <w:rPr>
          <w:b/>
          <w:sz w:val="6"/>
        </w:rPr>
      </w:pPr>
    </w:p>
    <w:p>
      <w:pPr>
        <w:pStyle w:val="ListParagraph"/>
        <w:numPr>
          <w:ilvl w:val="1"/>
          <w:numId w:val="6"/>
        </w:numPr>
        <w:tabs>
          <w:tab w:pos="1008" w:val="left" w:leader="none"/>
          <w:tab w:pos="1009" w:val="left" w:leader="none"/>
          <w:tab w:pos="2526" w:val="left" w:leader="none"/>
        </w:tabs>
        <w:spacing w:line="240" w:lineRule="auto" w:before="35" w:after="0"/>
        <w:ind w:left="2526" w:right="0" w:hanging="2312"/>
        <w:jc w:val="left"/>
        <w:rPr>
          <w:sz w:val="21"/>
        </w:rPr>
      </w:pPr>
      <w:r>
        <w:rPr>
          <w:b/>
          <w:sz w:val="21"/>
        </w:rPr>
        <w:t>受益人</w:t>
        <w:tab/>
      </w:r>
      <w:r>
        <w:rPr>
          <w:sz w:val="21"/>
        </w:rPr>
        <w:t>本附加合同重大疾病保险金的受益人为被保险人本人。</w:t>
      </w:r>
    </w:p>
    <w:p>
      <w:pPr>
        <w:pStyle w:val="BodyText"/>
        <w:spacing w:before="8"/>
        <w:rPr>
          <w:sz w:val="27"/>
        </w:rPr>
      </w:pPr>
    </w:p>
    <w:p>
      <w:pPr>
        <w:pStyle w:val="ListParagraph"/>
        <w:numPr>
          <w:ilvl w:val="1"/>
          <w:numId w:val="6"/>
        </w:numPr>
        <w:tabs>
          <w:tab w:pos="1008" w:val="left" w:leader="none"/>
          <w:tab w:pos="1009" w:val="left" w:leader="none"/>
          <w:tab w:pos="2526" w:val="left" w:leader="none"/>
        </w:tabs>
        <w:spacing w:line="273" w:lineRule="auto" w:before="1" w:after="0"/>
        <w:ind w:left="2526" w:right="316" w:hanging="2312"/>
        <w:jc w:val="left"/>
        <w:rPr>
          <w:sz w:val="21"/>
        </w:rPr>
      </w:pPr>
      <w:r>
        <w:rPr>
          <w:b/>
          <w:sz w:val="21"/>
        </w:rPr>
        <w:t>保险金申请</w:t>
        <w:tab/>
      </w:r>
      <w:r>
        <w:rPr>
          <w:sz w:val="21"/>
        </w:rPr>
        <w:t>在申请重大疾病保险金时，受益人须填写保险金给付申请书，并须提供下列证明和资料：</w:t>
      </w:r>
    </w:p>
    <w:p>
      <w:pPr>
        <w:pStyle w:val="BodyText"/>
        <w:spacing w:before="164"/>
        <w:ind w:left="2526"/>
      </w:pPr>
      <w:r>
        <w:rPr/>
        <w:t>（1）保险合同；</w:t>
      </w:r>
    </w:p>
    <w:p>
      <w:pPr>
        <w:pStyle w:val="BodyText"/>
        <w:spacing w:before="10"/>
        <w:rPr>
          <w:sz w:val="14"/>
        </w:rPr>
      </w:pPr>
    </w:p>
    <w:p>
      <w:pPr>
        <w:pStyle w:val="BodyText"/>
        <w:spacing w:line="273" w:lineRule="auto"/>
        <w:ind w:left="2526" w:right="217"/>
      </w:pPr>
      <w:r>
        <w:rPr>
          <w:spacing w:val="-3"/>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3"/>
        </w:rPr>
        <w:t>；其中因双耳失聪而申请保险金的应提供理赔当时的听力丧失诊断及检查证据，因双眼失明而申请保险金的应提供理赔当时的视力丧失诊断及检查证据，因语言能力丧失而申请保险金的应提供理赔当时的语</w:t>
      </w:r>
      <w:r>
        <w:rPr>
          <w:spacing w:val="-1"/>
        </w:rPr>
        <w:t>言能力丧失诊断及检查证据；</w:t>
      </w:r>
    </w:p>
    <w:p>
      <w:pPr>
        <w:pStyle w:val="BodyText"/>
        <w:spacing w:before="163"/>
        <w:ind w:left="2526"/>
      </w:pPr>
      <w:r>
        <w:rPr/>
        <w:t>（3）受益人的有效身份证件；</w:t>
      </w:r>
    </w:p>
    <w:p>
      <w:pPr>
        <w:pStyle w:val="BodyText"/>
        <w:spacing w:before="9"/>
        <w:rPr>
          <w:sz w:val="14"/>
        </w:rPr>
      </w:pPr>
    </w:p>
    <w:p>
      <w:pPr>
        <w:pStyle w:val="BodyText"/>
        <w:spacing w:line="273" w:lineRule="auto"/>
        <w:ind w:left="2526" w:right="217"/>
      </w:pPr>
      <w:r>
        <w:rPr/>
        <w:t>（4）所能提供的其他与确认保险合同、确认保险事故的性质、原因等有关的证明或材料。</w:t>
      </w:r>
    </w:p>
    <w:p>
      <w:pPr>
        <w:pStyle w:val="BodyText"/>
        <w:spacing w:before="163"/>
        <w:ind w:left="2526"/>
      </w:pPr>
      <w:r>
        <w:rPr/>
        <w:t>若委托他人办理申请保险金，还须提供授权委托书及受托人身份证件等材料。</w:t>
      </w:r>
    </w:p>
    <w:p>
      <w:pPr>
        <w:pStyle w:val="BodyText"/>
        <w:spacing w:before="9"/>
        <w:rPr>
          <w:sz w:val="14"/>
        </w:rPr>
      </w:pPr>
    </w:p>
    <w:p>
      <w:pPr>
        <w:pStyle w:val="BodyText"/>
        <w:spacing w:line="273" w:lineRule="auto"/>
        <w:ind w:left="2526" w:right="316"/>
      </w:pPr>
      <w:r>
        <w:rPr/>
        <w:t>以上证明和资料不完整的，我们将及时一次性通知受益人补充提供有关证明和资料。</w:t>
      </w:r>
    </w:p>
    <w:p>
      <w:pPr>
        <w:pStyle w:val="BodyText"/>
        <w:spacing w:before="6"/>
        <w:rPr>
          <w:sz w:val="25"/>
        </w:rPr>
      </w:pPr>
    </w:p>
    <w:p>
      <w:pPr>
        <w:pStyle w:val="ListParagraph"/>
        <w:numPr>
          <w:ilvl w:val="1"/>
          <w:numId w:val="6"/>
        </w:numPr>
        <w:tabs>
          <w:tab w:pos="1008" w:val="left" w:leader="none"/>
          <w:tab w:pos="1009" w:val="left" w:leader="none"/>
          <w:tab w:pos="2526" w:val="left" w:leader="none"/>
        </w:tabs>
        <w:spacing w:line="273" w:lineRule="auto" w:before="0" w:after="0"/>
        <w:ind w:left="2526" w:right="216" w:hanging="2312"/>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日内作出核定；情形复杂的，在</w:t>
      </w:r>
      <w:r>
        <w:rPr>
          <w:spacing w:val="-57"/>
          <w:sz w:val="21"/>
        </w:rPr>
        <w:t> </w:t>
      </w:r>
      <w:r>
        <w:rPr>
          <w:sz w:val="21"/>
        </w:rPr>
        <w:t>30</w:t>
      </w:r>
      <w:r>
        <w:rPr>
          <w:spacing w:val="-57"/>
          <w:sz w:val="21"/>
        </w:rPr>
        <w:t> </w:t>
      </w:r>
      <w:r>
        <w:rPr>
          <w:sz w:val="21"/>
        </w:rPr>
        <w:t>日内作出核定。对属于保险责任的，我们在与受益人达成给付保险金的协议后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6" w:right="316"/>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6" w:right="316"/>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6" w:right="218"/>
      </w:pPr>
      <w:r>
        <w:rPr>
          <w:spacing w:val="-3"/>
        </w:rPr>
        <w:t>我们在收到保险金给付申请书及有关证明和资料之日起 </w:t>
      </w:r>
      <w:r>
        <w:rPr/>
        <w:t>60</w:t>
      </w:r>
      <w:r>
        <w:rPr>
          <w:spacing w:val="-9"/>
        </w:rPr>
        <w:t> 日内，对给付保险金的数额不能确定的，根据已有证明和资料可以确定的数额先予支付；我们最终确定给付保险金的数额后，将支付相应的差额。</w:t>
      </w:r>
    </w:p>
    <w:p>
      <w:pPr>
        <w:pStyle w:val="BodyText"/>
        <w:spacing w:before="6"/>
        <w:rPr>
          <w:sz w:val="25"/>
        </w:rPr>
      </w:pPr>
    </w:p>
    <w:p>
      <w:pPr>
        <w:pStyle w:val="ListParagraph"/>
        <w:numPr>
          <w:ilvl w:val="1"/>
          <w:numId w:val="6"/>
        </w:numPr>
        <w:tabs>
          <w:tab w:pos="1008" w:val="left" w:leader="none"/>
          <w:tab w:pos="1009" w:val="left" w:leader="none"/>
          <w:tab w:pos="2526" w:val="left" w:leader="none"/>
        </w:tabs>
        <w:spacing w:line="273" w:lineRule="auto" w:before="1" w:after="0"/>
        <w:ind w:left="2526" w:right="316" w:hanging="2312"/>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7"/>
        <w:rPr>
          <w:sz w:val="23"/>
        </w:rPr>
      </w:pPr>
    </w:p>
    <w:p>
      <w:pPr>
        <w:pStyle w:val="Heading2"/>
        <w:numPr>
          <w:ilvl w:val="0"/>
          <w:numId w:val="6"/>
        </w:numPr>
        <w:tabs>
          <w:tab w:pos="1008" w:val="left" w:leader="none"/>
          <w:tab w:pos="1009" w:val="left" w:leader="none"/>
        </w:tabs>
        <w:spacing w:line="240" w:lineRule="auto" w:before="1" w:after="0"/>
        <w:ind w:left="1008" w:right="0" w:hanging="794"/>
        <w:jc w:val="left"/>
      </w:pPr>
      <w:r>
        <w:rPr/>
        <w:t>保险费的交纳</w:t>
      </w:r>
    </w:p>
    <w:p>
      <w:pPr>
        <w:pStyle w:val="BodyText"/>
        <w:spacing w:before="4"/>
        <w:rPr>
          <w:b/>
          <w:sz w:val="19"/>
        </w:rPr>
      </w:pPr>
      <w:r>
        <w:rPr/>
        <w:pict>
          <v:line style="position:absolute;mso-position-horizontal-relative:page;mso-position-vertical-relative:paragraph;z-index:1336;mso-wrap-distance-left:0;mso-wrap-distance-right:0" from="51.299999pt,14.875784pt" to="539.699999pt,14.875784pt" stroked="true" strokeweight=".47998pt" strokecolor="#000000">
            <v:stroke dashstyle="solid"/>
            <w10:wrap type="topAndBottom"/>
          </v:line>
        </w:pict>
      </w:r>
    </w:p>
    <w:p>
      <w:pPr>
        <w:spacing w:after="0"/>
        <w:rPr>
          <w:sz w:val="19"/>
        </w:rPr>
        <w:sectPr>
          <w:pgSz w:w="11910" w:h="16840"/>
          <w:pgMar w:header="0" w:footer="1008" w:top="1100" w:bottom="1200" w:left="920" w:right="1000"/>
        </w:sectPr>
      </w:pPr>
    </w:p>
    <w:p>
      <w:pPr>
        <w:pStyle w:val="ListParagraph"/>
        <w:numPr>
          <w:ilvl w:val="1"/>
          <w:numId w:val="6"/>
        </w:numPr>
        <w:tabs>
          <w:tab w:pos="1008" w:val="left" w:leader="none"/>
          <w:tab w:pos="1009" w:val="left" w:leader="none"/>
          <w:tab w:pos="2538" w:val="left" w:leader="none"/>
        </w:tabs>
        <w:spacing w:line="273" w:lineRule="auto" w:before="19" w:after="0"/>
        <w:ind w:left="2538" w:right="303" w:hanging="2324"/>
        <w:jc w:val="left"/>
        <w:rPr>
          <w:sz w:val="21"/>
        </w:rPr>
      </w:pPr>
      <w:r>
        <w:rPr>
          <w:b/>
          <w:sz w:val="21"/>
        </w:rPr>
        <w:t>保险费的交纳</w:t>
        <w:tab/>
      </w:r>
      <w:r>
        <w:rPr>
          <w:sz w:val="21"/>
        </w:rPr>
        <w:t>本附加合同以保险单上载明的投保份数为基准计算保险费，每份对应的保险费为</w:t>
      </w:r>
      <w:r>
        <w:rPr>
          <w:spacing w:val="-53"/>
          <w:sz w:val="21"/>
        </w:rPr>
        <w:t> </w:t>
      </w:r>
      <w:r>
        <w:rPr>
          <w:sz w:val="21"/>
        </w:rPr>
        <w:t>50</w:t>
      </w:r>
      <w:r>
        <w:rPr>
          <w:spacing w:val="-53"/>
          <w:sz w:val="21"/>
        </w:rPr>
        <w:t> </w:t>
      </w:r>
      <w:r>
        <w:rPr>
          <w:sz w:val="21"/>
        </w:rPr>
        <w:t>元。</w:t>
      </w:r>
    </w:p>
    <w:p>
      <w:pPr>
        <w:pStyle w:val="Heading3"/>
        <w:spacing w:line="273" w:lineRule="auto" w:before="163"/>
        <w:ind w:left="2538" w:right="277"/>
        <w:jc w:val="both"/>
      </w:pPr>
      <w:r>
        <w:rPr/>
        <w:t>我们保留于每个保险期间届满日提高或降低保险费率的权利，我们将根据本附加合同制定费率所用的重大疾病发生率与我们实际情况的偏差程度，决定保险费率是否调整，并将调整后的费率向保险监督管理机构报备后通知您。保险费率的调整针对所有被保险人或同一类别的所有被保险人。我们进行保险费率调整后，每份保费对应的基本保险金额会相应变化，保险费率调整前已经交纳的</w:t>
      </w:r>
      <w:r>
        <w:rPr>
          <w:w w:val="95"/>
        </w:rPr>
        <w:t>保险费不受影响。</w:t>
      </w:r>
    </w:p>
    <w:p>
      <w:pPr>
        <w:pStyle w:val="BodyText"/>
        <w:spacing w:before="6"/>
        <w:rPr>
          <w:b/>
          <w:sz w:val="25"/>
        </w:rPr>
      </w:pPr>
    </w:p>
    <w:p>
      <w:pPr>
        <w:pStyle w:val="ListParagraph"/>
        <w:numPr>
          <w:ilvl w:val="1"/>
          <w:numId w:val="6"/>
        </w:numPr>
        <w:tabs>
          <w:tab w:pos="1008" w:val="left" w:leader="none"/>
          <w:tab w:pos="1009" w:val="left" w:leader="none"/>
          <w:tab w:pos="2538" w:val="left" w:leader="none"/>
        </w:tabs>
        <w:spacing w:line="273" w:lineRule="auto" w:before="0" w:after="0"/>
        <w:ind w:left="2538" w:right="216" w:hanging="2324"/>
        <w:jc w:val="left"/>
        <w:rPr>
          <w:sz w:val="21"/>
        </w:rPr>
      </w:pPr>
      <w:r>
        <w:rPr>
          <w:b/>
          <w:sz w:val="21"/>
        </w:rPr>
        <w:t>宽限期</w:t>
        <w:tab/>
      </w:r>
      <w:r>
        <w:rPr>
          <w:sz w:val="21"/>
        </w:rPr>
        <w:t>在保险期间届满时，若您未做出不续保的书面申请且未交纳保险费的，则自保险期间届满次日零时起的</w:t>
      </w:r>
      <w:r>
        <w:rPr>
          <w:spacing w:val="-64"/>
          <w:sz w:val="21"/>
        </w:rPr>
        <w:t> </w:t>
      </w:r>
      <w:r>
        <w:rPr>
          <w:sz w:val="21"/>
        </w:rPr>
        <w:t>60</w:t>
      </w:r>
      <w:r>
        <w:rPr>
          <w:spacing w:val="-63"/>
          <w:sz w:val="21"/>
        </w:rPr>
        <w:t> </w:t>
      </w:r>
      <w:r>
        <w:rPr>
          <w:sz w:val="21"/>
        </w:rPr>
        <w:t>天为交费宽限期</w:t>
      </w:r>
      <w:r>
        <w:rPr>
          <w:spacing w:val="-10"/>
          <w:sz w:val="21"/>
        </w:rPr>
        <w:t>。</w:t>
      </w:r>
      <w:r>
        <w:rPr>
          <w:sz w:val="21"/>
        </w:rPr>
        <w:t>宽限期内发生的保险事故</w:t>
      </w:r>
      <w:r>
        <w:rPr>
          <w:spacing w:val="-9"/>
          <w:sz w:val="21"/>
        </w:rPr>
        <w:t>，</w:t>
      </w:r>
      <w:r>
        <w:rPr>
          <w:sz w:val="21"/>
        </w:rPr>
        <w:t>我们仍会承担保险责任，但在给付保险金时会扣减您欠交的保险费。</w:t>
      </w:r>
    </w:p>
    <w:p>
      <w:pPr>
        <w:pStyle w:val="BodyText"/>
        <w:spacing w:line="273" w:lineRule="auto" w:before="163"/>
        <w:ind w:left="2538" w:right="303"/>
        <w:jc w:val="both"/>
      </w:pPr>
      <w:r>
        <w:rPr/>
        <w:t>如果您宽限期结束之后仍未支付保险费，则我们自宽限期满的次日零时起不再承担保险责任，本附加合同效力终止。</w:t>
      </w:r>
    </w:p>
    <w:p>
      <w:pPr>
        <w:pStyle w:val="BodyText"/>
        <w:spacing w:before="7"/>
        <w:rPr>
          <w:sz w:val="23"/>
        </w:rPr>
      </w:pPr>
    </w:p>
    <w:p>
      <w:pPr>
        <w:pStyle w:val="Heading2"/>
        <w:numPr>
          <w:ilvl w:val="0"/>
          <w:numId w:val="6"/>
        </w:numPr>
        <w:tabs>
          <w:tab w:pos="1007" w:val="left" w:leader="none"/>
          <w:tab w:pos="1009" w:val="left" w:leader="none"/>
        </w:tabs>
        <w:spacing w:line="240" w:lineRule="auto" w:before="0" w:after="0"/>
        <w:ind w:left="1008" w:right="0" w:hanging="794"/>
        <w:jc w:val="left"/>
      </w:pPr>
      <w:r>
        <w:rPr/>
        <w:t>合同解除</w:t>
      </w:r>
    </w:p>
    <w:p>
      <w:pPr>
        <w:pStyle w:val="BodyText"/>
        <w:spacing w:before="4"/>
        <w:rPr>
          <w:b/>
          <w:sz w:val="19"/>
        </w:rPr>
      </w:pPr>
      <w:r>
        <w:rPr/>
        <w:pict>
          <v:line style="position:absolute;mso-position-horizontal-relative:page;mso-position-vertical-relative:paragraph;z-index:1360;mso-wrap-distance-left:0;mso-wrap-distance-right:0" from="51.299999pt,15.094766pt" to="539.699999pt,15.094766pt" stroked="true" strokeweight=".95999pt" strokecolor="#000000">
            <v:stroke dashstyle="solid"/>
            <w10:wrap type="topAndBottom"/>
          </v:line>
        </w:pict>
      </w:r>
    </w:p>
    <w:p>
      <w:pPr>
        <w:pStyle w:val="BodyText"/>
        <w:spacing w:before="5"/>
        <w:rPr>
          <w:b/>
          <w:sz w:val="5"/>
        </w:rPr>
      </w:pPr>
    </w:p>
    <w:p>
      <w:pPr>
        <w:spacing w:after="0"/>
        <w:rPr>
          <w:sz w:val="5"/>
        </w:rPr>
        <w:sectPr>
          <w:pgSz w:w="11910" w:h="16840"/>
          <w:pgMar w:header="0" w:footer="1008" w:top="1100" w:bottom="1200" w:left="920" w:right="1000"/>
        </w:sectPr>
      </w:pPr>
    </w:p>
    <w:p>
      <w:pPr>
        <w:pStyle w:val="Heading3"/>
        <w:numPr>
          <w:ilvl w:val="1"/>
          <w:numId w:val="6"/>
        </w:numPr>
        <w:tabs>
          <w:tab w:pos="1008" w:val="left" w:leader="none"/>
          <w:tab w:pos="1009" w:val="left" w:leader="none"/>
        </w:tabs>
        <w:spacing w:line="273" w:lineRule="auto" w:before="35" w:after="0"/>
        <w:ind w:left="1008" w:right="0" w:hanging="794"/>
        <w:jc w:val="left"/>
      </w:pPr>
      <w:r>
        <w:rPr>
          <w:w w:val="95"/>
        </w:rPr>
        <w:t>您解除合同的手续及风险</w:t>
      </w:r>
    </w:p>
    <w:p>
      <w:pPr>
        <w:pStyle w:val="BodyText"/>
        <w:spacing w:line="273" w:lineRule="auto" w:before="35"/>
        <w:ind w:left="213" w:right="303"/>
      </w:pPr>
      <w:r>
        <w:rPr/>
        <w:br w:type="column"/>
      </w:r>
      <w:r>
        <w:rPr/>
        <w:t>如您在犹豫期后申请解除本附加合同，请填写解除合同申请书并向我们提供下列资料：</w:t>
      </w:r>
    </w:p>
    <w:p>
      <w:pPr>
        <w:pStyle w:val="BodyText"/>
        <w:spacing w:before="163"/>
        <w:ind w:left="213"/>
      </w:pPr>
      <w:r>
        <w:rPr/>
        <w:t>1.保险合同；</w:t>
      </w:r>
    </w:p>
    <w:p>
      <w:pPr>
        <w:pStyle w:val="BodyText"/>
        <w:spacing w:before="9"/>
        <w:rPr>
          <w:sz w:val="14"/>
        </w:rPr>
      </w:pPr>
    </w:p>
    <w:p>
      <w:pPr>
        <w:pStyle w:val="BodyText"/>
        <w:ind w:left="213"/>
      </w:pPr>
      <w:r>
        <w:rPr/>
        <w:t>2.您的有效身份证件。</w:t>
      </w:r>
    </w:p>
    <w:p>
      <w:pPr>
        <w:pStyle w:val="BodyText"/>
        <w:spacing w:before="9"/>
        <w:rPr>
          <w:sz w:val="14"/>
        </w:rPr>
      </w:pPr>
    </w:p>
    <w:p>
      <w:pPr>
        <w:pStyle w:val="BodyText"/>
        <w:spacing w:line="273" w:lineRule="auto"/>
        <w:ind w:left="213" w:right="303"/>
      </w:pPr>
      <w:r>
        <w:rPr/>
        <w:t>如您委托他人办理书面申请解除本附加合同，还须提供授权委托书及受托人身份证件。</w:t>
      </w:r>
    </w:p>
    <w:p>
      <w:pPr>
        <w:pStyle w:val="BodyText"/>
        <w:spacing w:line="273" w:lineRule="auto" w:before="163"/>
        <w:ind w:left="213" w:right="303"/>
      </w:pPr>
      <w:r>
        <w:rPr/>
        <w:t>自我们收到解除合同申请书时起，本附加合同终止。我们自收到解除合同申请书之日起 30 日内向您退还保险单的现金价值。</w:t>
      </w:r>
    </w:p>
    <w:p>
      <w:pPr>
        <w:pStyle w:val="BodyText"/>
        <w:spacing w:before="163"/>
        <w:ind w:left="213"/>
      </w:pPr>
      <w:r>
        <w:rPr/>
        <w:t>您犹豫期后解除合同会遭受一定损失。</w:t>
      </w:r>
    </w:p>
    <w:p>
      <w:pPr>
        <w:spacing w:after="0"/>
        <w:sectPr>
          <w:type w:val="continuous"/>
          <w:pgSz w:w="11910" w:h="16840"/>
          <w:pgMar w:top="1600" w:bottom="1200" w:left="920" w:right="1000"/>
          <w:cols w:num="2" w:equalWidth="0">
            <w:col w:w="2273" w:space="52"/>
            <w:col w:w="7665"/>
          </w:cols>
        </w:sectPr>
      </w:pPr>
    </w:p>
    <w:p>
      <w:pPr>
        <w:pStyle w:val="BodyText"/>
        <w:spacing w:before="11"/>
        <w:rPr>
          <w:sz w:val="23"/>
        </w:rPr>
      </w:pPr>
    </w:p>
    <w:p>
      <w:pPr>
        <w:pStyle w:val="Heading2"/>
        <w:numPr>
          <w:ilvl w:val="0"/>
          <w:numId w:val="6"/>
        </w:numPr>
        <w:tabs>
          <w:tab w:pos="1008" w:val="left" w:leader="none"/>
          <w:tab w:pos="1009" w:val="left" w:leader="none"/>
        </w:tabs>
        <w:spacing w:line="240" w:lineRule="auto" w:before="27" w:after="0"/>
        <w:ind w:left="1008" w:right="0" w:hanging="794"/>
        <w:jc w:val="left"/>
      </w:pPr>
      <w:r>
        <w:rPr/>
        <w:t>释义</w:t>
      </w:r>
    </w:p>
    <w:p>
      <w:pPr>
        <w:pStyle w:val="BodyText"/>
        <w:spacing w:before="4"/>
        <w:rPr>
          <w:b/>
          <w:sz w:val="19"/>
        </w:rPr>
      </w:pPr>
      <w:r>
        <w:rPr/>
        <w:pict>
          <v:line style="position:absolute;mso-position-horizontal-relative:page;mso-position-vertical-relative:paragraph;z-index:1384;mso-wrap-distance-left:0;mso-wrap-distance-right:0" from="51.299999pt,15.120377pt" to="539.699999pt,15.120377pt" stroked="true" strokeweight=".95999pt" strokecolor="#000000">
            <v:stroke dashstyle="solid"/>
            <w10:wrap type="topAndBottom"/>
          </v:line>
        </w:pict>
      </w:r>
    </w:p>
    <w:p>
      <w:pPr>
        <w:pStyle w:val="BodyText"/>
        <w:spacing w:before="5"/>
        <w:rPr>
          <w:b/>
          <w:sz w:val="5"/>
        </w:rPr>
      </w:pPr>
    </w:p>
    <w:p>
      <w:pPr>
        <w:pStyle w:val="ListParagraph"/>
        <w:numPr>
          <w:ilvl w:val="1"/>
          <w:numId w:val="6"/>
        </w:numPr>
        <w:tabs>
          <w:tab w:pos="1008" w:val="left" w:leader="none"/>
          <w:tab w:pos="1009" w:val="left" w:leader="none"/>
          <w:tab w:pos="2538" w:val="left" w:leader="none"/>
        </w:tabs>
        <w:spacing w:line="273" w:lineRule="auto" w:before="35" w:after="0"/>
        <w:ind w:left="2538" w:right="356" w:hanging="2324"/>
        <w:jc w:val="left"/>
        <w:rPr>
          <w:sz w:val="21"/>
        </w:rPr>
      </w:pPr>
      <w:r>
        <w:rPr>
          <w:b/>
          <w:sz w:val="21"/>
        </w:rPr>
        <w:t>周岁</w:t>
        <w:tab/>
      </w:r>
      <w:r>
        <w:rPr>
          <w:sz w:val="21"/>
        </w:rPr>
        <w:t>以户籍证明或其他法定的身份证件中记载的出生日期为标准计算年龄（不足</w:t>
      </w:r>
      <w:r>
        <w:rPr>
          <w:spacing w:val="-53"/>
          <w:sz w:val="21"/>
        </w:rPr>
        <w:t> </w:t>
      </w:r>
      <w:r>
        <w:rPr>
          <w:sz w:val="21"/>
        </w:rPr>
        <w:t>1年不计</w:t>
      </w:r>
      <w:r>
        <w:rPr>
          <w:spacing w:val="-105"/>
          <w:sz w:val="21"/>
        </w:rPr>
        <w:t>）</w:t>
      </w:r>
      <w:r>
        <w:rPr>
          <w:sz w:val="21"/>
        </w:rPr>
        <w:t>。</w:t>
      </w:r>
    </w:p>
    <w:p>
      <w:pPr>
        <w:pStyle w:val="BodyText"/>
        <w:spacing w:before="10"/>
        <w:rPr>
          <w:sz w:val="18"/>
        </w:rPr>
      </w:pPr>
    </w:p>
    <w:p>
      <w:pPr>
        <w:pStyle w:val="ListParagraph"/>
        <w:numPr>
          <w:ilvl w:val="1"/>
          <w:numId w:val="6"/>
        </w:numPr>
        <w:tabs>
          <w:tab w:pos="1008" w:val="left" w:leader="none"/>
          <w:tab w:pos="1009" w:val="left" w:leader="none"/>
          <w:tab w:pos="2538" w:val="left" w:leader="none"/>
        </w:tabs>
        <w:spacing w:line="273" w:lineRule="auto" w:before="0" w:after="0"/>
        <w:ind w:left="2538" w:right="303" w:hanging="2324"/>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spacing w:after="0" w:line="273" w:lineRule="auto"/>
        <w:jc w:val="left"/>
        <w:rPr>
          <w:sz w:val="21"/>
        </w:rPr>
        <w:sectPr>
          <w:type w:val="continuous"/>
          <w:pgSz w:w="11910" w:h="16840"/>
          <w:pgMar w:top="1600" w:bottom="1200" w:left="92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373"/>
        <w:gridCol w:w="7725"/>
      </w:tblGrid>
      <w:tr>
        <w:trPr>
          <w:trHeight w:val="2332" w:hRule="atLeast"/>
        </w:trPr>
        <w:tc>
          <w:tcPr>
            <w:tcW w:w="659" w:type="dxa"/>
          </w:tcPr>
          <w:p>
            <w:pPr>
              <w:pStyle w:val="TableParagraph"/>
              <w:spacing w:line="210" w:lineRule="exact"/>
              <w:ind w:left="50"/>
              <w:rPr>
                <w:b/>
                <w:sz w:val="21"/>
              </w:rPr>
            </w:pPr>
            <w:r>
              <w:rPr>
                <w:b/>
                <w:sz w:val="21"/>
              </w:rPr>
              <w:t>6.3.</w:t>
            </w:r>
          </w:p>
        </w:tc>
        <w:tc>
          <w:tcPr>
            <w:tcW w:w="1373" w:type="dxa"/>
          </w:tcPr>
          <w:p>
            <w:pPr>
              <w:pStyle w:val="TableParagraph"/>
              <w:spacing w:line="210" w:lineRule="exact"/>
              <w:ind w:left="185"/>
              <w:rPr>
                <w:b/>
                <w:sz w:val="21"/>
              </w:rPr>
            </w:pPr>
            <w:r>
              <w:rPr>
                <w:b/>
                <w:w w:val="95"/>
                <w:sz w:val="21"/>
              </w:rPr>
              <w:t>医院</w:t>
            </w:r>
          </w:p>
        </w:tc>
        <w:tc>
          <w:tcPr>
            <w:tcW w:w="7725" w:type="dxa"/>
          </w:tcPr>
          <w:p>
            <w:pPr>
              <w:pStyle w:val="TableParagraph"/>
              <w:spacing w:line="210" w:lineRule="exact"/>
              <w:ind w:left="342"/>
              <w:rPr>
                <w:sz w:val="21"/>
              </w:rPr>
            </w:pPr>
            <w:r>
              <w:rPr>
                <w:sz w:val="21"/>
              </w:rPr>
              <w:t>本附加合同所称医院指我们指定医院或经中华人民共和国卫生部门评审确定的</w:t>
            </w:r>
          </w:p>
          <w:p>
            <w:pPr>
              <w:pStyle w:val="TableParagraph"/>
              <w:spacing w:line="273" w:lineRule="auto" w:before="37"/>
              <w:ind w:left="342" w:right="154"/>
              <w:rPr>
                <w:sz w:val="21"/>
              </w:rPr>
            </w:pPr>
            <w:r>
              <w:rPr>
                <w:sz w:val="21"/>
              </w:rPr>
              <w:t>二级或以上之公立医院，但不包括精神病院及专供康复、护理、疗养、戒酒、戒毒、养老等非以直接诊治病人为目的之医疗机构。该医院必须具有符合国家</w:t>
            </w:r>
            <w:r>
              <w:rPr>
                <w:spacing w:val="-4"/>
                <w:sz w:val="21"/>
              </w:rPr>
              <w:t>有关医院管理规则设置标准的医疗设备，且全天 </w:t>
            </w:r>
            <w:r>
              <w:rPr>
                <w:sz w:val="21"/>
              </w:rPr>
              <w:t>24</w:t>
            </w:r>
            <w:r>
              <w:rPr>
                <w:spacing w:val="-9"/>
                <w:sz w:val="21"/>
              </w:rPr>
              <w:t> 小时有合格的医生和护士驻院提供医疗和护理服务。当被保险人因遭受意外伤害事故须急救时不受此限， 但经急救处理伤情稳定后，必须转入本附加合同所指医院治疗（急救情况不适用于私人医院、民营医院、私人诊所</w:t>
            </w:r>
            <w:r>
              <w:rPr>
                <w:spacing w:val="-105"/>
                <w:sz w:val="21"/>
              </w:rPr>
              <w:t>）</w:t>
            </w:r>
            <w:r>
              <w:rPr>
                <w:sz w:val="21"/>
              </w:rPr>
              <w:t>。</w:t>
            </w:r>
          </w:p>
        </w:tc>
      </w:tr>
      <w:tr>
        <w:trPr>
          <w:trHeight w:val="589" w:hRule="atLeast"/>
        </w:trPr>
        <w:tc>
          <w:tcPr>
            <w:tcW w:w="659" w:type="dxa"/>
          </w:tcPr>
          <w:p>
            <w:pPr>
              <w:pStyle w:val="TableParagraph"/>
              <w:spacing w:line="240" w:lineRule="auto" w:before="2"/>
              <w:rPr>
                <w:sz w:val="14"/>
              </w:rPr>
            </w:pPr>
          </w:p>
          <w:p>
            <w:pPr>
              <w:pStyle w:val="TableParagraph"/>
              <w:spacing w:line="240" w:lineRule="auto"/>
              <w:ind w:left="50"/>
              <w:rPr>
                <w:b/>
                <w:sz w:val="21"/>
              </w:rPr>
            </w:pPr>
            <w:r>
              <w:rPr>
                <w:b/>
                <w:sz w:val="21"/>
              </w:rPr>
              <w:t>6.4</w:t>
            </w:r>
          </w:p>
        </w:tc>
        <w:tc>
          <w:tcPr>
            <w:tcW w:w="1373" w:type="dxa"/>
          </w:tcPr>
          <w:p>
            <w:pPr>
              <w:pStyle w:val="TableParagraph"/>
              <w:spacing w:line="240" w:lineRule="auto" w:before="2"/>
              <w:rPr>
                <w:sz w:val="14"/>
              </w:rPr>
            </w:pPr>
          </w:p>
          <w:p>
            <w:pPr>
              <w:pStyle w:val="TableParagraph"/>
              <w:spacing w:line="240" w:lineRule="auto"/>
              <w:ind w:left="185"/>
              <w:rPr>
                <w:b/>
                <w:sz w:val="21"/>
              </w:rPr>
            </w:pPr>
            <w:r>
              <w:rPr>
                <w:b/>
                <w:sz w:val="21"/>
              </w:rPr>
              <w:t>专科医生</w:t>
            </w:r>
          </w:p>
        </w:tc>
        <w:tc>
          <w:tcPr>
            <w:tcW w:w="7725" w:type="dxa"/>
          </w:tcPr>
          <w:p>
            <w:pPr>
              <w:pStyle w:val="TableParagraph"/>
              <w:spacing w:line="240" w:lineRule="auto" w:before="2"/>
              <w:rPr>
                <w:sz w:val="14"/>
              </w:rPr>
            </w:pPr>
          </w:p>
          <w:p>
            <w:pPr>
              <w:pStyle w:val="TableParagraph"/>
              <w:spacing w:line="240" w:lineRule="auto"/>
              <w:ind w:left="342"/>
              <w:rPr>
                <w:sz w:val="21"/>
              </w:rPr>
            </w:pPr>
            <w:r>
              <w:rPr>
                <w:sz w:val="21"/>
              </w:rPr>
              <w:t>专科医生应当同时满足以下四项资格条件：</w:t>
            </w:r>
          </w:p>
        </w:tc>
      </w:tr>
      <w:tr>
        <w:trPr>
          <w:trHeight w:val="468" w:hRule="atLeast"/>
        </w:trPr>
        <w:tc>
          <w:tcPr>
            <w:tcW w:w="659"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725" w:type="dxa"/>
          </w:tcPr>
          <w:p>
            <w:pPr>
              <w:pStyle w:val="TableParagraph"/>
              <w:spacing w:line="240" w:lineRule="auto" w:before="64"/>
              <w:ind w:left="342"/>
              <w:rPr>
                <w:sz w:val="21"/>
              </w:rPr>
            </w:pPr>
            <w:r>
              <w:rPr>
                <w:sz w:val="21"/>
              </w:rPr>
              <w:t>1.具有有效的中华人民共和国《医师资格证书》；</w:t>
            </w:r>
          </w:p>
        </w:tc>
      </w:tr>
      <w:tr>
        <w:trPr>
          <w:trHeight w:val="1091" w:hRule="atLeast"/>
        </w:trPr>
        <w:tc>
          <w:tcPr>
            <w:tcW w:w="659"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725" w:type="dxa"/>
          </w:tcPr>
          <w:p>
            <w:pPr>
              <w:pStyle w:val="TableParagraph"/>
              <w:spacing w:line="240" w:lineRule="auto" w:before="64"/>
              <w:ind w:left="342"/>
              <w:rPr>
                <w:sz w:val="21"/>
              </w:rPr>
            </w:pPr>
            <w:r>
              <w:rPr>
                <w:sz w:val="21"/>
              </w:rPr>
              <w:t>2.具有有效的中华人民共和国《医师执业证书》，并按期到相关部门登记注册；</w:t>
            </w:r>
          </w:p>
          <w:p>
            <w:pPr>
              <w:pStyle w:val="TableParagraph"/>
              <w:spacing w:line="273" w:lineRule="auto" w:before="37"/>
              <w:ind w:left="342" w:right="450"/>
              <w:rPr>
                <w:sz w:val="21"/>
              </w:rPr>
            </w:pPr>
            <w:r>
              <w:rPr>
                <w:sz w:val="21"/>
              </w:rPr>
              <w:t>3.具有有效的中华人民共和国主治医师或主治医师以上职称的《医师职称证书》；</w:t>
            </w:r>
          </w:p>
        </w:tc>
      </w:tr>
      <w:tr>
        <w:trPr>
          <w:trHeight w:val="552" w:hRule="atLeast"/>
        </w:trPr>
        <w:tc>
          <w:tcPr>
            <w:tcW w:w="659"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725" w:type="dxa"/>
          </w:tcPr>
          <w:p>
            <w:pPr>
              <w:pStyle w:val="TableParagraph"/>
              <w:spacing w:line="240" w:lineRule="auto" w:before="64"/>
              <w:ind w:left="342"/>
              <w:rPr>
                <w:sz w:val="21"/>
              </w:rPr>
            </w:pPr>
            <w:r>
              <w:rPr>
                <w:sz w:val="21"/>
              </w:rPr>
              <w:t>4.在二级或二级以上医院的相应科室从事临床工作 3 年以上。</w:t>
            </w:r>
          </w:p>
        </w:tc>
      </w:tr>
      <w:tr>
        <w:trPr>
          <w:trHeight w:val="1176" w:hRule="atLeast"/>
        </w:trPr>
        <w:tc>
          <w:tcPr>
            <w:tcW w:w="659" w:type="dxa"/>
          </w:tcPr>
          <w:p>
            <w:pPr>
              <w:pStyle w:val="TableParagraph"/>
              <w:spacing w:line="240" w:lineRule="auto" w:before="148"/>
              <w:ind w:left="50"/>
              <w:rPr>
                <w:b/>
                <w:sz w:val="21"/>
              </w:rPr>
            </w:pPr>
            <w:r>
              <w:rPr>
                <w:b/>
                <w:sz w:val="21"/>
              </w:rPr>
              <w:t>6.5</w:t>
            </w:r>
          </w:p>
        </w:tc>
        <w:tc>
          <w:tcPr>
            <w:tcW w:w="1373" w:type="dxa"/>
          </w:tcPr>
          <w:p>
            <w:pPr>
              <w:pStyle w:val="TableParagraph"/>
              <w:spacing w:line="240" w:lineRule="auto" w:before="148"/>
              <w:ind w:left="185"/>
              <w:rPr>
                <w:b/>
                <w:sz w:val="21"/>
              </w:rPr>
            </w:pPr>
            <w:r>
              <w:rPr>
                <w:b/>
                <w:sz w:val="21"/>
              </w:rPr>
              <w:t>重大疾病</w:t>
            </w:r>
          </w:p>
        </w:tc>
        <w:tc>
          <w:tcPr>
            <w:tcW w:w="7725" w:type="dxa"/>
          </w:tcPr>
          <w:p>
            <w:pPr>
              <w:pStyle w:val="TableParagraph"/>
              <w:spacing w:line="273" w:lineRule="auto" w:before="148"/>
              <w:ind w:left="342" w:right="48"/>
              <w:rPr>
                <w:sz w:val="21"/>
              </w:rPr>
            </w:pPr>
            <w:r>
              <w:rPr>
                <w:spacing w:val="-6"/>
                <w:sz w:val="21"/>
              </w:rPr>
              <w:t>指本附加合同所列的 </w:t>
            </w:r>
            <w:r>
              <w:rPr>
                <w:sz w:val="21"/>
              </w:rPr>
              <w:t>28</w:t>
            </w:r>
            <w:r>
              <w:rPr>
                <w:spacing w:val="-13"/>
                <w:sz w:val="21"/>
              </w:rPr>
              <w:t> 种重大疾病，其中本款 </w:t>
            </w:r>
            <w:r>
              <w:rPr>
                <w:sz w:val="21"/>
              </w:rPr>
              <w:t>1)</w:t>
            </w:r>
            <w:r>
              <w:rPr>
                <w:spacing w:val="-27"/>
                <w:sz w:val="21"/>
              </w:rPr>
              <w:t>至 </w:t>
            </w:r>
            <w:r>
              <w:rPr>
                <w:sz w:val="21"/>
              </w:rPr>
              <w:t>24)项的重大疾病定义采用</w:t>
            </w:r>
            <w:r>
              <w:rPr>
                <w:spacing w:val="-2"/>
                <w:sz w:val="21"/>
              </w:rPr>
              <w:t>中国保险行业协会颁布的《重大疾病保险的疾病定义使用规范》中的疾病定义。“疾病”指约定的疾病、疾病状态或手术。</w:t>
            </w:r>
          </w:p>
        </w:tc>
      </w:tr>
      <w:tr>
        <w:trPr>
          <w:trHeight w:val="339" w:hRule="atLeast"/>
        </w:trPr>
        <w:tc>
          <w:tcPr>
            <w:tcW w:w="659"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725" w:type="dxa"/>
          </w:tcPr>
          <w:p>
            <w:pPr>
              <w:pStyle w:val="TableParagraph"/>
              <w:spacing w:line="255" w:lineRule="exact" w:before="64"/>
              <w:ind w:left="342"/>
              <w:rPr>
                <w:sz w:val="21"/>
              </w:rPr>
            </w:pPr>
            <w:r>
              <w:rPr>
                <w:sz w:val="21"/>
              </w:rPr>
              <w:t>1)恶性肿瘤：指恶性细胞不受控制的进行性增长和扩散，浸润和破坏周围正常</w:t>
            </w:r>
          </w:p>
        </w:tc>
      </w:tr>
    </w:tbl>
    <w:p>
      <w:pPr>
        <w:pStyle w:val="BodyText"/>
        <w:spacing w:line="273" w:lineRule="auto" w:before="41"/>
        <w:ind w:left="2705" w:right="327"/>
        <w:jc w:val="both"/>
      </w:pPr>
      <w:r>
        <w:rPr/>
        <w:t>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163"/>
        <w:ind w:left="2690"/>
        <w:jc w:val="both"/>
      </w:pPr>
      <w:r>
        <w:rPr>
          <w:w w:val="95"/>
        </w:rPr>
        <w:t>下列疾病不在保障范围内：</w:t>
      </w:r>
    </w:p>
    <w:p>
      <w:pPr>
        <w:pStyle w:val="BodyText"/>
        <w:spacing w:before="9"/>
        <w:rPr>
          <w:b/>
          <w:sz w:val="14"/>
        </w:rPr>
      </w:pPr>
    </w:p>
    <w:p>
      <w:pPr>
        <w:pStyle w:val="ListParagraph"/>
        <w:numPr>
          <w:ilvl w:val="2"/>
          <w:numId w:val="6"/>
        </w:numPr>
        <w:tabs>
          <w:tab w:pos="3773" w:val="left" w:leader="none"/>
        </w:tabs>
        <w:spacing w:line="240" w:lineRule="auto" w:before="0" w:after="0"/>
        <w:ind w:left="3772" w:right="0" w:hanging="393"/>
        <w:jc w:val="left"/>
        <w:rPr>
          <w:sz w:val="21"/>
        </w:rPr>
      </w:pPr>
      <w:r>
        <w:rPr>
          <w:spacing w:val="-1"/>
          <w:sz w:val="21"/>
        </w:rPr>
        <w:t>原位癌；</w:t>
      </w:r>
    </w:p>
    <w:p>
      <w:pPr>
        <w:pStyle w:val="BodyText"/>
        <w:spacing w:before="9"/>
        <w:rPr>
          <w:sz w:val="14"/>
        </w:rPr>
      </w:pPr>
    </w:p>
    <w:p>
      <w:pPr>
        <w:pStyle w:val="ListParagraph"/>
        <w:numPr>
          <w:ilvl w:val="2"/>
          <w:numId w:val="6"/>
        </w:numPr>
        <w:tabs>
          <w:tab w:pos="3773" w:val="left" w:leader="none"/>
        </w:tabs>
        <w:spacing w:line="240" w:lineRule="auto" w:before="0" w:after="0"/>
        <w:ind w:left="3772" w:right="0" w:hanging="393"/>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BodyText"/>
        <w:spacing w:before="9"/>
        <w:rPr>
          <w:sz w:val="14"/>
        </w:rPr>
      </w:pPr>
    </w:p>
    <w:p>
      <w:pPr>
        <w:pStyle w:val="ListParagraph"/>
        <w:numPr>
          <w:ilvl w:val="2"/>
          <w:numId w:val="6"/>
        </w:numPr>
        <w:tabs>
          <w:tab w:pos="3773" w:val="left" w:leader="none"/>
        </w:tabs>
        <w:spacing w:line="240" w:lineRule="auto" w:before="0" w:after="0"/>
        <w:ind w:left="3772" w:right="0" w:hanging="393"/>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BodyText"/>
        <w:spacing w:before="9"/>
        <w:rPr>
          <w:sz w:val="14"/>
        </w:rPr>
      </w:pPr>
    </w:p>
    <w:p>
      <w:pPr>
        <w:pStyle w:val="ListParagraph"/>
        <w:numPr>
          <w:ilvl w:val="2"/>
          <w:numId w:val="6"/>
        </w:numPr>
        <w:tabs>
          <w:tab w:pos="3773" w:val="left" w:leader="none"/>
        </w:tabs>
        <w:spacing w:line="240" w:lineRule="auto" w:before="0" w:after="0"/>
        <w:ind w:left="3772" w:right="0" w:hanging="393"/>
        <w:jc w:val="left"/>
        <w:rPr>
          <w:sz w:val="21"/>
        </w:rPr>
      </w:pPr>
      <w:r>
        <w:rPr>
          <w:sz w:val="21"/>
        </w:rPr>
        <w:t>皮肤癌（不包括恶性黑色素瘤及已发生转移的皮肤癌</w:t>
      </w:r>
      <w:r>
        <w:rPr>
          <w:spacing w:val="-105"/>
          <w:sz w:val="21"/>
        </w:rPr>
        <w:t>）</w:t>
      </w:r>
      <w:r>
        <w:rPr>
          <w:sz w:val="21"/>
        </w:rPr>
        <w:t>；</w:t>
      </w:r>
    </w:p>
    <w:p>
      <w:pPr>
        <w:pStyle w:val="BodyText"/>
        <w:spacing w:before="8"/>
        <w:rPr>
          <w:sz w:val="14"/>
        </w:rPr>
      </w:pPr>
    </w:p>
    <w:p>
      <w:pPr>
        <w:pStyle w:val="ListParagraph"/>
        <w:numPr>
          <w:ilvl w:val="2"/>
          <w:numId w:val="6"/>
        </w:numPr>
        <w:tabs>
          <w:tab w:pos="3773" w:val="left" w:leader="none"/>
        </w:tabs>
        <w:spacing w:line="240" w:lineRule="auto" w:before="1" w:after="0"/>
        <w:ind w:left="3772" w:right="0" w:hanging="393"/>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10"/>
        <w:rPr>
          <w:sz w:val="14"/>
        </w:rPr>
      </w:pPr>
    </w:p>
    <w:p>
      <w:pPr>
        <w:pStyle w:val="ListParagraph"/>
        <w:numPr>
          <w:ilvl w:val="2"/>
          <w:numId w:val="6"/>
        </w:numPr>
        <w:tabs>
          <w:tab w:pos="3773" w:val="left" w:leader="none"/>
        </w:tabs>
        <w:spacing w:line="240" w:lineRule="auto" w:before="0" w:after="0"/>
        <w:ind w:left="3772" w:right="0" w:hanging="393"/>
        <w:jc w:val="left"/>
        <w:rPr>
          <w:sz w:val="21"/>
        </w:rPr>
      </w:pPr>
      <w:r>
        <w:rPr>
          <w:sz w:val="21"/>
        </w:rPr>
        <w:t>感染艾滋病病毒或患艾滋病期间所患恶性肿瘤。</w:t>
      </w:r>
    </w:p>
    <w:p>
      <w:pPr>
        <w:pStyle w:val="BodyText"/>
        <w:rPr>
          <w:sz w:val="20"/>
        </w:rPr>
      </w:pPr>
    </w:p>
    <w:p>
      <w:pPr>
        <w:pStyle w:val="BodyText"/>
        <w:rPr>
          <w:sz w:val="20"/>
        </w:rPr>
      </w:pPr>
    </w:p>
    <w:p>
      <w:pPr>
        <w:spacing w:line="273" w:lineRule="auto" w:before="137"/>
        <w:ind w:left="2705" w:right="337" w:hanging="227"/>
        <w:jc w:val="left"/>
        <w:rPr>
          <w:b/>
          <w:sz w:val="21"/>
        </w:rPr>
      </w:pPr>
      <w:r>
        <w:rPr>
          <w:sz w:val="21"/>
        </w:rPr>
        <w:t>2)急性心肌梗塞：指因冠状动脉阻塞导致的相应区域供血不足造成部分心肌坏</w:t>
      </w:r>
      <w:r>
        <w:rPr>
          <w:w w:val="95"/>
          <w:sz w:val="21"/>
        </w:rPr>
        <w:t>死。</w:t>
      </w:r>
      <w:r>
        <w:rPr>
          <w:b/>
          <w:w w:val="95"/>
          <w:sz w:val="21"/>
        </w:rPr>
        <w:t>须满足下列至少三项条件：</w:t>
      </w:r>
    </w:p>
    <w:p>
      <w:pPr>
        <w:pStyle w:val="ListParagraph"/>
        <w:numPr>
          <w:ilvl w:val="0"/>
          <w:numId w:val="8"/>
        </w:numPr>
        <w:tabs>
          <w:tab w:pos="3771" w:val="left" w:leader="none"/>
          <w:tab w:pos="3773" w:val="left" w:leader="none"/>
        </w:tabs>
        <w:spacing w:line="240" w:lineRule="auto" w:before="163" w:after="0"/>
        <w:ind w:left="3772" w:right="0" w:hanging="454"/>
        <w:jc w:val="left"/>
        <w:rPr>
          <w:sz w:val="21"/>
        </w:rPr>
      </w:pPr>
      <w:r>
        <w:rPr>
          <w:spacing w:val="-1"/>
          <w:sz w:val="21"/>
        </w:rPr>
        <w:t>典型临床表现，例如急性胸痛等；</w:t>
      </w:r>
    </w:p>
    <w:p>
      <w:pPr>
        <w:pStyle w:val="BodyText"/>
        <w:spacing w:before="9"/>
        <w:rPr>
          <w:sz w:val="14"/>
        </w:rPr>
      </w:pPr>
    </w:p>
    <w:p>
      <w:pPr>
        <w:pStyle w:val="ListParagraph"/>
        <w:numPr>
          <w:ilvl w:val="0"/>
          <w:numId w:val="8"/>
        </w:numPr>
        <w:tabs>
          <w:tab w:pos="3771" w:val="left" w:leader="none"/>
          <w:tab w:pos="3773" w:val="left" w:leader="none"/>
        </w:tabs>
        <w:spacing w:line="240" w:lineRule="auto" w:before="0" w:after="0"/>
        <w:ind w:left="3772" w:right="0" w:hanging="454"/>
        <w:jc w:val="left"/>
        <w:rPr>
          <w:sz w:val="21"/>
        </w:rPr>
      </w:pPr>
      <w:r>
        <w:rPr>
          <w:spacing w:val="-1"/>
          <w:sz w:val="21"/>
        </w:rPr>
        <w:t>新近的心电图改变提示急性心肌梗塞；</w:t>
      </w:r>
    </w:p>
    <w:p>
      <w:pPr>
        <w:pStyle w:val="BodyText"/>
        <w:spacing w:before="9"/>
        <w:rPr>
          <w:sz w:val="14"/>
        </w:rPr>
      </w:pPr>
    </w:p>
    <w:p>
      <w:pPr>
        <w:pStyle w:val="ListParagraph"/>
        <w:numPr>
          <w:ilvl w:val="0"/>
          <w:numId w:val="8"/>
        </w:numPr>
        <w:tabs>
          <w:tab w:pos="3771" w:val="left" w:leader="none"/>
          <w:tab w:pos="3773" w:val="left" w:leader="none"/>
        </w:tabs>
        <w:spacing w:line="273" w:lineRule="auto" w:before="0" w:after="0"/>
        <w:ind w:left="3772" w:right="310" w:hanging="454"/>
        <w:jc w:val="left"/>
        <w:rPr>
          <w:sz w:val="21"/>
        </w:rPr>
      </w:pPr>
      <w:r>
        <w:rPr>
          <w:sz w:val="21"/>
        </w:rPr>
        <w:t>心肌酶或肌钙蛋白有诊断意义的升高，或呈符合急性心肌梗塞的动态性变化；</w:t>
      </w:r>
    </w:p>
    <w:p>
      <w:pPr>
        <w:pStyle w:val="ListParagraph"/>
        <w:numPr>
          <w:ilvl w:val="0"/>
          <w:numId w:val="8"/>
        </w:numPr>
        <w:tabs>
          <w:tab w:pos="3771" w:val="left" w:leader="none"/>
          <w:tab w:pos="3773" w:val="left" w:leader="none"/>
        </w:tabs>
        <w:spacing w:line="240" w:lineRule="auto" w:before="163" w:after="0"/>
        <w:ind w:left="3772" w:right="0" w:hanging="454"/>
        <w:jc w:val="left"/>
        <w:rPr>
          <w:sz w:val="21"/>
        </w:rPr>
      </w:pPr>
      <w:r>
        <w:rPr>
          <w:spacing w:val="-22"/>
          <w:sz w:val="21"/>
        </w:rPr>
        <w:t>发病 </w:t>
      </w:r>
      <w:r>
        <w:rPr>
          <w:sz w:val="21"/>
        </w:rPr>
        <w:t>90</w:t>
      </w:r>
      <w:r>
        <w:rPr>
          <w:spacing w:val="-12"/>
          <w:sz w:val="21"/>
        </w:rPr>
        <w:t> 天后，经检查证实左心室功能降低，如左心室射血分数低</w:t>
      </w:r>
    </w:p>
    <w:p>
      <w:pPr>
        <w:spacing w:after="0" w:line="240" w:lineRule="auto"/>
        <w:jc w:val="left"/>
        <w:rPr>
          <w:sz w:val="21"/>
        </w:rPr>
        <w:sectPr>
          <w:pgSz w:w="11910" w:h="16840"/>
          <w:pgMar w:header="0" w:footer="1008" w:top="1180" w:bottom="1200" w:left="980" w:right="960"/>
        </w:sectPr>
      </w:pPr>
    </w:p>
    <w:p>
      <w:pPr>
        <w:pStyle w:val="BodyText"/>
        <w:spacing w:before="19"/>
        <w:ind w:left="3072"/>
      </w:pPr>
      <w:r>
        <w:rPr/>
        <w:t>于 50%。</w:t>
      </w:r>
    </w:p>
    <w:p>
      <w:pPr>
        <w:pStyle w:val="BodyText"/>
        <w:rPr>
          <w:sz w:val="20"/>
        </w:rPr>
      </w:pPr>
    </w:p>
    <w:p>
      <w:pPr>
        <w:pStyle w:val="BodyText"/>
        <w:rPr>
          <w:sz w:val="20"/>
        </w:rPr>
      </w:pPr>
    </w:p>
    <w:p>
      <w:pPr>
        <w:pStyle w:val="BodyText"/>
        <w:spacing w:line="273" w:lineRule="auto" w:before="137"/>
        <w:ind w:left="2005" w:right="215" w:hanging="227"/>
        <w:rPr>
          <w:b/>
        </w:rPr>
      </w:pPr>
      <w:r>
        <w:rPr>
          <w:spacing w:val="1"/>
        </w:rPr>
        <w:t>3</w:t>
      </w:r>
      <w:r>
        <w:rPr/>
        <w:t>)脑中风后遗症：指因脑血管的突发病变引起脑血管出血、栓塞或梗塞，并导</w:t>
      </w:r>
      <w:r>
        <w:rPr>
          <w:spacing w:val="-8"/>
        </w:rPr>
        <w:t>致神经系统永久性的功能障碍。神经系统永久性的功能障碍，指疾病确诊 </w:t>
      </w:r>
      <w:r>
        <w:rPr/>
        <w:t>180 </w:t>
      </w:r>
      <w:r>
        <w:rPr>
          <w:w w:val="95"/>
        </w:rPr>
        <w:t>天后，</w:t>
      </w:r>
      <w:r>
        <w:rPr>
          <w:b/>
          <w:w w:val="95"/>
        </w:rPr>
        <w:t>仍遗留下列一种或一种以上障碍：</w:t>
      </w:r>
    </w:p>
    <w:p>
      <w:pPr>
        <w:pStyle w:val="ListParagraph"/>
        <w:numPr>
          <w:ilvl w:val="0"/>
          <w:numId w:val="9"/>
        </w:numPr>
        <w:tabs>
          <w:tab w:pos="3071" w:val="left" w:leader="none"/>
          <w:tab w:pos="3072" w:val="left" w:leader="none"/>
        </w:tabs>
        <w:spacing w:line="240" w:lineRule="auto" w:before="163" w:after="0"/>
        <w:ind w:left="3072" w:right="0" w:hanging="454"/>
        <w:jc w:val="left"/>
        <w:rPr>
          <w:sz w:val="21"/>
        </w:rPr>
      </w:pPr>
      <w:r>
        <w:rPr>
          <w:sz w:val="21"/>
        </w:rPr>
        <w:t>一肢或一肢以上</w:t>
      </w:r>
      <w:r>
        <w:rPr>
          <w:b/>
          <w:w w:val="99"/>
          <w:sz w:val="21"/>
        </w:rPr>
        <w:t>肢体机能完全丧失</w:t>
      </w:r>
      <w:r>
        <w:rPr>
          <w:sz w:val="21"/>
        </w:rPr>
        <w:t>（</w:t>
      </w:r>
      <w:r>
        <w:rPr>
          <w:spacing w:val="-27"/>
          <w:sz w:val="21"/>
        </w:rPr>
        <w:t>见 </w:t>
      </w:r>
      <w:r>
        <w:rPr>
          <w:sz w:val="21"/>
        </w:rPr>
        <w:t>6</w:t>
      </w:r>
      <w:r>
        <w:rPr>
          <w:spacing w:val="-1"/>
          <w:sz w:val="21"/>
        </w:rPr>
        <w:t>.</w:t>
      </w:r>
      <w:r>
        <w:rPr>
          <w:sz w:val="21"/>
        </w:rPr>
        <w:t>1</w:t>
      </w:r>
      <w:r>
        <w:rPr>
          <w:spacing w:val="-1"/>
          <w:sz w:val="21"/>
        </w:rPr>
        <w:t>6</w:t>
      </w:r>
      <w:r>
        <w:rPr>
          <w:spacing w:val="-105"/>
          <w:sz w:val="21"/>
        </w:rPr>
        <w:t>）</w:t>
      </w:r>
      <w:r>
        <w:rPr>
          <w:sz w:val="21"/>
        </w:rPr>
        <w:t>；</w:t>
      </w:r>
    </w:p>
    <w:p>
      <w:pPr>
        <w:pStyle w:val="BodyText"/>
        <w:spacing w:before="9"/>
        <w:rPr>
          <w:sz w:val="14"/>
        </w:rPr>
      </w:pPr>
    </w:p>
    <w:p>
      <w:pPr>
        <w:pStyle w:val="ListParagraph"/>
        <w:numPr>
          <w:ilvl w:val="0"/>
          <w:numId w:val="9"/>
        </w:numPr>
        <w:tabs>
          <w:tab w:pos="3071" w:val="left" w:leader="none"/>
          <w:tab w:pos="3072" w:val="left" w:leader="none"/>
        </w:tabs>
        <w:spacing w:line="240" w:lineRule="auto" w:before="1" w:after="0"/>
        <w:ind w:left="3072" w:right="0" w:hanging="454"/>
        <w:jc w:val="left"/>
        <w:rPr>
          <w:sz w:val="21"/>
        </w:rPr>
      </w:pPr>
      <w:r>
        <w:rPr>
          <w:b/>
          <w:w w:val="99"/>
          <w:sz w:val="21"/>
        </w:rPr>
        <w:t>语言能力或咀嚼吞咽能力完全丧失</w:t>
      </w:r>
      <w:r>
        <w:rPr>
          <w:sz w:val="21"/>
        </w:rPr>
        <w:t>（</w:t>
      </w:r>
      <w:r>
        <w:rPr>
          <w:spacing w:val="-27"/>
          <w:sz w:val="21"/>
        </w:rPr>
        <w:t>见 </w:t>
      </w:r>
      <w:r>
        <w:rPr>
          <w:sz w:val="21"/>
        </w:rPr>
        <w:t>6</w:t>
      </w:r>
      <w:r>
        <w:rPr>
          <w:spacing w:val="-1"/>
          <w:sz w:val="21"/>
        </w:rPr>
        <w:t>.</w:t>
      </w:r>
      <w:r>
        <w:rPr>
          <w:sz w:val="21"/>
        </w:rPr>
        <w:t>1</w:t>
      </w:r>
      <w:r>
        <w:rPr>
          <w:spacing w:val="-1"/>
          <w:sz w:val="21"/>
        </w:rPr>
        <w:t>7</w:t>
      </w:r>
      <w:r>
        <w:rPr>
          <w:spacing w:val="-105"/>
          <w:sz w:val="21"/>
        </w:rPr>
        <w:t>）</w:t>
      </w:r>
      <w:r>
        <w:rPr>
          <w:sz w:val="21"/>
        </w:rPr>
        <w:t>；</w:t>
      </w:r>
    </w:p>
    <w:p>
      <w:pPr>
        <w:pStyle w:val="BodyText"/>
        <w:spacing w:before="10"/>
        <w:rPr>
          <w:sz w:val="14"/>
        </w:rPr>
      </w:pPr>
    </w:p>
    <w:p>
      <w:pPr>
        <w:pStyle w:val="ListParagraph"/>
        <w:numPr>
          <w:ilvl w:val="0"/>
          <w:numId w:val="9"/>
        </w:numPr>
        <w:tabs>
          <w:tab w:pos="3071" w:val="left" w:leader="none"/>
          <w:tab w:pos="3072" w:val="left" w:leader="none"/>
        </w:tabs>
        <w:spacing w:line="240" w:lineRule="auto" w:before="0" w:after="0"/>
        <w:ind w:left="3072" w:right="0" w:hanging="454"/>
        <w:jc w:val="left"/>
        <w:rPr>
          <w:sz w:val="21"/>
        </w:rPr>
      </w:pPr>
      <w:r>
        <w:rPr>
          <w:spacing w:val="-8"/>
          <w:w w:val="95"/>
          <w:sz w:val="21"/>
        </w:rPr>
        <w:t>自主生活能力完全丧失，无法独立完成</w:t>
      </w:r>
      <w:r>
        <w:rPr>
          <w:b/>
          <w:spacing w:val="-9"/>
          <w:w w:val="95"/>
          <w:sz w:val="21"/>
        </w:rPr>
        <w:t>六项基本日常生活活动</w:t>
      </w:r>
      <w:r>
        <w:rPr>
          <w:w w:val="95"/>
          <w:sz w:val="21"/>
        </w:rPr>
        <w:t>（见</w:t>
      </w:r>
    </w:p>
    <w:p>
      <w:pPr>
        <w:pStyle w:val="BodyText"/>
        <w:spacing w:before="37"/>
        <w:ind w:left="3071"/>
      </w:pPr>
      <w:r>
        <w:rPr/>
        <w:t>6.18）中的三项或三项以上。</w:t>
      </w:r>
    </w:p>
    <w:p>
      <w:pPr>
        <w:pStyle w:val="BodyText"/>
        <w:rPr>
          <w:sz w:val="20"/>
        </w:rPr>
      </w:pPr>
    </w:p>
    <w:p>
      <w:pPr>
        <w:pStyle w:val="BodyText"/>
        <w:rPr>
          <w:sz w:val="20"/>
        </w:rPr>
      </w:pPr>
    </w:p>
    <w:p>
      <w:pPr>
        <w:pStyle w:val="BodyText"/>
        <w:spacing w:line="273" w:lineRule="auto" w:before="137"/>
        <w:ind w:left="2005" w:right="111" w:hanging="227"/>
      </w:pPr>
      <w:r>
        <w:rPr>
          <w:spacing w:val="1"/>
        </w:rPr>
        <w:t>4</w:t>
      </w:r>
      <w:r>
        <w:rPr/>
        <w:t>)重大器官移植术或造血干细胞移植术：重大器官移植术，指因相应器官功能衰竭，已经实施了肾脏、肝脏、心脏或肺脏的异体移植手术。造血干细胞移植术，指因造血功能损害或造血系统恶性肿瘤，已经实施了造血干细胞（包</w:t>
      </w:r>
      <w:r>
        <w:rPr>
          <w:spacing w:val="-2"/>
        </w:rPr>
        <w:t>括骨髓造血干细胞、外周血造血干细胞和脐血造血干细胞</w:t>
      </w:r>
      <w:r>
        <w:rPr>
          <w:spacing w:val="-18"/>
        </w:rPr>
        <w:t>）</w:t>
      </w:r>
      <w:r>
        <w:rPr/>
        <w:t>的异体移植手术。</w:t>
      </w:r>
    </w:p>
    <w:p>
      <w:pPr>
        <w:pStyle w:val="BodyText"/>
        <w:rPr>
          <w:sz w:val="20"/>
        </w:rPr>
      </w:pPr>
    </w:p>
    <w:p>
      <w:pPr>
        <w:pStyle w:val="BodyText"/>
        <w:spacing w:before="2"/>
        <w:rPr>
          <w:sz w:val="28"/>
        </w:rPr>
      </w:pPr>
    </w:p>
    <w:p>
      <w:pPr>
        <w:spacing w:line="273" w:lineRule="auto" w:before="1"/>
        <w:ind w:left="2005" w:right="217" w:hanging="227"/>
        <w:jc w:val="both"/>
        <w:rPr>
          <w:b/>
          <w:sz w:val="21"/>
        </w:rPr>
      </w:pPr>
      <w:r>
        <w:rPr>
          <w:sz w:val="21"/>
        </w:rPr>
        <w:t>5</w:t>
      </w:r>
      <w:r>
        <w:rPr>
          <w:spacing w:val="-2"/>
          <w:sz w:val="21"/>
        </w:rPr>
        <w:t>)冠状动脉搭桥术</w:t>
      </w:r>
      <w:r>
        <w:rPr>
          <w:sz w:val="21"/>
        </w:rPr>
        <w:t>（或称冠状动脉旁路移植术</w:t>
      </w:r>
      <w:r>
        <w:rPr>
          <w:spacing w:val="-105"/>
          <w:sz w:val="21"/>
        </w:rPr>
        <w:t>）</w:t>
      </w:r>
      <w:r>
        <w:rPr>
          <w:spacing w:val="-4"/>
          <w:sz w:val="21"/>
        </w:rPr>
        <w:t>：指为治疗严重的冠心病，实际实施了开胸进行的冠状动脉血管旁路移植的手术</w:t>
      </w:r>
      <w:r>
        <w:rPr>
          <w:b/>
          <w:spacing w:val="-4"/>
          <w:sz w:val="21"/>
        </w:rPr>
        <w:t>。冠状动脉支架植入术、心导管球囊扩张术、激光射频技术及其它非开胸的介入手术、腔镜手术不在保</w:t>
      </w:r>
      <w:r>
        <w:rPr>
          <w:b/>
          <w:spacing w:val="-4"/>
          <w:w w:val="95"/>
          <w:sz w:val="21"/>
        </w:rPr>
        <w:t>障范围内。</w:t>
      </w:r>
    </w:p>
    <w:p>
      <w:pPr>
        <w:pStyle w:val="BodyText"/>
        <w:rPr>
          <w:b/>
          <w:sz w:val="20"/>
        </w:rPr>
      </w:pPr>
    </w:p>
    <w:p>
      <w:pPr>
        <w:pStyle w:val="BodyText"/>
        <w:spacing w:before="3"/>
        <w:rPr>
          <w:b/>
          <w:sz w:val="28"/>
        </w:rPr>
      </w:pPr>
    </w:p>
    <w:p>
      <w:pPr>
        <w:pStyle w:val="BodyText"/>
        <w:spacing w:line="273" w:lineRule="auto"/>
        <w:ind w:left="2005" w:right="111" w:hanging="227"/>
      </w:pPr>
      <w:r>
        <w:rPr>
          <w:spacing w:val="1"/>
        </w:rPr>
        <w:t>6</w:t>
      </w:r>
      <w:r>
        <w:rPr>
          <w:spacing w:val="-11"/>
        </w:rPr>
        <w:t>)终末期肾病</w:t>
      </w:r>
      <w:r>
        <w:rPr/>
        <w:t>（或称慢性肾功能衰竭尿毒症期</w:t>
      </w:r>
      <w:r>
        <w:rPr>
          <w:spacing w:val="-85"/>
        </w:rPr>
        <w:t>）</w:t>
      </w:r>
      <w:r>
        <w:rPr>
          <w:spacing w:val="-10"/>
        </w:rPr>
        <w:t>：指双肾功能慢性不可逆性衰竭， </w:t>
      </w:r>
      <w:r>
        <w:rPr>
          <w:spacing w:val="-13"/>
        </w:rPr>
        <w:t>达到尿毒症期，经诊断后已经进行了至少 </w:t>
      </w:r>
      <w:r>
        <w:rPr/>
        <w:t>90</w:t>
      </w:r>
      <w:r>
        <w:rPr>
          <w:spacing w:val="-8"/>
        </w:rPr>
        <w:t> 天的规律性透析治疗或实施了肾脏移植手术。</w:t>
      </w:r>
    </w:p>
    <w:p>
      <w:pPr>
        <w:pStyle w:val="BodyText"/>
        <w:rPr>
          <w:sz w:val="20"/>
        </w:rPr>
      </w:pPr>
    </w:p>
    <w:p>
      <w:pPr>
        <w:pStyle w:val="BodyText"/>
        <w:spacing w:before="2"/>
        <w:rPr>
          <w:sz w:val="28"/>
        </w:rPr>
      </w:pPr>
    </w:p>
    <w:p>
      <w:pPr>
        <w:pStyle w:val="BodyText"/>
        <w:spacing w:line="273" w:lineRule="auto" w:before="1"/>
        <w:ind w:left="2005" w:right="297" w:hanging="227"/>
      </w:pPr>
      <w:r>
        <w:rPr/>
        <w:t>7)多个肢体缺失：指因疾病或意外伤害导致两个或两个以上肢体自腕关节或踝关节近端（靠近躯干端）以上完全性断离。</w:t>
      </w:r>
    </w:p>
    <w:p>
      <w:pPr>
        <w:pStyle w:val="BodyText"/>
        <w:rPr>
          <w:sz w:val="20"/>
        </w:rPr>
      </w:pPr>
    </w:p>
    <w:p>
      <w:pPr>
        <w:pStyle w:val="BodyText"/>
        <w:spacing w:before="3"/>
        <w:rPr>
          <w:sz w:val="28"/>
        </w:rPr>
      </w:pPr>
    </w:p>
    <w:p>
      <w:pPr>
        <w:pStyle w:val="BodyText"/>
        <w:spacing w:line="273" w:lineRule="auto"/>
        <w:ind w:left="2005" w:right="277" w:hanging="227"/>
        <w:rPr>
          <w:b/>
        </w:rPr>
      </w:pPr>
      <w:r>
        <w:rPr/>
        <w:t>8)急性或亚急性重症肝炎：指因肝炎病毒感染引起肝脏组织弥漫性坏死，导致</w:t>
      </w:r>
      <w:r>
        <w:rPr>
          <w:w w:val="95"/>
        </w:rPr>
        <w:t>急性肝功能衰竭，且经血清学或病毒学检查证实，</w:t>
      </w:r>
      <w:r>
        <w:rPr>
          <w:b/>
          <w:w w:val="95"/>
        </w:rPr>
        <w:t>并须满足下列全部条件：</w:t>
      </w:r>
    </w:p>
    <w:p>
      <w:pPr>
        <w:pStyle w:val="ListParagraph"/>
        <w:numPr>
          <w:ilvl w:val="0"/>
          <w:numId w:val="10"/>
        </w:numPr>
        <w:tabs>
          <w:tab w:pos="3071" w:val="left" w:leader="none"/>
          <w:tab w:pos="3073" w:val="left" w:leader="none"/>
        </w:tabs>
        <w:spacing w:line="240" w:lineRule="auto" w:before="163" w:after="0"/>
        <w:ind w:left="3072" w:right="0" w:hanging="454"/>
        <w:jc w:val="left"/>
        <w:rPr>
          <w:sz w:val="21"/>
        </w:rPr>
      </w:pPr>
      <w:r>
        <w:rPr>
          <w:spacing w:val="-1"/>
          <w:sz w:val="21"/>
        </w:rPr>
        <w:t>重度黄疸或黄疸迅速加重；</w:t>
      </w:r>
    </w:p>
    <w:p>
      <w:pPr>
        <w:pStyle w:val="BodyText"/>
        <w:spacing w:before="9"/>
        <w:rPr>
          <w:sz w:val="14"/>
        </w:rPr>
      </w:pPr>
    </w:p>
    <w:p>
      <w:pPr>
        <w:pStyle w:val="ListParagraph"/>
        <w:numPr>
          <w:ilvl w:val="0"/>
          <w:numId w:val="10"/>
        </w:numPr>
        <w:tabs>
          <w:tab w:pos="3071" w:val="left" w:leader="none"/>
          <w:tab w:pos="3073" w:val="left" w:leader="none"/>
        </w:tabs>
        <w:spacing w:line="240" w:lineRule="auto" w:before="1" w:after="0"/>
        <w:ind w:left="3072" w:right="0" w:hanging="454"/>
        <w:jc w:val="left"/>
        <w:rPr>
          <w:sz w:val="21"/>
        </w:rPr>
      </w:pPr>
      <w:r>
        <w:rPr>
          <w:spacing w:val="-1"/>
          <w:sz w:val="21"/>
        </w:rPr>
        <w:t>肝性脑病；</w:t>
      </w:r>
    </w:p>
    <w:p>
      <w:pPr>
        <w:pStyle w:val="BodyText"/>
        <w:spacing w:before="10"/>
        <w:rPr>
          <w:sz w:val="14"/>
        </w:rPr>
      </w:pPr>
    </w:p>
    <w:p>
      <w:pPr>
        <w:pStyle w:val="ListParagraph"/>
        <w:numPr>
          <w:ilvl w:val="0"/>
          <w:numId w:val="10"/>
        </w:numPr>
        <w:tabs>
          <w:tab w:pos="3071" w:val="left" w:leader="none"/>
          <w:tab w:pos="3073" w:val="left" w:leader="none"/>
        </w:tabs>
        <w:spacing w:line="240" w:lineRule="auto" w:before="0" w:after="0"/>
        <w:ind w:left="3072" w:right="0" w:hanging="454"/>
        <w:jc w:val="left"/>
        <w:rPr>
          <w:sz w:val="21"/>
        </w:rPr>
      </w:pPr>
      <w:r>
        <w:rPr>
          <w:sz w:val="21"/>
        </w:rPr>
        <w:t>B</w:t>
      </w:r>
      <w:r>
        <w:rPr>
          <w:spacing w:val="-9"/>
          <w:sz w:val="21"/>
        </w:rPr>
        <w:t> 超或其它影像学检查显示肝脏体积急速萎缩；</w:t>
      </w:r>
    </w:p>
    <w:p>
      <w:pPr>
        <w:pStyle w:val="BodyText"/>
        <w:spacing w:before="9"/>
        <w:rPr>
          <w:sz w:val="14"/>
        </w:rPr>
      </w:pPr>
    </w:p>
    <w:p>
      <w:pPr>
        <w:pStyle w:val="ListParagraph"/>
        <w:numPr>
          <w:ilvl w:val="0"/>
          <w:numId w:val="10"/>
        </w:numPr>
        <w:tabs>
          <w:tab w:pos="3071" w:val="left" w:leader="none"/>
          <w:tab w:pos="3073" w:val="left" w:leader="none"/>
        </w:tabs>
        <w:spacing w:line="240" w:lineRule="auto" w:before="1" w:after="0"/>
        <w:ind w:left="3072" w:right="0" w:hanging="454"/>
        <w:jc w:val="left"/>
        <w:rPr>
          <w:sz w:val="21"/>
        </w:rPr>
      </w:pPr>
      <w:r>
        <w:rPr>
          <w:sz w:val="21"/>
        </w:rPr>
        <w:t>肝功能指标进行性恶化。</w:t>
      </w:r>
    </w:p>
    <w:p>
      <w:pPr>
        <w:pStyle w:val="BodyText"/>
        <w:rPr>
          <w:sz w:val="20"/>
        </w:rPr>
      </w:pPr>
    </w:p>
    <w:p>
      <w:pPr>
        <w:pStyle w:val="BodyText"/>
        <w:rPr>
          <w:sz w:val="20"/>
        </w:rPr>
      </w:pPr>
    </w:p>
    <w:p>
      <w:pPr>
        <w:pStyle w:val="BodyText"/>
        <w:spacing w:before="138"/>
        <w:ind w:left="1778"/>
      </w:pPr>
      <w:r>
        <w:rPr/>
        <w:t>9)良性脑肿瘤：指脑的良性肿瘤，已经引起颅内压增高，临床表现为视神经乳</w:t>
      </w:r>
    </w:p>
    <w:p>
      <w:pPr>
        <w:spacing w:after="0"/>
        <w:sectPr>
          <w:pgSz w:w="11910" w:h="16840"/>
          <w:pgMar w:header="0" w:footer="1008" w:top="1100" w:bottom="1200" w:left="1680" w:right="1000"/>
        </w:sectPr>
      </w:pPr>
    </w:p>
    <w:p>
      <w:pPr>
        <w:pStyle w:val="BodyText"/>
        <w:spacing w:line="273" w:lineRule="auto" w:before="19"/>
        <w:ind w:left="2005" w:right="116"/>
        <w:rPr>
          <w:b/>
        </w:rPr>
      </w:pPr>
      <w:r>
        <w:rPr/>
        <w:t>头水肿、精神症状、癫痫及运动感觉障碍等，并危及生命。须由头颅断层扫</w:t>
      </w:r>
      <w:r>
        <w:rPr>
          <w:spacing w:val="-7"/>
        </w:rPr>
        <w:t>描</w:t>
      </w:r>
      <w:r>
        <w:rPr/>
        <w:t>（CT</w:t>
      </w:r>
      <w:r>
        <w:rPr>
          <w:spacing w:val="-105"/>
        </w:rPr>
        <w:t>）</w:t>
      </w:r>
      <w:r>
        <w:rPr>
          <w:spacing w:val="-4"/>
        </w:rPr>
        <w:t>、核磁共振检查</w:t>
      </w:r>
      <w:r>
        <w:rPr/>
        <w:t>（MRI</w:t>
      </w:r>
      <w:r>
        <w:rPr>
          <w:spacing w:val="-7"/>
        </w:rPr>
        <w:t>）</w:t>
      </w:r>
      <w:r>
        <w:rPr>
          <w:spacing w:val="-2"/>
        </w:rPr>
        <w:t>或正电子发射断层扫描</w:t>
      </w:r>
      <w:r>
        <w:rPr/>
        <w:t>（PET</w:t>
      </w:r>
      <w:r>
        <w:rPr>
          <w:spacing w:val="-7"/>
        </w:rPr>
        <w:t>）</w:t>
      </w:r>
      <w:r>
        <w:rPr/>
        <w:t>等影像学检查</w:t>
      </w:r>
      <w:r>
        <w:rPr>
          <w:w w:val="95"/>
        </w:rPr>
        <w:t>证实，</w:t>
      </w:r>
      <w:r>
        <w:rPr>
          <w:b/>
          <w:w w:val="95"/>
        </w:rPr>
        <w:t>并须满足下列至少一项条件：</w:t>
      </w:r>
    </w:p>
    <w:p>
      <w:pPr>
        <w:pStyle w:val="ListParagraph"/>
        <w:numPr>
          <w:ilvl w:val="0"/>
          <w:numId w:val="11"/>
        </w:numPr>
        <w:tabs>
          <w:tab w:pos="3071" w:val="left" w:leader="none"/>
          <w:tab w:pos="3072" w:val="left" w:leader="none"/>
        </w:tabs>
        <w:spacing w:line="240" w:lineRule="auto" w:before="163" w:after="0"/>
        <w:ind w:left="1990" w:right="0" w:firstLine="628"/>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0"/>
          <w:numId w:val="11"/>
        </w:numPr>
        <w:tabs>
          <w:tab w:pos="3071" w:val="left" w:leader="none"/>
          <w:tab w:pos="3072" w:val="left" w:leader="none"/>
        </w:tabs>
        <w:spacing w:line="408" w:lineRule="auto" w:before="0" w:after="0"/>
        <w:ind w:left="1990" w:right="2284" w:firstLine="628"/>
        <w:jc w:val="left"/>
        <w:rPr>
          <w:b/>
          <w:sz w:val="21"/>
        </w:rPr>
      </w:pPr>
      <w:r>
        <w:rPr>
          <w:sz w:val="21"/>
        </w:rPr>
        <w:t>实际实施了对脑肿瘤进行的放射治疗。 </w:t>
      </w:r>
      <w:r>
        <w:rPr>
          <w:b/>
          <w:w w:val="95"/>
          <w:sz w:val="21"/>
        </w:rPr>
        <w:t>脑垂体瘤、脑囊肿、脑血管性疾病不在保障范围内。</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73" w:lineRule="auto" w:before="0" w:after="0"/>
        <w:ind w:left="2198" w:right="200" w:hanging="420"/>
        <w:jc w:val="both"/>
        <w:rPr>
          <w:b/>
          <w:sz w:val="21"/>
        </w:rPr>
      </w:pPr>
      <w:r>
        <w:rPr>
          <w:sz w:val="21"/>
        </w:rPr>
        <w:t>慢性肝功能衰竭失代偿期：指因慢性肝脏疾病导致肝功能衰竭。</w:t>
      </w:r>
      <w:r>
        <w:rPr>
          <w:b/>
          <w:sz w:val="21"/>
        </w:rPr>
        <w:t>须满足下</w:t>
      </w:r>
      <w:r>
        <w:rPr>
          <w:b/>
          <w:w w:val="95"/>
          <w:sz w:val="21"/>
        </w:rPr>
        <w:t>列全部条件：</w:t>
      </w:r>
    </w:p>
    <w:p>
      <w:pPr>
        <w:pStyle w:val="ListParagraph"/>
        <w:numPr>
          <w:ilvl w:val="1"/>
          <w:numId w:val="12"/>
        </w:numPr>
        <w:tabs>
          <w:tab w:pos="3071" w:val="left" w:leader="none"/>
          <w:tab w:pos="3072" w:val="left" w:leader="none"/>
        </w:tabs>
        <w:spacing w:line="240" w:lineRule="auto" w:before="163" w:after="0"/>
        <w:ind w:left="2198" w:right="0" w:firstLine="420"/>
        <w:jc w:val="left"/>
        <w:rPr>
          <w:sz w:val="21"/>
        </w:rPr>
      </w:pPr>
      <w:r>
        <w:rPr>
          <w:spacing w:val="-1"/>
          <w:sz w:val="21"/>
        </w:rPr>
        <w:t>持续性黄疸；</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0" w:after="0"/>
        <w:ind w:left="2198" w:right="0" w:firstLine="420"/>
        <w:jc w:val="left"/>
        <w:rPr>
          <w:sz w:val="21"/>
        </w:rPr>
      </w:pPr>
      <w:r>
        <w:rPr>
          <w:spacing w:val="-1"/>
          <w:sz w:val="21"/>
        </w:rPr>
        <w:t>腹水；</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0" w:after="0"/>
        <w:ind w:left="2198" w:right="0" w:firstLine="420"/>
        <w:jc w:val="left"/>
        <w:rPr>
          <w:sz w:val="21"/>
        </w:rPr>
      </w:pPr>
      <w:r>
        <w:rPr>
          <w:spacing w:val="-1"/>
          <w:sz w:val="21"/>
        </w:rPr>
        <w:t>肝性脑病；</w:t>
      </w:r>
    </w:p>
    <w:p>
      <w:pPr>
        <w:pStyle w:val="BodyText"/>
        <w:spacing w:before="9"/>
        <w:rPr>
          <w:sz w:val="14"/>
        </w:rPr>
      </w:pPr>
    </w:p>
    <w:p>
      <w:pPr>
        <w:pStyle w:val="ListParagraph"/>
        <w:numPr>
          <w:ilvl w:val="1"/>
          <w:numId w:val="12"/>
        </w:numPr>
        <w:tabs>
          <w:tab w:pos="3071" w:val="left" w:leader="none"/>
          <w:tab w:pos="3072" w:val="left" w:leader="none"/>
        </w:tabs>
        <w:spacing w:line="408" w:lineRule="auto" w:before="0" w:after="0"/>
        <w:ind w:left="2198" w:right="1430" w:firstLine="420"/>
        <w:jc w:val="left"/>
        <w:rPr>
          <w:b/>
          <w:sz w:val="21"/>
        </w:rPr>
      </w:pPr>
      <w:r>
        <w:rPr>
          <w:spacing w:val="-1"/>
          <w:sz w:val="21"/>
        </w:rPr>
        <w:t>充血性脾肿大伴脾功能亢进或食管胃底静脉曲张。</w:t>
      </w:r>
      <w:r>
        <w:rPr>
          <w:b/>
          <w:spacing w:val="-1"/>
          <w:w w:val="95"/>
          <w:sz w:val="21"/>
        </w:rPr>
        <w:t>因酗酒或药物滥用导致的肝功能衰竭不在保障范围内。</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73" w:lineRule="auto" w:before="0" w:after="0"/>
        <w:ind w:left="2198" w:right="201" w:hanging="420"/>
        <w:jc w:val="both"/>
        <w:rPr>
          <w:b/>
          <w:sz w:val="21"/>
        </w:rPr>
      </w:pPr>
      <w:r>
        <w:rPr>
          <w:sz w:val="21"/>
        </w:rPr>
        <w:t>脑炎后遗症或脑膜炎后遗症：指因患脑炎或脑膜炎导致的神经系统永久性</w:t>
      </w:r>
      <w:r>
        <w:rPr>
          <w:spacing w:val="-3"/>
          <w:sz w:val="21"/>
        </w:rPr>
        <w:t>的功能障碍。神经系统永久性的功能障碍，指疾病确诊 </w:t>
      </w:r>
      <w:r>
        <w:rPr>
          <w:sz w:val="21"/>
        </w:rPr>
        <w:t>180</w:t>
      </w:r>
      <w:r>
        <w:rPr>
          <w:spacing w:val="-14"/>
          <w:sz w:val="21"/>
        </w:rPr>
        <w:t> 天后，</w:t>
      </w:r>
      <w:r>
        <w:rPr>
          <w:b/>
          <w:sz w:val="21"/>
        </w:rPr>
        <w:t>仍遗留</w:t>
      </w:r>
      <w:r>
        <w:rPr>
          <w:b/>
          <w:w w:val="95"/>
          <w:sz w:val="21"/>
        </w:rPr>
        <w:t>下列一种或一种以上障碍：</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z w:val="21"/>
        </w:rPr>
        <w:t>一肢或一肢以上肢体机能完全丧失；</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0" w:after="0"/>
        <w:ind w:left="3072" w:right="0" w:hanging="454"/>
        <w:jc w:val="left"/>
        <w:rPr>
          <w:sz w:val="21"/>
        </w:rPr>
      </w:pPr>
      <w:r>
        <w:rPr>
          <w:sz w:val="21"/>
        </w:rPr>
        <w:t>语言能力或咀嚼吞咽能力完全丧失；</w:t>
      </w:r>
    </w:p>
    <w:p>
      <w:pPr>
        <w:pStyle w:val="BodyText"/>
        <w:spacing w:before="9"/>
        <w:rPr>
          <w:sz w:val="14"/>
        </w:rPr>
      </w:pPr>
    </w:p>
    <w:p>
      <w:pPr>
        <w:pStyle w:val="ListParagraph"/>
        <w:numPr>
          <w:ilvl w:val="1"/>
          <w:numId w:val="12"/>
        </w:numPr>
        <w:tabs>
          <w:tab w:pos="3071" w:val="left" w:leader="none"/>
          <w:tab w:pos="3072" w:val="left" w:leader="none"/>
        </w:tabs>
        <w:spacing w:line="273" w:lineRule="auto" w:before="0" w:after="0"/>
        <w:ind w:left="3072" w:right="170" w:hanging="454"/>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117" w:hanging="420"/>
        <w:jc w:val="both"/>
        <w:rPr>
          <w:sz w:val="21"/>
        </w:rPr>
      </w:pPr>
      <w:r>
        <w:rPr>
          <w:spacing w:val="-5"/>
          <w:sz w:val="21"/>
        </w:rPr>
        <w:t>深度昏迷：指因疾病或意外伤害导致意识丧失,对外界刺激和体内需求均无反应,昏迷程度按照格拉斯哥昏迷分级（Glasgow</w:t>
      </w:r>
      <w:r>
        <w:rPr>
          <w:spacing w:val="-20"/>
          <w:sz w:val="21"/>
        </w:rPr>
        <w:t> </w:t>
      </w:r>
      <w:r>
        <w:rPr>
          <w:sz w:val="21"/>
        </w:rPr>
        <w:t>coma</w:t>
      </w:r>
      <w:r>
        <w:rPr>
          <w:spacing w:val="-20"/>
          <w:sz w:val="21"/>
        </w:rPr>
        <w:t> </w:t>
      </w:r>
      <w:r>
        <w:rPr>
          <w:sz w:val="21"/>
        </w:rPr>
        <w:t>scale）</w:t>
      </w:r>
      <w:r>
        <w:rPr>
          <w:spacing w:val="-15"/>
          <w:sz w:val="21"/>
        </w:rPr>
        <w:t>结果为 </w:t>
      </w:r>
      <w:r>
        <w:rPr>
          <w:sz w:val="21"/>
        </w:rPr>
        <w:t>5</w:t>
      </w:r>
      <w:r>
        <w:rPr>
          <w:spacing w:val="-29"/>
          <w:sz w:val="21"/>
        </w:rPr>
        <w:t> 分</w:t>
      </w:r>
      <w:r>
        <w:rPr>
          <w:spacing w:val="-45"/>
          <w:sz w:val="21"/>
        </w:rPr>
        <w:t>或 </w:t>
      </w:r>
      <w:r>
        <w:rPr>
          <w:sz w:val="21"/>
        </w:rPr>
        <w:t>5</w:t>
      </w:r>
      <w:r>
        <w:rPr>
          <w:spacing w:val="-11"/>
          <w:sz w:val="21"/>
        </w:rPr>
        <w:t> 分以下，且已经持续使用呼吸机及其它生命维持系统 </w:t>
      </w:r>
      <w:r>
        <w:rPr>
          <w:sz w:val="21"/>
        </w:rPr>
        <w:t>96</w:t>
      </w:r>
      <w:r>
        <w:rPr>
          <w:spacing w:val="-10"/>
          <w:sz w:val="21"/>
        </w:rPr>
        <w:t> 小时以上。</w:t>
      </w:r>
    </w:p>
    <w:p>
      <w:pPr>
        <w:pStyle w:val="Heading3"/>
        <w:spacing w:before="164"/>
        <w:ind w:left="2201"/>
        <w:rPr>
          <w:b w:val="0"/>
        </w:rPr>
      </w:pPr>
      <w:r>
        <w:rPr>
          <w:w w:val="95"/>
        </w:rPr>
        <w:t>因酗酒或药物滥用导致的深度昏迷不在保障范围内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8" w:after="0"/>
        <w:ind w:left="2198" w:right="147" w:hanging="420"/>
        <w:jc w:val="both"/>
        <w:rPr>
          <w:sz w:val="21"/>
        </w:rPr>
      </w:pPr>
      <w:r>
        <w:rPr>
          <w:sz w:val="21"/>
        </w:rPr>
        <w:t>双耳失聪：指因疾病或意外伤害导致双耳听力</w:t>
      </w:r>
      <w:r>
        <w:rPr>
          <w:b/>
          <w:sz w:val="21"/>
        </w:rPr>
        <w:t>永久不可逆</w:t>
      </w:r>
      <w:r>
        <w:rPr>
          <w:sz w:val="21"/>
        </w:rPr>
        <w:t>（</w:t>
      </w:r>
      <w:r>
        <w:rPr>
          <w:spacing w:val="-29"/>
          <w:sz w:val="21"/>
        </w:rPr>
        <w:t>见 </w:t>
      </w:r>
      <w:r>
        <w:rPr>
          <w:sz w:val="21"/>
        </w:rPr>
        <w:t>6.19）性丧</w:t>
      </w:r>
      <w:r>
        <w:rPr>
          <w:spacing w:val="-15"/>
          <w:sz w:val="21"/>
        </w:rPr>
        <w:t>失，在 </w:t>
      </w:r>
      <w:r>
        <w:rPr>
          <w:sz w:val="21"/>
        </w:rPr>
        <w:t>500</w:t>
      </w:r>
      <w:r>
        <w:rPr>
          <w:spacing w:val="-15"/>
          <w:sz w:val="21"/>
        </w:rPr>
        <w:t> 赫兹、</w:t>
      </w:r>
      <w:r>
        <w:rPr>
          <w:sz w:val="21"/>
        </w:rPr>
        <w:t>1000</w:t>
      </w:r>
      <w:r>
        <w:rPr>
          <w:spacing w:val="-24"/>
          <w:sz w:val="21"/>
        </w:rPr>
        <w:t> 赫兹和 </w:t>
      </w:r>
      <w:r>
        <w:rPr>
          <w:sz w:val="21"/>
        </w:rPr>
        <w:t>2000</w:t>
      </w:r>
      <w:r>
        <w:rPr>
          <w:spacing w:val="-12"/>
          <w:sz w:val="21"/>
        </w:rPr>
        <w:t> 赫兹语音频率下，平均听阈大于 </w:t>
      </w:r>
      <w:r>
        <w:rPr>
          <w:sz w:val="21"/>
        </w:rPr>
        <w:t>90</w:t>
      </w:r>
      <w:r>
        <w:rPr>
          <w:spacing w:val="-29"/>
          <w:sz w:val="21"/>
        </w:rPr>
        <w:t> 分贝，且经纯音听力测试、声导抗检测或听觉诱发电位检测等证实。</w:t>
      </w:r>
    </w:p>
    <w:p>
      <w:pPr>
        <w:pStyle w:val="Heading3"/>
        <w:spacing w:before="164"/>
        <w:ind w:left="2198"/>
        <w:rPr>
          <w:b w:val="0"/>
        </w:rPr>
      </w:pPr>
      <w:r>
        <w:rPr/>
        <w:t>被保险人申请理赔时年龄必须在 3 周岁以上</w:t>
      </w:r>
      <w:r>
        <w:rPr>
          <w:b w:val="0"/>
        </w:rPr>
        <w:t>。</w:t>
      </w:r>
    </w:p>
    <w:p>
      <w:pPr>
        <w:pStyle w:val="BodyText"/>
        <w:rPr>
          <w:sz w:val="20"/>
        </w:rPr>
      </w:pPr>
    </w:p>
    <w:p>
      <w:pPr>
        <w:pStyle w:val="BodyText"/>
        <w:rPr>
          <w:sz w:val="20"/>
        </w:rPr>
      </w:pPr>
    </w:p>
    <w:p>
      <w:pPr>
        <w:pStyle w:val="ListParagraph"/>
        <w:numPr>
          <w:ilvl w:val="0"/>
          <w:numId w:val="12"/>
        </w:numPr>
        <w:tabs>
          <w:tab w:pos="2199" w:val="left" w:leader="none"/>
        </w:tabs>
        <w:spacing w:line="240" w:lineRule="auto" w:before="138" w:after="0"/>
        <w:ind w:left="2198" w:right="0" w:hanging="420"/>
        <w:jc w:val="left"/>
        <w:rPr>
          <w:sz w:val="21"/>
        </w:rPr>
      </w:pPr>
      <w:r>
        <w:rPr>
          <w:sz w:val="21"/>
        </w:rPr>
        <w:t>双目失明：指因疾病或意外伤害导致双眼视力永久不可逆性丧失，双眼中</w:t>
      </w:r>
    </w:p>
    <w:p>
      <w:pPr>
        <w:spacing w:after="0" w:line="240" w:lineRule="auto"/>
        <w:jc w:val="left"/>
        <w:rPr>
          <w:sz w:val="21"/>
        </w:rPr>
        <w:sectPr>
          <w:footerReference w:type="default" r:id="rId9"/>
          <w:pgSz w:w="11910" w:h="16840"/>
          <w:pgMar w:footer="1008" w:header="0" w:top="1100" w:bottom="1200" w:left="1680" w:right="1100"/>
          <w:pgNumType w:start="9"/>
        </w:sectPr>
      </w:pPr>
    </w:p>
    <w:p>
      <w:pPr>
        <w:pStyle w:val="BodyText"/>
        <w:spacing w:before="19"/>
        <w:ind w:left="2198"/>
      </w:pPr>
      <w:r>
        <w:rPr/>
        <w:t>较好眼须满足下列至少一项条件：</w:t>
      </w:r>
    </w:p>
    <w:p>
      <w:pPr>
        <w:pStyle w:val="BodyText"/>
        <w:spacing w:before="9"/>
        <w:rPr>
          <w:sz w:val="14"/>
        </w:rPr>
      </w:pPr>
    </w:p>
    <w:p>
      <w:pPr>
        <w:pStyle w:val="ListParagraph"/>
        <w:numPr>
          <w:ilvl w:val="1"/>
          <w:numId w:val="12"/>
        </w:numPr>
        <w:tabs>
          <w:tab w:pos="2651" w:val="left" w:leader="none"/>
          <w:tab w:pos="2652" w:val="left" w:leader="none"/>
        </w:tabs>
        <w:spacing w:line="240" w:lineRule="auto" w:before="1" w:after="0"/>
        <w:ind w:left="2652" w:right="0" w:hanging="454"/>
        <w:jc w:val="left"/>
        <w:rPr>
          <w:sz w:val="21"/>
        </w:rPr>
      </w:pPr>
      <w:r>
        <w:rPr>
          <w:sz w:val="21"/>
        </w:rPr>
        <w:t>眼球缺失或摘除；</w:t>
      </w:r>
    </w:p>
    <w:p>
      <w:pPr>
        <w:pStyle w:val="BodyText"/>
        <w:spacing w:before="10"/>
        <w:rPr>
          <w:sz w:val="14"/>
        </w:rPr>
      </w:pPr>
    </w:p>
    <w:p>
      <w:pPr>
        <w:pStyle w:val="ListParagraph"/>
        <w:numPr>
          <w:ilvl w:val="1"/>
          <w:numId w:val="12"/>
        </w:numPr>
        <w:tabs>
          <w:tab w:pos="2651" w:val="left" w:leader="none"/>
          <w:tab w:pos="2652" w:val="left" w:leader="none"/>
        </w:tabs>
        <w:spacing w:line="273" w:lineRule="auto" w:before="0" w:after="0"/>
        <w:ind w:left="2652" w:right="217" w:hanging="454"/>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1"/>
          <w:numId w:val="12"/>
        </w:numPr>
        <w:tabs>
          <w:tab w:pos="2651" w:val="left" w:leader="none"/>
          <w:tab w:pos="2652" w:val="left" w:leader="none"/>
        </w:tabs>
        <w:spacing w:line="240" w:lineRule="auto" w:before="163" w:after="0"/>
        <w:ind w:left="2652" w:right="0" w:hanging="454"/>
        <w:jc w:val="left"/>
        <w:rPr>
          <w:sz w:val="21"/>
        </w:rPr>
      </w:pPr>
      <w:r>
        <w:rPr>
          <w:spacing w:val="-8"/>
          <w:sz w:val="21"/>
        </w:rPr>
        <w:t>视野半径小于 </w:t>
      </w:r>
      <w:r>
        <w:rPr>
          <w:sz w:val="21"/>
        </w:rPr>
        <w:t>5</w:t>
      </w:r>
      <w:r>
        <w:rPr>
          <w:spacing w:val="-18"/>
          <w:sz w:val="21"/>
        </w:rPr>
        <w:t> 度。</w:t>
      </w:r>
    </w:p>
    <w:p>
      <w:pPr>
        <w:pStyle w:val="BodyText"/>
        <w:spacing w:before="9"/>
        <w:rPr>
          <w:sz w:val="14"/>
        </w:rPr>
      </w:pPr>
    </w:p>
    <w:p>
      <w:pPr>
        <w:pStyle w:val="Heading3"/>
        <w:ind w:left="2200"/>
        <w:rPr>
          <w:b w:val="0"/>
        </w:rPr>
      </w:pPr>
      <w:r>
        <w:rPr/>
        <w:t>被保险人申请理赔时年龄必须在 3 周岁以上</w:t>
      </w:r>
      <w:r>
        <w:rPr>
          <w:b w:val="0"/>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305" w:hanging="420"/>
        <w:jc w:val="both"/>
        <w:rPr>
          <w:sz w:val="21"/>
        </w:rPr>
      </w:pPr>
      <w:r>
        <w:rPr>
          <w:sz w:val="21"/>
        </w:rPr>
        <w:t>瘫痪：指因疾病或意外伤害导致两肢或两肢以上肢体机能永久完全丧失。</w:t>
      </w:r>
      <w:r>
        <w:rPr>
          <w:spacing w:val="-4"/>
          <w:sz w:val="21"/>
        </w:rPr>
        <w:t>肢体机能永久完全丧失，指疾病确诊 </w:t>
      </w:r>
      <w:r>
        <w:rPr>
          <w:sz w:val="21"/>
        </w:rPr>
        <w:t>180</w:t>
      </w:r>
      <w:r>
        <w:rPr>
          <w:spacing w:val="-13"/>
          <w:sz w:val="21"/>
        </w:rPr>
        <w:t> 天后或意外伤害发生 </w:t>
      </w:r>
      <w:r>
        <w:rPr>
          <w:sz w:val="21"/>
        </w:rPr>
        <w:t>180</w:t>
      </w:r>
      <w:r>
        <w:rPr>
          <w:spacing w:val="-14"/>
          <w:sz w:val="21"/>
        </w:rPr>
        <w:t> 天后， 每肢三大关节中的两大关节仍然完全僵硬，或不能随意识活动。</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心脏瓣膜手术：指为治疗心脏瓣膜疾病，实际实施了开胸进行的心脏瓣膜置换或修复的手术。</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严重阿尔茨海默病：指因大脑进行性、不可逆性改变导致智能严重衰退或丧失，临床表现为明显的认知能力障碍、行为异常和社交能力减退，其日</w:t>
      </w:r>
      <w:r>
        <w:rPr>
          <w:spacing w:val="-1"/>
          <w:sz w:val="21"/>
        </w:rPr>
        <w:t>常生活必须持续受到他人监护。须由头颅断层扫描（CT</w:t>
      </w:r>
      <w:r>
        <w:rPr>
          <w:spacing w:val="-104"/>
          <w:sz w:val="21"/>
        </w:rPr>
        <w:t>）</w:t>
      </w:r>
      <w:r>
        <w:rPr>
          <w:spacing w:val="-1"/>
          <w:sz w:val="21"/>
        </w:rPr>
        <w:t>、核磁共振检查</w:t>
      </w:r>
    </w:p>
    <w:p>
      <w:pPr>
        <w:pStyle w:val="BodyText"/>
        <w:spacing w:line="273" w:lineRule="auto" w:before="7"/>
        <w:ind w:left="2198" w:right="305"/>
      </w:pPr>
      <w:r>
        <w:rPr/>
        <w:t>（MRI）或正电子发射断层扫描（PET）等影像学检查证实，且自主生活能力完全丧失，无法独立完成六项基本日常生活活动中的三项或三项以上。</w:t>
      </w:r>
    </w:p>
    <w:p>
      <w:pPr>
        <w:pStyle w:val="Heading3"/>
        <w:spacing w:before="163"/>
        <w:ind w:left="2201"/>
        <w:rPr>
          <w:b w:val="0"/>
        </w:rPr>
      </w:pPr>
      <w:r>
        <w:rPr>
          <w:w w:val="95"/>
        </w:rPr>
        <w:t>神经官能症和精神疾病不在保障范围内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111" w:hanging="420"/>
        <w:jc w:val="left"/>
        <w:rPr>
          <w:b/>
          <w:sz w:val="21"/>
        </w:rPr>
      </w:pPr>
      <w:r>
        <w:rPr>
          <w:spacing w:val="-3"/>
          <w:sz w:val="21"/>
        </w:rPr>
        <w:t>严重帕金森病：是一种中枢神经系统的退行性疾病，临床表现为震颤麻痹、</w:t>
      </w:r>
      <w:r>
        <w:rPr>
          <w:spacing w:val="-3"/>
          <w:w w:val="95"/>
          <w:sz w:val="21"/>
        </w:rPr>
        <w:t>共济失调等。</w:t>
      </w:r>
      <w:r>
        <w:rPr>
          <w:b/>
          <w:spacing w:val="-3"/>
          <w:w w:val="95"/>
          <w:sz w:val="21"/>
        </w:rPr>
        <w:t>须满足下列全部条件：</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pacing w:val="-1"/>
          <w:sz w:val="21"/>
        </w:rPr>
        <w:t>药物治疗无法控制病情；</w:t>
      </w:r>
    </w:p>
    <w:p>
      <w:pPr>
        <w:pStyle w:val="BodyText"/>
        <w:spacing w:before="9"/>
        <w:rPr>
          <w:sz w:val="14"/>
        </w:rPr>
      </w:pPr>
    </w:p>
    <w:p>
      <w:pPr>
        <w:pStyle w:val="ListParagraph"/>
        <w:numPr>
          <w:ilvl w:val="1"/>
          <w:numId w:val="12"/>
        </w:numPr>
        <w:tabs>
          <w:tab w:pos="3071" w:val="left" w:leader="none"/>
          <w:tab w:pos="3072" w:val="left" w:leader="none"/>
        </w:tabs>
        <w:spacing w:line="273" w:lineRule="auto" w:before="0" w:after="0"/>
        <w:ind w:left="3072" w:right="270" w:hanging="454"/>
        <w:jc w:val="left"/>
        <w:rPr>
          <w:sz w:val="21"/>
        </w:rPr>
      </w:pPr>
      <w:r>
        <w:rPr>
          <w:sz w:val="21"/>
        </w:rPr>
        <w:t>自主生活能力完全丧失，无法独立完成六项基本日常生活活动中</w:t>
      </w:r>
      <w:r>
        <w:rPr>
          <w:spacing w:val="-1"/>
          <w:sz w:val="21"/>
        </w:rPr>
        <w:t>的三项或三项以上。</w:t>
      </w:r>
    </w:p>
    <w:p>
      <w:pPr>
        <w:pStyle w:val="Heading3"/>
        <w:spacing w:before="163"/>
        <w:ind w:left="2198"/>
      </w:pPr>
      <w:r>
        <w:rPr>
          <w:w w:val="95"/>
        </w:rPr>
        <w:t>继发性帕金森综合症不在保障范围内。</w:t>
      </w:r>
    </w:p>
    <w:p>
      <w:pPr>
        <w:pStyle w:val="BodyText"/>
        <w:rPr>
          <w:b/>
          <w:sz w:val="20"/>
        </w:rPr>
      </w:pPr>
    </w:p>
    <w:p>
      <w:pPr>
        <w:pStyle w:val="BodyText"/>
        <w:rPr>
          <w:b/>
          <w:sz w:val="20"/>
        </w:rPr>
      </w:pPr>
    </w:p>
    <w:p>
      <w:pPr>
        <w:pStyle w:val="ListParagraph"/>
        <w:numPr>
          <w:ilvl w:val="0"/>
          <w:numId w:val="12"/>
        </w:numPr>
        <w:tabs>
          <w:tab w:pos="2199" w:val="left" w:leader="none"/>
        </w:tabs>
        <w:spacing w:line="273" w:lineRule="auto" w:before="137" w:after="0"/>
        <w:ind w:left="2198" w:right="305" w:hanging="420"/>
        <w:jc w:val="both"/>
        <w:rPr>
          <w:sz w:val="21"/>
        </w:rPr>
      </w:pPr>
      <w:r>
        <w:rPr>
          <w:sz w:val="21"/>
        </w:rPr>
        <w:t>严重Ⅲ度烧伤：指烧伤程度为Ⅲ度，且Ⅲ度烧伤的面积达到全身体表面积</w:t>
      </w:r>
      <w:r>
        <w:rPr>
          <w:spacing w:val="-27"/>
          <w:sz w:val="21"/>
        </w:rPr>
        <w:t>的 </w:t>
      </w:r>
      <w:r>
        <w:rPr>
          <w:sz w:val="21"/>
        </w:rPr>
        <w:t>20</w:t>
      </w:r>
      <w:r>
        <w:rPr>
          <w:spacing w:val="-18"/>
          <w:sz w:val="21"/>
        </w:rPr>
        <w:t>％或 </w:t>
      </w:r>
      <w:r>
        <w:rPr>
          <w:sz w:val="21"/>
        </w:rPr>
        <w:t>20％以上。体表面积根据《中国新九分法》计算。</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218" w:hanging="420"/>
        <w:jc w:val="left"/>
        <w:rPr>
          <w:sz w:val="21"/>
        </w:rPr>
      </w:pPr>
      <w:r>
        <w:rPr>
          <w:sz w:val="21"/>
        </w:rPr>
        <w:t>严重原发性肺动脉高压：指不明原因的肺动脉压力持续性增高，进行性发展而导致的慢性疾病，已经造成永久不可逆性的体力活动能力受限，达到</w:t>
      </w:r>
      <w:r>
        <w:rPr>
          <w:spacing w:val="-4"/>
          <w:sz w:val="21"/>
        </w:rPr>
        <w:t>美国纽约心脏病学会心功能状态分级 </w:t>
      </w:r>
      <w:r>
        <w:rPr>
          <w:sz w:val="21"/>
        </w:rPr>
        <w:t>IV</w:t>
      </w:r>
      <w:r>
        <w:rPr>
          <w:spacing w:val="-10"/>
          <w:sz w:val="21"/>
        </w:rPr>
        <w:t> 级，且静息状态下肺动脉平均压超</w:t>
      </w:r>
      <w:r>
        <w:rPr>
          <w:spacing w:val="-33"/>
          <w:sz w:val="21"/>
        </w:rPr>
        <w:t>过 </w:t>
      </w:r>
      <w:r>
        <w:rPr>
          <w:sz w:val="21"/>
        </w:rPr>
        <w:t>30mmHg。</w:t>
      </w:r>
    </w:p>
    <w:p>
      <w:pPr>
        <w:spacing w:after="0" w:line="273" w:lineRule="auto"/>
        <w:jc w:val="left"/>
        <w:rPr>
          <w:sz w:val="21"/>
        </w:rPr>
        <w:sectPr>
          <w:pgSz w:w="11910" w:h="16840"/>
          <w:pgMar w:header="0" w:footer="1008" w:top="1100" w:bottom="1200" w:left="1680" w:right="1000"/>
        </w:sectPr>
      </w:pPr>
    </w:p>
    <w:p>
      <w:pPr>
        <w:pStyle w:val="ListParagraph"/>
        <w:numPr>
          <w:ilvl w:val="0"/>
          <w:numId w:val="12"/>
        </w:numPr>
        <w:tabs>
          <w:tab w:pos="2199" w:val="left" w:leader="none"/>
        </w:tabs>
        <w:spacing w:line="273" w:lineRule="auto" w:before="7" w:after="0"/>
        <w:ind w:left="2198" w:right="305" w:hanging="420"/>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语言能力丧失：指因疾病或意外伤害导致完全丧失语言能力，经过积极治</w:t>
      </w:r>
      <w:r>
        <w:rPr>
          <w:spacing w:val="-14"/>
          <w:sz w:val="21"/>
        </w:rPr>
        <w:t>疗至少 </w:t>
      </w:r>
      <w:r>
        <w:rPr>
          <w:spacing w:val="-1"/>
          <w:sz w:val="21"/>
        </w:rPr>
        <w:t>1</w:t>
      </w:r>
      <w:r>
        <w:rPr>
          <w:sz w:val="21"/>
        </w:rPr>
        <w:t>2</w:t>
      </w:r>
      <w:r>
        <w:rPr>
          <w:spacing w:val="-19"/>
          <w:sz w:val="21"/>
        </w:rPr>
        <w:t> 个月</w:t>
      </w:r>
      <w:r>
        <w:rPr>
          <w:spacing w:val="-1"/>
          <w:sz w:val="21"/>
        </w:rPr>
        <w:t>（声带完全切除不受此时间限制</w:t>
      </w:r>
      <w:r>
        <w:rPr>
          <w:spacing w:val="-106"/>
          <w:sz w:val="21"/>
        </w:rPr>
        <w:t>）</w:t>
      </w:r>
      <w:r>
        <w:rPr>
          <w:sz w:val="21"/>
        </w:rPr>
        <w:t>，仍无法通过现有医疗手</w:t>
      </w:r>
      <w:r>
        <w:rPr>
          <w:spacing w:val="-1"/>
          <w:sz w:val="21"/>
        </w:rPr>
        <w:t>段恢复。</w:t>
      </w:r>
    </w:p>
    <w:p>
      <w:pPr>
        <w:pStyle w:val="Heading3"/>
        <w:spacing w:line="408" w:lineRule="auto" w:before="163"/>
        <w:ind w:left="2198" w:right="2176" w:firstLine="2"/>
      </w:pPr>
      <w:r>
        <w:rPr>
          <w:w w:val="95"/>
        </w:rPr>
        <w:t>精神心理因素所致的语言能力丧失不在保障范围内。 </w:t>
      </w:r>
      <w:r>
        <w:rPr>
          <w:spacing w:val="-4"/>
        </w:rPr>
        <w:t>被保险人申请理赔时年龄必须在 </w:t>
      </w:r>
      <w:r>
        <w:rPr/>
        <w:t>3</w:t>
      </w:r>
      <w:r>
        <w:rPr>
          <w:spacing w:val="-10"/>
        </w:rPr>
        <w:t> 周岁以上。</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重型再生障碍性贫血：指因骨髓造血功能慢性持续性衰竭导致的贫血、中性粒细胞减少及血小板减少。须满足下列全部条件：</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pacing w:val="-1"/>
          <w:sz w:val="21"/>
        </w:rPr>
        <w:t>骨髓穿刺检查或骨髓活检结果支持诊断；</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1" w:after="0"/>
        <w:ind w:left="3072" w:right="0" w:hanging="454"/>
        <w:jc w:val="left"/>
        <w:rPr>
          <w:sz w:val="21"/>
        </w:rPr>
      </w:pPr>
      <w:r>
        <w:rPr>
          <w:spacing w:val="-1"/>
          <w:sz w:val="21"/>
        </w:rPr>
        <w:t>外周血象须具备以下三项条件：</w:t>
      </w:r>
    </w:p>
    <w:p>
      <w:pPr>
        <w:pStyle w:val="BodyText"/>
        <w:spacing w:before="10"/>
        <w:rPr>
          <w:sz w:val="14"/>
        </w:rPr>
      </w:pPr>
    </w:p>
    <w:p>
      <w:pPr>
        <w:pStyle w:val="BodyText"/>
        <w:ind w:left="2705"/>
      </w:pPr>
      <w:r>
        <w:rPr/>
        <w:t>① 中性粒细胞绝对值≤0.5×10</w:t>
      </w:r>
      <w:r>
        <w:rPr>
          <w:position w:val="11"/>
          <w:sz w:val="11"/>
        </w:rPr>
        <w:t>9</w:t>
      </w:r>
      <w:r>
        <w:rPr/>
        <w:t>/L ；</w:t>
      </w:r>
    </w:p>
    <w:p>
      <w:pPr>
        <w:pStyle w:val="BodyText"/>
        <w:spacing w:before="193"/>
        <w:ind w:left="2706"/>
      </w:pPr>
      <w:r>
        <w:rPr/>
        <w:t>② 网织红细胞＜1%；</w:t>
      </w:r>
    </w:p>
    <w:p>
      <w:pPr>
        <w:pStyle w:val="BodyText"/>
        <w:spacing w:before="10"/>
        <w:rPr>
          <w:sz w:val="14"/>
        </w:rPr>
      </w:pPr>
    </w:p>
    <w:p>
      <w:pPr>
        <w:pStyle w:val="BodyText"/>
        <w:ind w:left="2706"/>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12"/>
        </w:numPr>
        <w:tabs>
          <w:tab w:pos="2199" w:val="left" w:leader="none"/>
        </w:tabs>
        <w:spacing w:line="273" w:lineRule="auto" w:before="1" w:after="0"/>
        <w:ind w:left="2198" w:right="303" w:hanging="420"/>
        <w:jc w:val="both"/>
        <w:rPr>
          <w:sz w:val="21"/>
        </w:rPr>
      </w:pPr>
      <w:r>
        <w:rPr>
          <w:sz w:val="21"/>
        </w:rPr>
        <w:t>主动脉手术：指为治疗主动脉疾病，实际实施了开胸或开腹进行的切除、置换、修补病损主动脉血管的手术。主动脉指胸主动脉和腹主动脉，不包括胸主动脉和腹主动脉的分支血管。</w:t>
      </w:r>
    </w:p>
    <w:p>
      <w:pPr>
        <w:pStyle w:val="Heading3"/>
        <w:spacing w:before="164"/>
        <w:ind w:left="2198"/>
        <w:rPr>
          <w:b w:val="0"/>
        </w:rPr>
      </w:pPr>
      <w:r>
        <w:rPr>
          <w:w w:val="95"/>
        </w:rPr>
        <w:t>动脉内血管成形术不在保障范围内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8" w:after="0"/>
        <w:ind w:left="2198" w:right="111" w:hanging="420"/>
        <w:jc w:val="left"/>
        <w:rPr>
          <w:sz w:val="21"/>
        </w:rPr>
      </w:pPr>
      <w:r>
        <w:rPr>
          <w:spacing w:val="-2"/>
          <w:sz w:val="21"/>
        </w:rPr>
        <w:t>慢性呼吸功能衰竭：慢性肺部疾病导致永久不可逆性的慢性呼吸功能衰竭。慢性呼吸功能衰竭必须明确诊断并满足下列全部条件：</w:t>
      </w:r>
    </w:p>
    <w:p>
      <w:pPr>
        <w:pStyle w:val="ListParagraph"/>
        <w:numPr>
          <w:ilvl w:val="1"/>
          <w:numId w:val="12"/>
        </w:numPr>
        <w:tabs>
          <w:tab w:pos="3071" w:val="left" w:leader="none"/>
          <w:tab w:pos="3073" w:val="left" w:leader="none"/>
        </w:tabs>
        <w:spacing w:line="240" w:lineRule="auto" w:before="164" w:after="0"/>
        <w:ind w:left="3072" w:right="0" w:hanging="454"/>
        <w:jc w:val="left"/>
        <w:rPr>
          <w:sz w:val="21"/>
        </w:rPr>
      </w:pPr>
      <w:r>
        <w:rPr>
          <w:sz w:val="21"/>
        </w:rPr>
        <w:t>休息时出现呼吸困难；</w:t>
      </w:r>
    </w:p>
    <w:p>
      <w:pPr>
        <w:pStyle w:val="BodyText"/>
        <w:spacing w:before="9"/>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spacing w:val="-1"/>
          <w:position w:val="1"/>
          <w:sz w:val="21"/>
        </w:rPr>
        <w:t>动脉血氧分压 </w:t>
      </w:r>
      <w:r>
        <w:rPr>
          <w:position w:val="1"/>
          <w:sz w:val="21"/>
        </w:rPr>
        <w:t>（PaO</w:t>
      </w:r>
      <w:r>
        <w:rPr>
          <w:sz w:val="11"/>
        </w:rPr>
        <w:t>2</w:t>
      </w:r>
      <w:r>
        <w:rPr>
          <w:spacing w:val="-2"/>
          <w:sz w:val="11"/>
        </w:rPr>
        <w:t> </w:t>
      </w:r>
      <w:r>
        <w:rPr>
          <w:position w:val="1"/>
          <w:sz w:val="21"/>
        </w:rPr>
        <w:t>）</w:t>
      </w:r>
      <w:r>
        <w:rPr>
          <w:spacing w:val="-1"/>
          <w:position w:val="1"/>
          <w:sz w:val="21"/>
        </w:rPr>
        <w:t>&lt; </w:t>
      </w:r>
      <w:r>
        <w:rPr>
          <w:position w:val="1"/>
          <w:sz w:val="21"/>
        </w:rPr>
        <w:t>50mmHg；</w:t>
      </w:r>
    </w:p>
    <w:p>
      <w:pPr>
        <w:pStyle w:val="BodyText"/>
        <w:spacing w:before="9"/>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position w:val="1"/>
          <w:sz w:val="21"/>
        </w:rPr>
        <w:t>动脉血氧饱和度 （SaO</w:t>
      </w:r>
      <w:r>
        <w:rPr>
          <w:sz w:val="11"/>
        </w:rPr>
        <w:t>2</w:t>
      </w:r>
      <w:r>
        <w:rPr>
          <w:spacing w:val="-1"/>
          <w:sz w:val="11"/>
        </w:rPr>
        <w:t> </w:t>
      </w:r>
      <w:r>
        <w:rPr>
          <w:position w:val="1"/>
          <w:sz w:val="21"/>
        </w:rPr>
        <w:t>）&lt;</w:t>
      </w:r>
      <w:r>
        <w:rPr>
          <w:spacing w:val="-1"/>
          <w:position w:val="1"/>
          <w:sz w:val="21"/>
        </w:rPr>
        <w:t> </w:t>
      </w:r>
      <w:r>
        <w:rPr>
          <w:position w:val="1"/>
          <w:sz w:val="21"/>
        </w:rPr>
        <w:t>80％；</w:t>
      </w:r>
    </w:p>
    <w:p>
      <w:pPr>
        <w:pStyle w:val="BodyText"/>
        <w:spacing w:before="10"/>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sz w:val="21"/>
        </w:rPr>
        <w:t>因缺氧必须接受持续的输氧治疗。</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304" w:hanging="420"/>
        <w:jc w:val="both"/>
        <w:rPr>
          <w:sz w:val="21"/>
        </w:rPr>
      </w:pPr>
      <w:r>
        <w:rPr>
          <w:sz w:val="21"/>
        </w:rPr>
        <w:t>严重多发性硬化症：指中枢神经系统白质多灶性脱髓鞘病变，病变有时累及灰质。多发性硬化必须明确诊断，并且已经造成永久不可逆的神经系统</w:t>
      </w:r>
    </w:p>
    <w:p>
      <w:pPr>
        <w:spacing w:after="0" w:line="273" w:lineRule="auto"/>
        <w:jc w:val="both"/>
        <w:rPr>
          <w:sz w:val="21"/>
        </w:rPr>
        <w:sectPr>
          <w:pgSz w:w="11910" w:h="16840"/>
          <w:pgMar w:header="0" w:footer="1008" w:top="1580" w:bottom="1200" w:left="1680" w:right="1000"/>
        </w:sectPr>
      </w:pPr>
    </w:p>
    <w:p>
      <w:pPr>
        <w:pStyle w:val="BodyText"/>
        <w:spacing w:line="273" w:lineRule="auto" w:before="19"/>
        <w:ind w:left="2898" w:right="305"/>
      </w:pPr>
      <w:r>
        <w:rPr>
          <w:spacing w:val="-3"/>
        </w:rPr>
        <w:t>功能损害。永久不可逆的神经系统损害指被保险人持续 </w:t>
      </w:r>
      <w:r>
        <w:rPr/>
        <w:t>180</w:t>
      </w:r>
      <w:r>
        <w:rPr>
          <w:spacing w:val="-9"/>
        </w:rPr>
        <w:t> 天无法独立完成下列基本日常生活活动：</w:t>
      </w:r>
    </w:p>
    <w:p>
      <w:pPr>
        <w:pStyle w:val="ListParagraph"/>
        <w:numPr>
          <w:ilvl w:val="1"/>
          <w:numId w:val="12"/>
        </w:numPr>
        <w:tabs>
          <w:tab w:pos="3771" w:val="left" w:leader="none"/>
          <w:tab w:pos="3772" w:val="left" w:leader="none"/>
        </w:tabs>
        <w:spacing w:line="240" w:lineRule="auto" w:before="163" w:after="0"/>
        <w:ind w:left="3772" w:right="0" w:hanging="454"/>
        <w:jc w:val="left"/>
        <w:rPr>
          <w:sz w:val="21"/>
        </w:rPr>
      </w:pPr>
      <w:r>
        <w:rPr>
          <w:sz w:val="21"/>
        </w:rPr>
        <w:t>移动：自己从一个房间到另一个房间；或者</w:t>
      </w:r>
    </w:p>
    <w:p>
      <w:pPr>
        <w:pStyle w:val="BodyText"/>
        <w:spacing w:before="9"/>
        <w:rPr>
          <w:sz w:val="14"/>
        </w:rPr>
      </w:pPr>
    </w:p>
    <w:p>
      <w:pPr>
        <w:pStyle w:val="ListParagraph"/>
        <w:numPr>
          <w:ilvl w:val="1"/>
          <w:numId w:val="12"/>
        </w:numPr>
        <w:tabs>
          <w:tab w:pos="3771" w:val="left" w:leader="none"/>
          <w:tab w:pos="3772" w:val="left" w:leader="none"/>
        </w:tabs>
        <w:spacing w:line="240" w:lineRule="auto" w:before="0" w:after="0"/>
        <w:ind w:left="3772" w:right="0" w:hanging="454"/>
        <w:jc w:val="left"/>
        <w:rPr>
          <w:sz w:val="21"/>
        </w:rPr>
      </w:pPr>
      <w:r>
        <w:rPr>
          <w:sz w:val="21"/>
        </w:rPr>
        <w:t>进食：自己从已准备好的碗或碟中取食物放入口中。</w:t>
      </w:r>
    </w:p>
    <w:p>
      <w:pPr>
        <w:pStyle w:val="BodyText"/>
        <w:rPr>
          <w:sz w:val="20"/>
        </w:rPr>
      </w:pPr>
    </w:p>
    <w:p>
      <w:pPr>
        <w:pStyle w:val="BodyText"/>
        <w:rPr>
          <w:sz w:val="20"/>
        </w:rPr>
      </w:pPr>
    </w:p>
    <w:p>
      <w:pPr>
        <w:pStyle w:val="ListParagraph"/>
        <w:numPr>
          <w:ilvl w:val="0"/>
          <w:numId w:val="12"/>
        </w:numPr>
        <w:tabs>
          <w:tab w:pos="2899" w:val="left" w:leader="none"/>
        </w:tabs>
        <w:spacing w:line="273" w:lineRule="auto" w:before="137" w:after="0"/>
        <w:ind w:left="2898" w:right="305" w:hanging="420"/>
        <w:jc w:val="both"/>
        <w:rPr>
          <w:sz w:val="21"/>
        </w:rPr>
      </w:pPr>
      <w:r>
        <w:rPr>
          <w:sz w:val="21"/>
        </w:rPr>
        <w:t>终末期疾病：指由保险公司认可的医院的主任医师确诊为疾病的终末期状态。疾病已经无法以现有的医疗技术医治缓解，并且根据临床医学经验判</w:t>
      </w:r>
      <w:r>
        <w:rPr>
          <w:spacing w:val="-6"/>
          <w:sz w:val="21"/>
        </w:rPr>
        <w:t>断被保险人将于未来 </w:t>
      </w:r>
      <w:r>
        <w:rPr>
          <w:sz w:val="21"/>
        </w:rPr>
        <w:t>6</w:t>
      </w:r>
      <w:r>
        <w:rPr>
          <w:spacing w:val="-8"/>
          <w:sz w:val="21"/>
        </w:rPr>
        <w:t> 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rPr>
          <w:sz w:val="20"/>
        </w:rPr>
      </w:pPr>
    </w:p>
    <w:p>
      <w:pPr>
        <w:pStyle w:val="BodyText"/>
        <w:spacing w:before="3"/>
        <w:rPr>
          <w:sz w:val="28"/>
        </w:rPr>
      </w:pPr>
    </w:p>
    <w:p>
      <w:pPr>
        <w:pStyle w:val="ListParagraph"/>
        <w:numPr>
          <w:ilvl w:val="0"/>
          <w:numId w:val="12"/>
        </w:numPr>
        <w:tabs>
          <w:tab w:pos="2899" w:val="left" w:leader="none"/>
        </w:tabs>
        <w:spacing w:line="273" w:lineRule="auto" w:before="0" w:after="0"/>
        <w:ind w:left="2898" w:right="111" w:hanging="420"/>
        <w:jc w:val="left"/>
        <w:rPr>
          <w:sz w:val="21"/>
        </w:rPr>
      </w:pPr>
      <w:r>
        <w:rPr>
          <w:sz w:val="21"/>
        </w:rPr>
        <w:t>植物人状态：指由于严重脑创伤造成大脑严重损害导致对自身和环境的意识完全丧失，仅残存植物神经功能的疾病状态。诊断必须明确并且具有严</w:t>
      </w:r>
      <w:r>
        <w:rPr>
          <w:spacing w:val="-12"/>
          <w:sz w:val="21"/>
        </w:rPr>
        <w:t>重颅脑外伤和脑损害的证据。植物人状态必须持续 </w:t>
      </w:r>
      <w:r>
        <w:rPr>
          <w:sz w:val="21"/>
        </w:rPr>
        <w:t>30</w:t>
      </w:r>
      <w:r>
        <w:rPr>
          <w:spacing w:val="-9"/>
          <w:sz w:val="21"/>
        </w:rPr>
        <w:t> 天以上方可申请理赔。</w:t>
      </w:r>
    </w:p>
    <w:p>
      <w:pPr>
        <w:pStyle w:val="BodyText"/>
        <w:spacing w:before="6"/>
        <w:rPr>
          <w:sz w:val="25"/>
        </w:rPr>
      </w:pPr>
    </w:p>
    <w:p>
      <w:pPr>
        <w:pStyle w:val="ListParagraph"/>
        <w:numPr>
          <w:ilvl w:val="1"/>
          <w:numId w:val="13"/>
        </w:numPr>
        <w:tabs>
          <w:tab w:pos="473" w:val="left" w:leader="none"/>
          <w:tab w:pos="949" w:val="left" w:leader="none"/>
          <w:tab w:pos="2478" w:val="left" w:leader="none"/>
        </w:tabs>
        <w:spacing w:line="273" w:lineRule="auto" w:before="1" w:after="0"/>
        <w:ind w:left="2478" w:right="303" w:hanging="2324"/>
        <w:jc w:val="left"/>
        <w:rPr>
          <w:sz w:val="21"/>
        </w:rPr>
      </w:pPr>
      <w:r>
        <w:rPr>
          <w:b/>
          <w:sz w:val="21"/>
        </w:rPr>
        <w:t>．</w:t>
        <w:tab/>
        <w:t>意外伤害事故</w:t>
        <w:tab/>
      </w:r>
      <w:r>
        <w:rPr>
          <w:sz w:val="21"/>
        </w:rPr>
        <w:t>指遭受外来的、突发的、非本意的、非由疾病引起的使身体受到伤害的客观事件。</w:t>
      </w:r>
    </w:p>
    <w:p>
      <w:pPr>
        <w:pStyle w:val="BodyText"/>
        <w:spacing w:before="7"/>
        <w:rPr>
          <w:sz w:val="17"/>
        </w:rPr>
      </w:pPr>
    </w:p>
    <w:p>
      <w:pPr>
        <w:pStyle w:val="ListParagraph"/>
        <w:numPr>
          <w:ilvl w:val="1"/>
          <w:numId w:val="13"/>
        </w:numPr>
        <w:tabs>
          <w:tab w:pos="948" w:val="left" w:leader="none"/>
          <w:tab w:pos="949" w:val="left" w:leader="none"/>
          <w:tab w:pos="2478" w:val="left" w:leader="none"/>
        </w:tabs>
        <w:spacing w:line="273" w:lineRule="auto" w:before="0" w:after="0"/>
        <w:ind w:left="2478" w:right="111" w:hanging="2324"/>
        <w:jc w:val="left"/>
        <w:rPr>
          <w:sz w:val="21"/>
        </w:rPr>
      </w:pPr>
      <w:r>
        <w:rPr>
          <w:b/>
          <w:sz w:val="21"/>
        </w:rPr>
        <w:t>毒品</w:t>
        <w:tab/>
      </w:r>
      <w:r>
        <w:rPr>
          <w:spacing w:val="-1"/>
          <w:sz w:val="21"/>
        </w:rPr>
        <w:t>指中华人民共</w:t>
      </w:r>
      <w:r>
        <w:rPr>
          <w:sz w:val="21"/>
        </w:rPr>
        <w:t>和国刑法规定的鸦片</w:t>
      </w:r>
      <w:r>
        <w:rPr>
          <w:spacing w:val="-25"/>
          <w:sz w:val="21"/>
        </w:rPr>
        <w:t>、</w:t>
      </w:r>
      <w:r>
        <w:rPr>
          <w:sz w:val="21"/>
        </w:rPr>
        <w:t>海洛因</w:t>
      </w:r>
      <w:r>
        <w:rPr>
          <w:spacing w:val="-25"/>
          <w:sz w:val="21"/>
        </w:rPr>
        <w:t>、</w:t>
      </w:r>
      <w:r>
        <w:rPr>
          <w:sz w:val="21"/>
        </w:rPr>
        <w:t>甲基苯丙</w:t>
      </w:r>
      <w:r>
        <w:rPr>
          <w:spacing w:val="-25"/>
          <w:sz w:val="21"/>
        </w:rPr>
        <w:t>胺</w:t>
      </w:r>
      <w:r>
        <w:rPr>
          <w:sz w:val="21"/>
        </w:rPr>
        <w:t>（冰毒</w:t>
      </w:r>
      <w:r>
        <w:rPr>
          <w:spacing w:val="-105"/>
          <w:sz w:val="21"/>
        </w:rPr>
        <w:t>）</w:t>
      </w:r>
      <w:r>
        <w:rPr>
          <w:spacing w:val="-25"/>
          <w:sz w:val="21"/>
        </w:rPr>
        <w:t>、</w:t>
      </w:r>
      <w:r>
        <w:rPr>
          <w:sz w:val="21"/>
        </w:rPr>
        <w:t>吗啡</w:t>
      </w:r>
      <w:r>
        <w:rPr>
          <w:spacing w:val="-25"/>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9"/>
        <w:rPr>
          <w:sz w:val="22"/>
        </w:rPr>
      </w:pPr>
    </w:p>
    <w:p>
      <w:pPr>
        <w:pStyle w:val="ListParagraph"/>
        <w:numPr>
          <w:ilvl w:val="1"/>
          <w:numId w:val="13"/>
        </w:numPr>
        <w:tabs>
          <w:tab w:pos="949" w:val="left" w:leader="none"/>
        </w:tabs>
        <w:spacing w:line="273" w:lineRule="auto" w:before="0" w:after="0"/>
        <w:ind w:left="2478" w:right="303" w:hanging="2324"/>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27"/>
        </w:rPr>
      </w:pPr>
    </w:p>
    <w:p>
      <w:pPr>
        <w:spacing w:after="0"/>
        <w:rPr>
          <w:sz w:val="27"/>
        </w:rPr>
        <w:sectPr>
          <w:pgSz w:w="11910" w:h="16840"/>
          <w:pgMar w:header="0" w:footer="1008" w:top="1100" w:bottom="1200" w:left="980" w:right="1000"/>
        </w:sectPr>
      </w:pPr>
    </w:p>
    <w:p>
      <w:pPr>
        <w:pStyle w:val="Heading3"/>
        <w:numPr>
          <w:ilvl w:val="1"/>
          <w:numId w:val="13"/>
        </w:numPr>
        <w:tabs>
          <w:tab w:pos="948" w:val="left" w:leader="none"/>
          <w:tab w:pos="949" w:val="left" w:leader="none"/>
        </w:tabs>
        <w:spacing w:line="273" w:lineRule="auto" w:before="36" w:after="0"/>
        <w:ind w:left="948" w:right="0" w:hanging="794"/>
        <w:jc w:val="left"/>
      </w:pPr>
      <w:r>
        <w:rPr/>
        <w:pict>
          <v:shape style="position:absolute;margin-left:54.200748pt;margin-top:28.440548pt;width:478.25pt;height:222.5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323"/>
                  </w:tblGrid>
                  <w:tr>
                    <w:trPr>
                      <w:trHeight w:val="339" w:hRule="atLeast"/>
                    </w:trPr>
                    <w:tc>
                      <w:tcPr>
                        <w:tcW w:w="2241" w:type="dxa"/>
                        <w:gridSpan w:val="2"/>
                        <w:vMerge w:val="restart"/>
                      </w:tcPr>
                      <w:p>
                        <w:pPr>
                          <w:pStyle w:val="TableParagraph"/>
                          <w:spacing w:line="240" w:lineRule="auto"/>
                          <w:rPr>
                            <w:rFonts w:ascii="Times New Roman"/>
                            <w:sz w:val="20"/>
                          </w:rPr>
                        </w:pPr>
                      </w:p>
                    </w:tc>
                    <w:tc>
                      <w:tcPr>
                        <w:tcW w:w="7323" w:type="dxa"/>
                      </w:tcPr>
                      <w:p>
                        <w:pPr>
                          <w:pStyle w:val="TableParagraph"/>
                          <w:spacing w:line="210" w:lineRule="exact"/>
                          <w:ind w:left="133"/>
                          <w:rPr>
                            <w:sz w:val="21"/>
                          </w:rPr>
                        </w:pPr>
                        <w:r>
                          <w:rPr>
                            <w:sz w:val="21"/>
                          </w:rPr>
                          <w:t>1.没有取得驾驶资格；</w:t>
                        </w:r>
                      </w:p>
                    </w:tc>
                  </w:tr>
                  <w:tr>
                    <w:trPr>
                      <w:trHeight w:val="468" w:hRule="atLeast"/>
                    </w:trPr>
                    <w:tc>
                      <w:tcPr>
                        <w:tcW w:w="2241" w:type="dxa"/>
                        <w:gridSpan w:val="2"/>
                        <w:vMerge/>
                        <w:tcBorders>
                          <w:top w:val="nil"/>
                        </w:tcBorders>
                      </w:tcPr>
                      <w:p>
                        <w:pPr>
                          <w:rPr>
                            <w:sz w:val="2"/>
                            <w:szCs w:val="2"/>
                          </w:rPr>
                        </w:pPr>
                      </w:p>
                    </w:tc>
                    <w:tc>
                      <w:tcPr>
                        <w:tcW w:w="7323" w:type="dxa"/>
                      </w:tcPr>
                      <w:p>
                        <w:pPr>
                          <w:pStyle w:val="TableParagraph"/>
                          <w:spacing w:line="240" w:lineRule="auto" w:before="64"/>
                          <w:ind w:left="133"/>
                          <w:rPr>
                            <w:sz w:val="21"/>
                          </w:rPr>
                        </w:pPr>
                        <w:r>
                          <w:rPr>
                            <w:sz w:val="21"/>
                          </w:rPr>
                          <w:t>2.驾驶与驾驶证准驾车型不相符合的车辆；</w:t>
                        </w:r>
                      </w:p>
                    </w:tc>
                  </w:tr>
                  <w:tr>
                    <w:trPr>
                      <w:trHeight w:val="468" w:hRule="atLeast"/>
                    </w:trPr>
                    <w:tc>
                      <w:tcPr>
                        <w:tcW w:w="2241" w:type="dxa"/>
                        <w:gridSpan w:val="2"/>
                        <w:vMerge/>
                        <w:tcBorders>
                          <w:top w:val="nil"/>
                        </w:tcBorders>
                      </w:tcPr>
                      <w:p>
                        <w:pPr>
                          <w:rPr>
                            <w:sz w:val="2"/>
                            <w:szCs w:val="2"/>
                          </w:rPr>
                        </w:pPr>
                      </w:p>
                    </w:tc>
                    <w:tc>
                      <w:tcPr>
                        <w:tcW w:w="7323" w:type="dxa"/>
                      </w:tcPr>
                      <w:p>
                        <w:pPr>
                          <w:pStyle w:val="TableParagraph"/>
                          <w:spacing w:line="240" w:lineRule="auto" w:before="64"/>
                          <w:ind w:left="133"/>
                          <w:rPr>
                            <w:sz w:val="21"/>
                          </w:rPr>
                        </w:pPr>
                        <w:r>
                          <w:rPr>
                            <w:sz w:val="21"/>
                          </w:rPr>
                          <w:t>3.持审验不合格的驾驶证驾驶；</w:t>
                        </w:r>
                      </w:p>
                    </w:tc>
                  </w:tr>
                  <w:tr>
                    <w:trPr>
                      <w:trHeight w:val="864" w:hRule="atLeast"/>
                    </w:trPr>
                    <w:tc>
                      <w:tcPr>
                        <w:tcW w:w="2241" w:type="dxa"/>
                        <w:gridSpan w:val="2"/>
                        <w:vMerge/>
                        <w:tcBorders>
                          <w:top w:val="nil"/>
                        </w:tcBorders>
                      </w:tcPr>
                      <w:p>
                        <w:pPr>
                          <w:rPr>
                            <w:sz w:val="2"/>
                            <w:szCs w:val="2"/>
                          </w:rPr>
                        </w:pPr>
                      </w:p>
                    </w:tc>
                    <w:tc>
                      <w:tcPr>
                        <w:tcW w:w="7323" w:type="dxa"/>
                      </w:tcPr>
                      <w:p>
                        <w:pPr>
                          <w:pStyle w:val="TableParagraph"/>
                          <w:spacing w:line="273" w:lineRule="auto" w:before="64"/>
                          <w:ind w:left="133" w:right="47"/>
                          <w:rPr>
                            <w:sz w:val="21"/>
                          </w:rPr>
                        </w:pPr>
                        <w:r>
                          <w:rPr>
                            <w:sz w:val="21"/>
                          </w:rPr>
                          <w:t>4.持学习驾驶证学习驾车时，无教练员随车指导，或不按指定时间、路线学习驾车。</w:t>
                        </w:r>
                      </w:p>
                    </w:tc>
                  </w:tr>
                  <w:tr>
                    <w:trPr>
                      <w:trHeight w:val="552" w:hRule="atLeast"/>
                    </w:trPr>
                    <w:tc>
                      <w:tcPr>
                        <w:tcW w:w="659" w:type="dxa"/>
                      </w:tcPr>
                      <w:p>
                        <w:pPr>
                          <w:pStyle w:val="TableParagraph"/>
                          <w:spacing w:line="240" w:lineRule="auto" w:before="148"/>
                          <w:ind w:left="50"/>
                          <w:rPr>
                            <w:b/>
                            <w:sz w:val="21"/>
                          </w:rPr>
                        </w:pPr>
                        <w:r>
                          <w:rPr>
                            <w:b/>
                            <w:sz w:val="21"/>
                          </w:rPr>
                          <w:t>6.10</w:t>
                        </w:r>
                      </w:p>
                    </w:tc>
                    <w:tc>
                      <w:tcPr>
                        <w:tcW w:w="1582" w:type="dxa"/>
                      </w:tcPr>
                      <w:p>
                        <w:pPr>
                          <w:pStyle w:val="TableParagraph"/>
                          <w:spacing w:line="240" w:lineRule="auto" w:before="148"/>
                          <w:ind w:left="185"/>
                          <w:rPr>
                            <w:b/>
                            <w:sz w:val="21"/>
                          </w:rPr>
                        </w:pPr>
                        <w:r>
                          <w:rPr>
                            <w:b/>
                            <w:w w:val="95"/>
                            <w:sz w:val="21"/>
                          </w:rPr>
                          <w:t>无有效行驶证</w:t>
                        </w:r>
                      </w:p>
                    </w:tc>
                    <w:tc>
                      <w:tcPr>
                        <w:tcW w:w="7323" w:type="dxa"/>
                      </w:tcPr>
                      <w:p>
                        <w:pPr>
                          <w:pStyle w:val="TableParagraph"/>
                          <w:spacing w:line="240" w:lineRule="auto" w:before="148"/>
                          <w:ind w:left="133"/>
                          <w:rPr>
                            <w:sz w:val="21"/>
                          </w:rPr>
                        </w:pPr>
                        <w:r>
                          <w:rPr>
                            <w:sz w:val="21"/>
                          </w:rPr>
                          <w:t>指下列情形之一：</w:t>
                        </w:r>
                      </w:p>
                    </w:tc>
                  </w:tr>
                  <w:tr>
                    <w:trPr>
                      <w:trHeight w:val="468"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1.机动车被依法注销登记的；</w:t>
                        </w:r>
                      </w:p>
                    </w:tc>
                  </w:tr>
                  <w:tr>
                    <w:trPr>
                      <w:trHeight w:val="553"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2.未依法按时进行或通过机动车安全技术检验。</w:t>
                        </w:r>
                      </w:p>
                    </w:tc>
                  </w:tr>
                  <w:tr>
                    <w:trPr>
                      <w:trHeight w:val="475" w:hRule="atLeast"/>
                    </w:trPr>
                    <w:tc>
                      <w:tcPr>
                        <w:tcW w:w="659" w:type="dxa"/>
                      </w:tcPr>
                      <w:p>
                        <w:pPr>
                          <w:pStyle w:val="TableParagraph"/>
                          <w:spacing w:line="240" w:lineRule="auto" w:before="149"/>
                          <w:ind w:left="50"/>
                          <w:rPr>
                            <w:b/>
                            <w:sz w:val="21"/>
                          </w:rPr>
                        </w:pPr>
                        <w:r>
                          <w:rPr>
                            <w:b/>
                            <w:sz w:val="21"/>
                          </w:rPr>
                          <w:t>6.11</w:t>
                        </w:r>
                      </w:p>
                    </w:tc>
                    <w:tc>
                      <w:tcPr>
                        <w:tcW w:w="1582" w:type="dxa"/>
                      </w:tcPr>
                      <w:p>
                        <w:pPr>
                          <w:pStyle w:val="TableParagraph"/>
                          <w:spacing w:line="240" w:lineRule="auto" w:before="149"/>
                          <w:ind w:left="185"/>
                          <w:rPr>
                            <w:b/>
                            <w:sz w:val="21"/>
                          </w:rPr>
                        </w:pPr>
                        <w:r>
                          <w:rPr>
                            <w:b/>
                            <w:sz w:val="21"/>
                          </w:rPr>
                          <w:t>机动车</w:t>
                        </w:r>
                      </w:p>
                    </w:tc>
                    <w:tc>
                      <w:tcPr>
                        <w:tcW w:w="7323" w:type="dxa"/>
                      </w:tcPr>
                      <w:p>
                        <w:pPr>
                          <w:pStyle w:val="TableParagraph"/>
                          <w:spacing w:line="240" w:lineRule="auto" w:before="149"/>
                          <w:ind w:left="133"/>
                          <w:rPr>
                            <w:sz w:val="21"/>
                          </w:rPr>
                        </w:pPr>
                        <w:r>
                          <w:rPr>
                            <w:sz w:val="21"/>
                          </w:rPr>
                          <w:t>指以动力装置驱动或者牵引，上道路行驶的供人员乘用或者用于运送物品以及</w:t>
                        </w:r>
                      </w:p>
                    </w:tc>
                  </w:tr>
                  <w:tr>
                    <w:trPr>
                      <w:trHeight w:val="260" w:hRule="atLeast"/>
                    </w:trPr>
                    <w:tc>
                      <w:tcPr>
                        <w:tcW w:w="659" w:type="dxa"/>
                      </w:tcPr>
                      <w:p>
                        <w:pPr>
                          <w:pStyle w:val="TableParagraph"/>
                          <w:spacing w:line="240" w:lineRule="auto"/>
                          <w:rPr>
                            <w:rFonts w:ascii="Times New Roman"/>
                            <w:sz w:val="18"/>
                          </w:rPr>
                        </w:pPr>
                      </w:p>
                    </w:tc>
                    <w:tc>
                      <w:tcPr>
                        <w:tcW w:w="1582" w:type="dxa"/>
                      </w:tcPr>
                      <w:p>
                        <w:pPr>
                          <w:pStyle w:val="TableParagraph"/>
                          <w:spacing w:line="240" w:lineRule="auto"/>
                          <w:rPr>
                            <w:rFonts w:ascii="Times New Roman"/>
                            <w:sz w:val="18"/>
                          </w:rPr>
                        </w:pPr>
                      </w:p>
                    </w:tc>
                    <w:tc>
                      <w:tcPr>
                        <w:tcW w:w="7323" w:type="dxa"/>
                      </w:tcPr>
                      <w:p>
                        <w:pPr>
                          <w:pStyle w:val="TableParagraph"/>
                          <w:spacing w:line="241" w:lineRule="exact"/>
                          <w:ind w:left="133"/>
                          <w:rPr>
                            <w:sz w:val="21"/>
                          </w:rPr>
                        </w:pPr>
                        <w:r>
                          <w:rPr>
                            <w:sz w:val="21"/>
                          </w:rPr>
                          <w:t>进行工程专项作业的轮式车辆。</w:t>
                        </w:r>
                      </w:p>
                    </w:tc>
                  </w:tr>
                </w:tbl>
                <w:p>
                  <w:pPr>
                    <w:pStyle w:val="BodyText"/>
                  </w:pPr>
                </w:p>
              </w:txbxContent>
            </v:textbox>
            <w10:wrap type="none"/>
          </v:shape>
        </w:pict>
      </w:r>
      <w:r>
        <w:rPr>
          <w:w w:val="95"/>
        </w:rPr>
        <w:t>无合法有效驾</w:t>
      </w:r>
      <w:r>
        <w:rPr/>
        <w:t>驶证驾驶</w:t>
      </w:r>
    </w:p>
    <w:p>
      <w:pPr>
        <w:pStyle w:val="BodyText"/>
        <w:spacing w:before="36"/>
        <w:ind w:left="154"/>
      </w:pPr>
      <w:r>
        <w:rPr/>
        <w:br w:type="column"/>
      </w:r>
      <w:r>
        <w:rPr/>
        <w:t>指下列情形之一：</w:t>
      </w:r>
    </w:p>
    <w:p>
      <w:pPr>
        <w:spacing w:after="0"/>
        <w:sectPr>
          <w:type w:val="continuous"/>
          <w:pgSz w:w="11910" w:h="16840"/>
          <w:pgMar w:top="1600" w:bottom="1200" w:left="980" w:right="1000"/>
          <w:cols w:num="2" w:equalWidth="0">
            <w:col w:w="2213" w:space="112"/>
            <w:col w:w="7605"/>
          </w:cols>
        </w:sectPr>
      </w:pPr>
    </w:p>
    <w:p>
      <w:pPr>
        <w:pStyle w:val="Heading3"/>
        <w:numPr>
          <w:ilvl w:val="1"/>
          <w:numId w:val="14"/>
        </w:numPr>
        <w:tabs>
          <w:tab w:pos="948" w:val="left" w:leader="none"/>
          <w:tab w:pos="949" w:val="left" w:leader="none"/>
        </w:tabs>
        <w:spacing w:line="240" w:lineRule="auto" w:before="19" w:after="0"/>
        <w:ind w:left="2478" w:right="0" w:hanging="2324"/>
        <w:jc w:val="left"/>
      </w:pPr>
      <w:r>
        <w:rPr>
          <w:w w:val="95"/>
        </w:rPr>
        <w:t>感染艾滋病病</w:t>
      </w:r>
    </w:p>
    <w:p>
      <w:pPr>
        <w:spacing w:before="37"/>
        <w:ind w:left="948" w:right="0" w:firstLine="0"/>
        <w:jc w:val="left"/>
        <w:rPr>
          <w:b/>
          <w:sz w:val="21"/>
        </w:rPr>
      </w:pPr>
      <w:r>
        <w:rPr>
          <w:b/>
          <w:w w:val="95"/>
          <w:sz w:val="21"/>
        </w:rPr>
        <w:t>毒或患艾滋病</w:t>
      </w:r>
    </w:p>
    <w:p>
      <w:pPr>
        <w:pStyle w:val="BodyText"/>
        <w:spacing w:line="273" w:lineRule="auto" w:before="19"/>
        <w:ind w:left="154" w:right="217"/>
        <w:jc w:val="both"/>
      </w:pPr>
      <w:r>
        <w:rPr/>
        <w:br w:type="column"/>
      </w:r>
      <w:r>
        <w:rPr>
          <w:spacing w:val="-7"/>
        </w:rPr>
        <w:t>艾滋病病毒指人类免疫缺陷病毒，英文缩写为 </w:t>
      </w:r>
      <w:r>
        <w:rPr/>
        <w:t>HIV</w:t>
      </w:r>
      <w:r>
        <w:rPr>
          <w:spacing w:val="-6"/>
        </w:rPr>
        <w:t>。艾滋病指人类免疫缺陷病毒</w:t>
      </w:r>
      <w:r>
        <w:rPr>
          <w:spacing w:val="-9"/>
        </w:rPr>
        <w:t>引起的获得性免疫缺陷综合征，英文缩写为 </w:t>
      </w:r>
      <w:r>
        <w:rPr/>
        <w:t>AIDS。</w:t>
      </w:r>
    </w:p>
    <w:p>
      <w:pPr>
        <w:pStyle w:val="BodyText"/>
        <w:spacing w:line="273" w:lineRule="auto" w:before="163"/>
        <w:ind w:left="154" w:right="305"/>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pgSz w:w="11910" w:h="16840"/>
          <w:pgMar w:header="0" w:footer="1008" w:top="1100" w:bottom="1200" w:left="980" w:right="1000"/>
          <w:cols w:num="2" w:equalWidth="0">
            <w:col w:w="2213" w:space="112"/>
            <w:col w:w="7605"/>
          </w:cols>
        </w:sectPr>
      </w:pPr>
    </w:p>
    <w:p>
      <w:pPr>
        <w:pStyle w:val="BodyText"/>
        <w:spacing w:before="10"/>
        <w:rPr>
          <w:sz w:val="22"/>
        </w:rPr>
      </w:pPr>
    </w:p>
    <w:p>
      <w:pPr>
        <w:pStyle w:val="ListParagraph"/>
        <w:numPr>
          <w:ilvl w:val="1"/>
          <w:numId w:val="14"/>
        </w:numPr>
        <w:tabs>
          <w:tab w:pos="948" w:val="left" w:leader="none"/>
          <w:tab w:pos="949" w:val="left" w:leader="none"/>
          <w:tab w:pos="2478" w:val="left" w:leader="none"/>
        </w:tabs>
        <w:spacing w:line="273" w:lineRule="auto" w:before="35" w:after="0"/>
        <w:ind w:left="2478" w:right="305" w:hanging="2324"/>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12"/>
        <w:rPr>
          <w:sz w:val="28"/>
        </w:rPr>
      </w:pPr>
    </w:p>
    <w:p>
      <w:pPr>
        <w:spacing w:after="0"/>
        <w:rPr>
          <w:sz w:val="28"/>
        </w:rPr>
        <w:sectPr>
          <w:type w:val="continuous"/>
          <w:pgSz w:w="11910" w:h="16840"/>
          <w:pgMar w:top="1600" w:bottom="1200" w:left="980" w:right="1000"/>
        </w:sectPr>
      </w:pPr>
    </w:p>
    <w:p>
      <w:pPr>
        <w:pStyle w:val="Heading3"/>
        <w:numPr>
          <w:ilvl w:val="1"/>
          <w:numId w:val="14"/>
        </w:numPr>
        <w:tabs>
          <w:tab w:pos="948" w:val="left" w:leader="none"/>
          <w:tab w:pos="949" w:val="left" w:leader="none"/>
        </w:tabs>
        <w:spacing w:line="240" w:lineRule="auto" w:before="35" w:after="0"/>
        <w:ind w:left="2478" w:right="0" w:hanging="2324"/>
        <w:jc w:val="left"/>
      </w:pPr>
      <w:r>
        <w:rPr>
          <w:w w:val="95"/>
        </w:rPr>
        <w:t>先天性畸形、</w:t>
      </w:r>
    </w:p>
    <w:p>
      <w:pPr>
        <w:spacing w:line="273" w:lineRule="auto" w:before="36"/>
        <w:ind w:left="948" w:right="0" w:firstLine="0"/>
        <w:jc w:val="left"/>
        <w:rPr>
          <w:b/>
          <w:sz w:val="21"/>
        </w:rPr>
      </w:pPr>
      <w:r>
        <w:rPr>
          <w:b/>
          <w:w w:val="95"/>
          <w:sz w:val="21"/>
        </w:rPr>
        <w:t>变形或染色体</w:t>
      </w:r>
      <w:r>
        <w:rPr>
          <w:b/>
          <w:sz w:val="21"/>
        </w:rPr>
        <w:t>异常</w:t>
      </w:r>
    </w:p>
    <w:p>
      <w:pPr>
        <w:pStyle w:val="BodyText"/>
        <w:spacing w:line="273" w:lineRule="auto" w:before="35"/>
        <w:ind w:left="153" w:right="303"/>
      </w:pPr>
      <w:r>
        <w:rPr/>
        <w:br w:type="column"/>
      </w:r>
      <w:r>
        <w:rPr/>
        <w:t>先天性畸形、变形和染色体异常依照世界卫生组织《疾病和有关健康问题的国际统计分类》（ICD-10）确定。</w:t>
      </w:r>
    </w:p>
    <w:p>
      <w:pPr>
        <w:spacing w:after="0" w:line="273" w:lineRule="auto"/>
        <w:sectPr>
          <w:type w:val="continuous"/>
          <w:pgSz w:w="11910" w:h="16840"/>
          <w:pgMar w:top="1600" w:bottom="1200" w:left="980" w:right="1000"/>
          <w:cols w:num="2" w:equalWidth="0">
            <w:col w:w="2213" w:space="112"/>
            <w:col w:w="7605"/>
          </w:cols>
        </w:sectPr>
      </w:pPr>
    </w:p>
    <w:p>
      <w:pPr>
        <w:pStyle w:val="BodyText"/>
        <w:rPr>
          <w:sz w:val="20"/>
        </w:rPr>
      </w:pPr>
    </w:p>
    <w:p>
      <w:pPr>
        <w:pStyle w:val="BodyText"/>
        <w:spacing w:before="2"/>
        <w:rPr>
          <w:sz w:val="14"/>
        </w:rPr>
      </w:pPr>
    </w:p>
    <w:p>
      <w:pPr>
        <w:pStyle w:val="ListParagraph"/>
        <w:numPr>
          <w:ilvl w:val="1"/>
          <w:numId w:val="14"/>
        </w:numPr>
        <w:tabs>
          <w:tab w:pos="948" w:val="left" w:leader="none"/>
          <w:tab w:pos="949" w:val="left" w:leader="none"/>
          <w:tab w:pos="2478" w:val="left" w:leader="none"/>
        </w:tabs>
        <w:spacing w:line="273" w:lineRule="auto" w:before="35" w:after="0"/>
        <w:ind w:left="2478" w:right="298" w:hanging="2324"/>
        <w:jc w:val="left"/>
        <w:rPr>
          <w:b/>
          <w:sz w:val="21"/>
        </w:rPr>
      </w:pPr>
      <w:r>
        <w:rPr>
          <w:b/>
          <w:sz w:val="21"/>
        </w:rPr>
        <w:t>现金价值</w:t>
        <w:tab/>
      </w:r>
      <w:r>
        <w:rPr>
          <w:sz w:val="21"/>
        </w:rPr>
        <w:t>指保险单所具有的价值，通常体现为解除合同时，根据精算原理计算的，由我们退还的那部分金额。本附加合同的现金价值为扣除手续费后的</w:t>
      </w:r>
      <w:r>
        <w:rPr>
          <w:b/>
          <w:sz w:val="21"/>
        </w:rPr>
        <w:t>未到期保险费</w:t>
      </w:r>
    </w:p>
    <w:p>
      <w:pPr>
        <w:pStyle w:val="BodyText"/>
        <w:spacing w:line="283" w:lineRule="exact"/>
        <w:ind w:left="2478"/>
      </w:pPr>
      <w:r>
        <w:rPr/>
        <w:t>（</w:t>
      </w:r>
      <w:r>
        <w:rPr>
          <w:spacing w:val="-27"/>
        </w:rPr>
        <w:t>见 </w:t>
      </w:r>
      <w:r>
        <w:rPr/>
        <w:t>6</w:t>
      </w:r>
      <w:r>
        <w:rPr>
          <w:spacing w:val="-1"/>
        </w:rPr>
        <w:t>.</w:t>
      </w:r>
      <w:r>
        <w:rPr/>
        <w:t>2</w:t>
      </w:r>
      <w:r>
        <w:rPr>
          <w:spacing w:val="-1"/>
        </w:rPr>
        <w:t>0</w:t>
      </w:r>
      <w:r>
        <w:rPr>
          <w:spacing w:val="-105"/>
        </w:rPr>
        <w:t>）</w:t>
      </w:r>
      <w:r>
        <w:rPr>
          <w:spacing w:val="-1"/>
        </w:rPr>
        <w:t>。其中，手续费</w:t>
      </w:r>
      <w:r>
        <w:rPr/>
        <w:t>=35%</w:t>
      </w:r>
      <w:r>
        <w:rPr>
          <w:spacing w:val="-87"/>
        </w:rPr>
        <w:t> </w:t>
      </w:r>
      <w:r>
        <w:rPr>
          <w:rFonts w:ascii="Symbol" w:hAnsi="Symbol" w:eastAsia="Symbol"/>
          <w:spacing w:val="25"/>
          <w:w w:val="100"/>
          <w:position w:val="4"/>
          <w:sz w:val="24"/>
        </w:rPr>
        <w:t></w:t>
      </w:r>
      <w:r>
        <w:rPr/>
        <w:t>未到期保险费。</w:t>
      </w:r>
    </w:p>
    <w:p>
      <w:pPr>
        <w:pStyle w:val="BodyText"/>
        <w:spacing w:before="3"/>
      </w:pPr>
    </w:p>
    <w:p>
      <w:pPr>
        <w:spacing w:after="0"/>
        <w:sectPr>
          <w:type w:val="continuous"/>
          <w:pgSz w:w="11910" w:h="16840"/>
          <w:pgMar w:top="1600" w:bottom="1200" w:left="980" w:right="1000"/>
        </w:sectPr>
      </w:pPr>
    </w:p>
    <w:p>
      <w:pPr>
        <w:pStyle w:val="Heading3"/>
        <w:numPr>
          <w:ilvl w:val="1"/>
          <w:numId w:val="14"/>
        </w:numPr>
        <w:tabs>
          <w:tab w:pos="948" w:val="left" w:leader="none"/>
          <w:tab w:pos="949" w:val="left" w:leader="none"/>
        </w:tabs>
        <w:spacing w:line="273" w:lineRule="auto" w:before="36" w:after="0"/>
        <w:ind w:left="948" w:right="0" w:hanging="795"/>
        <w:jc w:val="left"/>
      </w:pPr>
      <w:r>
        <w:rPr>
          <w:w w:val="95"/>
        </w:rPr>
        <w:t>肢体机能完全</w:t>
      </w:r>
      <w:r>
        <w:rPr/>
        <w:t>丧失</w:t>
      </w:r>
    </w:p>
    <w:p>
      <w:pPr>
        <w:pStyle w:val="BodyText"/>
        <w:spacing w:line="273" w:lineRule="auto" w:before="36"/>
        <w:ind w:left="153" w:right="304"/>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1600" w:bottom="1200" w:left="980" w:right="1000"/>
          <w:cols w:num="2" w:equalWidth="0">
            <w:col w:w="2212" w:space="112"/>
            <w:col w:w="7606"/>
          </w:cols>
        </w:sectPr>
      </w:pPr>
    </w:p>
    <w:p>
      <w:pPr>
        <w:pStyle w:val="BodyText"/>
      </w:pPr>
    </w:p>
    <w:p>
      <w:pPr>
        <w:spacing w:after="0"/>
        <w:sectPr>
          <w:type w:val="continuous"/>
          <w:pgSz w:w="11910" w:h="16840"/>
          <w:pgMar w:top="1600" w:bottom="1200" w:left="980" w:right="1000"/>
        </w:sectPr>
      </w:pPr>
    </w:p>
    <w:p>
      <w:pPr>
        <w:pStyle w:val="Heading3"/>
        <w:numPr>
          <w:ilvl w:val="1"/>
          <w:numId w:val="14"/>
        </w:numPr>
        <w:tabs>
          <w:tab w:pos="948" w:val="left" w:leader="none"/>
          <w:tab w:pos="949" w:val="left" w:leader="none"/>
        </w:tabs>
        <w:spacing w:line="240" w:lineRule="auto" w:before="35" w:after="0"/>
        <w:ind w:left="948" w:right="0" w:hanging="795"/>
        <w:jc w:val="left"/>
      </w:pPr>
      <w:r>
        <w:rPr>
          <w:w w:val="95"/>
        </w:rPr>
        <w:t>语言能力或咀</w:t>
      </w:r>
    </w:p>
    <w:p>
      <w:pPr>
        <w:spacing w:line="273" w:lineRule="auto" w:before="36"/>
        <w:ind w:left="948" w:right="0" w:firstLine="0"/>
        <w:jc w:val="left"/>
        <w:rPr>
          <w:b/>
          <w:sz w:val="21"/>
        </w:rPr>
      </w:pPr>
      <w:r>
        <w:rPr>
          <w:b/>
          <w:w w:val="95"/>
          <w:sz w:val="21"/>
        </w:rPr>
        <w:t>嚼吞咽能力完</w:t>
      </w:r>
      <w:r>
        <w:rPr>
          <w:b/>
          <w:sz w:val="21"/>
        </w:rPr>
        <w:t>全丧失</w:t>
      </w:r>
    </w:p>
    <w:p>
      <w:pPr>
        <w:pStyle w:val="BodyText"/>
        <w:spacing w:line="273" w:lineRule="auto" w:before="35"/>
        <w:ind w:left="153" w:right="112"/>
      </w:pPr>
      <w:r>
        <w:rPr/>
        <w:br w:type="column"/>
      </w:r>
      <w:r>
        <w:rPr/>
        <w:t>语言能力完全丧失，指无法发出四种语音（包括口唇音、齿舌音、口盖音和喉头音</w:t>
      </w:r>
      <w:r>
        <w:rPr>
          <w:spacing w:val="-7"/>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600" w:bottom="1200" w:left="980" w:right="1000"/>
          <w:cols w:num="2" w:equalWidth="0">
            <w:col w:w="2212" w:space="112"/>
            <w:col w:w="7606"/>
          </w:cols>
        </w:sectPr>
      </w:pPr>
    </w:p>
    <w:p>
      <w:pPr>
        <w:pStyle w:val="BodyText"/>
        <w:spacing w:before="9"/>
        <w:rPr>
          <w:sz w:val="20"/>
        </w:rPr>
      </w:pPr>
    </w:p>
    <w:p>
      <w:pPr>
        <w:spacing w:after="0"/>
        <w:rPr>
          <w:sz w:val="20"/>
        </w:rPr>
        <w:sectPr>
          <w:type w:val="continuous"/>
          <w:pgSz w:w="11910" w:h="16840"/>
          <w:pgMar w:top="1600" w:bottom="1200" w:left="980" w:right="1000"/>
        </w:sectPr>
      </w:pPr>
    </w:p>
    <w:p>
      <w:pPr>
        <w:pStyle w:val="Heading3"/>
        <w:numPr>
          <w:ilvl w:val="1"/>
          <w:numId w:val="14"/>
        </w:numPr>
        <w:tabs>
          <w:tab w:pos="948" w:val="left" w:leader="none"/>
          <w:tab w:pos="949" w:val="left" w:leader="none"/>
        </w:tabs>
        <w:spacing w:line="240" w:lineRule="auto" w:before="35" w:after="0"/>
        <w:ind w:left="948" w:right="0" w:hanging="795"/>
        <w:jc w:val="left"/>
      </w:pPr>
      <w:r>
        <w:rPr>
          <w:w w:val="95"/>
        </w:rPr>
        <w:t>六项基本日常</w:t>
      </w:r>
    </w:p>
    <w:p>
      <w:pPr>
        <w:spacing w:before="37"/>
        <w:ind w:left="948" w:right="0" w:firstLine="0"/>
        <w:jc w:val="left"/>
        <w:rPr>
          <w:b/>
          <w:sz w:val="21"/>
        </w:rPr>
      </w:pPr>
      <w:r>
        <w:rPr/>
        <w:pict>
          <v:shape style="position:absolute;margin-left:54.195648pt;margin-top:12.890673pt;width:478.25pt;height:182.2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323"/>
                  </w:tblGrid>
                  <w:tr>
                    <w:trPr>
                      <w:trHeight w:val="339"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10" w:lineRule="exact"/>
                          <w:ind w:left="133"/>
                          <w:rPr>
                            <w:sz w:val="21"/>
                          </w:rPr>
                        </w:pPr>
                        <w:r>
                          <w:rPr>
                            <w:sz w:val="21"/>
                          </w:rPr>
                          <w:t>（2）移动：自己从一个房间到另一个房间；</w:t>
                        </w:r>
                      </w:p>
                    </w:tc>
                  </w:tr>
                  <w:tr>
                    <w:trPr>
                      <w:trHeight w:val="468"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（3）行动：自己上下床或上下轮椅；</w:t>
                        </w:r>
                      </w:p>
                    </w:tc>
                  </w:tr>
                  <w:tr>
                    <w:trPr>
                      <w:trHeight w:val="468"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（4）如厕：自己控制进行大小便；</w:t>
                        </w:r>
                      </w:p>
                    </w:tc>
                  </w:tr>
                  <w:tr>
                    <w:trPr>
                      <w:trHeight w:val="468"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（5）进食：自己从已准备好的碗或碟中取食物放入口中；</w:t>
                        </w:r>
                      </w:p>
                    </w:tc>
                  </w:tr>
                  <w:tr>
                    <w:trPr>
                      <w:trHeight w:val="528" w:hRule="atLeast"/>
                    </w:trPr>
                    <w:tc>
                      <w:tcPr>
                        <w:tcW w:w="659" w:type="dxa"/>
                      </w:tcPr>
                      <w:p>
                        <w:pPr>
                          <w:pStyle w:val="TableParagraph"/>
                          <w:spacing w:line="240" w:lineRule="auto"/>
                          <w:rPr>
                            <w:rFonts w:ascii="Times New Roman"/>
                            <w:sz w:val="20"/>
                          </w:rPr>
                        </w:pPr>
                      </w:p>
                    </w:tc>
                    <w:tc>
                      <w:tcPr>
                        <w:tcW w:w="1582" w:type="dxa"/>
                      </w:tcPr>
                      <w:p>
                        <w:pPr>
                          <w:pStyle w:val="TableParagraph"/>
                          <w:spacing w:line="240" w:lineRule="auto"/>
                          <w:rPr>
                            <w:rFonts w:ascii="Times New Roman"/>
                            <w:sz w:val="20"/>
                          </w:rPr>
                        </w:pPr>
                      </w:p>
                    </w:tc>
                    <w:tc>
                      <w:tcPr>
                        <w:tcW w:w="7323" w:type="dxa"/>
                      </w:tcPr>
                      <w:p>
                        <w:pPr>
                          <w:pStyle w:val="TableParagraph"/>
                          <w:spacing w:line="240" w:lineRule="auto" w:before="64"/>
                          <w:ind w:left="133"/>
                          <w:rPr>
                            <w:sz w:val="21"/>
                          </w:rPr>
                        </w:pPr>
                        <w:r>
                          <w:rPr>
                            <w:sz w:val="21"/>
                          </w:rPr>
                          <w:t>（6）洗澡：自己进行淋浴或盆浴。</w:t>
                        </w:r>
                      </w:p>
                    </w:tc>
                  </w:tr>
                  <w:tr>
                    <w:trPr>
                      <w:trHeight w:val="936" w:hRule="atLeast"/>
                    </w:trPr>
                    <w:tc>
                      <w:tcPr>
                        <w:tcW w:w="659" w:type="dxa"/>
                      </w:tcPr>
                      <w:p>
                        <w:pPr>
                          <w:pStyle w:val="TableParagraph"/>
                          <w:spacing w:line="240" w:lineRule="auto" w:before="124"/>
                          <w:ind w:left="50"/>
                          <w:rPr>
                            <w:b/>
                            <w:sz w:val="21"/>
                          </w:rPr>
                        </w:pPr>
                        <w:r>
                          <w:rPr>
                            <w:b/>
                            <w:sz w:val="21"/>
                          </w:rPr>
                          <w:t>6.19</w:t>
                        </w:r>
                      </w:p>
                    </w:tc>
                    <w:tc>
                      <w:tcPr>
                        <w:tcW w:w="1582" w:type="dxa"/>
                      </w:tcPr>
                      <w:p>
                        <w:pPr>
                          <w:pStyle w:val="TableParagraph"/>
                          <w:spacing w:line="240" w:lineRule="auto" w:before="124"/>
                          <w:ind w:left="185"/>
                          <w:rPr>
                            <w:b/>
                            <w:sz w:val="21"/>
                          </w:rPr>
                        </w:pPr>
                        <w:r>
                          <w:rPr>
                            <w:b/>
                            <w:w w:val="95"/>
                            <w:sz w:val="21"/>
                          </w:rPr>
                          <w:t>永久不可逆</w:t>
                        </w:r>
                      </w:p>
                    </w:tc>
                    <w:tc>
                      <w:tcPr>
                        <w:tcW w:w="7323" w:type="dxa"/>
                      </w:tcPr>
                      <w:p>
                        <w:pPr>
                          <w:pStyle w:val="TableParagraph"/>
                          <w:spacing w:line="273" w:lineRule="auto" w:before="124"/>
                          <w:ind w:left="133" w:right="47"/>
                          <w:rPr>
                            <w:sz w:val="21"/>
                          </w:rPr>
                        </w:pPr>
                        <w:r>
                          <w:rPr>
                            <w:spacing w:val="-3"/>
                            <w:sz w:val="21"/>
                          </w:rPr>
                          <w:t>指自疾病确诊或意外伤害发生之日起，经过积极治疗 </w:t>
                        </w:r>
                        <w:r>
                          <w:rPr>
                            <w:sz w:val="21"/>
                          </w:rPr>
                          <w:t>180</w:t>
                        </w:r>
                        <w:r>
                          <w:rPr>
                            <w:spacing w:val="-8"/>
                            <w:sz w:val="21"/>
                          </w:rPr>
                          <w:t> 天后，仍无法通过现有医疗手段恢复。</w:t>
                        </w:r>
                      </w:p>
                    </w:tc>
                  </w:tr>
                  <w:tr>
                    <w:trPr>
                      <w:trHeight w:val="435" w:hRule="atLeast"/>
                    </w:trPr>
                    <w:tc>
                      <w:tcPr>
                        <w:tcW w:w="659" w:type="dxa"/>
                      </w:tcPr>
                      <w:p>
                        <w:pPr>
                          <w:pStyle w:val="TableParagraph"/>
                          <w:spacing w:line="255" w:lineRule="exact" w:before="160"/>
                          <w:ind w:left="50"/>
                          <w:rPr>
                            <w:b/>
                            <w:sz w:val="21"/>
                          </w:rPr>
                        </w:pPr>
                        <w:r>
                          <w:rPr>
                            <w:b/>
                            <w:sz w:val="21"/>
                          </w:rPr>
                          <w:t>6.20</w:t>
                        </w:r>
                      </w:p>
                    </w:tc>
                    <w:tc>
                      <w:tcPr>
                        <w:tcW w:w="1582" w:type="dxa"/>
                      </w:tcPr>
                      <w:p>
                        <w:pPr>
                          <w:pStyle w:val="TableParagraph"/>
                          <w:spacing w:line="255" w:lineRule="exact" w:before="160"/>
                          <w:ind w:left="185"/>
                          <w:rPr>
                            <w:b/>
                            <w:sz w:val="21"/>
                          </w:rPr>
                        </w:pPr>
                        <w:r>
                          <w:rPr>
                            <w:b/>
                            <w:w w:val="95"/>
                            <w:sz w:val="21"/>
                          </w:rPr>
                          <w:t>未到期保险费</w:t>
                        </w:r>
                      </w:p>
                    </w:tc>
                    <w:tc>
                      <w:tcPr>
                        <w:tcW w:w="7323" w:type="dxa"/>
                      </w:tcPr>
                      <w:p>
                        <w:pPr>
                          <w:pStyle w:val="TableParagraph"/>
                          <w:spacing w:line="255" w:lineRule="exact" w:before="160"/>
                          <w:ind w:left="133"/>
                          <w:rPr>
                            <w:sz w:val="21"/>
                          </w:rPr>
                        </w:pPr>
                        <w:r>
                          <w:rPr>
                            <w:spacing w:val="-1"/>
                            <w:sz w:val="21"/>
                          </w:rPr>
                          <w:t>未到期保险费= 保险费</w:t>
                        </w:r>
                        <w:r>
                          <w:rPr>
                            <w:sz w:val="21"/>
                          </w:rPr>
                          <w:t>×（未经过天数/365</w:t>
                        </w:r>
                        <w:r>
                          <w:rPr>
                            <w:spacing w:val="-104"/>
                            <w:sz w:val="21"/>
                          </w:rPr>
                          <w:t>）</w:t>
                        </w:r>
                        <w:r>
                          <w:rPr>
                            <w:sz w:val="21"/>
                          </w:rPr>
                          <w:t>。</w:t>
                        </w:r>
                      </w:p>
                    </w:tc>
                  </w:tr>
                </w:tbl>
                <w:p>
                  <w:pPr>
                    <w:pStyle w:val="BodyText"/>
                  </w:pPr>
                </w:p>
              </w:txbxContent>
            </v:textbox>
            <w10:wrap type="none"/>
          </v:shape>
        </w:pict>
      </w:r>
      <w:r>
        <w:rPr>
          <w:b/>
          <w:sz w:val="21"/>
        </w:rPr>
        <w:t>生活活动</w:t>
      </w:r>
    </w:p>
    <w:p>
      <w:pPr>
        <w:pStyle w:val="BodyText"/>
        <w:spacing w:before="35"/>
        <w:ind w:left="153"/>
      </w:pPr>
      <w:r>
        <w:rPr/>
        <w:br w:type="column"/>
      </w:r>
      <w:r>
        <w:rPr/>
        <w:t>（1）穿衣：自己能够穿衣及脱衣；</w:t>
      </w:r>
    </w:p>
    <w:p>
      <w:pPr>
        <w:spacing w:after="0"/>
        <w:sectPr>
          <w:type w:val="continuous"/>
          <w:pgSz w:w="11910" w:h="16840"/>
          <w:pgMar w:top="1600" w:bottom="1200" w:left="980" w:right="1000"/>
          <w:cols w:num="2" w:equalWidth="0">
            <w:col w:w="2212" w:space="112"/>
            <w:col w:w="7606"/>
          </w:cols>
        </w:sectPr>
      </w:pPr>
    </w:p>
    <w:p>
      <w:pPr>
        <w:pStyle w:val="BodyText"/>
        <w:spacing w:before="18"/>
        <w:ind w:left="114"/>
      </w:pPr>
      <w:r>
        <w:rPr/>
        <w:t>附表一：基本保险金额表</w:t>
      </w:r>
    </w:p>
    <w:p>
      <w:pPr>
        <w:pStyle w:val="BodyText"/>
        <w:rPr>
          <w:sz w:val="20"/>
        </w:rPr>
      </w:pPr>
    </w:p>
    <w:p>
      <w:pPr>
        <w:pStyle w:val="BodyText"/>
        <w:spacing w:before="8"/>
        <w:rPr>
          <w:sz w:val="16"/>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517"/>
        <w:gridCol w:w="1516"/>
        <w:gridCol w:w="1220"/>
        <w:gridCol w:w="1516"/>
        <w:gridCol w:w="1516"/>
      </w:tblGrid>
      <w:tr>
        <w:trPr>
          <w:trHeight w:val="311" w:hRule="atLeast"/>
        </w:trPr>
        <w:tc>
          <w:tcPr>
            <w:tcW w:w="8504" w:type="dxa"/>
            <w:gridSpan w:val="6"/>
          </w:tcPr>
          <w:p>
            <w:pPr>
              <w:pStyle w:val="TableParagraph"/>
              <w:ind w:left="1750"/>
              <w:rPr>
                <w:sz w:val="20"/>
              </w:rPr>
            </w:pPr>
            <w:r>
              <w:rPr>
                <w:sz w:val="20"/>
              </w:rPr>
              <w:t>华泰人寿附加吉康额外给付重大疾病保险基本保险金额表</w:t>
            </w:r>
          </w:p>
        </w:tc>
      </w:tr>
      <w:tr>
        <w:trPr>
          <w:trHeight w:val="312" w:hRule="atLeast"/>
        </w:trPr>
        <w:tc>
          <w:tcPr>
            <w:tcW w:w="8504" w:type="dxa"/>
            <w:gridSpan w:val="6"/>
          </w:tcPr>
          <w:p>
            <w:pPr>
              <w:pStyle w:val="TableParagraph"/>
              <w:spacing w:line="257" w:lineRule="exact"/>
              <w:ind w:left="3430" w:right="3423"/>
              <w:jc w:val="center"/>
              <w:rPr>
                <w:sz w:val="20"/>
              </w:rPr>
            </w:pPr>
            <w:r>
              <w:rPr>
                <w:sz w:val="20"/>
              </w:rPr>
              <w:t>（每 50 元保费）</w:t>
            </w:r>
          </w:p>
        </w:tc>
      </w:tr>
      <w:tr>
        <w:trPr>
          <w:trHeight w:val="311" w:hRule="atLeast"/>
        </w:trPr>
        <w:tc>
          <w:tcPr>
            <w:tcW w:w="1219" w:type="dxa"/>
          </w:tcPr>
          <w:p>
            <w:pPr>
              <w:pStyle w:val="TableParagraph"/>
              <w:ind w:left="389" w:right="380"/>
              <w:jc w:val="center"/>
              <w:rPr>
                <w:sz w:val="20"/>
              </w:rPr>
            </w:pPr>
            <w:r>
              <w:rPr>
                <w:sz w:val="20"/>
              </w:rPr>
              <w:t>年龄</w:t>
            </w:r>
          </w:p>
        </w:tc>
        <w:tc>
          <w:tcPr>
            <w:tcW w:w="1517" w:type="dxa"/>
          </w:tcPr>
          <w:p>
            <w:pPr>
              <w:pStyle w:val="TableParagraph"/>
              <w:ind w:left="488" w:right="479"/>
              <w:jc w:val="center"/>
              <w:rPr>
                <w:sz w:val="20"/>
              </w:rPr>
            </w:pPr>
            <w:r>
              <w:rPr>
                <w:sz w:val="20"/>
              </w:rPr>
              <w:t>男性</w:t>
            </w:r>
          </w:p>
        </w:tc>
        <w:tc>
          <w:tcPr>
            <w:tcW w:w="1516" w:type="dxa"/>
          </w:tcPr>
          <w:p>
            <w:pPr>
              <w:pStyle w:val="TableParagraph"/>
              <w:ind w:left="556"/>
              <w:rPr>
                <w:sz w:val="20"/>
              </w:rPr>
            </w:pPr>
            <w:r>
              <w:rPr>
                <w:sz w:val="20"/>
              </w:rPr>
              <w:t>女性</w:t>
            </w:r>
          </w:p>
        </w:tc>
        <w:tc>
          <w:tcPr>
            <w:tcW w:w="1220" w:type="dxa"/>
          </w:tcPr>
          <w:p>
            <w:pPr>
              <w:pStyle w:val="TableParagraph"/>
              <w:ind w:left="388" w:right="381"/>
              <w:jc w:val="center"/>
              <w:rPr>
                <w:sz w:val="20"/>
              </w:rPr>
            </w:pPr>
            <w:r>
              <w:rPr>
                <w:sz w:val="20"/>
              </w:rPr>
              <w:t>年龄</w:t>
            </w:r>
          </w:p>
        </w:tc>
        <w:tc>
          <w:tcPr>
            <w:tcW w:w="1516" w:type="dxa"/>
          </w:tcPr>
          <w:p>
            <w:pPr>
              <w:pStyle w:val="TableParagraph"/>
              <w:ind w:right="546"/>
              <w:jc w:val="right"/>
              <w:rPr>
                <w:sz w:val="20"/>
              </w:rPr>
            </w:pPr>
            <w:r>
              <w:rPr>
                <w:sz w:val="20"/>
              </w:rPr>
              <w:t>男性</w:t>
            </w:r>
          </w:p>
        </w:tc>
        <w:tc>
          <w:tcPr>
            <w:tcW w:w="1516" w:type="dxa"/>
          </w:tcPr>
          <w:p>
            <w:pPr>
              <w:pStyle w:val="TableParagraph"/>
              <w:ind w:right="547"/>
              <w:jc w:val="right"/>
              <w:rPr>
                <w:sz w:val="20"/>
              </w:rPr>
            </w:pPr>
            <w:r>
              <w:rPr>
                <w:sz w:val="20"/>
              </w:rPr>
              <w:t>女性</w:t>
            </w:r>
          </w:p>
        </w:tc>
      </w:tr>
      <w:tr>
        <w:trPr>
          <w:trHeight w:val="311" w:hRule="atLeast"/>
        </w:trPr>
        <w:tc>
          <w:tcPr>
            <w:tcW w:w="1219" w:type="dxa"/>
          </w:tcPr>
          <w:p>
            <w:pPr>
              <w:pStyle w:val="TableParagraph"/>
              <w:ind w:left="9"/>
              <w:jc w:val="center"/>
              <w:rPr>
                <w:sz w:val="20"/>
              </w:rPr>
            </w:pPr>
            <w:r>
              <w:rPr>
                <w:w w:val="100"/>
                <w:sz w:val="20"/>
              </w:rPr>
              <w:t>0</w:t>
            </w:r>
          </w:p>
        </w:tc>
        <w:tc>
          <w:tcPr>
            <w:tcW w:w="1517" w:type="dxa"/>
          </w:tcPr>
          <w:p>
            <w:pPr>
              <w:pStyle w:val="TableParagraph"/>
              <w:ind w:left="488" w:right="479"/>
              <w:jc w:val="center"/>
              <w:rPr>
                <w:sz w:val="20"/>
              </w:rPr>
            </w:pPr>
            <w:r>
              <w:rPr>
                <w:sz w:val="20"/>
              </w:rPr>
              <w:t>20239</w:t>
            </w:r>
          </w:p>
        </w:tc>
        <w:tc>
          <w:tcPr>
            <w:tcW w:w="1516" w:type="dxa"/>
          </w:tcPr>
          <w:p>
            <w:pPr>
              <w:pStyle w:val="TableParagraph"/>
              <w:ind w:left="506"/>
              <w:rPr>
                <w:sz w:val="20"/>
              </w:rPr>
            </w:pPr>
            <w:r>
              <w:rPr>
                <w:sz w:val="20"/>
              </w:rPr>
              <w:t>38409</w:t>
            </w:r>
          </w:p>
        </w:tc>
        <w:tc>
          <w:tcPr>
            <w:tcW w:w="1220" w:type="dxa"/>
          </w:tcPr>
          <w:p>
            <w:pPr>
              <w:pStyle w:val="TableParagraph"/>
              <w:ind w:left="388" w:right="381"/>
              <w:jc w:val="center"/>
              <w:rPr>
                <w:sz w:val="20"/>
              </w:rPr>
            </w:pPr>
            <w:r>
              <w:rPr>
                <w:sz w:val="20"/>
              </w:rPr>
              <w:t>33</w:t>
            </w:r>
          </w:p>
        </w:tc>
        <w:tc>
          <w:tcPr>
            <w:tcW w:w="1516" w:type="dxa"/>
          </w:tcPr>
          <w:p>
            <w:pPr>
              <w:pStyle w:val="TableParagraph"/>
              <w:ind w:right="496"/>
              <w:jc w:val="right"/>
              <w:rPr>
                <w:sz w:val="20"/>
              </w:rPr>
            </w:pPr>
            <w:r>
              <w:rPr>
                <w:sz w:val="20"/>
              </w:rPr>
              <w:t>16461</w:t>
            </w:r>
          </w:p>
        </w:tc>
        <w:tc>
          <w:tcPr>
            <w:tcW w:w="1516" w:type="dxa"/>
          </w:tcPr>
          <w:p>
            <w:pPr>
              <w:pStyle w:val="TableParagraph"/>
              <w:ind w:right="497"/>
              <w:jc w:val="right"/>
              <w:rPr>
                <w:sz w:val="20"/>
              </w:rPr>
            </w:pPr>
            <w:r>
              <w:rPr>
                <w:sz w:val="20"/>
              </w:rPr>
              <w:t>15325</w:t>
            </w:r>
          </w:p>
        </w:tc>
      </w:tr>
      <w:tr>
        <w:trPr>
          <w:trHeight w:val="312" w:hRule="atLeast"/>
        </w:trPr>
        <w:tc>
          <w:tcPr>
            <w:tcW w:w="1219" w:type="dxa"/>
          </w:tcPr>
          <w:p>
            <w:pPr>
              <w:pStyle w:val="TableParagraph"/>
              <w:spacing w:line="257" w:lineRule="exact"/>
              <w:ind w:left="9"/>
              <w:jc w:val="center"/>
              <w:rPr>
                <w:sz w:val="20"/>
              </w:rPr>
            </w:pPr>
            <w:r>
              <w:rPr>
                <w:w w:val="100"/>
                <w:sz w:val="20"/>
              </w:rPr>
              <w:t>1</w:t>
            </w:r>
          </w:p>
        </w:tc>
        <w:tc>
          <w:tcPr>
            <w:tcW w:w="1517" w:type="dxa"/>
          </w:tcPr>
          <w:p>
            <w:pPr>
              <w:pStyle w:val="TableParagraph"/>
              <w:spacing w:line="257" w:lineRule="exact"/>
              <w:ind w:left="488" w:right="479"/>
              <w:jc w:val="center"/>
              <w:rPr>
                <w:sz w:val="20"/>
              </w:rPr>
            </w:pPr>
            <w:r>
              <w:rPr>
                <w:sz w:val="20"/>
              </w:rPr>
              <w:t>27005</w:t>
            </w:r>
          </w:p>
        </w:tc>
        <w:tc>
          <w:tcPr>
            <w:tcW w:w="1516" w:type="dxa"/>
          </w:tcPr>
          <w:p>
            <w:pPr>
              <w:pStyle w:val="TableParagraph"/>
              <w:spacing w:line="257" w:lineRule="exact"/>
              <w:ind w:left="506"/>
              <w:rPr>
                <w:sz w:val="20"/>
              </w:rPr>
            </w:pPr>
            <w:r>
              <w:rPr>
                <w:sz w:val="20"/>
              </w:rPr>
              <w:t>41230</w:t>
            </w:r>
          </w:p>
        </w:tc>
        <w:tc>
          <w:tcPr>
            <w:tcW w:w="1220" w:type="dxa"/>
          </w:tcPr>
          <w:p>
            <w:pPr>
              <w:pStyle w:val="TableParagraph"/>
              <w:spacing w:line="257" w:lineRule="exact"/>
              <w:ind w:left="388" w:right="381"/>
              <w:jc w:val="center"/>
              <w:rPr>
                <w:sz w:val="20"/>
              </w:rPr>
            </w:pPr>
            <w:r>
              <w:rPr>
                <w:sz w:val="20"/>
              </w:rPr>
              <w:t>34</w:t>
            </w:r>
          </w:p>
        </w:tc>
        <w:tc>
          <w:tcPr>
            <w:tcW w:w="1516" w:type="dxa"/>
          </w:tcPr>
          <w:p>
            <w:pPr>
              <w:pStyle w:val="TableParagraph"/>
              <w:spacing w:line="257" w:lineRule="exact"/>
              <w:ind w:right="496"/>
              <w:jc w:val="right"/>
              <w:rPr>
                <w:sz w:val="20"/>
              </w:rPr>
            </w:pPr>
            <w:r>
              <w:rPr>
                <w:sz w:val="20"/>
              </w:rPr>
              <w:t>14850</w:t>
            </w:r>
          </w:p>
        </w:tc>
        <w:tc>
          <w:tcPr>
            <w:tcW w:w="1516" w:type="dxa"/>
          </w:tcPr>
          <w:p>
            <w:pPr>
              <w:pStyle w:val="TableParagraph"/>
              <w:spacing w:line="257" w:lineRule="exact"/>
              <w:ind w:right="497"/>
              <w:jc w:val="right"/>
              <w:rPr>
                <w:sz w:val="20"/>
              </w:rPr>
            </w:pPr>
            <w:r>
              <w:rPr>
                <w:sz w:val="20"/>
              </w:rPr>
              <w:t>14242</w:t>
            </w:r>
          </w:p>
        </w:tc>
      </w:tr>
      <w:tr>
        <w:trPr>
          <w:trHeight w:val="311" w:hRule="atLeast"/>
        </w:trPr>
        <w:tc>
          <w:tcPr>
            <w:tcW w:w="1219" w:type="dxa"/>
          </w:tcPr>
          <w:p>
            <w:pPr>
              <w:pStyle w:val="TableParagraph"/>
              <w:ind w:left="9"/>
              <w:jc w:val="center"/>
              <w:rPr>
                <w:sz w:val="20"/>
              </w:rPr>
            </w:pPr>
            <w:r>
              <w:rPr>
                <w:w w:val="100"/>
                <w:sz w:val="20"/>
              </w:rPr>
              <w:t>2</w:t>
            </w:r>
          </w:p>
        </w:tc>
        <w:tc>
          <w:tcPr>
            <w:tcW w:w="1517" w:type="dxa"/>
          </w:tcPr>
          <w:p>
            <w:pPr>
              <w:pStyle w:val="TableParagraph"/>
              <w:ind w:left="488" w:right="479"/>
              <w:jc w:val="center"/>
              <w:rPr>
                <w:sz w:val="20"/>
              </w:rPr>
            </w:pPr>
            <w:r>
              <w:rPr>
                <w:sz w:val="20"/>
              </w:rPr>
              <w:t>35745</w:t>
            </w:r>
          </w:p>
        </w:tc>
        <w:tc>
          <w:tcPr>
            <w:tcW w:w="1516" w:type="dxa"/>
          </w:tcPr>
          <w:p>
            <w:pPr>
              <w:pStyle w:val="TableParagraph"/>
              <w:ind w:left="506"/>
              <w:rPr>
                <w:sz w:val="20"/>
              </w:rPr>
            </w:pPr>
            <w:r>
              <w:rPr>
                <w:sz w:val="20"/>
              </w:rPr>
              <w:t>44631</w:t>
            </w:r>
          </w:p>
        </w:tc>
        <w:tc>
          <w:tcPr>
            <w:tcW w:w="1220" w:type="dxa"/>
          </w:tcPr>
          <w:p>
            <w:pPr>
              <w:pStyle w:val="TableParagraph"/>
              <w:ind w:left="388" w:right="381"/>
              <w:jc w:val="center"/>
              <w:rPr>
                <w:sz w:val="20"/>
              </w:rPr>
            </w:pPr>
            <w:r>
              <w:rPr>
                <w:sz w:val="20"/>
              </w:rPr>
              <w:t>35</w:t>
            </w:r>
          </w:p>
        </w:tc>
        <w:tc>
          <w:tcPr>
            <w:tcW w:w="1516" w:type="dxa"/>
          </w:tcPr>
          <w:p>
            <w:pPr>
              <w:pStyle w:val="TableParagraph"/>
              <w:ind w:right="496"/>
              <w:jc w:val="right"/>
              <w:rPr>
                <w:sz w:val="20"/>
              </w:rPr>
            </w:pPr>
            <w:r>
              <w:rPr>
                <w:sz w:val="20"/>
              </w:rPr>
              <w:t>13535</w:t>
            </w:r>
          </w:p>
        </w:tc>
        <w:tc>
          <w:tcPr>
            <w:tcW w:w="1516" w:type="dxa"/>
          </w:tcPr>
          <w:p>
            <w:pPr>
              <w:pStyle w:val="TableParagraph"/>
              <w:ind w:right="497"/>
              <w:jc w:val="right"/>
              <w:rPr>
                <w:sz w:val="20"/>
              </w:rPr>
            </w:pPr>
            <w:r>
              <w:rPr>
                <w:sz w:val="20"/>
              </w:rPr>
              <w:t>13230</w:t>
            </w:r>
          </w:p>
        </w:tc>
      </w:tr>
      <w:tr>
        <w:trPr>
          <w:trHeight w:val="311" w:hRule="atLeast"/>
        </w:trPr>
        <w:tc>
          <w:tcPr>
            <w:tcW w:w="1219" w:type="dxa"/>
          </w:tcPr>
          <w:p>
            <w:pPr>
              <w:pStyle w:val="TableParagraph"/>
              <w:ind w:left="9"/>
              <w:jc w:val="center"/>
              <w:rPr>
                <w:sz w:val="20"/>
              </w:rPr>
            </w:pPr>
            <w:r>
              <w:rPr>
                <w:w w:val="100"/>
                <w:sz w:val="20"/>
              </w:rPr>
              <w:t>3</w:t>
            </w:r>
          </w:p>
        </w:tc>
        <w:tc>
          <w:tcPr>
            <w:tcW w:w="1517" w:type="dxa"/>
          </w:tcPr>
          <w:p>
            <w:pPr>
              <w:pStyle w:val="TableParagraph"/>
              <w:ind w:left="488" w:right="479"/>
              <w:jc w:val="center"/>
              <w:rPr>
                <w:sz w:val="20"/>
              </w:rPr>
            </w:pPr>
            <w:r>
              <w:rPr>
                <w:sz w:val="20"/>
              </w:rPr>
              <w:t>42747</w:t>
            </w:r>
          </w:p>
        </w:tc>
        <w:tc>
          <w:tcPr>
            <w:tcW w:w="1516" w:type="dxa"/>
          </w:tcPr>
          <w:p>
            <w:pPr>
              <w:pStyle w:val="TableParagraph"/>
              <w:ind w:left="506"/>
              <w:rPr>
                <w:sz w:val="20"/>
              </w:rPr>
            </w:pPr>
            <w:r>
              <w:rPr>
                <w:sz w:val="20"/>
              </w:rPr>
              <w:t>48201</w:t>
            </w:r>
          </w:p>
        </w:tc>
        <w:tc>
          <w:tcPr>
            <w:tcW w:w="1220" w:type="dxa"/>
          </w:tcPr>
          <w:p>
            <w:pPr>
              <w:pStyle w:val="TableParagraph"/>
              <w:ind w:left="388" w:right="381"/>
              <w:jc w:val="center"/>
              <w:rPr>
                <w:sz w:val="20"/>
              </w:rPr>
            </w:pPr>
            <w:r>
              <w:rPr>
                <w:sz w:val="20"/>
              </w:rPr>
              <w:t>36</w:t>
            </w:r>
          </w:p>
        </w:tc>
        <w:tc>
          <w:tcPr>
            <w:tcW w:w="1516" w:type="dxa"/>
          </w:tcPr>
          <w:p>
            <w:pPr>
              <w:pStyle w:val="TableParagraph"/>
              <w:ind w:right="496"/>
              <w:jc w:val="right"/>
              <w:rPr>
                <w:sz w:val="20"/>
              </w:rPr>
            </w:pPr>
            <w:r>
              <w:rPr>
                <w:sz w:val="20"/>
              </w:rPr>
              <w:t>12341</w:t>
            </w:r>
          </w:p>
        </w:tc>
        <w:tc>
          <w:tcPr>
            <w:tcW w:w="1516" w:type="dxa"/>
          </w:tcPr>
          <w:p>
            <w:pPr>
              <w:pStyle w:val="TableParagraph"/>
              <w:ind w:right="497"/>
              <w:jc w:val="right"/>
              <w:rPr>
                <w:sz w:val="20"/>
              </w:rPr>
            </w:pPr>
            <w:r>
              <w:rPr>
                <w:sz w:val="20"/>
              </w:rPr>
              <w:t>12346</w:t>
            </w:r>
          </w:p>
        </w:tc>
      </w:tr>
      <w:tr>
        <w:trPr>
          <w:trHeight w:val="312" w:hRule="atLeast"/>
        </w:trPr>
        <w:tc>
          <w:tcPr>
            <w:tcW w:w="1219" w:type="dxa"/>
          </w:tcPr>
          <w:p>
            <w:pPr>
              <w:pStyle w:val="TableParagraph"/>
              <w:spacing w:line="257" w:lineRule="exact"/>
              <w:ind w:left="9"/>
              <w:jc w:val="center"/>
              <w:rPr>
                <w:sz w:val="20"/>
              </w:rPr>
            </w:pPr>
            <w:r>
              <w:rPr>
                <w:w w:val="100"/>
                <w:sz w:val="20"/>
              </w:rPr>
              <w:t>4</w:t>
            </w:r>
          </w:p>
        </w:tc>
        <w:tc>
          <w:tcPr>
            <w:tcW w:w="1517" w:type="dxa"/>
          </w:tcPr>
          <w:p>
            <w:pPr>
              <w:pStyle w:val="TableParagraph"/>
              <w:spacing w:line="257" w:lineRule="exact"/>
              <w:ind w:left="488" w:right="479"/>
              <w:jc w:val="center"/>
              <w:rPr>
                <w:sz w:val="20"/>
              </w:rPr>
            </w:pPr>
            <w:r>
              <w:rPr>
                <w:sz w:val="20"/>
              </w:rPr>
              <w:t>44949</w:t>
            </w:r>
          </w:p>
        </w:tc>
        <w:tc>
          <w:tcPr>
            <w:tcW w:w="1516" w:type="dxa"/>
          </w:tcPr>
          <w:p>
            <w:pPr>
              <w:pStyle w:val="TableParagraph"/>
              <w:spacing w:line="257" w:lineRule="exact"/>
              <w:ind w:left="506"/>
              <w:rPr>
                <w:sz w:val="20"/>
              </w:rPr>
            </w:pPr>
            <w:r>
              <w:rPr>
                <w:sz w:val="20"/>
              </w:rPr>
              <w:t>50802</w:t>
            </w:r>
          </w:p>
        </w:tc>
        <w:tc>
          <w:tcPr>
            <w:tcW w:w="1220" w:type="dxa"/>
          </w:tcPr>
          <w:p>
            <w:pPr>
              <w:pStyle w:val="TableParagraph"/>
              <w:spacing w:line="257" w:lineRule="exact"/>
              <w:ind w:left="388" w:right="381"/>
              <w:jc w:val="center"/>
              <w:rPr>
                <w:sz w:val="20"/>
              </w:rPr>
            </w:pPr>
            <w:r>
              <w:rPr>
                <w:sz w:val="20"/>
              </w:rPr>
              <w:t>37</w:t>
            </w:r>
          </w:p>
        </w:tc>
        <w:tc>
          <w:tcPr>
            <w:tcW w:w="1516" w:type="dxa"/>
          </w:tcPr>
          <w:p>
            <w:pPr>
              <w:pStyle w:val="TableParagraph"/>
              <w:spacing w:line="257" w:lineRule="exact"/>
              <w:ind w:right="496"/>
              <w:jc w:val="right"/>
              <w:rPr>
                <w:sz w:val="20"/>
              </w:rPr>
            </w:pPr>
            <w:r>
              <w:rPr>
                <w:sz w:val="20"/>
              </w:rPr>
              <w:t>11276</w:t>
            </w:r>
          </w:p>
        </w:tc>
        <w:tc>
          <w:tcPr>
            <w:tcW w:w="1516" w:type="dxa"/>
          </w:tcPr>
          <w:p>
            <w:pPr>
              <w:pStyle w:val="TableParagraph"/>
              <w:spacing w:line="257" w:lineRule="exact"/>
              <w:ind w:right="497"/>
              <w:jc w:val="right"/>
              <w:rPr>
                <w:sz w:val="20"/>
              </w:rPr>
            </w:pPr>
            <w:r>
              <w:rPr>
                <w:sz w:val="20"/>
              </w:rPr>
              <w:t>11559</w:t>
            </w:r>
          </w:p>
        </w:tc>
      </w:tr>
      <w:tr>
        <w:trPr>
          <w:trHeight w:val="311" w:hRule="atLeast"/>
        </w:trPr>
        <w:tc>
          <w:tcPr>
            <w:tcW w:w="1219" w:type="dxa"/>
          </w:tcPr>
          <w:p>
            <w:pPr>
              <w:pStyle w:val="TableParagraph"/>
              <w:ind w:left="9"/>
              <w:jc w:val="center"/>
              <w:rPr>
                <w:sz w:val="20"/>
              </w:rPr>
            </w:pPr>
            <w:r>
              <w:rPr>
                <w:w w:val="100"/>
                <w:sz w:val="20"/>
              </w:rPr>
              <w:t>5</w:t>
            </w:r>
          </w:p>
        </w:tc>
        <w:tc>
          <w:tcPr>
            <w:tcW w:w="1517" w:type="dxa"/>
          </w:tcPr>
          <w:p>
            <w:pPr>
              <w:pStyle w:val="TableParagraph"/>
              <w:ind w:left="488" w:right="479"/>
              <w:jc w:val="center"/>
              <w:rPr>
                <w:sz w:val="20"/>
              </w:rPr>
            </w:pPr>
            <w:r>
              <w:rPr>
                <w:sz w:val="20"/>
              </w:rPr>
              <w:t>47389</w:t>
            </w:r>
          </w:p>
        </w:tc>
        <w:tc>
          <w:tcPr>
            <w:tcW w:w="1516" w:type="dxa"/>
          </w:tcPr>
          <w:p>
            <w:pPr>
              <w:pStyle w:val="TableParagraph"/>
              <w:ind w:left="506"/>
              <w:rPr>
                <w:sz w:val="20"/>
              </w:rPr>
            </w:pPr>
            <w:r>
              <w:rPr>
                <w:sz w:val="20"/>
              </w:rPr>
              <w:t>53743</w:t>
            </w:r>
          </w:p>
        </w:tc>
        <w:tc>
          <w:tcPr>
            <w:tcW w:w="1220" w:type="dxa"/>
          </w:tcPr>
          <w:p>
            <w:pPr>
              <w:pStyle w:val="TableParagraph"/>
              <w:ind w:left="388" w:right="381"/>
              <w:jc w:val="center"/>
              <w:rPr>
                <w:sz w:val="20"/>
              </w:rPr>
            </w:pPr>
            <w:r>
              <w:rPr>
                <w:sz w:val="20"/>
              </w:rPr>
              <w:t>38</w:t>
            </w:r>
          </w:p>
        </w:tc>
        <w:tc>
          <w:tcPr>
            <w:tcW w:w="1516" w:type="dxa"/>
          </w:tcPr>
          <w:p>
            <w:pPr>
              <w:pStyle w:val="TableParagraph"/>
              <w:ind w:right="496"/>
              <w:jc w:val="right"/>
              <w:rPr>
                <w:sz w:val="20"/>
              </w:rPr>
            </w:pPr>
            <w:r>
              <w:rPr>
                <w:sz w:val="20"/>
              </w:rPr>
              <w:t>10143</w:t>
            </w:r>
          </w:p>
        </w:tc>
        <w:tc>
          <w:tcPr>
            <w:tcW w:w="1516" w:type="dxa"/>
          </w:tcPr>
          <w:p>
            <w:pPr>
              <w:pStyle w:val="TableParagraph"/>
              <w:ind w:right="549"/>
              <w:jc w:val="right"/>
              <w:rPr>
                <w:sz w:val="20"/>
              </w:rPr>
            </w:pPr>
            <w:r>
              <w:rPr>
                <w:sz w:val="20"/>
              </w:rPr>
              <w:t>9999</w:t>
            </w:r>
          </w:p>
        </w:tc>
      </w:tr>
      <w:tr>
        <w:trPr>
          <w:trHeight w:val="311" w:hRule="atLeast"/>
        </w:trPr>
        <w:tc>
          <w:tcPr>
            <w:tcW w:w="1219" w:type="dxa"/>
          </w:tcPr>
          <w:p>
            <w:pPr>
              <w:pStyle w:val="TableParagraph"/>
              <w:ind w:left="9"/>
              <w:jc w:val="center"/>
              <w:rPr>
                <w:sz w:val="20"/>
              </w:rPr>
            </w:pPr>
            <w:r>
              <w:rPr>
                <w:w w:val="100"/>
                <w:sz w:val="20"/>
              </w:rPr>
              <w:t>6</w:t>
            </w:r>
          </w:p>
        </w:tc>
        <w:tc>
          <w:tcPr>
            <w:tcW w:w="1517" w:type="dxa"/>
          </w:tcPr>
          <w:p>
            <w:pPr>
              <w:pStyle w:val="TableParagraph"/>
              <w:ind w:left="488" w:right="479"/>
              <w:jc w:val="center"/>
              <w:rPr>
                <w:sz w:val="20"/>
              </w:rPr>
            </w:pPr>
            <w:r>
              <w:rPr>
                <w:sz w:val="20"/>
              </w:rPr>
              <w:t>49468</w:t>
            </w:r>
          </w:p>
        </w:tc>
        <w:tc>
          <w:tcPr>
            <w:tcW w:w="1516" w:type="dxa"/>
          </w:tcPr>
          <w:p>
            <w:pPr>
              <w:pStyle w:val="TableParagraph"/>
              <w:ind w:left="506"/>
              <w:rPr>
                <w:sz w:val="20"/>
              </w:rPr>
            </w:pPr>
            <w:r>
              <w:rPr>
                <w:sz w:val="20"/>
              </w:rPr>
              <w:t>56980</w:t>
            </w:r>
          </w:p>
        </w:tc>
        <w:tc>
          <w:tcPr>
            <w:tcW w:w="1220" w:type="dxa"/>
          </w:tcPr>
          <w:p>
            <w:pPr>
              <w:pStyle w:val="TableParagraph"/>
              <w:ind w:left="388" w:right="381"/>
              <w:jc w:val="center"/>
              <w:rPr>
                <w:sz w:val="20"/>
              </w:rPr>
            </w:pPr>
            <w:r>
              <w:rPr>
                <w:sz w:val="20"/>
              </w:rPr>
              <w:t>39</w:t>
            </w:r>
          </w:p>
        </w:tc>
        <w:tc>
          <w:tcPr>
            <w:tcW w:w="1516" w:type="dxa"/>
          </w:tcPr>
          <w:p>
            <w:pPr>
              <w:pStyle w:val="TableParagraph"/>
              <w:ind w:right="549"/>
              <w:jc w:val="right"/>
              <w:rPr>
                <w:sz w:val="20"/>
              </w:rPr>
            </w:pPr>
            <w:r>
              <w:rPr>
                <w:sz w:val="20"/>
              </w:rPr>
              <w:t>9159</w:t>
            </w:r>
          </w:p>
        </w:tc>
        <w:tc>
          <w:tcPr>
            <w:tcW w:w="1516" w:type="dxa"/>
          </w:tcPr>
          <w:p>
            <w:pPr>
              <w:pStyle w:val="TableParagraph"/>
              <w:ind w:right="549"/>
              <w:jc w:val="right"/>
              <w:rPr>
                <w:sz w:val="20"/>
              </w:rPr>
            </w:pPr>
            <w:r>
              <w:rPr>
                <w:sz w:val="20"/>
              </w:rPr>
              <w:t>8826</w:t>
            </w:r>
          </w:p>
        </w:tc>
      </w:tr>
      <w:tr>
        <w:trPr>
          <w:trHeight w:val="312" w:hRule="atLeast"/>
        </w:trPr>
        <w:tc>
          <w:tcPr>
            <w:tcW w:w="1219" w:type="dxa"/>
          </w:tcPr>
          <w:p>
            <w:pPr>
              <w:pStyle w:val="TableParagraph"/>
              <w:spacing w:line="257" w:lineRule="exact"/>
              <w:ind w:left="9"/>
              <w:jc w:val="center"/>
              <w:rPr>
                <w:sz w:val="20"/>
              </w:rPr>
            </w:pPr>
            <w:r>
              <w:rPr>
                <w:w w:val="100"/>
                <w:sz w:val="20"/>
              </w:rPr>
              <w:t>7</w:t>
            </w:r>
          </w:p>
        </w:tc>
        <w:tc>
          <w:tcPr>
            <w:tcW w:w="1517" w:type="dxa"/>
          </w:tcPr>
          <w:p>
            <w:pPr>
              <w:pStyle w:val="TableParagraph"/>
              <w:spacing w:line="257" w:lineRule="exact"/>
              <w:ind w:left="488" w:right="479"/>
              <w:jc w:val="center"/>
              <w:rPr>
                <w:sz w:val="20"/>
              </w:rPr>
            </w:pPr>
            <w:r>
              <w:rPr>
                <w:sz w:val="20"/>
              </w:rPr>
              <w:t>51837</w:t>
            </w:r>
          </w:p>
        </w:tc>
        <w:tc>
          <w:tcPr>
            <w:tcW w:w="1516" w:type="dxa"/>
          </w:tcPr>
          <w:p>
            <w:pPr>
              <w:pStyle w:val="TableParagraph"/>
              <w:spacing w:line="257" w:lineRule="exact"/>
              <w:ind w:left="506"/>
              <w:rPr>
                <w:sz w:val="20"/>
              </w:rPr>
            </w:pPr>
            <w:r>
              <w:rPr>
                <w:sz w:val="20"/>
              </w:rPr>
              <w:t>60939</w:t>
            </w:r>
          </w:p>
        </w:tc>
        <w:tc>
          <w:tcPr>
            <w:tcW w:w="1220" w:type="dxa"/>
          </w:tcPr>
          <w:p>
            <w:pPr>
              <w:pStyle w:val="TableParagraph"/>
              <w:spacing w:line="257" w:lineRule="exact"/>
              <w:ind w:left="388" w:right="381"/>
              <w:jc w:val="center"/>
              <w:rPr>
                <w:sz w:val="20"/>
              </w:rPr>
            </w:pPr>
            <w:r>
              <w:rPr>
                <w:sz w:val="20"/>
              </w:rPr>
              <w:t>40</w:t>
            </w:r>
          </w:p>
        </w:tc>
        <w:tc>
          <w:tcPr>
            <w:tcW w:w="1516" w:type="dxa"/>
          </w:tcPr>
          <w:p>
            <w:pPr>
              <w:pStyle w:val="TableParagraph"/>
              <w:spacing w:line="257" w:lineRule="exact"/>
              <w:ind w:right="549"/>
              <w:jc w:val="right"/>
              <w:rPr>
                <w:sz w:val="20"/>
              </w:rPr>
            </w:pPr>
            <w:r>
              <w:rPr>
                <w:sz w:val="20"/>
              </w:rPr>
              <w:t>8308</w:t>
            </w:r>
          </w:p>
        </w:tc>
        <w:tc>
          <w:tcPr>
            <w:tcW w:w="1516" w:type="dxa"/>
          </w:tcPr>
          <w:p>
            <w:pPr>
              <w:pStyle w:val="TableParagraph"/>
              <w:spacing w:line="257" w:lineRule="exact"/>
              <w:ind w:right="549"/>
              <w:jc w:val="right"/>
              <w:rPr>
                <w:sz w:val="20"/>
              </w:rPr>
            </w:pPr>
            <w:r>
              <w:rPr>
                <w:sz w:val="20"/>
              </w:rPr>
              <w:t>7908</w:t>
            </w:r>
          </w:p>
        </w:tc>
      </w:tr>
      <w:tr>
        <w:trPr>
          <w:trHeight w:val="311" w:hRule="atLeast"/>
        </w:trPr>
        <w:tc>
          <w:tcPr>
            <w:tcW w:w="1219" w:type="dxa"/>
          </w:tcPr>
          <w:p>
            <w:pPr>
              <w:pStyle w:val="TableParagraph"/>
              <w:ind w:left="9"/>
              <w:jc w:val="center"/>
              <w:rPr>
                <w:sz w:val="20"/>
              </w:rPr>
            </w:pPr>
            <w:r>
              <w:rPr>
                <w:w w:val="100"/>
                <w:sz w:val="20"/>
              </w:rPr>
              <w:t>8</w:t>
            </w:r>
          </w:p>
        </w:tc>
        <w:tc>
          <w:tcPr>
            <w:tcW w:w="1517" w:type="dxa"/>
          </w:tcPr>
          <w:p>
            <w:pPr>
              <w:pStyle w:val="TableParagraph"/>
              <w:ind w:left="488" w:right="479"/>
              <w:jc w:val="center"/>
              <w:rPr>
                <w:sz w:val="20"/>
              </w:rPr>
            </w:pPr>
            <w:r>
              <w:rPr>
                <w:sz w:val="20"/>
              </w:rPr>
              <w:t>52440</w:t>
            </w:r>
          </w:p>
        </w:tc>
        <w:tc>
          <w:tcPr>
            <w:tcW w:w="1516" w:type="dxa"/>
          </w:tcPr>
          <w:p>
            <w:pPr>
              <w:pStyle w:val="TableParagraph"/>
              <w:ind w:left="506"/>
              <w:rPr>
                <w:sz w:val="20"/>
              </w:rPr>
            </w:pPr>
            <w:r>
              <w:rPr>
                <w:sz w:val="20"/>
              </w:rPr>
              <w:t>59954</w:t>
            </w:r>
          </w:p>
        </w:tc>
        <w:tc>
          <w:tcPr>
            <w:tcW w:w="1220" w:type="dxa"/>
          </w:tcPr>
          <w:p>
            <w:pPr>
              <w:pStyle w:val="TableParagraph"/>
              <w:ind w:left="388" w:right="381"/>
              <w:jc w:val="center"/>
              <w:rPr>
                <w:sz w:val="20"/>
              </w:rPr>
            </w:pPr>
            <w:r>
              <w:rPr>
                <w:sz w:val="20"/>
              </w:rPr>
              <w:t>41</w:t>
            </w:r>
          </w:p>
        </w:tc>
        <w:tc>
          <w:tcPr>
            <w:tcW w:w="1516" w:type="dxa"/>
          </w:tcPr>
          <w:p>
            <w:pPr>
              <w:pStyle w:val="TableParagraph"/>
              <w:ind w:right="549"/>
              <w:jc w:val="right"/>
              <w:rPr>
                <w:sz w:val="20"/>
              </w:rPr>
            </w:pPr>
            <w:r>
              <w:rPr>
                <w:sz w:val="20"/>
              </w:rPr>
              <w:t>7589</w:t>
            </w:r>
          </w:p>
        </w:tc>
        <w:tc>
          <w:tcPr>
            <w:tcW w:w="1516" w:type="dxa"/>
          </w:tcPr>
          <w:p>
            <w:pPr>
              <w:pStyle w:val="TableParagraph"/>
              <w:ind w:right="549"/>
              <w:jc w:val="right"/>
              <w:rPr>
                <w:sz w:val="20"/>
              </w:rPr>
            </w:pPr>
            <w:r>
              <w:rPr>
                <w:sz w:val="20"/>
              </w:rPr>
              <w:t>7169</w:t>
            </w:r>
          </w:p>
        </w:tc>
      </w:tr>
      <w:tr>
        <w:trPr>
          <w:trHeight w:val="311" w:hRule="atLeast"/>
        </w:trPr>
        <w:tc>
          <w:tcPr>
            <w:tcW w:w="1219" w:type="dxa"/>
          </w:tcPr>
          <w:p>
            <w:pPr>
              <w:pStyle w:val="TableParagraph"/>
              <w:ind w:left="9"/>
              <w:jc w:val="center"/>
              <w:rPr>
                <w:sz w:val="20"/>
              </w:rPr>
            </w:pPr>
            <w:r>
              <w:rPr>
                <w:w w:val="100"/>
                <w:sz w:val="20"/>
              </w:rPr>
              <w:t>9</w:t>
            </w:r>
          </w:p>
        </w:tc>
        <w:tc>
          <w:tcPr>
            <w:tcW w:w="1517" w:type="dxa"/>
          </w:tcPr>
          <w:p>
            <w:pPr>
              <w:pStyle w:val="TableParagraph"/>
              <w:ind w:left="488" w:right="479"/>
              <w:jc w:val="center"/>
              <w:rPr>
                <w:sz w:val="20"/>
              </w:rPr>
            </w:pPr>
            <w:r>
              <w:rPr>
                <w:sz w:val="20"/>
              </w:rPr>
              <w:t>52747</w:t>
            </w:r>
          </w:p>
        </w:tc>
        <w:tc>
          <w:tcPr>
            <w:tcW w:w="1516" w:type="dxa"/>
          </w:tcPr>
          <w:p>
            <w:pPr>
              <w:pStyle w:val="TableParagraph"/>
              <w:ind w:left="506"/>
              <w:rPr>
                <w:sz w:val="20"/>
              </w:rPr>
            </w:pPr>
            <w:r>
              <w:rPr>
                <w:sz w:val="20"/>
              </w:rPr>
              <w:t>58873</w:t>
            </w:r>
          </w:p>
        </w:tc>
        <w:tc>
          <w:tcPr>
            <w:tcW w:w="1220" w:type="dxa"/>
          </w:tcPr>
          <w:p>
            <w:pPr>
              <w:pStyle w:val="TableParagraph"/>
              <w:ind w:left="388" w:right="381"/>
              <w:jc w:val="center"/>
              <w:rPr>
                <w:sz w:val="20"/>
              </w:rPr>
            </w:pPr>
            <w:r>
              <w:rPr>
                <w:sz w:val="20"/>
              </w:rPr>
              <w:t>42</w:t>
            </w:r>
          </w:p>
        </w:tc>
        <w:tc>
          <w:tcPr>
            <w:tcW w:w="1516" w:type="dxa"/>
          </w:tcPr>
          <w:p>
            <w:pPr>
              <w:pStyle w:val="TableParagraph"/>
              <w:ind w:right="549"/>
              <w:jc w:val="right"/>
              <w:rPr>
                <w:sz w:val="20"/>
              </w:rPr>
            </w:pPr>
            <w:r>
              <w:rPr>
                <w:sz w:val="20"/>
              </w:rPr>
              <w:t>6929</w:t>
            </w:r>
          </w:p>
        </w:tc>
        <w:tc>
          <w:tcPr>
            <w:tcW w:w="1516" w:type="dxa"/>
          </w:tcPr>
          <w:p>
            <w:pPr>
              <w:pStyle w:val="TableParagraph"/>
              <w:ind w:right="549"/>
              <w:jc w:val="right"/>
              <w:rPr>
                <w:sz w:val="20"/>
              </w:rPr>
            </w:pPr>
            <w:r>
              <w:rPr>
                <w:sz w:val="20"/>
              </w:rPr>
              <w:t>6574</w:t>
            </w:r>
          </w:p>
        </w:tc>
      </w:tr>
      <w:tr>
        <w:trPr>
          <w:trHeight w:val="312" w:hRule="atLeast"/>
        </w:trPr>
        <w:tc>
          <w:tcPr>
            <w:tcW w:w="1219" w:type="dxa"/>
          </w:tcPr>
          <w:p>
            <w:pPr>
              <w:pStyle w:val="TableParagraph"/>
              <w:spacing w:line="257" w:lineRule="exact"/>
              <w:ind w:left="389" w:right="380"/>
              <w:jc w:val="center"/>
              <w:rPr>
                <w:sz w:val="20"/>
              </w:rPr>
            </w:pPr>
            <w:r>
              <w:rPr>
                <w:sz w:val="20"/>
              </w:rPr>
              <w:t>10</w:t>
            </w:r>
          </w:p>
        </w:tc>
        <w:tc>
          <w:tcPr>
            <w:tcW w:w="1517" w:type="dxa"/>
          </w:tcPr>
          <w:p>
            <w:pPr>
              <w:pStyle w:val="TableParagraph"/>
              <w:spacing w:line="257" w:lineRule="exact"/>
              <w:ind w:left="488" w:right="479"/>
              <w:jc w:val="center"/>
              <w:rPr>
                <w:sz w:val="20"/>
              </w:rPr>
            </w:pPr>
            <w:r>
              <w:rPr>
                <w:sz w:val="20"/>
              </w:rPr>
              <w:t>53057</w:t>
            </w:r>
          </w:p>
        </w:tc>
        <w:tc>
          <w:tcPr>
            <w:tcW w:w="1516" w:type="dxa"/>
          </w:tcPr>
          <w:p>
            <w:pPr>
              <w:pStyle w:val="TableParagraph"/>
              <w:spacing w:line="257" w:lineRule="exact"/>
              <w:ind w:left="506"/>
              <w:rPr>
                <w:sz w:val="20"/>
              </w:rPr>
            </w:pPr>
            <w:r>
              <w:rPr>
                <w:sz w:val="20"/>
              </w:rPr>
              <w:t>58093</w:t>
            </w:r>
          </w:p>
        </w:tc>
        <w:tc>
          <w:tcPr>
            <w:tcW w:w="1220" w:type="dxa"/>
          </w:tcPr>
          <w:p>
            <w:pPr>
              <w:pStyle w:val="TableParagraph"/>
              <w:spacing w:line="257" w:lineRule="exact"/>
              <w:ind w:left="388" w:right="381"/>
              <w:jc w:val="center"/>
              <w:rPr>
                <w:sz w:val="20"/>
              </w:rPr>
            </w:pPr>
            <w:r>
              <w:rPr>
                <w:sz w:val="20"/>
              </w:rPr>
              <w:t>43</w:t>
            </w:r>
          </w:p>
        </w:tc>
        <w:tc>
          <w:tcPr>
            <w:tcW w:w="1516" w:type="dxa"/>
          </w:tcPr>
          <w:p>
            <w:pPr>
              <w:pStyle w:val="TableParagraph"/>
              <w:spacing w:line="257" w:lineRule="exact"/>
              <w:ind w:right="549"/>
              <w:jc w:val="right"/>
              <w:rPr>
                <w:sz w:val="20"/>
              </w:rPr>
            </w:pPr>
            <w:r>
              <w:rPr>
                <w:sz w:val="20"/>
              </w:rPr>
              <w:t>6299</w:t>
            </w:r>
          </w:p>
        </w:tc>
        <w:tc>
          <w:tcPr>
            <w:tcW w:w="1516" w:type="dxa"/>
          </w:tcPr>
          <w:p>
            <w:pPr>
              <w:pStyle w:val="TableParagraph"/>
              <w:spacing w:line="257" w:lineRule="exact"/>
              <w:ind w:right="549"/>
              <w:jc w:val="right"/>
              <w:rPr>
                <w:sz w:val="20"/>
              </w:rPr>
            </w:pPr>
            <w:r>
              <w:rPr>
                <w:sz w:val="20"/>
              </w:rPr>
              <w:t>5967</w:t>
            </w:r>
          </w:p>
        </w:tc>
      </w:tr>
      <w:tr>
        <w:trPr>
          <w:trHeight w:val="311" w:hRule="atLeast"/>
        </w:trPr>
        <w:tc>
          <w:tcPr>
            <w:tcW w:w="1219" w:type="dxa"/>
          </w:tcPr>
          <w:p>
            <w:pPr>
              <w:pStyle w:val="TableParagraph"/>
              <w:ind w:left="389" w:right="380"/>
              <w:jc w:val="center"/>
              <w:rPr>
                <w:sz w:val="20"/>
              </w:rPr>
            </w:pPr>
            <w:r>
              <w:rPr>
                <w:sz w:val="20"/>
              </w:rPr>
              <w:t>11</w:t>
            </w:r>
          </w:p>
        </w:tc>
        <w:tc>
          <w:tcPr>
            <w:tcW w:w="1517" w:type="dxa"/>
          </w:tcPr>
          <w:p>
            <w:pPr>
              <w:pStyle w:val="TableParagraph"/>
              <w:ind w:left="488" w:right="479"/>
              <w:jc w:val="center"/>
              <w:rPr>
                <w:sz w:val="20"/>
              </w:rPr>
            </w:pPr>
            <w:r>
              <w:rPr>
                <w:sz w:val="20"/>
              </w:rPr>
              <w:t>53161</w:t>
            </w:r>
          </w:p>
        </w:tc>
        <w:tc>
          <w:tcPr>
            <w:tcW w:w="1516" w:type="dxa"/>
          </w:tcPr>
          <w:p>
            <w:pPr>
              <w:pStyle w:val="TableParagraph"/>
              <w:ind w:left="506"/>
              <w:rPr>
                <w:sz w:val="20"/>
              </w:rPr>
            </w:pPr>
            <w:r>
              <w:rPr>
                <w:sz w:val="20"/>
              </w:rPr>
              <w:t>56225</w:t>
            </w:r>
          </w:p>
        </w:tc>
        <w:tc>
          <w:tcPr>
            <w:tcW w:w="1220" w:type="dxa"/>
          </w:tcPr>
          <w:p>
            <w:pPr>
              <w:pStyle w:val="TableParagraph"/>
              <w:ind w:left="388" w:right="381"/>
              <w:jc w:val="center"/>
              <w:rPr>
                <w:sz w:val="20"/>
              </w:rPr>
            </w:pPr>
            <w:r>
              <w:rPr>
                <w:sz w:val="20"/>
              </w:rPr>
              <w:t>44</w:t>
            </w:r>
          </w:p>
        </w:tc>
        <w:tc>
          <w:tcPr>
            <w:tcW w:w="1516" w:type="dxa"/>
          </w:tcPr>
          <w:p>
            <w:pPr>
              <w:pStyle w:val="TableParagraph"/>
              <w:ind w:right="549"/>
              <w:jc w:val="right"/>
              <w:rPr>
                <w:sz w:val="20"/>
              </w:rPr>
            </w:pPr>
            <w:r>
              <w:rPr>
                <w:sz w:val="20"/>
              </w:rPr>
              <w:t>5741</w:t>
            </w:r>
          </w:p>
        </w:tc>
        <w:tc>
          <w:tcPr>
            <w:tcW w:w="1516" w:type="dxa"/>
          </w:tcPr>
          <w:p>
            <w:pPr>
              <w:pStyle w:val="TableParagraph"/>
              <w:ind w:right="549"/>
              <w:jc w:val="right"/>
              <w:rPr>
                <w:sz w:val="20"/>
              </w:rPr>
            </w:pPr>
            <w:r>
              <w:rPr>
                <w:sz w:val="20"/>
              </w:rPr>
              <w:t>5463</w:t>
            </w:r>
          </w:p>
        </w:tc>
      </w:tr>
      <w:tr>
        <w:trPr>
          <w:trHeight w:val="311" w:hRule="atLeast"/>
        </w:trPr>
        <w:tc>
          <w:tcPr>
            <w:tcW w:w="1219" w:type="dxa"/>
          </w:tcPr>
          <w:p>
            <w:pPr>
              <w:pStyle w:val="TableParagraph"/>
              <w:ind w:left="389" w:right="380"/>
              <w:jc w:val="center"/>
              <w:rPr>
                <w:sz w:val="20"/>
              </w:rPr>
            </w:pPr>
            <w:r>
              <w:rPr>
                <w:sz w:val="20"/>
              </w:rPr>
              <w:t>12</w:t>
            </w:r>
          </w:p>
        </w:tc>
        <w:tc>
          <w:tcPr>
            <w:tcW w:w="1517" w:type="dxa"/>
          </w:tcPr>
          <w:p>
            <w:pPr>
              <w:pStyle w:val="TableParagraph"/>
              <w:ind w:left="488" w:right="479"/>
              <w:jc w:val="center"/>
              <w:rPr>
                <w:sz w:val="20"/>
              </w:rPr>
            </w:pPr>
            <w:r>
              <w:rPr>
                <w:sz w:val="20"/>
              </w:rPr>
              <w:t>52542</w:t>
            </w:r>
          </w:p>
        </w:tc>
        <w:tc>
          <w:tcPr>
            <w:tcW w:w="1516" w:type="dxa"/>
          </w:tcPr>
          <w:p>
            <w:pPr>
              <w:pStyle w:val="TableParagraph"/>
              <w:ind w:left="506"/>
              <w:rPr>
                <w:sz w:val="20"/>
              </w:rPr>
            </w:pPr>
            <w:r>
              <w:rPr>
                <w:sz w:val="20"/>
              </w:rPr>
              <w:t>54503</w:t>
            </w:r>
          </w:p>
        </w:tc>
        <w:tc>
          <w:tcPr>
            <w:tcW w:w="1220" w:type="dxa"/>
          </w:tcPr>
          <w:p>
            <w:pPr>
              <w:pStyle w:val="TableParagraph"/>
              <w:ind w:left="388" w:right="381"/>
              <w:jc w:val="center"/>
              <w:rPr>
                <w:sz w:val="20"/>
              </w:rPr>
            </w:pPr>
            <w:r>
              <w:rPr>
                <w:sz w:val="20"/>
              </w:rPr>
              <w:t>45</w:t>
            </w:r>
          </w:p>
        </w:tc>
        <w:tc>
          <w:tcPr>
            <w:tcW w:w="1516" w:type="dxa"/>
          </w:tcPr>
          <w:p>
            <w:pPr>
              <w:pStyle w:val="TableParagraph"/>
              <w:ind w:right="549"/>
              <w:jc w:val="right"/>
              <w:rPr>
                <w:sz w:val="20"/>
              </w:rPr>
            </w:pPr>
            <w:r>
              <w:rPr>
                <w:sz w:val="20"/>
              </w:rPr>
              <w:t>5258</w:t>
            </w:r>
          </w:p>
        </w:tc>
        <w:tc>
          <w:tcPr>
            <w:tcW w:w="1516" w:type="dxa"/>
          </w:tcPr>
          <w:p>
            <w:pPr>
              <w:pStyle w:val="TableParagraph"/>
              <w:ind w:right="549"/>
              <w:jc w:val="right"/>
              <w:rPr>
                <w:sz w:val="20"/>
              </w:rPr>
            </w:pPr>
            <w:r>
              <w:rPr>
                <w:sz w:val="20"/>
              </w:rPr>
              <w:t>5066</w:t>
            </w:r>
          </w:p>
        </w:tc>
      </w:tr>
      <w:tr>
        <w:trPr>
          <w:trHeight w:val="312" w:hRule="atLeast"/>
        </w:trPr>
        <w:tc>
          <w:tcPr>
            <w:tcW w:w="1219" w:type="dxa"/>
          </w:tcPr>
          <w:p>
            <w:pPr>
              <w:pStyle w:val="TableParagraph"/>
              <w:spacing w:line="257" w:lineRule="exact"/>
              <w:ind w:left="389" w:right="380"/>
              <w:jc w:val="center"/>
              <w:rPr>
                <w:sz w:val="20"/>
              </w:rPr>
            </w:pPr>
            <w:r>
              <w:rPr>
                <w:sz w:val="20"/>
              </w:rPr>
              <w:t>13</w:t>
            </w:r>
          </w:p>
        </w:tc>
        <w:tc>
          <w:tcPr>
            <w:tcW w:w="1517" w:type="dxa"/>
          </w:tcPr>
          <w:p>
            <w:pPr>
              <w:pStyle w:val="TableParagraph"/>
              <w:spacing w:line="257" w:lineRule="exact"/>
              <w:ind w:left="488" w:right="479"/>
              <w:jc w:val="center"/>
              <w:rPr>
                <w:sz w:val="20"/>
              </w:rPr>
            </w:pPr>
            <w:r>
              <w:rPr>
                <w:sz w:val="20"/>
              </w:rPr>
              <w:t>51837</w:t>
            </w:r>
          </w:p>
        </w:tc>
        <w:tc>
          <w:tcPr>
            <w:tcW w:w="1516" w:type="dxa"/>
          </w:tcPr>
          <w:p>
            <w:pPr>
              <w:pStyle w:val="TableParagraph"/>
              <w:spacing w:line="257" w:lineRule="exact"/>
              <w:ind w:left="506"/>
              <w:rPr>
                <w:sz w:val="20"/>
              </w:rPr>
            </w:pPr>
            <w:r>
              <w:rPr>
                <w:sz w:val="20"/>
              </w:rPr>
              <w:t>53616</w:t>
            </w:r>
          </w:p>
        </w:tc>
        <w:tc>
          <w:tcPr>
            <w:tcW w:w="1220" w:type="dxa"/>
          </w:tcPr>
          <w:p>
            <w:pPr>
              <w:pStyle w:val="TableParagraph"/>
              <w:spacing w:line="257" w:lineRule="exact"/>
              <w:ind w:left="388" w:right="381"/>
              <w:jc w:val="center"/>
              <w:rPr>
                <w:sz w:val="20"/>
              </w:rPr>
            </w:pPr>
            <w:r>
              <w:rPr>
                <w:sz w:val="20"/>
              </w:rPr>
              <w:t>46</w:t>
            </w:r>
          </w:p>
        </w:tc>
        <w:tc>
          <w:tcPr>
            <w:tcW w:w="1516" w:type="dxa"/>
          </w:tcPr>
          <w:p>
            <w:pPr>
              <w:pStyle w:val="TableParagraph"/>
              <w:spacing w:line="257" w:lineRule="exact"/>
              <w:ind w:right="549"/>
              <w:jc w:val="right"/>
              <w:rPr>
                <w:sz w:val="20"/>
              </w:rPr>
            </w:pPr>
            <w:r>
              <w:rPr>
                <w:sz w:val="20"/>
              </w:rPr>
              <w:t>4723</w:t>
            </w:r>
          </w:p>
        </w:tc>
        <w:tc>
          <w:tcPr>
            <w:tcW w:w="1516" w:type="dxa"/>
          </w:tcPr>
          <w:p>
            <w:pPr>
              <w:pStyle w:val="TableParagraph"/>
              <w:spacing w:line="257" w:lineRule="exact"/>
              <w:ind w:right="549"/>
              <w:jc w:val="right"/>
              <w:rPr>
                <w:sz w:val="20"/>
              </w:rPr>
            </w:pPr>
            <w:r>
              <w:rPr>
                <w:sz w:val="20"/>
              </w:rPr>
              <w:t>4732</w:t>
            </w:r>
          </w:p>
        </w:tc>
      </w:tr>
      <w:tr>
        <w:trPr>
          <w:trHeight w:val="311" w:hRule="atLeast"/>
        </w:trPr>
        <w:tc>
          <w:tcPr>
            <w:tcW w:w="1219" w:type="dxa"/>
          </w:tcPr>
          <w:p>
            <w:pPr>
              <w:pStyle w:val="TableParagraph"/>
              <w:ind w:left="389" w:right="380"/>
              <w:jc w:val="center"/>
              <w:rPr>
                <w:sz w:val="20"/>
              </w:rPr>
            </w:pPr>
            <w:r>
              <w:rPr>
                <w:sz w:val="20"/>
              </w:rPr>
              <w:t>14</w:t>
            </w:r>
          </w:p>
        </w:tc>
        <w:tc>
          <w:tcPr>
            <w:tcW w:w="1517" w:type="dxa"/>
          </w:tcPr>
          <w:p>
            <w:pPr>
              <w:pStyle w:val="TableParagraph"/>
              <w:ind w:left="488" w:right="479"/>
              <w:jc w:val="center"/>
              <w:rPr>
                <w:sz w:val="20"/>
              </w:rPr>
            </w:pPr>
            <w:r>
              <w:rPr>
                <w:sz w:val="20"/>
              </w:rPr>
              <w:t>49288</w:t>
            </w:r>
          </w:p>
        </w:tc>
        <w:tc>
          <w:tcPr>
            <w:tcW w:w="1516" w:type="dxa"/>
          </w:tcPr>
          <w:p>
            <w:pPr>
              <w:pStyle w:val="TableParagraph"/>
              <w:ind w:left="506"/>
              <w:rPr>
                <w:sz w:val="20"/>
              </w:rPr>
            </w:pPr>
            <w:r>
              <w:rPr>
                <w:sz w:val="20"/>
              </w:rPr>
              <w:t>52743</w:t>
            </w:r>
          </w:p>
        </w:tc>
        <w:tc>
          <w:tcPr>
            <w:tcW w:w="1220" w:type="dxa"/>
          </w:tcPr>
          <w:p>
            <w:pPr>
              <w:pStyle w:val="TableParagraph"/>
              <w:ind w:left="388" w:right="381"/>
              <w:jc w:val="center"/>
              <w:rPr>
                <w:sz w:val="20"/>
              </w:rPr>
            </w:pPr>
            <w:r>
              <w:rPr>
                <w:sz w:val="20"/>
              </w:rPr>
              <w:t>47</w:t>
            </w:r>
          </w:p>
        </w:tc>
        <w:tc>
          <w:tcPr>
            <w:tcW w:w="1516" w:type="dxa"/>
          </w:tcPr>
          <w:p>
            <w:pPr>
              <w:pStyle w:val="TableParagraph"/>
              <w:ind w:right="549"/>
              <w:jc w:val="right"/>
              <w:rPr>
                <w:sz w:val="20"/>
              </w:rPr>
            </w:pPr>
            <w:r>
              <w:rPr>
                <w:sz w:val="20"/>
              </w:rPr>
              <w:t>4338</w:t>
            </w:r>
          </w:p>
        </w:tc>
        <w:tc>
          <w:tcPr>
            <w:tcW w:w="1516" w:type="dxa"/>
          </w:tcPr>
          <w:p>
            <w:pPr>
              <w:pStyle w:val="TableParagraph"/>
              <w:ind w:right="549"/>
              <w:jc w:val="right"/>
              <w:rPr>
                <w:sz w:val="20"/>
              </w:rPr>
            </w:pPr>
            <w:r>
              <w:rPr>
                <w:sz w:val="20"/>
              </w:rPr>
              <w:t>4455</w:t>
            </w:r>
          </w:p>
        </w:tc>
      </w:tr>
      <w:tr>
        <w:trPr>
          <w:trHeight w:val="311" w:hRule="atLeast"/>
        </w:trPr>
        <w:tc>
          <w:tcPr>
            <w:tcW w:w="1219" w:type="dxa"/>
          </w:tcPr>
          <w:p>
            <w:pPr>
              <w:pStyle w:val="TableParagraph"/>
              <w:ind w:left="389" w:right="380"/>
              <w:jc w:val="center"/>
              <w:rPr>
                <w:sz w:val="20"/>
              </w:rPr>
            </w:pPr>
            <w:r>
              <w:rPr>
                <w:sz w:val="20"/>
              </w:rPr>
              <w:t>15</w:t>
            </w:r>
          </w:p>
        </w:tc>
        <w:tc>
          <w:tcPr>
            <w:tcW w:w="1517" w:type="dxa"/>
          </w:tcPr>
          <w:p>
            <w:pPr>
              <w:pStyle w:val="TableParagraph"/>
              <w:ind w:left="488" w:right="479"/>
              <w:jc w:val="center"/>
              <w:rPr>
                <w:sz w:val="20"/>
              </w:rPr>
            </w:pPr>
            <w:r>
              <w:rPr>
                <w:sz w:val="20"/>
              </w:rPr>
              <w:t>47223</w:t>
            </w:r>
          </w:p>
        </w:tc>
        <w:tc>
          <w:tcPr>
            <w:tcW w:w="1516" w:type="dxa"/>
          </w:tcPr>
          <w:p>
            <w:pPr>
              <w:pStyle w:val="TableParagraph"/>
              <w:ind w:left="506"/>
              <w:rPr>
                <w:sz w:val="20"/>
              </w:rPr>
            </w:pPr>
            <w:r>
              <w:rPr>
                <w:sz w:val="20"/>
              </w:rPr>
              <w:t>51939</w:t>
            </w:r>
          </w:p>
        </w:tc>
        <w:tc>
          <w:tcPr>
            <w:tcW w:w="1220" w:type="dxa"/>
          </w:tcPr>
          <w:p>
            <w:pPr>
              <w:pStyle w:val="TableParagraph"/>
              <w:ind w:left="388" w:right="381"/>
              <w:jc w:val="center"/>
              <w:rPr>
                <w:sz w:val="20"/>
              </w:rPr>
            </w:pPr>
            <w:r>
              <w:rPr>
                <w:sz w:val="20"/>
              </w:rPr>
              <w:t>48</w:t>
            </w:r>
          </w:p>
        </w:tc>
        <w:tc>
          <w:tcPr>
            <w:tcW w:w="1516" w:type="dxa"/>
          </w:tcPr>
          <w:p>
            <w:pPr>
              <w:pStyle w:val="TableParagraph"/>
              <w:ind w:right="549"/>
              <w:jc w:val="right"/>
              <w:rPr>
                <w:sz w:val="20"/>
              </w:rPr>
            </w:pPr>
            <w:r>
              <w:rPr>
                <w:sz w:val="20"/>
              </w:rPr>
              <w:t>3796</w:t>
            </w:r>
          </w:p>
        </w:tc>
        <w:tc>
          <w:tcPr>
            <w:tcW w:w="1516" w:type="dxa"/>
          </w:tcPr>
          <w:p>
            <w:pPr>
              <w:pStyle w:val="TableParagraph"/>
              <w:ind w:right="549"/>
              <w:jc w:val="right"/>
              <w:rPr>
                <w:sz w:val="20"/>
              </w:rPr>
            </w:pPr>
            <w:r>
              <w:rPr>
                <w:sz w:val="20"/>
              </w:rPr>
              <w:t>4152</w:t>
            </w:r>
          </w:p>
        </w:tc>
      </w:tr>
      <w:tr>
        <w:trPr>
          <w:trHeight w:val="312" w:hRule="atLeast"/>
        </w:trPr>
        <w:tc>
          <w:tcPr>
            <w:tcW w:w="1219" w:type="dxa"/>
          </w:tcPr>
          <w:p>
            <w:pPr>
              <w:pStyle w:val="TableParagraph"/>
              <w:spacing w:line="257" w:lineRule="exact"/>
              <w:ind w:left="389" w:right="380"/>
              <w:jc w:val="center"/>
              <w:rPr>
                <w:sz w:val="20"/>
              </w:rPr>
            </w:pPr>
            <w:r>
              <w:rPr>
                <w:sz w:val="20"/>
              </w:rPr>
              <w:t>16</w:t>
            </w:r>
          </w:p>
        </w:tc>
        <w:tc>
          <w:tcPr>
            <w:tcW w:w="1517" w:type="dxa"/>
          </w:tcPr>
          <w:p>
            <w:pPr>
              <w:pStyle w:val="TableParagraph"/>
              <w:spacing w:line="257" w:lineRule="exact"/>
              <w:ind w:left="488" w:right="479"/>
              <w:jc w:val="center"/>
              <w:rPr>
                <w:sz w:val="20"/>
              </w:rPr>
            </w:pPr>
            <w:r>
              <w:rPr>
                <w:sz w:val="20"/>
              </w:rPr>
              <w:t>44432</w:t>
            </w:r>
          </w:p>
        </w:tc>
        <w:tc>
          <w:tcPr>
            <w:tcW w:w="1516" w:type="dxa"/>
          </w:tcPr>
          <w:p>
            <w:pPr>
              <w:pStyle w:val="TableParagraph"/>
              <w:spacing w:line="257" w:lineRule="exact"/>
              <w:ind w:left="506"/>
              <w:rPr>
                <w:sz w:val="20"/>
              </w:rPr>
            </w:pPr>
            <w:r>
              <w:rPr>
                <w:sz w:val="20"/>
              </w:rPr>
              <w:t>50665</w:t>
            </w:r>
          </w:p>
        </w:tc>
        <w:tc>
          <w:tcPr>
            <w:tcW w:w="1220" w:type="dxa"/>
          </w:tcPr>
          <w:p>
            <w:pPr>
              <w:pStyle w:val="TableParagraph"/>
              <w:spacing w:line="257" w:lineRule="exact"/>
              <w:ind w:left="388" w:right="381"/>
              <w:jc w:val="center"/>
              <w:rPr>
                <w:sz w:val="20"/>
              </w:rPr>
            </w:pPr>
            <w:r>
              <w:rPr>
                <w:sz w:val="20"/>
              </w:rPr>
              <w:t>49</w:t>
            </w:r>
          </w:p>
        </w:tc>
        <w:tc>
          <w:tcPr>
            <w:tcW w:w="1516" w:type="dxa"/>
          </w:tcPr>
          <w:p>
            <w:pPr>
              <w:pStyle w:val="TableParagraph"/>
              <w:spacing w:line="257" w:lineRule="exact"/>
              <w:ind w:right="549"/>
              <w:jc w:val="right"/>
              <w:rPr>
                <w:sz w:val="20"/>
              </w:rPr>
            </w:pPr>
            <w:r>
              <w:rPr>
                <w:sz w:val="20"/>
              </w:rPr>
              <w:t>3448</w:t>
            </w:r>
          </w:p>
        </w:tc>
        <w:tc>
          <w:tcPr>
            <w:tcW w:w="1516" w:type="dxa"/>
          </w:tcPr>
          <w:p>
            <w:pPr>
              <w:pStyle w:val="TableParagraph"/>
              <w:spacing w:line="257" w:lineRule="exact"/>
              <w:ind w:right="549"/>
              <w:jc w:val="right"/>
              <w:rPr>
                <w:sz w:val="20"/>
              </w:rPr>
            </w:pPr>
            <w:r>
              <w:rPr>
                <w:sz w:val="20"/>
              </w:rPr>
              <w:t>3877</w:t>
            </w:r>
          </w:p>
        </w:tc>
      </w:tr>
      <w:tr>
        <w:trPr>
          <w:trHeight w:val="311" w:hRule="atLeast"/>
        </w:trPr>
        <w:tc>
          <w:tcPr>
            <w:tcW w:w="1219" w:type="dxa"/>
          </w:tcPr>
          <w:p>
            <w:pPr>
              <w:pStyle w:val="TableParagraph"/>
              <w:ind w:left="389" w:right="380"/>
              <w:jc w:val="center"/>
              <w:rPr>
                <w:sz w:val="20"/>
              </w:rPr>
            </w:pPr>
            <w:r>
              <w:rPr>
                <w:sz w:val="20"/>
              </w:rPr>
              <w:t>17</w:t>
            </w:r>
          </w:p>
        </w:tc>
        <w:tc>
          <w:tcPr>
            <w:tcW w:w="1517" w:type="dxa"/>
          </w:tcPr>
          <w:p>
            <w:pPr>
              <w:pStyle w:val="TableParagraph"/>
              <w:ind w:left="488" w:right="479"/>
              <w:jc w:val="center"/>
              <w:rPr>
                <w:sz w:val="20"/>
              </w:rPr>
            </w:pPr>
            <w:r>
              <w:rPr>
                <w:sz w:val="20"/>
              </w:rPr>
              <w:t>42546</w:t>
            </w:r>
          </w:p>
        </w:tc>
        <w:tc>
          <w:tcPr>
            <w:tcW w:w="1516" w:type="dxa"/>
          </w:tcPr>
          <w:p>
            <w:pPr>
              <w:pStyle w:val="TableParagraph"/>
              <w:ind w:left="506"/>
              <w:rPr>
                <w:sz w:val="20"/>
              </w:rPr>
            </w:pPr>
            <w:r>
              <w:rPr>
                <w:sz w:val="20"/>
              </w:rPr>
              <w:t>49169</w:t>
            </w:r>
          </w:p>
        </w:tc>
        <w:tc>
          <w:tcPr>
            <w:tcW w:w="1220" w:type="dxa"/>
          </w:tcPr>
          <w:p>
            <w:pPr>
              <w:pStyle w:val="TableParagraph"/>
              <w:ind w:left="388" w:right="381"/>
              <w:jc w:val="center"/>
              <w:rPr>
                <w:sz w:val="20"/>
              </w:rPr>
            </w:pPr>
            <w:r>
              <w:rPr>
                <w:sz w:val="20"/>
              </w:rPr>
              <w:t>50</w:t>
            </w:r>
          </w:p>
        </w:tc>
        <w:tc>
          <w:tcPr>
            <w:tcW w:w="1516" w:type="dxa"/>
          </w:tcPr>
          <w:p>
            <w:pPr>
              <w:pStyle w:val="TableParagraph"/>
              <w:ind w:right="549"/>
              <w:jc w:val="right"/>
              <w:rPr>
                <w:sz w:val="20"/>
              </w:rPr>
            </w:pPr>
            <w:r>
              <w:rPr>
                <w:sz w:val="20"/>
              </w:rPr>
              <w:t>3068</w:t>
            </w:r>
          </w:p>
        </w:tc>
        <w:tc>
          <w:tcPr>
            <w:tcW w:w="1516" w:type="dxa"/>
          </w:tcPr>
          <w:p>
            <w:pPr>
              <w:pStyle w:val="TableParagraph"/>
              <w:ind w:right="549"/>
              <w:jc w:val="right"/>
              <w:rPr>
                <w:sz w:val="20"/>
              </w:rPr>
            </w:pPr>
            <w:r>
              <w:rPr>
                <w:sz w:val="20"/>
              </w:rPr>
              <w:t>3635</w:t>
            </w:r>
          </w:p>
        </w:tc>
      </w:tr>
      <w:tr>
        <w:trPr>
          <w:trHeight w:val="311" w:hRule="atLeast"/>
        </w:trPr>
        <w:tc>
          <w:tcPr>
            <w:tcW w:w="1219" w:type="dxa"/>
          </w:tcPr>
          <w:p>
            <w:pPr>
              <w:pStyle w:val="TableParagraph"/>
              <w:ind w:left="389" w:right="380"/>
              <w:jc w:val="center"/>
              <w:rPr>
                <w:sz w:val="20"/>
              </w:rPr>
            </w:pPr>
            <w:r>
              <w:rPr>
                <w:sz w:val="20"/>
              </w:rPr>
              <w:t>18</w:t>
            </w:r>
          </w:p>
        </w:tc>
        <w:tc>
          <w:tcPr>
            <w:tcW w:w="1517" w:type="dxa"/>
          </w:tcPr>
          <w:p>
            <w:pPr>
              <w:pStyle w:val="TableParagraph"/>
              <w:ind w:left="488" w:right="479"/>
              <w:jc w:val="center"/>
              <w:rPr>
                <w:sz w:val="20"/>
              </w:rPr>
            </w:pPr>
            <w:r>
              <w:rPr>
                <w:sz w:val="20"/>
              </w:rPr>
              <w:t>39676</w:t>
            </w:r>
          </w:p>
        </w:tc>
        <w:tc>
          <w:tcPr>
            <w:tcW w:w="1516" w:type="dxa"/>
          </w:tcPr>
          <w:p>
            <w:pPr>
              <w:pStyle w:val="TableParagraph"/>
              <w:ind w:left="506"/>
              <w:rPr>
                <w:sz w:val="20"/>
              </w:rPr>
            </w:pPr>
            <w:r>
              <w:rPr>
                <w:sz w:val="20"/>
              </w:rPr>
              <w:t>45386</w:t>
            </w:r>
          </w:p>
        </w:tc>
        <w:tc>
          <w:tcPr>
            <w:tcW w:w="1220" w:type="dxa"/>
          </w:tcPr>
          <w:p>
            <w:pPr>
              <w:pStyle w:val="TableParagraph"/>
              <w:ind w:left="388" w:right="381"/>
              <w:jc w:val="center"/>
              <w:rPr>
                <w:sz w:val="20"/>
              </w:rPr>
            </w:pPr>
            <w:r>
              <w:rPr>
                <w:sz w:val="20"/>
              </w:rPr>
              <w:t>51</w:t>
            </w:r>
          </w:p>
        </w:tc>
        <w:tc>
          <w:tcPr>
            <w:tcW w:w="1516" w:type="dxa"/>
          </w:tcPr>
          <w:p>
            <w:pPr>
              <w:pStyle w:val="TableParagraph"/>
              <w:ind w:right="549"/>
              <w:jc w:val="right"/>
              <w:rPr>
                <w:sz w:val="20"/>
              </w:rPr>
            </w:pPr>
            <w:r>
              <w:rPr>
                <w:sz w:val="20"/>
              </w:rPr>
              <w:t>2849</w:t>
            </w:r>
          </w:p>
        </w:tc>
        <w:tc>
          <w:tcPr>
            <w:tcW w:w="1516" w:type="dxa"/>
          </w:tcPr>
          <w:p>
            <w:pPr>
              <w:pStyle w:val="TableParagraph"/>
              <w:ind w:right="549"/>
              <w:jc w:val="right"/>
              <w:rPr>
                <w:sz w:val="20"/>
              </w:rPr>
            </w:pPr>
            <w:r>
              <w:rPr>
                <w:sz w:val="20"/>
              </w:rPr>
              <w:t>3470</w:t>
            </w:r>
          </w:p>
        </w:tc>
      </w:tr>
      <w:tr>
        <w:trPr>
          <w:trHeight w:val="312" w:hRule="atLeast"/>
        </w:trPr>
        <w:tc>
          <w:tcPr>
            <w:tcW w:w="1219" w:type="dxa"/>
          </w:tcPr>
          <w:p>
            <w:pPr>
              <w:pStyle w:val="TableParagraph"/>
              <w:spacing w:line="257" w:lineRule="exact"/>
              <w:ind w:left="389" w:right="380"/>
              <w:jc w:val="center"/>
              <w:rPr>
                <w:sz w:val="20"/>
              </w:rPr>
            </w:pPr>
            <w:r>
              <w:rPr>
                <w:sz w:val="20"/>
              </w:rPr>
              <w:t>19</w:t>
            </w:r>
          </w:p>
        </w:tc>
        <w:tc>
          <w:tcPr>
            <w:tcW w:w="1517" w:type="dxa"/>
          </w:tcPr>
          <w:p>
            <w:pPr>
              <w:pStyle w:val="TableParagraph"/>
              <w:spacing w:line="257" w:lineRule="exact"/>
              <w:ind w:left="488" w:right="479"/>
              <w:jc w:val="center"/>
              <w:rPr>
                <w:sz w:val="20"/>
              </w:rPr>
            </w:pPr>
            <w:r>
              <w:rPr>
                <w:sz w:val="20"/>
              </w:rPr>
              <w:t>37067</w:t>
            </w:r>
          </w:p>
        </w:tc>
        <w:tc>
          <w:tcPr>
            <w:tcW w:w="1516" w:type="dxa"/>
          </w:tcPr>
          <w:p>
            <w:pPr>
              <w:pStyle w:val="TableParagraph"/>
              <w:spacing w:line="257" w:lineRule="exact"/>
              <w:ind w:left="506"/>
              <w:rPr>
                <w:sz w:val="20"/>
              </w:rPr>
            </w:pPr>
            <w:r>
              <w:rPr>
                <w:sz w:val="20"/>
              </w:rPr>
              <w:t>42583</w:t>
            </w:r>
          </w:p>
        </w:tc>
        <w:tc>
          <w:tcPr>
            <w:tcW w:w="1220" w:type="dxa"/>
          </w:tcPr>
          <w:p>
            <w:pPr>
              <w:pStyle w:val="TableParagraph"/>
              <w:spacing w:line="257" w:lineRule="exact"/>
              <w:ind w:left="388" w:right="381"/>
              <w:jc w:val="center"/>
              <w:rPr>
                <w:sz w:val="20"/>
              </w:rPr>
            </w:pPr>
            <w:r>
              <w:rPr>
                <w:sz w:val="20"/>
              </w:rPr>
              <w:t>52</w:t>
            </w:r>
          </w:p>
        </w:tc>
        <w:tc>
          <w:tcPr>
            <w:tcW w:w="1516" w:type="dxa"/>
          </w:tcPr>
          <w:p>
            <w:pPr>
              <w:pStyle w:val="TableParagraph"/>
              <w:spacing w:line="257" w:lineRule="exact"/>
              <w:ind w:right="549"/>
              <w:jc w:val="right"/>
              <w:rPr>
                <w:sz w:val="20"/>
              </w:rPr>
            </w:pPr>
            <w:r>
              <w:rPr>
                <w:sz w:val="20"/>
              </w:rPr>
              <w:t>2655</w:t>
            </w:r>
          </w:p>
        </w:tc>
        <w:tc>
          <w:tcPr>
            <w:tcW w:w="1516" w:type="dxa"/>
          </w:tcPr>
          <w:p>
            <w:pPr>
              <w:pStyle w:val="TableParagraph"/>
              <w:spacing w:line="257" w:lineRule="exact"/>
              <w:ind w:right="549"/>
              <w:jc w:val="right"/>
              <w:rPr>
                <w:sz w:val="20"/>
              </w:rPr>
            </w:pPr>
            <w:r>
              <w:rPr>
                <w:sz w:val="20"/>
              </w:rPr>
              <w:t>3332</w:t>
            </w:r>
          </w:p>
        </w:tc>
      </w:tr>
      <w:tr>
        <w:trPr>
          <w:trHeight w:val="311" w:hRule="atLeast"/>
        </w:trPr>
        <w:tc>
          <w:tcPr>
            <w:tcW w:w="1219" w:type="dxa"/>
          </w:tcPr>
          <w:p>
            <w:pPr>
              <w:pStyle w:val="TableParagraph"/>
              <w:ind w:left="389" w:right="380"/>
              <w:jc w:val="center"/>
              <w:rPr>
                <w:sz w:val="20"/>
              </w:rPr>
            </w:pPr>
            <w:r>
              <w:rPr>
                <w:sz w:val="20"/>
              </w:rPr>
              <w:t>20</w:t>
            </w:r>
          </w:p>
        </w:tc>
        <w:tc>
          <w:tcPr>
            <w:tcW w:w="1517" w:type="dxa"/>
          </w:tcPr>
          <w:p>
            <w:pPr>
              <w:pStyle w:val="TableParagraph"/>
              <w:ind w:left="488" w:right="479"/>
              <w:jc w:val="center"/>
              <w:rPr>
                <w:sz w:val="20"/>
              </w:rPr>
            </w:pPr>
            <w:r>
              <w:rPr>
                <w:sz w:val="20"/>
              </w:rPr>
              <w:t>36224</w:t>
            </w:r>
          </w:p>
        </w:tc>
        <w:tc>
          <w:tcPr>
            <w:tcW w:w="1516" w:type="dxa"/>
          </w:tcPr>
          <w:p>
            <w:pPr>
              <w:pStyle w:val="TableParagraph"/>
              <w:ind w:left="506"/>
              <w:rPr>
                <w:sz w:val="20"/>
              </w:rPr>
            </w:pPr>
            <w:r>
              <w:rPr>
                <w:sz w:val="20"/>
              </w:rPr>
              <w:t>40651</w:t>
            </w:r>
          </w:p>
        </w:tc>
        <w:tc>
          <w:tcPr>
            <w:tcW w:w="1220" w:type="dxa"/>
          </w:tcPr>
          <w:p>
            <w:pPr>
              <w:pStyle w:val="TableParagraph"/>
              <w:ind w:left="388" w:right="381"/>
              <w:jc w:val="center"/>
              <w:rPr>
                <w:sz w:val="20"/>
              </w:rPr>
            </w:pPr>
            <w:r>
              <w:rPr>
                <w:sz w:val="20"/>
              </w:rPr>
              <w:t>53</w:t>
            </w:r>
          </w:p>
        </w:tc>
        <w:tc>
          <w:tcPr>
            <w:tcW w:w="1516" w:type="dxa"/>
          </w:tcPr>
          <w:p>
            <w:pPr>
              <w:pStyle w:val="TableParagraph"/>
              <w:ind w:right="549"/>
              <w:jc w:val="right"/>
              <w:rPr>
                <w:sz w:val="20"/>
              </w:rPr>
            </w:pPr>
            <w:r>
              <w:rPr>
                <w:sz w:val="20"/>
              </w:rPr>
              <w:t>2438</w:t>
            </w:r>
          </w:p>
        </w:tc>
        <w:tc>
          <w:tcPr>
            <w:tcW w:w="1516" w:type="dxa"/>
          </w:tcPr>
          <w:p>
            <w:pPr>
              <w:pStyle w:val="TableParagraph"/>
              <w:ind w:right="549"/>
              <w:jc w:val="right"/>
              <w:rPr>
                <w:sz w:val="20"/>
              </w:rPr>
            </w:pPr>
            <w:r>
              <w:rPr>
                <w:sz w:val="20"/>
              </w:rPr>
              <w:t>3048</w:t>
            </w:r>
          </w:p>
        </w:tc>
      </w:tr>
      <w:tr>
        <w:trPr>
          <w:trHeight w:val="311" w:hRule="atLeast"/>
        </w:trPr>
        <w:tc>
          <w:tcPr>
            <w:tcW w:w="1219" w:type="dxa"/>
          </w:tcPr>
          <w:p>
            <w:pPr>
              <w:pStyle w:val="TableParagraph"/>
              <w:ind w:left="389" w:right="380"/>
              <w:jc w:val="center"/>
              <w:rPr>
                <w:sz w:val="20"/>
              </w:rPr>
            </w:pPr>
            <w:r>
              <w:rPr>
                <w:sz w:val="20"/>
              </w:rPr>
              <w:t>21</w:t>
            </w:r>
          </w:p>
        </w:tc>
        <w:tc>
          <w:tcPr>
            <w:tcW w:w="1517" w:type="dxa"/>
          </w:tcPr>
          <w:p>
            <w:pPr>
              <w:pStyle w:val="TableParagraph"/>
              <w:ind w:left="488" w:right="479"/>
              <w:jc w:val="center"/>
              <w:rPr>
                <w:sz w:val="20"/>
              </w:rPr>
            </w:pPr>
            <w:r>
              <w:rPr>
                <w:sz w:val="20"/>
              </w:rPr>
              <w:t>35935</w:t>
            </w:r>
          </w:p>
        </w:tc>
        <w:tc>
          <w:tcPr>
            <w:tcW w:w="1516" w:type="dxa"/>
          </w:tcPr>
          <w:p>
            <w:pPr>
              <w:pStyle w:val="TableParagraph"/>
              <w:ind w:left="506"/>
              <w:rPr>
                <w:sz w:val="20"/>
              </w:rPr>
            </w:pPr>
            <w:r>
              <w:rPr>
                <w:sz w:val="20"/>
              </w:rPr>
              <w:t>38513</w:t>
            </w:r>
          </w:p>
        </w:tc>
        <w:tc>
          <w:tcPr>
            <w:tcW w:w="1220" w:type="dxa"/>
          </w:tcPr>
          <w:p>
            <w:pPr>
              <w:pStyle w:val="TableParagraph"/>
              <w:ind w:left="388" w:right="381"/>
              <w:jc w:val="center"/>
              <w:rPr>
                <w:sz w:val="20"/>
              </w:rPr>
            </w:pPr>
            <w:r>
              <w:rPr>
                <w:sz w:val="20"/>
              </w:rPr>
              <w:t>54</w:t>
            </w:r>
          </w:p>
        </w:tc>
        <w:tc>
          <w:tcPr>
            <w:tcW w:w="1516" w:type="dxa"/>
          </w:tcPr>
          <w:p>
            <w:pPr>
              <w:pStyle w:val="TableParagraph"/>
              <w:ind w:right="549"/>
              <w:jc w:val="right"/>
              <w:rPr>
                <w:sz w:val="20"/>
              </w:rPr>
            </w:pPr>
            <w:r>
              <w:rPr>
                <w:sz w:val="20"/>
              </w:rPr>
              <w:t>2197</w:t>
            </w:r>
          </w:p>
        </w:tc>
        <w:tc>
          <w:tcPr>
            <w:tcW w:w="1516" w:type="dxa"/>
          </w:tcPr>
          <w:p>
            <w:pPr>
              <w:pStyle w:val="TableParagraph"/>
              <w:ind w:right="549"/>
              <w:jc w:val="right"/>
              <w:rPr>
                <w:sz w:val="20"/>
              </w:rPr>
            </w:pPr>
            <w:r>
              <w:rPr>
                <w:sz w:val="20"/>
              </w:rPr>
              <w:t>2812</w:t>
            </w:r>
          </w:p>
        </w:tc>
      </w:tr>
      <w:tr>
        <w:trPr>
          <w:trHeight w:val="312" w:hRule="atLeast"/>
        </w:trPr>
        <w:tc>
          <w:tcPr>
            <w:tcW w:w="1219" w:type="dxa"/>
          </w:tcPr>
          <w:p>
            <w:pPr>
              <w:pStyle w:val="TableParagraph"/>
              <w:spacing w:line="257" w:lineRule="exact"/>
              <w:ind w:left="389" w:right="380"/>
              <w:jc w:val="center"/>
              <w:rPr>
                <w:sz w:val="20"/>
              </w:rPr>
            </w:pPr>
            <w:r>
              <w:rPr>
                <w:sz w:val="20"/>
              </w:rPr>
              <w:t>22</w:t>
            </w:r>
          </w:p>
        </w:tc>
        <w:tc>
          <w:tcPr>
            <w:tcW w:w="1517" w:type="dxa"/>
          </w:tcPr>
          <w:p>
            <w:pPr>
              <w:pStyle w:val="TableParagraph"/>
              <w:spacing w:line="257" w:lineRule="exact"/>
              <w:ind w:left="488" w:right="479"/>
              <w:jc w:val="center"/>
              <w:rPr>
                <w:sz w:val="20"/>
              </w:rPr>
            </w:pPr>
            <w:r>
              <w:rPr>
                <w:sz w:val="20"/>
              </w:rPr>
              <w:t>36665</w:t>
            </w:r>
          </w:p>
        </w:tc>
        <w:tc>
          <w:tcPr>
            <w:tcW w:w="1516" w:type="dxa"/>
          </w:tcPr>
          <w:p>
            <w:pPr>
              <w:pStyle w:val="TableParagraph"/>
              <w:spacing w:line="257" w:lineRule="exact"/>
              <w:ind w:left="506"/>
              <w:rPr>
                <w:sz w:val="20"/>
              </w:rPr>
            </w:pPr>
            <w:r>
              <w:rPr>
                <w:sz w:val="20"/>
              </w:rPr>
              <w:t>36956</w:t>
            </w:r>
          </w:p>
        </w:tc>
        <w:tc>
          <w:tcPr>
            <w:tcW w:w="1220" w:type="dxa"/>
          </w:tcPr>
          <w:p>
            <w:pPr>
              <w:pStyle w:val="TableParagraph"/>
              <w:spacing w:line="257" w:lineRule="exact"/>
              <w:ind w:left="388" w:right="381"/>
              <w:jc w:val="center"/>
              <w:rPr>
                <w:sz w:val="20"/>
              </w:rPr>
            </w:pPr>
            <w:r>
              <w:rPr>
                <w:sz w:val="20"/>
              </w:rPr>
              <w:t>55</w:t>
            </w:r>
          </w:p>
        </w:tc>
        <w:tc>
          <w:tcPr>
            <w:tcW w:w="1516" w:type="dxa"/>
          </w:tcPr>
          <w:p>
            <w:pPr>
              <w:pStyle w:val="TableParagraph"/>
              <w:spacing w:line="257" w:lineRule="exact"/>
              <w:ind w:right="549"/>
              <w:jc w:val="right"/>
              <w:rPr>
                <w:sz w:val="20"/>
              </w:rPr>
            </w:pPr>
            <w:r>
              <w:rPr>
                <w:sz w:val="20"/>
              </w:rPr>
              <w:t>2033</w:t>
            </w:r>
          </w:p>
        </w:tc>
        <w:tc>
          <w:tcPr>
            <w:tcW w:w="1516" w:type="dxa"/>
          </w:tcPr>
          <w:p>
            <w:pPr>
              <w:pStyle w:val="TableParagraph"/>
              <w:spacing w:line="257" w:lineRule="exact"/>
              <w:ind w:right="549"/>
              <w:jc w:val="right"/>
              <w:rPr>
                <w:sz w:val="20"/>
              </w:rPr>
            </w:pPr>
            <w:r>
              <w:rPr>
                <w:sz w:val="20"/>
              </w:rPr>
              <w:t>2628</w:t>
            </w:r>
          </w:p>
        </w:tc>
      </w:tr>
      <w:tr>
        <w:trPr>
          <w:trHeight w:val="311" w:hRule="atLeast"/>
        </w:trPr>
        <w:tc>
          <w:tcPr>
            <w:tcW w:w="1219" w:type="dxa"/>
          </w:tcPr>
          <w:p>
            <w:pPr>
              <w:pStyle w:val="TableParagraph"/>
              <w:ind w:left="389" w:right="380"/>
              <w:jc w:val="center"/>
              <w:rPr>
                <w:sz w:val="20"/>
              </w:rPr>
            </w:pPr>
            <w:r>
              <w:rPr>
                <w:sz w:val="20"/>
              </w:rPr>
              <w:t>23</w:t>
            </w:r>
          </w:p>
        </w:tc>
        <w:tc>
          <w:tcPr>
            <w:tcW w:w="1517" w:type="dxa"/>
          </w:tcPr>
          <w:p>
            <w:pPr>
              <w:pStyle w:val="TableParagraph"/>
              <w:ind w:left="488" w:right="479"/>
              <w:jc w:val="center"/>
              <w:rPr>
                <w:sz w:val="20"/>
              </w:rPr>
            </w:pPr>
            <w:r>
              <w:rPr>
                <w:sz w:val="20"/>
              </w:rPr>
              <w:t>34960</w:t>
            </w:r>
          </w:p>
        </w:tc>
        <w:tc>
          <w:tcPr>
            <w:tcW w:w="1516" w:type="dxa"/>
          </w:tcPr>
          <w:p>
            <w:pPr>
              <w:pStyle w:val="TableParagraph"/>
              <w:ind w:left="506"/>
              <w:rPr>
                <w:sz w:val="20"/>
              </w:rPr>
            </w:pPr>
            <w:r>
              <w:rPr>
                <w:sz w:val="20"/>
              </w:rPr>
              <w:t>33849</w:t>
            </w:r>
          </w:p>
        </w:tc>
        <w:tc>
          <w:tcPr>
            <w:tcW w:w="1220" w:type="dxa"/>
          </w:tcPr>
          <w:p>
            <w:pPr>
              <w:pStyle w:val="TableParagraph"/>
              <w:ind w:left="388" w:right="381"/>
              <w:jc w:val="center"/>
              <w:rPr>
                <w:sz w:val="20"/>
              </w:rPr>
            </w:pPr>
            <w:r>
              <w:rPr>
                <w:sz w:val="20"/>
              </w:rPr>
              <w:t>56</w:t>
            </w:r>
          </w:p>
        </w:tc>
        <w:tc>
          <w:tcPr>
            <w:tcW w:w="1516" w:type="dxa"/>
          </w:tcPr>
          <w:p>
            <w:pPr>
              <w:pStyle w:val="TableParagraph"/>
              <w:ind w:right="549"/>
              <w:jc w:val="right"/>
              <w:rPr>
                <w:sz w:val="20"/>
              </w:rPr>
            </w:pPr>
            <w:r>
              <w:rPr>
                <w:sz w:val="20"/>
              </w:rPr>
              <w:t>1888</w:t>
            </w:r>
          </w:p>
        </w:tc>
        <w:tc>
          <w:tcPr>
            <w:tcW w:w="1516" w:type="dxa"/>
          </w:tcPr>
          <w:p>
            <w:pPr>
              <w:pStyle w:val="TableParagraph"/>
              <w:ind w:right="549"/>
              <w:jc w:val="right"/>
              <w:rPr>
                <w:sz w:val="20"/>
              </w:rPr>
            </w:pPr>
            <w:r>
              <w:rPr>
                <w:sz w:val="20"/>
              </w:rPr>
              <w:t>2476</w:t>
            </w:r>
          </w:p>
        </w:tc>
      </w:tr>
      <w:tr>
        <w:trPr>
          <w:trHeight w:val="311" w:hRule="atLeast"/>
        </w:trPr>
        <w:tc>
          <w:tcPr>
            <w:tcW w:w="1219" w:type="dxa"/>
          </w:tcPr>
          <w:p>
            <w:pPr>
              <w:pStyle w:val="TableParagraph"/>
              <w:ind w:left="389" w:right="380"/>
              <w:jc w:val="center"/>
              <w:rPr>
                <w:sz w:val="20"/>
              </w:rPr>
            </w:pPr>
            <w:r>
              <w:rPr>
                <w:sz w:val="20"/>
              </w:rPr>
              <w:t>24</w:t>
            </w:r>
          </w:p>
        </w:tc>
        <w:tc>
          <w:tcPr>
            <w:tcW w:w="1517" w:type="dxa"/>
          </w:tcPr>
          <w:p>
            <w:pPr>
              <w:pStyle w:val="TableParagraph"/>
              <w:ind w:left="488" w:right="479"/>
              <w:jc w:val="center"/>
              <w:rPr>
                <w:sz w:val="20"/>
              </w:rPr>
            </w:pPr>
            <w:r>
              <w:rPr>
                <w:sz w:val="20"/>
              </w:rPr>
              <w:t>32878</w:t>
            </w:r>
          </w:p>
        </w:tc>
        <w:tc>
          <w:tcPr>
            <w:tcW w:w="1516" w:type="dxa"/>
          </w:tcPr>
          <w:p>
            <w:pPr>
              <w:pStyle w:val="TableParagraph"/>
              <w:ind w:left="506"/>
              <w:rPr>
                <w:sz w:val="20"/>
              </w:rPr>
            </w:pPr>
            <w:r>
              <w:rPr>
                <w:sz w:val="20"/>
              </w:rPr>
              <w:t>31785</w:t>
            </w:r>
          </w:p>
        </w:tc>
        <w:tc>
          <w:tcPr>
            <w:tcW w:w="1220" w:type="dxa"/>
          </w:tcPr>
          <w:p>
            <w:pPr>
              <w:pStyle w:val="TableParagraph"/>
              <w:ind w:left="388" w:right="381"/>
              <w:jc w:val="center"/>
              <w:rPr>
                <w:sz w:val="20"/>
              </w:rPr>
            </w:pPr>
            <w:r>
              <w:rPr>
                <w:sz w:val="20"/>
              </w:rPr>
              <w:t>57</w:t>
            </w:r>
          </w:p>
        </w:tc>
        <w:tc>
          <w:tcPr>
            <w:tcW w:w="1516" w:type="dxa"/>
          </w:tcPr>
          <w:p>
            <w:pPr>
              <w:pStyle w:val="TableParagraph"/>
              <w:ind w:right="549"/>
              <w:jc w:val="right"/>
              <w:rPr>
                <w:sz w:val="20"/>
              </w:rPr>
            </w:pPr>
            <w:r>
              <w:rPr>
                <w:sz w:val="20"/>
              </w:rPr>
              <w:t>1759</w:t>
            </w:r>
          </w:p>
        </w:tc>
        <w:tc>
          <w:tcPr>
            <w:tcW w:w="1516" w:type="dxa"/>
          </w:tcPr>
          <w:p>
            <w:pPr>
              <w:pStyle w:val="TableParagraph"/>
              <w:ind w:right="549"/>
              <w:jc w:val="right"/>
              <w:rPr>
                <w:sz w:val="20"/>
              </w:rPr>
            </w:pPr>
            <w:r>
              <w:rPr>
                <w:sz w:val="20"/>
              </w:rPr>
              <w:t>2338</w:t>
            </w:r>
          </w:p>
        </w:tc>
      </w:tr>
      <w:tr>
        <w:trPr>
          <w:trHeight w:val="312" w:hRule="atLeast"/>
        </w:trPr>
        <w:tc>
          <w:tcPr>
            <w:tcW w:w="1219" w:type="dxa"/>
          </w:tcPr>
          <w:p>
            <w:pPr>
              <w:pStyle w:val="TableParagraph"/>
              <w:spacing w:line="257" w:lineRule="exact"/>
              <w:ind w:left="389" w:right="380"/>
              <w:jc w:val="center"/>
              <w:rPr>
                <w:sz w:val="20"/>
              </w:rPr>
            </w:pPr>
            <w:r>
              <w:rPr>
                <w:sz w:val="20"/>
              </w:rPr>
              <w:t>25</w:t>
            </w:r>
          </w:p>
        </w:tc>
        <w:tc>
          <w:tcPr>
            <w:tcW w:w="1517" w:type="dxa"/>
          </w:tcPr>
          <w:p>
            <w:pPr>
              <w:pStyle w:val="TableParagraph"/>
              <w:spacing w:line="257" w:lineRule="exact"/>
              <w:ind w:left="488" w:right="479"/>
              <w:jc w:val="center"/>
              <w:rPr>
                <w:sz w:val="20"/>
              </w:rPr>
            </w:pPr>
            <w:r>
              <w:rPr>
                <w:sz w:val="20"/>
              </w:rPr>
              <w:t>31464</w:t>
            </w:r>
          </w:p>
        </w:tc>
        <w:tc>
          <w:tcPr>
            <w:tcW w:w="1516" w:type="dxa"/>
          </w:tcPr>
          <w:p>
            <w:pPr>
              <w:pStyle w:val="TableParagraph"/>
              <w:spacing w:line="257" w:lineRule="exact"/>
              <w:ind w:left="506"/>
              <w:rPr>
                <w:sz w:val="20"/>
              </w:rPr>
            </w:pPr>
            <w:r>
              <w:rPr>
                <w:sz w:val="20"/>
              </w:rPr>
              <w:t>30058</w:t>
            </w:r>
          </w:p>
        </w:tc>
        <w:tc>
          <w:tcPr>
            <w:tcW w:w="1220" w:type="dxa"/>
          </w:tcPr>
          <w:p>
            <w:pPr>
              <w:pStyle w:val="TableParagraph"/>
              <w:spacing w:line="257" w:lineRule="exact"/>
              <w:ind w:left="388" w:right="381"/>
              <w:jc w:val="center"/>
              <w:rPr>
                <w:sz w:val="20"/>
              </w:rPr>
            </w:pPr>
            <w:r>
              <w:rPr>
                <w:sz w:val="20"/>
              </w:rPr>
              <w:t>58</w:t>
            </w:r>
          </w:p>
        </w:tc>
        <w:tc>
          <w:tcPr>
            <w:tcW w:w="1516" w:type="dxa"/>
          </w:tcPr>
          <w:p>
            <w:pPr>
              <w:pStyle w:val="TableParagraph"/>
              <w:spacing w:line="257" w:lineRule="exact"/>
              <w:ind w:right="549"/>
              <w:jc w:val="right"/>
              <w:rPr>
                <w:sz w:val="20"/>
              </w:rPr>
            </w:pPr>
            <w:r>
              <w:rPr>
                <w:sz w:val="20"/>
              </w:rPr>
              <w:t>1558</w:t>
            </w:r>
          </w:p>
        </w:tc>
        <w:tc>
          <w:tcPr>
            <w:tcW w:w="1516" w:type="dxa"/>
          </w:tcPr>
          <w:p>
            <w:pPr>
              <w:pStyle w:val="TableParagraph"/>
              <w:spacing w:line="257" w:lineRule="exact"/>
              <w:ind w:right="549"/>
              <w:jc w:val="right"/>
              <w:rPr>
                <w:sz w:val="20"/>
              </w:rPr>
            </w:pPr>
            <w:r>
              <w:rPr>
                <w:sz w:val="20"/>
              </w:rPr>
              <w:t>2149</w:t>
            </w:r>
          </w:p>
        </w:tc>
      </w:tr>
      <w:tr>
        <w:trPr>
          <w:trHeight w:val="311" w:hRule="atLeast"/>
        </w:trPr>
        <w:tc>
          <w:tcPr>
            <w:tcW w:w="1219" w:type="dxa"/>
          </w:tcPr>
          <w:p>
            <w:pPr>
              <w:pStyle w:val="TableParagraph"/>
              <w:ind w:left="389" w:right="380"/>
              <w:jc w:val="center"/>
              <w:rPr>
                <w:sz w:val="20"/>
              </w:rPr>
            </w:pPr>
            <w:r>
              <w:rPr>
                <w:sz w:val="20"/>
              </w:rPr>
              <w:t>26</w:t>
            </w:r>
          </w:p>
        </w:tc>
        <w:tc>
          <w:tcPr>
            <w:tcW w:w="1517" w:type="dxa"/>
          </w:tcPr>
          <w:p>
            <w:pPr>
              <w:pStyle w:val="TableParagraph"/>
              <w:ind w:left="488" w:right="479"/>
              <w:jc w:val="center"/>
              <w:rPr>
                <w:sz w:val="20"/>
              </w:rPr>
            </w:pPr>
            <w:r>
              <w:rPr>
                <w:sz w:val="20"/>
              </w:rPr>
              <w:t>30099</w:t>
            </w:r>
          </w:p>
        </w:tc>
        <w:tc>
          <w:tcPr>
            <w:tcW w:w="1516" w:type="dxa"/>
          </w:tcPr>
          <w:p>
            <w:pPr>
              <w:pStyle w:val="TableParagraph"/>
              <w:ind w:left="506"/>
              <w:rPr>
                <w:sz w:val="20"/>
              </w:rPr>
            </w:pPr>
            <w:r>
              <w:rPr>
                <w:sz w:val="20"/>
              </w:rPr>
              <w:t>29025</w:t>
            </w:r>
          </w:p>
        </w:tc>
        <w:tc>
          <w:tcPr>
            <w:tcW w:w="1220" w:type="dxa"/>
          </w:tcPr>
          <w:p>
            <w:pPr>
              <w:pStyle w:val="TableParagraph"/>
              <w:ind w:left="388" w:right="381"/>
              <w:jc w:val="center"/>
              <w:rPr>
                <w:sz w:val="20"/>
              </w:rPr>
            </w:pPr>
            <w:r>
              <w:rPr>
                <w:sz w:val="20"/>
              </w:rPr>
              <w:t>59</w:t>
            </w:r>
          </w:p>
        </w:tc>
        <w:tc>
          <w:tcPr>
            <w:tcW w:w="1516" w:type="dxa"/>
          </w:tcPr>
          <w:p>
            <w:pPr>
              <w:pStyle w:val="TableParagraph"/>
              <w:ind w:right="549"/>
              <w:jc w:val="right"/>
              <w:rPr>
                <w:sz w:val="20"/>
              </w:rPr>
            </w:pPr>
            <w:r>
              <w:rPr>
                <w:sz w:val="20"/>
              </w:rPr>
              <w:t>1414</w:t>
            </w:r>
          </w:p>
        </w:tc>
        <w:tc>
          <w:tcPr>
            <w:tcW w:w="1516" w:type="dxa"/>
          </w:tcPr>
          <w:p>
            <w:pPr>
              <w:pStyle w:val="TableParagraph"/>
              <w:ind w:right="549"/>
              <w:jc w:val="right"/>
              <w:rPr>
                <w:sz w:val="20"/>
              </w:rPr>
            </w:pPr>
            <w:r>
              <w:rPr>
                <w:sz w:val="20"/>
              </w:rPr>
              <w:t>1996</w:t>
            </w:r>
          </w:p>
        </w:tc>
      </w:tr>
      <w:tr>
        <w:trPr>
          <w:trHeight w:val="311" w:hRule="atLeast"/>
        </w:trPr>
        <w:tc>
          <w:tcPr>
            <w:tcW w:w="1219" w:type="dxa"/>
          </w:tcPr>
          <w:p>
            <w:pPr>
              <w:pStyle w:val="TableParagraph"/>
              <w:ind w:left="389" w:right="380"/>
              <w:jc w:val="center"/>
              <w:rPr>
                <w:sz w:val="20"/>
              </w:rPr>
            </w:pPr>
            <w:r>
              <w:rPr>
                <w:sz w:val="20"/>
              </w:rPr>
              <w:t>27</w:t>
            </w:r>
          </w:p>
        </w:tc>
        <w:tc>
          <w:tcPr>
            <w:tcW w:w="1517" w:type="dxa"/>
          </w:tcPr>
          <w:p>
            <w:pPr>
              <w:pStyle w:val="TableParagraph"/>
              <w:ind w:left="488" w:right="479"/>
              <w:jc w:val="center"/>
              <w:rPr>
                <w:sz w:val="20"/>
              </w:rPr>
            </w:pPr>
            <w:r>
              <w:rPr>
                <w:sz w:val="20"/>
              </w:rPr>
              <w:t>28573</w:t>
            </w:r>
          </w:p>
        </w:tc>
        <w:tc>
          <w:tcPr>
            <w:tcW w:w="1516" w:type="dxa"/>
          </w:tcPr>
          <w:p>
            <w:pPr>
              <w:pStyle w:val="TableParagraph"/>
              <w:ind w:left="506"/>
              <w:rPr>
                <w:sz w:val="20"/>
              </w:rPr>
            </w:pPr>
            <w:r>
              <w:rPr>
                <w:sz w:val="20"/>
              </w:rPr>
              <w:t>27731</w:t>
            </w:r>
          </w:p>
        </w:tc>
        <w:tc>
          <w:tcPr>
            <w:tcW w:w="1220" w:type="dxa"/>
          </w:tcPr>
          <w:p>
            <w:pPr>
              <w:pStyle w:val="TableParagraph"/>
              <w:ind w:left="388" w:right="381"/>
              <w:jc w:val="center"/>
              <w:rPr>
                <w:sz w:val="20"/>
              </w:rPr>
            </w:pPr>
            <w:r>
              <w:rPr>
                <w:sz w:val="20"/>
              </w:rPr>
              <w:t>60</w:t>
            </w:r>
          </w:p>
        </w:tc>
        <w:tc>
          <w:tcPr>
            <w:tcW w:w="1516" w:type="dxa"/>
          </w:tcPr>
          <w:p>
            <w:pPr>
              <w:pStyle w:val="TableParagraph"/>
              <w:ind w:right="549"/>
              <w:jc w:val="right"/>
              <w:rPr>
                <w:sz w:val="20"/>
              </w:rPr>
            </w:pPr>
            <w:r>
              <w:rPr>
                <w:sz w:val="20"/>
              </w:rPr>
              <w:t>1296</w:t>
            </w:r>
          </w:p>
        </w:tc>
        <w:tc>
          <w:tcPr>
            <w:tcW w:w="1516" w:type="dxa"/>
          </w:tcPr>
          <w:p>
            <w:pPr>
              <w:pStyle w:val="TableParagraph"/>
              <w:ind w:right="549"/>
              <w:jc w:val="right"/>
              <w:rPr>
                <w:sz w:val="20"/>
              </w:rPr>
            </w:pPr>
            <w:r>
              <w:rPr>
                <w:sz w:val="20"/>
              </w:rPr>
              <w:t>1863</w:t>
            </w:r>
          </w:p>
        </w:tc>
      </w:tr>
      <w:tr>
        <w:trPr>
          <w:trHeight w:val="312" w:hRule="atLeast"/>
        </w:trPr>
        <w:tc>
          <w:tcPr>
            <w:tcW w:w="1219" w:type="dxa"/>
          </w:tcPr>
          <w:p>
            <w:pPr>
              <w:pStyle w:val="TableParagraph"/>
              <w:spacing w:line="257" w:lineRule="exact"/>
              <w:ind w:left="389" w:right="380"/>
              <w:jc w:val="center"/>
              <w:rPr>
                <w:sz w:val="20"/>
              </w:rPr>
            </w:pPr>
            <w:r>
              <w:rPr>
                <w:sz w:val="20"/>
              </w:rPr>
              <w:t>28</w:t>
            </w:r>
          </w:p>
        </w:tc>
        <w:tc>
          <w:tcPr>
            <w:tcW w:w="1517" w:type="dxa"/>
          </w:tcPr>
          <w:p>
            <w:pPr>
              <w:pStyle w:val="TableParagraph"/>
              <w:spacing w:line="257" w:lineRule="exact"/>
              <w:ind w:left="488" w:right="479"/>
              <w:jc w:val="center"/>
              <w:rPr>
                <w:sz w:val="20"/>
              </w:rPr>
            </w:pPr>
            <w:r>
              <w:rPr>
                <w:sz w:val="20"/>
              </w:rPr>
              <w:t>25055</w:t>
            </w:r>
          </w:p>
        </w:tc>
        <w:tc>
          <w:tcPr>
            <w:tcW w:w="1516" w:type="dxa"/>
          </w:tcPr>
          <w:p>
            <w:pPr>
              <w:pStyle w:val="TableParagraph"/>
              <w:spacing w:line="257" w:lineRule="exact"/>
              <w:ind w:left="506"/>
              <w:rPr>
                <w:sz w:val="20"/>
              </w:rPr>
            </w:pPr>
            <w:r>
              <w:rPr>
                <w:sz w:val="20"/>
              </w:rPr>
              <w:t>24498</w:t>
            </w:r>
          </w:p>
        </w:tc>
        <w:tc>
          <w:tcPr>
            <w:tcW w:w="1220" w:type="dxa"/>
          </w:tcPr>
          <w:p>
            <w:pPr>
              <w:pStyle w:val="TableParagraph"/>
              <w:spacing w:line="257" w:lineRule="exact"/>
              <w:ind w:left="388" w:right="381"/>
              <w:jc w:val="center"/>
              <w:rPr>
                <w:sz w:val="20"/>
              </w:rPr>
            </w:pPr>
            <w:r>
              <w:rPr>
                <w:sz w:val="20"/>
              </w:rPr>
              <w:t>61</w:t>
            </w:r>
          </w:p>
        </w:tc>
        <w:tc>
          <w:tcPr>
            <w:tcW w:w="1516" w:type="dxa"/>
          </w:tcPr>
          <w:p>
            <w:pPr>
              <w:pStyle w:val="TableParagraph"/>
              <w:spacing w:line="257" w:lineRule="exact"/>
              <w:ind w:right="549"/>
              <w:jc w:val="right"/>
              <w:rPr>
                <w:sz w:val="20"/>
              </w:rPr>
            </w:pPr>
            <w:r>
              <w:rPr>
                <w:sz w:val="20"/>
              </w:rPr>
              <w:t>1217</w:t>
            </w:r>
          </w:p>
        </w:tc>
        <w:tc>
          <w:tcPr>
            <w:tcW w:w="1516" w:type="dxa"/>
          </w:tcPr>
          <w:p>
            <w:pPr>
              <w:pStyle w:val="TableParagraph"/>
              <w:spacing w:line="257" w:lineRule="exact"/>
              <w:ind w:right="549"/>
              <w:jc w:val="right"/>
              <w:rPr>
                <w:sz w:val="20"/>
              </w:rPr>
            </w:pPr>
            <w:r>
              <w:rPr>
                <w:sz w:val="20"/>
              </w:rPr>
              <w:t>1712</w:t>
            </w:r>
          </w:p>
        </w:tc>
      </w:tr>
      <w:tr>
        <w:trPr>
          <w:trHeight w:val="311" w:hRule="atLeast"/>
        </w:trPr>
        <w:tc>
          <w:tcPr>
            <w:tcW w:w="1219" w:type="dxa"/>
          </w:tcPr>
          <w:p>
            <w:pPr>
              <w:pStyle w:val="TableParagraph"/>
              <w:ind w:left="389" w:right="380"/>
              <w:jc w:val="center"/>
              <w:rPr>
                <w:sz w:val="20"/>
              </w:rPr>
            </w:pPr>
            <w:r>
              <w:rPr>
                <w:sz w:val="20"/>
              </w:rPr>
              <w:t>29</w:t>
            </w:r>
          </w:p>
        </w:tc>
        <w:tc>
          <w:tcPr>
            <w:tcW w:w="1517" w:type="dxa"/>
          </w:tcPr>
          <w:p>
            <w:pPr>
              <w:pStyle w:val="TableParagraph"/>
              <w:ind w:left="488" w:right="479"/>
              <w:jc w:val="center"/>
              <w:rPr>
                <w:sz w:val="20"/>
              </w:rPr>
            </w:pPr>
            <w:r>
              <w:rPr>
                <w:sz w:val="20"/>
              </w:rPr>
              <w:t>22606</w:t>
            </w:r>
          </w:p>
        </w:tc>
        <w:tc>
          <w:tcPr>
            <w:tcW w:w="1516" w:type="dxa"/>
          </w:tcPr>
          <w:p>
            <w:pPr>
              <w:pStyle w:val="TableParagraph"/>
              <w:ind w:left="506"/>
              <w:rPr>
                <w:sz w:val="20"/>
              </w:rPr>
            </w:pPr>
            <w:r>
              <w:rPr>
                <w:sz w:val="20"/>
              </w:rPr>
              <w:t>21830</w:t>
            </w:r>
          </w:p>
        </w:tc>
        <w:tc>
          <w:tcPr>
            <w:tcW w:w="1220" w:type="dxa"/>
          </w:tcPr>
          <w:p>
            <w:pPr>
              <w:pStyle w:val="TableParagraph"/>
              <w:ind w:left="388" w:right="381"/>
              <w:jc w:val="center"/>
              <w:rPr>
                <w:sz w:val="20"/>
              </w:rPr>
            </w:pPr>
            <w:r>
              <w:rPr>
                <w:sz w:val="20"/>
              </w:rPr>
              <w:t>62</w:t>
            </w:r>
          </w:p>
        </w:tc>
        <w:tc>
          <w:tcPr>
            <w:tcW w:w="1516" w:type="dxa"/>
          </w:tcPr>
          <w:p>
            <w:pPr>
              <w:pStyle w:val="TableParagraph"/>
              <w:ind w:right="549"/>
              <w:jc w:val="right"/>
              <w:rPr>
                <w:sz w:val="20"/>
              </w:rPr>
            </w:pPr>
            <w:r>
              <w:rPr>
                <w:sz w:val="20"/>
              </w:rPr>
              <w:t>1117</w:t>
            </w:r>
          </w:p>
        </w:tc>
        <w:tc>
          <w:tcPr>
            <w:tcW w:w="1516" w:type="dxa"/>
          </w:tcPr>
          <w:p>
            <w:pPr>
              <w:pStyle w:val="TableParagraph"/>
              <w:ind w:right="549"/>
              <w:jc w:val="right"/>
              <w:rPr>
                <w:sz w:val="20"/>
              </w:rPr>
            </w:pPr>
            <w:r>
              <w:rPr>
                <w:sz w:val="20"/>
              </w:rPr>
              <w:t>1577</w:t>
            </w:r>
          </w:p>
        </w:tc>
      </w:tr>
      <w:tr>
        <w:trPr>
          <w:trHeight w:val="311" w:hRule="atLeast"/>
        </w:trPr>
        <w:tc>
          <w:tcPr>
            <w:tcW w:w="1219" w:type="dxa"/>
          </w:tcPr>
          <w:p>
            <w:pPr>
              <w:pStyle w:val="TableParagraph"/>
              <w:ind w:left="389" w:right="380"/>
              <w:jc w:val="center"/>
              <w:rPr>
                <w:sz w:val="20"/>
              </w:rPr>
            </w:pPr>
            <w:r>
              <w:rPr>
                <w:sz w:val="20"/>
              </w:rPr>
              <w:t>30</w:t>
            </w:r>
          </w:p>
        </w:tc>
        <w:tc>
          <w:tcPr>
            <w:tcW w:w="1517" w:type="dxa"/>
          </w:tcPr>
          <w:p>
            <w:pPr>
              <w:pStyle w:val="TableParagraph"/>
              <w:ind w:left="488" w:right="479"/>
              <w:jc w:val="center"/>
              <w:rPr>
                <w:sz w:val="20"/>
              </w:rPr>
            </w:pPr>
            <w:r>
              <w:rPr>
                <w:sz w:val="20"/>
              </w:rPr>
              <w:t>20790</w:t>
            </w:r>
          </w:p>
        </w:tc>
        <w:tc>
          <w:tcPr>
            <w:tcW w:w="1516" w:type="dxa"/>
          </w:tcPr>
          <w:p>
            <w:pPr>
              <w:pStyle w:val="TableParagraph"/>
              <w:ind w:left="506"/>
              <w:rPr>
                <w:sz w:val="20"/>
              </w:rPr>
            </w:pPr>
            <w:r>
              <w:rPr>
                <w:sz w:val="20"/>
              </w:rPr>
              <w:t>19833</w:t>
            </w:r>
          </w:p>
        </w:tc>
        <w:tc>
          <w:tcPr>
            <w:tcW w:w="1220" w:type="dxa"/>
          </w:tcPr>
          <w:p>
            <w:pPr>
              <w:pStyle w:val="TableParagraph"/>
              <w:ind w:left="388" w:right="381"/>
              <w:jc w:val="center"/>
              <w:rPr>
                <w:sz w:val="20"/>
              </w:rPr>
            </w:pPr>
            <w:r>
              <w:rPr>
                <w:sz w:val="20"/>
              </w:rPr>
              <w:t>63</w:t>
            </w:r>
          </w:p>
        </w:tc>
        <w:tc>
          <w:tcPr>
            <w:tcW w:w="1516" w:type="dxa"/>
          </w:tcPr>
          <w:p>
            <w:pPr>
              <w:pStyle w:val="TableParagraph"/>
              <w:ind w:right="549"/>
              <w:jc w:val="right"/>
              <w:rPr>
                <w:sz w:val="20"/>
              </w:rPr>
            </w:pPr>
            <w:r>
              <w:rPr>
                <w:sz w:val="20"/>
              </w:rPr>
              <w:t>1017</w:t>
            </w:r>
          </w:p>
        </w:tc>
        <w:tc>
          <w:tcPr>
            <w:tcW w:w="1516" w:type="dxa"/>
          </w:tcPr>
          <w:p>
            <w:pPr>
              <w:pStyle w:val="TableParagraph"/>
              <w:ind w:right="549"/>
              <w:jc w:val="right"/>
              <w:rPr>
                <w:sz w:val="20"/>
              </w:rPr>
            </w:pPr>
            <w:r>
              <w:rPr>
                <w:sz w:val="20"/>
              </w:rPr>
              <w:t>1475</w:t>
            </w:r>
          </w:p>
        </w:tc>
      </w:tr>
      <w:tr>
        <w:trPr>
          <w:trHeight w:val="312" w:hRule="atLeast"/>
        </w:trPr>
        <w:tc>
          <w:tcPr>
            <w:tcW w:w="1219" w:type="dxa"/>
          </w:tcPr>
          <w:p>
            <w:pPr>
              <w:pStyle w:val="TableParagraph"/>
              <w:spacing w:line="257" w:lineRule="exact"/>
              <w:ind w:left="389" w:right="380"/>
              <w:jc w:val="center"/>
              <w:rPr>
                <w:sz w:val="20"/>
              </w:rPr>
            </w:pPr>
            <w:r>
              <w:rPr>
                <w:sz w:val="20"/>
              </w:rPr>
              <w:t>31</w:t>
            </w:r>
          </w:p>
        </w:tc>
        <w:tc>
          <w:tcPr>
            <w:tcW w:w="1517" w:type="dxa"/>
          </w:tcPr>
          <w:p>
            <w:pPr>
              <w:pStyle w:val="TableParagraph"/>
              <w:spacing w:line="257" w:lineRule="exact"/>
              <w:ind w:left="488" w:right="479"/>
              <w:jc w:val="center"/>
              <w:rPr>
                <w:sz w:val="20"/>
              </w:rPr>
            </w:pPr>
            <w:r>
              <w:rPr>
                <w:sz w:val="20"/>
              </w:rPr>
              <w:t>19488</w:t>
            </w:r>
          </w:p>
        </w:tc>
        <w:tc>
          <w:tcPr>
            <w:tcW w:w="1516" w:type="dxa"/>
          </w:tcPr>
          <w:p>
            <w:pPr>
              <w:pStyle w:val="TableParagraph"/>
              <w:spacing w:line="257" w:lineRule="exact"/>
              <w:ind w:left="506"/>
              <w:rPr>
                <w:sz w:val="20"/>
              </w:rPr>
            </w:pPr>
            <w:r>
              <w:rPr>
                <w:sz w:val="20"/>
              </w:rPr>
              <w:t>17978</w:t>
            </w:r>
          </w:p>
        </w:tc>
        <w:tc>
          <w:tcPr>
            <w:tcW w:w="1220" w:type="dxa"/>
          </w:tcPr>
          <w:p>
            <w:pPr>
              <w:pStyle w:val="TableParagraph"/>
              <w:spacing w:line="257" w:lineRule="exact"/>
              <w:ind w:left="388" w:right="381"/>
              <w:jc w:val="center"/>
              <w:rPr>
                <w:sz w:val="20"/>
              </w:rPr>
            </w:pPr>
            <w:r>
              <w:rPr>
                <w:sz w:val="20"/>
              </w:rPr>
              <w:t>64</w:t>
            </w:r>
          </w:p>
        </w:tc>
        <w:tc>
          <w:tcPr>
            <w:tcW w:w="1516" w:type="dxa"/>
          </w:tcPr>
          <w:p>
            <w:pPr>
              <w:pStyle w:val="TableParagraph"/>
              <w:spacing w:line="257" w:lineRule="exact"/>
              <w:ind w:left="585" w:right="580"/>
              <w:jc w:val="center"/>
              <w:rPr>
                <w:sz w:val="20"/>
              </w:rPr>
            </w:pPr>
            <w:r>
              <w:rPr>
                <w:sz w:val="20"/>
              </w:rPr>
              <w:t>930</w:t>
            </w:r>
          </w:p>
        </w:tc>
        <w:tc>
          <w:tcPr>
            <w:tcW w:w="1516" w:type="dxa"/>
          </w:tcPr>
          <w:p>
            <w:pPr>
              <w:pStyle w:val="TableParagraph"/>
              <w:spacing w:line="257" w:lineRule="exact"/>
              <w:ind w:right="549"/>
              <w:jc w:val="right"/>
              <w:rPr>
                <w:sz w:val="20"/>
              </w:rPr>
            </w:pPr>
            <w:r>
              <w:rPr>
                <w:sz w:val="20"/>
              </w:rPr>
              <w:t>1379</w:t>
            </w:r>
          </w:p>
        </w:tc>
      </w:tr>
      <w:tr>
        <w:trPr>
          <w:trHeight w:val="311" w:hRule="atLeast"/>
        </w:trPr>
        <w:tc>
          <w:tcPr>
            <w:tcW w:w="1219" w:type="dxa"/>
          </w:tcPr>
          <w:p>
            <w:pPr>
              <w:pStyle w:val="TableParagraph"/>
              <w:ind w:left="389" w:right="380"/>
              <w:jc w:val="center"/>
              <w:rPr>
                <w:sz w:val="20"/>
              </w:rPr>
            </w:pPr>
            <w:r>
              <w:rPr>
                <w:sz w:val="20"/>
              </w:rPr>
              <w:t>32</w:t>
            </w:r>
          </w:p>
        </w:tc>
        <w:tc>
          <w:tcPr>
            <w:tcW w:w="1517" w:type="dxa"/>
          </w:tcPr>
          <w:p>
            <w:pPr>
              <w:pStyle w:val="TableParagraph"/>
              <w:ind w:left="488" w:right="479"/>
              <w:jc w:val="center"/>
              <w:rPr>
                <w:sz w:val="20"/>
              </w:rPr>
            </w:pPr>
            <w:r>
              <w:rPr>
                <w:sz w:val="20"/>
              </w:rPr>
              <w:t>18408</w:t>
            </w:r>
          </w:p>
        </w:tc>
        <w:tc>
          <w:tcPr>
            <w:tcW w:w="1516" w:type="dxa"/>
          </w:tcPr>
          <w:p>
            <w:pPr>
              <w:pStyle w:val="TableParagraph"/>
              <w:ind w:left="506"/>
              <w:rPr>
                <w:sz w:val="20"/>
              </w:rPr>
            </w:pPr>
            <w:r>
              <w:rPr>
                <w:sz w:val="20"/>
              </w:rPr>
              <w:t>16445</w:t>
            </w:r>
          </w:p>
        </w:tc>
        <w:tc>
          <w:tcPr>
            <w:tcW w:w="4252" w:type="dxa"/>
            <w:gridSpan w:val="3"/>
          </w:tcPr>
          <w:p>
            <w:pPr>
              <w:pStyle w:val="TableParagraph"/>
              <w:spacing w:line="240" w:lineRule="auto"/>
              <w:rPr>
                <w:rFonts w:ascii="Times New Roman"/>
                <w:sz w:val="20"/>
              </w:rPr>
            </w:pPr>
          </w:p>
        </w:tc>
      </w:tr>
    </w:tbl>
    <w:p>
      <w:pPr>
        <w:pStyle w:val="BodyText"/>
        <w:rPr>
          <w:sz w:val="20"/>
        </w:rPr>
      </w:pPr>
    </w:p>
    <w:p>
      <w:pPr>
        <w:pStyle w:val="BodyText"/>
        <w:rPr>
          <w:sz w:val="20"/>
        </w:rPr>
      </w:pPr>
    </w:p>
    <w:p>
      <w:pPr>
        <w:pStyle w:val="BodyText"/>
        <w:spacing w:before="10"/>
        <w:rPr>
          <w:sz w:val="18"/>
        </w:rPr>
      </w:pPr>
    </w:p>
    <w:p>
      <w:pPr>
        <w:pStyle w:val="BodyText"/>
        <w:spacing w:before="35"/>
        <w:ind w:left="3772" w:right="3398"/>
        <w:jc w:val="center"/>
      </w:pPr>
      <w:r>
        <w:rPr/>
        <w:t>（保险条款内容结束）</w:t>
      </w:r>
    </w:p>
    <w:sectPr>
      <w:pgSz w:w="11910" w:h="16840"/>
      <w:pgMar w:header="0" w:footer="1008" w:top="1140" w:bottom="1200" w:left="10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60004pt;margin-top:780.579651pt;width:74pt;height:12pt;mso-position-horizontal-relative:page;mso-position-vertical-relative:page;z-index:-394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80005pt;margin-top:780.579651pt;width:78.5pt;height:12pt;mso-position-horizontal-relative:page;mso-position-vertical-relative:page;z-index:-394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6"/>
      <w:numFmt w:val="decimal"/>
      <w:lvlText w:val="%1"/>
      <w:lvlJc w:val="left"/>
      <w:pPr>
        <w:ind w:left="2478" w:hanging="795"/>
        <w:jc w:val="left"/>
      </w:pPr>
      <w:rPr>
        <w:rFonts w:hint="default"/>
      </w:rPr>
    </w:lvl>
    <w:lvl w:ilvl="1">
      <w:start w:val="12"/>
      <w:numFmt w:val="decimal"/>
      <w:lvlText w:val="%1.%2"/>
      <w:lvlJc w:val="left"/>
      <w:pPr>
        <w:ind w:left="2478" w:hanging="795"/>
        <w:jc w:val="left"/>
      </w:pPr>
      <w:rPr>
        <w:rFonts w:hint="default" w:ascii="宋体" w:hAnsi="宋体" w:eastAsia="宋体" w:cs="宋体"/>
        <w:b/>
        <w:bCs/>
        <w:w w:val="99"/>
        <w:sz w:val="21"/>
        <w:szCs w:val="21"/>
      </w:rPr>
    </w:lvl>
    <w:lvl w:ilvl="2">
      <w:start w:val="0"/>
      <w:numFmt w:val="bullet"/>
      <w:lvlText w:val="•"/>
      <w:lvlJc w:val="left"/>
      <w:pPr>
        <w:ind w:left="2426" w:hanging="795"/>
      </w:pPr>
      <w:rPr>
        <w:rFonts w:hint="default"/>
      </w:rPr>
    </w:lvl>
    <w:lvl w:ilvl="3">
      <w:start w:val="0"/>
      <w:numFmt w:val="bullet"/>
      <w:lvlText w:val="•"/>
      <w:lvlJc w:val="left"/>
      <w:pPr>
        <w:ind w:left="2399" w:hanging="795"/>
      </w:pPr>
      <w:rPr>
        <w:rFonts w:hint="default"/>
      </w:rPr>
    </w:lvl>
    <w:lvl w:ilvl="4">
      <w:start w:val="0"/>
      <w:numFmt w:val="bullet"/>
      <w:lvlText w:val="•"/>
      <w:lvlJc w:val="left"/>
      <w:pPr>
        <w:ind w:left="2372" w:hanging="795"/>
      </w:pPr>
      <w:rPr>
        <w:rFonts w:hint="default"/>
      </w:rPr>
    </w:lvl>
    <w:lvl w:ilvl="5">
      <w:start w:val="0"/>
      <w:numFmt w:val="bullet"/>
      <w:lvlText w:val="•"/>
      <w:lvlJc w:val="left"/>
      <w:pPr>
        <w:ind w:left="2346" w:hanging="795"/>
      </w:pPr>
      <w:rPr>
        <w:rFonts w:hint="default"/>
      </w:rPr>
    </w:lvl>
    <w:lvl w:ilvl="6">
      <w:start w:val="0"/>
      <w:numFmt w:val="bullet"/>
      <w:lvlText w:val="•"/>
      <w:lvlJc w:val="left"/>
      <w:pPr>
        <w:ind w:left="2319" w:hanging="795"/>
      </w:pPr>
      <w:rPr>
        <w:rFonts w:hint="default"/>
      </w:rPr>
    </w:lvl>
    <w:lvl w:ilvl="7">
      <w:start w:val="0"/>
      <w:numFmt w:val="bullet"/>
      <w:lvlText w:val="•"/>
      <w:lvlJc w:val="left"/>
      <w:pPr>
        <w:ind w:left="2292" w:hanging="795"/>
      </w:pPr>
      <w:rPr>
        <w:rFonts w:hint="default"/>
      </w:rPr>
    </w:lvl>
    <w:lvl w:ilvl="8">
      <w:start w:val="0"/>
      <w:numFmt w:val="bullet"/>
      <w:lvlText w:val="•"/>
      <w:lvlJc w:val="left"/>
      <w:pPr>
        <w:ind w:left="2265" w:hanging="795"/>
      </w:pPr>
      <w:rPr>
        <w:rFonts w:hint="default"/>
      </w:rPr>
    </w:lvl>
  </w:abstractNum>
  <w:abstractNum w:abstractNumId="12">
    <w:multiLevelType w:val="hybridMultilevel"/>
    <w:lvl w:ilvl="0">
      <w:start w:val="6"/>
      <w:numFmt w:val="decimal"/>
      <w:lvlText w:val="%1"/>
      <w:lvlJc w:val="left"/>
      <w:pPr>
        <w:ind w:left="2478" w:hanging="319"/>
        <w:jc w:val="left"/>
      </w:pPr>
      <w:rPr>
        <w:rFonts w:hint="default"/>
      </w:rPr>
    </w:lvl>
    <w:lvl w:ilvl="1">
      <w:start w:val="6"/>
      <w:numFmt w:val="decimal"/>
      <w:lvlText w:val="%1.%2"/>
      <w:lvlJc w:val="left"/>
      <w:pPr>
        <w:ind w:left="2478" w:hanging="319"/>
        <w:jc w:val="left"/>
      </w:pPr>
      <w:rPr>
        <w:rFonts w:hint="default" w:ascii="宋体" w:hAnsi="宋体" w:eastAsia="宋体" w:cs="宋体"/>
        <w:b/>
        <w:bCs/>
        <w:w w:val="99"/>
        <w:sz w:val="19"/>
        <w:szCs w:val="19"/>
      </w:rPr>
    </w:lvl>
    <w:lvl w:ilvl="2">
      <w:start w:val="0"/>
      <w:numFmt w:val="bullet"/>
      <w:lvlText w:val="•"/>
      <w:lvlJc w:val="left"/>
      <w:pPr>
        <w:ind w:left="3968" w:hanging="319"/>
      </w:pPr>
      <w:rPr>
        <w:rFonts w:hint="default"/>
      </w:rPr>
    </w:lvl>
    <w:lvl w:ilvl="3">
      <w:start w:val="0"/>
      <w:numFmt w:val="bullet"/>
      <w:lvlText w:val="•"/>
      <w:lvlJc w:val="left"/>
      <w:pPr>
        <w:ind w:left="4713" w:hanging="319"/>
      </w:pPr>
      <w:rPr>
        <w:rFonts w:hint="default"/>
      </w:rPr>
    </w:lvl>
    <w:lvl w:ilvl="4">
      <w:start w:val="0"/>
      <w:numFmt w:val="bullet"/>
      <w:lvlText w:val="•"/>
      <w:lvlJc w:val="left"/>
      <w:pPr>
        <w:ind w:left="5457" w:hanging="319"/>
      </w:pPr>
      <w:rPr>
        <w:rFonts w:hint="default"/>
      </w:rPr>
    </w:lvl>
    <w:lvl w:ilvl="5">
      <w:start w:val="0"/>
      <w:numFmt w:val="bullet"/>
      <w:lvlText w:val="•"/>
      <w:lvlJc w:val="left"/>
      <w:pPr>
        <w:ind w:left="6202" w:hanging="319"/>
      </w:pPr>
      <w:rPr>
        <w:rFonts w:hint="default"/>
      </w:rPr>
    </w:lvl>
    <w:lvl w:ilvl="6">
      <w:start w:val="0"/>
      <w:numFmt w:val="bullet"/>
      <w:lvlText w:val="•"/>
      <w:lvlJc w:val="left"/>
      <w:pPr>
        <w:ind w:left="6946" w:hanging="319"/>
      </w:pPr>
      <w:rPr>
        <w:rFonts w:hint="default"/>
      </w:rPr>
    </w:lvl>
    <w:lvl w:ilvl="7">
      <w:start w:val="0"/>
      <w:numFmt w:val="bullet"/>
      <w:lvlText w:val="•"/>
      <w:lvlJc w:val="left"/>
      <w:pPr>
        <w:ind w:left="7691" w:hanging="319"/>
      </w:pPr>
      <w:rPr>
        <w:rFonts w:hint="default"/>
      </w:rPr>
    </w:lvl>
    <w:lvl w:ilvl="8">
      <w:start w:val="0"/>
      <w:numFmt w:val="bullet"/>
      <w:lvlText w:val="•"/>
      <w:lvlJc w:val="left"/>
      <w:pPr>
        <w:ind w:left="8435" w:hanging="319"/>
      </w:pPr>
      <w:rPr>
        <w:rFonts w:hint="default"/>
      </w:rPr>
    </w:lvl>
  </w:abstractNum>
  <w:abstractNum w:abstractNumId="11">
    <w:multiLevelType w:val="hybridMultilevel"/>
    <w:lvl w:ilvl="0">
      <w:start w:val="10"/>
      <w:numFmt w:val="decimal"/>
      <w:lvlText w:val="%1)"/>
      <w:lvlJc w:val="left"/>
      <w:pPr>
        <w:ind w:left="2198" w:hanging="420"/>
        <w:jc w:val="right"/>
      </w:pPr>
      <w:rPr>
        <w:rFonts w:hint="default" w:ascii="宋体" w:hAnsi="宋体" w:eastAsia="宋体" w:cs="宋体"/>
        <w:spacing w:val="-1"/>
        <w:w w:val="99"/>
        <w:sz w:val="21"/>
        <w:szCs w:val="21"/>
      </w:rPr>
    </w:lvl>
    <w:lvl w:ilvl="1">
      <w:start w:val="1"/>
      <w:numFmt w:val="lowerLetter"/>
      <w:lvlText w:val="%2)"/>
      <w:lvlJc w:val="left"/>
      <w:pPr>
        <w:ind w:left="2198" w:hanging="454"/>
        <w:jc w:val="left"/>
      </w:pPr>
      <w:rPr>
        <w:rFonts w:hint="default" w:ascii="宋体" w:hAnsi="宋体" w:eastAsia="宋体" w:cs="宋体"/>
        <w:spacing w:val="-1"/>
        <w:w w:val="100"/>
        <w:sz w:val="21"/>
        <w:szCs w:val="21"/>
      </w:rPr>
    </w:lvl>
    <w:lvl w:ilvl="2">
      <w:start w:val="0"/>
      <w:numFmt w:val="bullet"/>
      <w:lvlText w:val="•"/>
      <w:lvlJc w:val="left"/>
      <w:pPr>
        <w:ind w:left="3080" w:hanging="454"/>
      </w:pPr>
      <w:rPr>
        <w:rFonts w:hint="default"/>
      </w:rPr>
    </w:lvl>
    <w:lvl w:ilvl="3">
      <w:start w:val="0"/>
      <w:numFmt w:val="bullet"/>
      <w:lvlText w:val="•"/>
      <w:lvlJc w:val="left"/>
      <w:pPr>
        <w:ind w:left="3780" w:hanging="454"/>
      </w:pPr>
      <w:rPr>
        <w:rFonts w:hint="default"/>
      </w:rPr>
    </w:lvl>
    <w:lvl w:ilvl="4">
      <w:start w:val="0"/>
      <w:numFmt w:val="bullet"/>
      <w:lvlText w:val="•"/>
      <w:lvlJc w:val="left"/>
      <w:pPr>
        <w:ind w:left="4543" w:hanging="454"/>
      </w:pPr>
      <w:rPr>
        <w:rFonts w:hint="default"/>
      </w:rPr>
    </w:lvl>
    <w:lvl w:ilvl="5">
      <w:start w:val="0"/>
      <w:numFmt w:val="bullet"/>
      <w:lvlText w:val="•"/>
      <w:lvlJc w:val="left"/>
      <w:pPr>
        <w:ind w:left="5306" w:hanging="454"/>
      </w:pPr>
      <w:rPr>
        <w:rFonts w:hint="default"/>
      </w:rPr>
    </w:lvl>
    <w:lvl w:ilvl="6">
      <w:start w:val="0"/>
      <w:numFmt w:val="bullet"/>
      <w:lvlText w:val="•"/>
      <w:lvlJc w:val="left"/>
      <w:pPr>
        <w:ind w:left="6070" w:hanging="454"/>
      </w:pPr>
      <w:rPr>
        <w:rFonts w:hint="default"/>
      </w:rPr>
    </w:lvl>
    <w:lvl w:ilvl="7">
      <w:start w:val="0"/>
      <w:numFmt w:val="bullet"/>
      <w:lvlText w:val="•"/>
      <w:lvlJc w:val="left"/>
      <w:pPr>
        <w:ind w:left="6833" w:hanging="454"/>
      </w:pPr>
      <w:rPr>
        <w:rFonts w:hint="default"/>
      </w:rPr>
    </w:lvl>
    <w:lvl w:ilvl="8">
      <w:start w:val="0"/>
      <w:numFmt w:val="bullet"/>
      <w:lvlText w:val="•"/>
      <w:lvlJc w:val="left"/>
      <w:pPr>
        <w:ind w:left="7597" w:hanging="454"/>
      </w:pPr>
      <w:rPr>
        <w:rFonts w:hint="default"/>
      </w:rPr>
    </w:lvl>
  </w:abstractNum>
  <w:abstractNum w:abstractNumId="10">
    <w:multiLevelType w:val="hybridMultilevel"/>
    <w:lvl w:ilvl="0">
      <w:start w:val="1"/>
      <w:numFmt w:val="lowerLetter"/>
      <w:lvlText w:val="%1)"/>
      <w:lvlJc w:val="left"/>
      <w:pPr>
        <w:ind w:left="1990" w:hanging="454"/>
        <w:jc w:val="left"/>
      </w:pPr>
      <w:rPr>
        <w:rFonts w:hint="default" w:ascii="宋体" w:hAnsi="宋体" w:eastAsia="宋体" w:cs="宋体"/>
        <w:spacing w:val="-1"/>
        <w:w w:val="100"/>
        <w:sz w:val="21"/>
        <w:szCs w:val="21"/>
      </w:rPr>
    </w:lvl>
    <w:lvl w:ilvl="1">
      <w:start w:val="0"/>
      <w:numFmt w:val="bullet"/>
      <w:lvlText w:val="•"/>
      <w:lvlJc w:val="left"/>
      <w:pPr>
        <w:ind w:left="2712" w:hanging="454"/>
      </w:pPr>
      <w:rPr>
        <w:rFonts w:hint="default"/>
      </w:rPr>
    </w:lvl>
    <w:lvl w:ilvl="2">
      <w:start w:val="0"/>
      <w:numFmt w:val="bullet"/>
      <w:lvlText w:val="•"/>
      <w:lvlJc w:val="left"/>
      <w:pPr>
        <w:ind w:left="3424" w:hanging="454"/>
      </w:pPr>
      <w:rPr>
        <w:rFonts w:hint="default"/>
      </w:rPr>
    </w:lvl>
    <w:lvl w:ilvl="3">
      <w:start w:val="0"/>
      <w:numFmt w:val="bullet"/>
      <w:lvlText w:val="•"/>
      <w:lvlJc w:val="left"/>
      <w:pPr>
        <w:ind w:left="4137" w:hanging="454"/>
      </w:pPr>
      <w:rPr>
        <w:rFonts w:hint="default"/>
      </w:rPr>
    </w:lvl>
    <w:lvl w:ilvl="4">
      <w:start w:val="0"/>
      <w:numFmt w:val="bullet"/>
      <w:lvlText w:val="•"/>
      <w:lvlJc w:val="left"/>
      <w:pPr>
        <w:ind w:left="4849" w:hanging="454"/>
      </w:pPr>
      <w:rPr>
        <w:rFonts w:hint="default"/>
      </w:rPr>
    </w:lvl>
    <w:lvl w:ilvl="5">
      <w:start w:val="0"/>
      <w:numFmt w:val="bullet"/>
      <w:lvlText w:val="•"/>
      <w:lvlJc w:val="left"/>
      <w:pPr>
        <w:ind w:left="5562" w:hanging="454"/>
      </w:pPr>
      <w:rPr>
        <w:rFonts w:hint="default"/>
      </w:rPr>
    </w:lvl>
    <w:lvl w:ilvl="6">
      <w:start w:val="0"/>
      <w:numFmt w:val="bullet"/>
      <w:lvlText w:val="•"/>
      <w:lvlJc w:val="left"/>
      <w:pPr>
        <w:ind w:left="6274" w:hanging="454"/>
      </w:pPr>
      <w:rPr>
        <w:rFonts w:hint="default"/>
      </w:rPr>
    </w:lvl>
    <w:lvl w:ilvl="7">
      <w:start w:val="0"/>
      <w:numFmt w:val="bullet"/>
      <w:lvlText w:val="•"/>
      <w:lvlJc w:val="left"/>
      <w:pPr>
        <w:ind w:left="6987" w:hanging="454"/>
      </w:pPr>
      <w:rPr>
        <w:rFonts w:hint="default"/>
      </w:rPr>
    </w:lvl>
    <w:lvl w:ilvl="8">
      <w:start w:val="0"/>
      <w:numFmt w:val="bullet"/>
      <w:lvlText w:val="•"/>
      <w:lvlJc w:val="left"/>
      <w:pPr>
        <w:ind w:left="7699" w:hanging="454"/>
      </w:pPr>
      <w:rPr>
        <w:rFonts w:hint="default"/>
      </w:rPr>
    </w:lvl>
  </w:abstractNum>
  <w:abstractNum w:abstractNumId="9">
    <w:multiLevelType w:val="hybridMultilevel"/>
    <w:lvl w:ilvl="0">
      <w:start w:val="1"/>
      <w:numFmt w:val="lowerLetter"/>
      <w:lvlText w:val="%1)"/>
      <w:lvlJc w:val="left"/>
      <w:pPr>
        <w:ind w:left="3072" w:hanging="454"/>
        <w:jc w:val="left"/>
      </w:pPr>
      <w:rPr>
        <w:rFonts w:hint="default" w:ascii="宋体" w:hAnsi="宋体" w:eastAsia="宋体" w:cs="宋体"/>
        <w:spacing w:val="-1"/>
        <w:w w:val="100"/>
        <w:sz w:val="21"/>
        <w:szCs w:val="21"/>
      </w:rPr>
    </w:lvl>
    <w:lvl w:ilvl="1">
      <w:start w:val="0"/>
      <w:numFmt w:val="bullet"/>
      <w:lvlText w:val="•"/>
      <w:lvlJc w:val="left"/>
      <w:pPr>
        <w:ind w:left="3694" w:hanging="454"/>
      </w:pPr>
      <w:rPr>
        <w:rFonts w:hint="default"/>
      </w:rPr>
    </w:lvl>
    <w:lvl w:ilvl="2">
      <w:start w:val="0"/>
      <w:numFmt w:val="bullet"/>
      <w:lvlText w:val="•"/>
      <w:lvlJc w:val="left"/>
      <w:pPr>
        <w:ind w:left="4308" w:hanging="454"/>
      </w:pPr>
      <w:rPr>
        <w:rFonts w:hint="default"/>
      </w:rPr>
    </w:lvl>
    <w:lvl w:ilvl="3">
      <w:start w:val="0"/>
      <w:numFmt w:val="bullet"/>
      <w:lvlText w:val="•"/>
      <w:lvlJc w:val="left"/>
      <w:pPr>
        <w:ind w:left="4923" w:hanging="454"/>
      </w:pPr>
      <w:rPr>
        <w:rFonts w:hint="default"/>
      </w:rPr>
    </w:lvl>
    <w:lvl w:ilvl="4">
      <w:start w:val="0"/>
      <w:numFmt w:val="bullet"/>
      <w:lvlText w:val="•"/>
      <w:lvlJc w:val="left"/>
      <w:pPr>
        <w:ind w:left="5537" w:hanging="454"/>
      </w:pPr>
      <w:rPr>
        <w:rFonts w:hint="default"/>
      </w:rPr>
    </w:lvl>
    <w:lvl w:ilvl="5">
      <w:start w:val="0"/>
      <w:numFmt w:val="bullet"/>
      <w:lvlText w:val="•"/>
      <w:lvlJc w:val="left"/>
      <w:pPr>
        <w:ind w:left="6152" w:hanging="454"/>
      </w:pPr>
      <w:rPr>
        <w:rFonts w:hint="default"/>
      </w:rPr>
    </w:lvl>
    <w:lvl w:ilvl="6">
      <w:start w:val="0"/>
      <w:numFmt w:val="bullet"/>
      <w:lvlText w:val="•"/>
      <w:lvlJc w:val="left"/>
      <w:pPr>
        <w:ind w:left="6766" w:hanging="454"/>
      </w:pPr>
      <w:rPr>
        <w:rFonts w:hint="default"/>
      </w:rPr>
    </w:lvl>
    <w:lvl w:ilvl="7">
      <w:start w:val="0"/>
      <w:numFmt w:val="bullet"/>
      <w:lvlText w:val="•"/>
      <w:lvlJc w:val="left"/>
      <w:pPr>
        <w:ind w:left="7381" w:hanging="454"/>
      </w:pPr>
      <w:rPr>
        <w:rFonts w:hint="default"/>
      </w:rPr>
    </w:lvl>
    <w:lvl w:ilvl="8">
      <w:start w:val="0"/>
      <w:numFmt w:val="bullet"/>
      <w:lvlText w:val="•"/>
      <w:lvlJc w:val="left"/>
      <w:pPr>
        <w:ind w:left="7995" w:hanging="454"/>
      </w:pPr>
      <w:rPr>
        <w:rFonts w:hint="default"/>
      </w:rPr>
    </w:lvl>
  </w:abstractNum>
  <w:abstractNum w:abstractNumId="8">
    <w:multiLevelType w:val="hybridMultilevel"/>
    <w:lvl w:ilvl="0">
      <w:start w:val="1"/>
      <w:numFmt w:val="lowerLetter"/>
      <w:lvlText w:val="%1)"/>
      <w:lvlJc w:val="left"/>
      <w:pPr>
        <w:ind w:left="3072" w:hanging="454"/>
        <w:jc w:val="left"/>
      </w:pPr>
      <w:rPr>
        <w:rFonts w:hint="default" w:ascii="宋体" w:hAnsi="宋体" w:eastAsia="宋体" w:cs="宋体"/>
        <w:spacing w:val="-105"/>
        <w:w w:val="99"/>
        <w:sz w:val="21"/>
        <w:szCs w:val="21"/>
      </w:rPr>
    </w:lvl>
    <w:lvl w:ilvl="1">
      <w:start w:val="0"/>
      <w:numFmt w:val="bullet"/>
      <w:lvlText w:val="•"/>
      <w:lvlJc w:val="left"/>
      <w:pPr>
        <w:ind w:left="3694" w:hanging="454"/>
      </w:pPr>
      <w:rPr>
        <w:rFonts w:hint="default"/>
      </w:rPr>
    </w:lvl>
    <w:lvl w:ilvl="2">
      <w:start w:val="0"/>
      <w:numFmt w:val="bullet"/>
      <w:lvlText w:val="•"/>
      <w:lvlJc w:val="left"/>
      <w:pPr>
        <w:ind w:left="4308" w:hanging="454"/>
      </w:pPr>
      <w:rPr>
        <w:rFonts w:hint="default"/>
      </w:rPr>
    </w:lvl>
    <w:lvl w:ilvl="3">
      <w:start w:val="0"/>
      <w:numFmt w:val="bullet"/>
      <w:lvlText w:val="•"/>
      <w:lvlJc w:val="left"/>
      <w:pPr>
        <w:ind w:left="4923" w:hanging="454"/>
      </w:pPr>
      <w:rPr>
        <w:rFonts w:hint="default"/>
      </w:rPr>
    </w:lvl>
    <w:lvl w:ilvl="4">
      <w:start w:val="0"/>
      <w:numFmt w:val="bullet"/>
      <w:lvlText w:val="•"/>
      <w:lvlJc w:val="left"/>
      <w:pPr>
        <w:ind w:left="5537" w:hanging="454"/>
      </w:pPr>
      <w:rPr>
        <w:rFonts w:hint="default"/>
      </w:rPr>
    </w:lvl>
    <w:lvl w:ilvl="5">
      <w:start w:val="0"/>
      <w:numFmt w:val="bullet"/>
      <w:lvlText w:val="•"/>
      <w:lvlJc w:val="left"/>
      <w:pPr>
        <w:ind w:left="6152" w:hanging="454"/>
      </w:pPr>
      <w:rPr>
        <w:rFonts w:hint="default"/>
      </w:rPr>
    </w:lvl>
    <w:lvl w:ilvl="6">
      <w:start w:val="0"/>
      <w:numFmt w:val="bullet"/>
      <w:lvlText w:val="•"/>
      <w:lvlJc w:val="left"/>
      <w:pPr>
        <w:ind w:left="6766" w:hanging="454"/>
      </w:pPr>
      <w:rPr>
        <w:rFonts w:hint="default"/>
      </w:rPr>
    </w:lvl>
    <w:lvl w:ilvl="7">
      <w:start w:val="0"/>
      <w:numFmt w:val="bullet"/>
      <w:lvlText w:val="•"/>
      <w:lvlJc w:val="left"/>
      <w:pPr>
        <w:ind w:left="7381" w:hanging="454"/>
      </w:pPr>
      <w:rPr>
        <w:rFonts w:hint="default"/>
      </w:rPr>
    </w:lvl>
    <w:lvl w:ilvl="8">
      <w:start w:val="0"/>
      <w:numFmt w:val="bullet"/>
      <w:lvlText w:val="•"/>
      <w:lvlJc w:val="left"/>
      <w:pPr>
        <w:ind w:left="7995" w:hanging="454"/>
      </w:pPr>
      <w:rPr>
        <w:rFonts w:hint="default"/>
      </w:rPr>
    </w:lvl>
  </w:abstractNum>
  <w:abstractNum w:abstractNumId="7">
    <w:multiLevelType w:val="hybridMultilevel"/>
    <w:lvl w:ilvl="0">
      <w:start w:val="1"/>
      <w:numFmt w:val="lowerLetter"/>
      <w:lvlText w:val="%1)"/>
      <w:lvlJc w:val="left"/>
      <w:pPr>
        <w:ind w:left="3772" w:hanging="454"/>
        <w:jc w:val="left"/>
      </w:pPr>
      <w:rPr>
        <w:rFonts w:hint="default" w:ascii="宋体" w:hAnsi="宋体" w:eastAsia="宋体" w:cs="宋体"/>
        <w:spacing w:val="-1"/>
        <w:w w:val="100"/>
        <w:sz w:val="21"/>
        <w:szCs w:val="21"/>
      </w:rPr>
    </w:lvl>
    <w:lvl w:ilvl="1">
      <w:start w:val="0"/>
      <w:numFmt w:val="bullet"/>
      <w:lvlText w:val="•"/>
      <w:lvlJc w:val="left"/>
      <w:pPr>
        <w:ind w:left="4398" w:hanging="454"/>
      </w:pPr>
      <w:rPr>
        <w:rFonts w:hint="default"/>
      </w:rPr>
    </w:lvl>
    <w:lvl w:ilvl="2">
      <w:start w:val="0"/>
      <w:numFmt w:val="bullet"/>
      <w:lvlText w:val="•"/>
      <w:lvlJc w:val="left"/>
      <w:pPr>
        <w:ind w:left="5016" w:hanging="454"/>
      </w:pPr>
      <w:rPr>
        <w:rFonts w:hint="default"/>
      </w:rPr>
    </w:lvl>
    <w:lvl w:ilvl="3">
      <w:start w:val="0"/>
      <w:numFmt w:val="bullet"/>
      <w:lvlText w:val="•"/>
      <w:lvlJc w:val="left"/>
      <w:pPr>
        <w:ind w:left="5635" w:hanging="454"/>
      </w:pPr>
      <w:rPr>
        <w:rFonts w:hint="default"/>
      </w:rPr>
    </w:lvl>
    <w:lvl w:ilvl="4">
      <w:start w:val="0"/>
      <w:numFmt w:val="bullet"/>
      <w:lvlText w:val="•"/>
      <w:lvlJc w:val="left"/>
      <w:pPr>
        <w:ind w:left="6253" w:hanging="454"/>
      </w:pPr>
      <w:rPr>
        <w:rFonts w:hint="default"/>
      </w:rPr>
    </w:lvl>
    <w:lvl w:ilvl="5">
      <w:start w:val="0"/>
      <w:numFmt w:val="bullet"/>
      <w:lvlText w:val="•"/>
      <w:lvlJc w:val="left"/>
      <w:pPr>
        <w:ind w:left="6872" w:hanging="454"/>
      </w:pPr>
      <w:rPr>
        <w:rFonts w:hint="default"/>
      </w:rPr>
    </w:lvl>
    <w:lvl w:ilvl="6">
      <w:start w:val="0"/>
      <w:numFmt w:val="bullet"/>
      <w:lvlText w:val="•"/>
      <w:lvlJc w:val="left"/>
      <w:pPr>
        <w:ind w:left="7490" w:hanging="454"/>
      </w:pPr>
      <w:rPr>
        <w:rFonts w:hint="default"/>
      </w:rPr>
    </w:lvl>
    <w:lvl w:ilvl="7">
      <w:start w:val="0"/>
      <w:numFmt w:val="bullet"/>
      <w:lvlText w:val="•"/>
      <w:lvlJc w:val="left"/>
      <w:pPr>
        <w:ind w:left="8109" w:hanging="454"/>
      </w:pPr>
      <w:rPr>
        <w:rFonts w:hint="default"/>
      </w:rPr>
    </w:lvl>
    <w:lvl w:ilvl="8">
      <w:start w:val="0"/>
      <w:numFmt w:val="bullet"/>
      <w:lvlText w:val="•"/>
      <w:lvlJc w:val="left"/>
      <w:pPr>
        <w:ind w:left="8727" w:hanging="454"/>
      </w:pPr>
      <w:rPr>
        <w:rFonts w:hint="default"/>
      </w:rPr>
    </w:lvl>
  </w:abstractNum>
  <w:abstractNum w:abstractNumId="6">
    <w:multiLevelType w:val="hybridMultilevel"/>
    <w:lvl w:ilvl="0">
      <w:start w:val="1"/>
      <w:numFmt w:val="decimal"/>
      <w:lvlText w:val="（%1）"/>
      <w:lvlJc w:val="left"/>
      <w:pPr>
        <w:ind w:left="834" w:hanging="720"/>
        <w:jc w:val="left"/>
      </w:pPr>
      <w:rPr>
        <w:rFonts w:hint="default" w:ascii="宋体" w:hAnsi="宋体" w:eastAsia="宋体" w:cs="宋体"/>
        <w:spacing w:val="-16"/>
        <w:w w:val="100"/>
        <w:sz w:val="21"/>
        <w:szCs w:val="21"/>
      </w:rPr>
    </w:lvl>
    <w:lvl w:ilvl="1">
      <w:start w:val="0"/>
      <w:numFmt w:val="bullet"/>
      <w:lvlText w:val="•"/>
      <w:lvlJc w:val="left"/>
      <w:pPr>
        <w:ind w:left="1512" w:hanging="720"/>
      </w:pPr>
      <w:rPr>
        <w:rFonts w:hint="default"/>
      </w:rPr>
    </w:lvl>
    <w:lvl w:ilvl="2">
      <w:start w:val="0"/>
      <w:numFmt w:val="bullet"/>
      <w:lvlText w:val="•"/>
      <w:lvlJc w:val="left"/>
      <w:pPr>
        <w:ind w:left="2184" w:hanging="720"/>
      </w:pPr>
      <w:rPr>
        <w:rFonts w:hint="default"/>
      </w:rPr>
    </w:lvl>
    <w:lvl w:ilvl="3">
      <w:start w:val="0"/>
      <w:numFmt w:val="bullet"/>
      <w:lvlText w:val="•"/>
      <w:lvlJc w:val="left"/>
      <w:pPr>
        <w:ind w:left="2856" w:hanging="720"/>
      </w:pPr>
      <w:rPr>
        <w:rFonts w:hint="default"/>
      </w:rPr>
    </w:lvl>
    <w:lvl w:ilvl="4">
      <w:start w:val="0"/>
      <w:numFmt w:val="bullet"/>
      <w:lvlText w:val="•"/>
      <w:lvlJc w:val="left"/>
      <w:pPr>
        <w:ind w:left="3527" w:hanging="720"/>
      </w:pPr>
      <w:rPr>
        <w:rFonts w:hint="default"/>
      </w:rPr>
    </w:lvl>
    <w:lvl w:ilvl="5">
      <w:start w:val="0"/>
      <w:numFmt w:val="bullet"/>
      <w:lvlText w:val="•"/>
      <w:lvlJc w:val="left"/>
      <w:pPr>
        <w:ind w:left="4199" w:hanging="720"/>
      </w:pPr>
      <w:rPr>
        <w:rFonts w:hint="default"/>
      </w:rPr>
    </w:lvl>
    <w:lvl w:ilvl="6">
      <w:start w:val="0"/>
      <w:numFmt w:val="bullet"/>
      <w:lvlText w:val="•"/>
      <w:lvlJc w:val="left"/>
      <w:pPr>
        <w:ind w:left="4871" w:hanging="720"/>
      </w:pPr>
      <w:rPr>
        <w:rFonts w:hint="default"/>
      </w:rPr>
    </w:lvl>
    <w:lvl w:ilvl="7">
      <w:start w:val="0"/>
      <w:numFmt w:val="bullet"/>
      <w:lvlText w:val="•"/>
      <w:lvlJc w:val="left"/>
      <w:pPr>
        <w:ind w:left="5543" w:hanging="720"/>
      </w:pPr>
      <w:rPr>
        <w:rFonts w:hint="default"/>
      </w:rPr>
    </w:lvl>
    <w:lvl w:ilvl="8">
      <w:start w:val="0"/>
      <w:numFmt w:val="bullet"/>
      <w:lvlText w:val="•"/>
      <w:lvlJc w:val="left"/>
      <w:pPr>
        <w:ind w:left="6215" w:hanging="720"/>
      </w:pPr>
      <w:rPr>
        <w:rFonts w:hint="default"/>
      </w:rPr>
    </w:lvl>
  </w:abstractNum>
  <w:abstractNum w:abstractNumId="5">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lowerLetter"/>
      <w:lvlText w:val="%3)"/>
      <w:lvlJc w:val="left"/>
      <w:pPr>
        <w:ind w:left="3772" w:hanging="393"/>
        <w:jc w:val="left"/>
      </w:pPr>
      <w:rPr>
        <w:rFonts w:hint="default" w:ascii="宋体" w:hAnsi="宋体" w:eastAsia="宋体" w:cs="宋体"/>
        <w:spacing w:val="-29"/>
        <w:w w:val="100"/>
        <w:sz w:val="21"/>
        <w:szCs w:val="21"/>
      </w:rPr>
    </w:lvl>
    <w:lvl w:ilvl="3">
      <w:start w:val="0"/>
      <w:numFmt w:val="bullet"/>
      <w:lvlText w:val="•"/>
      <w:lvlJc w:val="left"/>
      <w:pPr>
        <w:ind w:left="3780" w:hanging="393"/>
      </w:pPr>
      <w:rPr>
        <w:rFonts w:hint="default"/>
      </w:rPr>
    </w:lvl>
    <w:lvl w:ilvl="4">
      <w:start w:val="0"/>
      <w:numFmt w:val="bullet"/>
      <w:lvlText w:val="•"/>
      <w:lvlJc w:val="left"/>
      <w:pPr>
        <w:ind w:left="3556" w:hanging="393"/>
      </w:pPr>
      <w:rPr>
        <w:rFonts w:hint="default"/>
      </w:rPr>
    </w:lvl>
    <w:lvl w:ilvl="5">
      <w:start w:val="0"/>
      <w:numFmt w:val="bullet"/>
      <w:lvlText w:val="•"/>
      <w:lvlJc w:val="left"/>
      <w:pPr>
        <w:ind w:left="3332" w:hanging="393"/>
      </w:pPr>
      <w:rPr>
        <w:rFonts w:hint="default"/>
      </w:rPr>
    </w:lvl>
    <w:lvl w:ilvl="6">
      <w:start w:val="0"/>
      <w:numFmt w:val="bullet"/>
      <w:lvlText w:val="•"/>
      <w:lvlJc w:val="left"/>
      <w:pPr>
        <w:ind w:left="3108" w:hanging="393"/>
      </w:pPr>
      <w:rPr>
        <w:rFonts w:hint="default"/>
      </w:rPr>
    </w:lvl>
    <w:lvl w:ilvl="7">
      <w:start w:val="0"/>
      <w:numFmt w:val="bullet"/>
      <w:lvlText w:val="•"/>
      <w:lvlJc w:val="left"/>
      <w:pPr>
        <w:ind w:left="2884" w:hanging="393"/>
      </w:pPr>
      <w:rPr>
        <w:rFonts w:hint="default"/>
      </w:rPr>
    </w:lvl>
    <w:lvl w:ilvl="8">
      <w:start w:val="0"/>
      <w:numFmt w:val="bullet"/>
      <w:lvlText w:val="•"/>
      <w:lvlJc w:val="left"/>
      <w:pPr>
        <w:ind w:left="2660" w:hanging="393"/>
      </w:pPr>
      <w:rPr>
        <w:rFonts w:hint="default"/>
      </w:rPr>
    </w:lvl>
  </w:abstractNum>
  <w:abstractNum w:abstractNumId="4">
    <w:multiLevelType w:val="hybridMultilevel"/>
    <w:lvl w:ilvl="0">
      <w:start w:val="6"/>
      <w:numFmt w:val="decimal"/>
      <w:lvlText w:val="%1"/>
      <w:lvlJc w:val="left"/>
      <w:pPr>
        <w:ind w:left="755" w:hanging="526"/>
        <w:jc w:val="left"/>
      </w:pPr>
      <w:rPr>
        <w:rFonts w:hint="default"/>
      </w:rPr>
    </w:lvl>
    <w:lvl w:ilvl="1">
      <w:start w:val="16"/>
      <w:numFmt w:val="decimal"/>
      <w:lvlText w:val="%1.%2"/>
      <w:lvlJc w:val="left"/>
      <w:pPr>
        <w:ind w:left="755" w:hanging="526"/>
        <w:jc w:val="left"/>
      </w:pPr>
      <w:rPr>
        <w:rFonts w:hint="default" w:ascii="宋体" w:hAnsi="宋体" w:eastAsia="宋体" w:cs="宋体"/>
        <w:spacing w:val="-2"/>
        <w:w w:val="100"/>
        <w:sz w:val="21"/>
        <w:szCs w:val="21"/>
      </w:rPr>
    </w:lvl>
    <w:lvl w:ilvl="2">
      <w:start w:val="0"/>
      <w:numFmt w:val="bullet"/>
      <w:lvlText w:val="•"/>
      <w:lvlJc w:val="left"/>
      <w:pPr>
        <w:ind w:left="1349" w:hanging="526"/>
      </w:pPr>
      <w:rPr>
        <w:rFonts w:hint="default"/>
      </w:rPr>
    </w:lvl>
    <w:lvl w:ilvl="3">
      <w:start w:val="0"/>
      <w:numFmt w:val="bullet"/>
      <w:lvlText w:val="•"/>
      <w:lvlJc w:val="left"/>
      <w:pPr>
        <w:ind w:left="1644" w:hanging="526"/>
      </w:pPr>
      <w:rPr>
        <w:rFonts w:hint="default"/>
      </w:rPr>
    </w:lvl>
    <w:lvl w:ilvl="4">
      <w:start w:val="0"/>
      <w:numFmt w:val="bullet"/>
      <w:lvlText w:val="•"/>
      <w:lvlJc w:val="left"/>
      <w:pPr>
        <w:ind w:left="1938" w:hanging="526"/>
      </w:pPr>
      <w:rPr>
        <w:rFonts w:hint="default"/>
      </w:rPr>
    </w:lvl>
    <w:lvl w:ilvl="5">
      <w:start w:val="0"/>
      <w:numFmt w:val="bullet"/>
      <w:lvlText w:val="•"/>
      <w:lvlJc w:val="left"/>
      <w:pPr>
        <w:ind w:left="2233" w:hanging="526"/>
      </w:pPr>
      <w:rPr>
        <w:rFonts w:hint="default"/>
      </w:rPr>
    </w:lvl>
    <w:lvl w:ilvl="6">
      <w:start w:val="0"/>
      <w:numFmt w:val="bullet"/>
      <w:lvlText w:val="•"/>
      <w:lvlJc w:val="left"/>
      <w:pPr>
        <w:ind w:left="2528" w:hanging="526"/>
      </w:pPr>
      <w:rPr>
        <w:rFonts w:hint="default"/>
      </w:rPr>
    </w:lvl>
    <w:lvl w:ilvl="7">
      <w:start w:val="0"/>
      <w:numFmt w:val="bullet"/>
      <w:lvlText w:val="•"/>
      <w:lvlJc w:val="left"/>
      <w:pPr>
        <w:ind w:left="2822" w:hanging="526"/>
      </w:pPr>
      <w:rPr>
        <w:rFonts w:hint="default"/>
      </w:rPr>
    </w:lvl>
    <w:lvl w:ilvl="8">
      <w:start w:val="0"/>
      <w:numFmt w:val="bullet"/>
      <w:lvlText w:val="•"/>
      <w:lvlJc w:val="left"/>
      <w:pPr>
        <w:ind w:left="3117" w:hanging="526"/>
      </w:pPr>
      <w:rPr>
        <w:rFonts w:hint="default"/>
      </w:rPr>
    </w:lvl>
  </w:abstractNum>
  <w:abstractNum w:abstractNumId="3">
    <w:multiLevelType w:val="hybridMultilevel"/>
    <w:lvl w:ilvl="0">
      <w:start w:val="5"/>
      <w:numFmt w:val="decimal"/>
      <w:lvlText w:val="%1."/>
      <w:lvlJc w:val="left"/>
      <w:pPr>
        <w:ind w:left="580" w:hanging="319"/>
        <w:jc w:val="left"/>
      </w:pPr>
      <w:rPr>
        <w:rFonts w:hint="default" w:ascii="宋体" w:hAnsi="宋体" w:eastAsia="宋体" w:cs="宋体"/>
        <w:b/>
        <w:bCs/>
        <w:spacing w:val="0"/>
        <w:w w:val="99"/>
        <w:sz w:val="21"/>
        <w:szCs w:val="21"/>
      </w:rPr>
    </w:lvl>
    <w:lvl w:ilvl="1">
      <w:start w:val="0"/>
      <w:numFmt w:val="bullet"/>
      <w:lvlText w:val="•"/>
      <w:lvlJc w:val="left"/>
      <w:pPr>
        <w:ind w:left="780" w:hanging="319"/>
      </w:pPr>
      <w:rPr>
        <w:rFonts w:hint="default"/>
      </w:rPr>
    </w:lvl>
    <w:lvl w:ilvl="2">
      <w:start w:val="0"/>
      <w:numFmt w:val="bullet"/>
      <w:lvlText w:val="•"/>
      <w:lvlJc w:val="left"/>
      <w:pPr>
        <w:ind w:left="1037" w:hanging="319"/>
      </w:pPr>
      <w:rPr>
        <w:rFonts w:hint="default"/>
      </w:rPr>
    </w:lvl>
    <w:lvl w:ilvl="3">
      <w:start w:val="0"/>
      <w:numFmt w:val="bullet"/>
      <w:lvlText w:val="•"/>
      <w:lvlJc w:val="left"/>
      <w:pPr>
        <w:ind w:left="1295" w:hanging="319"/>
      </w:pPr>
      <w:rPr>
        <w:rFonts w:hint="default"/>
      </w:rPr>
    </w:lvl>
    <w:lvl w:ilvl="4">
      <w:start w:val="0"/>
      <w:numFmt w:val="bullet"/>
      <w:lvlText w:val="•"/>
      <w:lvlJc w:val="left"/>
      <w:pPr>
        <w:ind w:left="1552" w:hanging="319"/>
      </w:pPr>
      <w:rPr>
        <w:rFonts w:hint="default"/>
      </w:rPr>
    </w:lvl>
    <w:lvl w:ilvl="5">
      <w:start w:val="0"/>
      <w:numFmt w:val="bullet"/>
      <w:lvlText w:val="•"/>
      <w:lvlJc w:val="left"/>
      <w:pPr>
        <w:ind w:left="1810" w:hanging="319"/>
      </w:pPr>
      <w:rPr>
        <w:rFonts w:hint="default"/>
      </w:rPr>
    </w:lvl>
    <w:lvl w:ilvl="6">
      <w:start w:val="0"/>
      <w:numFmt w:val="bullet"/>
      <w:lvlText w:val="•"/>
      <w:lvlJc w:val="left"/>
      <w:pPr>
        <w:ind w:left="2067" w:hanging="319"/>
      </w:pPr>
      <w:rPr>
        <w:rFonts w:hint="default"/>
      </w:rPr>
    </w:lvl>
    <w:lvl w:ilvl="7">
      <w:start w:val="0"/>
      <w:numFmt w:val="bullet"/>
      <w:lvlText w:val="•"/>
      <w:lvlJc w:val="left"/>
      <w:pPr>
        <w:ind w:left="2325" w:hanging="319"/>
      </w:pPr>
      <w:rPr>
        <w:rFonts w:hint="default"/>
      </w:rPr>
    </w:lvl>
    <w:lvl w:ilvl="8">
      <w:start w:val="0"/>
      <w:numFmt w:val="bullet"/>
      <w:lvlText w:val="•"/>
      <w:lvlJc w:val="left"/>
      <w:pPr>
        <w:ind w:left="2582" w:hanging="319"/>
      </w:pPr>
      <w:rPr>
        <w:rFonts w:hint="default"/>
      </w:rPr>
    </w:lvl>
  </w:abstractNum>
  <w:abstractNum w:abstractNumId="2">
    <w:multiLevelType w:val="hybridMultilevel"/>
    <w:lvl w:ilvl="0">
      <w:start w:val="1"/>
      <w:numFmt w:val="decimal"/>
      <w:lvlText w:val="%1."/>
      <w:lvlJc w:val="left"/>
      <w:pPr>
        <w:ind w:left="1018" w:hanging="319"/>
        <w:jc w:val="left"/>
      </w:pPr>
      <w:rPr>
        <w:rFonts w:hint="default" w:ascii="宋体" w:hAnsi="宋体" w:eastAsia="宋体" w:cs="宋体"/>
        <w:b/>
        <w:bCs/>
        <w:spacing w:val="0"/>
        <w:w w:val="99"/>
        <w:sz w:val="21"/>
        <w:szCs w:val="21"/>
      </w:rPr>
    </w:lvl>
    <w:lvl w:ilvl="1">
      <w:start w:val="1"/>
      <w:numFmt w:val="decimal"/>
      <w:lvlText w:val="%1.%2"/>
      <w:lvlJc w:val="left"/>
      <w:pPr>
        <w:ind w:left="1224" w:hanging="420"/>
        <w:jc w:val="left"/>
      </w:pPr>
      <w:rPr>
        <w:rFonts w:hint="default" w:ascii="宋体" w:hAnsi="宋体" w:eastAsia="宋体" w:cs="宋体"/>
        <w:spacing w:val="-1"/>
        <w:w w:val="100"/>
        <w:sz w:val="21"/>
        <w:szCs w:val="21"/>
      </w:rPr>
    </w:lvl>
    <w:lvl w:ilvl="2">
      <w:start w:val="0"/>
      <w:numFmt w:val="bullet"/>
      <w:lvlText w:val="•"/>
      <w:lvlJc w:val="left"/>
      <w:pPr>
        <w:ind w:left="1408" w:hanging="420"/>
      </w:pPr>
      <w:rPr>
        <w:rFonts w:hint="default"/>
      </w:rPr>
    </w:lvl>
    <w:lvl w:ilvl="3">
      <w:start w:val="0"/>
      <w:numFmt w:val="bullet"/>
      <w:lvlText w:val="•"/>
      <w:lvlJc w:val="left"/>
      <w:pPr>
        <w:ind w:left="1596" w:hanging="420"/>
      </w:pPr>
      <w:rPr>
        <w:rFonts w:hint="default"/>
      </w:rPr>
    </w:lvl>
    <w:lvl w:ilvl="4">
      <w:start w:val="0"/>
      <w:numFmt w:val="bullet"/>
      <w:lvlText w:val="•"/>
      <w:lvlJc w:val="left"/>
      <w:pPr>
        <w:ind w:left="1784" w:hanging="420"/>
      </w:pPr>
      <w:rPr>
        <w:rFonts w:hint="default"/>
      </w:rPr>
    </w:lvl>
    <w:lvl w:ilvl="5">
      <w:start w:val="0"/>
      <w:numFmt w:val="bullet"/>
      <w:lvlText w:val="•"/>
      <w:lvlJc w:val="left"/>
      <w:pPr>
        <w:ind w:left="1972" w:hanging="420"/>
      </w:pPr>
      <w:rPr>
        <w:rFonts w:hint="default"/>
      </w:rPr>
    </w:lvl>
    <w:lvl w:ilvl="6">
      <w:start w:val="0"/>
      <w:numFmt w:val="bullet"/>
      <w:lvlText w:val="•"/>
      <w:lvlJc w:val="left"/>
      <w:pPr>
        <w:ind w:left="2161" w:hanging="420"/>
      </w:pPr>
      <w:rPr>
        <w:rFonts w:hint="default"/>
      </w:rPr>
    </w:lvl>
    <w:lvl w:ilvl="7">
      <w:start w:val="0"/>
      <w:numFmt w:val="bullet"/>
      <w:lvlText w:val="•"/>
      <w:lvlJc w:val="left"/>
      <w:pPr>
        <w:ind w:left="2349" w:hanging="420"/>
      </w:pPr>
      <w:rPr>
        <w:rFonts w:hint="default"/>
      </w:rPr>
    </w:lvl>
    <w:lvl w:ilvl="8">
      <w:start w:val="0"/>
      <w:numFmt w:val="bullet"/>
      <w:lvlText w:val="•"/>
      <w:lvlJc w:val="left"/>
      <w:pPr>
        <w:ind w:left="2537" w:hanging="420"/>
      </w:pPr>
      <w:rPr>
        <w:rFonts w:hint="default"/>
      </w:rPr>
    </w:lvl>
  </w:abstractNum>
  <w:abstractNum w:abstractNumId="1">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0" w:hanging="398"/>
      </w:pPr>
      <w:rPr>
        <w:rFonts w:hint="default"/>
      </w:rPr>
    </w:lvl>
    <w:lvl w:ilvl="2">
      <w:start w:val="0"/>
      <w:numFmt w:val="bullet"/>
      <w:lvlText w:val="•"/>
      <w:lvlJc w:val="left"/>
      <w:pPr>
        <w:ind w:left="2061" w:hanging="398"/>
      </w:pPr>
      <w:rPr>
        <w:rFonts w:hint="default"/>
      </w:rPr>
    </w:lvl>
    <w:lvl w:ilvl="3">
      <w:start w:val="0"/>
      <w:numFmt w:val="bullet"/>
      <w:lvlText w:val="•"/>
      <w:lvlJc w:val="left"/>
      <w:pPr>
        <w:ind w:left="2892" w:hanging="398"/>
      </w:pPr>
      <w:rPr>
        <w:rFonts w:hint="default"/>
      </w:rPr>
    </w:lvl>
    <w:lvl w:ilvl="4">
      <w:start w:val="0"/>
      <w:numFmt w:val="bullet"/>
      <w:lvlText w:val="•"/>
      <w:lvlJc w:val="left"/>
      <w:pPr>
        <w:ind w:left="3723" w:hanging="398"/>
      </w:pPr>
      <w:rPr>
        <w:rFonts w:hint="default"/>
      </w:rPr>
    </w:lvl>
    <w:lvl w:ilvl="5">
      <w:start w:val="0"/>
      <w:numFmt w:val="bullet"/>
      <w:lvlText w:val="•"/>
      <w:lvlJc w:val="left"/>
      <w:pPr>
        <w:ind w:left="4554" w:hanging="398"/>
      </w:pPr>
      <w:rPr>
        <w:rFonts w:hint="default"/>
      </w:rPr>
    </w:lvl>
    <w:lvl w:ilvl="6">
      <w:start w:val="0"/>
      <w:numFmt w:val="bullet"/>
      <w:lvlText w:val="•"/>
      <w:lvlJc w:val="left"/>
      <w:pPr>
        <w:ind w:left="5385" w:hanging="398"/>
      </w:pPr>
      <w:rPr>
        <w:rFonts w:hint="default"/>
      </w:rPr>
    </w:lvl>
    <w:lvl w:ilvl="7">
      <w:start w:val="0"/>
      <w:numFmt w:val="bullet"/>
      <w:lvlText w:val="•"/>
      <w:lvlJc w:val="left"/>
      <w:pPr>
        <w:ind w:left="6216" w:hanging="398"/>
      </w:pPr>
      <w:rPr>
        <w:rFonts w:hint="default"/>
      </w:rPr>
    </w:lvl>
    <w:lvl w:ilvl="8">
      <w:start w:val="0"/>
      <w:numFmt w:val="bullet"/>
      <w:lvlText w:val="•"/>
      <w:lvlJc w:val="left"/>
      <w:pPr>
        <w:ind w:left="7047" w:hanging="398"/>
      </w:pPr>
      <w:rPr>
        <w:rFonts w:hint="default"/>
      </w:rPr>
    </w:lvl>
  </w:abstractNum>
  <w:abstractNum w:abstractNumId="0">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1" w:hanging="398"/>
      </w:pPr>
      <w:rPr>
        <w:rFonts w:hint="default"/>
      </w:rPr>
    </w:lvl>
    <w:lvl w:ilvl="2">
      <w:start w:val="0"/>
      <w:numFmt w:val="bullet"/>
      <w:lvlText w:val="•"/>
      <w:lvlJc w:val="left"/>
      <w:pPr>
        <w:ind w:left="2062" w:hanging="398"/>
      </w:pPr>
      <w:rPr>
        <w:rFonts w:hint="default"/>
      </w:rPr>
    </w:lvl>
    <w:lvl w:ilvl="3">
      <w:start w:val="0"/>
      <w:numFmt w:val="bullet"/>
      <w:lvlText w:val="•"/>
      <w:lvlJc w:val="left"/>
      <w:pPr>
        <w:ind w:left="2893" w:hanging="398"/>
      </w:pPr>
      <w:rPr>
        <w:rFonts w:hint="default"/>
      </w:rPr>
    </w:lvl>
    <w:lvl w:ilvl="4">
      <w:start w:val="0"/>
      <w:numFmt w:val="bullet"/>
      <w:lvlText w:val="•"/>
      <w:lvlJc w:val="left"/>
      <w:pPr>
        <w:ind w:left="3724" w:hanging="398"/>
      </w:pPr>
      <w:rPr>
        <w:rFonts w:hint="default"/>
      </w:rPr>
    </w:lvl>
    <w:lvl w:ilvl="5">
      <w:start w:val="0"/>
      <w:numFmt w:val="bullet"/>
      <w:lvlText w:val="•"/>
      <w:lvlJc w:val="left"/>
      <w:pPr>
        <w:ind w:left="4555" w:hanging="398"/>
      </w:pPr>
      <w:rPr>
        <w:rFonts w:hint="default"/>
      </w:rPr>
    </w:lvl>
    <w:lvl w:ilvl="6">
      <w:start w:val="0"/>
      <w:numFmt w:val="bullet"/>
      <w:lvlText w:val="•"/>
      <w:lvlJc w:val="left"/>
      <w:pPr>
        <w:ind w:left="5386" w:hanging="398"/>
      </w:pPr>
      <w:rPr>
        <w:rFonts w:hint="default"/>
      </w:rPr>
    </w:lvl>
    <w:lvl w:ilvl="7">
      <w:start w:val="0"/>
      <w:numFmt w:val="bullet"/>
      <w:lvlText w:val="•"/>
      <w:lvlJc w:val="left"/>
      <w:pPr>
        <w:ind w:left="6217" w:hanging="398"/>
      </w:pPr>
      <w:rPr>
        <w:rFonts w:hint="default"/>
      </w:rPr>
    </w:lvl>
    <w:lvl w:ilvl="8">
      <w:start w:val="0"/>
      <w:numFmt w:val="bullet"/>
      <w:lvlText w:val="•"/>
      <w:lvlJc w:val="left"/>
      <w:pPr>
        <w:ind w:left="7048" w:hanging="398"/>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7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ind w:left="2438"/>
      <w:outlineLvl w:val="3"/>
    </w:pPr>
    <w:rPr>
      <w:rFonts w:ascii="宋体" w:hAnsi="宋体" w:eastAsia="宋体" w:cs="宋体"/>
      <w:b/>
      <w:bCs/>
      <w:sz w:val="21"/>
      <w:szCs w:val="21"/>
    </w:rPr>
  </w:style>
  <w:style w:styleId="ListParagraph" w:type="paragraph">
    <w:name w:val="List Paragraph"/>
    <w:basedOn w:val="Normal"/>
    <w:uiPriority w:val="1"/>
    <w:qFormat/>
    <w:pPr>
      <w:ind w:left="2198" w:hanging="454"/>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&lt;4D6963726F736F667420576F7264202D20BBAACCA9C8CBCAD9B8BDBCD3BCAABFB5B6EECDE2B8F8B8B6D6D8B4F3BCB2B2A1B1A3CFD5CCF5BFEE2DB6FECEACC2EB2E646F63&gt;</dc:title>
  <dcterms:created xsi:type="dcterms:W3CDTF">2018-10-19T22:43:54Z</dcterms:created>
  <dcterms:modified xsi:type="dcterms:W3CDTF">2018-10-19T22:43:54Z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