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9"/>
        <w:ind w:left="8054" w:right="0" w:firstLine="0"/>
        <w:jc w:val="left"/>
        <w:rPr>
          <w:rFonts w:ascii="仿宋" w:eastAsia="仿宋" w:hint="eastAsia"/>
          <w:sz w:val="20"/>
        </w:rPr>
      </w:pPr>
      <w:r>
        <w:rPr/>
        <w:drawing>
          <wp:anchor distT="0" distB="0" distL="0" distR="0" allowOverlap="1" layoutInCell="1" locked="0" behindDoc="1" simplePos="0" relativeHeight="268409615">
            <wp:simplePos x="0" y="0"/>
            <wp:positionH relativeFrom="page">
              <wp:posOffset>4800600</wp:posOffset>
            </wp:positionH>
            <wp:positionV relativeFrom="paragraph">
              <wp:posOffset>-2925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仿宋" w:eastAsia="仿宋" w:hint="eastAsia"/>
          <w:w w:val="95"/>
          <w:sz w:val="20"/>
        </w:rPr>
        <w:t>复星保德信人寿</w:t>
      </w:r>
    </w:p>
    <w:p>
      <w:pPr>
        <w:spacing w:line="285" w:lineRule="auto" w:before="50"/>
        <w:ind w:left="8054" w:right="330" w:firstLine="0"/>
        <w:jc w:val="right"/>
        <w:rPr>
          <w:rFonts w:ascii="仿宋" w:eastAsia="仿宋" w:hint="eastAsia"/>
          <w:sz w:val="20"/>
        </w:rPr>
      </w:pPr>
      <w:r>
        <w:rPr>
          <w:rFonts w:ascii="仿宋" w:eastAsia="仿宋" w:hint="eastAsia"/>
          <w:sz w:val="20"/>
        </w:rPr>
        <w:t>[2014</w:t>
      </w:r>
      <w:r>
        <w:rPr>
          <w:rFonts w:ascii="仿宋" w:eastAsia="仿宋" w:hint="eastAsia"/>
          <w:spacing w:val="-9"/>
          <w:sz w:val="20"/>
        </w:rPr>
        <w:t>]疾病保险 </w:t>
      </w:r>
      <w:r>
        <w:rPr>
          <w:rFonts w:ascii="仿宋" w:eastAsia="仿宋" w:hint="eastAsia"/>
          <w:sz w:val="20"/>
        </w:rPr>
        <w:t>033</w:t>
      </w:r>
      <w:r>
        <w:rPr>
          <w:rFonts w:ascii="仿宋" w:eastAsia="仿宋" w:hint="eastAsia"/>
          <w:spacing w:val="-28"/>
          <w:sz w:val="20"/>
        </w:rPr>
        <w:t> 号</w:t>
      </w:r>
      <w:r>
        <w:rPr>
          <w:rFonts w:ascii="仿宋" w:eastAsia="仿宋" w:hint="eastAsia"/>
          <w:spacing w:val="-28"/>
          <w:w w:val="95"/>
          <w:sz w:val="20"/>
        </w:rPr>
        <w:t>请扫描以查询验证条款</w:t>
      </w:r>
    </w:p>
    <w:p>
      <w:pPr>
        <w:pStyle w:val="Heading1"/>
        <w:spacing w:line="460" w:lineRule="auto" w:before="89"/>
        <w:ind w:left="2041" w:right="1831"/>
        <w:jc w:val="center"/>
      </w:pPr>
      <w:r>
        <w:rPr>
          <w:spacing w:val="-12"/>
        </w:rPr>
        <w:t>复星保德信健康 </w:t>
      </w:r>
      <w:r>
        <w:rPr/>
        <w:t>e</w:t>
      </w:r>
      <w:r>
        <w:rPr>
          <w:spacing w:val="-10"/>
        </w:rPr>
        <w:t> 守护重大疾病保险条款</w:t>
      </w:r>
      <w:r>
        <w:rPr>
          <w:spacing w:val="-9"/>
        </w:rPr>
        <w:t>阅 读 提 示</w:t>
      </w:r>
    </w:p>
    <w:p>
      <w:pPr>
        <w:spacing w:before="94"/>
        <w:ind w:left="377" w:right="0" w:firstLine="0"/>
        <w:jc w:val="left"/>
        <w:rPr>
          <w:sz w:val="20"/>
        </w:rPr>
      </w:pPr>
      <w:r>
        <w:rPr>
          <w:w w:val="95"/>
          <w:sz w:val="20"/>
        </w:rPr>
        <w:t>本阅读提示是为了帮助投保人、被保险人和受益人更好地理解条款，对本合同内容的解释以条款正文为准。</w:t>
      </w:r>
    </w:p>
    <w:p>
      <w:pPr>
        <w:pStyle w:val="BodyText"/>
        <w:spacing w:before="8"/>
        <w:rPr>
          <w:sz w:val="15"/>
        </w:rPr>
      </w:pPr>
    </w:p>
    <w:p>
      <w:pPr>
        <w:pStyle w:val="Heading3"/>
        <w:ind w:left="377" w:firstLine="0"/>
      </w:pPr>
      <w:r>
        <w:rPr>
          <w:w w:val="95"/>
        </w:rPr>
        <w:t>您拥有的重要权益</w:t>
      </w:r>
    </w:p>
    <w:p>
      <w:pPr>
        <w:tabs>
          <w:tab w:pos="10281" w:val="right" w:leader="dot"/>
        </w:tabs>
        <w:spacing w:before="51"/>
        <w:ind w:left="377" w:right="0" w:firstLine="0"/>
        <w:jc w:val="left"/>
        <w:rPr>
          <w:sz w:val="20"/>
        </w:rPr>
      </w:pPr>
      <w:r>
        <w:rPr>
          <w:sz w:val="20"/>
        </w:rPr>
        <w:t>您在犹豫期内申请退保的，我们仅扣除工本费</w:t>
        <w:tab/>
        <w:t>1.4</w:t>
      </w:r>
    </w:p>
    <w:p>
      <w:pPr>
        <w:tabs>
          <w:tab w:pos="10280" w:val="right" w:leader="dot"/>
        </w:tabs>
        <w:spacing w:before="33"/>
        <w:ind w:left="377" w:right="0" w:firstLine="0"/>
        <w:jc w:val="left"/>
        <w:rPr>
          <w:sz w:val="20"/>
        </w:rPr>
      </w:pPr>
      <w:r>
        <w:rPr>
          <w:sz w:val="20"/>
        </w:rPr>
        <w:t>本合同提供的保障在保险责任条款中列明</w:t>
        <w:tab/>
        <w:t>2.3</w:t>
      </w:r>
    </w:p>
    <w:p>
      <w:pPr>
        <w:tabs>
          <w:tab w:pos="10279" w:val="right" w:leader="dot"/>
        </w:tabs>
        <w:spacing w:before="35"/>
        <w:ind w:left="377" w:right="0" w:firstLine="0"/>
        <w:jc w:val="left"/>
        <w:rPr>
          <w:sz w:val="20"/>
        </w:rPr>
      </w:pPr>
      <w:r>
        <w:rPr>
          <w:sz w:val="20"/>
        </w:rPr>
        <w:t>您有退保的权利</w:t>
        <w:tab/>
        <w:t>9.1</w:t>
      </w:r>
    </w:p>
    <w:p>
      <w:pPr>
        <w:pStyle w:val="Heading3"/>
        <w:spacing w:before="290"/>
        <w:ind w:left="377" w:firstLine="0"/>
      </w:pPr>
      <w:r>
        <w:rPr>
          <w:w w:val="95"/>
        </w:rPr>
        <w:t>您应当特别注意的事项</w:t>
      </w:r>
    </w:p>
    <w:p>
      <w:pPr>
        <w:tabs>
          <w:tab w:pos="10280" w:val="right" w:leader="dot"/>
        </w:tabs>
        <w:spacing w:before="51"/>
        <w:ind w:left="377" w:right="0" w:firstLine="0"/>
        <w:jc w:val="left"/>
        <w:rPr>
          <w:sz w:val="20"/>
        </w:rPr>
      </w:pPr>
      <w:r>
        <w:rPr>
          <w:sz w:val="20"/>
        </w:rPr>
        <w:t>在某些情况下，我们不承担保险责任</w:t>
        <w:tab/>
        <w:t>2.4</w:t>
      </w:r>
    </w:p>
    <w:p>
      <w:pPr>
        <w:tabs>
          <w:tab w:pos="10280" w:val="right" w:leader="dot"/>
        </w:tabs>
        <w:spacing w:before="35"/>
        <w:ind w:left="377" w:right="0" w:firstLine="0"/>
        <w:jc w:val="left"/>
        <w:rPr>
          <w:sz w:val="20"/>
        </w:rPr>
      </w:pPr>
      <w:r>
        <w:rPr>
          <w:sz w:val="20"/>
        </w:rPr>
        <w:t>您应当按时支付保险费</w:t>
        <w:tab/>
        <w:t>3.1</w:t>
      </w:r>
    </w:p>
    <w:p>
      <w:pPr>
        <w:tabs>
          <w:tab w:pos="10280" w:val="right" w:leader="dot"/>
        </w:tabs>
        <w:spacing w:before="35"/>
        <w:ind w:left="377" w:right="0" w:firstLine="0"/>
        <w:jc w:val="left"/>
        <w:rPr>
          <w:sz w:val="20"/>
        </w:rPr>
      </w:pPr>
      <w:r>
        <w:rPr>
          <w:sz w:val="20"/>
        </w:rPr>
        <w:t>保险事故发生后请您、被保险人或受益人及时通知我们</w:t>
        <w:tab/>
        <w:t>5.2</w:t>
      </w:r>
    </w:p>
    <w:p>
      <w:pPr>
        <w:tabs>
          <w:tab w:pos="10281" w:val="right" w:leader="dot"/>
        </w:tabs>
        <w:spacing w:before="32"/>
        <w:ind w:left="377" w:right="0" w:firstLine="0"/>
        <w:jc w:val="left"/>
        <w:rPr>
          <w:sz w:val="20"/>
        </w:rPr>
      </w:pPr>
      <w:r>
        <w:rPr>
          <w:sz w:val="20"/>
        </w:rPr>
        <w:t>退保会给您造成一定的损失，请您慎重决策</w:t>
        <w:tab/>
        <w:t>9.1</w:t>
      </w:r>
    </w:p>
    <w:p>
      <w:pPr>
        <w:tabs>
          <w:tab w:pos="10279" w:val="right" w:leader="dot"/>
        </w:tabs>
        <w:spacing w:before="34"/>
        <w:ind w:left="377" w:right="0" w:firstLine="0"/>
        <w:jc w:val="left"/>
        <w:rPr>
          <w:sz w:val="20"/>
        </w:rPr>
      </w:pPr>
      <w:r>
        <w:rPr>
          <w:sz w:val="20"/>
        </w:rPr>
        <w:t>您有如实告知的义务</w:t>
        <w:tab/>
        <w:t>10.1</w:t>
      </w:r>
    </w:p>
    <w:p>
      <w:pPr>
        <w:spacing w:before="32"/>
        <w:ind w:left="377" w:right="0" w:firstLine="0"/>
        <w:jc w:val="left"/>
        <w:rPr>
          <w:sz w:val="20"/>
        </w:rPr>
      </w:pPr>
      <w:r>
        <w:rPr>
          <w:w w:val="95"/>
          <w:sz w:val="20"/>
        </w:rPr>
        <w:t>我们对一些重要术语进行了解释，并作了显著标识，请您注意</w:t>
      </w:r>
      <w:r>
        <w:rPr>
          <w:rFonts w:ascii="Times New Roman" w:eastAsia="Times New Roman"/>
          <w:w w:val="95"/>
          <w:sz w:val="20"/>
        </w:rPr>
        <w:t>..............................................................................</w:t>
      </w:r>
      <w:r>
        <w:rPr>
          <w:w w:val="95"/>
          <w:sz w:val="20"/>
        </w:rPr>
        <w:t>11、12</w:t>
      </w:r>
    </w:p>
    <w:p>
      <w:pPr>
        <w:pStyle w:val="Heading3"/>
        <w:spacing w:line="453" w:lineRule="auto" w:before="605"/>
        <w:ind w:left="1467" w:right="1208" w:firstLine="0"/>
        <w:jc w:val="center"/>
      </w:pPr>
      <w:r>
        <w:rPr>
          <w:w w:val="95"/>
        </w:rPr>
        <w:t>条款是保险合同的重要内容，为充分保障您的权益，请您仔细阅读本条款  </w:t>
      </w:r>
      <w:r>
        <w:rPr/>
        <w:t>条款目录</w:t>
      </w:r>
    </w:p>
    <w:p>
      <w:pPr>
        <w:pStyle w:val="BodyText"/>
        <w:spacing w:before="0"/>
        <w:rPr>
          <w:b/>
          <w:sz w:val="12"/>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7"/>
        <w:gridCol w:w="482"/>
        <w:gridCol w:w="2158"/>
        <w:gridCol w:w="2584"/>
        <w:gridCol w:w="672"/>
        <w:gridCol w:w="1889"/>
      </w:tblGrid>
      <w:tr>
        <w:trPr>
          <w:trHeight w:val="255" w:hRule="atLeast"/>
        </w:trPr>
        <w:tc>
          <w:tcPr>
            <w:tcW w:w="2367" w:type="dxa"/>
          </w:tcPr>
          <w:p>
            <w:pPr>
              <w:pStyle w:val="TableParagraph"/>
              <w:spacing w:line="199" w:lineRule="exact"/>
              <w:ind w:left="50"/>
              <w:rPr>
                <w:b/>
                <w:sz w:val="20"/>
              </w:rPr>
            </w:pPr>
            <w:r>
              <w:rPr>
                <w:b/>
                <w:sz w:val="20"/>
              </w:rPr>
              <w:t>1. 您与我们订立的合同</w:t>
            </w:r>
          </w:p>
        </w:tc>
        <w:tc>
          <w:tcPr>
            <w:tcW w:w="482" w:type="dxa"/>
          </w:tcPr>
          <w:p>
            <w:pPr>
              <w:pStyle w:val="TableParagraph"/>
              <w:spacing w:line="199" w:lineRule="exact"/>
              <w:ind w:left="130" w:right="9"/>
              <w:jc w:val="center"/>
              <w:rPr>
                <w:sz w:val="20"/>
              </w:rPr>
            </w:pPr>
            <w:r>
              <w:rPr>
                <w:sz w:val="20"/>
              </w:rPr>
              <w:t>5.1</w:t>
            </w:r>
          </w:p>
        </w:tc>
        <w:tc>
          <w:tcPr>
            <w:tcW w:w="2158" w:type="dxa"/>
          </w:tcPr>
          <w:p>
            <w:pPr>
              <w:pStyle w:val="TableParagraph"/>
              <w:spacing w:line="199" w:lineRule="exact"/>
              <w:ind w:left="88"/>
              <w:rPr>
                <w:sz w:val="20"/>
              </w:rPr>
            </w:pPr>
            <w:r>
              <w:rPr>
                <w:w w:val="95"/>
                <w:sz w:val="20"/>
              </w:rPr>
              <w:t>受益人</w:t>
            </w:r>
          </w:p>
        </w:tc>
        <w:tc>
          <w:tcPr>
            <w:tcW w:w="2584" w:type="dxa"/>
          </w:tcPr>
          <w:p>
            <w:pPr>
              <w:pStyle w:val="TableParagraph"/>
              <w:spacing w:line="199" w:lineRule="exact"/>
              <w:ind w:left="117"/>
              <w:rPr>
                <w:b/>
                <w:sz w:val="20"/>
              </w:rPr>
            </w:pPr>
            <w:r>
              <w:rPr>
                <w:b/>
                <w:sz w:val="20"/>
              </w:rPr>
              <w:t>10. 说明、告知及解除权</w:t>
            </w:r>
          </w:p>
        </w:tc>
        <w:tc>
          <w:tcPr>
            <w:tcW w:w="672" w:type="dxa"/>
          </w:tcPr>
          <w:p>
            <w:pPr>
              <w:pStyle w:val="TableParagraph"/>
              <w:spacing w:line="199" w:lineRule="exact"/>
              <w:ind w:left="142"/>
              <w:rPr>
                <w:sz w:val="20"/>
              </w:rPr>
            </w:pPr>
            <w:r>
              <w:rPr>
                <w:sz w:val="20"/>
              </w:rPr>
              <w:t>12.7</w:t>
            </w:r>
          </w:p>
        </w:tc>
        <w:tc>
          <w:tcPr>
            <w:tcW w:w="1889" w:type="dxa"/>
          </w:tcPr>
          <w:p>
            <w:pPr>
              <w:pStyle w:val="TableParagraph"/>
              <w:spacing w:line="199" w:lineRule="exact"/>
              <w:ind w:left="28"/>
              <w:rPr>
                <w:sz w:val="20"/>
              </w:rPr>
            </w:pPr>
            <w:r>
              <w:rPr>
                <w:w w:val="95"/>
                <w:sz w:val="20"/>
              </w:rPr>
              <w:t>意外伤害</w:t>
            </w:r>
          </w:p>
        </w:tc>
      </w:tr>
      <w:tr>
        <w:trPr>
          <w:trHeight w:val="311" w:hRule="atLeast"/>
        </w:trPr>
        <w:tc>
          <w:tcPr>
            <w:tcW w:w="2367" w:type="dxa"/>
          </w:tcPr>
          <w:p>
            <w:pPr>
              <w:pStyle w:val="TableParagraph"/>
              <w:ind w:left="50"/>
              <w:rPr>
                <w:sz w:val="20"/>
              </w:rPr>
            </w:pPr>
            <w:r>
              <w:rPr>
                <w:sz w:val="20"/>
              </w:rPr>
              <w:t>1.1 合同构成</w:t>
            </w:r>
          </w:p>
        </w:tc>
        <w:tc>
          <w:tcPr>
            <w:tcW w:w="482" w:type="dxa"/>
          </w:tcPr>
          <w:p>
            <w:pPr>
              <w:pStyle w:val="TableParagraph"/>
              <w:ind w:left="130" w:right="9"/>
              <w:jc w:val="center"/>
              <w:rPr>
                <w:sz w:val="20"/>
              </w:rPr>
            </w:pPr>
            <w:r>
              <w:rPr>
                <w:sz w:val="20"/>
              </w:rPr>
              <w:t>5.2</w:t>
            </w:r>
          </w:p>
        </w:tc>
        <w:tc>
          <w:tcPr>
            <w:tcW w:w="2158" w:type="dxa"/>
          </w:tcPr>
          <w:p>
            <w:pPr>
              <w:pStyle w:val="TableParagraph"/>
              <w:ind w:left="88"/>
              <w:rPr>
                <w:sz w:val="20"/>
              </w:rPr>
            </w:pPr>
            <w:r>
              <w:rPr>
                <w:w w:val="95"/>
                <w:sz w:val="20"/>
              </w:rPr>
              <w:t>保险事故通知</w:t>
            </w:r>
          </w:p>
        </w:tc>
        <w:tc>
          <w:tcPr>
            <w:tcW w:w="2584" w:type="dxa"/>
          </w:tcPr>
          <w:p>
            <w:pPr>
              <w:pStyle w:val="TableParagraph"/>
              <w:ind w:left="542"/>
              <w:rPr>
                <w:b/>
                <w:sz w:val="20"/>
              </w:rPr>
            </w:pPr>
            <w:r>
              <w:rPr>
                <w:b/>
                <w:sz w:val="20"/>
              </w:rPr>
              <w:t>限制</w:t>
            </w:r>
          </w:p>
        </w:tc>
        <w:tc>
          <w:tcPr>
            <w:tcW w:w="672" w:type="dxa"/>
          </w:tcPr>
          <w:p>
            <w:pPr>
              <w:pStyle w:val="TableParagraph"/>
              <w:ind w:left="142"/>
              <w:rPr>
                <w:sz w:val="20"/>
              </w:rPr>
            </w:pPr>
            <w:r>
              <w:rPr>
                <w:sz w:val="20"/>
              </w:rPr>
              <w:t>12.8</w:t>
            </w:r>
          </w:p>
        </w:tc>
        <w:tc>
          <w:tcPr>
            <w:tcW w:w="1889" w:type="dxa"/>
          </w:tcPr>
          <w:p>
            <w:pPr>
              <w:pStyle w:val="TableParagraph"/>
              <w:ind w:left="28"/>
              <w:rPr>
                <w:sz w:val="20"/>
              </w:rPr>
            </w:pPr>
            <w:r>
              <w:rPr>
                <w:w w:val="95"/>
                <w:sz w:val="20"/>
              </w:rPr>
              <w:t>毒品</w:t>
            </w:r>
          </w:p>
        </w:tc>
      </w:tr>
      <w:tr>
        <w:trPr>
          <w:trHeight w:val="311" w:hRule="atLeast"/>
        </w:trPr>
        <w:tc>
          <w:tcPr>
            <w:tcW w:w="2367" w:type="dxa"/>
          </w:tcPr>
          <w:p>
            <w:pPr>
              <w:pStyle w:val="TableParagraph"/>
              <w:ind w:left="50"/>
              <w:rPr>
                <w:sz w:val="20"/>
              </w:rPr>
            </w:pPr>
            <w:r>
              <w:rPr>
                <w:sz w:val="20"/>
              </w:rPr>
              <w:t>1.2 合同生效</w:t>
            </w:r>
          </w:p>
        </w:tc>
        <w:tc>
          <w:tcPr>
            <w:tcW w:w="482" w:type="dxa"/>
          </w:tcPr>
          <w:p>
            <w:pPr>
              <w:pStyle w:val="TableParagraph"/>
              <w:ind w:left="130" w:right="9"/>
              <w:jc w:val="center"/>
              <w:rPr>
                <w:sz w:val="20"/>
              </w:rPr>
            </w:pPr>
            <w:r>
              <w:rPr>
                <w:sz w:val="20"/>
              </w:rPr>
              <w:t>5.3</w:t>
            </w:r>
          </w:p>
        </w:tc>
        <w:tc>
          <w:tcPr>
            <w:tcW w:w="2158" w:type="dxa"/>
          </w:tcPr>
          <w:p>
            <w:pPr>
              <w:pStyle w:val="TableParagraph"/>
              <w:ind w:left="88"/>
              <w:rPr>
                <w:sz w:val="20"/>
              </w:rPr>
            </w:pPr>
            <w:r>
              <w:rPr>
                <w:w w:val="95"/>
                <w:sz w:val="20"/>
              </w:rPr>
              <w:t>保险金申请</w:t>
            </w:r>
          </w:p>
        </w:tc>
        <w:tc>
          <w:tcPr>
            <w:tcW w:w="2584" w:type="dxa"/>
          </w:tcPr>
          <w:p>
            <w:pPr>
              <w:pStyle w:val="TableParagraph"/>
              <w:ind w:left="117"/>
              <w:rPr>
                <w:sz w:val="20"/>
              </w:rPr>
            </w:pPr>
            <w:r>
              <w:rPr>
                <w:sz w:val="20"/>
              </w:rPr>
              <w:t>10.1 明确说明与如实告知</w:t>
            </w:r>
          </w:p>
        </w:tc>
        <w:tc>
          <w:tcPr>
            <w:tcW w:w="672" w:type="dxa"/>
          </w:tcPr>
          <w:p>
            <w:pPr>
              <w:pStyle w:val="TableParagraph"/>
              <w:ind w:left="142"/>
              <w:rPr>
                <w:sz w:val="20"/>
              </w:rPr>
            </w:pPr>
            <w:r>
              <w:rPr>
                <w:sz w:val="20"/>
              </w:rPr>
              <w:t>12.9</w:t>
            </w:r>
          </w:p>
        </w:tc>
        <w:tc>
          <w:tcPr>
            <w:tcW w:w="1889" w:type="dxa"/>
          </w:tcPr>
          <w:p>
            <w:pPr>
              <w:pStyle w:val="TableParagraph"/>
              <w:ind w:left="28"/>
              <w:rPr>
                <w:sz w:val="20"/>
              </w:rPr>
            </w:pPr>
            <w:r>
              <w:rPr>
                <w:w w:val="95"/>
                <w:sz w:val="20"/>
              </w:rPr>
              <w:t>酒后驾驶</w:t>
            </w:r>
          </w:p>
        </w:tc>
      </w:tr>
      <w:tr>
        <w:trPr>
          <w:trHeight w:val="312" w:hRule="atLeast"/>
        </w:trPr>
        <w:tc>
          <w:tcPr>
            <w:tcW w:w="2367" w:type="dxa"/>
          </w:tcPr>
          <w:p>
            <w:pPr>
              <w:pStyle w:val="TableParagraph"/>
              <w:ind w:left="50"/>
              <w:rPr>
                <w:sz w:val="20"/>
              </w:rPr>
            </w:pPr>
            <w:r>
              <w:rPr>
                <w:sz w:val="20"/>
              </w:rPr>
              <w:t>1.3 投保年龄</w:t>
            </w:r>
          </w:p>
        </w:tc>
        <w:tc>
          <w:tcPr>
            <w:tcW w:w="482" w:type="dxa"/>
          </w:tcPr>
          <w:p>
            <w:pPr>
              <w:pStyle w:val="TableParagraph"/>
              <w:ind w:left="130" w:right="9"/>
              <w:jc w:val="center"/>
              <w:rPr>
                <w:sz w:val="20"/>
              </w:rPr>
            </w:pPr>
            <w:r>
              <w:rPr>
                <w:sz w:val="20"/>
              </w:rPr>
              <w:t>5.4</w:t>
            </w:r>
          </w:p>
        </w:tc>
        <w:tc>
          <w:tcPr>
            <w:tcW w:w="2158" w:type="dxa"/>
          </w:tcPr>
          <w:p>
            <w:pPr>
              <w:pStyle w:val="TableParagraph"/>
              <w:ind w:left="88"/>
              <w:rPr>
                <w:sz w:val="20"/>
              </w:rPr>
            </w:pPr>
            <w:r>
              <w:rPr>
                <w:w w:val="95"/>
                <w:sz w:val="20"/>
              </w:rPr>
              <w:t>保险金给付</w:t>
            </w:r>
          </w:p>
        </w:tc>
        <w:tc>
          <w:tcPr>
            <w:tcW w:w="2584" w:type="dxa"/>
          </w:tcPr>
          <w:p>
            <w:pPr>
              <w:pStyle w:val="TableParagraph"/>
              <w:ind w:left="117"/>
              <w:rPr>
                <w:sz w:val="20"/>
              </w:rPr>
            </w:pPr>
            <w:r>
              <w:rPr>
                <w:sz w:val="20"/>
              </w:rPr>
              <w:t>10.2 我们合同解除权的</w:t>
            </w:r>
          </w:p>
        </w:tc>
        <w:tc>
          <w:tcPr>
            <w:tcW w:w="672" w:type="dxa"/>
          </w:tcPr>
          <w:p>
            <w:pPr>
              <w:pStyle w:val="TableParagraph"/>
              <w:ind w:left="142"/>
              <w:rPr>
                <w:sz w:val="20"/>
              </w:rPr>
            </w:pPr>
            <w:r>
              <w:rPr>
                <w:sz w:val="20"/>
              </w:rPr>
              <w:t>12.10</w:t>
            </w:r>
          </w:p>
        </w:tc>
        <w:tc>
          <w:tcPr>
            <w:tcW w:w="1889" w:type="dxa"/>
          </w:tcPr>
          <w:p>
            <w:pPr>
              <w:pStyle w:val="TableParagraph"/>
              <w:ind w:left="40"/>
              <w:rPr>
                <w:sz w:val="20"/>
              </w:rPr>
            </w:pPr>
            <w:r>
              <w:rPr>
                <w:w w:val="95"/>
                <w:sz w:val="20"/>
              </w:rPr>
              <w:t>感染艾滋病病毒或患</w:t>
            </w:r>
          </w:p>
        </w:tc>
      </w:tr>
      <w:tr>
        <w:trPr>
          <w:trHeight w:val="312" w:hRule="atLeast"/>
        </w:trPr>
        <w:tc>
          <w:tcPr>
            <w:tcW w:w="2367" w:type="dxa"/>
          </w:tcPr>
          <w:p>
            <w:pPr>
              <w:pStyle w:val="TableParagraph"/>
              <w:ind w:left="50"/>
              <w:rPr>
                <w:sz w:val="20"/>
              </w:rPr>
            </w:pPr>
            <w:r>
              <w:rPr>
                <w:sz w:val="20"/>
              </w:rPr>
              <w:t>1.4 犹豫期</w:t>
            </w:r>
          </w:p>
        </w:tc>
        <w:tc>
          <w:tcPr>
            <w:tcW w:w="482" w:type="dxa"/>
          </w:tcPr>
          <w:p>
            <w:pPr>
              <w:pStyle w:val="TableParagraph"/>
              <w:ind w:left="130" w:right="9"/>
              <w:jc w:val="center"/>
              <w:rPr>
                <w:sz w:val="20"/>
              </w:rPr>
            </w:pPr>
            <w:r>
              <w:rPr>
                <w:sz w:val="20"/>
              </w:rPr>
              <w:t>5.5</w:t>
            </w:r>
          </w:p>
        </w:tc>
        <w:tc>
          <w:tcPr>
            <w:tcW w:w="2158" w:type="dxa"/>
          </w:tcPr>
          <w:p>
            <w:pPr>
              <w:pStyle w:val="TableParagraph"/>
              <w:ind w:left="88"/>
              <w:rPr>
                <w:sz w:val="20"/>
              </w:rPr>
            </w:pPr>
            <w:r>
              <w:rPr>
                <w:w w:val="95"/>
                <w:sz w:val="20"/>
              </w:rPr>
              <w:t>宣告死亡的处理</w:t>
            </w:r>
          </w:p>
        </w:tc>
        <w:tc>
          <w:tcPr>
            <w:tcW w:w="2584" w:type="dxa"/>
          </w:tcPr>
          <w:p>
            <w:pPr>
              <w:pStyle w:val="TableParagraph"/>
              <w:ind w:left="686"/>
              <w:rPr>
                <w:sz w:val="20"/>
              </w:rPr>
            </w:pPr>
            <w:r>
              <w:rPr>
                <w:w w:val="95"/>
                <w:sz w:val="20"/>
              </w:rPr>
              <w:t>限制</w:t>
            </w:r>
          </w:p>
        </w:tc>
        <w:tc>
          <w:tcPr>
            <w:tcW w:w="672" w:type="dxa"/>
          </w:tcPr>
          <w:p>
            <w:pPr>
              <w:pStyle w:val="TableParagraph"/>
              <w:spacing w:line="240" w:lineRule="auto"/>
              <w:rPr>
                <w:rFonts w:ascii="Times New Roman"/>
                <w:sz w:val="20"/>
              </w:rPr>
            </w:pPr>
          </w:p>
        </w:tc>
        <w:tc>
          <w:tcPr>
            <w:tcW w:w="1889" w:type="dxa"/>
          </w:tcPr>
          <w:p>
            <w:pPr>
              <w:pStyle w:val="TableParagraph"/>
              <w:ind w:left="40"/>
              <w:rPr>
                <w:sz w:val="20"/>
              </w:rPr>
            </w:pPr>
            <w:r>
              <w:rPr>
                <w:w w:val="95"/>
                <w:sz w:val="20"/>
              </w:rPr>
              <w:t>艾滋病</w:t>
            </w:r>
          </w:p>
        </w:tc>
      </w:tr>
      <w:tr>
        <w:trPr>
          <w:trHeight w:val="312" w:hRule="atLeast"/>
        </w:trPr>
        <w:tc>
          <w:tcPr>
            <w:tcW w:w="2367" w:type="dxa"/>
          </w:tcPr>
          <w:p>
            <w:pPr>
              <w:pStyle w:val="TableParagraph"/>
              <w:spacing w:line="240" w:lineRule="auto"/>
              <w:rPr>
                <w:rFonts w:ascii="Times New Roman"/>
                <w:sz w:val="20"/>
              </w:rPr>
            </w:pPr>
          </w:p>
        </w:tc>
        <w:tc>
          <w:tcPr>
            <w:tcW w:w="482" w:type="dxa"/>
          </w:tcPr>
          <w:p>
            <w:pPr>
              <w:pStyle w:val="TableParagraph"/>
              <w:ind w:left="130" w:right="9"/>
              <w:jc w:val="center"/>
              <w:rPr>
                <w:sz w:val="20"/>
              </w:rPr>
            </w:pPr>
            <w:r>
              <w:rPr>
                <w:sz w:val="20"/>
              </w:rPr>
              <w:t>5.6</w:t>
            </w:r>
          </w:p>
        </w:tc>
        <w:tc>
          <w:tcPr>
            <w:tcW w:w="2158" w:type="dxa"/>
          </w:tcPr>
          <w:p>
            <w:pPr>
              <w:pStyle w:val="TableParagraph"/>
              <w:ind w:left="88"/>
              <w:rPr>
                <w:sz w:val="20"/>
              </w:rPr>
            </w:pPr>
            <w:r>
              <w:rPr>
                <w:w w:val="95"/>
                <w:sz w:val="20"/>
              </w:rPr>
              <w:t>诉讼时效</w:t>
            </w:r>
          </w:p>
        </w:tc>
        <w:tc>
          <w:tcPr>
            <w:tcW w:w="2584" w:type="dxa"/>
          </w:tcPr>
          <w:p>
            <w:pPr>
              <w:pStyle w:val="TableParagraph"/>
              <w:ind w:left="117"/>
              <w:rPr>
                <w:sz w:val="20"/>
              </w:rPr>
            </w:pPr>
            <w:r>
              <w:rPr>
                <w:sz w:val="20"/>
              </w:rPr>
              <w:t>10.3 年龄性别错误</w:t>
            </w:r>
          </w:p>
        </w:tc>
        <w:tc>
          <w:tcPr>
            <w:tcW w:w="672" w:type="dxa"/>
          </w:tcPr>
          <w:p>
            <w:pPr>
              <w:pStyle w:val="TableParagraph"/>
              <w:ind w:left="142"/>
              <w:rPr>
                <w:sz w:val="20"/>
              </w:rPr>
            </w:pPr>
            <w:r>
              <w:rPr>
                <w:sz w:val="20"/>
              </w:rPr>
              <w:t>12.11</w:t>
            </w:r>
          </w:p>
        </w:tc>
        <w:tc>
          <w:tcPr>
            <w:tcW w:w="1889" w:type="dxa"/>
          </w:tcPr>
          <w:p>
            <w:pPr>
              <w:pStyle w:val="TableParagraph"/>
              <w:ind w:left="40"/>
              <w:rPr>
                <w:sz w:val="20"/>
              </w:rPr>
            </w:pPr>
            <w:r>
              <w:rPr>
                <w:w w:val="95"/>
                <w:sz w:val="20"/>
              </w:rPr>
              <w:t>遗传性疾病</w:t>
            </w:r>
          </w:p>
        </w:tc>
      </w:tr>
      <w:tr>
        <w:trPr>
          <w:trHeight w:val="312" w:hRule="atLeast"/>
        </w:trPr>
        <w:tc>
          <w:tcPr>
            <w:tcW w:w="2367" w:type="dxa"/>
          </w:tcPr>
          <w:p>
            <w:pPr>
              <w:pStyle w:val="TableParagraph"/>
              <w:ind w:left="50"/>
              <w:rPr>
                <w:b/>
                <w:sz w:val="20"/>
              </w:rPr>
            </w:pPr>
            <w:r>
              <w:rPr>
                <w:b/>
                <w:sz w:val="20"/>
              </w:rPr>
              <w:t>2. 我们提供的保障</w:t>
            </w:r>
          </w:p>
        </w:tc>
        <w:tc>
          <w:tcPr>
            <w:tcW w:w="482" w:type="dxa"/>
          </w:tcPr>
          <w:p>
            <w:pPr>
              <w:pStyle w:val="TableParagraph"/>
              <w:spacing w:line="240" w:lineRule="auto"/>
              <w:rPr>
                <w:rFonts w:ascii="Times New Roman"/>
                <w:sz w:val="20"/>
              </w:rPr>
            </w:pPr>
          </w:p>
        </w:tc>
        <w:tc>
          <w:tcPr>
            <w:tcW w:w="2158" w:type="dxa"/>
          </w:tcPr>
          <w:p>
            <w:pPr>
              <w:pStyle w:val="TableParagraph"/>
              <w:spacing w:line="240" w:lineRule="auto"/>
              <w:rPr>
                <w:rFonts w:ascii="Times New Roman"/>
                <w:sz w:val="20"/>
              </w:rPr>
            </w:pPr>
          </w:p>
        </w:tc>
        <w:tc>
          <w:tcPr>
            <w:tcW w:w="2584" w:type="dxa"/>
          </w:tcPr>
          <w:p>
            <w:pPr>
              <w:pStyle w:val="TableParagraph"/>
              <w:ind w:left="117"/>
              <w:rPr>
                <w:sz w:val="20"/>
              </w:rPr>
            </w:pPr>
            <w:r>
              <w:rPr>
                <w:sz w:val="20"/>
              </w:rPr>
              <w:t>10.4 联系方式变更</w:t>
            </w:r>
          </w:p>
        </w:tc>
        <w:tc>
          <w:tcPr>
            <w:tcW w:w="672" w:type="dxa"/>
          </w:tcPr>
          <w:p>
            <w:pPr>
              <w:pStyle w:val="TableParagraph"/>
              <w:ind w:left="142"/>
              <w:rPr>
                <w:sz w:val="20"/>
              </w:rPr>
            </w:pPr>
            <w:r>
              <w:rPr>
                <w:sz w:val="20"/>
              </w:rPr>
              <w:t>12.12</w:t>
            </w:r>
          </w:p>
        </w:tc>
        <w:tc>
          <w:tcPr>
            <w:tcW w:w="1889" w:type="dxa"/>
          </w:tcPr>
          <w:p>
            <w:pPr>
              <w:pStyle w:val="TableParagraph"/>
              <w:ind w:left="40"/>
              <w:rPr>
                <w:sz w:val="20"/>
              </w:rPr>
            </w:pPr>
            <w:r>
              <w:rPr>
                <w:w w:val="95"/>
                <w:sz w:val="20"/>
              </w:rPr>
              <w:t>先天性疾病、畸形、</w:t>
            </w:r>
          </w:p>
        </w:tc>
      </w:tr>
      <w:tr>
        <w:trPr>
          <w:trHeight w:val="311" w:hRule="atLeast"/>
        </w:trPr>
        <w:tc>
          <w:tcPr>
            <w:tcW w:w="2367" w:type="dxa"/>
          </w:tcPr>
          <w:p>
            <w:pPr>
              <w:pStyle w:val="TableParagraph"/>
              <w:ind w:left="50"/>
              <w:rPr>
                <w:sz w:val="20"/>
              </w:rPr>
            </w:pPr>
            <w:r>
              <w:rPr>
                <w:sz w:val="20"/>
              </w:rPr>
              <w:t>2.1 保险金额</w:t>
            </w:r>
          </w:p>
        </w:tc>
        <w:tc>
          <w:tcPr>
            <w:tcW w:w="482" w:type="dxa"/>
          </w:tcPr>
          <w:p>
            <w:pPr>
              <w:pStyle w:val="TableParagraph"/>
              <w:ind w:left="30" w:right="10"/>
              <w:jc w:val="center"/>
              <w:rPr>
                <w:b/>
                <w:sz w:val="20"/>
              </w:rPr>
            </w:pPr>
            <w:r>
              <w:rPr>
                <w:b/>
                <w:sz w:val="20"/>
              </w:rPr>
              <w:t>6.</w:t>
            </w:r>
          </w:p>
        </w:tc>
        <w:tc>
          <w:tcPr>
            <w:tcW w:w="2158" w:type="dxa"/>
          </w:tcPr>
          <w:p>
            <w:pPr>
              <w:pStyle w:val="TableParagraph"/>
              <w:ind w:left="28"/>
              <w:rPr>
                <w:b/>
                <w:sz w:val="20"/>
              </w:rPr>
            </w:pPr>
            <w:r>
              <w:rPr>
                <w:b/>
                <w:sz w:val="20"/>
              </w:rPr>
              <w:t>保单贷款</w:t>
            </w:r>
          </w:p>
        </w:tc>
        <w:tc>
          <w:tcPr>
            <w:tcW w:w="2584" w:type="dxa"/>
          </w:tcPr>
          <w:p>
            <w:pPr>
              <w:pStyle w:val="TableParagraph"/>
              <w:ind w:left="117"/>
              <w:rPr>
                <w:sz w:val="20"/>
              </w:rPr>
            </w:pPr>
            <w:r>
              <w:rPr>
                <w:sz w:val="20"/>
              </w:rPr>
              <w:t>10.5 争议处理</w:t>
            </w:r>
          </w:p>
        </w:tc>
        <w:tc>
          <w:tcPr>
            <w:tcW w:w="672" w:type="dxa"/>
          </w:tcPr>
          <w:p>
            <w:pPr>
              <w:pStyle w:val="TableParagraph"/>
              <w:spacing w:line="240" w:lineRule="auto"/>
              <w:rPr>
                <w:rFonts w:ascii="Times New Roman"/>
                <w:sz w:val="20"/>
              </w:rPr>
            </w:pPr>
          </w:p>
        </w:tc>
        <w:tc>
          <w:tcPr>
            <w:tcW w:w="1889" w:type="dxa"/>
          </w:tcPr>
          <w:p>
            <w:pPr>
              <w:pStyle w:val="TableParagraph"/>
              <w:ind w:left="40"/>
              <w:rPr>
                <w:sz w:val="20"/>
              </w:rPr>
            </w:pPr>
            <w:r>
              <w:rPr>
                <w:w w:val="95"/>
                <w:sz w:val="20"/>
              </w:rPr>
              <w:t>变形或染色体异常</w:t>
            </w:r>
          </w:p>
        </w:tc>
      </w:tr>
      <w:tr>
        <w:trPr>
          <w:trHeight w:val="312" w:hRule="atLeast"/>
        </w:trPr>
        <w:tc>
          <w:tcPr>
            <w:tcW w:w="2367" w:type="dxa"/>
          </w:tcPr>
          <w:p>
            <w:pPr>
              <w:pStyle w:val="TableParagraph"/>
              <w:ind w:left="50"/>
              <w:rPr>
                <w:sz w:val="20"/>
              </w:rPr>
            </w:pPr>
            <w:r>
              <w:rPr>
                <w:sz w:val="20"/>
              </w:rPr>
              <w:t>2.2 保险期间</w:t>
            </w:r>
          </w:p>
        </w:tc>
        <w:tc>
          <w:tcPr>
            <w:tcW w:w="482" w:type="dxa"/>
          </w:tcPr>
          <w:p>
            <w:pPr>
              <w:pStyle w:val="TableParagraph"/>
              <w:spacing w:line="240" w:lineRule="auto"/>
              <w:rPr>
                <w:rFonts w:ascii="Times New Roman"/>
                <w:sz w:val="20"/>
              </w:rPr>
            </w:pPr>
          </w:p>
        </w:tc>
        <w:tc>
          <w:tcPr>
            <w:tcW w:w="2158" w:type="dxa"/>
          </w:tcPr>
          <w:p>
            <w:pPr>
              <w:pStyle w:val="TableParagraph"/>
              <w:spacing w:line="240" w:lineRule="auto"/>
              <w:rPr>
                <w:rFonts w:ascii="Times New Roman"/>
                <w:sz w:val="20"/>
              </w:rPr>
            </w:pPr>
          </w:p>
        </w:tc>
        <w:tc>
          <w:tcPr>
            <w:tcW w:w="2584" w:type="dxa"/>
          </w:tcPr>
          <w:p>
            <w:pPr>
              <w:pStyle w:val="TableParagraph"/>
              <w:spacing w:line="240" w:lineRule="auto"/>
              <w:rPr>
                <w:rFonts w:ascii="Times New Roman"/>
                <w:sz w:val="20"/>
              </w:rPr>
            </w:pPr>
          </w:p>
        </w:tc>
        <w:tc>
          <w:tcPr>
            <w:tcW w:w="672" w:type="dxa"/>
          </w:tcPr>
          <w:p>
            <w:pPr>
              <w:pStyle w:val="TableParagraph"/>
              <w:ind w:left="142"/>
              <w:rPr>
                <w:sz w:val="20"/>
              </w:rPr>
            </w:pPr>
            <w:r>
              <w:rPr>
                <w:sz w:val="20"/>
              </w:rPr>
              <w:t>12.13</w:t>
            </w:r>
          </w:p>
        </w:tc>
        <w:tc>
          <w:tcPr>
            <w:tcW w:w="1889" w:type="dxa"/>
          </w:tcPr>
          <w:p>
            <w:pPr>
              <w:pStyle w:val="TableParagraph"/>
              <w:ind w:left="28"/>
              <w:rPr>
                <w:sz w:val="20"/>
              </w:rPr>
            </w:pPr>
            <w:r>
              <w:rPr>
                <w:w w:val="95"/>
                <w:sz w:val="20"/>
              </w:rPr>
              <w:t>现金价值</w:t>
            </w:r>
          </w:p>
        </w:tc>
      </w:tr>
      <w:tr>
        <w:trPr>
          <w:trHeight w:val="311" w:hRule="atLeast"/>
        </w:trPr>
        <w:tc>
          <w:tcPr>
            <w:tcW w:w="2367" w:type="dxa"/>
          </w:tcPr>
          <w:p>
            <w:pPr>
              <w:pStyle w:val="TableParagraph"/>
              <w:ind w:left="50"/>
              <w:rPr>
                <w:sz w:val="20"/>
              </w:rPr>
            </w:pPr>
            <w:r>
              <w:rPr>
                <w:sz w:val="20"/>
              </w:rPr>
              <w:t>2.3 保险责任</w:t>
            </w:r>
          </w:p>
        </w:tc>
        <w:tc>
          <w:tcPr>
            <w:tcW w:w="482" w:type="dxa"/>
          </w:tcPr>
          <w:p>
            <w:pPr>
              <w:pStyle w:val="TableParagraph"/>
              <w:ind w:left="30" w:right="10"/>
              <w:jc w:val="center"/>
              <w:rPr>
                <w:b/>
                <w:sz w:val="20"/>
              </w:rPr>
            </w:pPr>
            <w:r>
              <w:rPr>
                <w:b/>
                <w:sz w:val="20"/>
              </w:rPr>
              <w:t>7.</w:t>
            </w:r>
          </w:p>
        </w:tc>
        <w:tc>
          <w:tcPr>
            <w:tcW w:w="2158" w:type="dxa"/>
          </w:tcPr>
          <w:p>
            <w:pPr>
              <w:pStyle w:val="TableParagraph"/>
              <w:ind w:left="28"/>
              <w:rPr>
                <w:b/>
                <w:sz w:val="20"/>
              </w:rPr>
            </w:pPr>
            <w:r>
              <w:rPr>
                <w:b/>
                <w:w w:val="95"/>
                <w:sz w:val="20"/>
              </w:rPr>
              <w:t>保险金额的变更</w:t>
            </w:r>
          </w:p>
        </w:tc>
        <w:tc>
          <w:tcPr>
            <w:tcW w:w="2584" w:type="dxa"/>
          </w:tcPr>
          <w:p>
            <w:pPr>
              <w:pStyle w:val="TableParagraph"/>
              <w:ind w:left="117"/>
              <w:rPr>
                <w:b/>
                <w:sz w:val="20"/>
              </w:rPr>
            </w:pPr>
            <w:r>
              <w:rPr>
                <w:b/>
                <w:sz w:val="20"/>
              </w:rPr>
              <w:t>11. 重大疾病定义</w:t>
            </w:r>
          </w:p>
        </w:tc>
        <w:tc>
          <w:tcPr>
            <w:tcW w:w="672" w:type="dxa"/>
          </w:tcPr>
          <w:p>
            <w:pPr>
              <w:pStyle w:val="TableParagraph"/>
              <w:ind w:left="142"/>
              <w:rPr>
                <w:sz w:val="20"/>
              </w:rPr>
            </w:pPr>
            <w:r>
              <w:rPr>
                <w:sz w:val="20"/>
              </w:rPr>
              <w:t>12.14</w:t>
            </w:r>
          </w:p>
        </w:tc>
        <w:tc>
          <w:tcPr>
            <w:tcW w:w="1889" w:type="dxa"/>
          </w:tcPr>
          <w:p>
            <w:pPr>
              <w:pStyle w:val="TableParagraph"/>
              <w:ind w:left="40"/>
              <w:rPr>
                <w:sz w:val="20"/>
              </w:rPr>
            </w:pPr>
            <w:r>
              <w:rPr>
                <w:w w:val="95"/>
                <w:sz w:val="20"/>
              </w:rPr>
              <w:t>欠款</w:t>
            </w:r>
          </w:p>
        </w:tc>
      </w:tr>
      <w:tr>
        <w:trPr>
          <w:trHeight w:val="312" w:hRule="atLeast"/>
        </w:trPr>
        <w:tc>
          <w:tcPr>
            <w:tcW w:w="2367" w:type="dxa"/>
          </w:tcPr>
          <w:p>
            <w:pPr>
              <w:pStyle w:val="TableParagraph"/>
              <w:ind w:left="50"/>
              <w:rPr>
                <w:sz w:val="20"/>
              </w:rPr>
            </w:pPr>
            <w:r>
              <w:rPr>
                <w:sz w:val="20"/>
              </w:rPr>
              <w:t>2.4 责任免除</w:t>
            </w:r>
          </w:p>
        </w:tc>
        <w:tc>
          <w:tcPr>
            <w:tcW w:w="482" w:type="dxa"/>
          </w:tcPr>
          <w:p>
            <w:pPr>
              <w:pStyle w:val="TableParagraph"/>
              <w:spacing w:line="240" w:lineRule="auto"/>
              <w:rPr>
                <w:rFonts w:ascii="Times New Roman"/>
                <w:sz w:val="20"/>
              </w:rPr>
            </w:pPr>
          </w:p>
        </w:tc>
        <w:tc>
          <w:tcPr>
            <w:tcW w:w="2158" w:type="dxa"/>
          </w:tcPr>
          <w:p>
            <w:pPr>
              <w:pStyle w:val="TableParagraph"/>
              <w:spacing w:line="240" w:lineRule="auto"/>
              <w:rPr>
                <w:rFonts w:ascii="Times New Roman"/>
                <w:sz w:val="20"/>
              </w:rPr>
            </w:pPr>
          </w:p>
        </w:tc>
        <w:tc>
          <w:tcPr>
            <w:tcW w:w="2584" w:type="dxa"/>
          </w:tcPr>
          <w:p>
            <w:pPr>
              <w:pStyle w:val="TableParagraph"/>
              <w:spacing w:line="240" w:lineRule="auto"/>
              <w:rPr>
                <w:rFonts w:ascii="Times New Roman"/>
                <w:sz w:val="20"/>
              </w:rPr>
            </w:pPr>
          </w:p>
        </w:tc>
        <w:tc>
          <w:tcPr>
            <w:tcW w:w="672" w:type="dxa"/>
          </w:tcPr>
          <w:p>
            <w:pPr>
              <w:pStyle w:val="TableParagraph"/>
              <w:ind w:left="142"/>
              <w:rPr>
                <w:sz w:val="20"/>
              </w:rPr>
            </w:pPr>
            <w:r>
              <w:rPr>
                <w:sz w:val="20"/>
              </w:rPr>
              <w:t>12.15</w:t>
            </w:r>
          </w:p>
        </w:tc>
        <w:tc>
          <w:tcPr>
            <w:tcW w:w="1889" w:type="dxa"/>
          </w:tcPr>
          <w:p>
            <w:pPr>
              <w:pStyle w:val="TableParagraph"/>
              <w:ind w:left="28"/>
              <w:rPr>
                <w:sz w:val="20"/>
              </w:rPr>
            </w:pPr>
            <w:r>
              <w:rPr>
                <w:w w:val="95"/>
                <w:sz w:val="20"/>
              </w:rPr>
              <w:t>利息损失</w:t>
            </w:r>
          </w:p>
        </w:tc>
      </w:tr>
      <w:tr>
        <w:trPr>
          <w:trHeight w:val="312" w:hRule="atLeast"/>
        </w:trPr>
        <w:tc>
          <w:tcPr>
            <w:tcW w:w="2367" w:type="dxa"/>
          </w:tcPr>
          <w:p>
            <w:pPr>
              <w:pStyle w:val="TableParagraph"/>
              <w:spacing w:line="240" w:lineRule="auto"/>
              <w:rPr>
                <w:rFonts w:ascii="Times New Roman"/>
                <w:sz w:val="20"/>
              </w:rPr>
            </w:pPr>
          </w:p>
        </w:tc>
        <w:tc>
          <w:tcPr>
            <w:tcW w:w="482" w:type="dxa"/>
          </w:tcPr>
          <w:p>
            <w:pPr>
              <w:pStyle w:val="TableParagraph"/>
              <w:ind w:left="30" w:right="10"/>
              <w:jc w:val="center"/>
              <w:rPr>
                <w:b/>
                <w:sz w:val="20"/>
              </w:rPr>
            </w:pPr>
            <w:r>
              <w:rPr>
                <w:b/>
                <w:sz w:val="20"/>
              </w:rPr>
              <w:t>8.</w:t>
            </w:r>
          </w:p>
        </w:tc>
        <w:tc>
          <w:tcPr>
            <w:tcW w:w="2158" w:type="dxa"/>
          </w:tcPr>
          <w:p>
            <w:pPr>
              <w:pStyle w:val="TableParagraph"/>
              <w:ind w:left="28"/>
              <w:rPr>
                <w:b/>
                <w:sz w:val="20"/>
              </w:rPr>
            </w:pPr>
            <w:r>
              <w:rPr>
                <w:b/>
                <w:w w:val="95"/>
                <w:sz w:val="20"/>
              </w:rPr>
              <w:t>合同效力的中止及恢复</w:t>
            </w:r>
          </w:p>
        </w:tc>
        <w:tc>
          <w:tcPr>
            <w:tcW w:w="2584" w:type="dxa"/>
          </w:tcPr>
          <w:p>
            <w:pPr>
              <w:pStyle w:val="TableParagraph"/>
              <w:ind w:left="117"/>
              <w:rPr>
                <w:b/>
                <w:sz w:val="20"/>
              </w:rPr>
            </w:pPr>
            <w:r>
              <w:rPr>
                <w:b/>
                <w:sz w:val="20"/>
              </w:rPr>
              <w:t>12. 术语释义</w:t>
            </w:r>
          </w:p>
        </w:tc>
        <w:tc>
          <w:tcPr>
            <w:tcW w:w="672" w:type="dxa"/>
          </w:tcPr>
          <w:p>
            <w:pPr>
              <w:pStyle w:val="TableParagraph"/>
              <w:ind w:left="142"/>
              <w:rPr>
                <w:sz w:val="20"/>
              </w:rPr>
            </w:pPr>
            <w:r>
              <w:rPr>
                <w:sz w:val="20"/>
              </w:rPr>
              <w:t>12.16</w:t>
            </w:r>
          </w:p>
        </w:tc>
        <w:tc>
          <w:tcPr>
            <w:tcW w:w="1889" w:type="dxa"/>
          </w:tcPr>
          <w:p>
            <w:pPr>
              <w:pStyle w:val="TableParagraph"/>
              <w:ind w:left="28"/>
              <w:rPr>
                <w:sz w:val="20"/>
              </w:rPr>
            </w:pPr>
            <w:r>
              <w:rPr>
                <w:w w:val="95"/>
                <w:sz w:val="20"/>
              </w:rPr>
              <w:t>肢体机能完全丧失</w:t>
            </w:r>
          </w:p>
        </w:tc>
      </w:tr>
      <w:tr>
        <w:trPr>
          <w:trHeight w:val="311" w:hRule="atLeast"/>
        </w:trPr>
        <w:tc>
          <w:tcPr>
            <w:tcW w:w="2367" w:type="dxa"/>
          </w:tcPr>
          <w:p>
            <w:pPr>
              <w:pStyle w:val="TableParagraph"/>
              <w:ind w:left="50"/>
              <w:rPr>
                <w:b/>
                <w:sz w:val="20"/>
              </w:rPr>
            </w:pPr>
            <w:r>
              <w:rPr>
                <w:b/>
                <w:sz w:val="20"/>
              </w:rPr>
              <w:t>3. 保险费的支付</w:t>
            </w:r>
          </w:p>
        </w:tc>
        <w:tc>
          <w:tcPr>
            <w:tcW w:w="482" w:type="dxa"/>
          </w:tcPr>
          <w:p>
            <w:pPr>
              <w:pStyle w:val="TableParagraph"/>
              <w:ind w:left="130" w:right="9"/>
              <w:jc w:val="center"/>
              <w:rPr>
                <w:sz w:val="20"/>
              </w:rPr>
            </w:pPr>
            <w:r>
              <w:rPr>
                <w:sz w:val="20"/>
              </w:rPr>
              <w:t>8.1</w:t>
            </w:r>
          </w:p>
        </w:tc>
        <w:tc>
          <w:tcPr>
            <w:tcW w:w="2158" w:type="dxa"/>
          </w:tcPr>
          <w:p>
            <w:pPr>
              <w:pStyle w:val="TableParagraph"/>
              <w:ind w:left="88"/>
              <w:rPr>
                <w:sz w:val="20"/>
              </w:rPr>
            </w:pPr>
            <w:r>
              <w:rPr>
                <w:w w:val="95"/>
                <w:sz w:val="20"/>
              </w:rPr>
              <w:t>效力中止</w:t>
            </w:r>
          </w:p>
        </w:tc>
        <w:tc>
          <w:tcPr>
            <w:tcW w:w="2584" w:type="dxa"/>
          </w:tcPr>
          <w:p>
            <w:pPr>
              <w:pStyle w:val="TableParagraph"/>
              <w:ind w:left="117"/>
              <w:rPr>
                <w:sz w:val="20"/>
              </w:rPr>
            </w:pPr>
            <w:r>
              <w:rPr>
                <w:sz w:val="20"/>
              </w:rPr>
              <w:t>12.1 保单年度</w:t>
            </w:r>
          </w:p>
        </w:tc>
        <w:tc>
          <w:tcPr>
            <w:tcW w:w="672" w:type="dxa"/>
          </w:tcPr>
          <w:p>
            <w:pPr>
              <w:pStyle w:val="TableParagraph"/>
              <w:ind w:left="142"/>
              <w:rPr>
                <w:sz w:val="20"/>
              </w:rPr>
            </w:pPr>
            <w:r>
              <w:rPr>
                <w:sz w:val="20"/>
              </w:rPr>
              <w:t>12.17</w:t>
            </w:r>
          </w:p>
        </w:tc>
        <w:tc>
          <w:tcPr>
            <w:tcW w:w="1889" w:type="dxa"/>
          </w:tcPr>
          <w:p>
            <w:pPr>
              <w:pStyle w:val="TableParagraph"/>
              <w:ind w:left="40"/>
              <w:rPr>
                <w:sz w:val="20"/>
              </w:rPr>
            </w:pPr>
            <w:r>
              <w:rPr>
                <w:w w:val="95"/>
                <w:sz w:val="20"/>
              </w:rPr>
              <w:t>语言能力或咀嚼吞咽</w:t>
            </w:r>
          </w:p>
        </w:tc>
      </w:tr>
      <w:tr>
        <w:trPr>
          <w:trHeight w:val="312" w:hRule="atLeast"/>
        </w:trPr>
        <w:tc>
          <w:tcPr>
            <w:tcW w:w="2367" w:type="dxa"/>
          </w:tcPr>
          <w:p>
            <w:pPr>
              <w:pStyle w:val="TableParagraph"/>
              <w:ind w:left="50"/>
              <w:rPr>
                <w:sz w:val="20"/>
              </w:rPr>
            </w:pPr>
            <w:r>
              <w:rPr>
                <w:sz w:val="20"/>
              </w:rPr>
              <w:t>3.1 保险费的支付</w:t>
            </w:r>
          </w:p>
        </w:tc>
        <w:tc>
          <w:tcPr>
            <w:tcW w:w="482" w:type="dxa"/>
          </w:tcPr>
          <w:p>
            <w:pPr>
              <w:pStyle w:val="TableParagraph"/>
              <w:ind w:left="130" w:right="9"/>
              <w:jc w:val="center"/>
              <w:rPr>
                <w:sz w:val="20"/>
              </w:rPr>
            </w:pPr>
            <w:r>
              <w:rPr>
                <w:sz w:val="20"/>
              </w:rPr>
              <w:t>8.2</w:t>
            </w:r>
          </w:p>
        </w:tc>
        <w:tc>
          <w:tcPr>
            <w:tcW w:w="2158" w:type="dxa"/>
          </w:tcPr>
          <w:p>
            <w:pPr>
              <w:pStyle w:val="TableParagraph"/>
              <w:ind w:left="88"/>
              <w:rPr>
                <w:sz w:val="20"/>
              </w:rPr>
            </w:pPr>
            <w:r>
              <w:rPr>
                <w:w w:val="95"/>
                <w:sz w:val="20"/>
              </w:rPr>
              <w:t>效力恢复</w:t>
            </w:r>
          </w:p>
        </w:tc>
        <w:tc>
          <w:tcPr>
            <w:tcW w:w="2584" w:type="dxa"/>
          </w:tcPr>
          <w:p>
            <w:pPr>
              <w:pStyle w:val="TableParagraph"/>
              <w:ind w:left="117"/>
              <w:rPr>
                <w:sz w:val="20"/>
              </w:rPr>
            </w:pPr>
            <w:r>
              <w:rPr>
                <w:sz w:val="20"/>
              </w:rPr>
              <w:t>12.2 保险费约定支付日</w:t>
            </w:r>
          </w:p>
        </w:tc>
        <w:tc>
          <w:tcPr>
            <w:tcW w:w="672" w:type="dxa"/>
          </w:tcPr>
          <w:p>
            <w:pPr>
              <w:pStyle w:val="TableParagraph"/>
              <w:spacing w:line="240" w:lineRule="auto"/>
              <w:rPr>
                <w:rFonts w:ascii="Times New Roman"/>
                <w:sz w:val="20"/>
              </w:rPr>
            </w:pPr>
          </w:p>
        </w:tc>
        <w:tc>
          <w:tcPr>
            <w:tcW w:w="1889" w:type="dxa"/>
          </w:tcPr>
          <w:p>
            <w:pPr>
              <w:pStyle w:val="TableParagraph"/>
              <w:ind w:left="40"/>
              <w:rPr>
                <w:sz w:val="20"/>
              </w:rPr>
            </w:pPr>
            <w:r>
              <w:rPr>
                <w:w w:val="95"/>
                <w:sz w:val="20"/>
              </w:rPr>
              <w:t>能力完全丧失</w:t>
            </w:r>
          </w:p>
        </w:tc>
      </w:tr>
      <w:tr>
        <w:trPr>
          <w:trHeight w:val="312" w:hRule="atLeast"/>
        </w:trPr>
        <w:tc>
          <w:tcPr>
            <w:tcW w:w="2367" w:type="dxa"/>
          </w:tcPr>
          <w:p>
            <w:pPr>
              <w:pStyle w:val="TableParagraph"/>
              <w:ind w:left="50"/>
              <w:rPr>
                <w:sz w:val="20"/>
              </w:rPr>
            </w:pPr>
            <w:r>
              <w:rPr>
                <w:sz w:val="20"/>
              </w:rPr>
              <w:t>3.2 宽限期</w:t>
            </w:r>
          </w:p>
        </w:tc>
        <w:tc>
          <w:tcPr>
            <w:tcW w:w="482" w:type="dxa"/>
          </w:tcPr>
          <w:p>
            <w:pPr>
              <w:pStyle w:val="TableParagraph"/>
              <w:spacing w:line="240" w:lineRule="auto"/>
              <w:rPr>
                <w:rFonts w:ascii="Times New Roman"/>
                <w:sz w:val="20"/>
              </w:rPr>
            </w:pPr>
          </w:p>
        </w:tc>
        <w:tc>
          <w:tcPr>
            <w:tcW w:w="2158" w:type="dxa"/>
          </w:tcPr>
          <w:p>
            <w:pPr>
              <w:pStyle w:val="TableParagraph"/>
              <w:spacing w:line="240" w:lineRule="auto"/>
              <w:rPr>
                <w:rFonts w:ascii="Times New Roman"/>
                <w:sz w:val="20"/>
              </w:rPr>
            </w:pPr>
          </w:p>
        </w:tc>
        <w:tc>
          <w:tcPr>
            <w:tcW w:w="2584" w:type="dxa"/>
          </w:tcPr>
          <w:p>
            <w:pPr>
              <w:pStyle w:val="TableParagraph"/>
              <w:ind w:left="117"/>
              <w:rPr>
                <w:sz w:val="20"/>
              </w:rPr>
            </w:pPr>
            <w:r>
              <w:rPr>
                <w:sz w:val="20"/>
              </w:rPr>
              <w:t>12.3 周岁</w:t>
            </w:r>
          </w:p>
        </w:tc>
        <w:tc>
          <w:tcPr>
            <w:tcW w:w="672" w:type="dxa"/>
          </w:tcPr>
          <w:p>
            <w:pPr>
              <w:pStyle w:val="TableParagraph"/>
              <w:ind w:left="142"/>
              <w:rPr>
                <w:sz w:val="20"/>
              </w:rPr>
            </w:pPr>
            <w:r>
              <w:rPr>
                <w:sz w:val="20"/>
              </w:rPr>
              <w:t>12.18</w:t>
            </w:r>
          </w:p>
        </w:tc>
        <w:tc>
          <w:tcPr>
            <w:tcW w:w="1889" w:type="dxa"/>
          </w:tcPr>
          <w:p>
            <w:pPr>
              <w:pStyle w:val="TableParagraph"/>
              <w:ind w:left="40"/>
              <w:rPr>
                <w:sz w:val="20"/>
              </w:rPr>
            </w:pPr>
            <w:r>
              <w:rPr>
                <w:w w:val="95"/>
                <w:sz w:val="20"/>
              </w:rPr>
              <w:t>六项基本日常生活活</w:t>
            </w:r>
          </w:p>
        </w:tc>
      </w:tr>
      <w:tr>
        <w:trPr>
          <w:trHeight w:val="311" w:hRule="atLeast"/>
        </w:trPr>
        <w:tc>
          <w:tcPr>
            <w:tcW w:w="2367" w:type="dxa"/>
          </w:tcPr>
          <w:p>
            <w:pPr>
              <w:pStyle w:val="TableParagraph"/>
              <w:spacing w:line="240" w:lineRule="auto"/>
              <w:rPr>
                <w:rFonts w:ascii="Times New Roman"/>
                <w:sz w:val="20"/>
              </w:rPr>
            </w:pPr>
          </w:p>
        </w:tc>
        <w:tc>
          <w:tcPr>
            <w:tcW w:w="482" w:type="dxa"/>
          </w:tcPr>
          <w:p>
            <w:pPr>
              <w:pStyle w:val="TableParagraph"/>
              <w:ind w:left="30" w:right="10"/>
              <w:jc w:val="center"/>
              <w:rPr>
                <w:b/>
                <w:sz w:val="20"/>
              </w:rPr>
            </w:pPr>
            <w:r>
              <w:rPr>
                <w:b/>
                <w:sz w:val="20"/>
              </w:rPr>
              <w:t>9.</w:t>
            </w:r>
          </w:p>
        </w:tc>
        <w:tc>
          <w:tcPr>
            <w:tcW w:w="2158" w:type="dxa"/>
          </w:tcPr>
          <w:p>
            <w:pPr>
              <w:pStyle w:val="TableParagraph"/>
              <w:ind w:left="28"/>
              <w:rPr>
                <w:b/>
                <w:sz w:val="20"/>
              </w:rPr>
            </w:pPr>
            <w:r>
              <w:rPr>
                <w:b/>
                <w:sz w:val="20"/>
              </w:rPr>
              <w:t>合同解除</w:t>
            </w:r>
          </w:p>
        </w:tc>
        <w:tc>
          <w:tcPr>
            <w:tcW w:w="2584" w:type="dxa"/>
          </w:tcPr>
          <w:p>
            <w:pPr>
              <w:pStyle w:val="TableParagraph"/>
              <w:ind w:left="117"/>
              <w:rPr>
                <w:sz w:val="20"/>
              </w:rPr>
            </w:pPr>
            <w:r>
              <w:rPr>
                <w:sz w:val="20"/>
              </w:rPr>
              <w:t>12.4 有效身份证件</w:t>
            </w:r>
          </w:p>
        </w:tc>
        <w:tc>
          <w:tcPr>
            <w:tcW w:w="672" w:type="dxa"/>
          </w:tcPr>
          <w:p>
            <w:pPr>
              <w:pStyle w:val="TableParagraph"/>
              <w:spacing w:line="240" w:lineRule="auto"/>
              <w:rPr>
                <w:rFonts w:ascii="Times New Roman"/>
                <w:sz w:val="20"/>
              </w:rPr>
            </w:pPr>
          </w:p>
        </w:tc>
        <w:tc>
          <w:tcPr>
            <w:tcW w:w="1889" w:type="dxa"/>
          </w:tcPr>
          <w:p>
            <w:pPr>
              <w:pStyle w:val="TableParagraph"/>
              <w:ind w:left="40"/>
              <w:rPr>
                <w:sz w:val="20"/>
              </w:rPr>
            </w:pPr>
            <w:r>
              <w:rPr>
                <w:w w:val="99"/>
                <w:sz w:val="20"/>
              </w:rPr>
              <w:t>动</w:t>
            </w:r>
          </w:p>
        </w:tc>
      </w:tr>
      <w:tr>
        <w:trPr>
          <w:trHeight w:val="312" w:hRule="atLeast"/>
        </w:trPr>
        <w:tc>
          <w:tcPr>
            <w:tcW w:w="2367" w:type="dxa"/>
          </w:tcPr>
          <w:p>
            <w:pPr>
              <w:pStyle w:val="TableParagraph"/>
              <w:ind w:left="50"/>
              <w:rPr>
                <w:b/>
                <w:sz w:val="20"/>
              </w:rPr>
            </w:pPr>
            <w:r>
              <w:rPr>
                <w:b/>
                <w:sz w:val="20"/>
              </w:rPr>
              <w:t>4. 保险费的自动垫交</w:t>
            </w:r>
          </w:p>
        </w:tc>
        <w:tc>
          <w:tcPr>
            <w:tcW w:w="482" w:type="dxa"/>
          </w:tcPr>
          <w:p>
            <w:pPr>
              <w:pStyle w:val="TableParagraph"/>
              <w:ind w:left="130" w:right="9"/>
              <w:jc w:val="center"/>
              <w:rPr>
                <w:sz w:val="20"/>
              </w:rPr>
            </w:pPr>
            <w:r>
              <w:rPr>
                <w:sz w:val="20"/>
              </w:rPr>
              <w:t>9.1</w:t>
            </w:r>
          </w:p>
        </w:tc>
        <w:tc>
          <w:tcPr>
            <w:tcW w:w="2158" w:type="dxa"/>
          </w:tcPr>
          <w:p>
            <w:pPr>
              <w:pStyle w:val="TableParagraph"/>
              <w:ind w:left="88"/>
              <w:rPr>
                <w:sz w:val="20"/>
              </w:rPr>
            </w:pPr>
            <w:r>
              <w:rPr>
                <w:w w:val="95"/>
                <w:sz w:val="20"/>
              </w:rPr>
              <w:t>您解除合同的手续及</w:t>
            </w:r>
          </w:p>
        </w:tc>
        <w:tc>
          <w:tcPr>
            <w:tcW w:w="2584" w:type="dxa"/>
          </w:tcPr>
          <w:p>
            <w:pPr>
              <w:pStyle w:val="TableParagraph"/>
              <w:ind w:left="117"/>
              <w:rPr>
                <w:sz w:val="20"/>
              </w:rPr>
            </w:pPr>
            <w:r>
              <w:rPr>
                <w:sz w:val="20"/>
              </w:rPr>
              <w:t>12.5 初次发生</w:t>
            </w:r>
          </w:p>
        </w:tc>
        <w:tc>
          <w:tcPr>
            <w:tcW w:w="672" w:type="dxa"/>
          </w:tcPr>
          <w:p>
            <w:pPr>
              <w:pStyle w:val="TableParagraph"/>
              <w:ind w:left="142"/>
              <w:rPr>
                <w:sz w:val="20"/>
              </w:rPr>
            </w:pPr>
            <w:r>
              <w:rPr>
                <w:sz w:val="20"/>
              </w:rPr>
              <w:t>12.19</w:t>
            </w:r>
          </w:p>
        </w:tc>
        <w:tc>
          <w:tcPr>
            <w:tcW w:w="1889" w:type="dxa"/>
          </w:tcPr>
          <w:p>
            <w:pPr>
              <w:pStyle w:val="TableParagraph"/>
              <w:ind w:left="28"/>
              <w:rPr>
                <w:sz w:val="20"/>
              </w:rPr>
            </w:pPr>
            <w:r>
              <w:rPr>
                <w:w w:val="95"/>
                <w:sz w:val="20"/>
              </w:rPr>
              <w:t>永久不可逆</w:t>
            </w:r>
          </w:p>
        </w:tc>
      </w:tr>
      <w:tr>
        <w:trPr>
          <w:trHeight w:val="311" w:hRule="atLeast"/>
        </w:trPr>
        <w:tc>
          <w:tcPr>
            <w:tcW w:w="2367" w:type="dxa"/>
          </w:tcPr>
          <w:p>
            <w:pPr>
              <w:pStyle w:val="TableParagraph"/>
              <w:spacing w:line="240" w:lineRule="auto"/>
              <w:rPr>
                <w:rFonts w:ascii="Times New Roman"/>
                <w:sz w:val="20"/>
              </w:rPr>
            </w:pPr>
          </w:p>
        </w:tc>
        <w:tc>
          <w:tcPr>
            <w:tcW w:w="482" w:type="dxa"/>
          </w:tcPr>
          <w:p>
            <w:pPr>
              <w:pStyle w:val="TableParagraph"/>
              <w:spacing w:line="240" w:lineRule="auto"/>
              <w:rPr>
                <w:rFonts w:ascii="Times New Roman"/>
                <w:sz w:val="20"/>
              </w:rPr>
            </w:pPr>
          </w:p>
        </w:tc>
        <w:tc>
          <w:tcPr>
            <w:tcW w:w="2158" w:type="dxa"/>
          </w:tcPr>
          <w:p>
            <w:pPr>
              <w:pStyle w:val="TableParagraph"/>
              <w:ind w:left="95"/>
              <w:rPr>
                <w:sz w:val="20"/>
              </w:rPr>
            </w:pPr>
            <w:r>
              <w:rPr>
                <w:w w:val="95"/>
                <w:sz w:val="20"/>
              </w:rPr>
              <w:t>风险</w:t>
            </w:r>
          </w:p>
        </w:tc>
        <w:tc>
          <w:tcPr>
            <w:tcW w:w="2584" w:type="dxa"/>
          </w:tcPr>
          <w:p>
            <w:pPr>
              <w:pStyle w:val="TableParagraph"/>
              <w:ind w:left="117"/>
              <w:rPr>
                <w:sz w:val="20"/>
              </w:rPr>
            </w:pPr>
            <w:r>
              <w:rPr>
                <w:sz w:val="20"/>
              </w:rPr>
              <w:t>12.6 本公司指定或认可</w:t>
            </w:r>
          </w:p>
        </w:tc>
        <w:tc>
          <w:tcPr>
            <w:tcW w:w="672" w:type="dxa"/>
          </w:tcPr>
          <w:p>
            <w:pPr>
              <w:pStyle w:val="TableParagraph"/>
              <w:ind w:left="142"/>
              <w:rPr>
                <w:sz w:val="20"/>
              </w:rPr>
            </w:pPr>
            <w:r>
              <w:rPr>
                <w:sz w:val="20"/>
              </w:rPr>
              <w:t>12.20</w:t>
            </w:r>
          </w:p>
        </w:tc>
        <w:tc>
          <w:tcPr>
            <w:tcW w:w="1889" w:type="dxa"/>
          </w:tcPr>
          <w:p>
            <w:pPr>
              <w:pStyle w:val="TableParagraph"/>
              <w:ind w:left="28"/>
              <w:rPr>
                <w:sz w:val="20"/>
              </w:rPr>
            </w:pPr>
            <w:r>
              <w:rPr>
                <w:w w:val="95"/>
                <w:sz w:val="20"/>
              </w:rPr>
              <w:t>专科医生</w:t>
            </w:r>
          </w:p>
        </w:tc>
      </w:tr>
      <w:tr>
        <w:trPr>
          <w:trHeight w:val="255" w:hRule="atLeast"/>
        </w:trPr>
        <w:tc>
          <w:tcPr>
            <w:tcW w:w="2367" w:type="dxa"/>
          </w:tcPr>
          <w:p>
            <w:pPr>
              <w:pStyle w:val="TableParagraph"/>
              <w:spacing w:line="236" w:lineRule="exact"/>
              <w:ind w:left="50"/>
              <w:rPr>
                <w:b/>
                <w:sz w:val="20"/>
              </w:rPr>
            </w:pPr>
            <w:r>
              <w:rPr>
                <w:b/>
                <w:sz w:val="20"/>
              </w:rPr>
              <w:t>5. 保险金的申请</w:t>
            </w:r>
          </w:p>
        </w:tc>
        <w:tc>
          <w:tcPr>
            <w:tcW w:w="482" w:type="dxa"/>
          </w:tcPr>
          <w:p>
            <w:pPr>
              <w:pStyle w:val="TableParagraph"/>
              <w:spacing w:line="240" w:lineRule="auto"/>
              <w:rPr>
                <w:rFonts w:ascii="Times New Roman"/>
                <w:sz w:val="18"/>
              </w:rPr>
            </w:pPr>
          </w:p>
        </w:tc>
        <w:tc>
          <w:tcPr>
            <w:tcW w:w="2158" w:type="dxa"/>
          </w:tcPr>
          <w:p>
            <w:pPr>
              <w:pStyle w:val="TableParagraph"/>
              <w:spacing w:line="240" w:lineRule="auto"/>
              <w:rPr>
                <w:rFonts w:ascii="Times New Roman"/>
                <w:sz w:val="18"/>
              </w:rPr>
            </w:pPr>
          </w:p>
        </w:tc>
        <w:tc>
          <w:tcPr>
            <w:tcW w:w="2584" w:type="dxa"/>
          </w:tcPr>
          <w:p>
            <w:pPr>
              <w:pStyle w:val="TableParagraph"/>
              <w:spacing w:line="236" w:lineRule="exact"/>
              <w:ind w:left="643"/>
              <w:rPr>
                <w:sz w:val="20"/>
              </w:rPr>
            </w:pPr>
            <w:r>
              <w:rPr>
                <w:w w:val="95"/>
                <w:sz w:val="20"/>
              </w:rPr>
              <w:t>的医疗机构</w:t>
            </w:r>
          </w:p>
        </w:tc>
        <w:tc>
          <w:tcPr>
            <w:tcW w:w="672" w:type="dxa"/>
          </w:tcPr>
          <w:p>
            <w:pPr>
              <w:pStyle w:val="TableParagraph"/>
              <w:spacing w:line="240" w:lineRule="auto"/>
              <w:rPr>
                <w:rFonts w:ascii="Times New Roman"/>
                <w:sz w:val="18"/>
              </w:rPr>
            </w:pPr>
          </w:p>
        </w:tc>
        <w:tc>
          <w:tcPr>
            <w:tcW w:w="1889" w:type="dxa"/>
          </w:tcPr>
          <w:p>
            <w:pPr>
              <w:pStyle w:val="TableParagraph"/>
              <w:spacing w:line="240" w:lineRule="auto"/>
              <w:rPr>
                <w:rFonts w:ascii="Times New Roman"/>
                <w:sz w:val="18"/>
              </w:rPr>
            </w:pPr>
          </w:p>
        </w:tc>
      </w:tr>
    </w:tbl>
    <w:p>
      <w:pPr>
        <w:spacing w:after="0" w:line="240" w:lineRule="auto"/>
        <w:rPr>
          <w:rFonts w:ascii="Times New Roman"/>
          <w:sz w:val="18"/>
        </w:rPr>
        <w:sectPr>
          <w:type w:val="continuous"/>
          <w:pgSz w:w="11910" w:h="16840"/>
          <w:pgMar w:top="320" w:bottom="280" w:left="700" w:right="820"/>
        </w:sectPr>
      </w:pPr>
    </w:p>
    <w:p>
      <w:pPr>
        <w:spacing w:line="434" w:lineRule="exact" w:before="0"/>
        <w:ind w:left="1801" w:right="0" w:firstLine="0"/>
        <w:jc w:val="left"/>
        <w:rPr>
          <w:b/>
          <w:sz w:val="36"/>
        </w:rPr>
      </w:pPr>
      <w:r>
        <w:rPr>
          <w:b/>
          <w:sz w:val="36"/>
        </w:rPr>
        <w:t>复星保德信健康 e 守护重大疾病保险条款</w:t>
      </w:r>
    </w:p>
    <w:p>
      <w:pPr>
        <w:pStyle w:val="BodyText"/>
        <w:spacing w:before="11"/>
        <w:rPr>
          <w:b/>
          <w:sz w:val="29"/>
        </w:rPr>
      </w:pPr>
    </w:p>
    <w:p>
      <w:pPr>
        <w:pStyle w:val="BodyText"/>
        <w:spacing w:line="259" w:lineRule="auto" w:before="0"/>
        <w:ind w:left="137" w:right="187" w:firstLine="425"/>
      </w:pPr>
      <w:r>
        <w:rPr/>
        <w:t>在本条款中，“您”指投保人，“我们” 、“本公司”指复星保德信人寿保险有限公司，“本合同”指“复星保德信健康 e 守护重大疾病保险合同”。投保人、被保险人的姓名在保险单上载明。</w:t>
      </w:r>
    </w:p>
    <w:p>
      <w:pPr>
        <w:pStyle w:val="BodyText"/>
        <w:spacing w:before="1"/>
        <w:rPr>
          <w:sz w:val="30"/>
        </w:rPr>
      </w:pPr>
    </w:p>
    <w:p>
      <w:pPr>
        <w:pStyle w:val="ListParagraph"/>
        <w:numPr>
          <w:ilvl w:val="0"/>
          <w:numId w:val="1"/>
        </w:numPr>
        <w:tabs>
          <w:tab w:pos="559" w:val="left" w:leader="none"/>
        </w:tabs>
        <w:spacing w:line="240" w:lineRule="auto" w:before="1" w:after="0"/>
        <w:ind w:left="558" w:right="0" w:hanging="421"/>
        <w:jc w:val="left"/>
        <w:rPr>
          <w:b/>
          <w:sz w:val="28"/>
        </w:rPr>
      </w:pPr>
      <w:r>
        <w:rPr>
          <w:b/>
          <w:w w:val="95"/>
          <w:sz w:val="28"/>
        </w:rPr>
        <w:t>您与我们订立的合同</w:t>
      </w:r>
    </w:p>
    <w:p>
      <w:pPr>
        <w:pStyle w:val="BodyText"/>
        <w:spacing w:before="7"/>
        <w:rPr>
          <w:b/>
          <w:sz w:val="11"/>
        </w:rPr>
      </w:pPr>
      <w:r>
        <w:rPr/>
        <w:pict>
          <v:group style="position:absolute;margin-left:52.439999pt;margin-top:9.555132pt;width:494.9pt;height:1.45pt;mso-position-horizontal-relative:page;mso-position-vertical-relative:paragraph;z-index:1048;mso-wrap-distance-left:0;mso-wrap-distance-right:0" coordorigin="1049,191" coordsize="9898,29">
            <v:line style="position:absolute" from="1049,215" to="10946,215" stroked="true" strokeweight=".48pt" strokecolor="#000000">
              <v:stroke dashstyle="solid"/>
            </v:line>
            <v:line style="position:absolute" from="1049,196" to="10946,196" stroked="true" strokeweight=".48pt" strokecolor="#000000">
              <v:stroke dashstyle="solid"/>
            </v:line>
            <w10:wrap type="topAndBottom"/>
          </v:group>
        </w:pict>
      </w:r>
    </w:p>
    <w:p>
      <w:pPr>
        <w:pStyle w:val="BodyText"/>
        <w:spacing w:before="2"/>
        <w:rPr>
          <w:b/>
          <w:sz w:val="14"/>
        </w:rPr>
      </w:pPr>
    </w:p>
    <w:p>
      <w:pPr>
        <w:pStyle w:val="Heading3"/>
        <w:numPr>
          <w:ilvl w:val="1"/>
          <w:numId w:val="1"/>
        </w:numPr>
        <w:tabs>
          <w:tab w:pos="623" w:val="left" w:leader="none"/>
        </w:tabs>
        <w:spacing w:line="240" w:lineRule="auto" w:before="26" w:after="0"/>
        <w:ind w:left="622" w:right="0" w:hanging="485"/>
        <w:jc w:val="left"/>
      </w:pPr>
      <w:r>
        <w:rPr>
          <w:w w:val="95"/>
        </w:rPr>
        <w:t>合同构成</w:t>
      </w:r>
    </w:p>
    <w:p>
      <w:pPr>
        <w:pStyle w:val="BodyText"/>
        <w:spacing w:line="259" w:lineRule="auto" w:before="17"/>
        <w:ind w:left="137" w:right="124" w:firstLine="427"/>
        <w:jc w:val="both"/>
      </w:pPr>
      <w:r>
        <w:rPr>
          <w:spacing w:val="-7"/>
        </w:rPr>
        <w:t>本合同是您与我们约定保险权利义务关系的协议，包括本保险条款、保险单、投保单、相关投保文</w:t>
      </w:r>
      <w:r>
        <w:rPr>
          <w:spacing w:val="-5"/>
        </w:rPr>
        <w:t>件、保险凭证、合法有效的声明、批注、批单及其他您与我们共同认可的书面协议。</w:t>
      </w:r>
    </w:p>
    <w:p>
      <w:pPr>
        <w:pStyle w:val="BodyText"/>
        <w:spacing w:before="12"/>
      </w:pPr>
    </w:p>
    <w:p>
      <w:pPr>
        <w:pStyle w:val="Heading3"/>
        <w:numPr>
          <w:ilvl w:val="1"/>
          <w:numId w:val="1"/>
        </w:numPr>
        <w:tabs>
          <w:tab w:pos="623" w:val="left" w:leader="none"/>
        </w:tabs>
        <w:spacing w:line="240" w:lineRule="auto" w:before="0" w:after="0"/>
        <w:ind w:left="622" w:right="0" w:hanging="485"/>
        <w:jc w:val="left"/>
      </w:pPr>
      <w:r>
        <w:rPr>
          <w:w w:val="95"/>
        </w:rPr>
        <w:t>合同生效</w:t>
      </w:r>
    </w:p>
    <w:p>
      <w:pPr>
        <w:pStyle w:val="BodyText"/>
        <w:spacing w:line="259" w:lineRule="auto" w:before="16"/>
        <w:ind w:left="137" w:right="127" w:firstLine="425"/>
        <w:jc w:val="both"/>
      </w:pPr>
      <w:r>
        <w:rPr>
          <w:spacing w:val="-7"/>
        </w:rPr>
        <w:t>本合同自我们同意承保、收取首期保险费并签发保险单时开始生效，具体合同生效日以保险单上所</w:t>
      </w:r>
      <w:r>
        <w:rPr>
          <w:spacing w:val="-2"/>
        </w:rPr>
        <w:t>载的日期为准。</w:t>
      </w:r>
    </w:p>
    <w:p>
      <w:pPr>
        <w:pStyle w:val="BodyText"/>
        <w:spacing w:line="259" w:lineRule="auto" w:before="6"/>
        <w:ind w:left="137" w:right="128" w:firstLine="425"/>
        <w:jc w:val="both"/>
      </w:pPr>
      <w:r>
        <w:rPr>
          <w:spacing w:val="-6"/>
        </w:rPr>
        <w:t>本合同生效日以后每年的对应日为保单周年日。如果当月无对应的同一日，则以该月最后一日为对</w:t>
      </w:r>
      <w:r>
        <w:rPr>
          <w:spacing w:val="-1"/>
        </w:rPr>
        <w:t>应日。</w:t>
      </w:r>
      <w:r>
        <w:rPr>
          <w:b/>
          <w:spacing w:val="-1"/>
        </w:rPr>
        <w:t>保单年度</w:t>
      </w:r>
      <w:r>
        <w:rPr>
          <w:spacing w:val="-3"/>
        </w:rPr>
        <w:t>（</w:t>
      </w:r>
      <w:r>
        <w:rPr>
          <w:spacing w:val="-1"/>
        </w:rPr>
        <w:t>见</w:t>
      </w:r>
      <w:r>
        <w:rPr/>
        <w:t>12.1）、</w:t>
      </w:r>
      <w:r>
        <w:rPr>
          <w:b/>
        </w:rPr>
        <w:t>保险费约定支付日</w:t>
      </w:r>
      <w:r>
        <w:rPr>
          <w:spacing w:val="-3"/>
        </w:rPr>
        <w:t>（</w:t>
      </w:r>
      <w:r>
        <w:rPr/>
        <w:t>见12.2）</w:t>
      </w:r>
      <w:r>
        <w:rPr>
          <w:spacing w:val="-3"/>
        </w:rPr>
        <w:t>均以本合同生效日为基础计算。</w:t>
      </w:r>
    </w:p>
    <w:p>
      <w:pPr>
        <w:pStyle w:val="BodyText"/>
        <w:spacing w:before="12"/>
      </w:pPr>
    </w:p>
    <w:p>
      <w:pPr>
        <w:pStyle w:val="Heading3"/>
        <w:numPr>
          <w:ilvl w:val="1"/>
          <w:numId w:val="1"/>
        </w:numPr>
        <w:tabs>
          <w:tab w:pos="623" w:val="left" w:leader="none"/>
        </w:tabs>
        <w:spacing w:line="240" w:lineRule="auto" w:before="0" w:after="0"/>
        <w:ind w:left="622" w:right="0" w:hanging="485"/>
        <w:jc w:val="left"/>
      </w:pPr>
      <w:r>
        <w:rPr>
          <w:w w:val="95"/>
        </w:rPr>
        <w:t>投保年龄</w:t>
      </w:r>
    </w:p>
    <w:p>
      <w:pPr>
        <w:pStyle w:val="BodyText"/>
        <w:spacing w:line="259" w:lineRule="auto" w:before="16"/>
        <w:ind w:left="565" w:right="2275"/>
      </w:pPr>
      <w:r>
        <w:rPr/>
        <w:t>指您投保时被保险人的年龄，以</w:t>
      </w:r>
      <w:r>
        <w:rPr>
          <w:b/>
        </w:rPr>
        <w:t>周岁</w:t>
      </w:r>
      <w:r>
        <w:rPr/>
        <w:t>（见12.3）计算，并在保险单上载明。本合同接受的投保年龄范围为被保险人年满18周岁至50周岁。</w:t>
      </w:r>
    </w:p>
    <w:p>
      <w:pPr>
        <w:pStyle w:val="BodyText"/>
        <w:spacing w:before="11"/>
      </w:pPr>
    </w:p>
    <w:p>
      <w:pPr>
        <w:pStyle w:val="Heading3"/>
        <w:numPr>
          <w:ilvl w:val="1"/>
          <w:numId w:val="1"/>
        </w:numPr>
        <w:tabs>
          <w:tab w:pos="623" w:val="left" w:leader="none"/>
        </w:tabs>
        <w:spacing w:line="240" w:lineRule="auto" w:before="1" w:after="0"/>
        <w:ind w:left="622" w:right="0" w:hanging="485"/>
        <w:jc w:val="left"/>
      </w:pPr>
      <w:r>
        <w:rPr>
          <w:w w:val="95"/>
        </w:rPr>
        <w:t>犹豫期</w:t>
      </w:r>
    </w:p>
    <w:p>
      <w:pPr>
        <w:pStyle w:val="BodyText"/>
        <w:spacing w:line="259" w:lineRule="auto" w:before="16"/>
        <w:ind w:left="137" w:right="124" w:firstLine="427"/>
        <w:jc w:val="both"/>
      </w:pPr>
      <w:r>
        <w:rPr>
          <w:spacing w:val="-8"/>
        </w:rPr>
        <w:t>自您签收本合同之日起，有一段时间的犹豫期。在此期间，请您认真审视本合同，如果您认为本合同与您的需求不相符，您可以在此期间提出解除本合同，我们将在扣除不超过</w:t>
      </w:r>
      <w:r>
        <w:rPr/>
        <w:t>10</w:t>
      </w:r>
      <w:r>
        <w:rPr>
          <w:spacing w:val="-6"/>
        </w:rPr>
        <w:t>元的工本费后，向您无</w:t>
      </w:r>
      <w:r>
        <w:rPr>
          <w:spacing w:val="-10"/>
        </w:rPr>
        <w:t>息退还保险费。犹豫期内解除本合同的，您需要填写解除合同申请书，并提供您的保险合同、所交保险</w:t>
      </w:r>
      <w:r>
        <w:rPr>
          <w:spacing w:val="-7"/>
        </w:rPr>
        <w:t>费的发票及您的</w:t>
      </w:r>
      <w:r>
        <w:rPr>
          <w:b/>
          <w:spacing w:val="-2"/>
        </w:rPr>
        <w:t>有效身份证件</w:t>
      </w:r>
      <w:r>
        <w:rPr/>
        <w:t>（见</w:t>
      </w:r>
      <w:r>
        <w:rPr>
          <w:spacing w:val="-4"/>
        </w:rPr>
        <w:t>12.4）</w:t>
      </w:r>
      <w:r>
        <w:rPr>
          <w:spacing w:val="-7"/>
        </w:rPr>
        <w:t>。自我们收到解除合同申请书时起，本合同即被解除，对于合</w:t>
      </w:r>
      <w:r>
        <w:rPr>
          <w:spacing w:val="-3"/>
        </w:rPr>
        <w:t>同解除前发生的保险事故，我们不承担保险责任。</w:t>
      </w:r>
    </w:p>
    <w:p>
      <w:pPr>
        <w:pStyle w:val="BodyText"/>
        <w:spacing w:before="6"/>
        <w:ind w:left="565"/>
      </w:pPr>
      <w:r>
        <w:rPr/>
        <w:t>犹豫期以保险单上所载的天数为准。</w:t>
      </w:r>
    </w:p>
    <w:p>
      <w:pPr>
        <w:pStyle w:val="BodyText"/>
        <w:spacing w:before="0"/>
      </w:pPr>
    </w:p>
    <w:p>
      <w:pPr>
        <w:pStyle w:val="BodyText"/>
        <w:spacing w:before="0"/>
      </w:pPr>
    </w:p>
    <w:p>
      <w:pPr>
        <w:pStyle w:val="Heading2"/>
        <w:numPr>
          <w:ilvl w:val="0"/>
          <w:numId w:val="1"/>
        </w:numPr>
        <w:tabs>
          <w:tab w:pos="559" w:val="left" w:leader="none"/>
        </w:tabs>
        <w:spacing w:line="240" w:lineRule="auto" w:before="150" w:after="0"/>
        <w:ind w:left="558" w:right="0" w:hanging="421"/>
        <w:jc w:val="left"/>
      </w:pPr>
      <w:r>
        <w:rPr>
          <w:w w:val="95"/>
        </w:rPr>
        <w:t>我们提供的保障</w:t>
      </w:r>
    </w:p>
    <w:p>
      <w:pPr>
        <w:pStyle w:val="BodyText"/>
        <w:spacing w:before="5"/>
        <w:rPr>
          <w:b/>
          <w:sz w:val="11"/>
        </w:rPr>
      </w:pPr>
      <w:r>
        <w:rPr/>
        <w:pict>
          <v:group style="position:absolute;margin-left:52.439999pt;margin-top:9.40753pt;width:494.9pt;height:1.45pt;mso-position-horizontal-relative:page;mso-position-vertical-relative:paragraph;z-index:1072;mso-wrap-distance-left:0;mso-wrap-distance-right:0" coordorigin="1049,188" coordsize="9898,29">
            <v:line style="position:absolute" from="1049,212" to="10946,212" stroked="true" strokeweight=".48004pt" strokecolor="#000000">
              <v:stroke dashstyle="solid"/>
            </v:line>
            <v:line style="position:absolute" from="1049,193" to="10946,193" stroked="true" strokeweight=".47998pt" strokecolor="#000000">
              <v:stroke dashstyle="solid"/>
            </v:line>
            <w10:wrap type="topAndBottom"/>
          </v:group>
        </w:pict>
      </w:r>
    </w:p>
    <w:p>
      <w:pPr>
        <w:pStyle w:val="BodyText"/>
        <w:spacing w:before="2"/>
        <w:rPr>
          <w:b/>
          <w:sz w:val="14"/>
        </w:rPr>
      </w:pPr>
    </w:p>
    <w:p>
      <w:pPr>
        <w:pStyle w:val="Heading3"/>
        <w:numPr>
          <w:ilvl w:val="1"/>
          <w:numId w:val="1"/>
        </w:numPr>
        <w:tabs>
          <w:tab w:pos="623" w:val="left" w:leader="none"/>
        </w:tabs>
        <w:spacing w:line="240" w:lineRule="auto" w:before="26" w:after="0"/>
        <w:ind w:left="622" w:right="0" w:hanging="485"/>
        <w:jc w:val="left"/>
      </w:pPr>
      <w:r>
        <w:rPr>
          <w:w w:val="95"/>
        </w:rPr>
        <w:t>保险金额</w:t>
      </w:r>
    </w:p>
    <w:p>
      <w:pPr>
        <w:pStyle w:val="BodyText"/>
        <w:spacing w:before="16"/>
        <w:ind w:left="565"/>
      </w:pPr>
      <w:r>
        <w:rPr/>
        <w:t>本合同的保险金额由您在投保时与我们约定，并在保险单上载明。</w:t>
      </w:r>
    </w:p>
    <w:p>
      <w:pPr>
        <w:pStyle w:val="BodyText"/>
        <w:spacing w:before="3"/>
        <w:rPr>
          <w:sz w:val="24"/>
        </w:rPr>
      </w:pPr>
    </w:p>
    <w:p>
      <w:pPr>
        <w:pStyle w:val="Heading3"/>
        <w:numPr>
          <w:ilvl w:val="1"/>
          <w:numId w:val="1"/>
        </w:numPr>
        <w:tabs>
          <w:tab w:pos="623" w:val="left" w:leader="none"/>
        </w:tabs>
        <w:spacing w:line="240" w:lineRule="auto" w:before="0" w:after="0"/>
        <w:ind w:left="622" w:right="0" w:hanging="485"/>
        <w:jc w:val="left"/>
      </w:pPr>
      <w:r>
        <w:rPr>
          <w:w w:val="95"/>
        </w:rPr>
        <w:t>保险期间</w:t>
      </w:r>
    </w:p>
    <w:p>
      <w:pPr>
        <w:pStyle w:val="BodyText"/>
        <w:spacing w:before="17"/>
        <w:ind w:left="562"/>
      </w:pPr>
      <w:r>
        <w:rPr/>
        <w:t>本合同的保险期间为终身，自合同生效日零时起。</w:t>
      </w:r>
    </w:p>
    <w:p>
      <w:pPr>
        <w:pStyle w:val="BodyText"/>
        <w:spacing w:before="3"/>
        <w:rPr>
          <w:sz w:val="24"/>
        </w:rPr>
      </w:pPr>
    </w:p>
    <w:p>
      <w:pPr>
        <w:pStyle w:val="Heading3"/>
        <w:numPr>
          <w:ilvl w:val="1"/>
          <w:numId w:val="1"/>
        </w:numPr>
        <w:tabs>
          <w:tab w:pos="623" w:val="left" w:leader="none"/>
        </w:tabs>
        <w:spacing w:line="240" w:lineRule="auto" w:before="0" w:after="0"/>
        <w:ind w:left="622" w:right="0" w:hanging="485"/>
        <w:jc w:val="left"/>
      </w:pPr>
      <w:r>
        <w:rPr>
          <w:w w:val="95"/>
        </w:rPr>
        <w:t>保险责任</w:t>
      </w:r>
    </w:p>
    <w:p>
      <w:pPr>
        <w:pStyle w:val="BodyText"/>
        <w:spacing w:before="0"/>
        <w:rPr>
          <w:b/>
          <w:sz w:val="25"/>
        </w:rPr>
      </w:pPr>
    </w:p>
    <w:p>
      <w:pPr>
        <w:pStyle w:val="Heading4"/>
        <w:numPr>
          <w:ilvl w:val="2"/>
          <w:numId w:val="1"/>
        </w:numPr>
        <w:tabs>
          <w:tab w:pos="803" w:val="left" w:leader="none"/>
        </w:tabs>
        <w:spacing w:line="240" w:lineRule="auto" w:before="0" w:after="0"/>
        <w:ind w:left="802" w:right="0" w:hanging="665"/>
        <w:jc w:val="left"/>
      </w:pPr>
      <w:r>
        <w:rPr>
          <w:w w:val="95"/>
        </w:rPr>
        <w:t>身故保险金</w:t>
      </w:r>
    </w:p>
    <w:p>
      <w:pPr>
        <w:spacing w:after="0" w:line="240" w:lineRule="auto"/>
        <w:jc w:val="left"/>
        <w:sectPr>
          <w:pgSz w:w="11910" w:h="16840"/>
          <w:pgMar w:top="1480" w:bottom="280" w:left="940" w:right="860"/>
        </w:sectPr>
      </w:pPr>
    </w:p>
    <w:p>
      <w:pPr>
        <w:pStyle w:val="BodyText"/>
        <w:spacing w:line="259" w:lineRule="auto" w:before="20"/>
        <w:ind w:left="137" w:right="147" w:firstLine="425"/>
        <w:jc w:val="both"/>
      </w:pPr>
      <w:r>
        <w:rPr>
          <w:spacing w:val="-7"/>
        </w:rPr>
        <w:t>在本合同有效期内，如被保险人身故，我们将向身故保险金受益人给付等同于保险金额的身故保险</w:t>
      </w:r>
      <w:r>
        <w:rPr>
          <w:spacing w:val="-5"/>
        </w:rPr>
        <w:t>金，本合同终止。</w:t>
      </w:r>
    </w:p>
    <w:p>
      <w:pPr>
        <w:pStyle w:val="BodyText"/>
        <w:spacing w:before="4"/>
        <w:rPr>
          <w:sz w:val="24"/>
        </w:rPr>
      </w:pPr>
    </w:p>
    <w:p>
      <w:pPr>
        <w:pStyle w:val="Heading4"/>
        <w:numPr>
          <w:ilvl w:val="2"/>
          <w:numId w:val="1"/>
        </w:numPr>
        <w:tabs>
          <w:tab w:pos="803" w:val="left" w:leader="none"/>
        </w:tabs>
        <w:spacing w:line="240" w:lineRule="auto" w:before="0" w:after="0"/>
        <w:ind w:left="802" w:right="0" w:hanging="665"/>
        <w:jc w:val="left"/>
      </w:pPr>
      <w:r>
        <w:rPr>
          <w:w w:val="95"/>
        </w:rPr>
        <w:t>重大疾病保险金</w:t>
      </w:r>
    </w:p>
    <w:p>
      <w:pPr>
        <w:pStyle w:val="BodyText"/>
        <w:ind w:left="565"/>
        <w:rPr>
          <w:rFonts w:ascii="黑体" w:hAnsi="黑体" w:eastAsia="黑体" w:hint="eastAsia"/>
        </w:rPr>
      </w:pPr>
      <w:r>
        <w:rPr>
          <w:rFonts w:ascii="黑体" w:hAnsi="黑体" w:eastAsia="黑体" w:hint="eastAsia"/>
        </w:rPr>
        <w:t>本合同所定义的重大疾病载明于本合同“11.重大疾病定义”。</w:t>
      </w:r>
    </w:p>
    <w:p>
      <w:pPr>
        <w:pStyle w:val="BodyText"/>
        <w:spacing w:line="259" w:lineRule="auto"/>
        <w:ind w:left="137" w:right="144" w:firstLine="427"/>
        <w:jc w:val="both"/>
      </w:pPr>
      <w:r>
        <w:rPr>
          <w:spacing w:val="-8"/>
        </w:rPr>
        <w:t>在本合同有效期内，如被保险人于本合同生效之日起一百八十日后或本合同最后复效之日起一百八</w:t>
      </w:r>
      <w:r>
        <w:rPr>
          <w:spacing w:val="-9"/>
        </w:rPr>
        <w:t>十日后，</w:t>
      </w:r>
      <w:r>
        <w:rPr>
          <w:b/>
          <w:spacing w:val="-3"/>
        </w:rPr>
        <w:t>初次发生</w:t>
      </w:r>
      <w:r>
        <w:rPr>
          <w:spacing w:val="-3"/>
        </w:rPr>
        <w:t>（</w:t>
      </w:r>
      <w:r>
        <w:rPr/>
        <w:t>见</w:t>
      </w:r>
      <w:r>
        <w:rPr>
          <w:spacing w:val="-3"/>
        </w:rPr>
        <w:t>12.5）并经</w:t>
      </w:r>
      <w:r>
        <w:rPr>
          <w:b/>
          <w:spacing w:val="-1"/>
        </w:rPr>
        <w:t>本公司指定或认可的医疗机构</w:t>
      </w:r>
      <w:r>
        <w:rPr/>
        <w:t>（见</w:t>
      </w:r>
      <w:r>
        <w:rPr>
          <w:spacing w:val="-4"/>
        </w:rPr>
        <w:t>12.6）初次确诊患有重大疾病，我</w:t>
      </w:r>
      <w:r>
        <w:rPr>
          <w:spacing w:val="-6"/>
        </w:rPr>
        <w:t>们将向重大疾病保险金受益人给付等同于保险金额的重大疾病保险金，本合同终止。如被保险人因</w:t>
      </w:r>
      <w:r>
        <w:rPr>
          <w:b/>
        </w:rPr>
        <w:t>意外</w:t>
      </w:r>
      <w:r>
        <w:rPr>
          <w:b/>
          <w:spacing w:val="-1"/>
        </w:rPr>
        <w:t>伤害</w:t>
      </w:r>
      <w:r>
        <w:rPr>
          <w:spacing w:val="-3"/>
        </w:rPr>
        <w:t>（</w:t>
      </w:r>
      <w:r>
        <w:rPr>
          <w:spacing w:val="-1"/>
        </w:rPr>
        <w:t>见12.7）</w:t>
      </w:r>
      <w:r>
        <w:rPr>
          <w:spacing w:val="-3"/>
        </w:rPr>
        <w:t>事故直接导致重大疾病，不受此一百八十日的限制。</w:t>
      </w:r>
    </w:p>
    <w:p>
      <w:pPr>
        <w:pStyle w:val="BodyText"/>
        <w:spacing w:line="259" w:lineRule="auto" w:before="6"/>
        <w:ind w:left="137" w:right="145" w:firstLine="451"/>
        <w:jc w:val="both"/>
      </w:pPr>
      <w:r>
        <w:rPr>
          <w:spacing w:val="-10"/>
        </w:rPr>
        <w:t>在本合同有效期内，如被保险人于本合同生效之日起一百八十日内或本合同最后复效之日起一百八</w:t>
      </w:r>
      <w:r>
        <w:rPr>
          <w:spacing w:val="-9"/>
        </w:rPr>
        <w:t>十日内，初次发生或经本公司指定或认可的医疗机构初次确诊患有重大疾病，且该重大疾病非因意外伤</w:t>
      </w:r>
      <w:r>
        <w:rPr>
          <w:spacing w:val="-3"/>
        </w:rPr>
        <w:t>害事故直接导致，我们将向重大疾病保险金受益人无息返还本合同所交的保险费，本合同终止。</w:t>
      </w:r>
    </w:p>
    <w:p>
      <w:pPr>
        <w:pStyle w:val="BodyText"/>
        <w:spacing w:line="259" w:lineRule="auto" w:before="6"/>
        <w:ind w:left="137" w:right="149" w:firstLine="451"/>
        <w:jc w:val="both"/>
      </w:pPr>
      <w:r>
        <w:rPr>
          <w:spacing w:val="-5"/>
        </w:rPr>
        <w:t>如被保险人经本公司指定或认可的医疗机构初次确诊患有两种或两种以上重大疾病，我们仅对一种</w:t>
      </w:r>
      <w:r>
        <w:rPr>
          <w:spacing w:val="-4"/>
        </w:rPr>
        <w:t>重大疾病承担保险金给付责任，本合同终止。</w:t>
      </w:r>
    </w:p>
    <w:p>
      <w:pPr>
        <w:pStyle w:val="BodyText"/>
        <w:spacing w:before="11"/>
      </w:pPr>
    </w:p>
    <w:p>
      <w:pPr>
        <w:pStyle w:val="Heading3"/>
        <w:numPr>
          <w:ilvl w:val="1"/>
          <w:numId w:val="1"/>
        </w:numPr>
        <w:tabs>
          <w:tab w:pos="623" w:val="left" w:leader="none"/>
        </w:tabs>
        <w:spacing w:line="240" w:lineRule="auto" w:before="1" w:after="0"/>
        <w:ind w:left="622" w:right="0" w:hanging="485"/>
        <w:jc w:val="left"/>
        <w:rPr>
          <w:rFonts w:ascii="黑体" w:eastAsia="黑体" w:hint="eastAsia"/>
        </w:rPr>
      </w:pPr>
      <w:r>
        <w:rPr>
          <w:rFonts w:ascii="黑体" w:eastAsia="黑体" w:hint="eastAsia"/>
          <w:w w:val="95"/>
        </w:rPr>
        <w:t>责任免除</w:t>
      </w:r>
    </w:p>
    <w:p>
      <w:pPr>
        <w:pStyle w:val="BodyText"/>
        <w:spacing w:before="16"/>
        <w:ind w:left="562"/>
        <w:rPr>
          <w:rFonts w:ascii="黑体" w:eastAsia="黑体" w:hint="eastAsia"/>
        </w:rPr>
      </w:pPr>
      <w:r>
        <w:rPr>
          <w:rFonts w:ascii="黑体" w:eastAsia="黑体" w:hint="eastAsia"/>
        </w:rPr>
        <w:t>因下列情形之一导致被保险人身故或患重大疾病的，我们不承担给付各项保险金的责任：</w:t>
      </w:r>
    </w:p>
    <w:p>
      <w:pPr>
        <w:pStyle w:val="ListParagraph"/>
        <w:numPr>
          <w:ilvl w:val="0"/>
          <w:numId w:val="2"/>
        </w:numPr>
        <w:tabs>
          <w:tab w:pos="559" w:val="left" w:leader="none"/>
        </w:tabs>
        <w:spacing w:line="240" w:lineRule="auto" w:before="23" w:after="0"/>
        <w:ind w:left="565" w:right="0" w:hanging="428"/>
        <w:jc w:val="left"/>
        <w:rPr>
          <w:rFonts w:ascii="黑体" w:eastAsia="黑体" w:hint="eastAsia"/>
          <w:sz w:val="22"/>
        </w:rPr>
      </w:pPr>
      <w:r>
        <w:rPr>
          <w:rFonts w:ascii="黑体" w:eastAsia="黑体" w:hint="eastAsia"/>
          <w:spacing w:val="-3"/>
          <w:sz w:val="22"/>
        </w:rPr>
        <w:t>投保人对被保险人的故意杀害、故意伤害；</w:t>
      </w:r>
    </w:p>
    <w:p>
      <w:pPr>
        <w:pStyle w:val="ListParagraph"/>
        <w:numPr>
          <w:ilvl w:val="0"/>
          <w:numId w:val="2"/>
        </w:numPr>
        <w:tabs>
          <w:tab w:pos="559" w:val="left" w:leader="none"/>
        </w:tabs>
        <w:spacing w:line="261" w:lineRule="auto" w:before="23" w:after="0"/>
        <w:ind w:left="565" w:right="202" w:hanging="428"/>
        <w:jc w:val="left"/>
        <w:rPr>
          <w:rFonts w:ascii="黑体" w:eastAsia="黑体" w:hint="eastAsia"/>
          <w:sz w:val="22"/>
        </w:rPr>
      </w:pPr>
      <w:r>
        <w:rPr>
          <w:rFonts w:ascii="黑体" w:eastAsia="黑体" w:hint="eastAsia"/>
          <w:spacing w:val="-6"/>
          <w:sz w:val="22"/>
        </w:rPr>
        <w:t>被保险人故意犯罪或抗拒依法采取的刑事强制措施、主动吸食或注射</w:t>
      </w:r>
      <w:r>
        <w:rPr>
          <w:rFonts w:ascii="黑体" w:eastAsia="黑体" w:hint="eastAsia"/>
          <w:b/>
          <w:spacing w:val="-32"/>
          <w:sz w:val="22"/>
        </w:rPr>
        <w:t>毒品</w:t>
      </w:r>
      <w:r>
        <w:rPr>
          <w:rFonts w:ascii="黑体" w:eastAsia="黑体" w:hint="eastAsia"/>
          <w:spacing w:val="-3"/>
          <w:sz w:val="22"/>
        </w:rPr>
        <w:t>（</w:t>
      </w:r>
      <w:r>
        <w:rPr>
          <w:rFonts w:ascii="黑体" w:eastAsia="黑体" w:hint="eastAsia"/>
          <w:sz w:val="22"/>
        </w:rPr>
        <w:t>见</w:t>
      </w:r>
      <w:r>
        <w:rPr>
          <w:rFonts w:ascii="黑体" w:eastAsia="黑体" w:hint="eastAsia"/>
          <w:spacing w:val="-14"/>
          <w:sz w:val="22"/>
        </w:rPr>
        <w:t>12.8）</w:t>
      </w:r>
      <w:r>
        <w:rPr>
          <w:rFonts w:ascii="黑体" w:eastAsia="黑体" w:hint="eastAsia"/>
          <w:spacing w:val="-68"/>
          <w:sz w:val="22"/>
        </w:rPr>
        <w:t>、</w:t>
      </w:r>
      <w:r>
        <w:rPr>
          <w:rFonts w:ascii="黑体" w:eastAsia="黑体" w:hint="eastAsia"/>
          <w:b/>
          <w:spacing w:val="-16"/>
          <w:sz w:val="22"/>
        </w:rPr>
        <w:t>酒后驾驶</w:t>
      </w:r>
      <w:r>
        <w:rPr>
          <w:rFonts w:ascii="黑体" w:eastAsia="黑体" w:hint="eastAsia"/>
          <w:sz w:val="22"/>
        </w:rPr>
        <w:t>（见12.9）；</w:t>
      </w:r>
    </w:p>
    <w:p>
      <w:pPr>
        <w:pStyle w:val="ListParagraph"/>
        <w:numPr>
          <w:ilvl w:val="0"/>
          <w:numId w:val="2"/>
        </w:numPr>
        <w:tabs>
          <w:tab w:pos="559" w:val="left" w:leader="none"/>
        </w:tabs>
        <w:spacing w:line="259" w:lineRule="auto" w:before="3" w:after="0"/>
        <w:ind w:left="565" w:right="204" w:hanging="428"/>
        <w:jc w:val="left"/>
        <w:rPr>
          <w:rFonts w:ascii="黑体" w:eastAsia="黑体" w:hint="eastAsia"/>
          <w:sz w:val="22"/>
        </w:rPr>
      </w:pPr>
      <w:r>
        <w:rPr>
          <w:rFonts w:ascii="黑体" w:eastAsia="黑体" w:hint="eastAsia"/>
          <w:spacing w:val="-7"/>
          <w:sz w:val="22"/>
        </w:rPr>
        <w:t>被保险人自本合同成立或本合同效力恢复之日起二年内自杀，但被保险人自杀时为无民事行为能力</w:t>
      </w:r>
      <w:r>
        <w:rPr>
          <w:rFonts w:ascii="黑体" w:eastAsia="黑体" w:hint="eastAsia"/>
          <w:spacing w:val="-5"/>
          <w:sz w:val="22"/>
        </w:rPr>
        <w:t>人的除外；</w:t>
      </w:r>
    </w:p>
    <w:p>
      <w:pPr>
        <w:pStyle w:val="ListParagraph"/>
        <w:numPr>
          <w:ilvl w:val="0"/>
          <w:numId w:val="2"/>
        </w:numPr>
        <w:tabs>
          <w:tab w:pos="559" w:val="left" w:leader="none"/>
        </w:tabs>
        <w:spacing w:line="240" w:lineRule="auto" w:before="6" w:after="0"/>
        <w:ind w:left="565" w:right="0" w:hanging="428"/>
        <w:jc w:val="left"/>
        <w:rPr>
          <w:rFonts w:ascii="黑体" w:eastAsia="黑体" w:hint="eastAsia"/>
          <w:sz w:val="22"/>
        </w:rPr>
      </w:pPr>
      <w:r>
        <w:rPr>
          <w:rFonts w:ascii="黑体" w:eastAsia="黑体" w:hint="eastAsia"/>
          <w:spacing w:val="-3"/>
          <w:sz w:val="22"/>
        </w:rPr>
        <w:t>核爆炸、核辐射或者核污染、战争、军事冲突、被保险人主动参与暴乱或武装叛乱；</w:t>
      </w:r>
    </w:p>
    <w:p>
      <w:pPr>
        <w:pStyle w:val="ListParagraph"/>
        <w:numPr>
          <w:ilvl w:val="0"/>
          <w:numId w:val="2"/>
        </w:numPr>
        <w:tabs>
          <w:tab w:pos="559" w:val="left" w:leader="none"/>
        </w:tabs>
        <w:spacing w:line="259" w:lineRule="auto" w:before="24" w:after="0"/>
        <w:ind w:left="565" w:right="202" w:hanging="428"/>
        <w:jc w:val="left"/>
        <w:rPr>
          <w:rFonts w:ascii="黑体" w:hAnsi="黑体" w:eastAsia="黑体" w:hint="eastAsia"/>
          <w:sz w:val="22"/>
        </w:rPr>
      </w:pPr>
      <w:r>
        <w:rPr>
          <w:rFonts w:ascii="黑体" w:hAnsi="黑体" w:eastAsia="黑体" w:hint="eastAsia"/>
          <w:spacing w:val="-1"/>
          <w:sz w:val="22"/>
        </w:rPr>
        <w:t>被保险人</w:t>
      </w:r>
      <w:r>
        <w:rPr>
          <w:rFonts w:ascii="黑体" w:hAnsi="黑体" w:eastAsia="黑体" w:hint="eastAsia"/>
          <w:b/>
          <w:spacing w:val="-2"/>
          <w:sz w:val="22"/>
        </w:rPr>
        <w:t>感染艾滋病病毒或患艾滋病</w:t>
      </w:r>
      <w:r>
        <w:rPr>
          <w:rFonts w:ascii="黑体" w:hAnsi="黑体" w:eastAsia="黑体" w:hint="eastAsia"/>
          <w:sz w:val="22"/>
        </w:rPr>
        <w:t>（见</w:t>
      </w:r>
      <w:r>
        <w:rPr>
          <w:rFonts w:ascii="黑体" w:hAnsi="黑体" w:eastAsia="黑体" w:hint="eastAsia"/>
          <w:spacing w:val="-7"/>
          <w:sz w:val="22"/>
        </w:rPr>
        <w:t>12.10），但本合同</w:t>
      </w:r>
      <w:r>
        <w:rPr>
          <w:rFonts w:ascii="黑体" w:hAnsi="黑体" w:eastAsia="黑体" w:hint="eastAsia"/>
          <w:sz w:val="22"/>
        </w:rPr>
        <w:t>“11</w:t>
      </w:r>
      <w:r>
        <w:rPr>
          <w:rFonts w:ascii="黑体" w:hAnsi="黑体" w:eastAsia="黑体" w:hint="eastAsia"/>
          <w:spacing w:val="-7"/>
          <w:sz w:val="22"/>
        </w:rPr>
        <w:t>.重大疾病定义”中的“因职业关</w:t>
      </w:r>
      <w:r>
        <w:rPr>
          <w:rFonts w:ascii="黑体" w:hAnsi="黑体" w:eastAsia="黑体" w:hint="eastAsia"/>
          <w:spacing w:val="-3"/>
          <w:sz w:val="22"/>
        </w:rPr>
        <w:t>系导致的艾滋病病毒</w:t>
      </w:r>
      <w:r>
        <w:rPr>
          <w:rFonts w:ascii="黑体" w:hAnsi="黑体" w:eastAsia="黑体" w:hint="eastAsia"/>
          <w:sz w:val="22"/>
        </w:rPr>
        <w:t>（HIV）</w:t>
      </w:r>
      <w:r>
        <w:rPr>
          <w:rFonts w:ascii="黑体" w:hAnsi="黑体" w:eastAsia="黑体" w:hint="eastAsia"/>
          <w:spacing w:val="-3"/>
          <w:sz w:val="22"/>
        </w:rPr>
        <w:t>感染”和“经输血导致的艾滋病病毒感染”两种情形除外；</w:t>
      </w:r>
    </w:p>
    <w:p>
      <w:pPr>
        <w:pStyle w:val="ListParagraph"/>
        <w:numPr>
          <w:ilvl w:val="0"/>
          <w:numId w:val="2"/>
        </w:numPr>
        <w:tabs>
          <w:tab w:pos="559" w:val="left" w:leader="none"/>
        </w:tabs>
        <w:spacing w:line="240" w:lineRule="auto" w:before="6" w:after="0"/>
        <w:ind w:left="565" w:right="0" w:hanging="428"/>
        <w:jc w:val="left"/>
        <w:rPr>
          <w:rFonts w:ascii="黑体" w:eastAsia="黑体" w:hint="eastAsia"/>
          <w:sz w:val="22"/>
        </w:rPr>
      </w:pPr>
      <w:r>
        <w:rPr>
          <w:rFonts w:ascii="黑体" w:eastAsia="黑体" w:hint="eastAsia"/>
          <w:spacing w:val="-2"/>
          <w:sz w:val="22"/>
        </w:rPr>
        <w:t>被保险人患有</w:t>
      </w:r>
      <w:r>
        <w:rPr>
          <w:rFonts w:ascii="黑体" w:eastAsia="黑体" w:hint="eastAsia"/>
          <w:b/>
          <w:sz w:val="22"/>
        </w:rPr>
        <w:t>遗传性疾病</w:t>
      </w:r>
      <w:r>
        <w:rPr>
          <w:rFonts w:ascii="黑体" w:eastAsia="黑体" w:hint="eastAsia"/>
          <w:spacing w:val="0"/>
          <w:sz w:val="22"/>
        </w:rPr>
        <w:t>( 见</w:t>
      </w:r>
      <w:r>
        <w:rPr>
          <w:rFonts w:ascii="黑体" w:eastAsia="黑体" w:hint="eastAsia"/>
          <w:sz w:val="22"/>
        </w:rPr>
        <w:t>12.11)，</w:t>
      </w:r>
      <w:r>
        <w:rPr>
          <w:rFonts w:ascii="黑体" w:eastAsia="黑体" w:hint="eastAsia"/>
          <w:b/>
          <w:sz w:val="22"/>
        </w:rPr>
        <w:t>先天性疾病、畸形、变形或染色体异常</w:t>
      </w:r>
      <w:r>
        <w:rPr>
          <w:rFonts w:ascii="黑体" w:eastAsia="黑体" w:hint="eastAsia"/>
          <w:spacing w:val="-2"/>
          <w:sz w:val="22"/>
        </w:rPr>
        <w:t>(见</w:t>
      </w:r>
      <w:r>
        <w:rPr>
          <w:rFonts w:ascii="黑体" w:eastAsia="黑体" w:hint="eastAsia"/>
          <w:sz w:val="22"/>
        </w:rPr>
        <w:t>12.12)。</w:t>
      </w:r>
    </w:p>
    <w:p>
      <w:pPr>
        <w:pStyle w:val="BodyText"/>
        <w:spacing w:before="8"/>
        <w:rPr>
          <w:rFonts w:ascii="黑体"/>
          <w:sz w:val="25"/>
        </w:rPr>
      </w:pPr>
    </w:p>
    <w:p>
      <w:pPr>
        <w:pStyle w:val="BodyText"/>
        <w:spacing w:line="259" w:lineRule="auto" w:before="0"/>
        <w:ind w:left="137" w:right="147" w:firstLine="442"/>
        <w:jc w:val="both"/>
        <w:rPr>
          <w:rFonts w:ascii="黑体" w:eastAsia="黑体" w:hint="eastAsia"/>
        </w:rPr>
      </w:pPr>
      <w:r>
        <w:rPr>
          <w:rFonts w:ascii="黑体" w:eastAsia="黑体" w:hint="eastAsia"/>
        </w:rPr>
        <w:t>发Th上述第(1)项情形导致被保险人身故的，本合同终止，合同终止时的</w:t>
      </w:r>
      <w:r>
        <w:rPr>
          <w:rFonts w:ascii="黑体" w:eastAsia="黑体" w:hint="eastAsia"/>
          <w:b/>
        </w:rPr>
        <w:t>现金价值</w:t>
      </w:r>
      <w:r>
        <w:rPr>
          <w:rFonts w:ascii="黑体" w:eastAsia="黑体" w:hint="eastAsia"/>
        </w:rPr>
        <w:t>（见 12.13）将作为被保险人的遗产处理；发Th上述第（1）项情形导致被保险人被确诊为重大疾病的，本合同终止， 我们向被保险人给付本合同终止时的现金价值。</w:t>
      </w:r>
    </w:p>
    <w:p>
      <w:pPr>
        <w:pStyle w:val="BodyText"/>
        <w:spacing w:line="259" w:lineRule="auto" w:before="5"/>
        <w:ind w:left="137" w:right="201" w:firstLine="427"/>
        <w:jc w:val="both"/>
        <w:rPr>
          <w:rFonts w:ascii="黑体" w:eastAsia="黑体" w:hint="eastAsia"/>
        </w:rPr>
      </w:pPr>
      <w:r>
        <w:rPr>
          <w:rFonts w:ascii="黑体" w:eastAsia="黑体" w:hint="eastAsia"/>
        </w:rPr>
        <w:t>发Th</w:t>
      </w:r>
      <w:r>
        <w:rPr>
          <w:rFonts w:ascii="黑体" w:eastAsia="黑体" w:hint="eastAsia"/>
          <w:spacing w:val="-2"/>
        </w:rPr>
        <w:t>上述第</w:t>
      </w:r>
      <w:r>
        <w:rPr>
          <w:rFonts w:ascii="黑体" w:eastAsia="黑体" w:hint="eastAsia"/>
        </w:rPr>
        <w:t>(2)</w:t>
      </w:r>
      <w:r>
        <w:rPr>
          <w:rFonts w:ascii="黑体" w:eastAsia="黑体" w:hint="eastAsia"/>
          <w:spacing w:val="-2"/>
        </w:rPr>
        <w:t>项至第(</w:t>
      </w:r>
      <w:r>
        <w:rPr>
          <w:rFonts w:ascii="黑体" w:eastAsia="黑体" w:hint="eastAsia"/>
        </w:rPr>
        <w:t>6</w:t>
      </w:r>
      <w:r>
        <w:rPr>
          <w:rFonts w:ascii="黑体" w:eastAsia="黑体" w:hint="eastAsia"/>
          <w:spacing w:val="-8"/>
        </w:rPr>
        <w:t>)项情形导致被保险人身故或被确诊为重大疾病的，本合同终止，我们向您</w:t>
      </w:r>
      <w:r>
        <w:rPr>
          <w:rFonts w:ascii="黑体" w:eastAsia="黑体" w:hint="eastAsia"/>
          <w:spacing w:val="-5"/>
        </w:rPr>
        <w:t>退还本合同终止时的现金价值。</w:t>
      </w:r>
    </w:p>
    <w:p>
      <w:pPr>
        <w:pStyle w:val="BodyText"/>
        <w:spacing w:before="0"/>
        <w:rPr>
          <w:rFonts w:ascii="黑体"/>
        </w:rPr>
      </w:pPr>
    </w:p>
    <w:p>
      <w:pPr>
        <w:pStyle w:val="BodyText"/>
        <w:spacing w:before="1"/>
        <w:rPr>
          <w:rFonts w:ascii="黑体"/>
          <w:sz w:val="32"/>
        </w:rPr>
      </w:pPr>
    </w:p>
    <w:p>
      <w:pPr>
        <w:pStyle w:val="Heading2"/>
        <w:numPr>
          <w:ilvl w:val="0"/>
          <w:numId w:val="1"/>
        </w:numPr>
        <w:tabs>
          <w:tab w:pos="559" w:val="left" w:leader="none"/>
        </w:tabs>
        <w:spacing w:line="240" w:lineRule="auto" w:before="1" w:after="0"/>
        <w:ind w:left="558" w:right="0" w:hanging="421"/>
        <w:jc w:val="left"/>
      </w:pPr>
      <w:r>
        <w:rPr/>
        <w:t>保险费的支付</w:t>
      </w:r>
    </w:p>
    <w:p>
      <w:pPr>
        <w:pStyle w:val="BodyText"/>
        <w:spacing w:before="5"/>
        <w:rPr>
          <w:b/>
          <w:sz w:val="11"/>
        </w:rPr>
      </w:pPr>
      <w:r>
        <w:rPr/>
        <w:pict>
          <v:group style="position:absolute;margin-left:52.439999pt;margin-top:9.440928pt;width:494.9pt;height:1.45pt;mso-position-horizontal-relative:page;mso-position-vertical-relative:paragraph;z-index:1096;mso-wrap-distance-left:0;mso-wrap-distance-right:0" coordorigin="1049,189" coordsize="9898,29">
            <v:line style="position:absolute" from="1049,213" to="10946,213" stroked="true" strokeweight=".47998pt" strokecolor="#000000">
              <v:stroke dashstyle="solid"/>
            </v:line>
            <v:line style="position:absolute" from="1049,194" to="10946,194" stroked="true" strokeweight=".47998pt" strokecolor="#000000">
              <v:stroke dashstyle="solid"/>
            </v:line>
            <w10:wrap type="topAndBottom"/>
          </v:group>
        </w:pict>
      </w:r>
    </w:p>
    <w:p>
      <w:pPr>
        <w:pStyle w:val="BodyText"/>
        <w:spacing w:before="2"/>
        <w:rPr>
          <w:b/>
          <w:sz w:val="14"/>
        </w:rPr>
      </w:pPr>
    </w:p>
    <w:p>
      <w:pPr>
        <w:pStyle w:val="Heading3"/>
        <w:numPr>
          <w:ilvl w:val="1"/>
          <w:numId w:val="1"/>
        </w:numPr>
        <w:tabs>
          <w:tab w:pos="623" w:val="left" w:leader="none"/>
        </w:tabs>
        <w:spacing w:line="240" w:lineRule="auto" w:before="26" w:after="0"/>
        <w:ind w:left="622" w:right="0" w:hanging="485"/>
        <w:jc w:val="left"/>
      </w:pPr>
      <w:r>
        <w:rPr>
          <w:w w:val="95"/>
        </w:rPr>
        <w:t>保险费的支付</w:t>
      </w:r>
    </w:p>
    <w:p>
      <w:pPr>
        <w:pStyle w:val="BodyText"/>
        <w:spacing w:before="16"/>
        <w:ind w:left="565"/>
      </w:pPr>
      <w:r>
        <w:rPr/>
        <w:t>您在投保时与我们约定本合同的交费方式和交费期间，并在保险单上载明。</w:t>
      </w:r>
    </w:p>
    <w:p>
      <w:pPr>
        <w:pStyle w:val="BodyText"/>
        <w:spacing w:line="259" w:lineRule="auto"/>
        <w:ind w:left="137" w:right="143" w:firstLine="427"/>
      </w:pPr>
      <w:r>
        <w:rPr>
          <w:spacing w:val="-6"/>
        </w:rPr>
        <w:t>分期支付保险费的，在支付首期保险费后，您应当按照本合同约定，在每个保险费约定支付日支付</w:t>
      </w:r>
      <w:r>
        <w:rPr>
          <w:spacing w:val="-5"/>
        </w:rPr>
        <w:t>其余各期的保险费。</w:t>
      </w:r>
    </w:p>
    <w:p>
      <w:pPr>
        <w:pStyle w:val="BodyText"/>
        <w:spacing w:before="11"/>
      </w:pPr>
    </w:p>
    <w:p>
      <w:pPr>
        <w:pStyle w:val="Heading3"/>
        <w:numPr>
          <w:ilvl w:val="1"/>
          <w:numId w:val="1"/>
        </w:numPr>
        <w:tabs>
          <w:tab w:pos="623" w:val="left" w:leader="none"/>
        </w:tabs>
        <w:spacing w:line="240" w:lineRule="auto" w:before="1" w:after="0"/>
        <w:ind w:left="622" w:right="0" w:hanging="485"/>
        <w:jc w:val="left"/>
      </w:pPr>
      <w:r>
        <w:rPr>
          <w:w w:val="95"/>
        </w:rPr>
        <w:t>宽限期</w:t>
      </w:r>
    </w:p>
    <w:p>
      <w:pPr>
        <w:pStyle w:val="BodyText"/>
        <w:spacing w:before="16"/>
        <w:ind w:left="565"/>
      </w:pPr>
      <w:r>
        <w:rPr/>
        <w:t>分期支付保险费的，在支付首期保险费后，除本合同另有约定外，如果您到期未支付续期保险费，</w:t>
      </w:r>
    </w:p>
    <w:p>
      <w:pPr>
        <w:spacing w:after="0"/>
        <w:sectPr>
          <w:pgSz w:w="11910" w:h="16840"/>
          <w:pgMar w:top="1380" w:bottom="280" w:left="940" w:right="840"/>
        </w:sectPr>
      </w:pPr>
    </w:p>
    <w:p>
      <w:pPr>
        <w:pStyle w:val="BodyText"/>
        <w:spacing w:before="20"/>
        <w:ind w:left="137"/>
      </w:pPr>
      <w:r>
        <w:rPr/>
        <w:t>自保险费约定支付日的次日零时起六十日为宽限期。</w:t>
      </w:r>
    </w:p>
    <w:p>
      <w:pPr>
        <w:pStyle w:val="BodyText"/>
        <w:spacing w:line="259" w:lineRule="auto"/>
        <w:ind w:left="565" w:right="104"/>
      </w:pPr>
      <w:r>
        <w:rPr/>
        <w:t>宽限期内发生的保险事故，我们仍会承担保险责任，但在给付保险金时会扣除您欠交的保险费。如果您在宽限期内未支付保险费，则本合同自宽限期满日二十四时起效力中止，本合同另有约定的</w:t>
      </w:r>
    </w:p>
    <w:p>
      <w:pPr>
        <w:pStyle w:val="BodyText"/>
        <w:spacing w:before="6"/>
        <w:ind w:left="137"/>
      </w:pPr>
      <w:r>
        <w:rPr/>
        <w:t>除外。</w:t>
      </w:r>
    </w:p>
    <w:p>
      <w:pPr>
        <w:pStyle w:val="BodyText"/>
        <w:spacing w:before="0"/>
      </w:pPr>
    </w:p>
    <w:p>
      <w:pPr>
        <w:pStyle w:val="BodyText"/>
        <w:spacing w:before="0"/>
      </w:pPr>
    </w:p>
    <w:p>
      <w:pPr>
        <w:pStyle w:val="Heading2"/>
        <w:numPr>
          <w:ilvl w:val="0"/>
          <w:numId w:val="1"/>
        </w:numPr>
        <w:tabs>
          <w:tab w:pos="559" w:val="left" w:leader="none"/>
        </w:tabs>
        <w:spacing w:line="240" w:lineRule="auto" w:before="150" w:after="0"/>
        <w:ind w:left="558" w:right="0" w:hanging="421"/>
        <w:jc w:val="left"/>
      </w:pPr>
      <w:r>
        <w:rPr>
          <w:w w:val="95"/>
        </w:rPr>
        <w:t>保险费的自动垫交</w:t>
      </w:r>
    </w:p>
    <w:p>
      <w:pPr>
        <w:pStyle w:val="BodyText"/>
        <w:spacing w:before="5"/>
        <w:rPr>
          <w:b/>
          <w:sz w:val="11"/>
        </w:rPr>
      </w:pPr>
      <w:r>
        <w:rPr/>
        <w:pict>
          <v:group style="position:absolute;margin-left:52.439999pt;margin-top:9.410942pt;width:494.9pt;height:1.45pt;mso-position-horizontal-relative:page;mso-position-vertical-relative:paragraph;z-index:1120;mso-wrap-distance-left:0;mso-wrap-distance-right:0" coordorigin="1049,188" coordsize="9898,29">
            <v:line style="position:absolute" from="1049,212" to="10946,212" stroked="true" strokeweight=".48pt" strokecolor="#000000">
              <v:stroke dashstyle="solid"/>
            </v:line>
            <v:line style="position:absolute" from="1049,193" to="10946,193" stroked="true" strokeweight=".48pt" strokecolor="#000000">
              <v:stroke dashstyle="solid"/>
            </v:line>
            <w10:wrap type="topAndBottom"/>
          </v:group>
        </w:pict>
      </w:r>
    </w:p>
    <w:p>
      <w:pPr>
        <w:pStyle w:val="BodyText"/>
        <w:spacing w:before="0"/>
        <w:rPr>
          <w:b/>
          <w:sz w:val="15"/>
        </w:rPr>
      </w:pPr>
    </w:p>
    <w:p>
      <w:pPr>
        <w:pStyle w:val="BodyText"/>
        <w:spacing w:line="259" w:lineRule="auto" w:before="33"/>
        <w:ind w:left="137" w:right="164" w:firstLine="427"/>
        <w:jc w:val="both"/>
      </w:pPr>
      <w:r>
        <w:rPr>
          <w:spacing w:val="-6"/>
        </w:rPr>
        <w:t>如果您已选择保险费的自动垫交，则当您的保险费超过宽限期仍未支付，我们将使用本合同当时的现金价值扣除保单各项</w:t>
      </w:r>
      <w:r>
        <w:rPr>
          <w:b/>
        </w:rPr>
        <w:t>欠款</w:t>
      </w:r>
      <w:r>
        <w:rPr>
          <w:spacing w:val="-3"/>
        </w:rPr>
        <w:t>（</w:t>
      </w:r>
      <w:r>
        <w:rPr/>
        <w:t>见12.14）</w:t>
      </w:r>
      <w:r>
        <w:rPr>
          <w:spacing w:val="-3"/>
        </w:rPr>
        <w:t>后，自保险费约定支付日开始自动垫交您欠交的到期保险费， 使本合同继续有效。</w:t>
      </w:r>
    </w:p>
    <w:p>
      <w:pPr>
        <w:pStyle w:val="BodyText"/>
        <w:spacing w:line="259" w:lineRule="auto" w:before="6"/>
        <w:ind w:left="137" w:right="164" w:firstLine="427"/>
        <w:jc w:val="both"/>
      </w:pPr>
      <w:r>
        <w:rPr>
          <w:spacing w:val="-5"/>
        </w:rPr>
        <w:t>如果本合同当时的现金价值扣除保单各项欠款后的余额，不足以垫交您欠交的到期保险费，则本公司将就该余额按日折算垫交期间</w:t>
      </w:r>
      <w:r>
        <w:rPr/>
        <w:t>（</w:t>
      </w:r>
      <w:r>
        <w:rPr>
          <w:spacing w:val="-3"/>
        </w:rPr>
        <w:t>如垫交期间没有超过宽限期则不予垫交</w:t>
      </w:r>
      <w:r>
        <w:rPr>
          <w:spacing w:val="-19"/>
        </w:rPr>
        <w:t>）</w:t>
      </w:r>
      <w:r>
        <w:rPr>
          <w:spacing w:val="-7"/>
        </w:rPr>
        <w:t>，垫交期间结束，本合同效</w:t>
      </w:r>
      <w:r>
        <w:rPr>
          <w:spacing w:val="-3"/>
        </w:rPr>
        <w:t>力中止。垫交保险费视作保单贷款，自保险费约定支付日起开始计息。</w:t>
      </w:r>
    </w:p>
    <w:p>
      <w:pPr>
        <w:pStyle w:val="BodyText"/>
        <w:spacing w:before="0"/>
      </w:pPr>
    </w:p>
    <w:p>
      <w:pPr>
        <w:pStyle w:val="BodyText"/>
        <w:spacing w:before="2"/>
        <w:rPr>
          <w:sz w:val="32"/>
        </w:rPr>
      </w:pPr>
    </w:p>
    <w:p>
      <w:pPr>
        <w:pStyle w:val="Heading2"/>
        <w:numPr>
          <w:ilvl w:val="0"/>
          <w:numId w:val="1"/>
        </w:numPr>
        <w:tabs>
          <w:tab w:pos="559" w:val="left" w:leader="none"/>
        </w:tabs>
        <w:spacing w:line="240" w:lineRule="auto" w:before="0" w:after="0"/>
        <w:ind w:left="558" w:right="0" w:hanging="421"/>
        <w:jc w:val="left"/>
      </w:pPr>
      <w:r>
        <w:rPr/>
        <w:t>保险金的申请</w:t>
      </w:r>
    </w:p>
    <w:p>
      <w:pPr>
        <w:pStyle w:val="BodyText"/>
        <w:spacing w:before="4"/>
        <w:rPr>
          <w:b/>
          <w:sz w:val="11"/>
        </w:rPr>
      </w:pPr>
      <w:r>
        <w:rPr/>
        <w:pict>
          <v:group style="position:absolute;margin-left:52.439999pt;margin-top:9.399297pt;width:494.9pt;height:1.45pt;mso-position-horizontal-relative:page;mso-position-vertical-relative:paragraph;z-index:1144;mso-wrap-distance-left:0;mso-wrap-distance-right:0" coordorigin="1049,188" coordsize="9898,29">
            <v:line style="position:absolute" from="1049,212" to="10946,212" stroked="true" strokeweight=".47998pt" strokecolor="#000000">
              <v:stroke dashstyle="solid"/>
            </v:line>
            <v:line style="position:absolute" from="1049,193" to="10946,193" stroked="true" strokeweight=".48001pt" strokecolor="#000000">
              <v:stroke dashstyle="solid"/>
            </v:line>
            <w10:wrap type="topAndBottom"/>
          </v:group>
        </w:pict>
      </w:r>
    </w:p>
    <w:p>
      <w:pPr>
        <w:pStyle w:val="BodyText"/>
        <w:spacing w:before="2"/>
        <w:rPr>
          <w:b/>
          <w:sz w:val="14"/>
        </w:rPr>
      </w:pPr>
    </w:p>
    <w:p>
      <w:pPr>
        <w:pStyle w:val="Heading3"/>
        <w:numPr>
          <w:ilvl w:val="1"/>
          <w:numId w:val="1"/>
        </w:numPr>
        <w:tabs>
          <w:tab w:pos="623" w:val="left" w:leader="none"/>
        </w:tabs>
        <w:spacing w:line="240" w:lineRule="auto" w:before="26" w:after="0"/>
        <w:ind w:left="622" w:right="0" w:hanging="485"/>
        <w:jc w:val="left"/>
      </w:pPr>
      <w:r>
        <w:rPr>
          <w:w w:val="95"/>
        </w:rPr>
        <w:t>受益人</w:t>
      </w:r>
    </w:p>
    <w:p>
      <w:pPr>
        <w:pStyle w:val="BodyText"/>
        <w:spacing w:line="259" w:lineRule="auto" w:before="16"/>
        <w:ind w:left="565" w:right="4077"/>
      </w:pPr>
      <w:r>
        <w:rPr>
          <w:spacing w:val="-3"/>
        </w:rPr>
        <w:t>您或者被保险人可以指定一人或多人为保险金受益人。 除另有指定外，重大疾病保险金受益人为被保险人本人。</w:t>
      </w:r>
    </w:p>
    <w:p>
      <w:pPr>
        <w:pStyle w:val="BodyText"/>
        <w:spacing w:line="259" w:lineRule="auto" w:before="6"/>
        <w:ind w:left="137" w:right="223" w:firstLine="425"/>
      </w:pPr>
      <w:r>
        <w:rPr>
          <w:spacing w:val="-9"/>
        </w:rPr>
        <w:t>保险金受益人为多人时，可以确定受益顺序和受益份额。如果没有确定顺序，各受益人均按照第一</w:t>
      </w:r>
      <w:r>
        <w:rPr>
          <w:spacing w:val="-6"/>
        </w:rPr>
        <w:t>顺序享有受益权；如果没有确定份额，各受益人按照相等份额享有受益权。</w:t>
      </w:r>
    </w:p>
    <w:p>
      <w:pPr>
        <w:pStyle w:val="BodyText"/>
        <w:spacing w:before="6"/>
        <w:ind w:left="565"/>
      </w:pPr>
      <w:r>
        <w:rPr/>
        <w:t>被保险人为无民事行为能力人或限制民事行为能力人的，可以由其监护人指定受益人。</w:t>
      </w:r>
    </w:p>
    <w:p>
      <w:pPr>
        <w:pStyle w:val="BodyText"/>
        <w:spacing w:line="259" w:lineRule="auto"/>
        <w:ind w:left="137" w:right="116" w:firstLine="427"/>
      </w:pPr>
      <w:r>
        <w:rPr>
          <w:spacing w:val="-3"/>
        </w:rPr>
        <w:t>保险事故发生前，您或被保险人可以变更保险金受益人、受益顺序或受益份额，并书面通知我们。我们收到变更的书面通知后，在保险单或其他保险凭证上批注或附贴批单，变更的生效时间以批注或 者批单上载明的时间为准。</w:t>
      </w:r>
    </w:p>
    <w:p>
      <w:pPr>
        <w:pStyle w:val="BodyText"/>
        <w:spacing w:before="7"/>
        <w:ind w:left="565"/>
      </w:pPr>
      <w:r>
        <w:rPr/>
        <w:t>您在指定和变更保险金受益人、受益顺序或受益份额时，必须经过被保险人同意。</w:t>
      </w:r>
    </w:p>
    <w:p>
      <w:pPr>
        <w:pStyle w:val="BodyText"/>
        <w:spacing w:line="259" w:lineRule="auto"/>
        <w:ind w:left="137" w:right="224" w:firstLine="427"/>
      </w:pPr>
      <w:r>
        <w:rPr>
          <w:spacing w:val="-10"/>
        </w:rPr>
        <w:t>被保险人身故后，有下列情形之一的，保险金作为被保险人的遗产，由我们依照《中华人民共和国</w:t>
      </w:r>
      <w:r>
        <w:rPr>
          <w:spacing w:val="-7"/>
        </w:rPr>
        <w:t>继承法》的规定履行给付保险金的义务：</w:t>
      </w:r>
    </w:p>
    <w:p>
      <w:pPr>
        <w:pStyle w:val="BodyText"/>
        <w:spacing w:before="6"/>
        <w:ind w:left="562"/>
      </w:pPr>
      <w:r>
        <w:rPr/>
        <w:t>（1）没有指定受益人，或者受益人指定不明无法确定的；</w:t>
      </w:r>
    </w:p>
    <w:p>
      <w:pPr>
        <w:pStyle w:val="BodyText"/>
        <w:spacing w:before="23"/>
        <w:ind w:left="562"/>
      </w:pPr>
      <w:r>
        <w:rPr/>
        <w:t>（2）受益人先于被保险人身故，没有其他受益人的；</w:t>
      </w:r>
    </w:p>
    <w:p>
      <w:pPr>
        <w:pStyle w:val="BodyText"/>
        <w:spacing w:before="23"/>
        <w:ind w:left="562"/>
      </w:pPr>
      <w:r>
        <w:rPr/>
        <w:t>（3）受益人依法丧失受益权或者放弃受益权，没有其他受益人的。</w:t>
      </w:r>
    </w:p>
    <w:p>
      <w:pPr>
        <w:pStyle w:val="BodyText"/>
        <w:spacing w:before="8"/>
        <w:rPr>
          <w:sz w:val="25"/>
        </w:rPr>
      </w:pPr>
    </w:p>
    <w:p>
      <w:pPr>
        <w:pStyle w:val="BodyText"/>
        <w:spacing w:before="0"/>
        <w:ind w:left="562"/>
      </w:pPr>
      <w:r>
        <w:rPr/>
        <w:t>受益人与被保险人在同一事件中身故，且不能确定身故先后顺序的，推定受益人身故在先。</w:t>
      </w:r>
    </w:p>
    <w:p>
      <w:pPr>
        <w:pStyle w:val="BodyText"/>
        <w:spacing w:line="259" w:lineRule="auto" w:before="23"/>
        <w:ind w:left="137" w:right="224" w:firstLine="425"/>
      </w:pPr>
      <w:r>
        <w:rPr>
          <w:spacing w:val="-9"/>
        </w:rPr>
        <w:t>受益人故意造成被保险人身故、伤残、疾病的，或者故意杀害被保险人未遂的，该受益人丧失受益权。</w:t>
      </w:r>
    </w:p>
    <w:p>
      <w:pPr>
        <w:pStyle w:val="BodyText"/>
        <w:spacing w:before="11"/>
      </w:pPr>
    </w:p>
    <w:p>
      <w:pPr>
        <w:pStyle w:val="Heading3"/>
        <w:numPr>
          <w:ilvl w:val="1"/>
          <w:numId w:val="1"/>
        </w:numPr>
        <w:tabs>
          <w:tab w:pos="623" w:val="left" w:leader="none"/>
        </w:tabs>
        <w:spacing w:line="240" w:lineRule="auto" w:before="1" w:after="0"/>
        <w:ind w:left="622" w:right="0" w:hanging="485"/>
        <w:jc w:val="left"/>
      </w:pPr>
      <w:r>
        <w:rPr>
          <w:w w:val="95"/>
        </w:rPr>
        <w:t>保险事故通知</w:t>
      </w:r>
    </w:p>
    <w:p>
      <w:pPr>
        <w:pStyle w:val="BodyText"/>
        <w:spacing w:before="16"/>
        <w:ind w:left="565"/>
      </w:pPr>
      <w:r>
        <w:rPr/>
        <w:t>您、被保险人或受益人知道保险事故发生后应当在十日内通知我们。</w:t>
      </w:r>
    </w:p>
    <w:p>
      <w:pPr>
        <w:pStyle w:val="BodyText"/>
        <w:spacing w:line="259" w:lineRule="auto" w:before="23"/>
        <w:ind w:left="137" w:right="165" w:firstLine="427"/>
      </w:pPr>
      <w:r>
        <w:rPr>
          <w:spacing w:val="-7"/>
        </w:rPr>
        <w:t>如果您、被保险人或受益人故意或者因重大过失未及时通知我们，致使保险事故的性质、原因、损</w:t>
      </w:r>
      <w:r>
        <w:rPr>
          <w:spacing w:val="-9"/>
        </w:rPr>
        <w:t>失程度等难以确定的，我们对无法确定的部分，不承担给付保险金的责任，但我们通过其他途径已经及</w:t>
      </w:r>
    </w:p>
    <w:p>
      <w:pPr>
        <w:spacing w:after="0" w:line="259" w:lineRule="auto"/>
        <w:sectPr>
          <w:pgSz w:w="11910" w:h="16840"/>
          <w:pgMar w:top="1380" w:bottom="280" w:left="940" w:right="820"/>
        </w:sectPr>
      </w:pPr>
    </w:p>
    <w:p>
      <w:pPr>
        <w:pStyle w:val="BodyText"/>
        <w:spacing w:line="259" w:lineRule="auto" w:before="20"/>
        <w:ind w:left="117" w:right="366"/>
      </w:pPr>
      <w:r>
        <w:rPr/>
        <w:t>时知道或者应当及时知道保险事故发生或者您虽未及时通知但不影响我们确定保险事故的性质、原因、损失程度的除外。</w:t>
      </w:r>
    </w:p>
    <w:p>
      <w:pPr>
        <w:pStyle w:val="BodyText"/>
        <w:spacing w:before="11"/>
      </w:pPr>
    </w:p>
    <w:p>
      <w:pPr>
        <w:pStyle w:val="Heading3"/>
        <w:numPr>
          <w:ilvl w:val="1"/>
          <w:numId w:val="1"/>
        </w:numPr>
        <w:tabs>
          <w:tab w:pos="603" w:val="left" w:leader="none"/>
        </w:tabs>
        <w:spacing w:line="240" w:lineRule="auto" w:before="1" w:after="0"/>
        <w:ind w:left="602" w:right="0" w:hanging="485"/>
        <w:jc w:val="left"/>
      </w:pPr>
      <w:r>
        <w:rPr>
          <w:w w:val="95"/>
        </w:rPr>
        <w:t>保险金申请</w:t>
      </w:r>
    </w:p>
    <w:p>
      <w:pPr>
        <w:pStyle w:val="BodyText"/>
        <w:spacing w:before="16"/>
        <w:ind w:left="545"/>
      </w:pPr>
      <w:r>
        <w:rPr/>
        <w:t>在申请保险金时，受益人需要填写申请书，并提供下列证明和资料的原件：</w:t>
      </w:r>
    </w:p>
    <w:p>
      <w:pPr>
        <w:pStyle w:val="BodyText"/>
        <w:spacing w:before="8"/>
        <w:rPr>
          <w:sz w:val="25"/>
        </w:rPr>
      </w:pPr>
    </w:p>
    <w:p>
      <w:pPr>
        <w:pStyle w:val="Heading4"/>
        <w:numPr>
          <w:ilvl w:val="2"/>
          <w:numId w:val="1"/>
        </w:numPr>
        <w:tabs>
          <w:tab w:pos="783" w:val="left" w:leader="none"/>
        </w:tabs>
        <w:spacing w:line="240" w:lineRule="auto" w:before="0" w:after="0"/>
        <w:ind w:left="782" w:right="0" w:hanging="665"/>
        <w:jc w:val="left"/>
      </w:pPr>
      <w:r>
        <w:rPr>
          <w:spacing w:val="-1"/>
          <w:w w:val="95"/>
        </w:rPr>
        <w:t>身故保险金申请</w:t>
      </w:r>
    </w:p>
    <w:p>
      <w:pPr>
        <w:pStyle w:val="BodyText"/>
        <w:ind w:left="117"/>
      </w:pPr>
      <w:r>
        <w:rPr/>
        <w:t>（1）保险合同；</w:t>
      </w:r>
    </w:p>
    <w:p>
      <w:pPr>
        <w:pStyle w:val="BodyText"/>
        <w:ind w:left="117"/>
      </w:pPr>
      <w:r>
        <w:rPr/>
        <w:t>（2）身故保险金受益人的有效身份证件；</w:t>
      </w:r>
    </w:p>
    <w:p>
      <w:pPr>
        <w:pStyle w:val="BodyText"/>
        <w:ind w:left="117"/>
      </w:pPr>
      <w:r>
        <w:rPr/>
        <w:t>（3）受益人与被保险人的关系证明；</w:t>
      </w:r>
    </w:p>
    <w:p>
      <w:pPr>
        <w:pStyle w:val="BodyText"/>
        <w:spacing w:line="259" w:lineRule="auto" w:before="25"/>
        <w:ind w:left="684" w:right="450" w:hanging="567"/>
      </w:pPr>
      <w:r>
        <w:rPr/>
        <w:t>（4）由公安部门或本公司指定或认可的医疗机构出具的被保险人的死亡证明、户籍注销证明以及火化证明；如被保险人为宣告死亡，须提供人民法院出具的宣告死亡证明文件；</w:t>
      </w:r>
    </w:p>
    <w:p>
      <w:pPr>
        <w:pStyle w:val="BodyText"/>
        <w:spacing w:before="6"/>
        <w:ind w:left="117"/>
      </w:pPr>
      <w:r>
        <w:rPr/>
        <w:t>（5）所能提供的与确认保险事故的性质、原因、伤害程度等有关的其他证明文件和资料。</w:t>
      </w:r>
    </w:p>
    <w:p>
      <w:pPr>
        <w:pStyle w:val="BodyText"/>
        <w:spacing w:before="8"/>
        <w:rPr>
          <w:sz w:val="25"/>
        </w:rPr>
      </w:pPr>
    </w:p>
    <w:p>
      <w:pPr>
        <w:pStyle w:val="Heading4"/>
        <w:numPr>
          <w:ilvl w:val="2"/>
          <w:numId w:val="1"/>
        </w:numPr>
        <w:tabs>
          <w:tab w:pos="783" w:val="left" w:leader="none"/>
        </w:tabs>
        <w:spacing w:line="240" w:lineRule="auto" w:before="0" w:after="0"/>
        <w:ind w:left="782" w:right="0" w:hanging="665"/>
        <w:jc w:val="left"/>
      </w:pPr>
      <w:r>
        <w:rPr>
          <w:spacing w:val="-1"/>
          <w:w w:val="95"/>
        </w:rPr>
        <w:t>重大疾病保险金申请</w:t>
      </w:r>
    </w:p>
    <w:p>
      <w:pPr>
        <w:pStyle w:val="BodyText"/>
        <w:spacing w:before="23"/>
        <w:ind w:left="117"/>
      </w:pPr>
      <w:r>
        <w:rPr/>
        <w:t>（1）保险合同；</w:t>
      </w:r>
    </w:p>
    <w:p>
      <w:pPr>
        <w:pStyle w:val="BodyText"/>
        <w:spacing w:before="23"/>
        <w:ind w:left="117"/>
      </w:pPr>
      <w:r>
        <w:rPr/>
        <w:t>（2）被保险人的户籍证明与有效身份证件；</w:t>
      </w:r>
    </w:p>
    <w:p>
      <w:pPr>
        <w:pStyle w:val="BodyText"/>
        <w:spacing w:line="259" w:lineRule="auto" w:before="23"/>
        <w:ind w:left="684" w:right="103" w:hanging="567"/>
      </w:pPr>
      <w:r>
        <w:rPr>
          <w:spacing w:val="3"/>
        </w:rPr>
        <w:t>（3）</w:t>
      </w:r>
      <w:r>
        <w:rPr>
          <w:spacing w:val="-7"/>
        </w:rPr>
        <w:t>本公司指定或认可的医疗机构出具的被保险人疾病诊断书或诊断证明、病理检查、血液检验及其他科</w:t>
      </w:r>
      <w:r>
        <w:rPr>
          <w:spacing w:val="-5"/>
        </w:rPr>
        <w:t>学方法检验报告；</w:t>
      </w:r>
    </w:p>
    <w:p>
      <w:pPr>
        <w:pStyle w:val="BodyText"/>
        <w:spacing w:before="6"/>
        <w:ind w:left="117"/>
      </w:pPr>
      <w:r>
        <w:rPr/>
        <w:t>（4）被保险人完整的门急诊病历卡（含首诊病历）；</w:t>
      </w:r>
    </w:p>
    <w:p>
      <w:pPr>
        <w:pStyle w:val="BodyText"/>
        <w:ind w:left="117"/>
      </w:pPr>
      <w:r>
        <w:rPr/>
        <w:t>（5）所能提供的与确认保险事故的性质、原因等有关的其他证明文件和资料。</w:t>
      </w:r>
    </w:p>
    <w:p>
      <w:pPr>
        <w:pStyle w:val="BodyText"/>
        <w:spacing w:before="8"/>
        <w:rPr>
          <w:sz w:val="25"/>
        </w:rPr>
      </w:pPr>
    </w:p>
    <w:p>
      <w:pPr>
        <w:pStyle w:val="BodyText"/>
        <w:spacing w:line="259" w:lineRule="auto" w:before="1"/>
        <w:ind w:left="117" w:right="480" w:firstLine="425"/>
      </w:pPr>
      <w:r>
        <w:rPr>
          <w:spacing w:val="-10"/>
        </w:rPr>
        <w:t>对于以上各项保险金，如受益人委托他人代为申请的，受托人还应提供受益人亲笔签名的授权委托</w:t>
      </w:r>
      <w:r>
        <w:rPr>
          <w:spacing w:val="-3"/>
        </w:rPr>
        <w:t>书、受托人的有效身份证件等相关证明文件。</w:t>
      </w:r>
    </w:p>
    <w:p>
      <w:pPr>
        <w:pStyle w:val="BodyText"/>
        <w:spacing w:before="6"/>
        <w:ind w:left="542"/>
      </w:pPr>
      <w:r>
        <w:rPr/>
        <w:t>保险金作为被保险人遗产时，继承人还必须提供可证明合法继承权的相关权利文件。</w:t>
      </w:r>
    </w:p>
    <w:p>
      <w:pPr>
        <w:pStyle w:val="BodyText"/>
        <w:spacing w:line="259" w:lineRule="auto" w:before="23"/>
        <w:ind w:left="117" w:right="484" w:firstLine="425"/>
      </w:pPr>
      <w:r>
        <w:rPr>
          <w:spacing w:val="-8"/>
        </w:rPr>
        <w:t>受益人或继承人为未成年人或无民事行为能力人的，由其合法监护人代其申请领取保险金，其合法</w:t>
      </w:r>
      <w:r>
        <w:rPr>
          <w:spacing w:val="-5"/>
        </w:rPr>
        <w:t>监护人还必须提供受益人或继承人为未成年人或无民事行为能力人的证明和监护人具有合法监护权的证明。</w:t>
      </w:r>
    </w:p>
    <w:p>
      <w:pPr>
        <w:pStyle w:val="BodyText"/>
        <w:spacing w:before="6"/>
        <w:ind w:left="542"/>
      </w:pPr>
      <w:r>
        <w:rPr/>
        <w:t>以上证明和资料不完整的，我们将一次性通知受益人补充提供有关证明和资料。</w:t>
      </w:r>
    </w:p>
    <w:p>
      <w:pPr>
        <w:pStyle w:val="BodyText"/>
        <w:spacing w:line="259" w:lineRule="auto"/>
        <w:ind w:left="117" w:right="366" w:firstLine="427"/>
        <w:jc w:val="both"/>
        <w:rPr>
          <w:rFonts w:ascii="黑体" w:eastAsia="黑体" w:hint="eastAsia"/>
        </w:rPr>
      </w:pPr>
      <w:r>
        <w:rPr>
          <w:rFonts w:ascii="黑体" w:eastAsia="黑体" w:hint="eastAsia"/>
          <w:spacing w:val="-6"/>
        </w:rPr>
        <w:t>如被保险人身故或患有重大疾病，在申请本合同保险金时，本公司有权根据实际情况，要求由本公</w:t>
      </w:r>
      <w:r>
        <w:rPr>
          <w:rFonts w:ascii="黑体" w:eastAsia="黑体" w:hint="eastAsia"/>
          <w:spacing w:val="-7"/>
        </w:rPr>
        <w:t>司指定或认可的医疗机构或本公司指定的司法鉴定机构对被保险人进行身体检查、检验或对保险事故进</w:t>
      </w:r>
      <w:r>
        <w:rPr>
          <w:rFonts w:ascii="黑体" w:eastAsia="黑体" w:hint="eastAsia"/>
          <w:spacing w:val="-5"/>
        </w:rPr>
        <w:t>行必要的鉴定。如被保险人拒绝检查、检验或鉴定，或因您、被保险人或受益人的原因导致前述检查、</w:t>
      </w:r>
      <w:r>
        <w:rPr>
          <w:rFonts w:ascii="黑体" w:eastAsia="黑体" w:hint="eastAsia"/>
          <w:spacing w:val="-10"/>
        </w:rPr>
        <w:t>检验、鉴定无法进行，或检查、检验、鉴定结果不符合本合同关于保险事故的约定，本公司不承担给付</w:t>
      </w:r>
      <w:r>
        <w:rPr>
          <w:rFonts w:ascii="黑体" w:eastAsia="黑体" w:hint="eastAsia"/>
          <w:spacing w:val="-6"/>
        </w:rPr>
        <w:t>保险金的责任。</w:t>
      </w:r>
    </w:p>
    <w:p>
      <w:pPr>
        <w:pStyle w:val="BodyText"/>
        <w:spacing w:before="11"/>
        <w:rPr>
          <w:rFonts w:ascii="黑体"/>
        </w:rPr>
      </w:pPr>
    </w:p>
    <w:p>
      <w:pPr>
        <w:pStyle w:val="Heading3"/>
        <w:numPr>
          <w:ilvl w:val="1"/>
          <w:numId w:val="3"/>
        </w:numPr>
        <w:tabs>
          <w:tab w:pos="603" w:val="left" w:leader="none"/>
        </w:tabs>
        <w:spacing w:line="240" w:lineRule="auto" w:before="0" w:after="0"/>
        <w:ind w:left="602" w:right="0" w:hanging="485"/>
        <w:jc w:val="left"/>
      </w:pPr>
      <w:r>
        <w:rPr>
          <w:w w:val="95"/>
        </w:rPr>
        <w:t>保险金给付</w:t>
      </w:r>
    </w:p>
    <w:p>
      <w:pPr>
        <w:pStyle w:val="BodyText"/>
        <w:spacing w:line="259" w:lineRule="auto" w:before="16"/>
        <w:ind w:left="117" w:right="365" w:firstLine="422"/>
        <w:jc w:val="both"/>
      </w:pPr>
      <w:r>
        <w:rPr>
          <w:spacing w:val="-5"/>
        </w:rPr>
        <w:t>我们在收到给付保险金的申请书及本合同约定的证明和资料后，将在五个工作日内作出核定；情形</w:t>
      </w:r>
      <w:r>
        <w:rPr>
          <w:spacing w:val="-9"/>
        </w:rPr>
        <w:t>复杂的，在三十日内作出核定。您或受益人补充提供有关证明和资料的时间，不计入前述三十日的核定</w:t>
      </w:r>
      <w:r>
        <w:rPr>
          <w:spacing w:val="-3"/>
        </w:rPr>
        <w:t>时间内。对属于保险责任的，我们在与受益人达成给付保险金的协议后十日内，履行给付保险金义务。</w:t>
      </w:r>
    </w:p>
    <w:p>
      <w:pPr>
        <w:pStyle w:val="BodyText"/>
        <w:spacing w:line="259" w:lineRule="auto" w:before="6"/>
        <w:ind w:left="117" w:right="483" w:firstLine="422"/>
      </w:pPr>
      <w:r>
        <w:rPr>
          <w:spacing w:val="-9"/>
        </w:rPr>
        <w:t>我们未及时履行前款规定义务的，对属于保险责任的，除支付保险金外，应当赔偿受益人因此受到</w:t>
      </w:r>
      <w:r>
        <w:rPr>
          <w:spacing w:val="-1"/>
        </w:rPr>
        <w:t>的</w:t>
      </w:r>
      <w:r>
        <w:rPr>
          <w:b/>
          <w:spacing w:val="-1"/>
        </w:rPr>
        <w:t>利息损失</w:t>
      </w:r>
      <w:r>
        <w:rPr>
          <w:spacing w:val="-1"/>
        </w:rPr>
        <w:t>（见</w:t>
      </w:r>
      <w:r>
        <w:rPr/>
        <w:t>12.15）。</w:t>
      </w:r>
    </w:p>
    <w:p>
      <w:pPr>
        <w:pStyle w:val="BodyText"/>
        <w:spacing w:line="259" w:lineRule="auto" w:before="6"/>
        <w:ind w:left="117" w:right="483" w:firstLine="422"/>
      </w:pPr>
      <w:r>
        <w:rPr>
          <w:spacing w:val="-12"/>
        </w:rPr>
        <w:t>对不属于保险责任的，我们自作出核定之日起三日内向受益人发出拒绝给付保险金通知书并说明理由。</w:t>
      </w:r>
    </w:p>
    <w:p>
      <w:pPr>
        <w:pStyle w:val="BodyText"/>
        <w:spacing w:before="6"/>
        <w:ind w:left="540"/>
      </w:pPr>
      <w:r>
        <w:rPr/>
        <w:t>我们在收到保险金给付申请书及有关证明和资料之日起六十日内，对给付保险金的数额不能确定</w:t>
      </w:r>
    </w:p>
    <w:p>
      <w:pPr>
        <w:spacing w:after="0"/>
        <w:sectPr>
          <w:pgSz w:w="11910" w:h="16840"/>
          <w:pgMar w:top="1380" w:bottom="280" w:left="960" w:right="560"/>
        </w:sectPr>
      </w:pPr>
    </w:p>
    <w:p>
      <w:pPr>
        <w:pStyle w:val="BodyText"/>
        <w:spacing w:line="259" w:lineRule="auto" w:before="20"/>
        <w:ind w:left="137" w:right="288"/>
      </w:pPr>
      <w:r>
        <w:rPr/>
        <w:t>的，根据已有证明和资料可以确定的数额先予支付；我们最终确定给付保险金的数额后，将支付相应的差额。</w:t>
      </w:r>
    </w:p>
    <w:p>
      <w:pPr>
        <w:pStyle w:val="BodyText"/>
        <w:spacing w:before="11"/>
      </w:pPr>
    </w:p>
    <w:p>
      <w:pPr>
        <w:pStyle w:val="Heading3"/>
        <w:numPr>
          <w:ilvl w:val="1"/>
          <w:numId w:val="3"/>
        </w:numPr>
        <w:tabs>
          <w:tab w:pos="623" w:val="left" w:leader="none"/>
        </w:tabs>
        <w:spacing w:line="240" w:lineRule="auto" w:before="1" w:after="0"/>
        <w:ind w:left="622" w:right="0" w:hanging="485"/>
        <w:jc w:val="left"/>
      </w:pPr>
      <w:r>
        <w:rPr>
          <w:w w:val="95"/>
        </w:rPr>
        <w:t>宣告死亡的处理</w:t>
      </w:r>
    </w:p>
    <w:p>
      <w:pPr>
        <w:pStyle w:val="BodyText"/>
        <w:spacing w:line="259" w:lineRule="auto" w:before="16"/>
        <w:ind w:left="137" w:right="125" w:firstLine="422"/>
      </w:pPr>
      <w:r>
        <w:rPr>
          <w:spacing w:val="-6"/>
        </w:rPr>
        <w:t>在本合同有效期内，如果被保险人失踪且被法院宣告死亡的，我们以法院判决宣告死亡之日作为被</w:t>
      </w:r>
      <w:r>
        <w:rPr>
          <w:spacing w:val="-5"/>
        </w:rPr>
        <w:t>保险人的死亡时间，按照本合同的约定给付身故保险金。</w:t>
      </w:r>
    </w:p>
    <w:p>
      <w:pPr>
        <w:pStyle w:val="BodyText"/>
        <w:spacing w:line="259" w:lineRule="auto" w:before="6"/>
        <w:ind w:left="137" w:right="182" w:firstLine="422"/>
      </w:pPr>
      <w:r>
        <w:rPr>
          <w:spacing w:val="-7"/>
        </w:rPr>
        <w:t>如果被保险人在宣告死亡后重新出现或者确知其没有死亡的，受益人应于知道或应当知道后三十日</w:t>
      </w:r>
      <w:r>
        <w:rPr>
          <w:spacing w:val="-3"/>
        </w:rPr>
        <w:t>内向我们退还已领取的身故保险金。</w:t>
      </w:r>
    </w:p>
    <w:p>
      <w:pPr>
        <w:pStyle w:val="BodyText"/>
        <w:spacing w:before="12"/>
      </w:pPr>
    </w:p>
    <w:p>
      <w:pPr>
        <w:pStyle w:val="Heading3"/>
        <w:numPr>
          <w:ilvl w:val="1"/>
          <w:numId w:val="3"/>
        </w:numPr>
        <w:tabs>
          <w:tab w:pos="623" w:val="left" w:leader="none"/>
        </w:tabs>
        <w:spacing w:line="240" w:lineRule="auto" w:before="0" w:after="0"/>
        <w:ind w:left="622" w:right="0" w:hanging="485"/>
        <w:jc w:val="left"/>
      </w:pPr>
      <w:r>
        <w:rPr>
          <w:w w:val="95"/>
        </w:rPr>
        <w:t>诉讼时效</w:t>
      </w:r>
    </w:p>
    <w:p>
      <w:pPr>
        <w:pStyle w:val="BodyText"/>
        <w:spacing w:line="259" w:lineRule="auto" w:before="17"/>
        <w:ind w:left="137" w:right="86" w:firstLine="427"/>
      </w:pPr>
      <w:r>
        <w:rPr/>
        <w:t>受益人向我们请求给付保险金的诉讼时效期间为二年，自其知道或者应当知道保险事故发生之日起计算。</w:t>
      </w:r>
    </w:p>
    <w:p>
      <w:pPr>
        <w:pStyle w:val="BodyText"/>
        <w:spacing w:before="0"/>
      </w:pPr>
    </w:p>
    <w:p>
      <w:pPr>
        <w:pStyle w:val="BodyText"/>
        <w:spacing w:before="2"/>
        <w:rPr>
          <w:sz w:val="32"/>
        </w:rPr>
      </w:pPr>
    </w:p>
    <w:p>
      <w:pPr>
        <w:pStyle w:val="Heading2"/>
        <w:numPr>
          <w:ilvl w:val="0"/>
          <w:numId w:val="1"/>
        </w:numPr>
        <w:tabs>
          <w:tab w:pos="559" w:val="left" w:leader="none"/>
        </w:tabs>
        <w:spacing w:line="240" w:lineRule="auto" w:before="0" w:after="0"/>
        <w:ind w:left="558" w:right="0" w:hanging="421"/>
        <w:jc w:val="left"/>
      </w:pPr>
      <w:r>
        <w:rPr/>
        <w:t>保单贷款</w:t>
      </w:r>
    </w:p>
    <w:p>
      <w:pPr>
        <w:pStyle w:val="BodyText"/>
        <w:spacing w:before="4"/>
        <w:rPr>
          <w:b/>
          <w:sz w:val="11"/>
        </w:rPr>
      </w:pPr>
      <w:r>
        <w:rPr/>
        <w:pict>
          <v:group style="position:absolute;margin-left:52.439999pt;margin-top:9.394943pt;width:494.9pt;height:1.45pt;mso-position-horizontal-relative:page;mso-position-vertical-relative:paragraph;z-index:1168;mso-wrap-distance-left:0;mso-wrap-distance-right:0" coordorigin="1049,188" coordsize="9898,29">
            <v:line style="position:absolute" from="1049,212" to="10946,212" stroked="true" strokeweight=".48001pt" strokecolor="#000000">
              <v:stroke dashstyle="solid"/>
            </v:line>
            <v:line style="position:absolute" from="1049,193" to="10946,193" stroked="true" strokeweight=".48001pt" strokecolor="#000000">
              <v:stroke dashstyle="solid"/>
            </v:line>
            <w10:wrap type="topAndBottom"/>
          </v:group>
        </w:pict>
      </w:r>
    </w:p>
    <w:p>
      <w:pPr>
        <w:pStyle w:val="BodyText"/>
        <w:spacing w:before="0"/>
        <w:rPr>
          <w:b/>
          <w:sz w:val="15"/>
        </w:rPr>
      </w:pPr>
    </w:p>
    <w:p>
      <w:pPr>
        <w:pStyle w:val="BodyText"/>
        <w:spacing w:line="259" w:lineRule="auto" w:before="33"/>
        <w:ind w:left="137" w:right="183" w:firstLine="425"/>
      </w:pPr>
      <w:r>
        <w:rPr>
          <w:spacing w:val="-9"/>
        </w:rPr>
        <w:t>在合同有效期内且已过犹豫期的，您可以申请并经我们审核同意后办理保单贷款。贷款金额不得超</w:t>
      </w:r>
      <w:r>
        <w:rPr>
          <w:spacing w:val="-6"/>
        </w:rPr>
        <w:t>过本合同现金价值百分之八十扣除各项欠款后的余额</w:t>
      </w:r>
      <w:r>
        <w:rPr/>
        <w:t>（</w:t>
      </w:r>
      <w:r>
        <w:rPr>
          <w:spacing w:val="-3"/>
        </w:rPr>
        <w:t>自动垫交保险费视为保单贷款的情形除外</w:t>
      </w:r>
      <w:r>
        <w:rPr/>
        <w:t>）， </w:t>
      </w:r>
      <w:r>
        <w:rPr>
          <w:spacing w:val="-3"/>
        </w:rPr>
        <w:t>每次贷款期限最长为六个月。</w:t>
      </w:r>
    </w:p>
    <w:p>
      <w:pPr>
        <w:pStyle w:val="BodyText"/>
        <w:spacing w:line="259" w:lineRule="auto" w:before="6"/>
        <w:ind w:left="137" w:right="184" w:firstLine="425"/>
      </w:pPr>
      <w:r>
        <w:rPr>
          <w:spacing w:val="-7"/>
        </w:rPr>
        <w:t>保单贷款的利息按签订贷款协议时我们最新已宣布的贷款利率计算，并沿用至该次贷款期满。贷款</w:t>
      </w:r>
      <w:r>
        <w:rPr>
          <w:spacing w:val="-5"/>
        </w:rPr>
        <w:t>本息应在贷款期满之日一并归还。如您到期未能足额偿还贷款本息，则您所欠的贷款本金及利息将作</w:t>
      </w:r>
      <w:r>
        <w:rPr>
          <w:spacing w:val="-4"/>
        </w:rPr>
        <w:t>为新的贷款本金，按照当时我们最新已宣布的贷款利率计息。</w:t>
      </w:r>
    </w:p>
    <w:p>
      <w:pPr>
        <w:pStyle w:val="BodyText"/>
        <w:spacing w:line="259" w:lineRule="auto" w:before="6"/>
        <w:ind w:left="137" w:right="180" w:firstLine="425"/>
      </w:pPr>
      <w:r>
        <w:rPr>
          <w:spacing w:val="-9"/>
        </w:rPr>
        <w:t>我们每年宣布两次贷款利率，时间分别为一月一日和七月一日，贷款利率由我们参考中国人民银行</w:t>
      </w:r>
      <w:r>
        <w:rPr>
          <w:spacing w:val="-3"/>
        </w:rPr>
        <w:t>公布的同期六个月人民币贷款利率后确定。</w:t>
      </w:r>
    </w:p>
    <w:p>
      <w:pPr>
        <w:pStyle w:val="BodyText"/>
        <w:spacing w:line="259" w:lineRule="auto" w:before="6"/>
        <w:ind w:left="137" w:right="182" w:firstLine="425"/>
      </w:pPr>
      <w:r>
        <w:rPr>
          <w:spacing w:val="-7"/>
        </w:rPr>
        <w:t>当未偿还贷款本金及利息加上其他各项欠款达到本合同现金价值时，本合同现金价值将全部用于抵</w:t>
      </w:r>
      <w:r>
        <w:rPr>
          <w:spacing w:val="-3"/>
        </w:rPr>
        <w:t>扣前述各项款项，本合同于当日二十四时效力中止。</w:t>
      </w:r>
    </w:p>
    <w:p>
      <w:pPr>
        <w:pStyle w:val="BodyText"/>
        <w:spacing w:before="0"/>
      </w:pPr>
    </w:p>
    <w:p>
      <w:pPr>
        <w:pStyle w:val="BodyText"/>
        <w:spacing w:before="3"/>
        <w:rPr>
          <w:sz w:val="32"/>
        </w:rPr>
      </w:pPr>
    </w:p>
    <w:p>
      <w:pPr>
        <w:pStyle w:val="Heading2"/>
        <w:numPr>
          <w:ilvl w:val="0"/>
          <w:numId w:val="1"/>
        </w:numPr>
        <w:tabs>
          <w:tab w:pos="559" w:val="left" w:leader="none"/>
        </w:tabs>
        <w:spacing w:line="240" w:lineRule="auto" w:before="0" w:after="0"/>
        <w:ind w:left="558" w:right="0" w:hanging="421"/>
        <w:jc w:val="left"/>
      </w:pPr>
      <w:r>
        <w:rPr>
          <w:w w:val="95"/>
        </w:rPr>
        <w:t>保险金额的变更</w:t>
      </w:r>
    </w:p>
    <w:p>
      <w:pPr>
        <w:pStyle w:val="BodyText"/>
        <w:spacing w:before="5"/>
        <w:rPr>
          <w:b/>
          <w:sz w:val="11"/>
        </w:rPr>
      </w:pPr>
      <w:r>
        <w:rPr/>
        <w:pict>
          <v:group style="position:absolute;margin-left:52.439999pt;margin-top:9.419307pt;width:494.9pt;height:1.45pt;mso-position-horizontal-relative:page;mso-position-vertical-relative:paragraph;z-index:1192;mso-wrap-distance-left:0;mso-wrap-distance-right:0" coordorigin="1049,188" coordsize="9898,29">
            <v:line style="position:absolute" from="1049,212" to="10946,212" stroked="true" strokeweight=".47998pt" strokecolor="#000000">
              <v:stroke dashstyle="solid"/>
            </v:line>
            <v:line style="position:absolute" from="1049,193" to="10946,193" stroked="true" strokeweight=".48004pt" strokecolor="#000000">
              <v:stroke dashstyle="solid"/>
            </v:line>
            <w10:wrap type="topAndBottom"/>
          </v:group>
        </w:pict>
      </w:r>
    </w:p>
    <w:p>
      <w:pPr>
        <w:pStyle w:val="BodyText"/>
        <w:spacing w:before="0"/>
        <w:rPr>
          <w:b/>
          <w:sz w:val="15"/>
        </w:rPr>
      </w:pPr>
    </w:p>
    <w:p>
      <w:pPr>
        <w:pStyle w:val="BodyText"/>
        <w:spacing w:line="259" w:lineRule="auto" w:before="33"/>
        <w:ind w:left="137" w:right="182" w:firstLine="425"/>
      </w:pPr>
      <w:r>
        <w:rPr>
          <w:spacing w:val="-9"/>
        </w:rPr>
        <w:t>在本合同有效期内，您可以申请并经我们审核同意后，减少本合同的保险金额，减少后的保险金额</w:t>
      </w:r>
      <w:r>
        <w:rPr>
          <w:spacing w:val="-3"/>
        </w:rPr>
        <w:t>不得低于投保时我们规定的最低保险金额，保险金额减少的部分按退保处理。</w:t>
      </w:r>
    </w:p>
    <w:p>
      <w:pPr>
        <w:pStyle w:val="BodyText"/>
        <w:spacing w:before="0"/>
      </w:pPr>
    </w:p>
    <w:p>
      <w:pPr>
        <w:pStyle w:val="BodyText"/>
        <w:spacing w:before="2"/>
        <w:rPr>
          <w:sz w:val="32"/>
        </w:rPr>
      </w:pPr>
    </w:p>
    <w:p>
      <w:pPr>
        <w:pStyle w:val="Heading2"/>
        <w:numPr>
          <w:ilvl w:val="0"/>
          <w:numId w:val="1"/>
        </w:numPr>
        <w:tabs>
          <w:tab w:pos="559" w:val="left" w:leader="none"/>
        </w:tabs>
        <w:spacing w:line="240" w:lineRule="auto" w:before="0" w:after="0"/>
        <w:ind w:left="558" w:right="0" w:hanging="421"/>
        <w:jc w:val="left"/>
      </w:pPr>
      <w:r>
        <w:rPr>
          <w:w w:val="95"/>
        </w:rPr>
        <w:t>合同效力的中止及恢复</w:t>
      </w:r>
    </w:p>
    <w:p>
      <w:pPr>
        <w:pStyle w:val="BodyText"/>
        <w:spacing w:before="5"/>
        <w:rPr>
          <w:b/>
          <w:sz w:val="11"/>
        </w:rPr>
      </w:pPr>
      <w:r>
        <w:rPr/>
        <w:pict>
          <v:group style="position:absolute;margin-left:52.439999pt;margin-top:9.429648pt;width:494.9pt;height:1.45pt;mso-position-horizontal-relative:page;mso-position-vertical-relative:paragraph;z-index:1216;mso-wrap-distance-left:0;mso-wrap-distance-right:0" coordorigin="1049,189" coordsize="9898,29">
            <v:line style="position:absolute" from="1049,213" to="10946,213" stroked="true" strokeweight=".48004pt" strokecolor="#000000">
              <v:stroke dashstyle="solid"/>
            </v:line>
            <v:line style="position:absolute" from="1049,193" to="10946,193" stroked="true" strokeweight=".47998pt" strokecolor="#000000">
              <v:stroke dashstyle="solid"/>
            </v:line>
            <w10:wrap type="topAndBottom"/>
          </v:group>
        </w:pict>
      </w:r>
    </w:p>
    <w:p>
      <w:pPr>
        <w:pStyle w:val="BodyText"/>
        <w:spacing w:before="2"/>
        <w:rPr>
          <w:b/>
          <w:sz w:val="14"/>
        </w:rPr>
      </w:pPr>
    </w:p>
    <w:p>
      <w:pPr>
        <w:pStyle w:val="Heading3"/>
        <w:numPr>
          <w:ilvl w:val="1"/>
          <w:numId w:val="1"/>
        </w:numPr>
        <w:tabs>
          <w:tab w:pos="623" w:val="left" w:leader="none"/>
        </w:tabs>
        <w:spacing w:line="240" w:lineRule="auto" w:before="26" w:after="0"/>
        <w:ind w:left="622" w:right="0" w:hanging="485"/>
        <w:jc w:val="left"/>
      </w:pPr>
      <w:r>
        <w:rPr>
          <w:w w:val="95"/>
        </w:rPr>
        <w:t>效力中止</w:t>
      </w:r>
    </w:p>
    <w:p>
      <w:pPr>
        <w:pStyle w:val="BodyText"/>
        <w:spacing w:before="16"/>
        <w:ind w:left="565"/>
      </w:pPr>
      <w:r>
        <w:rPr/>
        <w:t>本合同效力中止期间，我们不承担保险责任。</w:t>
      </w:r>
    </w:p>
    <w:p>
      <w:pPr>
        <w:pStyle w:val="BodyText"/>
        <w:spacing w:before="3"/>
        <w:rPr>
          <w:sz w:val="24"/>
        </w:rPr>
      </w:pPr>
    </w:p>
    <w:p>
      <w:pPr>
        <w:pStyle w:val="Heading3"/>
        <w:numPr>
          <w:ilvl w:val="1"/>
          <w:numId w:val="1"/>
        </w:numPr>
        <w:tabs>
          <w:tab w:pos="623" w:val="left" w:leader="none"/>
        </w:tabs>
        <w:spacing w:line="240" w:lineRule="auto" w:before="0" w:after="0"/>
        <w:ind w:left="622" w:right="0" w:hanging="485"/>
        <w:jc w:val="left"/>
      </w:pPr>
      <w:r>
        <w:rPr>
          <w:w w:val="95"/>
        </w:rPr>
        <w:t>效力恢复</w:t>
      </w:r>
    </w:p>
    <w:p>
      <w:pPr>
        <w:pStyle w:val="BodyText"/>
        <w:spacing w:before="16"/>
        <w:ind w:left="565"/>
      </w:pPr>
      <w:r>
        <w:rPr/>
        <w:t>本合同效力中止后二年内，您可以申请恢复合同效力，并提供被保险人的健康声明书、我们指定或</w:t>
      </w:r>
    </w:p>
    <w:p>
      <w:pPr>
        <w:spacing w:after="0"/>
        <w:sectPr>
          <w:pgSz w:w="11910" w:h="16840"/>
          <w:pgMar w:top="1380" w:bottom="280" w:left="940" w:right="860"/>
        </w:sectPr>
      </w:pPr>
    </w:p>
    <w:p>
      <w:pPr>
        <w:pStyle w:val="BodyText"/>
        <w:spacing w:line="259" w:lineRule="auto" w:before="20"/>
        <w:ind w:left="137" w:right="130"/>
      </w:pPr>
      <w:r>
        <w:rPr>
          <w:spacing w:val="-6"/>
        </w:rPr>
        <w:t>认可的医疗机构出具的体检报告书，在经我们审核同意并由您补足各项欠款后的次日零时起，本合同的</w:t>
      </w:r>
      <w:r>
        <w:rPr>
          <w:spacing w:val="-5"/>
        </w:rPr>
        <w:t>效力恢复。</w:t>
      </w:r>
    </w:p>
    <w:p>
      <w:pPr>
        <w:pStyle w:val="BodyText"/>
        <w:spacing w:line="259" w:lineRule="auto" w:before="6"/>
        <w:ind w:left="137" w:right="122" w:firstLine="427"/>
      </w:pPr>
      <w:r>
        <w:rPr>
          <w:spacing w:val="-6"/>
        </w:rPr>
        <w:t>自本合同效力中止之日起满二年，您和我们未达成协议恢复合同效力的，我们有权解除合同。本合</w:t>
      </w:r>
      <w:r>
        <w:rPr>
          <w:spacing w:val="-3"/>
        </w:rPr>
        <w:t>同自解除之日起终止，我们将向您退还合同效力中止时的现金价值。</w:t>
      </w:r>
    </w:p>
    <w:p>
      <w:pPr>
        <w:pStyle w:val="BodyText"/>
        <w:spacing w:before="0"/>
      </w:pPr>
    </w:p>
    <w:p>
      <w:pPr>
        <w:pStyle w:val="BodyText"/>
        <w:spacing w:before="2"/>
        <w:rPr>
          <w:sz w:val="32"/>
        </w:rPr>
      </w:pPr>
    </w:p>
    <w:p>
      <w:pPr>
        <w:pStyle w:val="Heading2"/>
        <w:numPr>
          <w:ilvl w:val="0"/>
          <w:numId w:val="1"/>
        </w:numPr>
        <w:tabs>
          <w:tab w:pos="704" w:val="left" w:leader="none"/>
          <w:tab w:pos="705" w:val="left" w:leader="none"/>
        </w:tabs>
        <w:spacing w:line="240" w:lineRule="auto" w:before="0" w:after="0"/>
        <w:ind w:left="704" w:right="0" w:hanging="567"/>
        <w:jc w:val="left"/>
      </w:pPr>
      <w:r>
        <w:rPr/>
        <w:t>合同解除</w:t>
      </w:r>
    </w:p>
    <w:p>
      <w:pPr>
        <w:pStyle w:val="BodyText"/>
        <w:spacing w:before="5"/>
        <w:rPr>
          <w:b/>
          <w:sz w:val="11"/>
        </w:rPr>
      </w:pPr>
      <w:r>
        <w:rPr/>
        <w:pict>
          <v:group style="position:absolute;margin-left:52.439999pt;margin-top:9.414759pt;width:494.9pt;height:1.45pt;mso-position-horizontal-relative:page;mso-position-vertical-relative:paragraph;z-index:1240;mso-wrap-distance-left:0;mso-wrap-distance-right:0" coordorigin="1049,188" coordsize="9898,29">
            <v:line style="position:absolute" from="1049,212" to="10946,212" stroked="true" strokeweight=".48pt" strokecolor="#000000">
              <v:stroke dashstyle="solid"/>
            </v:line>
            <v:line style="position:absolute" from="1049,193" to="10946,193" stroked="true" strokeweight=".48pt" strokecolor="#000000">
              <v:stroke dashstyle="solid"/>
            </v:line>
            <w10:wrap type="topAndBottom"/>
          </v:group>
        </w:pict>
      </w:r>
    </w:p>
    <w:p>
      <w:pPr>
        <w:pStyle w:val="BodyText"/>
        <w:spacing w:before="2"/>
        <w:rPr>
          <w:b/>
          <w:sz w:val="14"/>
        </w:rPr>
      </w:pPr>
    </w:p>
    <w:p>
      <w:pPr>
        <w:pStyle w:val="Heading3"/>
        <w:numPr>
          <w:ilvl w:val="1"/>
          <w:numId w:val="1"/>
        </w:numPr>
        <w:tabs>
          <w:tab w:pos="623" w:val="left" w:leader="none"/>
        </w:tabs>
        <w:spacing w:line="240" w:lineRule="auto" w:before="26" w:after="0"/>
        <w:ind w:left="622" w:right="0" w:hanging="485"/>
        <w:jc w:val="left"/>
      </w:pPr>
      <w:r>
        <w:rPr>
          <w:w w:val="95"/>
        </w:rPr>
        <w:t>您解除合同的手续及风险</w:t>
      </w:r>
    </w:p>
    <w:p>
      <w:pPr>
        <w:pStyle w:val="BodyText"/>
        <w:spacing w:line="259" w:lineRule="auto" w:before="17"/>
        <w:ind w:left="137" w:right="180" w:firstLine="425"/>
      </w:pPr>
      <w:r>
        <w:rPr>
          <w:spacing w:val="-5"/>
        </w:rPr>
        <w:t>如果您在犹豫期后申请解除本合同</w:t>
      </w:r>
      <w:r>
        <w:rPr/>
        <w:t>（</w:t>
      </w:r>
      <w:r>
        <w:rPr>
          <w:spacing w:val="-8"/>
        </w:rPr>
        <w:t>简称“退保”</w:t>
      </w:r>
      <w:r>
        <w:rPr>
          <w:spacing w:val="-18"/>
        </w:rPr>
        <w:t>），</w:t>
      </w:r>
      <w:r>
        <w:rPr>
          <w:spacing w:val="-5"/>
        </w:rPr>
        <w:t>请您填写解除合同申请书，并提供下列证明</w:t>
      </w:r>
      <w:r>
        <w:rPr>
          <w:spacing w:val="-2"/>
        </w:rPr>
        <w:t>和资料的原件：</w:t>
      </w:r>
    </w:p>
    <w:p>
      <w:pPr>
        <w:pStyle w:val="BodyText"/>
        <w:spacing w:before="6"/>
        <w:ind w:left="137"/>
      </w:pPr>
      <w:r>
        <w:rPr/>
        <w:t>（1）您的有效身份证件；</w:t>
      </w:r>
    </w:p>
    <w:p>
      <w:pPr>
        <w:pStyle w:val="BodyText"/>
        <w:spacing w:before="23"/>
        <w:ind w:left="137"/>
      </w:pPr>
      <w:r>
        <w:rPr/>
        <w:t>（2）保险合同。</w:t>
      </w:r>
    </w:p>
    <w:p>
      <w:pPr>
        <w:pStyle w:val="BodyText"/>
        <w:spacing w:line="259" w:lineRule="auto" w:before="23"/>
        <w:ind w:left="137" w:right="180" w:firstLine="425"/>
      </w:pPr>
      <w:r>
        <w:rPr>
          <w:spacing w:val="-9"/>
        </w:rPr>
        <w:t>自我们收到解除合同申请书时起，本合同效力终止。我们将于收到上述证明和资料后三十日内退还</w:t>
      </w:r>
      <w:r>
        <w:rPr>
          <w:spacing w:val="-6"/>
        </w:rPr>
        <w:t>本合同终止时的现金价值。</w:t>
      </w:r>
    </w:p>
    <w:p>
      <w:pPr>
        <w:pStyle w:val="BodyText"/>
        <w:spacing w:before="6"/>
        <w:ind w:left="562"/>
        <w:rPr>
          <w:rFonts w:ascii="黑体" w:eastAsia="黑体" w:hint="eastAsia"/>
        </w:rPr>
      </w:pPr>
      <w:r>
        <w:rPr>
          <w:rFonts w:ascii="黑体" w:eastAsia="黑体" w:hint="eastAsia"/>
        </w:rPr>
        <w:t>您在犹豫期后解除合同会遭受一定损失。</w:t>
      </w:r>
    </w:p>
    <w:p>
      <w:pPr>
        <w:pStyle w:val="BodyText"/>
        <w:spacing w:before="0"/>
        <w:rPr>
          <w:rFonts w:ascii="黑体"/>
        </w:rPr>
      </w:pPr>
    </w:p>
    <w:p>
      <w:pPr>
        <w:pStyle w:val="BodyText"/>
        <w:spacing w:before="0"/>
        <w:rPr>
          <w:rFonts w:ascii="黑体"/>
        </w:rPr>
      </w:pPr>
    </w:p>
    <w:p>
      <w:pPr>
        <w:pStyle w:val="Heading2"/>
        <w:numPr>
          <w:ilvl w:val="0"/>
          <w:numId w:val="1"/>
        </w:numPr>
        <w:tabs>
          <w:tab w:pos="705" w:val="left" w:leader="none"/>
        </w:tabs>
        <w:spacing w:line="240" w:lineRule="auto" w:before="151" w:after="0"/>
        <w:ind w:left="704" w:right="0" w:hanging="567"/>
        <w:jc w:val="left"/>
      </w:pPr>
      <w:r>
        <w:rPr>
          <w:w w:val="95"/>
        </w:rPr>
        <w:t>说明、告知及解除权限制</w:t>
      </w:r>
    </w:p>
    <w:p>
      <w:pPr>
        <w:pStyle w:val="BodyText"/>
        <w:spacing w:before="5"/>
        <w:rPr>
          <w:b/>
          <w:sz w:val="11"/>
        </w:rPr>
      </w:pPr>
      <w:r>
        <w:rPr/>
        <w:pict>
          <v:group style="position:absolute;margin-left:52.439999pt;margin-top:9.40925pt;width:494.9pt;height:1.45pt;mso-position-horizontal-relative:page;mso-position-vertical-relative:paragraph;z-index:1264;mso-wrap-distance-left:0;mso-wrap-distance-right:0" coordorigin="1049,188" coordsize="9898,29">
            <v:line style="position:absolute" from="1049,212" to="10946,212" stroked="true" strokeweight=".47998pt" strokecolor="#000000">
              <v:stroke dashstyle="solid"/>
            </v:line>
            <v:line style="position:absolute" from="1049,193" to="10946,193" stroked="true" strokeweight=".48001pt" strokecolor="#000000">
              <v:stroke dashstyle="solid"/>
            </v:line>
            <w10:wrap type="topAndBottom"/>
          </v:group>
        </w:pict>
      </w:r>
    </w:p>
    <w:p>
      <w:pPr>
        <w:pStyle w:val="BodyText"/>
        <w:spacing w:before="2"/>
        <w:rPr>
          <w:b/>
          <w:sz w:val="14"/>
        </w:rPr>
      </w:pPr>
    </w:p>
    <w:p>
      <w:pPr>
        <w:pStyle w:val="Heading3"/>
        <w:numPr>
          <w:ilvl w:val="1"/>
          <w:numId w:val="1"/>
        </w:numPr>
        <w:tabs>
          <w:tab w:pos="743" w:val="left" w:leader="none"/>
        </w:tabs>
        <w:spacing w:line="240" w:lineRule="auto" w:before="26" w:after="0"/>
        <w:ind w:left="742" w:right="0" w:hanging="605"/>
        <w:jc w:val="left"/>
      </w:pPr>
      <w:r>
        <w:rPr>
          <w:w w:val="95"/>
        </w:rPr>
        <w:t>明确说明与如实告知</w:t>
      </w:r>
    </w:p>
    <w:p>
      <w:pPr>
        <w:pStyle w:val="BodyText"/>
        <w:spacing w:line="259" w:lineRule="auto" w:before="16"/>
        <w:ind w:left="137" w:right="183" w:firstLine="425"/>
      </w:pPr>
      <w:r>
        <w:rPr>
          <w:spacing w:val="-10"/>
        </w:rPr>
        <w:t>订立本合同时，我们将向您明确说明本合同的内容。对保险条款中免除我们责任的条款，我们在订</w:t>
      </w:r>
      <w:r>
        <w:rPr>
          <w:spacing w:val="-7"/>
        </w:rPr>
        <w:t>立合同时会在投保单、保险单或者其他保险凭证上作出足以引起您注意的提示，并对该条款的内容以</w:t>
      </w:r>
      <w:r>
        <w:rPr>
          <w:spacing w:val="-5"/>
        </w:rPr>
        <w:t>书面或者口头形式向您作出明确说明，未作提示或者明确说明的，该条款不产生效力。</w:t>
      </w:r>
    </w:p>
    <w:p>
      <w:pPr>
        <w:pStyle w:val="BodyText"/>
        <w:spacing w:before="6"/>
        <w:ind w:left="562"/>
      </w:pPr>
      <w:r>
        <w:rPr/>
        <w:t>我们会就您和被保险人的有关情况提出询问，您应当如实告知。</w:t>
      </w:r>
    </w:p>
    <w:p>
      <w:pPr>
        <w:pStyle w:val="BodyText"/>
        <w:spacing w:line="259" w:lineRule="auto"/>
        <w:ind w:left="137" w:right="184" w:firstLine="425"/>
      </w:pPr>
      <w:r>
        <w:rPr>
          <w:spacing w:val="-7"/>
        </w:rPr>
        <w:t>如果您故意或者因重大过失未履行前款规定的如实告知义务，足以影响我们决定是否同意承保或者</w:t>
      </w:r>
      <w:r>
        <w:rPr>
          <w:spacing w:val="-5"/>
        </w:rPr>
        <w:t>提高保险费率的，我们有权解除本合同。</w:t>
      </w:r>
    </w:p>
    <w:p>
      <w:pPr>
        <w:pStyle w:val="BodyText"/>
        <w:spacing w:line="259" w:lineRule="auto" w:before="7"/>
        <w:ind w:left="137" w:right="180" w:firstLine="425"/>
      </w:pPr>
      <w:r>
        <w:rPr>
          <w:spacing w:val="-9"/>
        </w:rPr>
        <w:t>如果您故意不履行如实告知义务，对于本合同解除前发生的保险事故，我们不承担给付保险金的责</w:t>
      </w:r>
      <w:r>
        <w:rPr>
          <w:spacing w:val="-6"/>
        </w:rPr>
        <w:t>任，并不退还保险费。</w:t>
      </w:r>
    </w:p>
    <w:p>
      <w:pPr>
        <w:pStyle w:val="BodyText"/>
        <w:spacing w:line="259" w:lineRule="auto" w:before="6"/>
        <w:ind w:left="137" w:right="181" w:firstLine="425"/>
      </w:pPr>
      <w:r>
        <w:rPr>
          <w:spacing w:val="-8"/>
        </w:rPr>
        <w:t>如果您因重大过失未履行如实告知义务，对保险事故的发生有严重影响的，对于本合同解除前发生</w:t>
      </w:r>
      <w:r>
        <w:rPr>
          <w:spacing w:val="-3"/>
        </w:rPr>
        <w:t>的保险事故，我们不承担给付保险金的责任，但会向您退还保险费。</w:t>
      </w:r>
    </w:p>
    <w:p>
      <w:pPr>
        <w:pStyle w:val="BodyText"/>
        <w:spacing w:line="259" w:lineRule="auto" w:before="6"/>
        <w:ind w:left="137" w:right="184" w:firstLine="425"/>
      </w:pPr>
      <w:r>
        <w:rPr>
          <w:spacing w:val="-7"/>
        </w:rPr>
        <w:t>我们在合同订立时已经知道您未如实告知的情况的，我们不得解除合同；发生保险事故的，我们承</w:t>
      </w:r>
      <w:r>
        <w:rPr>
          <w:spacing w:val="-5"/>
        </w:rPr>
        <w:t>担给付保险金的责任。</w:t>
      </w:r>
    </w:p>
    <w:p>
      <w:pPr>
        <w:pStyle w:val="BodyText"/>
        <w:spacing w:before="11"/>
      </w:pPr>
    </w:p>
    <w:p>
      <w:pPr>
        <w:pStyle w:val="Heading3"/>
        <w:numPr>
          <w:ilvl w:val="1"/>
          <w:numId w:val="1"/>
        </w:numPr>
        <w:tabs>
          <w:tab w:pos="743" w:val="left" w:leader="none"/>
        </w:tabs>
        <w:spacing w:line="240" w:lineRule="auto" w:before="1" w:after="0"/>
        <w:ind w:left="742" w:right="0" w:hanging="605"/>
        <w:jc w:val="left"/>
      </w:pPr>
      <w:r>
        <w:rPr>
          <w:w w:val="95"/>
        </w:rPr>
        <w:t>我们合同解除权的限制</w:t>
      </w:r>
    </w:p>
    <w:p>
      <w:pPr>
        <w:pStyle w:val="BodyText"/>
        <w:spacing w:line="259" w:lineRule="auto" w:before="16"/>
        <w:ind w:left="137" w:right="123" w:firstLine="427"/>
      </w:pPr>
      <w:r>
        <w:rPr>
          <w:spacing w:val="-6"/>
        </w:rPr>
        <w:t>前款规定的合同解除权，自我们知道有解除事由之日起，超过三十日不行使而消灭。自本合同成立</w:t>
      </w:r>
      <w:r>
        <w:rPr>
          <w:spacing w:val="-5"/>
        </w:rPr>
        <w:t>之日起超过二年的，我们不得解除合同；发生保险事故的，我们承担给付保险金的责任。</w:t>
      </w:r>
    </w:p>
    <w:p>
      <w:pPr>
        <w:pStyle w:val="BodyText"/>
        <w:spacing w:before="11"/>
      </w:pPr>
    </w:p>
    <w:p>
      <w:pPr>
        <w:pStyle w:val="Heading3"/>
        <w:numPr>
          <w:ilvl w:val="1"/>
          <w:numId w:val="1"/>
        </w:numPr>
        <w:tabs>
          <w:tab w:pos="743" w:val="left" w:leader="none"/>
        </w:tabs>
        <w:spacing w:line="240" w:lineRule="auto" w:before="1" w:after="0"/>
        <w:ind w:left="742" w:right="0" w:hanging="605"/>
        <w:jc w:val="left"/>
      </w:pPr>
      <w:r>
        <w:rPr>
          <w:w w:val="95"/>
        </w:rPr>
        <w:t>年龄性别错误</w:t>
      </w:r>
    </w:p>
    <w:p>
      <w:pPr>
        <w:pStyle w:val="BodyText"/>
        <w:spacing w:line="259" w:lineRule="auto" w:before="16"/>
        <w:ind w:left="137" w:right="184" w:firstLine="425"/>
      </w:pPr>
      <w:r>
        <w:rPr>
          <w:spacing w:val="-10"/>
        </w:rPr>
        <w:t>您在申请投保时，应将与有效身份证件相符的被保险人的出生日期及性别在投保单上填明，如果发</w:t>
      </w:r>
      <w:r>
        <w:rPr>
          <w:spacing w:val="-7"/>
        </w:rPr>
        <w:t>生错误按照下列方式办理：</w:t>
      </w:r>
    </w:p>
    <w:p>
      <w:pPr>
        <w:pStyle w:val="BodyText"/>
        <w:spacing w:before="6"/>
        <w:ind w:left="137"/>
        <w:rPr>
          <w:rFonts w:ascii="黑体" w:eastAsia="黑体" w:hint="eastAsia"/>
        </w:rPr>
      </w:pPr>
      <w:r>
        <w:rPr>
          <w:rFonts w:ascii="黑体" w:eastAsia="黑体" w:hint="eastAsia"/>
        </w:rPr>
        <w:t>（1）您申报的被保险人年龄不真实，并且其真实年龄不符合本合同约定投保范围的，我们有权解除合</w:t>
      </w:r>
    </w:p>
    <w:p>
      <w:pPr>
        <w:spacing w:after="0"/>
        <w:rPr>
          <w:rFonts w:ascii="黑体" w:eastAsia="黑体" w:hint="eastAsia"/>
        </w:rPr>
        <w:sectPr>
          <w:pgSz w:w="11910" w:h="16840"/>
          <w:pgMar w:top="1380" w:bottom="280" w:left="940" w:right="860"/>
        </w:sectPr>
      </w:pPr>
    </w:p>
    <w:p>
      <w:pPr>
        <w:pStyle w:val="BodyText"/>
        <w:spacing w:line="259" w:lineRule="auto" w:before="20"/>
        <w:ind w:left="704" w:right="180"/>
        <w:jc w:val="both"/>
        <w:rPr>
          <w:rFonts w:ascii="黑体" w:hAnsi="黑体" w:eastAsia="黑体" w:hint="eastAsia"/>
        </w:rPr>
      </w:pPr>
      <w:r>
        <w:rPr>
          <w:rFonts w:ascii="黑体" w:hAnsi="黑体" w:eastAsia="黑体" w:hint="eastAsia"/>
          <w:spacing w:val="-5"/>
        </w:rPr>
        <w:t>同，本合同自解除之日起终止，我们向您退还本合同终止时的现金价值。对于本合同解除前发</w:t>
      </w:r>
      <w:r>
        <w:rPr>
          <w:rFonts w:ascii="黑体" w:hAnsi="黑体" w:eastAsia="黑体" w:hint="eastAsia"/>
        </w:rPr>
        <w:t>Th </w:t>
      </w:r>
      <w:r>
        <w:rPr>
          <w:rFonts w:ascii="黑体" w:hAnsi="黑体" w:eastAsia="黑体" w:hint="eastAsia"/>
          <w:spacing w:val="-5"/>
        </w:rPr>
        <w:t>的保险事故，我们不承担给付保险金的责任。我们行使合同解除权适用本保险条款“我们合同解</w:t>
      </w:r>
      <w:r>
        <w:rPr>
          <w:rFonts w:ascii="黑体" w:hAnsi="黑体" w:eastAsia="黑体" w:hint="eastAsia"/>
          <w:spacing w:val="-4"/>
        </w:rPr>
        <w:t>除权的限制”的规定；</w:t>
      </w:r>
    </w:p>
    <w:p>
      <w:pPr>
        <w:pStyle w:val="BodyText"/>
        <w:spacing w:line="259" w:lineRule="auto" w:before="6"/>
        <w:ind w:left="704" w:right="182" w:hanging="567"/>
        <w:jc w:val="both"/>
        <w:rPr>
          <w:rFonts w:ascii="黑体" w:eastAsia="黑体" w:hint="eastAsia"/>
        </w:rPr>
      </w:pPr>
      <w:r>
        <w:rPr>
          <w:spacing w:val="3"/>
        </w:rPr>
        <w:t>（2）</w:t>
      </w:r>
      <w:r>
        <w:rPr>
          <w:rFonts w:ascii="黑体" w:eastAsia="黑体" w:hint="eastAsia"/>
          <w:spacing w:val="-5"/>
        </w:rPr>
        <w:t>您申报的被保险人年龄或性别不真实，致使您实交保险费少于应交保险费的，我们有权更正并要</w:t>
      </w:r>
      <w:r>
        <w:rPr>
          <w:rFonts w:ascii="黑体" w:eastAsia="黑体" w:hint="eastAsia"/>
          <w:spacing w:val="-6"/>
        </w:rPr>
        <w:t>求您补交保险费。如果已经发</w:t>
      </w:r>
      <w:r>
        <w:rPr>
          <w:rFonts w:ascii="黑体" w:eastAsia="黑体" w:hint="eastAsia"/>
        </w:rPr>
        <w:t>Th</w:t>
      </w:r>
      <w:r>
        <w:rPr>
          <w:rFonts w:ascii="黑体" w:eastAsia="黑体" w:hint="eastAsia"/>
          <w:spacing w:val="-5"/>
        </w:rPr>
        <w:t>保险事故，在给付保险金时按实交保险费和应交保险费的比例给付；</w:t>
      </w:r>
    </w:p>
    <w:p>
      <w:pPr>
        <w:pStyle w:val="BodyText"/>
        <w:spacing w:line="259" w:lineRule="auto" w:before="6"/>
        <w:ind w:left="704" w:right="172" w:hanging="567"/>
      </w:pPr>
      <w:r>
        <w:rPr/>
        <w:t>（3）您申报的被保险人年龄或性别不真实，致使您实交保险费多于应交保险费的，我们会向您无息退还多收的保险费；</w:t>
      </w:r>
    </w:p>
    <w:p>
      <w:pPr>
        <w:pStyle w:val="BodyText"/>
        <w:spacing w:line="259" w:lineRule="auto" w:before="6"/>
        <w:ind w:left="704" w:right="172" w:hanging="567"/>
        <w:rPr>
          <w:rFonts w:ascii="黑体" w:eastAsia="黑体" w:hint="eastAsia"/>
        </w:rPr>
      </w:pPr>
      <w:r>
        <w:rPr>
          <w:rFonts w:ascii="黑体" w:eastAsia="黑体" w:hint="eastAsia"/>
        </w:rPr>
        <w:t>（4）您申报的被保险人年龄或性别不真实，致使本合同的现金价值与实际不符的，我们有权根据被保险人的实际年龄或性别予以调整。</w:t>
      </w:r>
    </w:p>
    <w:p>
      <w:pPr>
        <w:pStyle w:val="BodyText"/>
        <w:spacing w:before="12"/>
        <w:rPr>
          <w:rFonts w:ascii="黑体"/>
        </w:rPr>
      </w:pPr>
    </w:p>
    <w:p>
      <w:pPr>
        <w:pStyle w:val="Heading3"/>
        <w:numPr>
          <w:ilvl w:val="1"/>
          <w:numId w:val="1"/>
        </w:numPr>
        <w:tabs>
          <w:tab w:pos="743" w:val="left" w:leader="none"/>
        </w:tabs>
        <w:spacing w:line="240" w:lineRule="auto" w:before="0" w:after="0"/>
        <w:ind w:left="742" w:right="0" w:hanging="605"/>
        <w:jc w:val="left"/>
      </w:pPr>
      <w:r>
        <w:rPr>
          <w:w w:val="95"/>
        </w:rPr>
        <w:t>联系方式变更</w:t>
      </w:r>
    </w:p>
    <w:p>
      <w:pPr>
        <w:pStyle w:val="BodyText"/>
        <w:spacing w:line="259" w:lineRule="auto" w:before="16"/>
        <w:ind w:left="137" w:right="124" w:firstLine="427"/>
        <w:jc w:val="both"/>
      </w:pPr>
      <w:r>
        <w:rPr>
          <w:spacing w:val="-6"/>
        </w:rPr>
        <w:t>为保障您的合法权益，您的住所、通讯地址或电话等联系方式变更时，请及时以书面形式或双方认</w:t>
      </w:r>
      <w:r>
        <w:rPr>
          <w:spacing w:val="-9"/>
        </w:rPr>
        <w:t>可的其他形式通知我们。如果您未通知的，则我们按本合同最后载明的住所、通讯地址或电话等联系方</w:t>
      </w:r>
      <w:r>
        <w:rPr>
          <w:spacing w:val="-3"/>
        </w:rPr>
        <w:t>式发送的有关文件，均视为已送达给您。</w:t>
      </w:r>
    </w:p>
    <w:p>
      <w:pPr>
        <w:pStyle w:val="BodyText"/>
        <w:spacing w:before="11"/>
      </w:pPr>
    </w:p>
    <w:p>
      <w:pPr>
        <w:pStyle w:val="Heading3"/>
        <w:numPr>
          <w:ilvl w:val="1"/>
          <w:numId w:val="1"/>
        </w:numPr>
        <w:tabs>
          <w:tab w:pos="743" w:val="left" w:leader="none"/>
        </w:tabs>
        <w:spacing w:line="240" w:lineRule="auto" w:before="1" w:after="0"/>
        <w:ind w:left="742" w:right="0" w:hanging="605"/>
        <w:jc w:val="left"/>
      </w:pPr>
      <w:r>
        <w:rPr>
          <w:w w:val="95"/>
        </w:rPr>
        <w:t>争议处理</w:t>
      </w:r>
    </w:p>
    <w:p>
      <w:pPr>
        <w:pStyle w:val="BodyText"/>
        <w:spacing w:line="259" w:lineRule="auto" w:before="16"/>
        <w:ind w:left="137" w:right="123" w:firstLine="422"/>
        <w:jc w:val="both"/>
      </w:pPr>
      <w:r>
        <w:rPr>
          <w:spacing w:val="-7"/>
        </w:rPr>
        <w:t>本合同履行过程中，双方发生争议时，由双方协商解决，协商不成的，可以从下列两种方式中选择</w:t>
      </w:r>
      <w:r>
        <w:rPr>
          <w:spacing w:val="-5"/>
        </w:rPr>
        <w:t>一种争议处理方式：</w:t>
      </w:r>
    </w:p>
    <w:p>
      <w:pPr>
        <w:pStyle w:val="BodyText"/>
        <w:spacing w:before="6"/>
        <w:ind w:left="137"/>
      </w:pPr>
      <w:r>
        <w:rPr/>
        <w:t>（1）提交本合同约定的仲裁委员会仲裁；</w:t>
      </w:r>
    </w:p>
    <w:p>
      <w:pPr>
        <w:pStyle w:val="BodyText"/>
        <w:spacing w:before="23"/>
        <w:ind w:left="137"/>
      </w:pPr>
      <w:r>
        <w:rPr/>
        <w:t>（2）如未约定仲裁的，依法向被告住所地人民法院起诉。</w:t>
      </w:r>
    </w:p>
    <w:p>
      <w:pPr>
        <w:pStyle w:val="BodyText"/>
        <w:spacing w:before="0"/>
      </w:pPr>
    </w:p>
    <w:p>
      <w:pPr>
        <w:pStyle w:val="BodyText"/>
        <w:spacing w:before="0"/>
      </w:pPr>
    </w:p>
    <w:p>
      <w:pPr>
        <w:pStyle w:val="Heading2"/>
        <w:numPr>
          <w:ilvl w:val="0"/>
          <w:numId w:val="1"/>
        </w:numPr>
        <w:tabs>
          <w:tab w:pos="705" w:val="left" w:leader="none"/>
        </w:tabs>
        <w:spacing w:line="240" w:lineRule="auto" w:before="150" w:after="0"/>
        <w:ind w:left="704" w:right="0" w:hanging="567"/>
        <w:jc w:val="left"/>
      </w:pPr>
      <w:r>
        <w:rPr/>
        <w:t>重大疾病定义</w:t>
      </w:r>
    </w:p>
    <w:p>
      <w:pPr>
        <w:pStyle w:val="BodyText"/>
        <w:spacing w:before="5"/>
        <w:rPr>
          <w:b/>
          <w:sz w:val="11"/>
        </w:rPr>
      </w:pPr>
      <w:r>
        <w:rPr/>
        <w:pict>
          <v:group style="position:absolute;margin-left:52.439999pt;margin-top:9.415629pt;width:494.9pt;height:1.45pt;mso-position-horizontal-relative:page;mso-position-vertical-relative:paragraph;z-index:1288;mso-wrap-distance-left:0;mso-wrap-distance-right:0" coordorigin="1049,188" coordsize="9898,29">
            <v:line style="position:absolute" from="1049,212" to="10946,212" stroked="true" strokeweight=".48001pt" strokecolor="#000000">
              <v:stroke dashstyle="solid"/>
            </v:line>
            <v:line style="position:absolute" from="1049,193" to="10946,193" stroked="true" strokeweight=".47998pt" strokecolor="#000000">
              <v:stroke dashstyle="solid"/>
            </v:line>
            <w10:wrap type="topAndBottom"/>
          </v:group>
        </w:pict>
      </w:r>
    </w:p>
    <w:p>
      <w:pPr>
        <w:pStyle w:val="BodyText"/>
        <w:spacing w:before="0"/>
        <w:rPr>
          <w:b/>
          <w:sz w:val="15"/>
        </w:rPr>
      </w:pPr>
    </w:p>
    <w:p>
      <w:pPr>
        <w:pStyle w:val="BodyText"/>
        <w:spacing w:line="259" w:lineRule="auto" w:before="33"/>
        <w:ind w:left="137" w:right="183" w:firstLine="425"/>
      </w:pPr>
      <w:r>
        <w:rPr>
          <w:spacing w:val="-3"/>
        </w:rPr>
        <w:t>本合同所定义的重大疾病共有 </w:t>
      </w:r>
      <w:r>
        <w:rPr/>
        <w:t>50</w:t>
      </w:r>
      <w:r>
        <w:rPr>
          <w:spacing w:val="-17"/>
        </w:rPr>
        <w:t> 种，其中第 </w:t>
      </w:r>
      <w:r>
        <w:rPr/>
        <w:t>1</w:t>
      </w:r>
      <w:r>
        <w:rPr>
          <w:spacing w:val="1"/>
        </w:rPr>
        <w:t> 至 </w:t>
      </w:r>
      <w:r>
        <w:rPr/>
        <w:t>25</w:t>
      </w:r>
      <w:r>
        <w:rPr>
          <w:spacing w:val="-9"/>
        </w:rPr>
        <w:t> 种重大疾病为中国保险行业协会颁布的《重</w:t>
      </w:r>
      <w:r>
        <w:rPr>
          <w:spacing w:val="-6"/>
        </w:rPr>
        <w:t>大疾病保险的疾病定义使用规范》</w:t>
      </w:r>
      <w:r>
        <w:rPr/>
        <w:t>（</w:t>
      </w:r>
      <w:r>
        <w:rPr>
          <w:spacing w:val="-3"/>
        </w:rPr>
        <w:t>以下简称“规范</w:t>
      </w:r>
      <w:r>
        <w:rPr/>
        <w:t>”）</w:t>
      </w:r>
      <w:r>
        <w:rPr>
          <w:spacing w:val="-3"/>
        </w:rPr>
        <w:t>规定的疾病，且疾病名称和疾病定义与“规</w:t>
      </w:r>
      <w:r>
        <w:rPr>
          <w:spacing w:val="-2"/>
        </w:rPr>
        <w:t>范”一致，第 </w:t>
      </w:r>
      <w:r>
        <w:rPr/>
        <w:t>26</w:t>
      </w:r>
      <w:r>
        <w:rPr>
          <w:spacing w:val="1"/>
        </w:rPr>
        <w:t> 至 </w:t>
      </w:r>
      <w:r>
        <w:rPr/>
        <w:t>50</w:t>
      </w:r>
      <w:r>
        <w:rPr>
          <w:spacing w:val="-3"/>
        </w:rPr>
        <w:t> 种重大疾病为“规范”规定范围之外的疾病。</w:t>
      </w:r>
    </w:p>
    <w:p>
      <w:pPr>
        <w:pStyle w:val="BodyText"/>
        <w:spacing w:before="4"/>
        <w:rPr>
          <w:sz w:val="24"/>
        </w:rPr>
      </w:pPr>
    </w:p>
    <w:p>
      <w:pPr>
        <w:pStyle w:val="Heading4"/>
        <w:numPr>
          <w:ilvl w:val="0"/>
          <w:numId w:val="4"/>
        </w:numPr>
        <w:tabs>
          <w:tab w:pos="470" w:val="left" w:leader="none"/>
        </w:tabs>
        <w:spacing w:line="240" w:lineRule="auto" w:before="0" w:after="0"/>
        <w:ind w:left="469" w:right="0" w:hanging="332"/>
        <w:jc w:val="left"/>
      </w:pPr>
      <w:r>
        <w:rPr/>
        <w:t>恶性肿瘤</w:t>
      </w:r>
    </w:p>
    <w:p>
      <w:pPr>
        <w:pStyle w:val="BodyText"/>
        <w:spacing w:line="259" w:lineRule="auto" w:before="23"/>
        <w:ind w:left="137" w:right="184" w:firstLine="425"/>
      </w:pPr>
      <w:r>
        <w:rPr>
          <w:spacing w:val="-7"/>
        </w:rPr>
        <w:t>指恶性细胞不受控制的进行性增长和扩散，浸润和破坏周围正常组织，可以经血管、淋巴管和体腔</w:t>
      </w:r>
      <w:r>
        <w:rPr>
          <w:spacing w:val="-5"/>
        </w:rPr>
        <w:t>扩散转移到身体其它部位的疾病。经病理学检查结果明确诊断，临床诊断属于世界卫生组织《疾病和</w:t>
      </w:r>
      <w:r>
        <w:rPr>
          <w:spacing w:val="-3"/>
        </w:rPr>
        <w:t>有关健康问题的国际统计分类》</w:t>
      </w:r>
      <w:r>
        <w:rPr/>
        <w:t>（ICD-10）</w:t>
      </w:r>
      <w:r>
        <w:rPr>
          <w:spacing w:val="-3"/>
        </w:rPr>
        <w:t>的恶性肿瘤范畴。</w:t>
      </w:r>
    </w:p>
    <w:p>
      <w:pPr>
        <w:pStyle w:val="BodyText"/>
        <w:spacing w:before="6"/>
        <w:ind w:left="137"/>
        <w:rPr>
          <w:rFonts w:ascii="黑体" w:eastAsia="黑体" w:hint="eastAsia"/>
        </w:rPr>
      </w:pPr>
      <w:r>
        <w:rPr>
          <w:rFonts w:ascii="黑体" w:eastAsia="黑体" w:hint="eastAsia"/>
        </w:rPr>
        <w:t>下列疾病不在保障范围内：</w:t>
      </w:r>
    </w:p>
    <w:p>
      <w:pPr>
        <w:pStyle w:val="BodyText"/>
        <w:ind w:left="137"/>
        <w:rPr>
          <w:rFonts w:ascii="黑体" w:eastAsia="黑体" w:hint="eastAsia"/>
        </w:rPr>
      </w:pPr>
      <w:r>
        <w:rPr/>
        <w:t>（1）</w:t>
      </w:r>
      <w:r>
        <w:rPr>
          <w:rFonts w:ascii="黑体" w:eastAsia="黑体" w:hint="eastAsia"/>
        </w:rPr>
        <w:t>原位癌；</w:t>
      </w:r>
    </w:p>
    <w:p>
      <w:pPr>
        <w:pStyle w:val="BodyText"/>
        <w:ind w:left="137"/>
        <w:rPr>
          <w:rFonts w:ascii="黑体" w:eastAsia="黑体" w:hint="eastAsia"/>
        </w:rPr>
      </w:pPr>
      <w:r>
        <w:rPr/>
        <w:t>（2）</w:t>
      </w:r>
      <w:r>
        <w:rPr>
          <w:rFonts w:ascii="黑体" w:eastAsia="黑体" w:hint="eastAsia"/>
        </w:rPr>
        <w:t>相当于Binet分期方案A期程度的慢性淋巴细胞白血病；</w:t>
      </w:r>
    </w:p>
    <w:p>
      <w:pPr>
        <w:pStyle w:val="BodyText"/>
        <w:ind w:left="137"/>
        <w:rPr>
          <w:rFonts w:ascii="黑体" w:eastAsia="黑体" w:hint="eastAsia"/>
        </w:rPr>
      </w:pPr>
      <w:r>
        <w:rPr/>
        <w:t>（3）</w:t>
      </w:r>
      <w:r>
        <w:rPr>
          <w:rFonts w:ascii="黑体" w:eastAsia="黑体" w:hint="eastAsia"/>
        </w:rPr>
        <w:t>相当于Ann Arbor分期方案I期程度的何杰金氏病；</w:t>
      </w:r>
    </w:p>
    <w:p>
      <w:pPr>
        <w:pStyle w:val="BodyText"/>
        <w:ind w:left="137"/>
        <w:rPr>
          <w:rFonts w:ascii="黑体" w:eastAsia="黑体" w:hint="eastAsia"/>
        </w:rPr>
      </w:pPr>
      <w:r>
        <w:rPr/>
        <w:t>（4）</w:t>
      </w:r>
      <w:r>
        <w:rPr>
          <w:rFonts w:ascii="黑体" w:eastAsia="黑体" w:hint="eastAsia"/>
        </w:rPr>
        <w:t>皮肤癌（不包括恶性黑色素瘤及已发Th转移的皮肤癌）；</w:t>
      </w:r>
    </w:p>
    <w:p>
      <w:pPr>
        <w:pStyle w:val="BodyText"/>
        <w:spacing w:before="28"/>
        <w:ind w:left="137"/>
        <w:rPr>
          <w:rFonts w:ascii="黑体" w:eastAsia="黑体" w:hint="eastAsia"/>
        </w:rPr>
      </w:pPr>
      <w:r>
        <w:rPr>
          <w:position w:val="2"/>
        </w:rPr>
        <w:t>（5）</w:t>
      </w:r>
      <w:r>
        <w:rPr>
          <w:rFonts w:ascii="黑体" w:eastAsia="黑体" w:hint="eastAsia"/>
          <w:position w:val="2"/>
        </w:rPr>
        <w:t>TNM分期为T</w:t>
      </w:r>
      <w:r>
        <w:rPr>
          <w:rFonts w:ascii="黑体" w:eastAsia="黑体" w:hint="eastAsia"/>
          <w:sz w:val="12"/>
        </w:rPr>
        <w:t>1</w:t>
      </w:r>
      <w:r>
        <w:rPr>
          <w:rFonts w:ascii="黑体" w:eastAsia="黑体" w:hint="eastAsia"/>
          <w:position w:val="2"/>
        </w:rPr>
        <w:t>N</w:t>
      </w:r>
      <w:r>
        <w:rPr>
          <w:rFonts w:ascii="黑体" w:eastAsia="黑体" w:hint="eastAsia"/>
          <w:sz w:val="12"/>
        </w:rPr>
        <w:t>0</w:t>
      </w:r>
      <w:r>
        <w:rPr>
          <w:rFonts w:ascii="黑体" w:eastAsia="黑体" w:hint="eastAsia"/>
          <w:position w:val="2"/>
        </w:rPr>
        <w:t>M</w:t>
      </w:r>
      <w:r>
        <w:rPr>
          <w:rFonts w:ascii="黑体" w:eastAsia="黑体" w:hint="eastAsia"/>
          <w:sz w:val="12"/>
        </w:rPr>
        <w:t>0</w:t>
      </w:r>
      <w:r>
        <w:rPr>
          <w:rFonts w:ascii="黑体" w:eastAsia="黑体" w:hint="eastAsia"/>
          <w:position w:val="2"/>
        </w:rPr>
        <w:t>期或更轻分期的前列腺癌；</w:t>
      </w:r>
    </w:p>
    <w:p>
      <w:pPr>
        <w:pStyle w:val="BodyText"/>
        <w:spacing w:before="13"/>
        <w:ind w:left="137"/>
        <w:rPr>
          <w:rFonts w:ascii="黑体" w:eastAsia="黑体" w:hint="eastAsia"/>
        </w:rPr>
      </w:pPr>
      <w:r>
        <w:rPr/>
        <w:t>（6）</w:t>
      </w:r>
      <w:r>
        <w:rPr>
          <w:rFonts w:ascii="黑体" w:eastAsia="黑体" w:hint="eastAsia"/>
        </w:rPr>
        <w:t>感染艾滋病病毒或患艾滋病期间所患恶性肿瘤。</w:t>
      </w:r>
    </w:p>
    <w:p>
      <w:pPr>
        <w:pStyle w:val="BodyText"/>
        <w:spacing w:before="8"/>
        <w:rPr>
          <w:rFonts w:ascii="黑体"/>
          <w:sz w:val="25"/>
        </w:rPr>
      </w:pPr>
    </w:p>
    <w:p>
      <w:pPr>
        <w:pStyle w:val="Heading4"/>
        <w:numPr>
          <w:ilvl w:val="0"/>
          <w:numId w:val="4"/>
        </w:numPr>
        <w:tabs>
          <w:tab w:pos="470" w:val="left" w:leader="none"/>
        </w:tabs>
        <w:spacing w:line="240" w:lineRule="auto" w:before="0" w:after="0"/>
        <w:ind w:left="469" w:right="0" w:hanging="332"/>
        <w:jc w:val="left"/>
      </w:pPr>
      <w:r>
        <w:rPr/>
        <w:t>急性心肌梗塞</w:t>
      </w:r>
    </w:p>
    <w:p>
      <w:pPr>
        <w:pStyle w:val="BodyText"/>
        <w:spacing w:before="23"/>
        <w:ind w:left="577"/>
      </w:pPr>
      <w:r>
        <w:rPr/>
        <w:t>指因冠状动脉阻塞导致的相应区域供血不足造成部分心肌坏死。须满足下列至少三项条件：</w:t>
      </w:r>
    </w:p>
    <w:p>
      <w:pPr>
        <w:spacing w:after="0"/>
        <w:sectPr>
          <w:pgSz w:w="11910" w:h="16840"/>
          <w:pgMar w:top="1380" w:bottom="280" w:left="940" w:right="860"/>
        </w:sectPr>
      </w:pPr>
    </w:p>
    <w:p>
      <w:pPr>
        <w:pStyle w:val="BodyText"/>
        <w:spacing w:before="20"/>
        <w:ind w:left="117"/>
      </w:pPr>
      <w:r>
        <w:rPr/>
        <w:t>（1）典型临床表现，例如急性胸痛等；</w:t>
      </w:r>
    </w:p>
    <w:p>
      <w:pPr>
        <w:pStyle w:val="BodyText"/>
        <w:ind w:left="117"/>
      </w:pPr>
      <w:r>
        <w:rPr/>
        <w:t>（2）新近的心电图改变提示急性心肌梗塞；</w:t>
      </w:r>
    </w:p>
    <w:p>
      <w:pPr>
        <w:pStyle w:val="BodyText"/>
        <w:ind w:left="117"/>
      </w:pPr>
      <w:r>
        <w:rPr/>
        <w:t>（3）心肌酶或肌钙蛋白有诊断意义的升高，或呈符合急性心肌梗塞的动态性变化；</w:t>
      </w:r>
    </w:p>
    <w:p>
      <w:pPr>
        <w:pStyle w:val="BodyText"/>
        <w:ind w:left="117"/>
      </w:pPr>
      <w:r>
        <w:rPr/>
        <w:t>（4）发病 90 天后，经检查证实左心室功能降低，如左心室射血分数低于 50%。</w:t>
      </w:r>
    </w:p>
    <w:p>
      <w:pPr>
        <w:pStyle w:val="BodyText"/>
        <w:spacing w:before="9"/>
        <w:rPr>
          <w:sz w:val="25"/>
        </w:rPr>
      </w:pPr>
    </w:p>
    <w:p>
      <w:pPr>
        <w:pStyle w:val="Heading4"/>
        <w:numPr>
          <w:ilvl w:val="0"/>
          <w:numId w:val="4"/>
        </w:numPr>
        <w:tabs>
          <w:tab w:pos="450" w:val="left" w:leader="none"/>
        </w:tabs>
        <w:spacing w:line="240" w:lineRule="auto" w:before="0" w:after="0"/>
        <w:ind w:left="449" w:right="0" w:hanging="332"/>
        <w:jc w:val="left"/>
      </w:pPr>
      <w:r>
        <w:rPr/>
        <w:t>脑中风后遗症</w:t>
      </w:r>
    </w:p>
    <w:p>
      <w:pPr>
        <w:pStyle w:val="BodyText"/>
        <w:spacing w:line="259" w:lineRule="auto"/>
        <w:ind w:left="117" w:right="226" w:firstLine="425"/>
        <w:jc w:val="both"/>
      </w:pPr>
      <w:r>
        <w:rPr>
          <w:spacing w:val="-6"/>
        </w:rPr>
        <w:t>指因脑血管的突发病变引起脑血管出血、栓塞或梗塞，并导致神经系统永久性的功能障碍。神经系</w:t>
      </w:r>
      <w:r>
        <w:rPr>
          <w:spacing w:val="-8"/>
        </w:rPr>
        <w:t>统永久性的功能障碍，指疾病确诊 </w:t>
      </w:r>
      <w:r>
        <w:rPr/>
        <w:t>180</w:t>
      </w:r>
      <w:r>
        <w:rPr>
          <w:spacing w:val="-8"/>
        </w:rPr>
        <w:t> 天后，仍遗留下列一种或一种以上障碍：</w:t>
      </w:r>
    </w:p>
    <w:p>
      <w:pPr>
        <w:spacing w:before="6"/>
        <w:ind w:left="120" w:right="0" w:firstLine="0"/>
        <w:jc w:val="left"/>
        <w:rPr>
          <w:sz w:val="22"/>
        </w:rPr>
      </w:pPr>
      <w:r>
        <w:rPr>
          <w:sz w:val="22"/>
        </w:rPr>
        <w:t>（1）一肢或一肢以上</w:t>
      </w:r>
      <w:r>
        <w:rPr>
          <w:b/>
          <w:sz w:val="22"/>
        </w:rPr>
        <w:t>肢体机能完全丧失</w:t>
      </w:r>
      <w:r>
        <w:rPr>
          <w:sz w:val="22"/>
        </w:rPr>
        <w:t>（见 12.16）；</w:t>
      </w:r>
    </w:p>
    <w:p>
      <w:pPr>
        <w:spacing w:before="23"/>
        <w:ind w:left="120" w:right="0" w:firstLine="0"/>
        <w:jc w:val="left"/>
        <w:rPr>
          <w:sz w:val="22"/>
        </w:rPr>
      </w:pPr>
      <w:r>
        <w:rPr>
          <w:sz w:val="22"/>
        </w:rPr>
        <w:t>（2）</w:t>
      </w:r>
      <w:r>
        <w:rPr>
          <w:b/>
          <w:sz w:val="22"/>
        </w:rPr>
        <w:t>语言能力或咀嚼吞咽能力完全丧失</w:t>
      </w:r>
      <w:r>
        <w:rPr>
          <w:sz w:val="22"/>
        </w:rPr>
        <w:t>（见 12.17）；</w:t>
      </w:r>
    </w:p>
    <w:p>
      <w:pPr>
        <w:spacing w:before="24"/>
        <w:ind w:left="120" w:right="0" w:firstLine="0"/>
        <w:jc w:val="left"/>
        <w:rPr>
          <w:sz w:val="22"/>
        </w:rPr>
      </w:pPr>
      <w:r>
        <w:rPr>
          <w:sz w:val="22"/>
        </w:rPr>
        <w:t>（3）自主生活能力完全丧失，无法独立完成</w:t>
      </w:r>
      <w:r>
        <w:rPr>
          <w:b/>
          <w:sz w:val="22"/>
        </w:rPr>
        <w:t>六项基本日常生活活动</w:t>
      </w:r>
      <w:r>
        <w:rPr>
          <w:sz w:val="22"/>
        </w:rPr>
        <w:t>（见 12.18）中的三项或三项以上。</w:t>
      </w:r>
    </w:p>
    <w:p>
      <w:pPr>
        <w:pStyle w:val="BodyText"/>
        <w:spacing w:before="8"/>
        <w:rPr>
          <w:sz w:val="25"/>
        </w:rPr>
      </w:pPr>
    </w:p>
    <w:p>
      <w:pPr>
        <w:pStyle w:val="Heading4"/>
        <w:numPr>
          <w:ilvl w:val="0"/>
          <w:numId w:val="4"/>
        </w:numPr>
        <w:tabs>
          <w:tab w:pos="450" w:val="left" w:leader="none"/>
        </w:tabs>
        <w:spacing w:line="240" w:lineRule="auto" w:before="1" w:after="0"/>
        <w:ind w:left="449" w:right="0" w:hanging="332"/>
        <w:jc w:val="left"/>
      </w:pPr>
      <w:r>
        <w:rPr/>
        <w:t>重大器官移植术或造血干细胞移植术</w:t>
      </w:r>
    </w:p>
    <w:p>
      <w:pPr>
        <w:pStyle w:val="BodyText"/>
        <w:spacing w:line="259" w:lineRule="auto"/>
        <w:ind w:left="117" w:right="181" w:firstLine="425"/>
        <w:jc w:val="both"/>
      </w:pPr>
      <w:r>
        <w:rPr>
          <w:spacing w:val="-3"/>
        </w:rPr>
        <w:t>重大器官移植术，指因相应器官功能衰竭，已经实施了肾脏、肝脏、心脏或肺脏的异体移植手术。</w:t>
      </w:r>
      <w:r>
        <w:rPr>
          <w:spacing w:val="-8"/>
        </w:rPr>
        <w:t>造血干细胞移植术，指因造血功能损害或造血系统恶性肿瘤，已经实施了造血干细胞</w:t>
      </w:r>
      <w:r>
        <w:rPr>
          <w:spacing w:val="-3"/>
        </w:rPr>
        <w:t>（</w:t>
      </w:r>
      <w:r>
        <w:rPr>
          <w:spacing w:val="-2"/>
        </w:rPr>
        <w:t>包括骨髓造血干</w:t>
      </w:r>
      <w:r>
        <w:rPr>
          <w:spacing w:val="-3"/>
        </w:rPr>
        <w:t>细胞、外周血造血干细胞和脐血造血干细胞</w:t>
      </w:r>
      <w:r>
        <w:rPr/>
        <w:t>）</w:t>
      </w:r>
      <w:r>
        <w:rPr>
          <w:spacing w:val="-3"/>
        </w:rPr>
        <w:t>的异体移植手术。</w:t>
      </w:r>
    </w:p>
    <w:p>
      <w:pPr>
        <w:pStyle w:val="BodyText"/>
        <w:spacing w:before="4"/>
        <w:rPr>
          <w:sz w:val="24"/>
        </w:rPr>
      </w:pPr>
    </w:p>
    <w:p>
      <w:pPr>
        <w:pStyle w:val="Heading4"/>
        <w:numPr>
          <w:ilvl w:val="0"/>
          <w:numId w:val="4"/>
        </w:numPr>
        <w:tabs>
          <w:tab w:pos="450" w:val="left" w:leader="none"/>
        </w:tabs>
        <w:spacing w:line="240" w:lineRule="auto" w:before="0" w:after="0"/>
        <w:ind w:left="449" w:right="0" w:hanging="332"/>
        <w:jc w:val="left"/>
      </w:pPr>
      <w:r>
        <w:rPr/>
        <w:t>冠状动脉搭桥术（或称冠状动脉旁路移植术）</w:t>
      </w:r>
    </w:p>
    <w:p>
      <w:pPr>
        <w:pStyle w:val="BodyText"/>
        <w:ind w:left="542"/>
      </w:pPr>
      <w:r>
        <w:rPr/>
        <w:t>指为治疗严重的冠心病，实际实施了开胸进行的冠状动脉血管旁路移植的手术。</w:t>
      </w:r>
    </w:p>
    <w:p>
      <w:pPr>
        <w:pStyle w:val="BodyText"/>
        <w:spacing w:line="259" w:lineRule="auto"/>
        <w:ind w:left="117" w:right="226" w:firstLine="425"/>
        <w:jc w:val="both"/>
        <w:rPr>
          <w:rFonts w:ascii="黑体" w:eastAsia="黑体" w:hint="eastAsia"/>
        </w:rPr>
      </w:pPr>
      <w:r>
        <w:rPr>
          <w:rFonts w:ascii="黑体" w:eastAsia="黑体" w:hint="eastAsia"/>
          <w:spacing w:val="-6"/>
        </w:rPr>
        <w:t>冠状动脉支架植入术、心导管球囊扩张术、激光射频技术及其它非开胸的介入手术、腔镜手术不在</w:t>
      </w:r>
      <w:r>
        <w:rPr>
          <w:rFonts w:ascii="黑体" w:eastAsia="黑体" w:hint="eastAsia"/>
          <w:spacing w:val="-5"/>
        </w:rPr>
        <w:t>保障范围内。</w:t>
      </w:r>
    </w:p>
    <w:p>
      <w:pPr>
        <w:pStyle w:val="BodyText"/>
        <w:spacing w:before="3"/>
        <w:rPr>
          <w:rFonts w:ascii="黑体"/>
          <w:sz w:val="24"/>
        </w:rPr>
      </w:pPr>
    </w:p>
    <w:p>
      <w:pPr>
        <w:pStyle w:val="Heading4"/>
        <w:numPr>
          <w:ilvl w:val="0"/>
          <w:numId w:val="4"/>
        </w:numPr>
        <w:tabs>
          <w:tab w:pos="450" w:val="left" w:leader="none"/>
        </w:tabs>
        <w:spacing w:line="240" w:lineRule="auto" w:before="1" w:after="0"/>
        <w:ind w:left="449" w:right="0" w:hanging="332"/>
        <w:jc w:val="left"/>
      </w:pPr>
      <w:r>
        <w:rPr/>
        <w:t>终末期肾病（或称慢性肾功能衰竭尿毒症期）</w:t>
      </w:r>
    </w:p>
    <w:p>
      <w:pPr>
        <w:pStyle w:val="BodyText"/>
        <w:spacing w:line="259" w:lineRule="auto"/>
        <w:ind w:left="117" w:right="290" w:firstLine="425"/>
      </w:pPr>
      <w:r>
        <w:rPr>
          <w:spacing w:val="-5"/>
        </w:rPr>
        <w:t>指双肾功能慢性不可逆性衰竭，达到尿毒症期，经诊断后已经进行了至少 </w:t>
      </w:r>
      <w:r>
        <w:rPr/>
        <w:t>90</w:t>
      </w:r>
      <w:r>
        <w:rPr>
          <w:spacing w:val="-8"/>
        </w:rPr>
        <w:t> 天的规律性透析治疗</w:t>
      </w:r>
      <w:r>
        <w:rPr>
          <w:spacing w:val="-5"/>
        </w:rPr>
        <w:t>或实施了肾脏移植手术。</w:t>
      </w:r>
    </w:p>
    <w:p>
      <w:pPr>
        <w:pStyle w:val="BodyText"/>
        <w:spacing w:before="4"/>
        <w:rPr>
          <w:sz w:val="24"/>
        </w:rPr>
      </w:pPr>
    </w:p>
    <w:p>
      <w:pPr>
        <w:pStyle w:val="Heading4"/>
        <w:numPr>
          <w:ilvl w:val="0"/>
          <w:numId w:val="4"/>
        </w:numPr>
        <w:tabs>
          <w:tab w:pos="450" w:val="left" w:leader="none"/>
        </w:tabs>
        <w:spacing w:line="240" w:lineRule="auto" w:before="0" w:after="0"/>
        <w:ind w:left="449" w:right="0" w:hanging="332"/>
        <w:jc w:val="left"/>
      </w:pPr>
      <w:r>
        <w:rPr/>
        <w:t>多个肢体缺失</w:t>
      </w:r>
    </w:p>
    <w:p>
      <w:pPr>
        <w:pStyle w:val="BodyText"/>
        <w:spacing w:line="259" w:lineRule="auto"/>
        <w:ind w:left="117" w:right="229" w:firstLine="425"/>
        <w:jc w:val="both"/>
      </w:pPr>
      <w:r>
        <w:rPr>
          <w:spacing w:val="-4"/>
        </w:rPr>
        <w:t>指因疾病或意外伤害导致两个或两个以上肢体自腕关节或踝关节近端</w:t>
      </w:r>
      <w:r>
        <w:rPr/>
        <w:t>（</w:t>
      </w:r>
      <w:r>
        <w:rPr>
          <w:spacing w:val="-2"/>
        </w:rPr>
        <w:t>靠近躯干端</w:t>
      </w:r>
      <w:r>
        <w:rPr>
          <w:spacing w:val="-27"/>
        </w:rPr>
        <w:t>）</w:t>
      </w:r>
      <w:r>
        <w:rPr>
          <w:spacing w:val="-1"/>
        </w:rPr>
        <w:t>以上完全性断离。</w:t>
      </w:r>
    </w:p>
    <w:p>
      <w:pPr>
        <w:pStyle w:val="BodyText"/>
        <w:spacing w:before="5"/>
        <w:rPr>
          <w:sz w:val="24"/>
        </w:rPr>
      </w:pPr>
    </w:p>
    <w:p>
      <w:pPr>
        <w:pStyle w:val="Heading4"/>
        <w:numPr>
          <w:ilvl w:val="0"/>
          <w:numId w:val="4"/>
        </w:numPr>
        <w:tabs>
          <w:tab w:pos="450" w:val="left" w:leader="none"/>
        </w:tabs>
        <w:spacing w:line="240" w:lineRule="auto" w:before="0" w:after="0"/>
        <w:ind w:left="449" w:right="0" w:hanging="332"/>
        <w:jc w:val="left"/>
      </w:pPr>
      <w:r>
        <w:rPr/>
        <w:t>急性或亚急性重症肝炎</w:t>
      </w:r>
    </w:p>
    <w:p>
      <w:pPr>
        <w:pStyle w:val="BodyText"/>
        <w:spacing w:line="259" w:lineRule="auto"/>
        <w:ind w:left="117" w:right="118" w:firstLine="425"/>
      </w:pPr>
      <w:r>
        <w:rPr>
          <w:spacing w:val="-10"/>
        </w:rPr>
        <w:t>指因肝炎病毒感染引起肝脏组织弥漫性坏死，导致急性肝功能衰竭，且经血清学或病毒学检查证实， </w:t>
      </w:r>
      <w:r>
        <w:rPr>
          <w:spacing w:val="-7"/>
        </w:rPr>
        <w:t>并须满足下列全部条件：</w:t>
      </w:r>
    </w:p>
    <w:p>
      <w:pPr>
        <w:pStyle w:val="BodyText"/>
        <w:spacing w:before="6"/>
        <w:ind w:left="117"/>
      </w:pPr>
      <w:r>
        <w:rPr/>
        <w:t>（1）重度黄疸或黄疸迅速加重；</w:t>
      </w:r>
    </w:p>
    <w:p>
      <w:pPr>
        <w:pStyle w:val="BodyText"/>
        <w:spacing w:before="23"/>
        <w:ind w:left="117"/>
      </w:pPr>
      <w:r>
        <w:rPr/>
        <w:t>（2）肝性脑病；</w:t>
      </w:r>
    </w:p>
    <w:p>
      <w:pPr>
        <w:pStyle w:val="BodyText"/>
        <w:spacing w:before="23"/>
        <w:ind w:left="117"/>
      </w:pPr>
      <w:r>
        <w:rPr/>
        <w:t>（3）B 超或其它影像学检查显示肝脏体积急速萎缩；</w:t>
      </w:r>
    </w:p>
    <w:p>
      <w:pPr>
        <w:pStyle w:val="BodyText"/>
        <w:spacing w:before="23"/>
        <w:ind w:left="117"/>
      </w:pPr>
      <w:r>
        <w:rPr/>
        <w:t>（4）肝功能指标进行性恶化。</w:t>
      </w:r>
    </w:p>
    <w:p>
      <w:pPr>
        <w:pStyle w:val="BodyText"/>
        <w:spacing w:before="8"/>
        <w:rPr>
          <w:sz w:val="25"/>
        </w:rPr>
      </w:pPr>
    </w:p>
    <w:p>
      <w:pPr>
        <w:pStyle w:val="Heading4"/>
        <w:numPr>
          <w:ilvl w:val="0"/>
          <w:numId w:val="4"/>
        </w:numPr>
        <w:tabs>
          <w:tab w:pos="450" w:val="left" w:leader="none"/>
        </w:tabs>
        <w:spacing w:line="240" w:lineRule="auto" w:before="0" w:after="0"/>
        <w:ind w:left="449" w:right="0" w:hanging="332"/>
        <w:jc w:val="left"/>
      </w:pPr>
      <w:r>
        <w:rPr/>
        <w:t>良性脑肿瘤</w:t>
      </w:r>
    </w:p>
    <w:p>
      <w:pPr>
        <w:pStyle w:val="BodyText"/>
        <w:spacing w:line="259" w:lineRule="auto"/>
        <w:ind w:left="117" w:right="164" w:firstLine="425"/>
        <w:jc w:val="both"/>
      </w:pPr>
      <w:r>
        <w:rPr>
          <w:spacing w:val="-7"/>
        </w:rPr>
        <w:t>指脑的良性肿瘤，已经引起颅内压增高，临床表现为视神经乳头水肿、精神症状、癫痫及运动感觉</w:t>
      </w:r>
      <w:r>
        <w:rPr>
          <w:spacing w:val="-5"/>
        </w:rPr>
        <w:t>障碍等，并危及生命。须由头颅断层扫描</w:t>
      </w:r>
      <w:r>
        <w:rPr/>
        <w:t>（CT）</w:t>
      </w:r>
      <w:r>
        <w:rPr>
          <w:spacing w:val="-3"/>
        </w:rPr>
        <w:t>、核磁共振检查</w:t>
      </w:r>
      <w:r>
        <w:rPr/>
        <w:t>（MRI）</w:t>
      </w:r>
      <w:r>
        <w:rPr>
          <w:spacing w:val="-3"/>
        </w:rPr>
        <w:t>或正电子发射断层扫描</w:t>
      </w:r>
      <w:r>
        <w:rPr/>
        <w:t>（PET） </w:t>
      </w:r>
      <w:r>
        <w:rPr>
          <w:spacing w:val="-3"/>
        </w:rPr>
        <w:t>等影像学检查证实，并须满足下列至少一项条件：</w:t>
      </w:r>
    </w:p>
    <w:p>
      <w:pPr>
        <w:pStyle w:val="BodyText"/>
        <w:spacing w:before="6"/>
        <w:ind w:left="117"/>
      </w:pPr>
      <w:r>
        <w:rPr/>
        <w:t>（1）实际实施了开颅进行的脑肿瘤完全切除或部分切除的手术；</w:t>
      </w:r>
    </w:p>
    <w:p>
      <w:pPr>
        <w:pStyle w:val="BodyText"/>
        <w:spacing w:before="23"/>
        <w:ind w:left="117"/>
      </w:pPr>
      <w:r>
        <w:rPr/>
        <w:t>（2）实际实施了对脑肿瘤进行的放射治疗。</w:t>
      </w:r>
    </w:p>
    <w:p>
      <w:pPr>
        <w:spacing w:after="0"/>
        <w:sectPr>
          <w:pgSz w:w="11910" w:h="16840"/>
          <w:pgMar w:top="1380" w:bottom="280" w:left="960" w:right="760"/>
        </w:sectPr>
      </w:pPr>
    </w:p>
    <w:p>
      <w:pPr>
        <w:pStyle w:val="BodyText"/>
        <w:spacing w:before="20"/>
        <w:ind w:left="542"/>
        <w:rPr>
          <w:rFonts w:ascii="黑体" w:eastAsia="黑体" w:hint="eastAsia"/>
        </w:rPr>
      </w:pPr>
      <w:r>
        <w:rPr>
          <w:rFonts w:ascii="黑体" w:eastAsia="黑体" w:hint="eastAsia"/>
        </w:rPr>
        <w:t>脑垂体瘤、脑囊肿、脑血管性疾病不在保障范围内。</w:t>
      </w:r>
    </w:p>
    <w:p>
      <w:pPr>
        <w:pStyle w:val="BodyText"/>
        <w:spacing w:before="8"/>
        <w:rPr>
          <w:rFonts w:ascii="黑体"/>
          <w:sz w:val="25"/>
        </w:rPr>
      </w:pPr>
    </w:p>
    <w:p>
      <w:pPr>
        <w:pStyle w:val="Heading4"/>
        <w:numPr>
          <w:ilvl w:val="0"/>
          <w:numId w:val="4"/>
        </w:numPr>
        <w:tabs>
          <w:tab w:pos="563" w:val="left" w:leader="none"/>
        </w:tabs>
        <w:spacing w:line="240" w:lineRule="auto" w:before="0" w:after="0"/>
        <w:ind w:left="562" w:right="0" w:hanging="445"/>
        <w:jc w:val="left"/>
      </w:pPr>
      <w:r>
        <w:rPr>
          <w:w w:val="95"/>
        </w:rPr>
        <w:t>慢性肝功能衰竭失代偿期</w:t>
      </w:r>
    </w:p>
    <w:p>
      <w:pPr>
        <w:pStyle w:val="BodyText"/>
        <w:spacing w:before="23"/>
        <w:ind w:left="542"/>
      </w:pPr>
      <w:r>
        <w:rPr/>
        <w:t>指因慢性肝脏疾病导致肝功能衰竭。须满足下列全部条件：</w:t>
      </w:r>
    </w:p>
    <w:p>
      <w:pPr>
        <w:pStyle w:val="BodyText"/>
        <w:spacing w:before="23"/>
        <w:ind w:left="117"/>
      </w:pPr>
      <w:r>
        <w:rPr/>
        <w:t>（1）持续性黄疸；</w:t>
      </w:r>
    </w:p>
    <w:p>
      <w:pPr>
        <w:pStyle w:val="BodyText"/>
        <w:spacing w:before="23"/>
        <w:ind w:left="117"/>
      </w:pPr>
      <w:r>
        <w:rPr/>
        <w:t>（2）腹水；</w:t>
      </w:r>
    </w:p>
    <w:p>
      <w:pPr>
        <w:pStyle w:val="BodyText"/>
        <w:spacing w:before="23"/>
        <w:ind w:left="117"/>
      </w:pPr>
      <w:r>
        <w:rPr/>
        <w:t>（3）肝性脑病；</w:t>
      </w:r>
    </w:p>
    <w:p>
      <w:pPr>
        <w:pStyle w:val="BodyText"/>
        <w:spacing w:before="23"/>
        <w:ind w:left="117"/>
      </w:pPr>
      <w:r>
        <w:rPr/>
        <w:t>（4）充血性脾肿大伴脾功能亢进或食管胃底静脉曲张。</w:t>
      </w:r>
    </w:p>
    <w:p>
      <w:pPr>
        <w:pStyle w:val="BodyText"/>
        <w:spacing w:before="23"/>
        <w:ind w:left="542"/>
        <w:rPr>
          <w:rFonts w:ascii="黑体" w:eastAsia="黑体" w:hint="eastAsia"/>
        </w:rPr>
      </w:pPr>
      <w:r>
        <w:rPr>
          <w:rFonts w:ascii="黑体" w:eastAsia="黑体" w:hint="eastAsia"/>
        </w:rPr>
        <w:t>因酗酒或药物滥用导致的肝功能衰竭不在保障范围内。</w:t>
      </w:r>
    </w:p>
    <w:p>
      <w:pPr>
        <w:pStyle w:val="BodyText"/>
        <w:spacing w:before="8"/>
        <w:rPr>
          <w:rFonts w:ascii="黑体"/>
          <w:sz w:val="25"/>
        </w:rPr>
      </w:pPr>
    </w:p>
    <w:p>
      <w:pPr>
        <w:pStyle w:val="Heading4"/>
        <w:numPr>
          <w:ilvl w:val="0"/>
          <w:numId w:val="4"/>
        </w:numPr>
        <w:tabs>
          <w:tab w:pos="563" w:val="left" w:leader="none"/>
        </w:tabs>
        <w:spacing w:line="240" w:lineRule="auto" w:before="1" w:after="0"/>
        <w:ind w:left="562" w:right="0" w:hanging="445"/>
        <w:jc w:val="left"/>
      </w:pPr>
      <w:r>
        <w:rPr>
          <w:w w:val="95"/>
        </w:rPr>
        <w:t>脑炎后遗症或脑膜炎后遗症</w:t>
      </w:r>
    </w:p>
    <w:p>
      <w:pPr>
        <w:pStyle w:val="BodyText"/>
        <w:ind w:left="542"/>
      </w:pPr>
      <w:r>
        <w:rPr/>
        <w:t>指因患脑炎或脑膜炎导致的神经系统永久性的功能障碍。神经系统永久性的功能障碍，指疾病确诊</w:t>
      </w:r>
    </w:p>
    <w:p>
      <w:pPr>
        <w:pStyle w:val="BodyText"/>
        <w:ind w:left="117"/>
      </w:pPr>
      <w:r>
        <w:rPr/>
        <w:t>180 天后，仍遗留下列一种或一种以上障碍：</w:t>
      </w:r>
    </w:p>
    <w:p>
      <w:pPr>
        <w:pStyle w:val="BodyText"/>
        <w:ind w:left="117"/>
      </w:pPr>
      <w:r>
        <w:rPr/>
        <w:t>（1）一肢或一肢以上肢体机能完全丧失；</w:t>
      </w:r>
    </w:p>
    <w:p>
      <w:pPr>
        <w:pStyle w:val="BodyText"/>
        <w:ind w:left="117"/>
      </w:pPr>
      <w:r>
        <w:rPr/>
        <w:t>（2）语言能力或咀嚼吞咽能力完全丧失；</w:t>
      </w:r>
    </w:p>
    <w:p>
      <w:pPr>
        <w:pStyle w:val="BodyText"/>
        <w:ind w:left="117"/>
      </w:pPr>
      <w:r>
        <w:rPr/>
        <w:t>（3）自主生活能力完全丧失，无法独立完成六项基本日常生活活动中的三项或三项以上。</w:t>
      </w:r>
    </w:p>
    <w:p>
      <w:pPr>
        <w:pStyle w:val="BodyText"/>
        <w:spacing w:before="8"/>
        <w:rPr>
          <w:sz w:val="25"/>
        </w:rPr>
      </w:pPr>
    </w:p>
    <w:p>
      <w:pPr>
        <w:pStyle w:val="Heading4"/>
        <w:numPr>
          <w:ilvl w:val="0"/>
          <w:numId w:val="4"/>
        </w:numPr>
        <w:tabs>
          <w:tab w:pos="563" w:val="left" w:leader="none"/>
        </w:tabs>
        <w:spacing w:line="240" w:lineRule="auto" w:before="0" w:after="0"/>
        <w:ind w:left="562" w:right="0" w:hanging="445"/>
        <w:jc w:val="left"/>
      </w:pPr>
      <w:r>
        <w:rPr>
          <w:w w:val="95"/>
        </w:rPr>
        <w:t>深度昏迷</w:t>
      </w:r>
    </w:p>
    <w:p>
      <w:pPr>
        <w:pStyle w:val="BodyText"/>
        <w:spacing w:line="259" w:lineRule="auto" w:before="23"/>
        <w:ind w:left="117" w:right="335" w:firstLine="425"/>
        <w:jc w:val="both"/>
      </w:pPr>
      <w:r>
        <w:rPr>
          <w:spacing w:val="-3"/>
        </w:rPr>
        <w:t>指因疾病或意外伤害导致意识丧失,对外界刺激和体内需求均无反应,昏迷程度按照格拉斯哥昏迷分级（Glasgow </w:t>
      </w:r>
      <w:r>
        <w:rPr/>
        <w:t>coma scale）</w:t>
      </w:r>
      <w:r>
        <w:rPr>
          <w:spacing w:val="-15"/>
        </w:rPr>
        <w:t>结果为 </w:t>
      </w:r>
      <w:r>
        <w:rPr/>
        <w:t>5</w:t>
      </w:r>
      <w:r>
        <w:rPr>
          <w:spacing w:val="-28"/>
        </w:rPr>
        <w:t> 分或 </w:t>
      </w:r>
      <w:r>
        <w:rPr/>
        <w:t>5</w:t>
      </w:r>
      <w:r>
        <w:rPr>
          <w:spacing w:val="-10"/>
        </w:rPr>
        <w:t> 分以下，且已经持续使用呼吸机及其它生命维持系统 </w:t>
      </w:r>
      <w:r>
        <w:rPr>
          <w:spacing w:val="-3"/>
        </w:rPr>
        <w:t>96 </w:t>
      </w:r>
      <w:r>
        <w:rPr>
          <w:spacing w:val="-1"/>
        </w:rPr>
        <w:t>小时以上。</w:t>
      </w:r>
    </w:p>
    <w:p>
      <w:pPr>
        <w:pStyle w:val="BodyText"/>
        <w:spacing w:before="6"/>
        <w:ind w:left="542"/>
        <w:rPr>
          <w:rFonts w:ascii="黑体" w:eastAsia="黑体" w:hint="eastAsia"/>
        </w:rPr>
      </w:pPr>
      <w:r>
        <w:rPr>
          <w:rFonts w:ascii="黑体" w:eastAsia="黑体" w:hint="eastAsia"/>
        </w:rPr>
        <w:t>因酗酒或药物滥用导致的深度昏迷不在保障范围内。</w:t>
      </w:r>
    </w:p>
    <w:p>
      <w:pPr>
        <w:pStyle w:val="BodyText"/>
        <w:spacing w:before="8"/>
        <w:rPr>
          <w:rFonts w:ascii="黑体"/>
          <w:sz w:val="25"/>
        </w:rPr>
      </w:pPr>
    </w:p>
    <w:p>
      <w:pPr>
        <w:pStyle w:val="Heading4"/>
        <w:numPr>
          <w:ilvl w:val="0"/>
          <w:numId w:val="4"/>
        </w:numPr>
        <w:tabs>
          <w:tab w:pos="563" w:val="left" w:leader="none"/>
        </w:tabs>
        <w:spacing w:line="240" w:lineRule="auto" w:before="1" w:after="0"/>
        <w:ind w:left="562" w:right="0" w:hanging="445"/>
        <w:jc w:val="left"/>
      </w:pPr>
      <w:r>
        <w:rPr>
          <w:w w:val="95"/>
        </w:rPr>
        <w:t>双耳失聪</w:t>
      </w:r>
    </w:p>
    <w:p>
      <w:pPr>
        <w:pStyle w:val="BodyText"/>
        <w:ind w:left="542"/>
      </w:pPr>
      <w:r>
        <w:rPr>
          <w:spacing w:val="-3"/>
        </w:rPr>
        <w:t>指因疾病或意外伤害导致双耳听力</w:t>
      </w:r>
      <w:r>
        <w:rPr>
          <w:b/>
          <w:spacing w:val="-6"/>
        </w:rPr>
        <w:t>永久不可逆</w:t>
      </w:r>
      <w:r>
        <w:rPr/>
        <w:t>（</w:t>
      </w:r>
      <w:r>
        <w:rPr>
          <w:spacing w:val="-27"/>
        </w:rPr>
        <w:t>见 </w:t>
      </w:r>
      <w:r>
        <w:rPr>
          <w:spacing w:val="-5"/>
        </w:rPr>
        <w:t>12.19）</w:t>
      </w:r>
      <w:r>
        <w:rPr>
          <w:spacing w:val="-15"/>
        </w:rPr>
        <w:t>性丧失，在 </w:t>
      </w:r>
      <w:r>
        <w:rPr/>
        <w:t>500</w:t>
      </w:r>
      <w:r>
        <w:rPr>
          <w:spacing w:val="-21"/>
        </w:rPr>
        <w:t> 赫兹、</w:t>
      </w:r>
      <w:r>
        <w:rPr/>
        <w:t>1000</w:t>
      </w:r>
      <w:r>
        <w:rPr>
          <w:spacing w:val="-23"/>
        </w:rPr>
        <w:t> 赫兹和 </w:t>
      </w:r>
      <w:r>
        <w:rPr/>
        <w:t>2000</w:t>
      </w:r>
    </w:p>
    <w:p>
      <w:pPr>
        <w:pStyle w:val="BodyText"/>
        <w:ind w:left="117"/>
      </w:pPr>
      <w:r>
        <w:rPr>
          <w:spacing w:val="-7"/>
        </w:rPr>
        <w:t>赫兹语音频率下，平均听阈大于 </w:t>
      </w:r>
      <w:r>
        <w:rPr/>
        <w:t>90</w:t>
      </w:r>
      <w:r>
        <w:rPr>
          <w:spacing w:val="-10"/>
        </w:rPr>
        <w:t> 分贝，且经纯音听力测试、声导抗检测或听觉诱发电位检测等证实。</w:t>
      </w:r>
    </w:p>
    <w:p>
      <w:pPr>
        <w:pStyle w:val="BodyText"/>
        <w:spacing w:before="9"/>
        <w:rPr>
          <w:sz w:val="25"/>
        </w:rPr>
      </w:pPr>
    </w:p>
    <w:p>
      <w:pPr>
        <w:pStyle w:val="Heading4"/>
        <w:numPr>
          <w:ilvl w:val="0"/>
          <w:numId w:val="4"/>
        </w:numPr>
        <w:tabs>
          <w:tab w:pos="563" w:val="left" w:leader="none"/>
        </w:tabs>
        <w:spacing w:line="240" w:lineRule="auto" w:before="0" w:after="0"/>
        <w:ind w:left="562" w:right="0" w:hanging="445"/>
        <w:jc w:val="left"/>
      </w:pPr>
      <w:r>
        <w:rPr>
          <w:w w:val="95"/>
        </w:rPr>
        <w:t>双目失明</w:t>
      </w:r>
    </w:p>
    <w:p>
      <w:pPr>
        <w:pStyle w:val="BodyText"/>
        <w:ind w:left="542"/>
      </w:pPr>
      <w:r>
        <w:rPr/>
        <w:t>指因疾病或意外伤害导致双眼视力永久不可逆性丧失，双眼中较好眼须满足下列至少一项条件：</w:t>
      </w:r>
    </w:p>
    <w:p>
      <w:pPr>
        <w:pStyle w:val="BodyText"/>
        <w:ind w:left="117"/>
      </w:pPr>
      <w:r>
        <w:rPr/>
        <w:t>（1）眼球缺失或摘除；</w:t>
      </w:r>
    </w:p>
    <w:p>
      <w:pPr>
        <w:pStyle w:val="BodyText"/>
        <w:spacing w:before="23"/>
        <w:ind w:left="117"/>
      </w:pPr>
      <w:r>
        <w:rPr/>
        <w:t>（2）矫正视力低于 0.02（采用国际标准视力表，如果使用其它视力表应进行换算）；</w:t>
      </w:r>
    </w:p>
    <w:p>
      <w:pPr>
        <w:pStyle w:val="BodyText"/>
        <w:spacing w:before="23"/>
        <w:ind w:left="117"/>
      </w:pPr>
      <w:r>
        <w:rPr/>
        <w:t>（3）视野半径小于 5 度。</w:t>
      </w:r>
    </w:p>
    <w:p>
      <w:pPr>
        <w:pStyle w:val="BodyText"/>
        <w:spacing w:before="8"/>
        <w:rPr>
          <w:sz w:val="25"/>
        </w:rPr>
      </w:pPr>
    </w:p>
    <w:p>
      <w:pPr>
        <w:pStyle w:val="Heading4"/>
        <w:numPr>
          <w:ilvl w:val="0"/>
          <w:numId w:val="4"/>
        </w:numPr>
        <w:tabs>
          <w:tab w:pos="563" w:val="left" w:leader="none"/>
        </w:tabs>
        <w:spacing w:line="240" w:lineRule="auto" w:before="0" w:after="0"/>
        <w:ind w:left="562" w:right="0" w:hanging="445"/>
        <w:jc w:val="left"/>
      </w:pPr>
      <w:r>
        <w:rPr>
          <w:w w:val="95"/>
        </w:rPr>
        <w:t>瘫痪</w:t>
      </w:r>
    </w:p>
    <w:p>
      <w:pPr>
        <w:pStyle w:val="BodyText"/>
        <w:spacing w:line="259" w:lineRule="auto"/>
        <w:ind w:left="117" w:right="120" w:firstLine="425"/>
      </w:pPr>
      <w:r>
        <w:rPr>
          <w:spacing w:val="-5"/>
        </w:rPr>
        <w:t>指因疾病或意外伤害导致两肢或两肢以上肢体机能永久完全丧失。肢体机能永久完全丧失，指疾病</w:t>
      </w:r>
      <w:r>
        <w:rPr>
          <w:spacing w:val="-19"/>
        </w:rPr>
        <w:t>确诊 </w:t>
      </w:r>
      <w:r>
        <w:rPr/>
        <w:t>180</w:t>
      </w:r>
      <w:r>
        <w:rPr>
          <w:spacing w:val="-12"/>
        </w:rPr>
        <w:t> 天后或意外伤害发生 </w:t>
      </w:r>
      <w:r>
        <w:rPr/>
        <w:t>180</w:t>
      </w:r>
      <w:r>
        <w:rPr>
          <w:spacing w:val="-17"/>
        </w:rPr>
        <w:t> 天后，每肢三大关节中的两大关节仍然完全僵硬，或不能随意识活动。</w:t>
      </w:r>
    </w:p>
    <w:p>
      <w:pPr>
        <w:pStyle w:val="BodyText"/>
        <w:spacing w:before="4"/>
        <w:rPr>
          <w:sz w:val="24"/>
        </w:rPr>
      </w:pPr>
    </w:p>
    <w:p>
      <w:pPr>
        <w:pStyle w:val="Heading4"/>
        <w:numPr>
          <w:ilvl w:val="0"/>
          <w:numId w:val="4"/>
        </w:numPr>
        <w:tabs>
          <w:tab w:pos="563" w:val="left" w:leader="none"/>
        </w:tabs>
        <w:spacing w:line="240" w:lineRule="auto" w:before="0" w:after="0"/>
        <w:ind w:left="562" w:right="0" w:hanging="445"/>
        <w:jc w:val="left"/>
      </w:pPr>
      <w:r>
        <w:rPr>
          <w:w w:val="95"/>
        </w:rPr>
        <w:t>心脏瓣膜手术</w:t>
      </w:r>
    </w:p>
    <w:p>
      <w:pPr>
        <w:pStyle w:val="BodyText"/>
        <w:spacing w:before="23"/>
        <w:ind w:left="542"/>
      </w:pPr>
      <w:r>
        <w:rPr/>
        <w:t>指为治疗心脏瓣膜疾病，实际实施了开胸进行的心脏瓣膜置换或修复的手术。</w:t>
      </w:r>
    </w:p>
    <w:p>
      <w:pPr>
        <w:pStyle w:val="BodyText"/>
        <w:spacing w:before="8"/>
        <w:rPr>
          <w:sz w:val="25"/>
        </w:rPr>
      </w:pPr>
    </w:p>
    <w:p>
      <w:pPr>
        <w:pStyle w:val="Heading4"/>
        <w:numPr>
          <w:ilvl w:val="0"/>
          <w:numId w:val="4"/>
        </w:numPr>
        <w:tabs>
          <w:tab w:pos="563" w:val="left" w:leader="none"/>
        </w:tabs>
        <w:spacing w:line="240" w:lineRule="auto" w:before="1" w:after="0"/>
        <w:ind w:left="562" w:right="0" w:hanging="445"/>
        <w:jc w:val="left"/>
      </w:pPr>
      <w:r>
        <w:rPr>
          <w:w w:val="95"/>
        </w:rPr>
        <w:t>严重阿尔茨海默病</w:t>
      </w:r>
    </w:p>
    <w:p>
      <w:pPr>
        <w:pStyle w:val="BodyText"/>
        <w:spacing w:line="259" w:lineRule="auto"/>
        <w:ind w:left="117" w:right="119" w:firstLine="425"/>
      </w:pPr>
      <w:r>
        <w:rPr>
          <w:spacing w:val="-6"/>
        </w:rPr>
        <w:t>指因大脑进行性、不可逆性改变导致智能严重衰退或丧失，临床表现为明显的认知能力障碍、行为</w:t>
      </w:r>
      <w:r>
        <w:rPr>
          <w:spacing w:val="-17"/>
        </w:rPr>
        <w:t>异常和社交能力减退，其日常生活必须持续受到他人监护。须由头颅断层扫描</w:t>
      </w:r>
      <w:r>
        <w:rPr>
          <w:spacing w:val="-21"/>
        </w:rPr>
        <w:t>（CT）</w:t>
      </w:r>
      <w:r>
        <w:rPr>
          <w:spacing w:val="-27"/>
        </w:rPr>
        <w:t>、核磁共振检查</w:t>
      </w:r>
      <w:r>
        <w:rPr/>
        <w:t>（MRI）</w:t>
      </w:r>
    </w:p>
    <w:p>
      <w:pPr>
        <w:spacing w:after="0" w:line="259" w:lineRule="auto"/>
        <w:sectPr>
          <w:pgSz w:w="11910" w:h="16840"/>
          <w:pgMar w:top="1380" w:bottom="280" w:left="960" w:right="760"/>
        </w:sectPr>
      </w:pPr>
    </w:p>
    <w:p>
      <w:pPr>
        <w:pStyle w:val="BodyText"/>
        <w:spacing w:line="259" w:lineRule="auto" w:before="20"/>
        <w:ind w:left="117" w:right="195"/>
      </w:pPr>
      <w:r>
        <w:rPr/>
        <w:t>或正电子发射断层扫描（PET）等影像学检查证实，且自主生活能力完全丧失，无法独立完成六项基本日常生活活动中的三项或三项以上。</w:t>
      </w:r>
    </w:p>
    <w:p>
      <w:pPr>
        <w:pStyle w:val="BodyText"/>
        <w:spacing w:before="6"/>
        <w:ind w:left="542"/>
        <w:rPr>
          <w:rFonts w:ascii="黑体" w:eastAsia="黑体" w:hint="eastAsia"/>
        </w:rPr>
      </w:pPr>
      <w:r>
        <w:rPr>
          <w:rFonts w:ascii="黑体" w:eastAsia="黑体" w:hint="eastAsia"/>
        </w:rPr>
        <w:t>神经官能症和精神疾病不在保障范围内。</w:t>
      </w:r>
    </w:p>
    <w:p>
      <w:pPr>
        <w:pStyle w:val="Heading4"/>
        <w:numPr>
          <w:ilvl w:val="0"/>
          <w:numId w:val="4"/>
        </w:numPr>
        <w:tabs>
          <w:tab w:pos="563" w:val="left" w:leader="none"/>
        </w:tabs>
        <w:spacing w:line="240" w:lineRule="auto" w:before="24" w:after="0"/>
        <w:ind w:left="562" w:right="0" w:hanging="445"/>
        <w:jc w:val="left"/>
      </w:pPr>
      <w:r>
        <w:rPr>
          <w:w w:val="95"/>
        </w:rPr>
        <w:t>严重脑损伤</w:t>
      </w:r>
    </w:p>
    <w:p>
      <w:pPr>
        <w:pStyle w:val="BodyText"/>
        <w:spacing w:line="259" w:lineRule="auto"/>
        <w:ind w:left="117" w:right="145" w:firstLine="425"/>
        <w:jc w:val="both"/>
      </w:pPr>
      <w:r>
        <w:rPr>
          <w:spacing w:val="-7"/>
        </w:rPr>
        <w:t>指因头部遭受机械性外力，引起脑重要部位损伤，导致神经系统永久性的功能障碍。须由头颅断层</w:t>
      </w:r>
      <w:r>
        <w:rPr>
          <w:spacing w:val="-8"/>
        </w:rPr>
        <w:t>扫描</w:t>
      </w:r>
      <w:r>
        <w:rPr>
          <w:spacing w:val="-4"/>
        </w:rPr>
        <w:t>（CT）、核磁共振检查</w:t>
      </w:r>
      <w:r>
        <w:rPr>
          <w:spacing w:val="-3"/>
        </w:rPr>
        <w:t>（MRI）</w:t>
      </w:r>
      <w:r>
        <w:rPr>
          <w:spacing w:val="-4"/>
        </w:rPr>
        <w:t>或正电子发射断层扫描</w:t>
      </w:r>
      <w:r>
        <w:rPr>
          <w:spacing w:val="-3"/>
        </w:rPr>
        <w:t>（PET）</w:t>
      </w:r>
      <w:r>
        <w:rPr>
          <w:spacing w:val="-4"/>
        </w:rPr>
        <w:t>等影像学检查证实。神经系统永久性</w:t>
      </w:r>
      <w:r>
        <w:rPr>
          <w:spacing w:val="-8"/>
        </w:rPr>
        <w:t>的功能障碍，指脑损伤 </w:t>
      </w:r>
      <w:r>
        <w:rPr/>
        <w:t>180</w:t>
      </w:r>
      <w:r>
        <w:rPr>
          <w:spacing w:val="-8"/>
        </w:rPr>
        <w:t> 天后，仍遗留下列一种或一种以上障碍：</w:t>
      </w:r>
    </w:p>
    <w:p>
      <w:pPr>
        <w:pStyle w:val="BodyText"/>
        <w:spacing w:before="6"/>
        <w:ind w:left="117"/>
      </w:pPr>
      <w:r>
        <w:rPr/>
        <w:t>（1）一肢或一肢以上肢体机能完全丧失；</w:t>
      </w:r>
    </w:p>
    <w:p>
      <w:pPr>
        <w:pStyle w:val="BodyText"/>
        <w:ind w:left="117"/>
      </w:pPr>
      <w:r>
        <w:rPr/>
        <w:t>（2）语言能力或咀嚼吞咽能力完全丧失；</w:t>
      </w:r>
    </w:p>
    <w:p>
      <w:pPr>
        <w:pStyle w:val="BodyText"/>
        <w:ind w:left="117"/>
      </w:pPr>
      <w:r>
        <w:rPr/>
        <w:t>（3）自主生活能力完全丧失，无法独立完成六项基本日常生活活动中的三项或三项以上。</w:t>
      </w:r>
    </w:p>
    <w:p>
      <w:pPr>
        <w:pStyle w:val="BodyText"/>
        <w:spacing w:before="9"/>
        <w:rPr>
          <w:sz w:val="25"/>
        </w:rPr>
      </w:pPr>
    </w:p>
    <w:p>
      <w:pPr>
        <w:pStyle w:val="Heading4"/>
        <w:numPr>
          <w:ilvl w:val="0"/>
          <w:numId w:val="4"/>
        </w:numPr>
        <w:tabs>
          <w:tab w:pos="673" w:val="left" w:leader="none"/>
        </w:tabs>
        <w:spacing w:line="240" w:lineRule="auto" w:before="0" w:after="0"/>
        <w:ind w:left="672" w:right="0" w:hanging="444"/>
        <w:jc w:val="left"/>
      </w:pPr>
      <w:r>
        <w:rPr>
          <w:w w:val="95"/>
        </w:rPr>
        <w:t>严重帕金森病</w:t>
      </w:r>
    </w:p>
    <w:p>
      <w:pPr>
        <w:pStyle w:val="BodyText"/>
        <w:spacing w:before="23"/>
        <w:ind w:left="542"/>
      </w:pPr>
      <w:r>
        <w:rPr/>
        <w:t>是一种中枢神经系统的退行性疾病，临床表现为震颤麻痹、共济失调等。须满足下列全部条件：</w:t>
      </w:r>
    </w:p>
    <w:p>
      <w:pPr>
        <w:pStyle w:val="BodyText"/>
        <w:spacing w:before="23"/>
        <w:ind w:left="117"/>
      </w:pPr>
      <w:r>
        <w:rPr/>
        <w:t>（1）药物治疗无法控制病情；</w:t>
      </w:r>
    </w:p>
    <w:p>
      <w:pPr>
        <w:pStyle w:val="BodyText"/>
        <w:spacing w:before="23"/>
        <w:ind w:left="117"/>
      </w:pPr>
      <w:r>
        <w:rPr/>
        <w:t>（2）自主生活能力完全丧失，无法独立完成六项基本日常生活活动中的三项或三项以上。</w:t>
      </w:r>
    </w:p>
    <w:p>
      <w:pPr>
        <w:pStyle w:val="BodyText"/>
        <w:spacing w:before="23"/>
        <w:ind w:left="542"/>
        <w:rPr>
          <w:rFonts w:ascii="黑体" w:eastAsia="黑体" w:hint="eastAsia"/>
        </w:rPr>
      </w:pPr>
      <w:r>
        <w:rPr>
          <w:rFonts w:ascii="黑体" w:eastAsia="黑体" w:hint="eastAsia"/>
        </w:rPr>
        <w:t>继发性帕金森综合征不在保障范围内。</w:t>
      </w:r>
    </w:p>
    <w:p>
      <w:pPr>
        <w:pStyle w:val="BodyText"/>
        <w:spacing w:before="8"/>
        <w:rPr>
          <w:rFonts w:ascii="黑体"/>
          <w:sz w:val="25"/>
        </w:rPr>
      </w:pPr>
    </w:p>
    <w:p>
      <w:pPr>
        <w:pStyle w:val="Heading4"/>
        <w:numPr>
          <w:ilvl w:val="0"/>
          <w:numId w:val="4"/>
        </w:numPr>
        <w:tabs>
          <w:tab w:pos="673" w:val="left" w:leader="none"/>
        </w:tabs>
        <w:spacing w:line="240" w:lineRule="auto" w:before="0" w:after="0"/>
        <w:ind w:left="672" w:right="0" w:hanging="444"/>
        <w:jc w:val="left"/>
      </w:pPr>
      <w:r>
        <w:rPr>
          <w:spacing w:val="-1"/>
          <w:w w:val="95"/>
        </w:rPr>
        <w:t>严重Ⅲ度烧伤</w:t>
      </w:r>
    </w:p>
    <w:p>
      <w:pPr>
        <w:pStyle w:val="BodyText"/>
        <w:spacing w:line="261" w:lineRule="auto" w:before="23"/>
        <w:ind w:left="117" w:right="207" w:firstLine="425"/>
      </w:pPr>
      <w:r>
        <w:rPr>
          <w:spacing w:val="-5"/>
        </w:rPr>
        <w:t>指烧伤程度为Ⅲ度，且Ⅲ度烧伤的面积达到全身体表面积的 </w:t>
      </w:r>
      <w:r>
        <w:rPr/>
        <w:t>20%</w:t>
      </w:r>
      <w:r>
        <w:rPr>
          <w:spacing w:val="-22"/>
        </w:rPr>
        <w:t>或 </w:t>
      </w:r>
      <w:r>
        <w:rPr/>
        <w:t>20%</w:t>
      </w:r>
      <w:r>
        <w:rPr>
          <w:spacing w:val="-3"/>
        </w:rPr>
        <w:t>以上。体表面积根据《中国新九分法》计算。</w:t>
      </w:r>
    </w:p>
    <w:p>
      <w:pPr>
        <w:pStyle w:val="BodyText"/>
        <w:spacing w:before="1"/>
        <w:rPr>
          <w:sz w:val="24"/>
        </w:rPr>
      </w:pPr>
    </w:p>
    <w:p>
      <w:pPr>
        <w:pStyle w:val="Heading4"/>
        <w:numPr>
          <w:ilvl w:val="0"/>
          <w:numId w:val="4"/>
        </w:numPr>
        <w:tabs>
          <w:tab w:pos="673" w:val="left" w:leader="none"/>
        </w:tabs>
        <w:spacing w:line="240" w:lineRule="auto" w:before="0" w:after="0"/>
        <w:ind w:left="672" w:right="0" w:hanging="444"/>
        <w:jc w:val="left"/>
      </w:pPr>
      <w:r>
        <w:rPr>
          <w:w w:val="95"/>
        </w:rPr>
        <w:t>严重原发性肺动脉高压</w:t>
      </w:r>
    </w:p>
    <w:p>
      <w:pPr>
        <w:pStyle w:val="BodyText"/>
        <w:spacing w:line="259" w:lineRule="auto" w:before="23"/>
        <w:ind w:left="117" w:right="147" w:firstLine="425"/>
        <w:jc w:val="both"/>
      </w:pPr>
      <w:r>
        <w:rPr>
          <w:spacing w:val="-6"/>
        </w:rPr>
        <w:t>指不明原因的肺动脉压力持续性增高，进行性发展而导致的慢性疾病，已经造成永久不可逆性的体</w:t>
      </w:r>
      <w:r>
        <w:rPr>
          <w:spacing w:val="-3"/>
        </w:rPr>
        <w:t>力活动能力受限，达到美国纽约心脏病学会心功能状态分级Ⅳ级，且静息状态下肺动脉平均压超过</w:t>
      </w:r>
    </w:p>
    <w:p>
      <w:pPr>
        <w:pStyle w:val="BodyText"/>
        <w:spacing w:before="6"/>
        <w:ind w:left="117"/>
      </w:pPr>
      <w:r>
        <w:rPr/>
        <w:t>30mmHg。</w:t>
      </w:r>
    </w:p>
    <w:p>
      <w:pPr>
        <w:pStyle w:val="BodyText"/>
        <w:spacing w:before="8"/>
        <w:rPr>
          <w:sz w:val="25"/>
        </w:rPr>
      </w:pPr>
    </w:p>
    <w:p>
      <w:pPr>
        <w:pStyle w:val="Heading4"/>
        <w:numPr>
          <w:ilvl w:val="0"/>
          <w:numId w:val="4"/>
        </w:numPr>
        <w:tabs>
          <w:tab w:pos="673" w:val="left" w:leader="none"/>
        </w:tabs>
        <w:spacing w:line="240" w:lineRule="auto" w:before="0" w:after="0"/>
        <w:ind w:left="672" w:right="0" w:hanging="444"/>
        <w:jc w:val="left"/>
      </w:pPr>
      <w:r>
        <w:rPr>
          <w:w w:val="95"/>
        </w:rPr>
        <w:t>严重运动神经元病</w:t>
      </w:r>
    </w:p>
    <w:p>
      <w:pPr>
        <w:pStyle w:val="BodyText"/>
        <w:spacing w:line="259" w:lineRule="auto" w:before="23"/>
        <w:ind w:left="117" w:right="101" w:firstLine="425"/>
        <w:jc w:val="both"/>
      </w:pPr>
      <w:r>
        <w:rPr>
          <w:spacing w:val="-3"/>
        </w:rPr>
        <w:t>是一组中枢神经系统运动神经元的进行性变性疾病，包括进行性脊肌萎缩症、进行性延髓麻痹症、</w:t>
      </w:r>
      <w:r>
        <w:rPr>
          <w:spacing w:val="-8"/>
        </w:rPr>
        <w:t>原发性侧索硬化症、肌萎缩性侧索硬化症。须满足自主生活能力完全丧失，无法独立完成六项基本日常</w:t>
      </w:r>
      <w:r>
        <w:rPr>
          <w:spacing w:val="-5"/>
        </w:rPr>
        <w:t>生活活动中的三项或三项以上的条件。</w:t>
      </w:r>
    </w:p>
    <w:p>
      <w:pPr>
        <w:pStyle w:val="BodyText"/>
        <w:spacing w:before="4"/>
        <w:rPr>
          <w:sz w:val="24"/>
        </w:rPr>
      </w:pPr>
    </w:p>
    <w:p>
      <w:pPr>
        <w:pStyle w:val="Heading4"/>
        <w:numPr>
          <w:ilvl w:val="0"/>
          <w:numId w:val="4"/>
        </w:numPr>
        <w:tabs>
          <w:tab w:pos="673" w:val="left" w:leader="none"/>
        </w:tabs>
        <w:spacing w:line="240" w:lineRule="auto" w:before="0" w:after="0"/>
        <w:ind w:left="672" w:right="0" w:hanging="444"/>
        <w:jc w:val="left"/>
      </w:pPr>
      <w:r>
        <w:rPr>
          <w:w w:val="95"/>
        </w:rPr>
        <w:t>语言能力丧失</w:t>
      </w:r>
    </w:p>
    <w:p>
      <w:pPr>
        <w:pStyle w:val="BodyText"/>
        <w:spacing w:line="259" w:lineRule="auto"/>
        <w:ind w:left="117" w:right="207" w:firstLine="425"/>
      </w:pPr>
      <w:r>
        <w:rPr>
          <w:spacing w:val="-5"/>
        </w:rPr>
        <w:t>指因疾病或意外伤害导致完全丧失语言能力，经过积极治疗至少 </w:t>
      </w:r>
      <w:r>
        <w:rPr/>
        <w:t>12</w:t>
      </w:r>
      <w:r>
        <w:rPr>
          <w:spacing w:val="-15"/>
        </w:rPr>
        <w:t> 个月</w:t>
      </w:r>
      <w:r>
        <w:rPr>
          <w:spacing w:val="-3"/>
        </w:rPr>
        <w:t>（</w:t>
      </w:r>
      <w:r>
        <w:rPr>
          <w:spacing w:val="-2"/>
        </w:rPr>
        <w:t>声带完全切除不受此时</w:t>
      </w:r>
      <w:r>
        <w:rPr>
          <w:spacing w:val="-1"/>
        </w:rPr>
        <w:t>间限制</w:t>
      </w:r>
      <w:r>
        <w:rPr/>
        <w:t>）</w:t>
      </w:r>
      <w:r>
        <w:rPr>
          <w:spacing w:val="-3"/>
        </w:rPr>
        <w:t>，仍无法通过现有医疗手段恢复。</w:t>
      </w:r>
    </w:p>
    <w:p>
      <w:pPr>
        <w:pStyle w:val="BodyText"/>
        <w:spacing w:before="6"/>
        <w:ind w:left="542"/>
        <w:rPr>
          <w:rFonts w:ascii="黑体" w:eastAsia="黑体" w:hint="eastAsia"/>
        </w:rPr>
      </w:pPr>
      <w:r>
        <w:rPr>
          <w:rFonts w:ascii="黑体" w:eastAsia="黑体" w:hint="eastAsia"/>
        </w:rPr>
        <w:t>精神心理因素所致的语言能力丧失不在保障范围内。</w:t>
      </w:r>
    </w:p>
    <w:p>
      <w:pPr>
        <w:pStyle w:val="BodyText"/>
        <w:spacing w:before="8"/>
        <w:rPr>
          <w:rFonts w:ascii="黑体"/>
          <w:sz w:val="25"/>
        </w:rPr>
      </w:pPr>
    </w:p>
    <w:p>
      <w:pPr>
        <w:pStyle w:val="Heading4"/>
        <w:numPr>
          <w:ilvl w:val="0"/>
          <w:numId w:val="4"/>
        </w:numPr>
        <w:tabs>
          <w:tab w:pos="673" w:val="left" w:leader="none"/>
        </w:tabs>
        <w:spacing w:line="240" w:lineRule="auto" w:before="0" w:after="0"/>
        <w:ind w:left="672" w:right="0" w:hanging="444"/>
        <w:jc w:val="left"/>
      </w:pPr>
      <w:r>
        <w:rPr>
          <w:w w:val="95"/>
        </w:rPr>
        <w:t>重型再生障碍性贫血</w:t>
      </w:r>
    </w:p>
    <w:p>
      <w:pPr>
        <w:pStyle w:val="BodyText"/>
        <w:spacing w:line="259" w:lineRule="auto" w:before="23"/>
        <w:ind w:left="117" w:right="149" w:firstLine="425"/>
        <w:jc w:val="both"/>
      </w:pPr>
      <w:r>
        <w:rPr>
          <w:spacing w:val="-6"/>
        </w:rPr>
        <w:t>指因骨髓造血功能慢性持续性衰竭导致的贫血、中性粒细胞减少及血小板减少。须满足下列全部条件：</w:t>
      </w:r>
    </w:p>
    <w:p>
      <w:pPr>
        <w:pStyle w:val="BodyText"/>
        <w:spacing w:before="6"/>
        <w:ind w:left="117"/>
      </w:pPr>
      <w:r>
        <w:rPr/>
        <w:t>（1）骨髓穿刺检查或骨髓活检结果支持诊断；</w:t>
      </w:r>
    </w:p>
    <w:p>
      <w:pPr>
        <w:pStyle w:val="BodyText"/>
        <w:ind w:left="117"/>
      </w:pPr>
      <w:r>
        <w:rPr/>
        <w:t>（2）外周血象须具备以下三项条件：</w:t>
      </w:r>
    </w:p>
    <w:p>
      <w:pPr>
        <w:pStyle w:val="BodyText"/>
        <w:ind w:left="686"/>
      </w:pPr>
      <w:r>
        <w:rPr>
          <w:spacing w:val="-9"/>
        </w:rPr>
        <w:t>① 中性粒细胞绝对值</w:t>
      </w:r>
      <w:r>
        <w:rPr/>
        <w:t>≤0.5×10</w:t>
      </w:r>
      <w:r>
        <w:rPr>
          <w:spacing w:val="-86"/>
        </w:rPr>
        <w:t> </w:t>
      </w:r>
      <w:r>
        <w:rPr>
          <w:position w:val="8"/>
          <w:sz w:val="13"/>
        </w:rPr>
        <w:t>9 </w:t>
      </w:r>
      <w:r>
        <w:rPr/>
        <w:t>/L ；</w:t>
      </w:r>
    </w:p>
    <w:p>
      <w:pPr>
        <w:pStyle w:val="BodyText"/>
        <w:ind w:left="686"/>
      </w:pPr>
      <w:r>
        <w:rPr/>
        <w:t>② 网织红细胞＜1%；</w:t>
      </w:r>
    </w:p>
    <w:p>
      <w:pPr>
        <w:pStyle w:val="BodyText"/>
        <w:ind w:left="686"/>
      </w:pPr>
      <w:r>
        <w:rPr>
          <w:spacing w:val="-9"/>
        </w:rPr>
        <w:t>③ 血小板绝对值≤</w:t>
      </w:r>
      <w:r>
        <w:rPr/>
        <w:t>20×10</w:t>
      </w:r>
      <w:r>
        <w:rPr>
          <w:spacing w:val="-87"/>
        </w:rPr>
        <w:t> </w:t>
      </w:r>
      <w:r>
        <w:rPr>
          <w:position w:val="8"/>
          <w:sz w:val="13"/>
        </w:rPr>
        <w:t>9 </w:t>
      </w:r>
      <w:r>
        <w:rPr/>
        <w:t>/L。</w:t>
      </w:r>
    </w:p>
    <w:p>
      <w:pPr>
        <w:spacing w:after="0"/>
        <w:sectPr>
          <w:pgSz w:w="11910" w:h="16840"/>
          <w:pgMar w:top="1380" w:bottom="280" w:left="960" w:right="840"/>
        </w:sectPr>
      </w:pPr>
    </w:p>
    <w:p>
      <w:pPr>
        <w:pStyle w:val="BodyText"/>
        <w:spacing w:before="0"/>
        <w:rPr>
          <w:sz w:val="20"/>
        </w:rPr>
      </w:pPr>
    </w:p>
    <w:p>
      <w:pPr>
        <w:pStyle w:val="BodyText"/>
        <w:spacing w:before="0"/>
        <w:rPr>
          <w:sz w:val="20"/>
        </w:rPr>
      </w:pPr>
    </w:p>
    <w:p>
      <w:pPr>
        <w:pStyle w:val="BodyText"/>
        <w:spacing w:before="3"/>
        <w:rPr>
          <w:sz w:val="15"/>
        </w:rPr>
      </w:pPr>
    </w:p>
    <w:p>
      <w:pPr>
        <w:pStyle w:val="Heading4"/>
        <w:numPr>
          <w:ilvl w:val="0"/>
          <w:numId w:val="4"/>
        </w:numPr>
        <w:tabs>
          <w:tab w:pos="673" w:val="left" w:leader="none"/>
        </w:tabs>
        <w:spacing w:line="240" w:lineRule="auto" w:before="33" w:after="0"/>
        <w:ind w:left="672" w:right="0" w:hanging="444"/>
        <w:jc w:val="left"/>
      </w:pPr>
      <w:r>
        <w:rPr>
          <w:w w:val="95"/>
        </w:rPr>
        <w:t>主动脉手术</w:t>
      </w:r>
    </w:p>
    <w:p>
      <w:pPr>
        <w:pStyle w:val="BodyText"/>
        <w:spacing w:line="259" w:lineRule="auto" w:before="23"/>
        <w:ind w:left="117" w:right="227" w:firstLine="425"/>
        <w:jc w:val="both"/>
      </w:pPr>
      <w:r>
        <w:rPr>
          <w:spacing w:val="-7"/>
        </w:rPr>
        <w:t>指为治疗主动脉疾病，实际实施了开胸或开腹进行的切除、置换、修补病损主动脉血管的手术。主</w:t>
      </w:r>
      <w:r>
        <w:rPr>
          <w:spacing w:val="-5"/>
        </w:rPr>
        <w:t>动脉指胸主动脉和腹主动脉，不包括胸主动脉和腹主动脉的分支血管。</w:t>
      </w:r>
    </w:p>
    <w:p>
      <w:pPr>
        <w:pStyle w:val="BodyText"/>
        <w:spacing w:before="6"/>
        <w:ind w:left="542"/>
        <w:rPr>
          <w:rFonts w:ascii="黑体" w:eastAsia="黑体" w:hint="eastAsia"/>
        </w:rPr>
      </w:pPr>
      <w:r>
        <w:rPr>
          <w:rFonts w:ascii="黑体" w:eastAsia="黑体" w:hint="eastAsia"/>
        </w:rPr>
        <w:t>动脉内血管成形术不在保障范围内。</w:t>
      </w:r>
    </w:p>
    <w:p>
      <w:pPr>
        <w:pStyle w:val="BodyText"/>
        <w:spacing w:before="9"/>
        <w:rPr>
          <w:rFonts w:ascii="黑体"/>
          <w:sz w:val="25"/>
        </w:rPr>
      </w:pPr>
    </w:p>
    <w:p>
      <w:pPr>
        <w:pStyle w:val="Heading4"/>
        <w:numPr>
          <w:ilvl w:val="0"/>
          <w:numId w:val="4"/>
        </w:numPr>
        <w:tabs>
          <w:tab w:pos="673" w:val="left" w:leader="none"/>
        </w:tabs>
        <w:spacing w:line="240" w:lineRule="auto" w:before="0" w:after="0"/>
        <w:ind w:left="672" w:right="0" w:hanging="444"/>
        <w:jc w:val="left"/>
      </w:pPr>
      <w:r>
        <w:rPr>
          <w:w w:val="95"/>
        </w:rPr>
        <w:t>慢性呼吸功能衰竭</w:t>
      </w:r>
    </w:p>
    <w:p>
      <w:pPr>
        <w:pStyle w:val="BodyText"/>
        <w:spacing w:line="261" w:lineRule="auto"/>
        <w:ind w:left="117" w:right="229" w:firstLine="425"/>
        <w:jc w:val="both"/>
      </w:pPr>
      <w:r>
        <w:rPr>
          <w:spacing w:val="-5"/>
        </w:rPr>
        <w:t>慢性肺部疾病导致永久不可逆性的慢性呼吸功能衰竭。慢性呼吸功能衰竭必须明确诊断并满足下列</w:t>
      </w:r>
      <w:r>
        <w:rPr>
          <w:spacing w:val="-4"/>
        </w:rPr>
        <w:t>全部条件：</w:t>
      </w:r>
    </w:p>
    <w:p>
      <w:pPr>
        <w:pStyle w:val="BodyText"/>
        <w:spacing w:before="4"/>
        <w:ind w:left="117"/>
      </w:pPr>
      <w:r>
        <w:rPr/>
        <w:t>（1）休息时出现呼吸困难；</w:t>
      </w:r>
    </w:p>
    <w:p>
      <w:pPr>
        <w:pStyle w:val="BodyText"/>
        <w:ind w:left="117"/>
      </w:pPr>
      <w:r>
        <w:rPr/>
        <w:t>（2）动脉血氧分压 （PaO</w:t>
      </w:r>
      <w:r>
        <w:rPr>
          <w:vertAlign w:val="subscript"/>
        </w:rPr>
        <w:t>2</w:t>
      </w:r>
      <w:r>
        <w:rPr>
          <w:vertAlign w:val="baseline"/>
        </w:rPr>
        <w:t>）&lt;</w:t>
      </w:r>
      <w:r>
        <w:rPr>
          <w:vertAlign w:val="baseline"/>
        </w:rPr>
        <w:t> 50mmHg；</w:t>
      </w:r>
    </w:p>
    <w:p>
      <w:pPr>
        <w:pStyle w:val="BodyText"/>
        <w:ind w:left="117"/>
      </w:pPr>
      <w:r>
        <w:rPr/>
        <w:t>（3）动脉血氧饱和度 （SaO</w:t>
      </w:r>
      <w:r>
        <w:rPr>
          <w:vertAlign w:val="subscript"/>
        </w:rPr>
        <w:t>2</w:t>
      </w:r>
      <w:r>
        <w:rPr>
          <w:vertAlign w:val="baseline"/>
        </w:rPr>
        <w:t>）</w:t>
      </w:r>
      <w:r>
        <w:rPr>
          <w:vertAlign w:val="baseline"/>
        </w:rPr>
        <w:t>&lt; 80%；</w:t>
      </w:r>
    </w:p>
    <w:p>
      <w:pPr>
        <w:pStyle w:val="BodyText"/>
        <w:ind w:left="117"/>
      </w:pPr>
      <w:r>
        <w:rPr/>
        <w:t>（4）因缺氧必须接受持续的输氧治疗。</w:t>
      </w:r>
    </w:p>
    <w:p>
      <w:pPr>
        <w:pStyle w:val="BodyText"/>
        <w:spacing w:before="9"/>
        <w:rPr>
          <w:sz w:val="25"/>
        </w:rPr>
      </w:pPr>
    </w:p>
    <w:p>
      <w:pPr>
        <w:pStyle w:val="Heading4"/>
        <w:numPr>
          <w:ilvl w:val="0"/>
          <w:numId w:val="4"/>
        </w:numPr>
        <w:tabs>
          <w:tab w:pos="563" w:val="left" w:leader="none"/>
        </w:tabs>
        <w:spacing w:line="240" w:lineRule="auto" w:before="0" w:after="0"/>
        <w:ind w:left="562" w:right="0" w:hanging="445"/>
        <w:jc w:val="left"/>
      </w:pPr>
      <w:r>
        <w:rPr>
          <w:w w:val="95"/>
        </w:rPr>
        <w:t>严重多发性硬化</w:t>
      </w:r>
    </w:p>
    <w:p>
      <w:pPr>
        <w:pStyle w:val="BodyText"/>
        <w:spacing w:line="259" w:lineRule="auto"/>
        <w:ind w:left="117" w:right="115" w:firstLine="425"/>
      </w:pPr>
      <w:r>
        <w:rPr>
          <w:spacing w:val="-10"/>
        </w:rPr>
        <w:t>多发性硬化为中枢神经系统白质多灶性脱髓鞘病变，病变有时累及灰质。多发性硬化必须明确诊断， </w:t>
      </w:r>
      <w:r>
        <w:rPr>
          <w:spacing w:val="-11"/>
        </w:rPr>
        <w:t>并且已经造成永久不可逆的神经系统功能损害。永久不可逆的神经系统损害指被保险人持续 </w:t>
      </w:r>
      <w:r>
        <w:rPr/>
        <w:t>180</w:t>
      </w:r>
      <w:r>
        <w:rPr>
          <w:spacing w:val="-15"/>
        </w:rPr>
        <w:t> 天无法</w:t>
      </w:r>
      <w:r>
        <w:rPr>
          <w:spacing w:val="-3"/>
        </w:rPr>
        <w:t>独立完成下列基本日常生活活动中的一项：</w:t>
      </w:r>
    </w:p>
    <w:p>
      <w:pPr>
        <w:pStyle w:val="BodyText"/>
        <w:spacing w:before="6"/>
        <w:ind w:left="117"/>
      </w:pPr>
      <w:r>
        <w:rPr/>
        <w:t>（1）移动：自己从一个房间到另一个房间；</w:t>
      </w:r>
    </w:p>
    <w:p>
      <w:pPr>
        <w:pStyle w:val="BodyText"/>
        <w:spacing w:before="23"/>
        <w:ind w:left="117"/>
      </w:pPr>
      <w:r>
        <w:rPr/>
        <w:t>（2）进食：自己从已准备好的碗或碟中取食物放入口中。</w:t>
      </w:r>
    </w:p>
    <w:p>
      <w:pPr>
        <w:pStyle w:val="BodyText"/>
        <w:spacing w:before="8"/>
        <w:rPr>
          <w:sz w:val="25"/>
        </w:rPr>
      </w:pPr>
    </w:p>
    <w:p>
      <w:pPr>
        <w:pStyle w:val="Heading4"/>
        <w:numPr>
          <w:ilvl w:val="0"/>
          <w:numId w:val="4"/>
        </w:numPr>
        <w:tabs>
          <w:tab w:pos="563" w:val="left" w:leader="none"/>
        </w:tabs>
        <w:spacing w:line="240" w:lineRule="auto" w:before="0" w:after="0"/>
        <w:ind w:left="562" w:right="0" w:hanging="445"/>
        <w:jc w:val="left"/>
      </w:pPr>
      <w:r>
        <w:rPr>
          <w:w w:val="95"/>
        </w:rPr>
        <w:t>脊髓灰质炎</w:t>
      </w:r>
    </w:p>
    <w:p>
      <w:pPr>
        <w:pStyle w:val="BodyText"/>
        <w:spacing w:line="259" w:lineRule="auto" w:before="23"/>
        <w:ind w:left="117" w:right="181" w:firstLine="427"/>
        <w:jc w:val="both"/>
      </w:pPr>
      <w:r>
        <w:rPr>
          <w:spacing w:val="-3"/>
        </w:rPr>
        <w:t>脊髓灰质炎是由于脊髓灰质炎病毒感染所致的瘫痪性疾病，临床表现为运动功能损害或呼吸无力。</w:t>
      </w:r>
      <w:r>
        <w:rPr>
          <w:spacing w:val="-9"/>
        </w:rPr>
        <w:t>脊髓灰质炎必须明确诊断。本合同仅对脊髓灰质炎造成的神经系统功能损害导致被保险人一肢或一肢以上肢体机能永久完全丧失的情况予以理赔。肢体机能永久完全丧失，指疾病确诊 </w:t>
      </w:r>
      <w:r>
        <w:rPr/>
        <w:t>180</w:t>
      </w:r>
      <w:r>
        <w:rPr>
          <w:spacing w:val="-10"/>
        </w:rPr>
        <w:t> 天后，每肢三大关</w:t>
      </w:r>
      <w:r>
        <w:rPr>
          <w:spacing w:val="-7"/>
        </w:rPr>
        <w:t>节中的两大关节仍然完全僵硬，或不能随意识活动。</w:t>
      </w:r>
    </w:p>
    <w:p>
      <w:pPr>
        <w:pStyle w:val="BodyText"/>
        <w:spacing w:before="4"/>
        <w:rPr>
          <w:sz w:val="24"/>
        </w:rPr>
      </w:pPr>
    </w:p>
    <w:p>
      <w:pPr>
        <w:pStyle w:val="Heading4"/>
        <w:numPr>
          <w:ilvl w:val="0"/>
          <w:numId w:val="4"/>
        </w:numPr>
        <w:tabs>
          <w:tab w:pos="563" w:val="left" w:leader="none"/>
        </w:tabs>
        <w:spacing w:line="240" w:lineRule="auto" w:before="0" w:after="0"/>
        <w:ind w:left="562" w:right="0" w:hanging="445"/>
        <w:jc w:val="left"/>
      </w:pPr>
      <w:r>
        <w:rPr>
          <w:w w:val="95"/>
        </w:rPr>
        <w:t>全身性重症肌无力</w:t>
      </w:r>
    </w:p>
    <w:p>
      <w:pPr>
        <w:pStyle w:val="BodyText"/>
        <w:spacing w:line="259" w:lineRule="auto"/>
        <w:ind w:left="117" w:right="181" w:firstLine="427"/>
        <w:jc w:val="both"/>
      </w:pPr>
      <w:r>
        <w:rPr/>
        <w:t>重症肌无力是一种神经肌肉接头传递障碍所致的疾病，表现为局部或全身骨骼肌（特别是眼外肌） 极易疲劳。疾病可以累及呼吸肌、上肢或下肢的近端肌群或全身肌肉，必须满足下列全部条件：</w:t>
      </w:r>
    </w:p>
    <w:p>
      <w:pPr>
        <w:pStyle w:val="BodyText"/>
        <w:spacing w:before="6"/>
        <w:ind w:left="117"/>
      </w:pPr>
      <w:r>
        <w:rPr/>
        <w:t>（1）经药物治疗和胸腺切除治疗一年以上仍无法控制病情；</w:t>
      </w:r>
    </w:p>
    <w:p>
      <w:pPr>
        <w:pStyle w:val="BodyText"/>
        <w:spacing w:before="23"/>
        <w:ind w:left="117"/>
      </w:pPr>
      <w:r>
        <w:rPr/>
        <w:t>（2）自主生活能力完全丧失，无法独立完成六项基本日常生活活动中的三项或三项以上。</w:t>
      </w:r>
    </w:p>
    <w:p>
      <w:pPr>
        <w:pStyle w:val="BodyText"/>
        <w:spacing w:before="8"/>
        <w:rPr>
          <w:sz w:val="25"/>
        </w:rPr>
      </w:pPr>
    </w:p>
    <w:p>
      <w:pPr>
        <w:pStyle w:val="Heading4"/>
        <w:numPr>
          <w:ilvl w:val="0"/>
          <w:numId w:val="4"/>
        </w:numPr>
        <w:tabs>
          <w:tab w:pos="563" w:val="left" w:leader="none"/>
        </w:tabs>
        <w:spacing w:line="240" w:lineRule="auto" w:before="0" w:after="0"/>
        <w:ind w:left="562" w:right="0" w:hanging="445"/>
        <w:jc w:val="left"/>
      </w:pPr>
      <w:r>
        <w:rPr>
          <w:w w:val="95"/>
        </w:rPr>
        <w:t>严重冠心病</w:t>
      </w:r>
    </w:p>
    <w:p>
      <w:pPr>
        <w:pStyle w:val="BodyText"/>
        <w:spacing w:line="259" w:lineRule="auto" w:before="23"/>
        <w:ind w:left="117" w:right="227" w:firstLine="425"/>
        <w:jc w:val="both"/>
      </w:pPr>
      <w:r>
        <w:rPr>
          <w:spacing w:val="-5"/>
        </w:rPr>
        <w:t>指经根据冠状动脉造影检查结果明确诊断为三支主要血管严重狭窄性病变</w:t>
      </w:r>
      <w:r>
        <w:rPr>
          <w:spacing w:val="-3"/>
        </w:rPr>
        <w:t>（</w:t>
      </w:r>
      <w:r>
        <w:rPr>
          <w:spacing w:val="-2"/>
        </w:rPr>
        <w:t>至少一支血管管腔直径</w:t>
      </w:r>
      <w:r>
        <w:rPr>
          <w:spacing w:val="-17"/>
        </w:rPr>
        <w:t>减少 </w:t>
      </w:r>
      <w:r>
        <w:rPr/>
        <w:t>75</w:t>
      </w:r>
      <w:r>
        <w:rPr>
          <w:spacing w:val="-6"/>
        </w:rPr>
        <w:t>%以上和其他两支血管管腔直径减少 </w:t>
      </w:r>
      <w:r>
        <w:rPr/>
        <w:t>60</w:t>
      </w:r>
      <w:r>
        <w:rPr>
          <w:spacing w:val="-2"/>
        </w:rPr>
        <w:t>%以上</w:t>
      </w:r>
      <w:r>
        <w:rPr/>
        <w:t>）</w:t>
      </w:r>
      <w:r>
        <w:rPr>
          <w:spacing w:val="-3"/>
        </w:rPr>
        <w:t>。冠状动脉的主要血管指左冠状动脉主干、前降支、回旋支及右冠状动脉。</w:t>
      </w:r>
    </w:p>
    <w:p>
      <w:pPr>
        <w:pStyle w:val="BodyText"/>
        <w:spacing w:before="6"/>
        <w:ind w:left="542"/>
        <w:rPr>
          <w:rFonts w:ascii="黑体" w:eastAsia="黑体" w:hint="eastAsia"/>
        </w:rPr>
      </w:pPr>
      <w:r>
        <w:rPr>
          <w:rFonts w:ascii="黑体" w:eastAsia="黑体" w:hint="eastAsia"/>
        </w:rPr>
        <w:t>前降支、左旋支及右冠状动脉的分支血管的狭窄不作为本保障的衡量指标。</w:t>
      </w:r>
    </w:p>
    <w:p>
      <w:pPr>
        <w:pStyle w:val="BodyText"/>
        <w:spacing w:before="8"/>
        <w:rPr>
          <w:rFonts w:ascii="黑体"/>
          <w:sz w:val="25"/>
        </w:rPr>
      </w:pPr>
    </w:p>
    <w:p>
      <w:pPr>
        <w:pStyle w:val="Heading4"/>
        <w:numPr>
          <w:ilvl w:val="0"/>
          <w:numId w:val="4"/>
        </w:numPr>
        <w:tabs>
          <w:tab w:pos="563" w:val="left" w:leader="none"/>
        </w:tabs>
        <w:spacing w:line="240" w:lineRule="auto" w:before="0" w:after="0"/>
        <w:ind w:left="562" w:right="0" w:hanging="445"/>
        <w:jc w:val="left"/>
      </w:pPr>
      <w:r>
        <w:rPr>
          <w:w w:val="95"/>
        </w:rPr>
        <w:t>严重心肌病</w:t>
      </w:r>
    </w:p>
    <w:p>
      <w:pPr>
        <w:spacing w:after="0" w:line="240" w:lineRule="auto"/>
        <w:jc w:val="left"/>
        <w:sectPr>
          <w:pgSz w:w="11910" w:h="16840"/>
          <w:pgMar w:top="1580" w:bottom="280" w:left="960" w:right="760"/>
        </w:sectPr>
      </w:pPr>
    </w:p>
    <w:p>
      <w:pPr>
        <w:pStyle w:val="BodyText"/>
        <w:spacing w:line="259" w:lineRule="auto" w:before="20"/>
        <w:ind w:left="117" w:right="107" w:firstLine="425"/>
        <w:jc w:val="both"/>
      </w:pPr>
      <w:r>
        <w:rPr>
          <w:spacing w:val="-5"/>
        </w:rPr>
        <w:t>指被保险人因心肌病导致慢性心功能损害造成永久不可逆性的心功能衰竭。心功能衰竭程度达到纽约心脏病学会的心功能分级标准之心功能Ⅳ级，必须由心脏</w:t>
      </w:r>
      <w:r>
        <w:rPr>
          <w:b/>
          <w:spacing w:val="-1"/>
        </w:rPr>
        <w:t>专科医生</w:t>
      </w:r>
      <w:r>
        <w:rPr/>
        <w:t>（</w:t>
      </w:r>
      <w:r>
        <w:rPr>
          <w:spacing w:val="-18"/>
        </w:rPr>
        <w:t>见 </w:t>
      </w:r>
      <w:r>
        <w:rPr/>
        <w:t>12.20）</w:t>
      </w:r>
      <w:r>
        <w:rPr>
          <w:spacing w:val="-3"/>
        </w:rPr>
        <w:t>确诊，并有包括超声心动图在内的相关检查证实。被保险人永久不可逆性的体力活动能力受限，不能从事任何体力活动。</w:t>
      </w:r>
    </w:p>
    <w:p>
      <w:pPr>
        <w:pStyle w:val="BodyText"/>
        <w:spacing w:before="6"/>
        <w:ind w:left="542"/>
        <w:rPr>
          <w:rFonts w:ascii="黑体" w:eastAsia="黑体" w:hint="eastAsia"/>
        </w:rPr>
      </w:pPr>
      <w:r>
        <w:rPr>
          <w:rFonts w:ascii="黑体" w:eastAsia="黑体" w:hint="eastAsia"/>
        </w:rPr>
        <w:t>酗酒或滥用药物引起的心肌病不在保险责任范围内。</w:t>
      </w:r>
    </w:p>
    <w:p>
      <w:pPr>
        <w:pStyle w:val="BodyText"/>
        <w:spacing w:before="8"/>
        <w:rPr>
          <w:rFonts w:ascii="黑体"/>
          <w:sz w:val="25"/>
        </w:rPr>
      </w:pPr>
    </w:p>
    <w:p>
      <w:pPr>
        <w:pStyle w:val="Heading4"/>
        <w:numPr>
          <w:ilvl w:val="0"/>
          <w:numId w:val="4"/>
        </w:numPr>
        <w:tabs>
          <w:tab w:pos="563" w:val="left" w:leader="none"/>
        </w:tabs>
        <w:spacing w:line="240" w:lineRule="auto" w:before="0" w:after="0"/>
        <w:ind w:left="562" w:right="0" w:hanging="445"/>
        <w:jc w:val="left"/>
      </w:pPr>
      <w:r>
        <w:rPr>
          <w:w w:val="95"/>
        </w:rPr>
        <w:t>严重类风湿性关节炎</w:t>
      </w:r>
    </w:p>
    <w:p>
      <w:pPr>
        <w:pStyle w:val="BodyText"/>
        <w:spacing w:line="259" w:lineRule="auto" w:before="23"/>
        <w:ind w:left="117" w:right="109" w:firstLine="425"/>
        <w:jc w:val="both"/>
      </w:pPr>
      <w:r>
        <w:rPr>
          <w:spacing w:val="-5"/>
        </w:rPr>
        <w:t>类风湿性关节炎为广泛分布的慢性进行性多关节病变，表现为关节严重变形，侵犯至少三个主要关</w:t>
      </w:r>
      <w:r>
        <w:rPr>
          <w:spacing w:val="-7"/>
        </w:rPr>
        <w:t>节或关节组【如：双手</w:t>
      </w:r>
      <w:r>
        <w:rPr>
          <w:spacing w:val="-3"/>
        </w:rPr>
        <w:t>（</w:t>
      </w:r>
      <w:r>
        <w:rPr>
          <w:spacing w:val="-1"/>
        </w:rPr>
        <w:t>多手指</w:t>
      </w:r>
      <w:r>
        <w:rPr>
          <w:spacing w:val="-5"/>
        </w:rPr>
        <w:t>）</w:t>
      </w:r>
      <w:r>
        <w:rPr>
          <w:spacing w:val="-4"/>
        </w:rPr>
        <w:t>关节、双足</w:t>
      </w:r>
      <w:r>
        <w:rPr>
          <w:spacing w:val="-3"/>
        </w:rPr>
        <w:t>（</w:t>
      </w:r>
      <w:r>
        <w:rPr>
          <w:spacing w:val="-2"/>
        </w:rPr>
        <w:t>多足趾</w:t>
      </w:r>
      <w:r>
        <w:rPr>
          <w:spacing w:val="-8"/>
        </w:rPr>
        <w:t>）</w:t>
      </w:r>
      <w:r>
        <w:rPr>
          <w:spacing w:val="-6"/>
        </w:rPr>
        <w:t>关节、双腕关节、双膝关节和双髋关节】。类</w:t>
      </w:r>
      <w:r>
        <w:rPr>
          <w:spacing w:val="-5"/>
        </w:rPr>
        <w:t>风湿性关节炎必须明确诊断并且已经达到类风湿性关节炎功能分类Ⅳ级的永久不可逆性关节功能障碍</w:t>
      </w:r>
    </w:p>
    <w:p>
      <w:pPr>
        <w:pStyle w:val="BodyText"/>
        <w:spacing w:before="6"/>
        <w:ind w:left="117"/>
      </w:pPr>
      <w:r>
        <w:rPr/>
        <w:t>（生活不能自理，且丧失工作能力）并且满足下列全部条件：</w:t>
      </w:r>
    </w:p>
    <w:p>
      <w:pPr>
        <w:pStyle w:val="BodyText"/>
        <w:ind w:left="117"/>
      </w:pPr>
      <w:r>
        <w:rPr/>
        <w:t>（1）晨僵；</w:t>
      </w:r>
    </w:p>
    <w:p>
      <w:pPr>
        <w:pStyle w:val="BodyText"/>
        <w:spacing w:before="23"/>
        <w:ind w:left="117"/>
      </w:pPr>
      <w:r>
        <w:rPr/>
        <w:t>（2）对称性关节炎；</w:t>
      </w:r>
    </w:p>
    <w:p>
      <w:pPr>
        <w:pStyle w:val="BodyText"/>
        <w:spacing w:before="23"/>
        <w:ind w:left="117"/>
      </w:pPr>
      <w:r>
        <w:rPr/>
        <w:t>（3）类风湿性皮下结节；</w:t>
      </w:r>
    </w:p>
    <w:p>
      <w:pPr>
        <w:pStyle w:val="BodyText"/>
        <w:spacing w:before="23"/>
        <w:ind w:left="117"/>
      </w:pPr>
      <w:r>
        <w:rPr/>
        <w:t>（4）类风湿因子滴度升高；</w:t>
      </w:r>
    </w:p>
    <w:p>
      <w:pPr>
        <w:pStyle w:val="BodyText"/>
        <w:spacing w:before="23"/>
        <w:ind w:left="117"/>
      </w:pPr>
      <w:r>
        <w:rPr/>
        <w:t>（5）X 线显示严重的关节（软骨和骨）破坏和关节畸形。</w:t>
      </w:r>
    </w:p>
    <w:p>
      <w:pPr>
        <w:pStyle w:val="BodyText"/>
        <w:spacing w:before="8"/>
        <w:rPr>
          <w:sz w:val="25"/>
        </w:rPr>
      </w:pPr>
    </w:p>
    <w:p>
      <w:pPr>
        <w:pStyle w:val="Heading4"/>
        <w:numPr>
          <w:ilvl w:val="0"/>
          <w:numId w:val="4"/>
        </w:numPr>
        <w:tabs>
          <w:tab w:pos="563" w:val="left" w:leader="none"/>
        </w:tabs>
        <w:spacing w:line="240" w:lineRule="auto" w:before="0" w:after="0"/>
        <w:ind w:left="562" w:right="0" w:hanging="445"/>
        <w:jc w:val="left"/>
      </w:pPr>
      <w:r>
        <w:rPr>
          <w:w w:val="95"/>
        </w:rPr>
        <w:t>系统性红斑狼疮－Ⅲ型或以上狼疮性肾炎</w:t>
      </w:r>
    </w:p>
    <w:p>
      <w:pPr>
        <w:pStyle w:val="BodyText"/>
        <w:spacing w:line="259" w:lineRule="auto" w:before="23"/>
        <w:ind w:left="117" w:right="109" w:firstLine="425"/>
      </w:pPr>
      <w:r>
        <w:rPr>
          <w:spacing w:val="-6"/>
        </w:rPr>
        <w:t>系统性红斑狼疮是由多种因素引起，累及多系统的自身免疫性疾病。其特点是生成自身抗体对抗多</w:t>
      </w:r>
      <w:r>
        <w:rPr>
          <w:spacing w:val="-5"/>
        </w:rPr>
        <w:t>种自身抗原。多见于育龄妇女。</w:t>
      </w:r>
    </w:p>
    <w:p>
      <w:pPr>
        <w:pStyle w:val="BodyText"/>
        <w:spacing w:line="259" w:lineRule="auto" w:before="6"/>
        <w:ind w:left="117" w:right="169" w:firstLine="425"/>
      </w:pPr>
      <w:r>
        <w:rPr/>
        <w:t>本合同所指的系统性红斑狼疮仅限于累及肾脏，并经肾脏活检确认的符合世界卫生组织（WHO）诊断标准定义Ⅲ型或Ⅲ型以上狼疮性肾炎的系统性红斑狼疮。</w:t>
      </w:r>
    </w:p>
    <w:p>
      <w:pPr>
        <w:pStyle w:val="BodyText"/>
        <w:spacing w:before="6"/>
        <w:ind w:left="542"/>
        <w:rPr>
          <w:rFonts w:ascii="黑体" w:eastAsia="黑体" w:hint="eastAsia"/>
        </w:rPr>
      </w:pPr>
      <w:r>
        <w:rPr>
          <w:rFonts w:ascii="黑体" w:eastAsia="黑体" w:hint="eastAsia"/>
        </w:rPr>
        <w:t>其他类型的红斑性狼疮，如盘状狼疮、仅累及血液及关节的狼疮不在本合同保障范围内。</w:t>
      </w:r>
    </w:p>
    <w:p>
      <w:pPr>
        <w:pStyle w:val="BodyText"/>
        <w:spacing w:before="23"/>
        <w:ind w:left="542"/>
      </w:pPr>
      <w:r>
        <w:rPr/>
        <w:t>世界卫生组织（WHO）狼疮性肾炎分型：</w:t>
      </w:r>
    </w:p>
    <w:p>
      <w:pPr>
        <w:pStyle w:val="BodyText"/>
        <w:tabs>
          <w:tab w:pos="1315" w:val="left" w:leader="none"/>
        </w:tabs>
        <w:spacing w:before="23"/>
        <w:ind w:left="542"/>
      </w:pPr>
      <w:r>
        <w:rPr/>
        <w:t>Ⅰ型</w:t>
        <w:tab/>
      </w:r>
      <w:r>
        <w:rPr>
          <w:spacing w:val="-3"/>
        </w:rPr>
        <w:t>微</w:t>
      </w:r>
      <w:r>
        <w:rPr/>
        <w:t>小病</w:t>
      </w:r>
      <w:r>
        <w:rPr>
          <w:spacing w:val="-3"/>
        </w:rPr>
        <w:t>变</w:t>
      </w:r>
      <w:r>
        <w:rPr/>
        <w:t>型</w:t>
      </w:r>
    </w:p>
    <w:p>
      <w:pPr>
        <w:pStyle w:val="BodyText"/>
        <w:tabs>
          <w:tab w:pos="1315" w:val="left" w:leader="none"/>
        </w:tabs>
        <w:spacing w:before="23"/>
        <w:ind w:left="542"/>
      </w:pPr>
      <w:r>
        <w:rPr/>
        <w:t>Ⅱ型</w:t>
        <w:tab/>
      </w:r>
      <w:r>
        <w:rPr>
          <w:spacing w:val="-3"/>
        </w:rPr>
        <w:t>系</w:t>
      </w:r>
      <w:r>
        <w:rPr/>
        <w:t>膜病</w:t>
      </w:r>
      <w:r>
        <w:rPr>
          <w:spacing w:val="-3"/>
        </w:rPr>
        <w:t>变</w:t>
      </w:r>
      <w:r>
        <w:rPr/>
        <w:t>型</w:t>
      </w:r>
    </w:p>
    <w:p>
      <w:pPr>
        <w:pStyle w:val="BodyText"/>
        <w:tabs>
          <w:tab w:pos="1315" w:val="left" w:leader="none"/>
        </w:tabs>
        <w:spacing w:before="23"/>
        <w:ind w:left="542"/>
      </w:pPr>
      <w:r>
        <w:rPr/>
        <w:t>Ⅲ型</w:t>
        <w:tab/>
      </w:r>
      <w:r>
        <w:rPr>
          <w:spacing w:val="-3"/>
        </w:rPr>
        <w:t>局</w:t>
      </w:r>
      <w:r>
        <w:rPr/>
        <w:t>灶及</w:t>
      </w:r>
      <w:r>
        <w:rPr>
          <w:spacing w:val="-3"/>
        </w:rPr>
        <w:t>节</w:t>
      </w:r>
      <w:r>
        <w:rPr/>
        <w:t>段增</w:t>
      </w:r>
      <w:r>
        <w:rPr>
          <w:spacing w:val="-3"/>
        </w:rPr>
        <w:t>生</w:t>
      </w:r>
      <w:r>
        <w:rPr/>
        <w:t>型</w:t>
      </w:r>
    </w:p>
    <w:p>
      <w:pPr>
        <w:pStyle w:val="BodyText"/>
        <w:tabs>
          <w:tab w:pos="1315" w:val="left" w:leader="none"/>
        </w:tabs>
        <w:spacing w:before="23"/>
        <w:ind w:left="542"/>
      </w:pPr>
      <w:r>
        <w:rPr/>
        <w:t>Ⅳ型</w:t>
        <w:tab/>
      </w:r>
      <w:r>
        <w:rPr>
          <w:spacing w:val="-3"/>
        </w:rPr>
        <w:t>弥</w:t>
      </w:r>
      <w:r>
        <w:rPr/>
        <w:t>漫增</w:t>
      </w:r>
      <w:r>
        <w:rPr>
          <w:spacing w:val="-3"/>
        </w:rPr>
        <w:t>生</w:t>
      </w:r>
      <w:r>
        <w:rPr/>
        <w:t>型</w:t>
      </w:r>
    </w:p>
    <w:p>
      <w:pPr>
        <w:pStyle w:val="BodyText"/>
        <w:tabs>
          <w:tab w:pos="1315" w:val="left" w:leader="none"/>
        </w:tabs>
        <w:spacing w:before="23"/>
        <w:ind w:left="542"/>
      </w:pPr>
      <w:r>
        <w:rPr/>
        <w:t>Ⅴ型</w:t>
        <w:tab/>
      </w:r>
      <w:r>
        <w:rPr>
          <w:spacing w:val="-3"/>
        </w:rPr>
        <w:t>膜型</w:t>
      </w:r>
    </w:p>
    <w:p>
      <w:pPr>
        <w:pStyle w:val="BodyText"/>
        <w:tabs>
          <w:tab w:pos="1315" w:val="left" w:leader="none"/>
        </w:tabs>
        <w:spacing w:before="23"/>
        <w:ind w:left="542"/>
      </w:pPr>
      <w:r>
        <w:rPr/>
        <w:t>Ⅵ型</w:t>
        <w:tab/>
      </w:r>
      <w:r>
        <w:rPr>
          <w:spacing w:val="-3"/>
        </w:rPr>
        <w:t>肾</w:t>
      </w:r>
      <w:r>
        <w:rPr/>
        <w:t>小球</w:t>
      </w:r>
      <w:r>
        <w:rPr>
          <w:spacing w:val="-3"/>
        </w:rPr>
        <w:t>硬</w:t>
      </w:r>
      <w:r>
        <w:rPr/>
        <w:t>化型</w:t>
      </w:r>
    </w:p>
    <w:p>
      <w:pPr>
        <w:pStyle w:val="BodyText"/>
        <w:spacing w:before="8"/>
        <w:rPr>
          <w:sz w:val="25"/>
        </w:rPr>
      </w:pPr>
    </w:p>
    <w:p>
      <w:pPr>
        <w:pStyle w:val="Heading4"/>
        <w:numPr>
          <w:ilvl w:val="0"/>
          <w:numId w:val="4"/>
        </w:numPr>
        <w:tabs>
          <w:tab w:pos="563" w:val="left" w:leader="none"/>
        </w:tabs>
        <w:spacing w:line="240" w:lineRule="auto" w:before="1" w:after="0"/>
        <w:ind w:left="562" w:right="0" w:hanging="445"/>
        <w:jc w:val="left"/>
      </w:pPr>
      <w:r>
        <w:rPr>
          <w:w w:val="95"/>
        </w:rPr>
        <w:t>因职业关系导致的艾滋病病毒（HIV）感染</w:t>
      </w:r>
    </w:p>
    <w:p>
      <w:pPr>
        <w:pStyle w:val="BodyText"/>
        <w:spacing w:line="259" w:lineRule="auto"/>
        <w:ind w:left="117" w:right="107" w:firstLine="425"/>
      </w:pPr>
      <w:r>
        <w:rPr>
          <w:spacing w:val="-6"/>
        </w:rPr>
        <w:t>被保险人在其常规职业工作过程中遭遇外伤，或者职业需要处理血液或者其他体液时感染上艾滋病</w:t>
      </w:r>
      <w:r>
        <w:rPr>
          <w:spacing w:val="-3"/>
        </w:rPr>
        <w:t>病毒，也即人类免疫缺陷病毒</w:t>
      </w:r>
      <w:r>
        <w:rPr/>
        <w:t>（HIV）</w:t>
      </w:r>
      <w:r>
        <w:rPr>
          <w:spacing w:val="-3"/>
        </w:rPr>
        <w:t>。必须满足下列全部条件：</w:t>
      </w:r>
    </w:p>
    <w:p>
      <w:pPr>
        <w:pStyle w:val="BodyText"/>
        <w:spacing w:before="6"/>
        <w:ind w:left="117"/>
      </w:pPr>
      <w:r>
        <w:rPr/>
        <w:t>（1）感染必须是在被保险人正在从事其职业工作中发生，该职业必须属于以下职业：</w:t>
      </w:r>
    </w:p>
    <w:p>
      <w:pPr>
        <w:pStyle w:val="BodyText"/>
        <w:ind w:left="684"/>
      </w:pPr>
      <w:r>
        <w:rPr/>
        <w:t>① 医生和牙科医生、护士；</w:t>
      </w:r>
    </w:p>
    <w:p>
      <w:pPr>
        <w:pStyle w:val="BodyText"/>
        <w:ind w:left="684"/>
      </w:pPr>
      <w:r>
        <w:rPr/>
        <w:t>② 医院化验室工作人员、医院护工；</w:t>
      </w:r>
    </w:p>
    <w:p>
      <w:pPr>
        <w:pStyle w:val="BodyText"/>
        <w:ind w:left="684"/>
      </w:pPr>
      <w:r>
        <w:rPr/>
        <w:t>③ 医生助理和牙医助理、救护车工作人员；</w:t>
      </w:r>
    </w:p>
    <w:p>
      <w:pPr>
        <w:pStyle w:val="BodyText"/>
        <w:ind w:left="684"/>
      </w:pPr>
      <w:r>
        <w:rPr/>
        <w:t>④ 助产士、消防队员；</w:t>
      </w:r>
    </w:p>
    <w:p>
      <w:pPr>
        <w:pStyle w:val="BodyText"/>
        <w:ind w:left="684"/>
      </w:pPr>
      <w:r>
        <w:rPr/>
        <w:t>⑤ 警察、狱警。</w:t>
      </w:r>
    </w:p>
    <w:p>
      <w:pPr>
        <w:pStyle w:val="BodyText"/>
        <w:ind w:left="117"/>
      </w:pPr>
      <w:r>
        <w:rPr/>
        <w:t>（2）血清转化必须出现在事故发生后的6个月以内；</w:t>
      </w:r>
    </w:p>
    <w:p>
      <w:pPr>
        <w:pStyle w:val="BodyText"/>
        <w:spacing w:before="23"/>
        <w:ind w:left="117"/>
      </w:pPr>
      <w:r>
        <w:rPr/>
        <w:t>（3）必须提供被保险人在所报事故发生后的5天以内进行的检查报告，该报告必须显示被保险人血液</w:t>
      </w:r>
    </w:p>
    <w:p>
      <w:pPr>
        <w:pStyle w:val="BodyText"/>
        <w:spacing w:before="23"/>
        <w:ind w:left="684"/>
      </w:pPr>
      <w:r>
        <w:rPr/>
        <w:t>HIV病毒阴性和/或HIV抗体阴性；</w:t>
      </w:r>
    </w:p>
    <w:p>
      <w:pPr>
        <w:pStyle w:val="BodyText"/>
        <w:spacing w:before="23"/>
        <w:ind w:left="117"/>
      </w:pPr>
      <w:r>
        <w:rPr/>
        <w:t>（4）必须在事故发生后的12个月内证实被保险人体内存在HIV病毒或者HIV抗体。</w:t>
      </w:r>
    </w:p>
    <w:p>
      <w:pPr>
        <w:spacing w:after="0"/>
        <w:sectPr>
          <w:pgSz w:w="11910" w:h="16840"/>
          <w:pgMar w:top="1380" w:bottom="280" w:left="960" w:right="880"/>
        </w:sectPr>
      </w:pPr>
    </w:p>
    <w:p>
      <w:pPr>
        <w:pStyle w:val="Heading4"/>
        <w:numPr>
          <w:ilvl w:val="0"/>
          <w:numId w:val="4"/>
        </w:numPr>
        <w:tabs>
          <w:tab w:pos="563" w:val="left" w:leader="none"/>
        </w:tabs>
        <w:spacing w:line="240" w:lineRule="auto" w:before="20" w:after="0"/>
        <w:ind w:left="562" w:right="0" w:hanging="445"/>
        <w:jc w:val="left"/>
      </w:pPr>
      <w:r>
        <w:rPr>
          <w:spacing w:val="-1"/>
          <w:w w:val="95"/>
        </w:rPr>
        <w:t>经输血导致的艾滋病病毒感染</w:t>
      </w:r>
    </w:p>
    <w:p>
      <w:pPr>
        <w:pStyle w:val="BodyText"/>
        <w:spacing w:line="259" w:lineRule="auto"/>
        <w:ind w:left="684" w:right="1127" w:hanging="567"/>
      </w:pPr>
      <w:r>
        <w:rPr/>
        <w:t>（1）被保险人感染上艾滋病病毒，也即人类免疫缺陷病毒（HIV）并且满足下列全部条件： 在保障起始日或复效日之后，被保险人因输血而感染HIV；</w:t>
      </w:r>
    </w:p>
    <w:p>
      <w:pPr>
        <w:pStyle w:val="BodyText"/>
        <w:spacing w:line="259" w:lineRule="auto" w:before="6"/>
        <w:ind w:left="684" w:right="130" w:hanging="567"/>
      </w:pPr>
      <w:r>
        <w:rPr/>
        <w:t>（2）提供输血治疗的输血中心或医院出具该项输血感染属医疗责任事故的报告，或者法院终审裁定为医疗责任并且不准上诉；</w:t>
      </w:r>
    </w:p>
    <w:p>
      <w:pPr>
        <w:pStyle w:val="BodyText"/>
        <w:spacing w:before="6"/>
        <w:ind w:left="117"/>
      </w:pPr>
      <w:r>
        <w:rPr/>
        <w:t>（3）受感染的被保险人不是血友病患者。</w:t>
      </w:r>
    </w:p>
    <w:p>
      <w:pPr>
        <w:pStyle w:val="BodyText"/>
        <w:spacing w:line="259" w:lineRule="auto"/>
        <w:ind w:left="117" w:right="167" w:firstLine="425"/>
        <w:jc w:val="both"/>
        <w:rPr>
          <w:rFonts w:ascii="黑体" w:eastAsia="黑体" w:hint="eastAsia"/>
        </w:rPr>
      </w:pPr>
      <w:r>
        <w:rPr>
          <w:rFonts w:ascii="黑体" w:eastAsia="黑体" w:hint="eastAsia"/>
        </w:rPr>
        <w:t>在任何治愈艾滋病（AIDS）或阻止HIV病毒作用的疗法被发现以后，或能防止AIDS发Th的医疗方法被研究出来以后，本保障将不再予以赔付。</w:t>
      </w:r>
    </w:p>
    <w:p>
      <w:pPr>
        <w:pStyle w:val="BodyText"/>
        <w:spacing w:line="259" w:lineRule="auto" w:before="6"/>
        <w:ind w:left="117" w:right="167" w:firstLine="425"/>
        <w:jc w:val="both"/>
      </w:pPr>
      <w:r>
        <w:rPr>
          <w:rFonts w:ascii="黑体" w:eastAsia="黑体" w:hint="eastAsia"/>
        </w:rPr>
        <w:t>任何因其他传播方式（包括：性传播或静脉注射毒品）导致的HIV感染不在本合同保障范围内</w:t>
      </w:r>
      <w:r>
        <w:rPr/>
        <w:t>。本公司必须拥有获得使用被保险人的所有血液样本的权利和能够对这些样本进行独立检验的权利。</w:t>
      </w:r>
    </w:p>
    <w:p>
      <w:pPr>
        <w:pStyle w:val="BodyText"/>
        <w:spacing w:before="4"/>
        <w:rPr>
          <w:sz w:val="24"/>
        </w:rPr>
      </w:pPr>
    </w:p>
    <w:p>
      <w:pPr>
        <w:pStyle w:val="Heading4"/>
        <w:numPr>
          <w:ilvl w:val="0"/>
          <w:numId w:val="4"/>
        </w:numPr>
        <w:tabs>
          <w:tab w:pos="563" w:val="left" w:leader="none"/>
        </w:tabs>
        <w:spacing w:line="240" w:lineRule="auto" w:before="0" w:after="0"/>
        <w:ind w:left="562" w:right="0" w:hanging="445"/>
        <w:jc w:val="left"/>
      </w:pPr>
      <w:r>
        <w:rPr>
          <w:w w:val="95"/>
        </w:rPr>
        <w:t>严重克隆病</w:t>
      </w:r>
    </w:p>
    <w:p>
      <w:pPr>
        <w:pStyle w:val="BodyText"/>
        <w:spacing w:line="259" w:lineRule="auto" w:before="23"/>
        <w:ind w:left="117" w:right="109" w:firstLine="425"/>
        <w:jc w:val="both"/>
      </w:pPr>
      <w:r>
        <w:rPr>
          <w:spacing w:val="-6"/>
        </w:rPr>
        <w:t>克隆病是一种慢性肉芽肿性肠炎，具有特征性的克隆病病理组织学变化。诊断必须由病理检查结果</w:t>
      </w:r>
      <w:r>
        <w:rPr>
          <w:spacing w:val="-5"/>
        </w:rPr>
        <w:t>证实。被保险人所患的克隆病必须已经造成瘘管形成并伴有肠梗阻或肠穿孔。</w:t>
      </w:r>
    </w:p>
    <w:p>
      <w:pPr>
        <w:pStyle w:val="BodyText"/>
        <w:spacing w:before="4"/>
        <w:rPr>
          <w:sz w:val="24"/>
        </w:rPr>
      </w:pPr>
    </w:p>
    <w:p>
      <w:pPr>
        <w:pStyle w:val="Heading4"/>
        <w:numPr>
          <w:ilvl w:val="0"/>
          <w:numId w:val="4"/>
        </w:numPr>
        <w:tabs>
          <w:tab w:pos="563" w:val="left" w:leader="none"/>
        </w:tabs>
        <w:spacing w:line="240" w:lineRule="auto" w:before="0" w:after="0"/>
        <w:ind w:left="562" w:right="0" w:hanging="445"/>
        <w:jc w:val="left"/>
      </w:pPr>
      <w:r>
        <w:rPr>
          <w:w w:val="95"/>
        </w:rPr>
        <w:t>严重溃疡性结肠炎</w:t>
      </w:r>
    </w:p>
    <w:p>
      <w:pPr>
        <w:pStyle w:val="BodyText"/>
        <w:spacing w:line="259" w:lineRule="auto"/>
        <w:ind w:left="117" w:right="109" w:firstLine="425"/>
        <w:jc w:val="both"/>
      </w:pPr>
      <w:r>
        <w:rPr>
          <w:spacing w:val="-5"/>
        </w:rPr>
        <w:t>溃疡性结肠炎是指伴有致命性电解质紊乱的急性暴发性溃疡性结肠炎，病变累及全结肠，表现为严</w:t>
      </w:r>
      <w:r>
        <w:rPr>
          <w:spacing w:val="-8"/>
        </w:rPr>
        <w:t>重的血便和系统性症状体征，治疗通常采取全结肠切除和回肠造瘘术。溃疡性结肠炎必须根据组织病理</w:t>
      </w:r>
      <w:r>
        <w:rPr>
          <w:spacing w:val="-3"/>
        </w:rPr>
        <w:t>学特点诊断，并且被保险人已经接受了结肠切除和</w:t>
      </w:r>
      <w:r>
        <w:rPr/>
        <w:t>/</w:t>
      </w:r>
      <w:r>
        <w:rPr>
          <w:spacing w:val="-1"/>
        </w:rPr>
        <w:t>或回肠造瘘术。</w:t>
      </w:r>
    </w:p>
    <w:p>
      <w:pPr>
        <w:pStyle w:val="BodyText"/>
        <w:spacing w:before="4"/>
        <w:rPr>
          <w:sz w:val="24"/>
        </w:rPr>
      </w:pPr>
    </w:p>
    <w:p>
      <w:pPr>
        <w:pStyle w:val="Heading4"/>
        <w:numPr>
          <w:ilvl w:val="0"/>
          <w:numId w:val="4"/>
        </w:numPr>
        <w:tabs>
          <w:tab w:pos="563" w:val="left" w:leader="none"/>
        </w:tabs>
        <w:spacing w:line="240" w:lineRule="auto" w:before="1" w:after="0"/>
        <w:ind w:left="562" w:right="0" w:hanging="445"/>
        <w:jc w:val="left"/>
      </w:pPr>
      <w:r>
        <w:rPr>
          <w:w w:val="95"/>
        </w:rPr>
        <w:t>Ⅱ级重症急性胰腺炎</w:t>
      </w:r>
    </w:p>
    <w:p>
      <w:pPr>
        <w:pStyle w:val="BodyText"/>
        <w:spacing w:line="259" w:lineRule="auto"/>
        <w:ind w:left="117" w:right="109" w:firstLine="425"/>
      </w:pPr>
      <w:r>
        <w:rPr>
          <w:spacing w:val="-5"/>
        </w:rPr>
        <w:t>Ⅱ级重症急性胰腺炎是指急性胰腺炎伴有脏器功能障碍。被保险人所患的Ⅱ级重症急性胰腺炎必须</w:t>
      </w:r>
      <w:r>
        <w:rPr>
          <w:spacing w:val="-11"/>
        </w:rPr>
        <w:t>明确诊断，按 </w:t>
      </w:r>
      <w:r>
        <w:rPr/>
        <w:t>APACHE</w:t>
      </w:r>
      <w:r>
        <w:rPr>
          <w:spacing w:val="-10"/>
        </w:rPr>
        <w:t>Ⅱ评分达到 </w:t>
      </w:r>
      <w:r>
        <w:rPr/>
        <w:t>8</w:t>
      </w:r>
      <w:r>
        <w:rPr>
          <w:spacing w:val="-28"/>
        </w:rPr>
        <w:t> 分或 </w:t>
      </w:r>
      <w:r>
        <w:rPr/>
        <w:t>8</w:t>
      </w:r>
      <w:r>
        <w:rPr>
          <w:spacing w:val="-19"/>
        </w:rPr>
        <w:t> 分以上和 </w:t>
      </w:r>
      <w:r>
        <w:rPr/>
        <w:t>Balthazar</w:t>
      </w:r>
      <w:r>
        <w:rPr>
          <w:spacing w:val="-9"/>
        </w:rPr>
        <w:t> 分级系统达到Ⅱ级或Ⅱ级以上，并且接</w:t>
      </w:r>
      <w:r>
        <w:rPr>
          <w:spacing w:val="-6"/>
        </w:rPr>
        <w:t>受了外科剖腹手术治疗，以进行坏死组织清除、坏死病灶切除或胰腺切除。</w:t>
      </w:r>
    </w:p>
    <w:p>
      <w:pPr>
        <w:pStyle w:val="BodyText"/>
        <w:spacing w:before="6"/>
        <w:ind w:left="542"/>
        <w:rPr>
          <w:rFonts w:ascii="黑体" w:eastAsia="黑体" w:hint="eastAsia"/>
        </w:rPr>
      </w:pPr>
      <w:r>
        <w:rPr>
          <w:rFonts w:ascii="黑体" w:eastAsia="黑体" w:hint="eastAsia"/>
        </w:rPr>
        <w:t>因酗酒或饮酒过量所致的急性坏死性胰腺炎以及腹腔镜手术不在本合同保障范围内。</w:t>
      </w:r>
    </w:p>
    <w:p>
      <w:pPr>
        <w:pStyle w:val="BodyText"/>
        <w:spacing w:before="8"/>
        <w:rPr>
          <w:rFonts w:ascii="黑体"/>
          <w:sz w:val="25"/>
        </w:rPr>
      </w:pPr>
    </w:p>
    <w:p>
      <w:pPr>
        <w:pStyle w:val="Heading4"/>
        <w:numPr>
          <w:ilvl w:val="0"/>
          <w:numId w:val="4"/>
        </w:numPr>
        <w:tabs>
          <w:tab w:pos="563" w:val="left" w:leader="none"/>
        </w:tabs>
        <w:spacing w:line="240" w:lineRule="auto" w:before="0" w:after="0"/>
        <w:ind w:left="562" w:right="0" w:hanging="445"/>
        <w:jc w:val="left"/>
      </w:pPr>
      <w:r>
        <w:rPr>
          <w:w w:val="95"/>
        </w:rPr>
        <w:t>植物人状态</w:t>
      </w:r>
    </w:p>
    <w:p>
      <w:pPr>
        <w:pStyle w:val="BodyText"/>
        <w:spacing w:line="259" w:lineRule="auto" w:before="23"/>
        <w:ind w:left="117" w:right="107" w:firstLine="425"/>
        <w:jc w:val="both"/>
      </w:pPr>
      <w:r>
        <w:rPr>
          <w:spacing w:val="-2"/>
        </w:rPr>
        <w:t>植物人状态系指大脑和</w:t>
      </w:r>
      <w:r>
        <w:rPr/>
        <w:t>/</w:t>
      </w:r>
      <w:r>
        <w:rPr>
          <w:spacing w:val="-3"/>
        </w:rPr>
        <w:t>或脑干严重损害导致完全永久性的对自身和环境的意识丧失和中枢神经系</w:t>
      </w:r>
      <w:r>
        <w:rPr>
          <w:spacing w:val="-8"/>
        </w:rPr>
        <w:t>统功能丧失，仅残存植物神经功能的疾病状态。必须经神经科医生确诊并且具有严重脑损害的证据。植</w:t>
      </w:r>
      <w:r>
        <w:rPr>
          <w:spacing w:val="-10"/>
        </w:rPr>
        <w:t>物人状态必须持续 </w:t>
      </w:r>
      <w:r>
        <w:rPr/>
        <w:t>30</w:t>
      </w:r>
      <w:r>
        <w:rPr>
          <w:spacing w:val="-9"/>
        </w:rPr>
        <w:t> 天以上方可申请理赔。</w:t>
      </w:r>
    </w:p>
    <w:p>
      <w:pPr>
        <w:pStyle w:val="BodyText"/>
        <w:spacing w:before="4"/>
        <w:rPr>
          <w:sz w:val="24"/>
        </w:rPr>
      </w:pPr>
    </w:p>
    <w:p>
      <w:pPr>
        <w:pStyle w:val="Heading4"/>
        <w:numPr>
          <w:ilvl w:val="0"/>
          <w:numId w:val="4"/>
        </w:numPr>
        <w:tabs>
          <w:tab w:pos="563" w:val="left" w:leader="none"/>
        </w:tabs>
        <w:spacing w:line="240" w:lineRule="auto" w:before="0" w:after="0"/>
        <w:ind w:left="562" w:right="0" w:hanging="445"/>
        <w:jc w:val="left"/>
      </w:pPr>
      <w:r>
        <w:rPr>
          <w:w w:val="95"/>
        </w:rPr>
        <w:t>非阿尔茨海默病所致严重痴呆</w:t>
      </w:r>
    </w:p>
    <w:p>
      <w:pPr>
        <w:pStyle w:val="BodyText"/>
        <w:spacing w:line="259" w:lineRule="auto"/>
        <w:ind w:left="117" w:right="106" w:firstLine="425"/>
        <w:jc w:val="both"/>
      </w:pPr>
      <w:r>
        <w:rPr>
          <w:spacing w:val="-5"/>
        </w:rPr>
        <w:t>指因阿尔茨海默病以外的脑的器质性疾病造成脑功能衰竭导致永久不可逆性的严重痴呆，临床表现</w:t>
      </w:r>
      <w:r>
        <w:rPr>
          <w:spacing w:val="-8"/>
        </w:rPr>
        <w:t>为明显的认知能力障碍、行为异常和社交能力减退。被保险人自主生活能力完全丧失，无法独立完成六项基本日常生活活动中的三项或三项以上，日常生活必须持续受到他人监护。导致痴呆的疾病必须明确</w:t>
      </w:r>
      <w:r>
        <w:rPr>
          <w:spacing w:val="-5"/>
        </w:rPr>
        <w:t>诊断，并且由完整的临床、实验室和影像学检查结果证实。</w:t>
      </w:r>
    </w:p>
    <w:p>
      <w:pPr>
        <w:pStyle w:val="BodyText"/>
        <w:spacing w:before="6"/>
        <w:ind w:left="542"/>
        <w:rPr>
          <w:rFonts w:ascii="黑体" w:eastAsia="黑体" w:hint="eastAsia"/>
        </w:rPr>
      </w:pPr>
      <w:r>
        <w:rPr>
          <w:rFonts w:ascii="黑体" w:eastAsia="黑体" w:hint="eastAsia"/>
        </w:rPr>
        <w:t>神经官能症等精神疾病及酒精中毒所致脑损害不在保障范围内。</w:t>
      </w:r>
    </w:p>
    <w:p>
      <w:pPr>
        <w:pStyle w:val="BodyText"/>
        <w:spacing w:before="8"/>
        <w:rPr>
          <w:rFonts w:ascii="黑体"/>
          <w:sz w:val="25"/>
        </w:rPr>
      </w:pPr>
    </w:p>
    <w:p>
      <w:pPr>
        <w:pStyle w:val="Heading4"/>
        <w:numPr>
          <w:ilvl w:val="0"/>
          <w:numId w:val="4"/>
        </w:numPr>
        <w:tabs>
          <w:tab w:pos="563" w:val="left" w:leader="none"/>
        </w:tabs>
        <w:spacing w:line="240" w:lineRule="auto" w:before="0" w:after="0"/>
        <w:ind w:left="562" w:right="0" w:hanging="445"/>
        <w:jc w:val="left"/>
      </w:pPr>
      <w:r>
        <w:rPr>
          <w:w w:val="95"/>
        </w:rPr>
        <w:t>重症急性坏死性筋膜炎</w:t>
      </w:r>
    </w:p>
    <w:p>
      <w:pPr>
        <w:pStyle w:val="BodyText"/>
        <w:spacing w:line="259" w:lineRule="auto"/>
        <w:ind w:left="117" w:right="109" w:firstLine="425"/>
        <w:jc w:val="both"/>
      </w:pPr>
      <w:r>
        <w:rPr>
          <w:spacing w:val="-6"/>
        </w:rPr>
        <w:t>是一种由细菌侵入皮下组织和筋膜引起的急性坏死性软组织感染，可伴有毒血症、败血症、中毒性</w:t>
      </w:r>
      <w:r>
        <w:rPr>
          <w:spacing w:val="-5"/>
        </w:rPr>
        <w:t>休克、弥漫性血管内凝血及多器官衰竭。必须满足以下所有条件：</w:t>
      </w:r>
    </w:p>
    <w:p>
      <w:pPr>
        <w:pStyle w:val="BodyText"/>
        <w:spacing w:before="6"/>
        <w:ind w:left="117"/>
      </w:pPr>
      <w:r>
        <w:rPr/>
        <w:t>（1）细菌培养和临床表现符合坏死性筋膜炎诊断标准；</w:t>
      </w:r>
    </w:p>
    <w:p>
      <w:pPr>
        <w:pStyle w:val="BodyText"/>
        <w:spacing w:before="23"/>
        <w:ind w:left="117"/>
      </w:pPr>
      <w:r>
        <w:rPr/>
        <w:t>（2）病情迅速恶化，有脓毒血症表现；</w:t>
      </w:r>
    </w:p>
    <w:p>
      <w:pPr>
        <w:pStyle w:val="BodyText"/>
        <w:spacing w:before="23"/>
        <w:ind w:left="117"/>
      </w:pPr>
      <w:r>
        <w:rPr/>
        <w:t>（3）受感染肢体被截肢（自腕关节或踝关节近端）。</w:t>
      </w:r>
    </w:p>
    <w:p>
      <w:pPr>
        <w:spacing w:after="0"/>
        <w:sectPr>
          <w:pgSz w:w="11910" w:h="16840"/>
          <w:pgMar w:top="1380" w:bottom="280" w:left="960" w:right="880"/>
        </w:sectPr>
      </w:pPr>
    </w:p>
    <w:p>
      <w:pPr>
        <w:pStyle w:val="Heading4"/>
        <w:numPr>
          <w:ilvl w:val="0"/>
          <w:numId w:val="4"/>
        </w:numPr>
        <w:tabs>
          <w:tab w:pos="562" w:val="left" w:leader="none"/>
        </w:tabs>
        <w:spacing w:line="240" w:lineRule="auto" w:before="132" w:after="0"/>
        <w:ind w:left="561" w:right="0" w:hanging="444"/>
        <w:jc w:val="left"/>
      </w:pPr>
      <w:r>
        <w:rPr/>
        <w:t>1</w:t>
      </w:r>
      <w:r>
        <w:rPr>
          <w:spacing w:val="-12"/>
        </w:rPr>
        <w:t> 型糖尿病</w:t>
      </w:r>
    </w:p>
    <w:p>
      <w:pPr>
        <w:pStyle w:val="BodyText"/>
        <w:ind w:left="557"/>
      </w:pPr>
      <w:r>
        <w:rPr/>
        <w:t>1 型糖尿病的特征为由于胰岛素分泌绝对不足引起严重胰岛素缺乏导致慢性血糖升高，需要依赖外</w:t>
      </w:r>
    </w:p>
    <w:p>
      <w:pPr>
        <w:pStyle w:val="BodyText"/>
        <w:spacing w:line="259" w:lineRule="auto"/>
        <w:ind w:left="117" w:right="150"/>
      </w:pPr>
      <w:r>
        <w:rPr>
          <w:spacing w:val="-7"/>
        </w:rPr>
        <w:t>源性胰岛素进行机体的葡萄糖代谢和维持生命。被保险人的 </w:t>
      </w:r>
      <w:r>
        <w:rPr/>
        <w:t>1</w:t>
      </w:r>
      <w:r>
        <w:rPr>
          <w:spacing w:val="-10"/>
        </w:rPr>
        <w:t> 型糖尿病必须明确诊断，而且有血胰岛素</w:t>
      </w:r>
      <w:r>
        <w:rPr>
          <w:spacing w:val="-19"/>
        </w:rPr>
        <w:t>测定及血 </w:t>
      </w:r>
      <w:r>
        <w:rPr/>
        <w:t>C</w:t>
      </w:r>
      <w:r>
        <w:rPr>
          <w:spacing w:val="-22"/>
        </w:rPr>
        <w:t> 肽或尿 </w:t>
      </w:r>
      <w:r>
        <w:rPr/>
        <w:t>C</w:t>
      </w:r>
      <w:r>
        <w:rPr>
          <w:spacing w:val="-8"/>
        </w:rPr>
        <w:t> 肽测定结果支持诊断，并且满足下列全部条件：</w:t>
      </w:r>
    </w:p>
    <w:p>
      <w:pPr>
        <w:pStyle w:val="BodyText"/>
        <w:spacing w:before="6"/>
        <w:ind w:left="117"/>
      </w:pPr>
      <w:r>
        <w:rPr/>
        <w:t>（1）已经持续性地接受外源性胰岛素注射治疗连续 180 天以上；</w:t>
      </w:r>
    </w:p>
    <w:p>
      <w:pPr>
        <w:pStyle w:val="BodyText"/>
        <w:spacing w:line="259" w:lineRule="auto"/>
        <w:ind w:left="682" w:right="197" w:hanging="565"/>
      </w:pPr>
      <w:r>
        <w:rPr/>
        <w:t>（2）因需要已经接受了下列治疗：因严重心律失常植入了心脏起搏器；或因坏疽自跖趾关节或以上切除了一趾或多趾。</w:t>
      </w:r>
    </w:p>
    <w:p>
      <w:pPr>
        <w:pStyle w:val="BodyText"/>
        <w:spacing w:before="4"/>
        <w:rPr>
          <w:sz w:val="24"/>
        </w:rPr>
      </w:pPr>
    </w:p>
    <w:p>
      <w:pPr>
        <w:pStyle w:val="Heading4"/>
        <w:numPr>
          <w:ilvl w:val="0"/>
          <w:numId w:val="4"/>
        </w:numPr>
        <w:tabs>
          <w:tab w:pos="563" w:val="left" w:leader="none"/>
        </w:tabs>
        <w:spacing w:line="240" w:lineRule="auto" w:before="0" w:after="0"/>
        <w:ind w:left="562" w:right="0" w:hanging="445"/>
        <w:jc w:val="left"/>
      </w:pPr>
      <w:r>
        <w:rPr>
          <w:w w:val="95"/>
        </w:rPr>
        <w:t>丝虫病所致象皮病</w:t>
      </w:r>
    </w:p>
    <w:p>
      <w:pPr>
        <w:pStyle w:val="BodyText"/>
        <w:spacing w:line="259" w:lineRule="auto"/>
        <w:ind w:left="117" w:right="149" w:firstLine="425"/>
        <w:jc w:val="both"/>
      </w:pPr>
      <w:r>
        <w:rPr>
          <w:spacing w:val="-7"/>
        </w:rPr>
        <w:t>指因丝虫感染导致淋巴阻塞，出现严重淋巴水肿，达到国际淋巴学会淋巴肿分期第Ⅲ期，其临床表</w:t>
      </w:r>
      <w:r>
        <w:rPr>
          <w:spacing w:val="-8"/>
        </w:rPr>
        <w:t>现为肢体非凹陷性水肿伴畸形增大、硬皮症和疣状增生。此病症须经专科医生根据临床表现和微丝蚴的</w:t>
      </w:r>
      <w:r>
        <w:rPr>
          <w:spacing w:val="-5"/>
        </w:rPr>
        <w:t>化验结果确诊。</w:t>
      </w:r>
    </w:p>
    <w:p>
      <w:pPr>
        <w:pStyle w:val="BodyText"/>
        <w:spacing w:before="4"/>
        <w:rPr>
          <w:sz w:val="24"/>
        </w:rPr>
      </w:pPr>
    </w:p>
    <w:p>
      <w:pPr>
        <w:pStyle w:val="Heading4"/>
        <w:numPr>
          <w:ilvl w:val="0"/>
          <w:numId w:val="4"/>
        </w:numPr>
        <w:tabs>
          <w:tab w:pos="563" w:val="left" w:leader="none"/>
        </w:tabs>
        <w:spacing w:line="240" w:lineRule="auto" w:before="0" w:after="0"/>
        <w:ind w:left="562" w:right="0" w:hanging="445"/>
        <w:jc w:val="left"/>
      </w:pPr>
      <w:r>
        <w:rPr>
          <w:w w:val="95"/>
        </w:rPr>
        <w:t>胰腺移植</w:t>
      </w:r>
    </w:p>
    <w:p>
      <w:pPr>
        <w:pStyle w:val="BodyText"/>
        <w:spacing w:before="23"/>
        <w:ind w:left="542"/>
      </w:pPr>
      <w:r>
        <w:rPr/>
        <w:t>指因胰腺功能衰竭，已经实施了在全身麻醉下进行的胰腺的异体器官移植手术。</w:t>
      </w:r>
    </w:p>
    <w:p>
      <w:pPr>
        <w:pStyle w:val="BodyText"/>
        <w:spacing w:before="23"/>
        <w:ind w:left="542"/>
        <w:rPr>
          <w:rFonts w:ascii="黑体" w:eastAsia="黑体" w:hint="eastAsia"/>
        </w:rPr>
      </w:pPr>
      <w:r>
        <w:rPr>
          <w:rFonts w:ascii="黑体" w:eastAsia="黑体" w:hint="eastAsia"/>
        </w:rPr>
        <w:t>单纯胰岛移植、部分胰腺组织或细胞的移植不在本保障范围之内。</w:t>
      </w:r>
    </w:p>
    <w:p>
      <w:pPr>
        <w:pStyle w:val="BodyText"/>
        <w:spacing w:before="8"/>
        <w:rPr>
          <w:rFonts w:ascii="黑体"/>
          <w:sz w:val="25"/>
        </w:rPr>
      </w:pPr>
    </w:p>
    <w:p>
      <w:pPr>
        <w:pStyle w:val="Heading4"/>
        <w:numPr>
          <w:ilvl w:val="0"/>
          <w:numId w:val="4"/>
        </w:numPr>
        <w:tabs>
          <w:tab w:pos="563" w:val="left" w:leader="none"/>
        </w:tabs>
        <w:spacing w:line="240" w:lineRule="auto" w:before="0" w:after="0"/>
        <w:ind w:left="562" w:right="0" w:hanging="445"/>
        <w:jc w:val="left"/>
      </w:pPr>
      <w:r>
        <w:rPr>
          <w:w w:val="95"/>
        </w:rPr>
        <w:t>肌营养不良症</w:t>
      </w:r>
    </w:p>
    <w:p>
      <w:pPr>
        <w:pStyle w:val="BodyText"/>
        <w:spacing w:line="259" w:lineRule="auto"/>
        <w:ind w:left="117" w:right="101" w:firstLine="425"/>
      </w:pPr>
      <w:r>
        <w:rPr/>
        <w:t>肌营养不良症是一组遗传性肌肉变性性病变，临床特征为与神经系统无关的肌肉无力和肌肉萎缩。必须满足以下所有条件：</w:t>
      </w:r>
    </w:p>
    <w:p>
      <w:pPr>
        <w:pStyle w:val="BodyText"/>
        <w:spacing w:line="259" w:lineRule="auto" w:before="6"/>
        <w:ind w:left="684" w:right="192" w:hanging="567"/>
      </w:pPr>
      <w:r>
        <w:rPr/>
        <w:t>（1）肌营养不良症已造成永久不可逆性的运动功能损害，导致被保险人无法独立完成六项基本日常生活活动中的三项或三项以上；</w:t>
      </w:r>
    </w:p>
    <w:p>
      <w:pPr>
        <w:pStyle w:val="BodyText"/>
        <w:spacing w:before="6"/>
        <w:ind w:left="117"/>
      </w:pPr>
      <w:r>
        <w:rPr/>
        <w:t>（2）经我们认可的神经专科医生确认符合以下四项诊断指标中的三项：</w:t>
      </w:r>
    </w:p>
    <w:p>
      <w:pPr>
        <w:pStyle w:val="BodyText"/>
        <w:ind w:left="684"/>
      </w:pPr>
      <w:r>
        <w:rPr/>
        <w:t>① 家族史中有其他成员患相同疾病；</w:t>
      </w:r>
    </w:p>
    <w:p>
      <w:pPr>
        <w:pStyle w:val="BodyText"/>
        <w:ind w:left="684"/>
      </w:pPr>
      <w:r>
        <w:rPr/>
        <w:t>② 临床表现包括：无感觉神经紊乱，正常脑脊液及轻微腱反射的减退；</w:t>
      </w:r>
    </w:p>
    <w:p>
      <w:pPr>
        <w:pStyle w:val="BodyText"/>
        <w:ind w:left="684"/>
      </w:pPr>
      <w:r>
        <w:rPr/>
        <w:t>③ 典型的肌电图；</w:t>
      </w:r>
    </w:p>
    <w:p>
      <w:pPr>
        <w:pStyle w:val="BodyText"/>
        <w:ind w:left="684"/>
      </w:pPr>
      <w:r>
        <w:rPr/>
        <w:t>④ 临床推测必须有肌肉或组织检查加以证实。</w:t>
      </w:r>
    </w:p>
    <w:p>
      <w:pPr>
        <w:pStyle w:val="BodyText"/>
        <w:spacing w:before="9"/>
        <w:rPr>
          <w:sz w:val="25"/>
        </w:rPr>
      </w:pPr>
    </w:p>
    <w:p>
      <w:pPr>
        <w:pStyle w:val="Heading4"/>
        <w:numPr>
          <w:ilvl w:val="0"/>
          <w:numId w:val="4"/>
        </w:numPr>
        <w:tabs>
          <w:tab w:pos="563" w:val="left" w:leader="none"/>
        </w:tabs>
        <w:spacing w:line="240" w:lineRule="auto" w:before="0" w:after="0"/>
        <w:ind w:left="562" w:right="0" w:hanging="445"/>
        <w:jc w:val="left"/>
      </w:pPr>
      <w:r>
        <w:rPr>
          <w:w w:val="95"/>
        </w:rPr>
        <w:t>严重慢性复发性胰腺炎</w:t>
      </w:r>
    </w:p>
    <w:p>
      <w:pPr>
        <w:pStyle w:val="BodyText"/>
        <w:spacing w:line="259" w:lineRule="auto" w:before="23"/>
        <w:ind w:left="117" w:right="149" w:firstLine="439"/>
      </w:pPr>
      <w:r>
        <w:rPr>
          <w:spacing w:val="-6"/>
        </w:rPr>
        <w:t>指慢性反复发作的胰腺炎症导致胰腺的广泛纤维化、坏死、弥漫性钙化及假性囊肿形成，造成胰腺</w:t>
      </w:r>
      <w:r>
        <w:rPr>
          <w:spacing w:val="-5"/>
        </w:rPr>
        <w:t>功能障碍出现严重糖尿病和营养不良。必须满足以下所有条件：</w:t>
      </w:r>
    </w:p>
    <w:p>
      <w:pPr>
        <w:pStyle w:val="BodyText"/>
        <w:spacing w:before="6"/>
        <w:ind w:left="117"/>
      </w:pPr>
      <w:r>
        <w:rPr/>
        <w:t>（1）CT 显示胰腺广泛钙化或逆行胰胆管造影（ERCP）显示胰管扭曲、扩张和狭窄；</w:t>
      </w:r>
    </w:p>
    <w:p>
      <w:pPr>
        <w:pStyle w:val="BodyText"/>
        <w:ind w:left="117"/>
      </w:pPr>
      <w:r>
        <w:rPr/>
        <w:t>（2）接受胰岛素替代治疗和酶替代治疗 180 天以上。</w:t>
      </w:r>
    </w:p>
    <w:p>
      <w:pPr>
        <w:pStyle w:val="BodyText"/>
        <w:ind w:left="542"/>
        <w:rPr>
          <w:rFonts w:ascii="黑体" w:eastAsia="黑体" w:hint="eastAsia"/>
        </w:rPr>
      </w:pPr>
      <w:r>
        <w:rPr>
          <w:rFonts w:ascii="黑体" w:eastAsia="黑体" w:hint="eastAsia"/>
        </w:rPr>
        <w:t>酒精导致的慢性复发性胰腺炎不在本保障范围内。</w:t>
      </w:r>
    </w:p>
    <w:p>
      <w:pPr>
        <w:pStyle w:val="BodyText"/>
        <w:spacing w:before="8"/>
        <w:rPr>
          <w:rFonts w:ascii="黑体"/>
          <w:sz w:val="25"/>
        </w:rPr>
      </w:pPr>
    </w:p>
    <w:p>
      <w:pPr>
        <w:pStyle w:val="Heading4"/>
        <w:numPr>
          <w:ilvl w:val="0"/>
          <w:numId w:val="4"/>
        </w:numPr>
        <w:tabs>
          <w:tab w:pos="563" w:val="left" w:leader="none"/>
        </w:tabs>
        <w:spacing w:line="240" w:lineRule="auto" w:before="1" w:after="0"/>
        <w:ind w:left="562" w:right="0" w:hanging="445"/>
        <w:jc w:val="left"/>
      </w:pPr>
      <w:r>
        <w:rPr>
          <w:w w:val="95"/>
        </w:rPr>
        <w:t>严重原发性硬化性胆管炎</w:t>
      </w:r>
    </w:p>
    <w:p>
      <w:pPr>
        <w:pStyle w:val="BodyText"/>
        <w:spacing w:line="259" w:lineRule="auto"/>
        <w:ind w:left="117" w:right="147" w:firstLine="425"/>
      </w:pPr>
      <w:r>
        <w:rPr>
          <w:spacing w:val="-6"/>
        </w:rPr>
        <w:t>为一种特发型淤胆性疾病，特点为肝内及肝外胆道系统胆管壁增厚和管腔狭窄。必须满足以下所有条件：</w:t>
      </w:r>
    </w:p>
    <w:p>
      <w:pPr>
        <w:pStyle w:val="BodyText"/>
        <w:spacing w:before="6"/>
        <w:ind w:left="117"/>
      </w:pPr>
      <w:r>
        <w:rPr/>
        <w:t>（1）诊断由逆行胰胆管造影（ERCP）或经皮胆管造影（PTC）确认；</w:t>
      </w:r>
    </w:p>
    <w:p>
      <w:pPr>
        <w:pStyle w:val="BodyText"/>
        <w:spacing w:before="23"/>
        <w:ind w:left="117"/>
      </w:pPr>
      <w:r>
        <w:rPr/>
        <w:t>（2）持续性黄疸伴碱性磷酸酶显著升高（血清 ALP&gt;200U/L）；</w:t>
      </w:r>
    </w:p>
    <w:p>
      <w:pPr>
        <w:pStyle w:val="BodyText"/>
        <w:spacing w:before="23"/>
        <w:ind w:left="117"/>
      </w:pPr>
      <w:r>
        <w:rPr/>
        <w:t>（3）出现继发性胆汁性肝硬化和门静脉高压。</w:t>
      </w:r>
    </w:p>
    <w:p>
      <w:pPr>
        <w:pStyle w:val="BodyText"/>
        <w:spacing w:before="8"/>
        <w:rPr>
          <w:sz w:val="25"/>
        </w:rPr>
      </w:pPr>
    </w:p>
    <w:p>
      <w:pPr>
        <w:pStyle w:val="Heading4"/>
        <w:numPr>
          <w:ilvl w:val="0"/>
          <w:numId w:val="4"/>
        </w:numPr>
        <w:tabs>
          <w:tab w:pos="563" w:val="left" w:leader="none"/>
        </w:tabs>
        <w:spacing w:line="240" w:lineRule="auto" w:before="0" w:after="0"/>
        <w:ind w:left="562" w:right="0" w:hanging="445"/>
        <w:jc w:val="left"/>
      </w:pPr>
      <w:r>
        <w:rPr>
          <w:w w:val="95"/>
        </w:rPr>
        <w:t>严重弥漫性系统性硬皮病</w:t>
      </w:r>
    </w:p>
    <w:p>
      <w:pPr>
        <w:spacing w:after="0" w:line="240" w:lineRule="auto"/>
        <w:jc w:val="left"/>
        <w:sectPr>
          <w:pgSz w:w="11910" w:h="16840"/>
          <w:pgMar w:top="1580" w:bottom="280" w:left="960" w:right="840"/>
        </w:sectPr>
      </w:pPr>
    </w:p>
    <w:p>
      <w:pPr>
        <w:pStyle w:val="BodyText"/>
        <w:spacing w:line="259" w:lineRule="auto" w:before="20"/>
        <w:ind w:left="137" w:right="268" w:firstLine="425"/>
      </w:pPr>
      <w:r>
        <w:rPr/>
        <w:t>一种系统性胶原血管病引起进行性的皮肤/血管和内脏器官的弥漫性纤维化。诊断必须明确并由活检和血清学证据支持并且疾病已经影响到心脏、肺或肾脏等内脏器官并且达到下列标准之一：</w:t>
      </w:r>
    </w:p>
    <w:p>
      <w:pPr>
        <w:pStyle w:val="BodyText"/>
        <w:spacing w:before="6"/>
        <w:ind w:left="137"/>
      </w:pPr>
      <w:r>
        <w:rPr/>
        <w:t>（1）肺纤维化，已经出现肺动脉高压、肺心病；</w:t>
      </w:r>
    </w:p>
    <w:p>
      <w:pPr>
        <w:pStyle w:val="BodyText"/>
        <w:ind w:left="137"/>
      </w:pPr>
      <w:r>
        <w:rPr/>
        <w:t>（2）心脏损害，心脏功能衰竭程度达到纽约心脏病学会的心功能分级标准之心功能Ⅳ级；</w:t>
      </w:r>
    </w:p>
    <w:p>
      <w:pPr>
        <w:pStyle w:val="BodyText"/>
        <w:ind w:left="137"/>
      </w:pPr>
      <w:r>
        <w:rPr/>
        <w:t>（3）肾脏损害，已经出现肾功能衰竭。</w:t>
      </w:r>
    </w:p>
    <w:p>
      <w:pPr>
        <w:pStyle w:val="BodyText"/>
        <w:ind w:left="562"/>
        <w:rPr>
          <w:rFonts w:ascii="黑体" w:eastAsia="黑体" w:hint="eastAsia"/>
        </w:rPr>
      </w:pPr>
      <w:r>
        <w:rPr>
          <w:rFonts w:ascii="黑体" w:eastAsia="黑体" w:hint="eastAsia"/>
        </w:rPr>
        <w:t>局限硬皮病、嗜酸细胞筋膜炎、CREST 综合征不在本保障范围内。</w:t>
      </w:r>
    </w:p>
    <w:p>
      <w:pPr>
        <w:pStyle w:val="BodyText"/>
        <w:spacing w:before="9"/>
        <w:rPr>
          <w:rFonts w:ascii="黑体"/>
          <w:sz w:val="25"/>
        </w:rPr>
      </w:pPr>
    </w:p>
    <w:p>
      <w:pPr>
        <w:pStyle w:val="Heading4"/>
        <w:numPr>
          <w:ilvl w:val="0"/>
          <w:numId w:val="4"/>
        </w:numPr>
        <w:tabs>
          <w:tab w:pos="583" w:val="left" w:leader="none"/>
        </w:tabs>
        <w:spacing w:line="240" w:lineRule="auto" w:before="0" w:after="0"/>
        <w:ind w:left="582" w:right="0" w:hanging="445"/>
        <w:jc w:val="left"/>
      </w:pPr>
      <w:r>
        <w:rPr>
          <w:w w:val="95"/>
        </w:rPr>
        <w:t>特发性慢性肾上腺皮质功能减退</w:t>
      </w:r>
    </w:p>
    <w:p>
      <w:pPr>
        <w:pStyle w:val="BodyText"/>
        <w:spacing w:line="259" w:lineRule="auto"/>
        <w:ind w:left="137" w:right="149" w:firstLine="425"/>
      </w:pPr>
      <w:r>
        <w:rPr/>
        <w:t>指自身免疫性肾上腺炎（既往称：特发性肾上腺皮质萎缩）导致肾上腺萎缩和慢性肾上腺皮质功能减退。必须满足所有以下条件：</w:t>
      </w:r>
    </w:p>
    <w:p>
      <w:pPr>
        <w:pStyle w:val="BodyText"/>
        <w:spacing w:before="7"/>
        <w:ind w:left="137"/>
      </w:pPr>
      <w:r>
        <w:rPr/>
        <w:t>（1）明确诊断，符合所有以下诊断标准：</w:t>
      </w:r>
    </w:p>
    <w:p>
      <w:pPr>
        <w:pStyle w:val="BodyText"/>
        <w:ind w:left="704"/>
      </w:pPr>
      <w:r>
        <w:rPr/>
        <w:t>①血浆促肾上腺皮质激素(ACTH)水平测定，&gt;100pg/ml；</w:t>
      </w:r>
    </w:p>
    <w:p>
      <w:pPr>
        <w:pStyle w:val="BodyText"/>
        <w:ind w:left="704"/>
      </w:pPr>
      <w:r>
        <w:rPr/>
        <w:t>②血浆肾素活性、血管紧张素Ⅱ和醛固酮测定，显示为原发性肾上腺皮质功能减退症；</w:t>
      </w:r>
    </w:p>
    <w:p>
      <w:pPr>
        <w:pStyle w:val="BodyText"/>
        <w:ind w:left="704"/>
      </w:pPr>
      <w:r>
        <w:rPr/>
        <w:t>③促肾上腺皮质激素(ACTH)刺激试验显示为原发性肾上腺皮质功能减退症。</w:t>
      </w:r>
    </w:p>
    <w:p>
      <w:pPr>
        <w:pStyle w:val="BodyText"/>
        <w:ind w:left="137"/>
      </w:pPr>
      <w:r>
        <w:rPr/>
        <w:t>（2）已经采用皮质类固醇替代治疗 180 天以上。</w:t>
      </w:r>
    </w:p>
    <w:p>
      <w:pPr>
        <w:pStyle w:val="BodyText"/>
        <w:spacing w:line="259" w:lineRule="auto"/>
        <w:ind w:left="137" w:right="268" w:firstLine="425"/>
        <w:rPr>
          <w:rFonts w:ascii="黑体" w:eastAsia="黑体" w:hint="eastAsia"/>
        </w:rPr>
      </w:pPr>
      <w:r>
        <w:rPr>
          <w:rFonts w:ascii="黑体" w:eastAsia="黑体" w:hint="eastAsia"/>
        </w:rPr>
        <w:t>肾上腺结核、人类免疫缺陷病毒（HIV）感染或艾滋病、感染、肿瘤所致的原发性肾上腺皮质功能减退和继发性肾上腺皮质功能减退不在本保障范围内。</w:t>
      </w:r>
    </w:p>
    <w:p>
      <w:pPr>
        <w:pStyle w:val="BodyText"/>
        <w:spacing w:before="4"/>
        <w:rPr>
          <w:rFonts w:ascii="黑体"/>
          <w:sz w:val="24"/>
        </w:rPr>
      </w:pPr>
    </w:p>
    <w:p>
      <w:pPr>
        <w:pStyle w:val="Heading4"/>
        <w:numPr>
          <w:ilvl w:val="0"/>
          <w:numId w:val="4"/>
        </w:numPr>
        <w:tabs>
          <w:tab w:pos="583" w:val="left" w:leader="none"/>
        </w:tabs>
        <w:spacing w:line="240" w:lineRule="auto" w:before="0" w:after="0"/>
        <w:ind w:left="582" w:right="0" w:hanging="445"/>
        <w:jc w:val="left"/>
      </w:pPr>
      <w:r>
        <w:rPr>
          <w:spacing w:val="-1"/>
          <w:w w:val="95"/>
        </w:rPr>
        <w:t>破裂脑动脉瘤夹闭手术</w:t>
      </w:r>
    </w:p>
    <w:p>
      <w:pPr>
        <w:pStyle w:val="BodyText"/>
        <w:spacing w:line="259" w:lineRule="auto"/>
        <w:ind w:left="137" w:right="381" w:firstLine="425"/>
      </w:pPr>
      <w:r>
        <w:rPr/>
        <w:t>指因脑动脉瘤破裂造成蛛网膜下腔出血，被保险人实际接受了在全麻下进行的开颅动脉瘤夹闭手术。</w:t>
      </w:r>
    </w:p>
    <w:p>
      <w:pPr>
        <w:pStyle w:val="BodyText"/>
        <w:spacing w:line="259" w:lineRule="auto" w:before="6"/>
        <w:ind w:left="137" w:right="208" w:firstLine="425"/>
        <w:rPr>
          <w:rFonts w:ascii="黑体" w:eastAsia="黑体" w:hint="eastAsia"/>
        </w:rPr>
      </w:pPr>
      <w:r>
        <w:rPr>
          <w:rFonts w:ascii="黑体" w:eastAsia="黑体" w:hint="eastAsia"/>
          <w:spacing w:val="-3"/>
        </w:rPr>
        <w:t>脑动脉瘤</w:t>
      </w:r>
      <w:r>
        <w:rPr>
          <w:rFonts w:ascii="黑体" w:eastAsia="黑体" w:hint="eastAsia"/>
        </w:rPr>
        <w:t>（</w:t>
      </w:r>
      <w:r>
        <w:rPr>
          <w:rFonts w:ascii="黑体" w:eastAsia="黑体" w:hint="eastAsia"/>
          <w:spacing w:val="-2"/>
        </w:rPr>
        <w:t>未破裂</w:t>
      </w:r>
      <w:r>
        <w:rPr>
          <w:rFonts w:ascii="黑体" w:eastAsia="黑体" w:hint="eastAsia"/>
          <w:spacing w:val="-10"/>
        </w:rPr>
        <w:t>）</w:t>
      </w:r>
      <w:r>
        <w:rPr>
          <w:rFonts w:ascii="黑体" w:eastAsia="黑体" w:hint="eastAsia"/>
          <w:spacing w:val="-6"/>
        </w:rPr>
        <w:t>预防性手术、颅骨打孔手术、动脉瘤栓塞手术、血管内手术及其他颅脑手术不</w:t>
      </w:r>
      <w:r>
        <w:rPr>
          <w:rFonts w:ascii="黑体" w:eastAsia="黑体" w:hint="eastAsia"/>
          <w:spacing w:val="-5"/>
        </w:rPr>
        <w:t>在本保障范围内。</w:t>
      </w:r>
    </w:p>
    <w:p>
      <w:pPr>
        <w:pStyle w:val="BodyText"/>
        <w:spacing w:before="0"/>
        <w:rPr>
          <w:rFonts w:ascii="黑体"/>
        </w:rPr>
      </w:pPr>
    </w:p>
    <w:p>
      <w:pPr>
        <w:pStyle w:val="BodyText"/>
        <w:spacing w:before="2"/>
        <w:rPr>
          <w:rFonts w:ascii="黑体"/>
          <w:sz w:val="32"/>
        </w:rPr>
      </w:pPr>
    </w:p>
    <w:p>
      <w:pPr>
        <w:pStyle w:val="Heading2"/>
        <w:numPr>
          <w:ilvl w:val="0"/>
          <w:numId w:val="5"/>
        </w:numPr>
        <w:tabs>
          <w:tab w:pos="705" w:val="left" w:leader="none"/>
        </w:tabs>
        <w:spacing w:line="240" w:lineRule="auto" w:before="0" w:after="0"/>
        <w:ind w:left="704" w:right="0" w:hanging="567"/>
        <w:jc w:val="left"/>
      </w:pPr>
      <w:r>
        <w:rPr/>
        <w:t>术语释义</w:t>
      </w:r>
    </w:p>
    <w:p>
      <w:pPr>
        <w:pStyle w:val="BodyText"/>
        <w:spacing w:before="5"/>
        <w:rPr>
          <w:b/>
          <w:sz w:val="11"/>
        </w:rPr>
      </w:pPr>
      <w:r>
        <w:rPr/>
        <w:pict>
          <v:group style="position:absolute;margin-left:52.439999pt;margin-top:9.424425pt;width:494.9pt;height:1.45pt;mso-position-horizontal-relative:page;mso-position-vertical-relative:paragraph;z-index:1312;mso-wrap-distance-left:0;mso-wrap-distance-right:0" coordorigin="1049,188" coordsize="9898,29">
            <v:line style="position:absolute" from="1049,212" to="10946,212" stroked="true" strokeweight=".47998pt" strokecolor="#000000">
              <v:stroke dashstyle="solid"/>
            </v:line>
            <v:line style="position:absolute" from="1049,193" to="10946,193" stroked="true" strokeweight=".48001pt" strokecolor="#000000">
              <v:stroke dashstyle="solid"/>
            </v:line>
            <w10:wrap type="topAndBottom"/>
          </v:group>
        </w:pict>
      </w:r>
    </w:p>
    <w:p>
      <w:pPr>
        <w:pStyle w:val="BodyText"/>
        <w:spacing w:before="2"/>
        <w:rPr>
          <w:b/>
          <w:sz w:val="14"/>
        </w:rPr>
      </w:pPr>
    </w:p>
    <w:p>
      <w:pPr>
        <w:pStyle w:val="Heading3"/>
        <w:numPr>
          <w:ilvl w:val="1"/>
          <w:numId w:val="5"/>
        </w:numPr>
        <w:tabs>
          <w:tab w:pos="743" w:val="left" w:leader="none"/>
        </w:tabs>
        <w:spacing w:line="240" w:lineRule="auto" w:before="26" w:after="0"/>
        <w:ind w:left="742" w:right="0" w:hanging="605"/>
        <w:jc w:val="left"/>
      </w:pPr>
      <w:r>
        <w:rPr>
          <w:w w:val="95"/>
        </w:rPr>
        <w:t>保单年度</w:t>
      </w:r>
    </w:p>
    <w:p>
      <w:pPr>
        <w:pStyle w:val="BodyText"/>
        <w:spacing w:before="17"/>
        <w:ind w:left="565"/>
      </w:pPr>
      <w:r>
        <w:rPr/>
        <w:t>从本合同生效日或保单周年日的零时起至下一个保单周年日的零时止为一个保单年度。</w:t>
      </w:r>
    </w:p>
    <w:p>
      <w:pPr>
        <w:pStyle w:val="BodyText"/>
        <w:spacing w:before="3"/>
        <w:rPr>
          <w:sz w:val="24"/>
        </w:rPr>
      </w:pPr>
    </w:p>
    <w:p>
      <w:pPr>
        <w:pStyle w:val="Heading3"/>
        <w:numPr>
          <w:ilvl w:val="1"/>
          <w:numId w:val="5"/>
        </w:numPr>
        <w:tabs>
          <w:tab w:pos="743" w:val="left" w:leader="none"/>
        </w:tabs>
        <w:spacing w:line="240" w:lineRule="auto" w:before="0" w:after="0"/>
        <w:ind w:left="742" w:right="0" w:hanging="605"/>
        <w:jc w:val="left"/>
      </w:pPr>
      <w:r>
        <w:rPr>
          <w:w w:val="95"/>
        </w:rPr>
        <w:t>保险费约定支付日</w:t>
      </w:r>
    </w:p>
    <w:p>
      <w:pPr>
        <w:pStyle w:val="BodyText"/>
        <w:spacing w:line="259" w:lineRule="auto" w:before="16"/>
        <w:ind w:left="137" w:right="203" w:firstLine="427"/>
      </w:pPr>
      <w:r>
        <w:rPr>
          <w:spacing w:val="-6"/>
        </w:rPr>
        <w:t>根据本合同交费方式确定的本合同生效日在每月、每季、每半年或每年的对应日。如果当月无对应</w:t>
      </w:r>
      <w:r>
        <w:rPr>
          <w:spacing w:val="-5"/>
        </w:rPr>
        <w:t>的同一日，则以该月最后一日为对应日。</w:t>
      </w:r>
    </w:p>
    <w:p>
      <w:pPr>
        <w:pStyle w:val="BodyText"/>
        <w:spacing w:before="12"/>
      </w:pPr>
    </w:p>
    <w:p>
      <w:pPr>
        <w:pStyle w:val="Heading3"/>
        <w:numPr>
          <w:ilvl w:val="1"/>
          <w:numId w:val="5"/>
        </w:numPr>
        <w:tabs>
          <w:tab w:pos="743" w:val="left" w:leader="none"/>
        </w:tabs>
        <w:spacing w:line="240" w:lineRule="auto" w:before="0" w:after="0"/>
        <w:ind w:left="742" w:right="0" w:hanging="605"/>
        <w:jc w:val="left"/>
      </w:pPr>
      <w:r>
        <w:rPr/>
        <w:t>周岁</w:t>
      </w:r>
    </w:p>
    <w:p>
      <w:pPr>
        <w:pStyle w:val="BodyText"/>
        <w:spacing w:line="259" w:lineRule="auto" w:before="16"/>
        <w:ind w:left="137" w:right="98" w:firstLine="427"/>
      </w:pPr>
      <w:r>
        <w:rPr>
          <w:spacing w:val="-10"/>
        </w:rPr>
        <w:t>指按照有效身份证件中记载的出生日期计算的年龄，自出生之日起为零周岁，每经过一年增加一岁， </w:t>
      </w:r>
      <w:r>
        <w:rPr>
          <w:spacing w:val="-7"/>
        </w:rPr>
        <w:t>不足一年的不计。</w:t>
      </w:r>
    </w:p>
    <w:p>
      <w:pPr>
        <w:pStyle w:val="BodyText"/>
        <w:spacing w:before="12"/>
      </w:pPr>
    </w:p>
    <w:p>
      <w:pPr>
        <w:pStyle w:val="Heading3"/>
        <w:numPr>
          <w:ilvl w:val="1"/>
          <w:numId w:val="5"/>
        </w:numPr>
        <w:tabs>
          <w:tab w:pos="743" w:val="left" w:leader="none"/>
        </w:tabs>
        <w:spacing w:line="240" w:lineRule="auto" w:before="0" w:after="0"/>
        <w:ind w:left="742" w:right="0" w:hanging="605"/>
        <w:jc w:val="left"/>
      </w:pPr>
      <w:r>
        <w:rPr>
          <w:w w:val="95"/>
        </w:rPr>
        <w:t>有效身份证件</w:t>
      </w:r>
    </w:p>
    <w:p>
      <w:pPr>
        <w:pStyle w:val="BodyText"/>
        <w:spacing w:before="16"/>
        <w:ind w:left="565"/>
      </w:pPr>
      <w:r>
        <w:rPr/>
        <w:t>指由政府主管部门规定的证明其身份的证件，如：居民身份证、护照、军官证、士兵证等证件。</w:t>
      </w:r>
    </w:p>
    <w:p>
      <w:pPr>
        <w:pStyle w:val="BodyText"/>
        <w:spacing w:before="2"/>
        <w:rPr>
          <w:sz w:val="24"/>
        </w:rPr>
      </w:pPr>
    </w:p>
    <w:p>
      <w:pPr>
        <w:pStyle w:val="Heading3"/>
        <w:numPr>
          <w:ilvl w:val="1"/>
          <w:numId w:val="5"/>
        </w:numPr>
        <w:tabs>
          <w:tab w:pos="743" w:val="left" w:leader="none"/>
        </w:tabs>
        <w:spacing w:line="240" w:lineRule="auto" w:before="1" w:after="0"/>
        <w:ind w:left="742" w:right="0" w:hanging="605"/>
        <w:jc w:val="left"/>
      </w:pPr>
      <w:r>
        <w:rPr>
          <w:w w:val="95"/>
        </w:rPr>
        <w:t>初次发生</w:t>
      </w:r>
    </w:p>
    <w:p>
      <w:pPr>
        <w:pStyle w:val="BodyText"/>
        <w:spacing w:before="16"/>
        <w:ind w:left="579"/>
      </w:pPr>
      <w:r>
        <w:rPr/>
        <w:t>指被保险人初次出现本合同约定的重大疾病的临床症状或体征，且该临床症状或体征足以引起注意</w:t>
      </w:r>
    </w:p>
    <w:p>
      <w:pPr>
        <w:spacing w:after="0"/>
        <w:sectPr>
          <w:pgSz w:w="11910" w:h="16840"/>
          <w:pgMar w:top="1380" w:bottom="280" w:left="940" w:right="780"/>
        </w:sectPr>
      </w:pPr>
    </w:p>
    <w:p>
      <w:pPr>
        <w:pStyle w:val="BodyText"/>
        <w:spacing w:before="20"/>
        <w:ind w:left="117"/>
      </w:pPr>
      <w:r>
        <w:rPr/>
        <w:t>并需寻求医疗检查、诊断、治疗或护理。</w:t>
      </w:r>
    </w:p>
    <w:p>
      <w:pPr>
        <w:pStyle w:val="BodyText"/>
        <w:spacing w:before="3"/>
        <w:rPr>
          <w:sz w:val="24"/>
        </w:rPr>
      </w:pPr>
    </w:p>
    <w:p>
      <w:pPr>
        <w:pStyle w:val="Heading3"/>
        <w:numPr>
          <w:ilvl w:val="1"/>
          <w:numId w:val="5"/>
        </w:numPr>
        <w:tabs>
          <w:tab w:pos="723" w:val="left" w:leader="none"/>
        </w:tabs>
        <w:spacing w:line="240" w:lineRule="auto" w:before="0" w:after="0"/>
        <w:ind w:left="722" w:right="0" w:hanging="605"/>
        <w:jc w:val="left"/>
      </w:pPr>
      <w:r>
        <w:rPr>
          <w:w w:val="95"/>
        </w:rPr>
        <w:t>本公司指定或认可的医疗机构</w:t>
      </w:r>
    </w:p>
    <w:p>
      <w:pPr>
        <w:pStyle w:val="BodyText"/>
        <w:spacing w:line="259" w:lineRule="auto" w:before="16"/>
        <w:ind w:left="117" w:right="114" w:firstLine="425"/>
        <w:jc w:val="both"/>
      </w:pPr>
      <w:r>
        <w:rPr>
          <w:spacing w:val="-3"/>
        </w:rPr>
        <w:t>指经中华人民共和国卫生部门正式评定的二级以上</w:t>
      </w:r>
      <w:r>
        <w:rPr/>
        <w:t>（</w:t>
      </w:r>
      <w:r>
        <w:rPr>
          <w:spacing w:val="-1"/>
        </w:rPr>
        <w:t>含二级</w:t>
      </w:r>
      <w:r>
        <w:rPr/>
        <w:t>）</w:t>
      </w:r>
      <w:r>
        <w:rPr>
          <w:spacing w:val="-3"/>
        </w:rPr>
        <w:t>公立医院，不包括康复医院或康复病</w:t>
      </w:r>
      <w:r>
        <w:rPr>
          <w:spacing w:val="-5"/>
        </w:rPr>
        <w:t>房、精神病院、疗养院、护理院、戒酒或戒毒中心、精神心理治疗中心、急诊或门诊观察室、无相应医</w:t>
      </w:r>
      <w:r>
        <w:rPr>
          <w:spacing w:val="-4"/>
        </w:rPr>
        <w:t>护人员或设备的二级或三级医院的联合医院或联合病房。</w:t>
      </w:r>
    </w:p>
    <w:p>
      <w:pPr>
        <w:pStyle w:val="BodyText"/>
        <w:spacing w:before="11"/>
      </w:pPr>
    </w:p>
    <w:p>
      <w:pPr>
        <w:pStyle w:val="Heading3"/>
        <w:numPr>
          <w:ilvl w:val="1"/>
          <w:numId w:val="5"/>
        </w:numPr>
        <w:tabs>
          <w:tab w:pos="723" w:val="left" w:leader="none"/>
        </w:tabs>
        <w:spacing w:line="240" w:lineRule="auto" w:before="1" w:after="0"/>
        <w:ind w:left="722" w:right="0" w:hanging="605"/>
        <w:jc w:val="left"/>
      </w:pPr>
      <w:r>
        <w:rPr>
          <w:w w:val="95"/>
        </w:rPr>
        <w:t>意外伤害</w:t>
      </w:r>
    </w:p>
    <w:p>
      <w:pPr>
        <w:pStyle w:val="BodyText"/>
        <w:spacing w:line="259" w:lineRule="auto" w:before="16"/>
        <w:ind w:left="117" w:right="168" w:firstLine="425"/>
        <w:jc w:val="both"/>
      </w:pPr>
      <w:r>
        <w:rPr>
          <w:spacing w:val="-7"/>
        </w:rPr>
        <w:t>指外来的、突然的、非本意的、非疾病的使被保险人身体受到伤害的客观事件，并以此客观事件为</w:t>
      </w:r>
      <w:r>
        <w:rPr>
          <w:spacing w:val="-5"/>
        </w:rPr>
        <w:t>直接且单独原因导致被保险人身体受到伤害。</w:t>
      </w:r>
    </w:p>
    <w:p>
      <w:pPr>
        <w:pStyle w:val="BodyText"/>
        <w:spacing w:before="11"/>
      </w:pPr>
    </w:p>
    <w:p>
      <w:pPr>
        <w:pStyle w:val="Heading3"/>
        <w:numPr>
          <w:ilvl w:val="1"/>
          <w:numId w:val="5"/>
        </w:numPr>
        <w:tabs>
          <w:tab w:pos="723" w:val="left" w:leader="none"/>
        </w:tabs>
        <w:spacing w:line="240" w:lineRule="auto" w:before="1" w:after="0"/>
        <w:ind w:left="722" w:right="0" w:hanging="605"/>
        <w:jc w:val="left"/>
      </w:pPr>
      <w:r>
        <w:rPr/>
        <w:t>毒品</w:t>
      </w:r>
    </w:p>
    <w:p>
      <w:pPr>
        <w:pStyle w:val="BodyText"/>
        <w:spacing w:line="259" w:lineRule="auto" w:before="16"/>
        <w:ind w:left="117" w:right="164" w:firstLine="427"/>
        <w:jc w:val="both"/>
      </w:pPr>
      <w:r>
        <w:rPr>
          <w:spacing w:val="-5"/>
        </w:rPr>
        <w:t>指根据《中华人民共和国刑法》规定的鸦片、海洛因、甲基苯丙胺</w:t>
      </w:r>
      <w:r>
        <w:rPr/>
        <w:t>（</w:t>
      </w:r>
      <w:r>
        <w:rPr>
          <w:spacing w:val="-2"/>
        </w:rPr>
        <w:t>冰毒</w:t>
      </w:r>
      <w:r>
        <w:rPr>
          <w:spacing w:val="-8"/>
        </w:rPr>
        <w:t>）</w:t>
      </w:r>
      <w:r>
        <w:rPr>
          <w:spacing w:val="-5"/>
        </w:rPr>
        <w:t>、吗啡、大麻、可卡因</w:t>
      </w:r>
      <w:r>
        <w:rPr>
          <w:spacing w:val="-6"/>
        </w:rPr>
        <w:t>以及国家规定管制的其他能够使人形成瘾癖的麻醉药品和精神药品，但不包括由医生开具并遵医嘱使用</w:t>
      </w:r>
      <w:r>
        <w:rPr>
          <w:spacing w:val="-5"/>
        </w:rPr>
        <w:t>的用于治疗疾病但含有毒品成分的处方药品。</w:t>
      </w:r>
    </w:p>
    <w:p>
      <w:pPr>
        <w:pStyle w:val="BodyText"/>
        <w:spacing w:before="11"/>
      </w:pPr>
    </w:p>
    <w:p>
      <w:pPr>
        <w:pStyle w:val="Heading3"/>
        <w:numPr>
          <w:ilvl w:val="1"/>
          <w:numId w:val="5"/>
        </w:numPr>
        <w:tabs>
          <w:tab w:pos="723" w:val="left" w:leader="none"/>
        </w:tabs>
        <w:spacing w:line="240" w:lineRule="auto" w:before="0" w:after="0"/>
        <w:ind w:left="722" w:right="0" w:hanging="605"/>
        <w:jc w:val="left"/>
      </w:pPr>
      <w:r>
        <w:rPr>
          <w:w w:val="95"/>
        </w:rPr>
        <w:t>酒后驾驶</w:t>
      </w:r>
    </w:p>
    <w:p>
      <w:pPr>
        <w:pStyle w:val="BodyText"/>
        <w:spacing w:line="259" w:lineRule="auto" w:before="16"/>
        <w:ind w:left="117" w:right="106" w:firstLine="427"/>
        <w:jc w:val="both"/>
      </w:pPr>
      <w:r>
        <w:rPr>
          <w:spacing w:val="-6"/>
        </w:rPr>
        <w:t>指经检测或鉴定，发生事故时车辆驾驶人员每百毫升血液中的酒精含量达到或超过一定的标准，公</w:t>
      </w:r>
      <w:r>
        <w:rPr>
          <w:spacing w:val="-5"/>
        </w:rPr>
        <w:t>安机关交通管理部门依据《中华人民共和国道路交通安全法》的规定认定为饮酒后驾驶或醉酒后驾驶。</w:t>
      </w:r>
    </w:p>
    <w:p>
      <w:pPr>
        <w:pStyle w:val="BodyText"/>
        <w:spacing w:before="12"/>
      </w:pPr>
    </w:p>
    <w:p>
      <w:pPr>
        <w:pStyle w:val="Heading3"/>
        <w:numPr>
          <w:ilvl w:val="1"/>
          <w:numId w:val="5"/>
        </w:numPr>
        <w:tabs>
          <w:tab w:pos="846" w:val="left" w:leader="none"/>
        </w:tabs>
        <w:spacing w:line="240" w:lineRule="auto" w:before="0" w:after="0"/>
        <w:ind w:left="845" w:right="0" w:hanging="728"/>
        <w:jc w:val="left"/>
      </w:pPr>
      <w:r>
        <w:rPr>
          <w:w w:val="95"/>
        </w:rPr>
        <w:t>感染艾滋病病毒或患艾滋病</w:t>
      </w:r>
    </w:p>
    <w:p>
      <w:pPr>
        <w:pStyle w:val="BodyText"/>
        <w:spacing w:line="259" w:lineRule="auto" w:before="16"/>
        <w:ind w:left="117" w:right="228" w:firstLine="425"/>
        <w:jc w:val="both"/>
      </w:pPr>
      <w:r>
        <w:rPr/>
        <w:t>艾滋病病毒指人类免疫缺陷病毒，英文缩写为HIV。艾滋病指人类免疫缺陷病毒引起的获得性免疫缺陷综合征，英文缩写为AIDS。</w:t>
      </w:r>
    </w:p>
    <w:p>
      <w:pPr>
        <w:pStyle w:val="BodyText"/>
        <w:spacing w:line="259" w:lineRule="auto" w:before="6"/>
        <w:ind w:left="117" w:right="169" w:firstLine="425"/>
        <w:jc w:val="both"/>
      </w:pPr>
      <w:r>
        <w:rPr>
          <w:spacing w:val="-5"/>
        </w:rPr>
        <w:t>在人体血液或其它样本中检测到艾滋病病毒或其抗体呈阳性，没有出现临床症状或体征的，为感染</w:t>
      </w:r>
      <w:r>
        <w:rPr>
          <w:spacing w:val="-4"/>
        </w:rPr>
        <w:t>艾滋病病毒；如果同时出现了明显临床症状或体征的，为患艾滋病。</w:t>
      </w:r>
    </w:p>
    <w:p>
      <w:pPr>
        <w:pStyle w:val="BodyText"/>
        <w:spacing w:before="11"/>
      </w:pPr>
    </w:p>
    <w:p>
      <w:pPr>
        <w:pStyle w:val="Heading3"/>
        <w:numPr>
          <w:ilvl w:val="1"/>
          <w:numId w:val="5"/>
        </w:numPr>
        <w:tabs>
          <w:tab w:pos="846" w:val="left" w:leader="none"/>
        </w:tabs>
        <w:spacing w:line="240" w:lineRule="auto" w:before="0" w:after="0"/>
        <w:ind w:left="845" w:right="0" w:hanging="728"/>
        <w:jc w:val="left"/>
      </w:pPr>
      <w:r>
        <w:rPr>
          <w:w w:val="95"/>
        </w:rPr>
        <w:t>遗传性疾病</w:t>
      </w:r>
    </w:p>
    <w:p>
      <w:pPr>
        <w:pStyle w:val="BodyText"/>
        <w:spacing w:line="259" w:lineRule="auto" w:before="16"/>
        <w:ind w:left="117" w:right="169" w:firstLine="425"/>
        <w:jc w:val="both"/>
      </w:pPr>
      <w:r>
        <w:rPr>
          <w:spacing w:val="-4"/>
        </w:rPr>
        <w:t>指生殖细胞或受精卵的遗传物质</w:t>
      </w:r>
      <w:r>
        <w:rPr/>
        <w:t>（</w:t>
      </w:r>
      <w:r>
        <w:rPr>
          <w:spacing w:val="-3"/>
        </w:rPr>
        <w:t>染色体和基因</w:t>
      </w:r>
      <w:r>
        <w:rPr>
          <w:spacing w:val="-20"/>
        </w:rPr>
        <w:t>）</w:t>
      </w:r>
      <w:r>
        <w:rPr>
          <w:spacing w:val="-4"/>
        </w:rPr>
        <w:t>发生突变或畸变所引起的疾病，通常具有由亲代传至后代的垂直传递的特征。</w:t>
      </w:r>
    </w:p>
    <w:p>
      <w:pPr>
        <w:pStyle w:val="BodyText"/>
        <w:spacing w:before="12"/>
      </w:pPr>
    </w:p>
    <w:p>
      <w:pPr>
        <w:pStyle w:val="Heading3"/>
        <w:numPr>
          <w:ilvl w:val="1"/>
          <w:numId w:val="5"/>
        </w:numPr>
        <w:tabs>
          <w:tab w:pos="846" w:val="left" w:leader="none"/>
        </w:tabs>
        <w:spacing w:line="240" w:lineRule="auto" w:before="0" w:after="0"/>
        <w:ind w:left="845" w:right="0" w:hanging="728"/>
        <w:jc w:val="left"/>
      </w:pPr>
      <w:r>
        <w:rPr>
          <w:w w:val="95"/>
        </w:rPr>
        <w:t>先天性疾病、畸形、变形或染色体异常</w:t>
      </w:r>
    </w:p>
    <w:p>
      <w:pPr>
        <w:pStyle w:val="BodyText"/>
        <w:spacing w:line="259" w:lineRule="auto" w:before="15"/>
        <w:ind w:left="117" w:right="167" w:firstLine="425"/>
        <w:jc w:val="both"/>
      </w:pPr>
      <w:r>
        <w:rPr>
          <w:spacing w:val="-8"/>
        </w:rPr>
        <w:t>指被保险人出生时就具有的疾病、畸形、变形或染色体异常。先天性疾病、畸形、变形或染色体异</w:t>
      </w:r>
      <w:r>
        <w:rPr>
          <w:spacing w:val="-3"/>
        </w:rPr>
        <w:t>常依照世界卫生组织《疾病和有关健康问题的国际统计分类》</w:t>
      </w:r>
      <w:r>
        <w:rPr/>
        <w:t>（ICD-10）</w:t>
      </w:r>
      <w:r>
        <w:rPr>
          <w:spacing w:val="-2"/>
        </w:rPr>
        <w:t>确定。</w:t>
      </w:r>
    </w:p>
    <w:p>
      <w:pPr>
        <w:pStyle w:val="BodyText"/>
        <w:spacing w:before="11"/>
      </w:pPr>
    </w:p>
    <w:p>
      <w:pPr>
        <w:pStyle w:val="Heading3"/>
        <w:numPr>
          <w:ilvl w:val="1"/>
          <w:numId w:val="5"/>
        </w:numPr>
        <w:tabs>
          <w:tab w:pos="846" w:val="left" w:leader="none"/>
        </w:tabs>
        <w:spacing w:line="240" w:lineRule="auto" w:before="0" w:after="0"/>
        <w:ind w:left="845" w:right="0" w:hanging="728"/>
        <w:jc w:val="left"/>
      </w:pPr>
      <w:r>
        <w:rPr>
          <w:w w:val="95"/>
        </w:rPr>
        <w:t>现金价值</w:t>
      </w:r>
    </w:p>
    <w:p>
      <w:pPr>
        <w:pStyle w:val="BodyText"/>
        <w:spacing w:line="259" w:lineRule="auto" w:before="16"/>
        <w:ind w:left="117" w:right="164" w:firstLine="427"/>
        <w:jc w:val="both"/>
      </w:pPr>
      <w:r>
        <w:rPr>
          <w:spacing w:val="-6"/>
        </w:rPr>
        <w:t>指本合同保险单所具有的价值，通常体现为解除合同时，根据精算原理计算的，由我们退还的那部分金额。</w:t>
      </w:r>
    </w:p>
    <w:p>
      <w:pPr>
        <w:pStyle w:val="BodyText"/>
        <w:spacing w:line="259" w:lineRule="auto" w:before="6"/>
        <w:ind w:left="117" w:right="166" w:firstLine="427"/>
        <w:jc w:val="both"/>
      </w:pPr>
      <w:r>
        <w:rPr>
          <w:spacing w:val="-5"/>
        </w:rPr>
        <w:t>各保单年度末的现金价值如保险单或合同批注上所示，如因其他条款的约定而发生变更，则现金价</w:t>
      </w:r>
      <w:r>
        <w:rPr>
          <w:spacing w:val="-4"/>
        </w:rPr>
        <w:t>值将重新计算。</w:t>
      </w:r>
    </w:p>
    <w:p>
      <w:pPr>
        <w:pStyle w:val="BodyText"/>
        <w:spacing w:before="12"/>
      </w:pPr>
    </w:p>
    <w:p>
      <w:pPr>
        <w:pStyle w:val="Heading3"/>
        <w:numPr>
          <w:ilvl w:val="1"/>
          <w:numId w:val="5"/>
        </w:numPr>
        <w:tabs>
          <w:tab w:pos="846" w:val="left" w:leader="none"/>
        </w:tabs>
        <w:spacing w:line="240" w:lineRule="auto" w:before="0" w:after="0"/>
        <w:ind w:left="845" w:right="0" w:hanging="728"/>
        <w:jc w:val="left"/>
      </w:pPr>
      <w:r>
        <w:rPr>
          <w:w w:val="95"/>
        </w:rPr>
        <w:t>欠款</w:t>
      </w:r>
    </w:p>
    <w:p>
      <w:pPr>
        <w:pStyle w:val="BodyText"/>
        <w:spacing w:line="259" w:lineRule="auto" w:before="16"/>
        <w:ind w:left="117" w:right="164" w:firstLine="427"/>
        <w:jc w:val="both"/>
      </w:pPr>
      <w:r>
        <w:rPr>
          <w:spacing w:val="-6"/>
        </w:rPr>
        <w:t>指本合同的欠交保险费、未还保单贷款或其他未还款项，以及前述各项产生的利息。我们在给付各</w:t>
      </w:r>
      <w:r>
        <w:rPr>
          <w:spacing w:val="-5"/>
        </w:rPr>
        <w:t>项保险金、合同现金价值或退还保险费时，会在扣除各项欠款后给付。</w:t>
      </w:r>
    </w:p>
    <w:p>
      <w:pPr>
        <w:spacing w:after="0" w:line="259" w:lineRule="auto"/>
        <w:jc w:val="both"/>
        <w:sectPr>
          <w:pgSz w:w="11910" w:h="16840"/>
          <w:pgMar w:top="1380" w:bottom="280" w:left="960" w:right="820"/>
        </w:sectPr>
      </w:pPr>
    </w:p>
    <w:p>
      <w:pPr>
        <w:pStyle w:val="Heading3"/>
        <w:numPr>
          <w:ilvl w:val="1"/>
          <w:numId w:val="5"/>
        </w:numPr>
        <w:tabs>
          <w:tab w:pos="846" w:val="left" w:leader="none"/>
        </w:tabs>
        <w:spacing w:line="240" w:lineRule="auto" w:before="1" w:after="0"/>
        <w:ind w:left="845" w:right="0" w:hanging="728"/>
        <w:jc w:val="left"/>
      </w:pPr>
      <w:r>
        <w:rPr>
          <w:w w:val="95"/>
        </w:rPr>
        <w:t>利息损失</w:t>
      </w:r>
    </w:p>
    <w:p>
      <w:pPr>
        <w:pStyle w:val="BodyText"/>
        <w:spacing w:before="16"/>
        <w:ind w:left="540"/>
      </w:pPr>
      <w:r>
        <w:rPr/>
        <w:t>指根据中国人民银行最近一次已公布的同期的人民币活期存款基准利率计算的利息损失。</w:t>
      </w:r>
    </w:p>
    <w:p>
      <w:pPr>
        <w:pStyle w:val="BodyText"/>
        <w:spacing w:before="3"/>
        <w:rPr>
          <w:sz w:val="24"/>
        </w:rPr>
      </w:pPr>
    </w:p>
    <w:p>
      <w:pPr>
        <w:pStyle w:val="Heading3"/>
        <w:numPr>
          <w:ilvl w:val="1"/>
          <w:numId w:val="5"/>
        </w:numPr>
        <w:tabs>
          <w:tab w:pos="846" w:val="left" w:leader="none"/>
        </w:tabs>
        <w:spacing w:line="240" w:lineRule="auto" w:before="0" w:after="0"/>
        <w:ind w:left="845" w:right="0" w:hanging="728"/>
        <w:jc w:val="left"/>
      </w:pPr>
      <w:r>
        <w:rPr>
          <w:w w:val="95"/>
        </w:rPr>
        <w:t>肢体机能完全丧失</w:t>
      </w:r>
    </w:p>
    <w:p>
      <w:pPr>
        <w:pStyle w:val="BodyText"/>
        <w:spacing w:line="259" w:lineRule="auto" w:before="16"/>
        <w:ind w:left="117" w:right="209" w:firstLine="425"/>
      </w:pPr>
      <w:r>
        <w:rPr>
          <w:spacing w:val="-6"/>
        </w:rPr>
        <w:t>指肢体的三大关节中的两大关节僵硬，或不能随意识活动。肢体是指包括肩关节的整个上肢或包括</w:t>
      </w:r>
      <w:r>
        <w:rPr>
          <w:spacing w:val="-5"/>
        </w:rPr>
        <w:t>髋关节的整个下肢。</w:t>
      </w:r>
    </w:p>
    <w:p>
      <w:pPr>
        <w:pStyle w:val="BodyText"/>
        <w:spacing w:before="12"/>
      </w:pPr>
    </w:p>
    <w:p>
      <w:pPr>
        <w:pStyle w:val="Heading3"/>
        <w:numPr>
          <w:ilvl w:val="1"/>
          <w:numId w:val="5"/>
        </w:numPr>
        <w:tabs>
          <w:tab w:pos="846" w:val="left" w:leader="none"/>
        </w:tabs>
        <w:spacing w:line="240" w:lineRule="auto" w:before="0" w:after="0"/>
        <w:ind w:left="845" w:right="0" w:hanging="728"/>
        <w:jc w:val="left"/>
      </w:pPr>
      <w:r>
        <w:rPr>
          <w:w w:val="95"/>
        </w:rPr>
        <w:t>语言能力或咀嚼吞咽能力完全丧失</w:t>
      </w:r>
    </w:p>
    <w:p>
      <w:pPr>
        <w:pStyle w:val="BodyText"/>
        <w:spacing w:line="259" w:lineRule="auto" w:before="16"/>
        <w:ind w:left="117" w:right="98" w:firstLine="425"/>
      </w:pPr>
      <w:r>
        <w:rPr>
          <w:spacing w:val="-8"/>
        </w:rPr>
        <w:t>语言能力完全丧失，指无法发出四种语音</w:t>
      </w:r>
      <w:r>
        <w:rPr/>
        <w:t>（</w:t>
      </w:r>
      <w:r>
        <w:rPr>
          <w:spacing w:val="-10"/>
        </w:rPr>
        <w:t>包括口唇音、齿舌音、口盖音和喉头音</w:t>
      </w:r>
      <w:r>
        <w:rPr>
          <w:spacing w:val="-34"/>
        </w:rPr>
        <w:t>）</w:t>
      </w:r>
      <w:r>
        <w:rPr>
          <w:spacing w:val="-2"/>
        </w:rPr>
        <w:t>中的任何三种、</w:t>
      </w:r>
      <w:r>
        <w:rPr>
          <w:spacing w:val="-3"/>
        </w:rPr>
        <w:t>或声带全部切除，或因大脑语言中枢受伤害而患失语症。</w:t>
      </w:r>
    </w:p>
    <w:p>
      <w:pPr>
        <w:pStyle w:val="BodyText"/>
        <w:spacing w:line="259" w:lineRule="auto" w:before="7"/>
        <w:ind w:left="117" w:right="98" w:firstLine="425"/>
      </w:pPr>
      <w:r>
        <w:rPr>
          <w:spacing w:val="-14"/>
        </w:rPr>
        <w:t>咀嚼吞咽能力完全丧失，指因牙齿以外的原因导致器质障碍或机能障碍，以致不能作咀嚼吞咽运动， </w:t>
      </w:r>
      <w:r>
        <w:rPr>
          <w:spacing w:val="-8"/>
        </w:rPr>
        <w:t>除流质食物外不能摄取或吞咽的状态。</w:t>
      </w:r>
    </w:p>
    <w:p>
      <w:pPr>
        <w:pStyle w:val="BodyText"/>
        <w:spacing w:before="12"/>
      </w:pPr>
    </w:p>
    <w:p>
      <w:pPr>
        <w:pStyle w:val="Heading3"/>
        <w:numPr>
          <w:ilvl w:val="1"/>
          <w:numId w:val="5"/>
        </w:numPr>
        <w:tabs>
          <w:tab w:pos="846" w:val="left" w:leader="none"/>
        </w:tabs>
        <w:spacing w:line="240" w:lineRule="auto" w:before="0" w:after="0"/>
        <w:ind w:left="845" w:right="0" w:hanging="728"/>
        <w:jc w:val="left"/>
      </w:pPr>
      <w:r>
        <w:rPr>
          <w:w w:val="95"/>
        </w:rPr>
        <w:t>六项基本日常生活活动</w:t>
      </w:r>
    </w:p>
    <w:p>
      <w:pPr>
        <w:pStyle w:val="BodyText"/>
        <w:spacing w:before="16"/>
        <w:ind w:left="545"/>
      </w:pPr>
      <w:r>
        <w:rPr/>
        <w:t>六项基本日常生活活动是指：</w:t>
      </w:r>
    </w:p>
    <w:p>
      <w:pPr>
        <w:pStyle w:val="BodyText"/>
        <w:ind w:left="117"/>
      </w:pPr>
      <w:r>
        <w:rPr/>
        <w:t>（1）穿衣：自己能够穿衣及脱衣；</w:t>
      </w:r>
    </w:p>
    <w:p>
      <w:pPr>
        <w:pStyle w:val="BodyText"/>
        <w:ind w:left="117"/>
      </w:pPr>
      <w:r>
        <w:rPr/>
        <w:t>（2）移动：自己从一个房间到另一个房间；</w:t>
      </w:r>
    </w:p>
    <w:p>
      <w:pPr>
        <w:pStyle w:val="BodyText"/>
        <w:ind w:left="117"/>
      </w:pPr>
      <w:r>
        <w:rPr/>
        <w:t>（3）行动：自己上下床或上下轮椅；</w:t>
      </w:r>
    </w:p>
    <w:p>
      <w:pPr>
        <w:pStyle w:val="BodyText"/>
        <w:ind w:left="117"/>
      </w:pPr>
      <w:r>
        <w:rPr/>
        <w:t>（4）如厕：自己控制进行大小便；</w:t>
      </w:r>
    </w:p>
    <w:p>
      <w:pPr>
        <w:pStyle w:val="BodyText"/>
        <w:ind w:left="117"/>
      </w:pPr>
      <w:r>
        <w:rPr/>
        <w:t>（5）进食：自己从已准备好的碗或碟中取食物放入口中；</w:t>
      </w:r>
    </w:p>
    <w:p>
      <w:pPr>
        <w:pStyle w:val="BodyText"/>
        <w:ind w:left="117"/>
      </w:pPr>
      <w:r>
        <w:rPr/>
        <w:t>（6）洗澡：自己进行淋浴或盆浴。</w:t>
      </w:r>
    </w:p>
    <w:p>
      <w:pPr>
        <w:pStyle w:val="BodyText"/>
        <w:spacing w:before="3"/>
        <w:rPr>
          <w:sz w:val="24"/>
        </w:rPr>
      </w:pPr>
    </w:p>
    <w:p>
      <w:pPr>
        <w:pStyle w:val="Heading3"/>
        <w:numPr>
          <w:ilvl w:val="1"/>
          <w:numId w:val="5"/>
        </w:numPr>
        <w:tabs>
          <w:tab w:pos="783" w:val="left" w:leader="none"/>
        </w:tabs>
        <w:spacing w:line="240" w:lineRule="auto" w:before="0" w:after="0"/>
        <w:ind w:left="782" w:right="0" w:hanging="665"/>
        <w:jc w:val="left"/>
        <w:rPr>
          <w:sz w:val="22"/>
        </w:rPr>
      </w:pPr>
      <w:r>
        <w:rPr>
          <w:w w:val="95"/>
        </w:rPr>
        <w:t>永久不可逆</w:t>
      </w:r>
    </w:p>
    <w:p>
      <w:pPr>
        <w:pStyle w:val="BodyText"/>
        <w:spacing w:before="16"/>
        <w:ind w:left="542"/>
      </w:pPr>
      <w:r>
        <w:rPr/>
        <w:t>指自疾病确诊或意外伤害发生之日起，经过积极治疗180天后，仍无法通过现有医疗手段恢复。</w:t>
      </w:r>
    </w:p>
    <w:p>
      <w:pPr>
        <w:pStyle w:val="BodyText"/>
        <w:spacing w:before="9"/>
        <w:rPr>
          <w:sz w:val="25"/>
        </w:rPr>
      </w:pPr>
    </w:p>
    <w:p>
      <w:pPr>
        <w:pStyle w:val="Heading4"/>
        <w:numPr>
          <w:ilvl w:val="1"/>
          <w:numId w:val="5"/>
        </w:numPr>
        <w:tabs>
          <w:tab w:pos="783" w:val="left" w:leader="none"/>
        </w:tabs>
        <w:spacing w:line="240" w:lineRule="auto" w:before="0" w:after="0"/>
        <w:ind w:left="782" w:right="0" w:hanging="665"/>
        <w:jc w:val="left"/>
      </w:pPr>
      <w:r>
        <w:rPr>
          <w:w w:val="95"/>
        </w:rPr>
        <w:t>专科医生</w:t>
      </w:r>
    </w:p>
    <w:p>
      <w:pPr>
        <w:pStyle w:val="BodyText"/>
        <w:ind w:left="542"/>
      </w:pPr>
      <w:r>
        <w:rPr/>
        <w:t>专科医生应当同时满足以下四项资格条件：</w:t>
      </w:r>
    </w:p>
    <w:p>
      <w:pPr>
        <w:pStyle w:val="BodyText"/>
        <w:ind w:left="117"/>
      </w:pPr>
      <w:r>
        <w:rPr/>
        <w:t>（1）具有有效的中华人民共和国《医师资格证书》；</w:t>
      </w:r>
    </w:p>
    <w:p>
      <w:pPr>
        <w:pStyle w:val="BodyText"/>
        <w:ind w:left="117"/>
      </w:pPr>
      <w:r>
        <w:rPr/>
        <w:t>（2）具有有效的中华人民共和国《医师执业证书》，并按期到相关部门登记注册；</w:t>
      </w:r>
    </w:p>
    <w:p>
      <w:pPr>
        <w:pStyle w:val="BodyText"/>
        <w:ind w:left="117"/>
      </w:pPr>
      <w:r>
        <w:rPr/>
        <w:t>（3）具有有效的中华人民共和国主治医师或主治医师以上职称的《医师职称证书》；</w:t>
      </w:r>
    </w:p>
    <w:p>
      <w:pPr>
        <w:pStyle w:val="BodyText"/>
        <w:spacing w:before="23"/>
        <w:ind w:left="117"/>
      </w:pPr>
      <w:r>
        <w:rPr/>
        <w:t>（4）在二级或二级以上医院的相应科室从事临床工作三年以上。</w:t>
      </w:r>
    </w:p>
    <w:sectPr>
      <w:pgSz w:w="11910" w:h="16840"/>
      <w:pgMar w:top="1380" w:bottom="280" w:left="96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黑体">
    <w:altName w:val="黑体"/>
    <w:charset w:val="86"/>
    <w:family w:val="modern"/>
    <w:pitch w:val="fixed"/>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2"/>
      <w:numFmt w:val="decimal"/>
      <w:lvlText w:val="%1."/>
      <w:lvlJc w:val="left"/>
      <w:pPr>
        <w:ind w:left="704" w:hanging="567"/>
        <w:jc w:val="left"/>
      </w:pPr>
      <w:rPr>
        <w:rFonts w:hint="default" w:ascii="宋体" w:hAnsi="宋体" w:eastAsia="宋体" w:cs="宋体"/>
        <w:b/>
        <w:bCs/>
        <w:spacing w:val="0"/>
        <w:w w:val="99"/>
        <w:sz w:val="28"/>
        <w:szCs w:val="28"/>
      </w:rPr>
    </w:lvl>
    <w:lvl w:ilvl="1">
      <w:start w:val="1"/>
      <w:numFmt w:val="decimal"/>
      <w:lvlText w:val="%1.%2"/>
      <w:lvlJc w:val="left"/>
      <w:pPr>
        <w:ind w:left="742" w:hanging="606"/>
        <w:jc w:val="left"/>
      </w:pPr>
      <w:rPr>
        <w:rFonts w:hint="default"/>
        <w:b/>
        <w:bCs/>
        <w:spacing w:val="0"/>
        <w:w w:val="99"/>
      </w:rPr>
    </w:lvl>
    <w:lvl w:ilvl="2">
      <w:start w:val="0"/>
      <w:numFmt w:val="bullet"/>
      <w:lvlText w:val="•"/>
      <w:lvlJc w:val="left"/>
      <w:pPr>
        <w:ind w:left="1789" w:hanging="606"/>
      </w:pPr>
      <w:rPr>
        <w:rFonts w:hint="default"/>
      </w:rPr>
    </w:lvl>
    <w:lvl w:ilvl="3">
      <w:start w:val="0"/>
      <w:numFmt w:val="bullet"/>
      <w:lvlText w:val="•"/>
      <w:lvlJc w:val="left"/>
      <w:pPr>
        <w:ind w:left="2839" w:hanging="606"/>
      </w:pPr>
      <w:rPr>
        <w:rFonts w:hint="default"/>
      </w:rPr>
    </w:lvl>
    <w:lvl w:ilvl="4">
      <w:start w:val="0"/>
      <w:numFmt w:val="bullet"/>
      <w:lvlText w:val="•"/>
      <w:lvlJc w:val="left"/>
      <w:pPr>
        <w:ind w:left="3888" w:hanging="606"/>
      </w:pPr>
      <w:rPr>
        <w:rFonts w:hint="default"/>
      </w:rPr>
    </w:lvl>
    <w:lvl w:ilvl="5">
      <w:start w:val="0"/>
      <w:numFmt w:val="bullet"/>
      <w:lvlText w:val="•"/>
      <w:lvlJc w:val="left"/>
      <w:pPr>
        <w:ind w:left="4938" w:hanging="606"/>
      </w:pPr>
      <w:rPr>
        <w:rFonts w:hint="default"/>
      </w:rPr>
    </w:lvl>
    <w:lvl w:ilvl="6">
      <w:start w:val="0"/>
      <w:numFmt w:val="bullet"/>
      <w:lvlText w:val="•"/>
      <w:lvlJc w:val="left"/>
      <w:pPr>
        <w:ind w:left="5988" w:hanging="606"/>
      </w:pPr>
      <w:rPr>
        <w:rFonts w:hint="default"/>
      </w:rPr>
    </w:lvl>
    <w:lvl w:ilvl="7">
      <w:start w:val="0"/>
      <w:numFmt w:val="bullet"/>
      <w:lvlText w:val="•"/>
      <w:lvlJc w:val="left"/>
      <w:pPr>
        <w:ind w:left="7037" w:hanging="606"/>
      </w:pPr>
      <w:rPr>
        <w:rFonts w:hint="default"/>
      </w:rPr>
    </w:lvl>
    <w:lvl w:ilvl="8">
      <w:start w:val="0"/>
      <w:numFmt w:val="bullet"/>
      <w:lvlText w:val="•"/>
      <w:lvlJc w:val="left"/>
      <w:pPr>
        <w:ind w:left="8087" w:hanging="606"/>
      </w:pPr>
      <w:rPr>
        <w:rFonts w:hint="default"/>
      </w:rPr>
    </w:lvl>
  </w:abstractNum>
  <w:abstractNum w:abstractNumId="3">
    <w:multiLevelType w:val="hybridMultilevel"/>
    <w:lvl w:ilvl="0">
      <w:start w:val="1"/>
      <w:numFmt w:val="decimal"/>
      <w:lvlText w:val="%1."/>
      <w:lvlJc w:val="left"/>
      <w:pPr>
        <w:ind w:left="469" w:hanging="332"/>
        <w:jc w:val="right"/>
      </w:pPr>
      <w:rPr>
        <w:rFonts w:hint="default" w:ascii="宋体" w:hAnsi="宋体" w:eastAsia="宋体" w:cs="宋体"/>
        <w:b/>
        <w:bCs/>
        <w:w w:val="99"/>
        <w:sz w:val="22"/>
        <w:szCs w:val="22"/>
      </w:rPr>
    </w:lvl>
    <w:lvl w:ilvl="1">
      <w:start w:val="0"/>
      <w:numFmt w:val="bullet"/>
      <w:lvlText w:val="•"/>
      <w:lvlJc w:val="left"/>
      <w:pPr>
        <w:ind w:left="720" w:hanging="332"/>
      </w:pPr>
      <w:rPr>
        <w:rFonts w:hint="default"/>
      </w:rPr>
    </w:lvl>
    <w:lvl w:ilvl="2">
      <w:start w:val="0"/>
      <w:numFmt w:val="bullet"/>
      <w:lvlText w:val="•"/>
      <w:lvlJc w:val="left"/>
      <w:pPr>
        <w:ind w:left="1760" w:hanging="332"/>
      </w:pPr>
      <w:rPr>
        <w:rFonts w:hint="default"/>
      </w:rPr>
    </w:lvl>
    <w:lvl w:ilvl="3">
      <w:start w:val="0"/>
      <w:numFmt w:val="bullet"/>
      <w:lvlText w:val="•"/>
      <w:lvlJc w:val="left"/>
      <w:pPr>
        <w:ind w:left="2801" w:hanging="332"/>
      </w:pPr>
      <w:rPr>
        <w:rFonts w:hint="default"/>
      </w:rPr>
    </w:lvl>
    <w:lvl w:ilvl="4">
      <w:start w:val="0"/>
      <w:numFmt w:val="bullet"/>
      <w:lvlText w:val="•"/>
      <w:lvlJc w:val="left"/>
      <w:pPr>
        <w:ind w:left="3842" w:hanging="332"/>
      </w:pPr>
      <w:rPr>
        <w:rFonts w:hint="default"/>
      </w:rPr>
    </w:lvl>
    <w:lvl w:ilvl="5">
      <w:start w:val="0"/>
      <w:numFmt w:val="bullet"/>
      <w:lvlText w:val="•"/>
      <w:lvlJc w:val="left"/>
      <w:pPr>
        <w:ind w:left="4882" w:hanging="332"/>
      </w:pPr>
      <w:rPr>
        <w:rFonts w:hint="default"/>
      </w:rPr>
    </w:lvl>
    <w:lvl w:ilvl="6">
      <w:start w:val="0"/>
      <w:numFmt w:val="bullet"/>
      <w:lvlText w:val="•"/>
      <w:lvlJc w:val="left"/>
      <w:pPr>
        <w:ind w:left="5923" w:hanging="332"/>
      </w:pPr>
      <w:rPr>
        <w:rFonts w:hint="default"/>
      </w:rPr>
    </w:lvl>
    <w:lvl w:ilvl="7">
      <w:start w:val="0"/>
      <w:numFmt w:val="bullet"/>
      <w:lvlText w:val="•"/>
      <w:lvlJc w:val="left"/>
      <w:pPr>
        <w:ind w:left="6964" w:hanging="332"/>
      </w:pPr>
      <w:rPr>
        <w:rFonts w:hint="default"/>
      </w:rPr>
    </w:lvl>
    <w:lvl w:ilvl="8">
      <w:start w:val="0"/>
      <w:numFmt w:val="bullet"/>
      <w:lvlText w:val="•"/>
      <w:lvlJc w:val="left"/>
      <w:pPr>
        <w:ind w:left="8004" w:hanging="332"/>
      </w:pPr>
      <w:rPr>
        <w:rFonts w:hint="default"/>
      </w:rPr>
    </w:lvl>
  </w:abstractNum>
  <w:abstractNum w:abstractNumId="2">
    <w:multiLevelType w:val="hybridMultilevel"/>
    <w:lvl w:ilvl="0">
      <w:start w:val="5"/>
      <w:numFmt w:val="decimal"/>
      <w:lvlText w:val="%1"/>
      <w:lvlJc w:val="left"/>
      <w:pPr>
        <w:ind w:left="602" w:hanging="486"/>
        <w:jc w:val="left"/>
      </w:pPr>
      <w:rPr>
        <w:rFonts w:hint="default"/>
      </w:rPr>
    </w:lvl>
    <w:lvl w:ilvl="1">
      <w:start w:val="4"/>
      <w:numFmt w:val="decimal"/>
      <w:lvlText w:val="%1.%2"/>
      <w:lvlJc w:val="left"/>
      <w:pPr>
        <w:ind w:left="602" w:hanging="486"/>
        <w:jc w:val="left"/>
      </w:pPr>
      <w:rPr>
        <w:rFonts w:hint="default" w:ascii="宋体" w:hAnsi="宋体" w:eastAsia="宋体" w:cs="宋体"/>
        <w:b/>
        <w:bCs/>
        <w:spacing w:val="0"/>
        <w:w w:val="99"/>
        <w:sz w:val="24"/>
        <w:szCs w:val="24"/>
      </w:rPr>
    </w:lvl>
    <w:lvl w:ilvl="2">
      <w:start w:val="0"/>
      <w:numFmt w:val="bullet"/>
      <w:lvlText w:val="•"/>
      <w:lvlJc w:val="left"/>
      <w:pPr>
        <w:ind w:left="2557" w:hanging="486"/>
      </w:pPr>
      <w:rPr>
        <w:rFonts w:hint="default"/>
      </w:rPr>
    </w:lvl>
    <w:lvl w:ilvl="3">
      <w:start w:val="0"/>
      <w:numFmt w:val="bullet"/>
      <w:lvlText w:val="•"/>
      <w:lvlJc w:val="left"/>
      <w:pPr>
        <w:ind w:left="3535" w:hanging="486"/>
      </w:pPr>
      <w:rPr>
        <w:rFonts w:hint="default"/>
      </w:rPr>
    </w:lvl>
    <w:lvl w:ilvl="4">
      <w:start w:val="0"/>
      <w:numFmt w:val="bullet"/>
      <w:lvlText w:val="•"/>
      <w:lvlJc w:val="left"/>
      <w:pPr>
        <w:ind w:left="4514" w:hanging="486"/>
      </w:pPr>
      <w:rPr>
        <w:rFonts w:hint="default"/>
      </w:rPr>
    </w:lvl>
    <w:lvl w:ilvl="5">
      <w:start w:val="0"/>
      <w:numFmt w:val="bullet"/>
      <w:lvlText w:val="•"/>
      <w:lvlJc w:val="left"/>
      <w:pPr>
        <w:ind w:left="5493" w:hanging="486"/>
      </w:pPr>
      <w:rPr>
        <w:rFonts w:hint="default"/>
      </w:rPr>
    </w:lvl>
    <w:lvl w:ilvl="6">
      <w:start w:val="0"/>
      <w:numFmt w:val="bullet"/>
      <w:lvlText w:val="•"/>
      <w:lvlJc w:val="left"/>
      <w:pPr>
        <w:ind w:left="6471" w:hanging="486"/>
      </w:pPr>
      <w:rPr>
        <w:rFonts w:hint="default"/>
      </w:rPr>
    </w:lvl>
    <w:lvl w:ilvl="7">
      <w:start w:val="0"/>
      <w:numFmt w:val="bullet"/>
      <w:lvlText w:val="•"/>
      <w:lvlJc w:val="left"/>
      <w:pPr>
        <w:ind w:left="7450" w:hanging="486"/>
      </w:pPr>
      <w:rPr>
        <w:rFonts w:hint="default"/>
      </w:rPr>
    </w:lvl>
    <w:lvl w:ilvl="8">
      <w:start w:val="0"/>
      <w:numFmt w:val="bullet"/>
      <w:lvlText w:val="•"/>
      <w:lvlJc w:val="left"/>
      <w:pPr>
        <w:ind w:left="8429" w:hanging="486"/>
      </w:pPr>
      <w:rPr>
        <w:rFonts w:hint="default"/>
      </w:rPr>
    </w:lvl>
  </w:abstractNum>
  <w:abstractNum w:abstractNumId="1">
    <w:multiLevelType w:val="hybridMultilevel"/>
    <w:lvl w:ilvl="0">
      <w:start w:val="1"/>
      <w:numFmt w:val="decimal"/>
      <w:lvlText w:val="(%1)"/>
      <w:lvlJc w:val="left"/>
      <w:pPr>
        <w:ind w:left="565" w:hanging="421"/>
        <w:jc w:val="left"/>
      </w:pPr>
      <w:rPr>
        <w:rFonts w:hint="default" w:ascii="黑体" w:hAnsi="黑体" w:eastAsia="黑体" w:cs="黑体"/>
        <w:w w:val="100"/>
        <w:sz w:val="22"/>
        <w:szCs w:val="22"/>
      </w:rPr>
    </w:lvl>
    <w:lvl w:ilvl="1">
      <w:start w:val="0"/>
      <w:numFmt w:val="bullet"/>
      <w:lvlText w:val="•"/>
      <w:lvlJc w:val="left"/>
      <w:pPr>
        <w:ind w:left="1516" w:hanging="421"/>
      </w:pPr>
      <w:rPr>
        <w:rFonts w:hint="default"/>
      </w:rPr>
    </w:lvl>
    <w:lvl w:ilvl="2">
      <w:start w:val="0"/>
      <w:numFmt w:val="bullet"/>
      <w:lvlText w:val="•"/>
      <w:lvlJc w:val="left"/>
      <w:pPr>
        <w:ind w:left="2473" w:hanging="421"/>
      </w:pPr>
      <w:rPr>
        <w:rFonts w:hint="default"/>
      </w:rPr>
    </w:lvl>
    <w:lvl w:ilvl="3">
      <w:start w:val="0"/>
      <w:numFmt w:val="bullet"/>
      <w:lvlText w:val="•"/>
      <w:lvlJc w:val="left"/>
      <w:pPr>
        <w:ind w:left="3429" w:hanging="421"/>
      </w:pPr>
      <w:rPr>
        <w:rFonts w:hint="default"/>
      </w:rPr>
    </w:lvl>
    <w:lvl w:ilvl="4">
      <w:start w:val="0"/>
      <w:numFmt w:val="bullet"/>
      <w:lvlText w:val="•"/>
      <w:lvlJc w:val="left"/>
      <w:pPr>
        <w:ind w:left="4386" w:hanging="421"/>
      </w:pPr>
      <w:rPr>
        <w:rFonts w:hint="default"/>
      </w:rPr>
    </w:lvl>
    <w:lvl w:ilvl="5">
      <w:start w:val="0"/>
      <w:numFmt w:val="bullet"/>
      <w:lvlText w:val="•"/>
      <w:lvlJc w:val="left"/>
      <w:pPr>
        <w:ind w:left="5343" w:hanging="421"/>
      </w:pPr>
      <w:rPr>
        <w:rFonts w:hint="default"/>
      </w:rPr>
    </w:lvl>
    <w:lvl w:ilvl="6">
      <w:start w:val="0"/>
      <w:numFmt w:val="bullet"/>
      <w:lvlText w:val="•"/>
      <w:lvlJc w:val="left"/>
      <w:pPr>
        <w:ind w:left="6299" w:hanging="421"/>
      </w:pPr>
      <w:rPr>
        <w:rFonts w:hint="default"/>
      </w:rPr>
    </w:lvl>
    <w:lvl w:ilvl="7">
      <w:start w:val="0"/>
      <w:numFmt w:val="bullet"/>
      <w:lvlText w:val="•"/>
      <w:lvlJc w:val="left"/>
      <w:pPr>
        <w:ind w:left="7256" w:hanging="421"/>
      </w:pPr>
      <w:rPr>
        <w:rFonts w:hint="default"/>
      </w:rPr>
    </w:lvl>
    <w:lvl w:ilvl="8">
      <w:start w:val="0"/>
      <w:numFmt w:val="bullet"/>
      <w:lvlText w:val="•"/>
      <w:lvlJc w:val="left"/>
      <w:pPr>
        <w:ind w:left="8213" w:hanging="421"/>
      </w:pPr>
      <w:rPr>
        <w:rFonts w:hint="default"/>
      </w:rPr>
    </w:lvl>
  </w:abstractNum>
  <w:abstractNum w:abstractNumId="0">
    <w:multiLevelType w:val="hybridMultilevel"/>
    <w:lvl w:ilvl="0">
      <w:start w:val="1"/>
      <w:numFmt w:val="decimal"/>
      <w:lvlText w:val="%1."/>
      <w:lvlJc w:val="left"/>
      <w:pPr>
        <w:ind w:left="558" w:hanging="421"/>
        <w:jc w:val="left"/>
      </w:pPr>
      <w:rPr>
        <w:rFonts w:hint="default" w:ascii="宋体" w:hAnsi="宋体" w:eastAsia="宋体" w:cs="宋体"/>
        <w:b/>
        <w:bCs/>
        <w:spacing w:val="0"/>
        <w:w w:val="99"/>
        <w:sz w:val="28"/>
        <w:szCs w:val="28"/>
      </w:rPr>
    </w:lvl>
    <w:lvl w:ilvl="1">
      <w:start w:val="1"/>
      <w:numFmt w:val="decimal"/>
      <w:lvlText w:val="%1.%2"/>
      <w:lvlJc w:val="left"/>
      <w:pPr>
        <w:ind w:left="742" w:hanging="606"/>
        <w:jc w:val="left"/>
      </w:pPr>
      <w:rPr>
        <w:rFonts w:hint="default"/>
        <w:b/>
        <w:bCs/>
        <w:spacing w:val="0"/>
        <w:w w:val="99"/>
      </w:rPr>
    </w:lvl>
    <w:lvl w:ilvl="2">
      <w:start w:val="1"/>
      <w:numFmt w:val="decimal"/>
      <w:lvlText w:val="%1.%2.%3"/>
      <w:lvlJc w:val="left"/>
      <w:pPr>
        <w:ind w:left="802" w:hanging="606"/>
        <w:jc w:val="left"/>
      </w:pPr>
      <w:rPr>
        <w:rFonts w:hint="default" w:ascii="宋体" w:hAnsi="宋体" w:eastAsia="宋体" w:cs="宋体"/>
        <w:b/>
        <w:bCs/>
        <w:w w:val="99"/>
        <w:sz w:val="22"/>
        <w:szCs w:val="22"/>
      </w:rPr>
    </w:lvl>
    <w:lvl w:ilvl="3">
      <w:start w:val="0"/>
      <w:numFmt w:val="bullet"/>
      <w:lvlText w:val="•"/>
      <w:lvlJc w:val="left"/>
      <w:pPr>
        <w:ind w:left="780" w:hanging="606"/>
      </w:pPr>
      <w:rPr>
        <w:rFonts w:hint="default"/>
      </w:rPr>
    </w:lvl>
    <w:lvl w:ilvl="4">
      <w:start w:val="0"/>
      <w:numFmt w:val="bullet"/>
      <w:lvlText w:val="•"/>
      <w:lvlJc w:val="left"/>
      <w:pPr>
        <w:ind w:left="800" w:hanging="606"/>
      </w:pPr>
      <w:rPr>
        <w:rFonts w:hint="default"/>
      </w:rPr>
    </w:lvl>
    <w:lvl w:ilvl="5">
      <w:start w:val="0"/>
      <w:numFmt w:val="bullet"/>
      <w:lvlText w:val="•"/>
      <w:lvlJc w:val="left"/>
      <w:pPr>
        <w:ind w:left="2347" w:hanging="606"/>
      </w:pPr>
      <w:rPr>
        <w:rFonts w:hint="default"/>
      </w:rPr>
    </w:lvl>
    <w:lvl w:ilvl="6">
      <w:start w:val="0"/>
      <w:numFmt w:val="bullet"/>
      <w:lvlText w:val="•"/>
      <w:lvlJc w:val="left"/>
      <w:pPr>
        <w:ind w:left="3895" w:hanging="606"/>
      </w:pPr>
      <w:rPr>
        <w:rFonts w:hint="default"/>
      </w:rPr>
    </w:lvl>
    <w:lvl w:ilvl="7">
      <w:start w:val="0"/>
      <w:numFmt w:val="bullet"/>
      <w:lvlText w:val="•"/>
      <w:lvlJc w:val="left"/>
      <w:pPr>
        <w:ind w:left="5443" w:hanging="606"/>
      </w:pPr>
      <w:rPr>
        <w:rFonts w:hint="default"/>
      </w:rPr>
    </w:lvl>
    <w:lvl w:ilvl="8">
      <w:start w:val="0"/>
      <w:numFmt w:val="bullet"/>
      <w:lvlText w:val="•"/>
      <w:lvlJc w:val="left"/>
      <w:pPr>
        <w:ind w:left="6990" w:hanging="606"/>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24"/>
    </w:pPr>
    <w:rPr>
      <w:rFonts w:ascii="宋体" w:hAnsi="宋体" w:eastAsia="宋体" w:cs="宋体"/>
      <w:sz w:val="22"/>
      <w:szCs w:val="22"/>
    </w:rPr>
  </w:style>
  <w:style w:styleId="Heading1" w:type="paragraph">
    <w:name w:val="Heading 1"/>
    <w:basedOn w:val="Normal"/>
    <w:uiPriority w:val="1"/>
    <w:qFormat/>
    <w:pPr>
      <w:ind w:left="1801"/>
      <w:outlineLvl w:val="1"/>
    </w:pPr>
    <w:rPr>
      <w:rFonts w:ascii="宋体" w:hAnsi="宋体" w:eastAsia="宋体" w:cs="宋体"/>
      <w:b/>
      <w:bCs/>
      <w:sz w:val="36"/>
      <w:szCs w:val="36"/>
    </w:rPr>
  </w:style>
  <w:style w:styleId="Heading2" w:type="paragraph">
    <w:name w:val="Heading 2"/>
    <w:basedOn w:val="Normal"/>
    <w:uiPriority w:val="1"/>
    <w:qFormat/>
    <w:pPr>
      <w:ind w:left="558" w:hanging="421"/>
      <w:outlineLvl w:val="2"/>
    </w:pPr>
    <w:rPr>
      <w:rFonts w:ascii="宋体" w:hAnsi="宋体" w:eastAsia="宋体" w:cs="宋体"/>
      <w:b/>
      <w:bCs/>
      <w:sz w:val="28"/>
      <w:szCs w:val="28"/>
    </w:rPr>
  </w:style>
  <w:style w:styleId="Heading3" w:type="paragraph">
    <w:name w:val="Heading 3"/>
    <w:basedOn w:val="Normal"/>
    <w:uiPriority w:val="1"/>
    <w:qFormat/>
    <w:pPr>
      <w:ind w:left="622" w:hanging="485"/>
      <w:outlineLvl w:val="3"/>
    </w:pPr>
    <w:rPr>
      <w:rFonts w:ascii="宋体" w:hAnsi="宋体" w:eastAsia="宋体" w:cs="宋体"/>
      <w:b/>
      <w:bCs/>
      <w:sz w:val="24"/>
      <w:szCs w:val="24"/>
    </w:rPr>
  </w:style>
  <w:style w:styleId="Heading4" w:type="paragraph">
    <w:name w:val="Heading 4"/>
    <w:basedOn w:val="Normal"/>
    <w:uiPriority w:val="1"/>
    <w:qFormat/>
    <w:pPr>
      <w:ind w:left="562" w:hanging="445"/>
      <w:outlineLvl w:val="4"/>
    </w:pPr>
    <w:rPr>
      <w:rFonts w:ascii="宋体" w:hAnsi="宋体" w:eastAsia="宋体" w:cs="宋体"/>
      <w:b/>
      <w:bCs/>
      <w:sz w:val="22"/>
      <w:szCs w:val="22"/>
    </w:rPr>
  </w:style>
  <w:style w:styleId="ListParagraph" w:type="paragraph">
    <w:name w:val="List Paragraph"/>
    <w:basedOn w:val="Normal"/>
    <w:uiPriority w:val="1"/>
    <w:qFormat/>
    <w:pPr>
      <w:ind w:left="562" w:hanging="445"/>
    </w:pPr>
    <w:rPr>
      <w:rFonts w:ascii="宋体" w:hAnsi="宋体" w:eastAsia="宋体" w:cs="宋体"/>
    </w:rPr>
  </w:style>
  <w:style w:styleId="TableParagraph" w:type="paragraph">
    <w:name w:val="Table Paragraph"/>
    <w:basedOn w:val="Normal"/>
    <w:uiPriority w:val="1"/>
    <w:qFormat/>
    <w:pPr>
      <w:spacing w:line="256"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X168704</dc:creator>
  <dcterms:created xsi:type="dcterms:W3CDTF">2018-10-19T22:43:15Z</dcterms:created>
  <dcterms:modified xsi:type="dcterms:W3CDTF">2018-10-19T22:43:15Z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2014-06-20T00:00:00Z</vt:filetime>
  </property>
  <property fmtid="{D5CDD505-2E9C-101B-9397-08002B2CF9AE}" pid="3" name="Creator">
    <vt:lpwstr>Microsoft® Word 2010</vt:lpwstr>
  </property>
  <property fmtid="{D5CDD505-2E9C-101B-9397-08002B2CF9AE}" pid="4" name="LastSaved">
    <vt:filetime>2018-10-19T00:00:00Z</vt:filetime>
  </property>
</Properties>
</file>