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31"/>
        <w:ind w:firstLine="0"/>
      </w:pPr>
      <w:r>
        <w:rPr>
          <w:w w:val="95"/>
        </w:rPr>
        <w:t>中国太平洋人寿保险股份有限公司守护宝重大疾病保险条款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304"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73" w:val="left" w:leader="none"/>
        </w:tabs>
        <w:spacing w:line="491" w:lineRule="exact" w:before="0"/>
        <w:ind w:left="106"/>
      </w:pPr>
      <w:r>
        <w:rPr>
          <w:rFonts w:ascii="Arial" w:hAnsi="Arial" w:eastAsia="Arial"/>
          <w:b w:val="0"/>
          <w:w w:val="150"/>
          <w:position w:val="-11"/>
          <w:sz w:val="48"/>
        </w:rPr>
        <w:t>¤</w:t>
        <w:tab/>
      </w:r>
      <w:r>
        <w:rPr>
          <w:w w:val="95"/>
        </w:rPr>
        <w:t>您拥有的重要权益</w:t>
      </w:r>
    </w:p>
    <w:p>
      <w:pPr>
        <w:spacing w:before="42"/>
        <w:ind w:left="53" w:right="194" w:firstLine="0"/>
        <w:jc w:val="center"/>
        <w:rPr>
          <w:sz w:val="15"/>
        </w:rPr>
      </w:pPr>
      <w:r>
        <w:rPr/>
        <w:br w:type="column"/>
      </w:r>
      <w:r>
        <w:rPr>
          <w:sz w:val="15"/>
        </w:rPr>
        <w:t>太平洋人寿[2014]疾病保险 029 号</w:t>
      </w:r>
    </w:p>
    <w:p>
      <w:pPr>
        <w:pStyle w:val="BodyText"/>
        <w:spacing w:before="5"/>
        <w:rPr>
          <w:sz w:val="10"/>
        </w:rPr>
      </w:pPr>
    </w:p>
    <w:p>
      <w:pPr>
        <w:pStyle w:val="BodyText"/>
        <w:spacing w:before="0"/>
        <w:ind w:left="678"/>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72"/>
        <w:ind w:left="29" w:right="194" w:firstLine="0"/>
        <w:jc w:val="center"/>
        <w:rPr>
          <w:sz w:val="15"/>
        </w:rPr>
      </w:pPr>
      <w:r>
        <w:rPr>
          <w:sz w:val="15"/>
        </w:rPr>
        <w:t>请扫描以查询验证条款</w:t>
      </w:r>
    </w:p>
    <w:p>
      <w:pPr>
        <w:spacing w:after="0"/>
        <w:jc w:val="center"/>
        <w:rPr>
          <w:sz w:val="15"/>
        </w:rPr>
        <w:sectPr>
          <w:type w:val="continuous"/>
          <w:pgSz w:w="11910" w:h="16840"/>
          <w:pgMar w:top="1260" w:bottom="280" w:left="1140" w:right="1080"/>
          <w:cols w:num="2" w:equalWidth="0">
            <w:col w:w="5327" w:space="1750"/>
            <w:col w:w="2613"/>
          </w:cols>
        </w:sectPr>
      </w:pPr>
    </w:p>
    <w:p>
      <w:pPr>
        <w:pStyle w:val="ListParagraph"/>
        <w:numPr>
          <w:ilvl w:val="0"/>
          <w:numId w:val="1"/>
        </w:numPr>
        <w:tabs>
          <w:tab w:pos="843" w:val="left" w:leader="none"/>
          <w:tab w:pos="844" w:val="left" w:leader="none"/>
          <w:tab w:pos="9518" w:val="right" w:leader="dot"/>
        </w:tabs>
        <w:spacing w:line="188" w:lineRule="exact" w:before="0" w:after="0"/>
        <w:ind w:left="843" w:right="0" w:hanging="452"/>
        <w:jc w:val="left"/>
        <w:rPr>
          <w:sz w:val="18"/>
        </w:rPr>
      </w:pPr>
      <w:r>
        <w:rPr>
          <w:spacing w:val="2"/>
          <w:sz w:val="18"/>
        </w:rPr>
        <w:t>签收本合</w:t>
      </w:r>
      <w:r>
        <w:rPr>
          <w:sz w:val="18"/>
        </w:rPr>
        <w:t>同之</w:t>
      </w:r>
      <w:r>
        <w:rPr>
          <w:spacing w:val="2"/>
          <w:sz w:val="18"/>
        </w:rPr>
        <w:t>日</w:t>
      </w:r>
      <w:r>
        <w:rPr>
          <w:sz w:val="18"/>
        </w:rPr>
        <w:t>起</w:t>
      </w:r>
      <w:r>
        <w:rPr>
          <w:spacing w:val="5"/>
          <w:sz w:val="18"/>
        </w:rPr>
        <w:t> </w:t>
      </w:r>
      <w:r>
        <w:rPr>
          <w:sz w:val="18"/>
        </w:rPr>
        <w:t>15</w:t>
      </w:r>
      <w:r>
        <w:rPr>
          <w:spacing w:val="5"/>
          <w:sz w:val="18"/>
        </w:rPr>
        <w:t> </w:t>
      </w:r>
      <w:r>
        <w:rPr>
          <w:sz w:val="18"/>
        </w:rPr>
        <w:t>日（</w:t>
      </w:r>
      <w:r>
        <w:rPr>
          <w:spacing w:val="2"/>
          <w:sz w:val="18"/>
        </w:rPr>
        <w:t>即犹豫期</w:t>
      </w:r>
      <w:r>
        <w:rPr>
          <w:sz w:val="18"/>
        </w:rPr>
        <w:t>）内</w:t>
      </w:r>
      <w:r>
        <w:rPr>
          <w:spacing w:val="2"/>
          <w:sz w:val="18"/>
        </w:rPr>
        <w:t>您若要求</w:t>
      </w:r>
      <w:r>
        <w:rPr>
          <w:sz w:val="18"/>
        </w:rPr>
        <w:t>退保</w:t>
      </w:r>
      <w:r>
        <w:rPr>
          <w:spacing w:val="2"/>
          <w:sz w:val="18"/>
        </w:rPr>
        <w:t>，我们仅</w:t>
      </w:r>
      <w:r>
        <w:rPr>
          <w:sz w:val="18"/>
        </w:rPr>
        <w:t>扣除</w:t>
      </w:r>
      <w:r>
        <w:rPr>
          <w:spacing w:val="2"/>
          <w:sz w:val="18"/>
        </w:rPr>
        <w:t>工本费</w:t>
        <w:tab/>
      </w:r>
      <w:r>
        <w:rPr>
          <w:spacing w:val="1"/>
          <w:sz w:val="18"/>
        </w:rPr>
        <w:t>1.4</w:t>
      </w:r>
    </w:p>
    <w:p>
      <w:pPr>
        <w:pStyle w:val="ListParagraph"/>
        <w:numPr>
          <w:ilvl w:val="0"/>
          <w:numId w:val="1"/>
        </w:numPr>
        <w:tabs>
          <w:tab w:pos="843" w:val="left" w:leader="none"/>
          <w:tab w:pos="844" w:val="left" w:leader="none"/>
          <w:tab w:pos="9522" w:val="right" w:leader="dot"/>
        </w:tabs>
        <w:spacing w:line="240" w:lineRule="auto" w:before="83" w:after="0"/>
        <w:ind w:left="843" w:right="0" w:hanging="452"/>
        <w:jc w:val="left"/>
        <w:rPr>
          <w:sz w:val="18"/>
        </w:rPr>
      </w:pPr>
      <w:r>
        <w:rPr>
          <w:spacing w:val="5"/>
          <w:sz w:val="18"/>
        </w:rPr>
        <w:t>本合</w:t>
      </w:r>
      <w:r>
        <w:rPr>
          <w:spacing w:val="5"/>
          <w:sz w:val="18"/>
        </w:rPr>
        <w:t>同</w:t>
      </w:r>
      <w:r>
        <w:rPr>
          <w:spacing w:val="5"/>
          <w:sz w:val="18"/>
        </w:rPr>
        <w:t>提供</w:t>
      </w:r>
      <w:r>
        <w:rPr>
          <w:spacing w:val="5"/>
          <w:sz w:val="18"/>
        </w:rPr>
        <w:t>的</w:t>
      </w:r>
      <w:r>
        <w:rPr>
          <w:spacing w:val="5"/>
          <w:sz w:val="18"/>
        </w:rPr>
        <w:t>保障</w:t>
      </w:r>
      <w:r>
        <w:rPr>
          <w:spacing w:val="5"/>
          <w:sz w:val="18"/>
        </w:rPr>
        <w:t>在</w:t>
      </w:r>
      <w:r>
        <w:rPr>
          <w:spacing w:val="5"/>
          <w:sz w:val="18"/>
        </w:rPr>
        <w:t>保险</w:t>
      </w:r>
      <w:r>
        <w:rPr>
          <w:spacing w:val="5"/>
          <w:sz w:val="18"/>
        </w:rPr>
        <w:t>责</w:t>
      </w:r>
      <w:r>
        <w:rPr>
          <w:spacing w:val="5"/>
          <w:sz w:val="18"/>
        </w:rPr>
        <w:t>任条</w:t>
      </w:r>
      <w:r>
        <w:rPr>
          <w:spacing w:val="5"/>
          <w:sz w:val="18"/>
        </w:rPr>
        <w:t>款</w:t>
      </w:r>
      <w:r>
        <w:rPr>
          <w:spacing w:val="5"/>
          <w:sz w:val="18"/>
        </w:rPr>
        <w:t>中列</w:t>
      </w:r>
      <w:r>
        <w:rPr>
          <w:sz w:val="18"/>
        </w:rPr>
        <w:t>明</w:t>
        <w:tab/>
      </w:r>
      <w:r>
        <w:rPr>
          <w:spacing w:val="5"/>
          <w:sz w:val="18"/>
        </w:rPr>
        <w:t>2.3</w:t>
      </w:r>
    </w:p>
    <w:p>
      <w:pPr>
        <w:pStyle w:val="ListParagraph"/>
        <w:numPr>
          <w:ilvl w:val="0"/>
          <w:numId w:val="1"/>
        </w:numPr>
        <w:tabs>
          <w:tab w:pos="843" w:val="left" w:leader="none"/>
          <w:tab w:pos="844" w:val="left" w:leader="none"/>
          <w:tab w:pos="9522" w:val="right" w:leader="dot"/>
        </w:tabs>
        <w:spacing w:line="240" w:lineRule="auto" w:before="84" w:after="0"/>
        <w:ind w:left="843" w:right="0" w:hanging="452"/>
        <w:jc w:val="left"/>
        <w:rPr>
          <w:sz w:val="18"/>
        </w:rPr>
      </w:pPr>
      <w:r>
        <w:rPr>
          <w:spacing w:val="5"/>
          <w:sz w:val="18"/>
        </w:rPr>
        <w:t>您有</w:t>
      </w:r>
      <w:r>
        <w:rPr>
          <w:spacing w:val="5"/>
          <w:sz w:val="18"/>
        </w:rPr>
        <w:t>按</w:t>
      </w:r>
      <w:r>
        <w:rPr>
          <w:spacing w:val="5"/>
          <w:sz w:val="18"/>
        </w:rPr>
        <w:t>本合</w:t>
      </w:r>
      <w:r>
        <w:rPr>
          <w:spacing w:val="5"/>
          <w:sz w:val="18"/>
        </w:rPr>
        <w:t>同</w:t>
      </w:r>
      <w:r>
        <w:rPr>
          <w:spacing w:val="5"/>
          <w:sz w:val="18"/>
        </w:rPr>
        <w:t>约定</w:t>
      </w:r>
      <w:r>
        <w:rPr>
          <w:spacing w:val="5"/>
          <w:sz w:val="18"/>
        </w:rPr>
        <w:t>申</w:t>
      </w:r>
      <w:r>
        <w:rPr>
          <w:spacing w:val="5"/>
          <w:sz w:val="18"/>
        </w:rPr>
        <w:t>请保</w:t>
      </w:r>
      <w:r>
        <w:rPr>
          <w:spacing w:val="5"/>
          <w:sz w:val="18"/>
        </w:rPr>
        <w:t>单</w:t>
      </w:r>
      <w:r>
        <w:rPr>
          <w:spacing w:val="5"/>
          <w:sz w:val="18"/>
        </w:rPr>
        <w:t>贷款</w:t>
      </w:r>
      <w:r>
        <w:rPr>
          <w:spacing w:val="5"/>
          <w:sz w:val="18"/>
        </w:rPr>
        <w:t>的</w:t>
      </w:r>
      <w:r>
        <w:rPr>
          <w:spacing w:val="5"/>
          <w:sz w:val="18"/>
        </w:rPr>
        <w:t>权</w:t>
      </w:r>
      <w:r>
        <w:rPr>
          <w:sz w:val="18"/>
        </w:rPr>
        <w:t>利</w:t>
        <w:tab/>
      </w:r>
      <w:r>
        <w:rPr>
          <w:spacing w:val="5"/>
          <w:sz w:val="18"/>
        </w:rPr>
        <w:t>6.2</w:t>
      </w:r>
    </w:p>
    <w:p>
      <w:pPr>
        <w:pStyle w:val="ListParagraph"/>
        <w:numPr>
          <w:ilvl w:val="0"/>
          <w:numId w:val="1"/>
        </w:numPr>
        <w:tabs>
          <w:tab w:pos="843" w:val="left" w:leader="none"/>
          <w:tab w:pos="844" w:val="left" w:leader="none"/>
          <w:tab w:pos="9522" w:val="right" w:leader="dot"/>
        </w:tabs>
        <w:spacing w:line="226" w:lineRule="exact" w:before="84" w:after="0"/>
        <w:ind w:left="843" w:right="0" w:hanging="452"/>
        <w:jc w:val="left"/>
        <w:rPr>
          <w:sz w:val="18"/>
        </w:rPr>
      </w:pPr>
      <w:r>
        <w:rPr>
          <w:spacing w:val="5"/>
          <w:sz w:val="18"/>
        </w:rPr>
        <w:t>您有</w:t>
      </w:r>
      <w:r>
        <w:rPr>
          <w:spacing w:val="5"/>
          <w:sz w:val="18"/>
        </w:rPr>
        <w:t>退</w:t>
      </w:r>
      <w:r>
        <w:rPr>
          <w:spacing w:val="5"/>
          <w:sz w:val="18"/>
        </w:rPr>
        <w:t>保的</w:t>
      </w:r>
      <w:r>
        <w:rPr>
          <w:spacing w:val="5"/>
          <w:sz w:val="18"/>
        </w:rPr>
        <w:t>权</w:t>
      </w:r>
      <w:r>
        <w:rPr>
          <w:sz w:val="18"/>
        </w:rPr>
        <w:t>利</w:t>
        <w:tab/>
      </w:r>
      <w:r>
        <w:rPr>
          <w:spacing w:val="5"/>
          <w:sz w:val="18"/>
        </w:rPr>
        <w:t>7.1</w:t>
      </w:r>
    </w:p>
    <w:p>
      <w:pPr>
        <w:pStyle w:val="Heading2"/>
        <w:tabs>
          <w:tab w:pos="873" w:val="left" w:leader="none"/>
        </w:tabs>
        <w:spacing w:line="488" w:lineRule="exact" w:before="0"/>
        <w:ind w:left="106"/>
      </w:pPr>
      <w:r>
        <w:rPr>
          <w:rFonts w:ascii="Arial" w:hAnsi="Arial" w:eastAsia="Arial"/>
          <w:b w:val="0"/>
          <w:w w:val="150"/>
          <w:position w:val="-11"/>
          <w:sz w:val="48"/>
        </w:rPr>
        <w:t>¤</w:t>
        <w:tab/>
      </w:r>
      <w:r>
        <w:rPr>
          <w:w w:val="95"/>
        </w:rPr>
        <w:t>您应当特别注意的事项</w:t>
      </w:r>
    </w:p>
    <w:p>
      <w:pPr>
        <w:pStyle w:val="ListParagraph"/>
        <w:numPr>
          <w:ilvl w:val="0"/>
          <w:numId w:val="1"/>
        </w:numPr>
        <w:tabs>
          <w:tab w:pos="843" w:val="left" w:leader="none"/>
          <w:tab w:pos="844" w:val="left" w:leader="none"/>
          <w:tab w:pos="9524" w:val="right" w:leader="dot"/>
        </w:tabs>
        <w:spacing w:line="182" w:lineRule="exact" w:before="0" w:after="0"/>
        <w:ind w:left="843" w:right="0" w:hanging="452"/>
        <w:jc w:val="left"/>
        <w:rPr>
          <w:sz w:val="18"/>
        </w:rPr>
      </w:pPr>
      <w:r>
        <w:rPr>
          <w:spacing w:val="2"/>
          <w:sz w:val="18"/>
        </w:rPr>
        <w:t>180</w:t>
      </w:r>
      <w:r>
        <w:rPr>
          <w:spacing w:val="5"/>
          <w:sz w:val="18"/>
        </w:rPr>
        <w:t> 日</w:t>
      </w:r>
      <w:r>
        <w:rPr>
          <w:spacing w:val="5"/>
          <w:sz w:val="18"/>
        </w:rPr>
        <w:t>内</w:t>
      </w:r>
      <w:r>
        <w:rPr>
          <w:spacing w:val="5"/>
          <w:sz w:val="18"/>
        </w:rPr>
        <w:t>我</w:t>
      </w:r>
      <w:r>
        <w:rPr>
          <w:spacing w:val="5"/>
          <w:sz w:val="18"/>
        </w:rPr>
        <w:t>们</w:t>
      </w:r>
      <w:r>
        <w:rPr>
          <w:spacing w:val="5"/>
          <w:sz w:val="18"/>
        </w:rPr>
        <w:t>承担的责</w:t>
      </w:r>
      <w:r>
        <w:rPr>
          <w:spacing w:val="5"/>
          <w:sz w:val="18"/>
        </w:rPr>
        <w:t>任有</w:t>
      </w:r>
      <w:r>
        <w:rPr>
          <w:spacing w:val="5"/>
          <w:sz w:val="18"/>
        </w:rPr>
        <w:t>所不同，</w:t>
      </w:r>
      <w:r>
        <w:rPr>
          <w:spacing w:val="5"/>
          <w:sz w:val="18"/>
        </w:rPr>
        <w:t>请您</w:t>
      </w:r>
      <w:r>
        <w:rPr>
          <w:spacing w:val="5"/>
          <w:sz w:val="18"/>
        </w:rPr>
        <w:t>注意…</w:t>
        <w:tab/>
        <w:t>2.3</w:t>
      </w:r>
    </w:p>
    <w:p>
      <w:pPr>
        <w:pStyle w:val="ListParagraph"/>
        <w:numPr>
          <w:ilvl w:val="0"/>
          <w:numId w:val="1"/>
        </w:numPr>
        <w:tabs>
          <w:tab w:pos="843" w:val="left" w:leader="none"/>
          <w:tab w:pos="844" w:val="left" w:leader="none"/>
          <w:tab w:pos="9522" w:val="right" w:leader="dot"/>
        </w:tabs>
        <w:spacing w:line="240" w:lineRule="auto" w:before="83" w:after="0"/>
        <w:ind w:left="843" w:right="0" w:hanging="452"/>
        <w:jc w:val="left"/>
        <w:rPr>
          <w:sz w:val="18"/>
        </w:rPr>
      </w:pPr>
      <w:r>
        <w:rPr>
          <w:spacing w:val="5"/>
          <w:sz w:val="18"/>
        </w:rPr>
        <w:t>本合</w:t>
      </w:r>
      <w:r>
        <w:rPr>
          <w:spacing w:val="5"/>
          <w:sz w:val="18"/>
        </w:rPr>
        <w:t>同</w:t>
      </w:r>
      <w:r>
        <w:rPr>
          <w:spacing w:val="5"/>
          <w:sz w:val="18"/>
        </w:rPr>
        <w:t>有责</w:t>
      </w:r>
      <w:r>
        <w:rPr>
          <w:spacing w:val="5"/>
          <w:sz w:val="18"/>
        </w:rPr>
        <w:t>任</w:t>
      </w:r>
      <w:r>
        <w:rPr>
          <w:spacing w:val="5"/>
          <w:sz w:val="18"/>
        </w:rPr>
        <w:t>免除</w:t>
      </w:r>
      <w:r>
        <w:rPr>
          <w:spacing w:val="5"/>
          <w:sz w:val="18"/>
        </w:rPr>
        <w:t>条</w:t>
      </w:r>
      <w:r>
        <w:rPr>
          <w:spacing w:val="5"/>
          <w:sz w:val="18"/>
        </w:rPr>
        <w:t>款，</w:t>
      </w:r>
      <w:r>
        <w:rPr>
          <w:spacing w:val="5"/>
          <w:sz w:val="18"/>
        </w:rPr>
        <w:t>请</w:t>
      </w:r>
      <w:r>
        <w:rPr>
          <w:spacing w:val="5"/>
          <w:sz w:val="18"/>
        </w:rPr>
        <w:t>您注</w:t>
      </w:r>
      <w:r>
        <w:rPr>
          <w:sz w:val="18"/>
        </w:rPr>
        <w:t>意</w:t>
        <w:tab/>
      </w:r>
      <w:r>
        <w:rPr>
          <w:spacing w:val="5"/>
          <w:sz w:val="18"/>
        </w:rPr>
        <w:t>2.4</w:t>
      </w:r>
    </w:p>
    <w:p>
      <w:pPr>
        <w:pStyle w:val="ListParagraph"/>
        <w:numPr>
          <w:ilvl w:val="0"/>
          <w:numId w:val="1"/>
        </w:numPr>
        <w:tabs>
          <w:tab w:pos="843" w:val="left" w:leader="none"/>
          <w:tab w:pos="844" w:val="left" w:leader="none"/>
          <w:tab w:pos="9522" w:val="right" w:leader="dot"/>
        </w:tabs>
        <w:spacing w:line="240" w:lineRule="auto" w:before="85" w:after="0"/>
        <w:ind w:left="843" w:right="0" w:hanging="452"/>
        <w:jc w:val="left"/>
        <w:rPr>
          <w:sz w:val="18"/>
        </w:rPr>
      </w:pPr>
      <w:r>
        <w:rPr>
          <w:spacing w:val="5"/>
          <w:sz w:val="18"/>
        </w:rPr>
        <w:t>保险</w:t>
      </w:r>
      <w:r>
        <w:rPr>
          <w:spacing w:val="5"/>
          <w:sz w:val="18"/>
        </w:rPr>
        <w:t>事</w:t>
      </w:r>
      <w:r>
        <w:rPr>
          <w:spacing w:val="5"/>
          <w:sz w:val="18"/>
        </w:rPr>
        <w:t>故发</w:t>
      </w:r>
      <w:r>
        <w:rPr>
          <w:spacing w:val="5"/>
          <w:sz w:val="18"/>
        </w:rPr>
        <w:t>生</w:t>
      </w:r>
      <w:r>
        <w:rPr>
          <w:spacing w:val="5"/>
          <w:sz w:val="18"/>
        </w:rPr>
        <w:t>后，</w:t>
      </w:r>
      <w:r>
        <w:rPr>
          <w:spacing w:val="5"/>
          <w:sz w:val="18"/>
        </w:rPr>
        <w:t>请</w:t>
      </w:r>
      <w:r>
        <w:rPr>
          <w:spacing w:val="5"/>
          <w:sz w:val="18"/>
        </w:rPr>
        <w:t>及时</w:t>
      </w:r>
      <w:r>
        <w:rPr>
          <w:spacing w:val="5"/>
          <w:sz w:val="18"/>
        </w:rPr>
        <w:t>通</w:t>
      </w:r>
      <w:r>
        <w:rPr>
          <w:spacing w:val="5"/>
          <w:sz w:val="18"/>
        </w:rPr>
        <w:t>知我</w:t>
      </w:r>
      <w:r>
        <w:rPr>
          <w:sz w:val="18"/>
        </w:rPr>
        <w:t>们</w:t>
        <w:tab/>
      </w:r>
      <w:r>
        <w:rPr>
          <w:spacing w:val="5"/>
          <w:sz w:val="18"/>
        </w:rPr>
        <w:t>3.2</w:t>
      </w:r>
    </w:p>
    <w:p>
      <w:pPr>
        <w:pStyle w:val="ListParagraph"/>
        <w:numPr>
          <w:ilvl w:val="0"/>
          <w:numId w:val="1"/>
        </w:numPr>
        <w:tabs>
          <w:tab w:pos="843" w:val="left" w:leader="none"/>
          <w:tab w:pos="844" w:val="left" w:leader="none"/>
          <w:tab w:pos="9522" w:val="right" w:leader="dot"/>
        </w:tabs>
        <w:spacing w:line="240" w:lineRule="auto" w:before="85" w:after="0"/>
        <w:ind w:left="843" w:right="0" w:hanging="452"/>
        <w:jc w:val="left"/>
        <w:rPr>
          <w:sz w:val="18"/>
        </w:rPr>
      </w:pPr>
      <w:r>
        <w:rPr>
          <w:spacing w:val="5"/>
          <w:sz w:val="18"/>
        </w:rPr>
        <w:t>您应</w:t>
      </w:r>
      <w:r>
        <w:rPr>
          <w:spacing w:val="5"/>
          <w:sz w:val="18"/>
        </w:rPr>
        <w:t>当</w:t>
      </w:r>
      <w:r>
        <w:rPr>
          <w:spacing w:val="5"/>
          <w:sz w:val="18"/>
        </w:rPr>
        <w:t>按时</w:t>
      </w:r>
      <w:r>
        <w:rPr>
          <w:spacing w:val="5"/>
          <w:sz w:val="18"/>
        </w:rPr>
        <w:t>支</w:t>
      </w:r>
      <w:r>
        <w:rPr>
          <w:spacing w:val="5"/>
          <w:sz w:val="18"/>
        </w:rPr>
        <w:t>付保</w:t>
      </w:r>
      <w:r>
        <w:rPr>
          <w:spacing w:val="5"/>
          <w:sz w:val="18"/>
        </w:rPr>
        <w:t>险</w:t>
      </w:r>
      <w:r>
        <w:rPr>
          <w:sz w:val="18"/>
        </w:rPr>
        <w:t>费</w:t>
        <w:tab/>
      </w:r>
      <w:r>
        <w:rPr>
          <w:spacing w:val="5"/>
          <w:sz w:val="18"/>
        </w:rPr>
        <w:t>4.1</w:t>
      </w:r>
    </w:p>
    <w:p>
      <w:pPr>
        <w:pStyle w:val="ListParagraph"/>
        <w:numPr>
          <w:ilvl w:val="0"/>
          <w:numId w:val="1"/>
        </w:numPr>
        <w:tabs>
          <w:tab w:pos="843" w:val="left" w:leader="none"/>
          <w:tab w:pos="844" w:val="left" w:leader="none"/>
          <w:tab w:pos="9522" w:val="right" w:leader="dot"/>
        </w:tabs>
        <w:spacing w:line="240" w:lineRule="auto" w:before="83" w:after="0"/>
        <w:ind w:left="843" w:right="0" w:hanging="452"/>
        <w:jc w:val="left"/>
        <w:rPr>
          <w:sz w:val="18"/>
        </w:rPr>
      </w:pPr>
      <w:r>
        <w:rPr>
          <w:spacing w:val="5"/>
          <w:sz w:val="18"/>
        </w:rPr>
        <w:t>退保</w:t>
      </w:r>
      <w:r>
        <w:rPr>
          <w:spacing w:val="5"/>
          <w:sz w:val="18"/>
        </w:rPr>
        <w:t>会</w:t>
      </w:r>
      <w:r>
        <w:rPr>
          <w:spacing w:val="5"/>
          <w:sz w:val="18"/>
        </w:rPr>
        <w:t>给您</w:t>
      </w:r>
      <w:r>
        <w:rPr>
          <w:spacing w:val="5"/>
          <w:sz w:val="18"/>
        </w:rPr>
        <w:t>造</w:t>
      </w:r>
      <w:r>
        <w:rPr>
          <w:spacing w:val="5"/>
          <w:sz w:val="18"/>
        </w:rPr>
        <w:t>成一</w:t>
      </w:r>
      <w:r>
        <w:rPr>
          <w:spacing w:val="5"/>
          <w:sz w:val="18"/>
        </w:rPr>
        <w:t>定</w:t>
      </w:r>
      <w:r>
        <w:rPr>
          <w:spacing w:val="5"/>
          <w:sz w:val="18"/>
        </w:rPr>
        <w:t>的损</w:t>
      </w:r>
      <w:r>
        <w:rPr>
          <w:spacing w:val="5"/>
          <w:sz w:val="18"/>
        </w:rPr>
        <w:t>失</w:t>
      </w:r>
      <w:r>
        <w:rPr>
          <w:spacing w:val="5"/>
          <w:sz w:val="18"/>
        </w:rPr>
        <w:t>，请</w:t>
      </w:r>
      <w:r>
        <w:rPr>
          <w:spacing w:val="5"/>
          <w:sz w:val="18"/>
        </w:rPr>
        <w:t>您</w:t>
      </w:r>
      <w:r>
        <w:rPr>
          <w:spacing w:val="5"/>
          <w:sz w:val="18"/>
        </w:rPr>
        <w:t>慎重</w:t>
      </w:r>
      <w:r>
        <w:rPr>
          <w:spacing w:val="5"/>
          <w:sz w:val="18"/>
        </w:rPr>
        <w:t>决</w:t>
      </w:r>
      <w:r>
        <w:rPr>
          <w:sz w:val="18"/>
        </w:rPr>
        <w:t>策</w:t>
        <w:tab/>
      </w:r>
      <w:r>
        <w:rPr>
          <w:spacing w:val="5"/>
          <w:sz w:val="18"/>
        </w:rPr>
        <w:t>7.1</w:t>
      </w:r>
    </w:p>
    <w:p>
      <w:pPr>
        <w:pStyle w:val="ListParagraph"/>
        <w:numPr>
          <w:ilvl w:val="0"/>
          <w:numId w:val="1"/>
        </w:numPr>
        <w:tabs>
          <w:tab w:pos="843" w:val="left" w:leader="none"/>
          <w:tab w:pos="844" w:val="left" w:leader="none"/>
          <w:tab w:pos="9522" w:val="right" w:leader="dot"/>
        </w:tabs>
        <w:spacing w:line="240" w:lineRule="auto" w:before="84" w:after="0"/>
        <w:ind w:left="843" w:right="0" w:hanging="452"/>
        <w:jc w:val="left"/>
        <w:rPr>
          <w:sz w:val="18"/>
        </w:rPr>
      </w:pPr>
      <w:r>
        <w:rPr>
          <w:spacing w:val="5"/>
          <w:sz w:val="18"/>
        </w:rPr>
        <w:t>您有</w:t>
      </w:r>
      <w:r>
        <w:rPr>
          <w:spacing w:val="5"/>
          <w:sz w:val="18"/>
        </w:rPr>
        <w:t>如</w:t>
      </w:r>
      <w:r>
        <w:rPr>
          <w:spacing w:val="5"/>
          <w:sz w:val="18"/>
        </w:rPr>
        <w:t>实告</w:t>
      </w:r>
      <w:r>
        <w:rPr>
          <w:spacing w:val="5"/>
          <w:sz w:val="18"/>
        </w:rPr>
        <w:t>知</w:t>
      </w:r>
      <w:r>
        <w:rPr>
          <w:spacing w:val="5"/>
          <w:sz w:val="18"/>
        </w:rPr>
        <w:t>的义</w:t>
      </w:r>
      <w:r>
        <w:rPr>
          <w:sz w:val="18"/>
        </w:rPr>
        <w:t>务</w:t>
        <w:tab/>
      </w:r>
      <w:r>
        <w:rPr>
          <w:spacing w:val="5"/>
          <w:sz w:val="18"/>
        </w:rPr>
        <w:t>8.1</w:t>
      </w:r>
    </w:p>
    <w:p>
      <w:pPr>
        <w:pStyle w:val="ListParagraph"/>
        <w:numPr>
          <w:ilvl w:val="0"/>
          <w:numId w:val="1"/>
        </w:numPr>
        <w:tabs>
          <w:tab w:pos="843" w:val="left" w:leader="none"/>
          <w:tab w:pos="844" w:val="left" w:leader="none"/>
          <w:tab w:pos="9515" w:val="right" w:leader="dot"/>
        </w:tabs>
        <w:spacing w:line="226" w:lineRule="exact" w:before="84" w:after="0"/>
        <w:ind w:left="843" w:right="0" w:hanging="452"/>
        <w:jc w:val="left"/>
        <w:rPr>
          <w:sz w:val="18"/>
        </w:rPr>
      </w:pPr>
      <w:r>
        <w:rPr>
          <w:spacing w:val="5"/>
          <w:sz w:val="18"/>
        </w:rPr>
        <w:t>我们</w:t>
      </w:r>
      <w:r>
        <w:rPr>
          <w:spacing w:val="5"/>
          <w:sz w:val="18"/>
        </w:rPr>
        <w:t>对</w:t>
      </w:r>
      <w:r>
        <w:rPr>
          <w:spacing w:val="5"/>
          <w:sz w:val="18"/>
        </w:rPr>
        <w:t>一些</w:t>
      </w:r>
      <w:r>
        <w:rPr>
          <w:spacing w:val="5"/>
          <w:sz w:val="18"/>
        </w:rPr>
        <w:t>重</w:t>
      </w:r>
      <w:r>
        <w:rPr>
          <w:spacing w:val="5"/>
          <w:sz w:val="18"/>
        </w:rPr>
        <w:t>要术</w:t>
      </w:r>
      <w:r>
        <w:rPr>
          <w:spacing w:val="5"/>
          <w:sz w:val="18"/>
        </w:rPr>
        <w:t>语</w:t>
      </w:r>
      <w:r>
        <w:rPr>
          <w:spacing w:val="5"/>
          <w:sz w:val="18"/>
        </w:rPr>
        <w:t>进行</w:t>
      </w:r>
      <w:r>
        <w:rPr>
          <w:spacing w:val="5"/>
          <w:sz w:val="18"/>
        </w:rPr>
        <w:t>了</w:t>
      </w:r>
      <w:r>
        <w:rPr>
          <w:spacing w:val="5"/>
          <w:sz w:val="18"/>
        </w:rPr>
        <w:t>解释</w:t>
      </w:r>
      <w:r>
        <w:rPr>
          <w:spacing w:val="5"/>
          <w:sz w:val="18"/>
        </w:rPr>
        <w:t>，</w:t>
      </w:r>
      <w:r>
        <w:rPr>
          <w:spacing w:val="5"/>
          <w:sz w:val="18"/>
        </w:rPr>
        <w:t>并作</w:t>
      </w:r>
      <w:r>
        <w:rPr>
          <w:spacing w:val="5"/>
          <w:sz w:val="18"/>
        </w:rPr>
        <w:t>了</w:t>
      </w:r>
      <w:r>
        <w:rPr>
          <w:spacing w:val="5"/>
          <w:sz w:val="18"/>
        </w:rPr>
        <w:t>显著</w:t>
      </w:r>
      <w:r>
        <w:rPr>
          <w:spacing w:val="5"/>
          <w:sz w:val="18"/>
        </w:rPr>
        <w:t>标</w:t>
      </w:r>
      <w:r>
        <w:rPr>
          <w:spacing w:val="5"/>
          <w:sz w:val="18"/>
        </w:rPr>
        <w:t>识，</w:t>
      </w:r>
      <w:r>
        <w:rPr>
          <w:spacing w:val="5"/>
          <w:sz w:val="18"/>
        </w:rPr>
        <w:t>请</w:t>
      </w:r>
      <w:r>
        <w:rPr>
          <w:spacing w:val="5"/>
          <w:sz w:val="18"/>
        </w:rPr>
        <w:t>您注意</w:t>
        <w:tab/>
      </w:r>
      <w:r>
        <w:rPr>
          <w:spacing w:val="2"/>
          <w:sz w:val="18"/>
        </w:rPr>
        <w:t>11</w:t>
      </w:r>
    </w:p>
    <w:p>
      <w:pPr>
        <w:pStyle w:val="Heading2"/>
        <w:tabs>
          <w:tab w:pos="873" w:val="left" w:leader="none"/>
        </w:tabs>
        <w:spacing w:line="437" w:lineRule="exact" w:before="0"/>
        <w:ind w:left="106"/>
      </w:pPr>
      <w:r>
        <w:rPr>
          <w:rFonts w:ascii="Arial" w:hAnsi="Arial" w:eastAsia="Arial"/>
          <w:b w:val="0"/>
          <w:w w:val="150"/>
          <w:position w:val="-11"/>
          <w:sz w:val="48"/>
        </w:rPr>
        <w:t>¤</w:t>
        <w:tab/>
      </w:r>
      <w:r>
        <w:rPr>
          <w:w w:val="95"/>
        </w:rPr>
        <w:t>保险条款是保险合同的重要内容，为充分保障您的权益，请您仔细阅读本保险条款。</w:t>
      </w:r>
    </w:p>
    <w:p>
      <w:pPr>
        <w:tabs>
          <w:tab w:pos="873" w:val="left" w:leader="none"/>
        </w:tabs>
        <w:spacing w:line="446" w:lineRule="exact" w:before="0"/>
        <w:ind w:left="106" w:right="0" w:firstLine="0"/>
        <w:jc w:val="left"/>
        <w:rPr>
          <w:rFonts w:ascii="黑体" w:hAnsi="黑体" w:eastAsia="黑体" w:hint="eastAsia"/>
          <w:b/>
          <w:sz w:val="21"/>
        </w:rPr>
      </w:pPr>
      <w:r>
        <w:rPr/>
        <w:pict>
          <v:shapetype id="_x0000_t202" o:spt="202" coordsize="21600,21600" path="m,l,21600r21600,l21600,xe">
            <v:stroke joinstyle="miter"/>
            <v:path gradientshapeok="t" o:connecttype="rect"/>
          </v:shapetype>
          <v:shape style="position:absolute;margin-left:77.839996pt;margin-top:19.637905pt;width:457.6pt;height:346.05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6"/>
                    <w:gridCol w:w="3504"/>
                    <w:gridCol w:w="913"/>
                    <w:gridCol w:w="2049"/>
                  </w:tblGrid>
                  <w:tr>
                    <w:trPr>
                      <w:trHeight w:val="258" w:hRule="atLeast"/>
                    </w:trPr>
                    <w:tc>
                      <w:tcPr>
                        <w:tcW w:w="2686" w:type="dxa"/>
                      </w:tcPr>
                      <w:p>
                        <w:pPr>
                          <w:pStyle w:val="TableParagraph"/>
                          <w:spacing w:line="197" w:lineRule="exact" w:before="0"/>
                          <w:ind w:left="50"/>
                          <w:rPr>
                            <w:rFonts w:ascii="黑体" w:eastAsia="黑体" w:hint="eastAsia"/>
                            <w:sz w:val="18"/>
                          </w:rPr>
                        </w:pPr>
                        <w:r>
                          <w:rPr>
                            <w:rFonts w:ascii="黑体" w:eastAsia="黑体" w:hint="eastAsia"/>
                            <w:sz w:val="18"/>
                            <w:shd w:fill="D3D3D3" w:color="auto" w:val="clear"/>
                          </w:rPr>
                          <w:t>1．您与我们订立的合同</w:t>
                        </w:r>
                      </w:p>
                    </w:tc>
                    <w:tc>
                      <w:tcPr>
                        <w:tcW w:w="3504" w:type="dxa"/>
                      </w:tcPr>
                      <w:p>
                        <w:pPr>
                          <w:pStyle w:val="TableParagraph"/>
                          <w:spacing w:line="180" w:lineRule="exact" w:before="0"/>
                          <w:ind w:left="656"/>
                          <w:rPr>
                            <w:rFonts w:ascii="黑体" w:eastAsia="黑体" w:hint="eastAsia"/>
                            <w:sz w:val="18"/>
                          </w:rPr>
                        </w:pPr>
                        <w:r>
                          <w:rPr>
                            <w:rFonts w:ascii="黑体" w:eastAsia="黑体" w:hint="eastAsia"/>
                            <w:sz w:val="18"/>
                          </w:rPr>
                          <w:t>5.2 效力恢复</w:t>
                        </w:r>
                      </w:p>
                    </w:tc>
                    <w:tc>
                      <w:tcPr>
                        <w:tcW w:w="2962" w:type="dxa"/>
                        <w:gridSpan w:val="2"/>
                      </w:tcPr>
                      <w:p>
                        <w:pPr>
                          <w:pStyle w:val="TableParagraph"/>
                          <w:spacing w:line="180" w:lineRule="exact" w:before="0"/>
                          <w:ind w:left="417"/>
                          <w:rPr>
                            <w:rFonts w:ascii="黑体" w:eastAsia="黑体" w:hint="eastAsia"/>
                            <w:sz w:val="18"/>
                          </w:rPr>
                        </w:pPr>
                        <w:r>
                          <w:rPr>
                            <w:rFonts w:ascii="黑体" w:eastAsia="黑体" w:hint="eastAsia"/>
                            <w:sz w:val="18"/>
                          </w:rPr>
                          <w:t>11.4 周岁</w:t>
                        </w:r>
                      </w:p>
                    </w:tc>
                  </w:tr>
                  <w:tr>
                    <w:trPr>
                      <w:trHeight w:val="320" w:hRule="atLeast"/>
                    </w:trPr>
                    <w:tc>
                      <w:tcPr>
                        <w:tcW w:w="2686" w:type="dxa"/>
                      </w:tcPr>
                      <w:p>
                        <w:pPr>
                          <w:pStyle w:val="TableParagraph"/>
                          <w:spacing w:before="25"/>
                          <w:ind w:left="50"/>
                          <w:rPr>
                            <w:rFonts w:ascii="黑体" w:eastAsia="黑体" w:hint="eastAsia"/>
                            <w:sz w:val="18"/>
                          </w:rPr>
                        </w:pPr>
                        <w:r>
                          <w:rPr>
                            <w:rFonts w:ascii="黑体" w:eastAsia="黑体" w:hint="eastAsia"/>
                            <w:sz w:val="18"/>
                          </w:rPr>
                          <w:t>1.1 合同构成</w:t>
                        </w:r>
                      </w:p>
                    </w:tc>
                    <w:tc>
                      <w:tcPr>
                        <w:tcW w:w="3504" w:type="dxa"/>
                      </w:tcPr>
                      <w:p>
                        <w:pPr>
                          <w:pStyle w:val="TableParagraph"/>
                          <w:tabs>
                            <w:tab w:pos="2996" w:val="left" w:leader="none"/>
                          </w:tabs>
                          <w:spacing w:before="6"/>
                          <w:ind w:left="566"/>
                          <w:rPr>
                            <w:rFonts w:ascii="黑体" w:eastAsia="黑体" w:hint="eastAsia"/>
                            <w:sz w:val="18"/>
                          </w:rPr>
                        </w:pPr>
                        <w:r>
                          <w:rPr>
                            <w:rFonts w:ascii="黑体" w:eastAsia="黑体" w:hint="eastAsia"/>
                            <w:sz w:val="18"/>
                            <w:shd w:fill="D9D9D9" w:color="auto" w:val="clear"/>
                          </w:rPr>
                          <w:t>6．现金价值权益</w:t>
                          <w:tab/>
                        </w:r>
                      </w:p>
                    </w:tc>
                    <w:tc>
                      <w:tcPr>
                        <w:tcW w:w="2962" w:type="dxa"/>
                        <w:gridSpan w:val="2"/>
                      </w:tcPr>
                      <w:p>
                        <w:pPr>
                          <w:pStyle w:val="TableParagraph"/>
                          <w:spacing w:before="6"/>
                          <w:ind w:left="417"/>
                          <w:rPr>
                            <w:rFonts w:ascii="黑体" w:eastAsia="黑体" w:hint="eastAsia"/>
                            <w:sz w:val="18"/>
                          </w:rPr>
                        </w:pPr>
                        <w:r>
                          <w:rPr>
                            <w:rFonts w:ascii="黑体" w:eastAsia="黑体" w:hint="eastAsia"/>
                            <w:sz w:val="18"/>
                          </w:rPr>
                          <w:t>11.5 有效身份证件</w:t>
                        </w:r>
                      </w:p>
                    </w:tc>
                  </w:tr>
                  <w:tr>
                    <w:trPr>
                      <w:trHeight w:val="320" w:hRule="atLeast"/>
                    </w:trPr>
                    <w:tc>
                      <w:tcPr>
                        <w:tcW w:w="2686" w:type="dxa"/>
                      </w:tcPr>
                      <w:p>
                        <w:pPr>
                          <w:pStyle w:val="TableParagraph"/>
                          <w:spacing w:before="25"/>
                          <w:ind w:left="50"/>
                          <w:rPr>
                            <w:rFonts w:ascii="黑体" w:eastAsia="黑体" w:hint="eastAsia"/>
                            <w:sz w:val="18"/>
                          </w:rPr>
                        </w:pPr>
                        <w:r>
                          <w:rPr>
                            <w:rFonts w:ascii="黑体" w:eastAsia="黑体" w:hint="eastAsia"/>
                            <w:sz w:val="18"/>
                          </w:rPr>
                          <w:t>1.2 合同成立与Th效</w:t>
                        </w:r>
                      </w:p>
                    </w:tc>
                    <w:tc>
                      <w:tcPr>
                        <w:tcW w:w="3504" w:type="dxa"/>
                      </w:tcPr>
                      <w:p>
                        <w:pPr>
                          <w:pStyle w:val="TableParagraph"/>
                          <w:ind w:left="566"/>
                          <w:rPr>
                            <w:rFonts w:ascii="黑体" w:eastAsia="黑体" w:hint="eastAsia"/>
                            <w:sz w:val="18"/>
                          </w:rPr>
                        </w:pPr>
                        <w:r>
                          <w:rPr>
                            <w:rFonts w:ascii="黑体" w:eastAsia="黑体" w:hint="eastAsia"/>
                            <w:sz w:val="18"/>
                          </w:rPr>
                          <w:t>6.1 现金价值</w:t>
                        </w:r>
                      </w:p>
                    </w:tc>
                    <w:tc>
                      <w:tcPr>
                        <w:tcW w:w="2962" w:type="dxa"/>
                        <w:gridSpan w:val="2"/>
                      </w:tcPr>
                      <w:p>
                        <w:pPr>
                          <w:pStyle w:val="TableParagraph"/>
                          <w:ind w:left="417"/>
                          <w:rPr>
                            <w:rFonts w:ascii="黑体" w:eastAsia="黑体" w:hint="eastAsia"/>
                            <w:sz w:val="18"/>
                          </w:rPr>
                        </w:pPr>
                        <w:r>
                          <w:rPr>
                            <w:rFonts w:ascii="黑体" w:eastAsia="黑体" w:hint="eastAsia"/>
                            <w:sz w:val="18"/>
                          </w:rPr>
                          <w:t>11.6 意外伤害</w:t>
                        </w:r>
                      </w:p>
                    </w:tc>
                  </w:tr>
                  <w:tr>
                    <w:trPr>
                      <w:trHeight w:val="320" w:hRule="atLeast"/>
                    </w:trPr>
                    <w:tc>
                      <w:tcPr>
                        <w:tcW w:w="2686" w:type="dxa"/>
                      </w:tcPr>
                      <w:p>
                        <w:pPr>
                          <w:pStyle w:val="TableParagraph"/>
                          <w:spacing w:before="25"/>
                          <w:ind w:left="50"/>
                          <w:rPr>
                            <w:rFonts w:ascii="黑体" w:eastAsia="黑体" w:hint="eastAsia"/>
                            <w:sz w:val="18"/>
                          </w:rPr>
                        </w:pPr>
                        <w:r>
                          <w:rPr>
                            <w:rFonts w:ascii="黑体" w:eastAsia="黑体" w:hint="eastAsia"/>
                            <w:sz w:val="18"/>
                          </w:rPr>
                          <w:t>1.3 投保年龄</w:t>
                        </w:r>
                      </w:p>
                    </w:tc>
                    <w:tc>
                      <w:tcPr>
                        <w:tcW w:w="3504" w:type="dxa"/>
                      </w:tcPr>
                      <w:p>
                        <w:pPr>
                          <w:pStyle w:val="TableParagraph"/>
                          <w:ind w:left="566"/>
                          <w:rPr>
                            <w:rFonts w:ascii="黑体" w:eastAsia="黑体" w:hint="eastAsia"/>
                            <w:sz w:val="18"/>
                          </w:rPr>
                        </w:pPr>
                        <w:r>
                          <w:rPr>
                            <w:rFonts w:ascii="黑体" w:eastAsia="黑体" w:hint="eastAsia"/>
                            <w:sz w:val="18"/>
                          </w:rPr>
                          <w:t>6.2 保单贷款</w:t>
                        </w:r>
                      </w:p>
                    </w:tc>
                    <w:tc>
                      <w:tcPr>
                        <w:tcW w:w="2962" w:type="dxa"/>
                        <w:gridSpan w:val="2"/>
                      </w:tcPr>
                      <w:p>
                        <w:pPr>
                          <w:pStyle w:val="TableParagraph"/>
                          <w:ind w:left="417"/>
                          <w:rPr>
                            <w:rFonts w:ascii="黑体" w:eastAsia="黑体" w:hint="eastAsia"/>
                            <w:sz w:val="18"/>
                          </w:rPr>
                        </w:pPr>
                        <w:r>
                          <w:rPr>
                            <w:rFonts w:ascii="黑体" w:eastAsia="黑体" w:hint="eastAsia"/>
                            <w:sz w:val="18"/>
                          </w:rPr>
                          <w:t>11.7 毒品</w:t>
                        </w:r>
                      </w:p>
                    </w:tc>
                  </w:tr>
                  <w:tr>
                    <w:trPr>
                      <w:trHeight w:val="319" w:hRule="atLeast"/>
                    </w:trPr>
                    <w:tc>
                      <w:tcPr>
                        <w:tcW w:w="2686" w:type="dxa"/>
                      </w:tcPr>
                      <w:p>
                        <w:pPr>
                          <w:pStyle w:val="TableParagraph"/>
                          <w:spacing w:before="23"/>
                          <w:ind w:left="50"/>
                          <w:rPr>
                            <w:rFonts w:ascii="黑体" w:eastAsia="黑体" w:hint="eastAsia"/>
                            <w:sz w:val="18"/>
                          </w:rPr>
                        </w:pPr>
                        <w:r>
                          <w:rPr>
                            <w:rFonts w:ascii="黑体" w:eastAsia="黑体" w:hint="eastAsia"/>
                            <w:sz w:val="18"/>
                          </w:rPr>
                          <w:t>1.4 犹豫期</w:t>
                        </w:r>
                      </w:p>
                    </w:tc>
                    <w:tc>
                      <w:tcPr>
                        <w:tcW w:w="3504" w:type="dxa"/>
                      </w:tcPr>
                      <w:p>
                        <w:pPr>
                          <w:pStyle w:val="TableParagraph"/>
                          <w:tabs>
                            <w:tab w:pos="2996" w:val="left" w:leader="none"/>
                          </w:tabs>
                          <w:ind w:left="566"/>
                          <w:rPr>
                            <w:rFonts w:ascii="黑体" w:eastAsia="黑体" w:hint="eastAsia"/>
                            <w:sz w:val="18"/>
                          </w:rPr>
                        </w:pPr>
                        <w:r>
                          <w:rPr>
                            <w:rFonts w:ascii="黑体" w:eastAsia="黑体" w:hint="eastAsia"/>
                            <w:sz w:val="18"/>
                            <w:shd w:fill="D3D3D3" w:color="auto" w:val="clear"/>
                          </w:rPr>
                          <w:t>7．合同解除</w:t>
                          <w:tab/>
                        </w:r>
                      </w:p>
                    </w:tc>
                    <w:tc>
                      <w:tcPr>
                        <w:tcW w:w="2962" w:type="dxa"/>
                        <w:gridSpan w:val="2"/>
                      </w:tcPr>
                      <w:p>
                        <w:pPr>
                          <w:pStyle w:val="TableParagraph"/>
                          <w:ind w:left="417"/>
                          <w:rPr>
                            <w:rFonts w:ascii="黑体" w:eastAsia="黑体" w:hint="eastAsia"/>
                            <w:sz w:val="18"/>
                          </w:rPr>
                        </w:pPr>
                        <w:r>
                          <w:rPr>
                            <w:rFonts w:ascii="黑体" w:eastAsia="黑体" w:hint="eastAsia"/>
                            <w:sz w:val="18"/>
                          </w:rPr>
                          <w:t>11.8 酒后驾驶</w:t>
                        </w:r>
                      </w:p>
                    </w:tc>
                  </w:tr>
                  <w:tr>
                    <w:trPr>
                      <w:trHeight w:val="320" w:hRule="atLeast"/>
                    </w:trPr>
                    <w:tc>
                      <w:tcPr>
                        <w:tcW w:w="2686" w:type="dxa"/>
                      </w:tcPr>
                      <w:p>
                        <w:pPr>
                          <w:pStyle w:val="TableParagraph"/>
                          <w:tabs>
                            <w:tab w:pos="2119" w:val="left" w:leader="none"/>
                          </w:tabs>
                          <w:spacing w:before="25"/>
                          <w:ind w:left="50"/>
                          <w:rPr>
                            <w:rFonts w:ascii="黑体" w:eastAsia="黑体" w:hint="eastAsia"/>
                            <w:sz w:val="18"/>
                          </w:rPr>
                        </w:pPr>
                        <w:r>
                          <w:rPr>
                            <w:rFonts w:ascii="黑体" w:eastAsia="黑体" w:hint="eastAsia"/>
                            <w:sz w:val="18"/>
                            <w:shd w:fill="D3D3D3" w:color="auto" w:val="clear"/>
                          </w:rPr>
                          <w:t>2．我们提供的保障</w:t>
                          <w:tab/>
                        </w:r>
                      </w:p>
                    </w:tc>
                    <w:tc>
                      <w:tcPr>
                        <w:tcW w:w="3504" w:type="dxa"/>
                      </w:tcPr>
                      <w:p>
                        <w:pPr>
                          <w:pStyle w:val="TableParagraph"/>
                          <w:ind w:left="566"/>
                          <w:rPr>
                            <w:rFonts w:ascii="黑体" w:eastAsia="黑体" w:hint="eastAsia"/>
                            <w:sz w:val="18"/>
                          </w:rPr>
                        </w:pPr>
                        <w:r>
                          <w:rPr>
                            <w:rFonts w:ascii="黑体" w:eastAsia="黑体" w:hint="eastAsia"/>
                            <w:sz w:val="18"/>
                          </w:rPr>
                          <w:t>7.1 您解除合同的手续及风险</w:t>
                        </w:r>
                      </w:p>
                    </w:tc>
                    <w:tc>
                      <w:tcPr>
                        <w:tcW w:w="2962" w:type="dxa"/>
                        <w:gridSpan w:val="2"/>
                      </w:tcPr>
                      <w:p>
                        <w:pPr>
                          <w:pStyle w:val="TableParagraph"/>
                          <w:ind w:left="417"/>
                          <w:rPr>
                            <w:rFonts w:ascii="黑体" w:eastAsia="黑体" w:hint="eastAsia"/>
                            <w:sz w:val="18"/>
                          </w:rPr>
                        </w:pPr>
                        <w:r>
                          <w:rPr>
                            <w:rFonts w:ascii="黑体" w:eastAsia="黑体" w:hint="eastAsia"/>
                            <w:sz w:val="18"/>
                          </w:rPr>
                          <w:t>11.9 无合法有效驾驶证驾驶</w:t>
                        </w:r>
                      </w:p>
                    </w:tc>
                  </w:tr>
                  <w:tr>
                    <w:trPr>
                      <w:trHeight w:val="320" w:hRule="atLeast"/>
                    </w:trPr>
                    <w:tc>
                      <w:tcPr>
                        <w:tcW w:w="2686" w:type="dxa"/>
                      </w:tcPr>
                      <w:p>
                        <w:pPr>
                          <w:pStyle w:val="TableParagraph"/>
                          <w:spacing w:before="25"/>
                          <w:ind w:left="50"/>
                          <w:rPr>
                            <w:rFonts w:ascii="黑体" w:eastAsia="黑体" w:hint="eastAsia"/>
                            <w:sz w:val="18"/>
                          </w:rPr>
                        </w:pPr>
                        <w:r>
                          <w:rPr>
                            <w:rFonts w:ascii="黑体" w:eastAsia="黑体" w:hint="eastAsia"/>
                            <w:sz w:val="18"/>
                          </w:rPr>
                          <w:t>2.1 基本保险金额</w:t>
                        </w:r>
                      </w:p>
                    </w:tc>
                    <w:tc>
                      <w:tcPr>
                        <w:tcW w:w="3504" w:type="dxa"/>
                      </w:tcPr>
                      <w:p>
                        <w:pPr>
                          <w:pStyle w:val="TableParagraph"/>
                          <w:ind w:left="566"/>
                          <w:rPr>
                            <w:rFonts w:ascii="黑体" w:eastAsia="黑体" w:hint="eastAsia"/>
                            <w:sz w:val="18"/>
                          </w:rPr>
                        </w:pPr>
                        <w:r>
                          <w:rPr>
                            <w:rFonts w:ascii="黑体" w:eastAsia="黑体" w:hint="eastAsia"/>
                            <w:sz w:val="18"/>
                            <w:shd w:fill="D3D3D3" w:color="auto" w:val="clear"/>
                          </w:rPr>
                          <w:t>8．说明、告知与解除权限制</w:t>
                        </w:r>
                      </w:p>
                    </w:tc>
                    <w:tc>
                      <w:tcPr>
                        <w:tcW w:w="913" w:type="dxa"/>
                      </w:tcPr>
                      <w:p>
                        <w:pPr>
                          <w:pStyle w:val="TableParagraph"/>
                          <w:ind w:left="0" w:right="44"/>
                          <w:jc w:val="right"/>
                          <w:rPr>
                            <w:rFonts w:ascii="黑体"/>
                            <w:sz w:val="18"/>
                          </w:rPr>
                        </w:pPr>
                        <w:r>
                          <w:rPr>
                            <w:rFonts w:ascii="黑体"/>
                            <w:sz w:val="18"/>
                          </w:rPr>
                          <w:t>11.10</w:t>
                        </w:r>
                      </w:p>
                    </w:tc>
                    <w:tc>
                      <w:tcPr>
                        <w:tcW w:w="2049" w:type="dxa"/>
                      </w:tcPr>
                      <w:p>
                        <w:pPr>
                          <w:pStyle w:val="TableParagraph"/>
                          <w:ind w:left="45"/>
                          <w:rPr>
                            <w:rFonts w:ascii="黑体" w:eastAsia="黑体" w:hint="eastAsia"/>
                            <w:sz w:val="18"/>
                          </w:rPr>
                        </w:pPr>
                        <w:r>
                          <w:rPr>
                            <w:rFonts w:ascii="黑体" w:eastAsia="黑体" w:hint="eastAsia"/>
                            <w:sz w:val="18"/>
                          </w:rPr>
                          <w:t>无有效行驶证</w:t>
                        </w:r>
                      </w:p>
                    </w:tc>
                  </w:tr>
                  <w:tr>
                    <w:trPr>
                      <w:trHeight w:val="319" w:hRule="atLeast"/>
                    </w:trPr>
                    <w:tc>
                      <w:tcPr>
                        <w:tcW w:w="2686" w:type="dxa"/>
                      </w:tcPr>
                      <w:p>
                        <w:pPr>
                          <w:pStyle w:val="TableParagraph"/>
                          <w:spacing w:before="23"/>
                          <w:ind w:left="50"/>
                          <w:rPr>
                            <w:rFonts w:ascii="黑体" w:eastAsia="黑体" w:hint="eastAsia"/>
                            <w:sz w:val="18"/>
                          </w:rPr>
                        </w:pPr>
                        <w:r>
                          <w:rPr>
                            <w:rFonts w:ascii="黑体" w:eastAsia="黑体" w:hint="eastAsia"/>
                            <w:sz w:val="18"/>
                          </w:rPr>
                          <w:t>2.2 保险期间</w:t>
                        </w:r>
                      </w:p>
                    </w:tc>
                    <w:tc>
                      <w:tcPr>
                        <w:tcW w:w="3504" w:type="dxa"/>
                      </w:tcPr>
                      <w:p>
                        <w:pPr>
                          <w:pStyle w:val="TableParagraph"/>
                          <w:ind w:left="566"/>
                          <w:rPr>
                            <w:rFonts w:ascii="黑体" w:eastAsia="黑体" w:hint="eastAsia"/>
                            <w:sz w:val="18"/>
                          </w:rPr>
                        </w:pPr>
                        <w:r>
                          <w:rPr>
                            <w:rFonts w:ascii="黑体" w:eastAsia="黑体" w:hint="eastAsia"/>
                            <w:sz w:val="18"/>
                          </w:rPr>
                          <w:t>8.1 明确说明与如实告知</w:t>
                        </w:r>
                      </w:p>
                    </w:tc>
                    <w:tc>
                      <w:tcPr>
                        <w:tcW w:w="913" w:type="dxa"/>
                      </w:tcPr>
                      <w:p>
                        <w:pPr>
                          <w:pStyle w:val="TableParagraph"/>
                          <w:ind w:left="0" w:right="44"/>
                          <w:jc w:val="right"/>
                          <w:rPr>
                            <w:rFonts w:ascii="黑体"/>
                            <w:sz w:val="18"/>
                          </w:rPr>
                        </w:pPr>
                        <w:r>
                          <w:rPr>
                            <w:rFonts w:ascii="黑体"/>
                            <w:sz w:val="18"/>
                          </w:rPr>
                          <w:t>11.11</w:t>
                        </w:r>
                      </w:p>
                    </w:tc>
                    <w:tc>
                      <w:tcPr>
                        <w:tcW w:w="2049" w:type="dxa"/>
                      </w:tcPr>
                      <w:p>
                        <w:pPr>
                          <w:pStyle w:val="TableParagraph"/>
                          <w:ind w:left="45"/>
                          <w:rPr>
                            <w:rFonts w:ascii="黑体" w:eastAsia="黑体" w:hint="eastAsia"/>
                            <w:sz w:val="18"/>
                          </w:rPr>
                        </w:pPr>
                        <w:r>
                          <w:rPr>
                            <w:rFonts w:ascii="黑体" w:eastAsia="黑体" w:hint="eastAsia"/>
                            <w:sz w:val="18"/>
                          </w:rPr>
                          <w:t>机动车</w:t>
                        </w:r>
                      </w:p>
                    </w:tc>
                  </w:tr>
                  <w:tr>
                    <w:trPr>
                      <w:trHeight w:val="320" w:hRule="atLeast"/>
                    </w:trPr>
                    <w:tc>
                      <w:tcPr>
                        <w:tcW w:w="2686" w:type="dxa"/>
                      </w:tcPr>
                      <w:p>
                        <w:pPr>
                          <w:pStyle w:val="TableParagraph"/>
                          <w:spacing w:before="25"/>
                          <w:ind w:left="50"/>
                          <w:rPr>
                            <w:rFonts w:ascii="黑体" w:eastAsia="黑体" w:hint="eastAsia"/>
                            <w:sz w:val="18"/>
                          </w:rPr>
                        </w:pPr>
                        <w:r>
                          <w:rPr>
                            <w:rFonts w:ascii="黑体" w:eastAsia="黑体" w:hint="eastAsia"/>
                            <w:sz w:val="18"/>
                          </w:rPr>
                          <w:t>2.3 保险责任</w:t>
                        </w:r>
                      </w:p>
                    </w:tc>
                    <w:tc>
                      <w:tcPr>
                        <w:tcW w:w="3504" w:type="dxa"/>
                      </w:tcPr>
                      <w:p>
                        <w:pPr>
                          <w:pStyle w:val="TableParagraph"/>
                          <w:ind w:left="566"/>
                          <w:rPr>
                            <w:rFonts w:ascii="黑体" w:eastAsia="黑体" w:hint="eastAsia"/>
                            <w:sz w:val="18"/>
                          </w:rPr>
                        </w:pPr>
                        <w:r>
                          <w:rPr>
                            <w:rFonts w:ascii="黑体" w:eastAsia="黑体" w:hint="eastAsia"/>
                            <w:sz w:val="18"/>
                          </w:rPr>
                          <w:t>8.2 我们合同解除权的限制</w:t>
                        </w:r>
                      </w:p>
                    </w:tc>
                    <w:tc>
                      <w:tcPr>
                        <w:tcW w:w="913" w:type="dxa"/>
                      </w:tcPr>
                      <w:p>
                        <w:pPr>
                          <w:pStyle w:val="TableParagraph"/>
                          <w:ind w:left="0" w:right="44"/>
                          <w:jc w:val="right"/>
                          <w:rPr>
                            <w:rFonts w:ascii="黑体"/>
                            <w:sz w:val="18"/>
                          </w:rPr>
                        </w:pPr>
                        <w:r>
                          <w:rPr>
                            <w:rFonts w:ascii="黑体"/>
                            <w:sz w:val="18"/>
                          </w:rPr>
                          <w:t>11.12</w:t>
                        </w:r>
                      </w:p>
                    </w:tc>
                    <w:tc>
                      <w:tcPr>
                        <w:tcW w:w="2049" w:type="dxa"/>
                      </w:tcPr>
                      <w:p>
                        <w:pPr>
                          <w:pStyle w:val="TableParagraph"/>
                          <w:ind w:left="45"/>
                          <w:rPr>
                            <w:rFonts w:ascii="黑体" w:eastAsia="黑体" w:hint="eastAsia"/>
                            <w:sz w:val="18"/>
                          </w:rPr>
                        </w:pPr>
                        <w:r>
                          <w:rPr>
                            <w:rFonts w:ascii="黑体" w:eastAsia="黑体" w:hint="eastAsia"/>
                            <w:sz w:val="18"/>
                          </w:rPr>
                          <w:t>感染艾滋病病毒或患艾</w:t>
                        </w:r>
                      </w:p>
                    </w:tc>
                  </w:tr>
                  <w:tr>
                    <w:trPr>
                      <w:trHeight w:val="320" w:hRule="atLeast"/>
                    </w:trPr>
                    <w:tc>
                      <w:tcPr>
                        <w:tcW w:w="2686" w:type="dxa"/>
                      </w:tcPr>
                      <w:p>
                        <w:pPr>
                          <w:pStyle w:val="TableParagraph"/>
                          <w:spacing w:before="25"/>
                          <w:ind w:left="50"/>
                          <w:rPr>
                            <w:rFonts w:ascii="黑体" w:eastAsia="黑体" w:hint="eastAsia"/>
                            <w:sz w:val="18"/>
                          </w:rPr>
                        </w:pPr>
                        <w:r>
                          <w:rPr>
                            <w:rFonts w:ascii="黑体" w:eastAsia="黑体" w:hint="eastAsia"/>
                            <w:sz w:val="18"/>
                          </w:rPr>
                          <w:t>2.4 责任免除</w:t>
                        </w:r>
                      </w:p>
                    </w:tc>
                    <w:tc>
                      <w:tcPr>
                        <w:tcW w:w="3504" w:type="dxa"/>
                      </w:tcPr>
                      <w:p>
                        <w:pPr>
                          <w:pStyle w:val="TableParagraph"/>
                          <w:tabs>
                            <w:tab w:pos="2996" w:val="left" w:leader="none"/>
                          </w:tabs>
                          <w:ind w:left="566"/>
                          <w:rPr>
                            <w:rFonts w:ascii="黑体" w:eastAsia="黑体" w:hint="eastAsia"/>
                            <w:sz w:val="18"/>
                          </w:rPr>
                        </w:pPr>
                        <w:r>
                          <w:rPr>
                            <w:rFonts w:ascii="黑体" w:eastAsia="黑体" w:hint="eastAsia"/>
                            <w:sz w:val="18"/>
                            <w:shd w:fill="D3D3D3" w:color="auto" w:val="clear"/>
                          </w:rPr>
                          <w:t>9. 其他需要关注的事项</w:t>
                          <w:tab/>
                        </w:r>
                      </w:p>
                    </w:tc>
                    <w:tc>
                      <w:tcPr>
                        <w:tcW w:w="913" w:type="dxa"/>
                      </w:tcPr>
                      <w:p>
                        <w:pPr>
                          <w:pStyle w:val="TableParagraph"/>
                          <w:spacing w:before="0"/>
                          <w:ind w:left="0"/>
                          <w:rPr>
                            <w:rFonts w:ascii="Times New Roman"/>
                            <w:sz w:val="18"/>
                          </w:rPr>
                        </w:pPr>
                      </w:p>
                    </w:tc>
                    <w:tc>
                      <w:tcPr>
                        <w:tcW w:w="2049" w:type="dxa"/>
                      </w:tcPr>
                      <w:p>
                        <w:pPr>
                          <w:pStyle w:val="TableParagraph"/>
                          <w:ind w:left="45"/>
                          <w:rPr>
                            <w:rFonts w:ascii="黑体" w:eastAsia="黑体" w:hint="eastAsia"/>
                            <w:sz w:val="18"/>
                          </w:rPr>
                        </w:pPr>
                        <w:r>
                          <w:rPr>
                            <w:rFonts w:ascii="黑体" w:eastAsia="黑体" w:hint="eastAsia"/>
                            <w:sz w:val="18"/>
                          </w:rPr>
                          <w:t>滋病</w:t>
                        </w:r>
                      </w:p>
                    </w:tc>
                  </w:tr>
                  <w:tr>
                    <w:trPr>
                      <w:trHeight w:val="319" w:hRule="atLeast"/>
                    </w:trPr>
                    <w:tc>
                      <w:tcPr>
                        <w:tcW w:w="2686" w:type="dxa"/>
                      </w:tcPr>
                      <w:p>
                        <w:pPr>
                          <w:pStyle w:val="TableParagraph"/>
                          <w:tabs>
                            <w:tab w:pos="2119" w:val="left" w:leader="none"/>
                          </w:tabs>
                          <w:spacing w:before="23"/>
                          <w:ind w:left="50"/>
                          <w:rPr>
                            <w:rFonts w:ascii="黑体" w:eastAsia="黑体" w:hint="eastAsia"/>
                            <w:sz w:val="18"/>
                          </w:rPr>
                        </w:pPr>
                        <w:r>
                          <w:rPr>
                            <w:rFonts w:ascii="黑体" w:eastAsia="黑体" w:hint="eastAsia"/>
                            <w:sz w:val="18"/>
                            <w:shd w:fill="D3D3D3" w:color="auto" w:val="clear"/>
                          </w:rPr>
                          <w:t>3．保险金的申请</w:t>
                          <w:tab/>
                        </w:r>
                      </w:p>
                    </w:tc>
                    <w:tc>
                      <w:tcPr>
                        <w:tcW w:w="3504" w:type="dxa"/>
                      </w:tcPr>
                      <w:p>
                        <w:pPr>
                          <w:pStyle w:val="TableParagraph"/>
                          <w:ind w:left="566"/>
                          <w:rPr>
                            <w:rFonts w:ascii="黑体" w:eastAsia="黑体" w:hint="eastAsia"/>
                            <w:sz w:val="18"/>
                          </w:rPr>
                        </w:pPr>
                        <w:r>
                          <w:rPr>
                            <w:rFonts w:ascii="黑体" w:eastAsia="黑体" w:hint="eastAsia"/>
                            <w:sz w:val="18"/>
                          </w:rPr>
                          <w:t>9.1 年龄错误</w:t>
                        </w:r>
                      </w:p>
                    </w:tc>
                    <w:tc>
                      <w:tcPr>
                        <w:tcW w:w="913" w:type="dxa"/>
                      </w:tcPr>
                      <w:p>
                        <w:pPr>
                          <w:pStyle w:val="TableParagraph"/>
                          <w:ind w:left="0" w:right="44"/>
                          <w:jc w:val="right"/>
                          <w:rPr>
                            <w:rFonts w:ascii="黑体"/>
                            <w:sz w:val="18"/>
                          </w:rPr>
                        </w:pPr>
                        <w:r>
                          <w:rPr>
                            <w:rFonts w:ascii="黑体"/>
                            <w:sz w:val="18"/>
                          </w:rPr>
                          <w:t>11.13</w:t>
                        </w:r>
                      </w:p>
                    </w:tc>
                    <w:tc>
                      <w:tcPr>
                        <w:tcW w:w="2049" w:type="dxa"/>
                      </w:tcPr>
                      <w:p>
                        <w:pPr>
                          <w:pStyle w:val="TableParagraph"/>
                          <w:ind w:left="45"/>
                          <w:rPr>
                            <w:rFonts w:ascii="黑体" w:eastAsia="黑体" w:hint="eastAsia"/>
                            <w:sz w:val="18"/>
                          </w:rPr>
                        </w:pPr>
                        <w:r>
                          <w:rPr>
                            <w:rFonts w:ascii="黑体" w:eastAsia="黑体" w:hint="eastAsia"/>
                            <w:sz w:val="18"/>
                          </w:rPr>
                          <w:t>遗传性疾病</w:t>
                        </w:r>
                      </w:p>
                    </w:tc>
                  </w:tr>
                  <w:tr>
                    <w:trPr>
                      <w:trHeight w:val="320" w:hRule="atLeast"/>
                    </w:trPr>
                    <w:tc>
                      <w:tcPr>
                        <w:tcW w:w="2686" w:type="dxa"/>
                      </w:tcPr>
                      <w:p>
                        <w:pPr>
                          <w:pStyle w:val="TableParagraph"/>
                          <w:spacing w:before="25"/>
                          <w:ind w:left="50"/>
                          <w:rPr>
                            <w:rFonts w:ascii="黑体" w:eastAsia="黑体" w:hint="eastAsia"/>
                            <w:sz w:val="18"/>
                          </w:rPr>
                        </w:pPr>
                        <w:r>
                          <w:rPr>
                            <w:rFonts w:ascii="黑体" w:eastAsia="黑体" w:hint="eastAsia"/>
                            <w:sz w:val="18"/>
                          </w:rPr>
                          <w:t>3.1 受益人</w:t>
                        </w:r>
                      </w:p>
                    </w:tc>
                    <w:tc>
                      <w:tcPr>
                        <w:tcW w:w="3504" w:type="dxa"/>
                      </w:tcPr>
                      <w:p>
                        <w:pPr>
                          <w:pStyle w:val="TableParagraph"/>
                          <w:ind w:left="566"/>
                          <w:rPr>
                            <w:rFonts w:ascii="黑体" w:eastAsia="黑体" w:hint="eastAsia"/>
                            <w:sz w:val="18"/>
                          </w:rPr>
                        </w:pPr>
                        <w:r>
                          <w:rPr>
                            <w:rFonts w:ascii="黑体" w:eastAsia="黑体" w:hint="eastAsia"/>
                            <w:sz w:val="18"/>
                          </w:rPr>
                          <w:t>9.2 未还款项</w:t>
                        </w:r>
                      </w:p>
                    </w:tc>
                    <w:tc>
                      <w:tcPr>
                        <w:tcW w:w="913" w:type="dxa"/>
                      </w:tcPr>
                      <w:p>
                        <w:pPr>
                          <w:pStyle w:val="TableParagraph"/>
                          <w:ind w:left="0" w:right="44"/>
                          <w:jc w:val="right"/>
                          <w:rPr>
                            <w:rFonts w:ascii="黑体"/>
                            <w:sz w:val="18"/>
                          </w:rPr>
                        </w:pPr>
                        <w:r>
                          <w:rPr>
                            <w:rFonts w:ascii="黑体"/>
                            <w:sz w:val="18"/>
                          </w:rPr>
                          <w:t>11.14</w:t>
                        </w:r>
                      </w:p>
                    </w:tc>
                    <w:tc>
                      <w:tcPr>
                        <w:tcW w:w="2049" w:type="dxa"/>
                      </w:tcPr>
                      <w:p>
                        <w:pPr>
                          <w:pStyle w:val="TableParagraph"/>
                          <w:ind w:left="45"/>
                          <w:rPr>
                            <w:rFonts w:ascii="黑体" w:eastAsia="黑体" w:hint="eastAsia"/>
                            <w:sz w:val="18"/>
                          </w:rPr>
                        </w:pPr>
                        <w:r>
                          <w:rPr>
                            <w:rFonts w:ascii="黑体" w:eastAsia="黑体" w:hint="eastAsia"/>
                            <w:sz w:val="18"/>
                          </w:rPr>
                          <w:t>先天性畸形、变形或染色</w:t>
                        </w:r>
                      </w:p>
                    </w:tc>
                  </w:tr>
                  <w:tr>
                    <w:trPr>
                      <w:trHeight w:val="320" w:hRule="atLeast"/>
                    </w:trPr>
                    <w:tc>
                      <w:tcPr>
                        <w:tcW w:w="2686" w:type="dxa"/>
                      </w:tcPr>
                      <w:p>
                        <w:pPr>
                          <w:pStyle w:val="TableParagraph"/>
                          <w:spacing w:before="25"/>
                          <w:ind w:left="50"/>
                          <w:rPr>
                            <w:rFonts w:ascii="黑体" w:eastAsia="黑体" w:hint="eastAsia"/>
                            <w:sz w:val="18"/>
                          </w:rPr>
                        </w:pPr>
                        <w:r>
                          <w:rPr>
                            <w:rFonts w:ascii="黑体" w:eastAsia="黑体" w:hint="eastAsia"/>
                            <w:sz w:val="18"/>
                          </w:rPr>
                          <w:t>3.2 保险事故通知</w:t>
                        </w:r>
                      </w:p>
                    </w:tc>
                    <w:tc>
                      <w:tcPr>
                        <w:tcW w:w="3504" w:type="dxa"/>
                      </w:tcPr>
                      <w:p>
                        <w:pPr>
                          <w:pStyle w:val="TableParagraph"/>
                          <w:ind w:left="566"/>
                          <w:rPr>
                            <w:rFonts w:ascii="黑体" w:eastAsia="黑体" w:hint="eastAsia"/>
                            <w:sz w:val="18"/>
                          </w:rPr>
                        </w:pPr>
                        <w:r>
                          <w:rPr>
                            <w:rFonts w:ascii="黑体" w:eastAsia="黑体" w:hint="eastAsia"/>
                            <w:sz w:val="18"/>
                          </w:rPr>
                          <w:t>9.3 合同内容变更</w:t>
                        </w:r>
                      </w:p>
                    </w:tc>
                    <w:tc>
                      <w:tcPr>
                        <w:tcW w:w="913" w:type="dxa"/>
                      </w:tcPr>
                      <w:p>
                        <w:pPr>
                          <w:pStyle w:val="TableParagraph"/>
                          <w:spacing w:before="0"/>
                          <w:ind w:left="0"/>
                          <w:rPr>
                            <w:rFonts w:ascii="Times New Roman"/>
                            <w:sz w:val="18"/>
                          </w:rPr>
                        </w:pPr>
                      </w:p>
                    </w:tc>
                    <w:tc>
                      <w:tcPr>
                        <w:tcW w:w="2049" w:type="dxa"/>
                      </w:tcPr>
                      <w:p>
                        <w:pPr>
                          <w:pStyle w:val="TableParagraph"/>
                          <w:ind w:left="45"/>
                          <w:rPr>
                            <w:rFonts w:ascii="黑体" w:eastAsia="黑体" w:hint="eastAsia"/>
                            <w:sz w:val="18"/>
                          </w:rPr>
                        </w:pPr>
                        <w:r>
                          <w:rPr>
                            <w:rFonts w:ascii="黑体" w:eastAsia="黑体" w:hint="eastAsia"/>
                            <w:sz w:val="18"/>
                          </w:rPr>
                          <w:t>体异常</w:t>
                        </w:r>
                      </w:p>
                    </w:tc>
                  </w:tr>
                  <w:tr>
                    <w:trPr>
                      <w:trHeight w:val="319" w:hRule="atLeast"/>
                    </w:trPr>
                    <w:tc>
                      <w:tcPr>
                        <w:tcW w:w="2686" w:type="dxa"/>
                      </w:tcPr>
                      <w:p>
                        <w:pPr>
                          <w:pStyle w:val="TableParagraph"/>
                          <w:spacing w:before="23"/>
                          <w:ind w:left="50"/>
                          <w:rPr>
                            <w:rFonts w:ascii="黑体" w:eastAsia="黑体" w:hint="eastAsia"/>
                            <w:sz w:val="18"/>
                          </w:rPr>
                        </w:pPr>
                        <w:r>
                          <w:rPr>
                            <w:rFonts w:ascii="黑体" w:eastAsia="黑体" w:hint="eastAsia"/>
                            <w:sz w:val="18"/>
                          </w:rPr>
                          <w:t>3.3 保险金申请</w:t>
                        </w:r>
                      </w:p>
                    </w:tc>
                    <w:tc>
                      <w:tcPr>
                        <w:tcW w:w="3504" w:type="dxa"/>
                      </w:tcPr>
                      <w:p>
                        <w:pPr>
                          <w:pStyle w:val="TableParagraph"/>
                          <w:ind w:left="566"/>
                          <w:rPr>
                            <w:rFonts w:ascii="黑体" w:eastAsia="黑体" w:hint="eastAsia"/>
                            <w:sz w:val="18"/>
                          </w:rPr>
                        </w:pPr>
                        <w:r>
                          <w:rPr>
                            <w:rFonts w:ascii="黑体" w:eastAsia="黑体" w:hint="eastAsia"/>
                            <w:sz w:val="18"/>
                          </w:rPr>
                          <w:t>9.4 联系方式变更</w:t>
                        </w:r>
                      </w:p>
                    </w:tc>
                    <w:tc>
                      <w:tcPr>
                        <w:tcW w:w="913" w:type="dxa"/>
                      </w:tcPr>
                      <w:p>
                        <w:pPr>
                          <w:pStyle w:val="TableParagraph"/>
                          <w:ind w:left="0" w:right="44"/>
                          <w:jc w:val="right"/>
                          <w:rPr>
                            <w:rFonts w:ascii="黑体"/>
                            <w:sz w:val="18"/>
                          </w:rPr>
                        </w:pPr>
                        <w:r>
                          <w:rPr>
                            <w:rFonts w:ascii="黑体"/>
                            <w:sz w:val="18"/>
                          </w:rPr>
                          <w:t>11.15</w:t>
                        </w:r>
                      </w:p>
                    </w:tc>
                    <w:tc>
                      <w:tcPr>
                        <w:tcW w:w="2049" w:type="dxa"/>
                      </w:tcPr>
                      <w:p>
                        <w:pPr>
                          <w:pStyle w:val="TableParagraph"/>
                          <w:ind w:left="45"/>
                          <w:rPr>
                            <w:rFonts w:ascii="黑体" w:eastAsia="黑体" w:hint="eastAsia"/>
                            <w:sz w:val="18"/>
                          </w:rPr>
                        </w:pPr>
                        <w:r>
                          <w:rPr>
                            <w:rFonts w:ascii="黑体" w:eastAsia="黑体" w:hint="eastAsia"/>
                            <w:sz w:val="18"/>
                          </w:rPr>
                          <w:t>情形复杂</w:t>
                        </w:r>
                      </w:p>
                    </w:tc>
                  </w:tr>
                  <w:tr>
                    <w:trPr>
                      <w:trHeight w:val="320" w:hRule="atLeast"/>
                    </w:trPr>
                    <w:tc>
                      <w:tcPr>
                        <w:tcW w:w="2686" w:type="dxa"/>
                      </w:tcPr>
                      <w:p>
                        <w:pPr>
                          <w:pStyle w:val="TableParagraph"/>
                          <w:spacing w:before="25"/>
                          <w:ind w:left="50"/>
                          <w:rPr>
                            <w:rFonts w:ascii="黑体" w:eastAsia="黑体" w:hint="eastAsia"/>
                            <w:sz w:val="18"/>
                          </w:rPr>
                        </w:pPr>
                        <w:r>
                          <w:rPr>
                            <w:rFonts w:ascii="黑体" w:eastAsia="黑体" w:hint="eastAsia"/>
                            <w:sz w:val="18"/>
                          </w:rPr>
                          <w:t>3.4 保险金给付</w:t>
                        </w:r>
                      </w:p>
                    </w:tc>
                    <w:tc>
                      <w:tcPr>
                        <w:tcW w:w="3504" w:type="dxa"/>
                      </w:tcPr>
                      <w:p>
                        <w:pPr>
                          <w:pStyle w:val="TableParagraph"/>
                          <w:ind w:left="566"/>
                          <w:rPr>
                            <w:rFonts w:ascii="黑体" w:eastAsia="黑体" w:hint="eastAsia"/>
                            <w:sz w:val="18"/>
                          </w:rPr>
                        </w:pPr>
                        <w:r>
                          <w:rPr>
                            <w:rFonts w:ascii="黑体" w:eastAsia="黑体" w:hint="eastAsia"/>
                            <w:sz w:val="18"/>
                          </w:rPr>
                          <w:t>9.5 争议处理</w:t>
                        </w:r>
                      </w:p>
                    </w:tc>
                    <w:tc>
                      <w:tcPr>
                        <w:tcW w:w="913" w:type="dxa"/>
                      </w:tcPr>
                      <w:p>
                        <w:pPr>
                          <w:pStyle w:val="TableParagraph"/>
                          <w:ind w:left="0" w:right="44"/>
                          <w:jc w:val="right"/>
                          <w:rPr>
                            <w:rFonts w:ascii="黑体"/>
                            <w:sz w:val="18"/>
                          </w:rPr>
                        </w:pPr>
                        <w:r>
                          <w:rPr>
                            <w:rFonts w:ascii="黑体"/>
                            <w:sz w:val="18"/>
                          </w:rPr>
                          <w:t>11.16</w:t>
                        </w:r>
                      </w:p>
                    </w:tc>
                    <w:tc>
                      <w:tcPr>
                        <w:tcW w:w="2049" w:type="dxa"/>
                      </w:tcPr>
                      <w:p>
                        <w:pPr>
                          <w:pStyle w:val="TableParagraph"/>
                          <w:ind w:left="45"/>
                          <w:rPr>
                            <w:rFonts w:ascii="黑体" w:eastAsia="黑体" w:hint="eastAsia"/>
                            <w:sz w:val="18"/>
                          </w:rPr>
                        </w:pPr>
                        <w:r>
                          <w:rPr>
                            <w:rFonts w:ascii="黑体" w:eastAsia="黑体" w:hint="eastAsia"/>
                            <w:sz w:val="18"/>
                          </w:rPr>
                          <w:t>专科医Th</w:t>
                        </w:r>
                      </w:p>
                    </w:tc>
                  </w:tr>
                  <w:tr>
                    <w:trPr>
                      <w:trHeight w:val="320" w:hRule="atLeast"/>
                    </w:trPr>
                    <w:tc>
                      <w:tcPr>
                        <w:tcW w:w="2686" w:type="dxa"/>
                      </w:tcPr>
                      <w:p>
                        <w:pPr>
                          <w:pStyle w:val="TableParagraph"/>
                          <w:spacing w:before="25"/>
                          <w:ind w:left="50"/>
                          <w:rPr>
                            <w:rFonts w:ascii="黑体" w:eastAsia="黑体" w:hint="eastAsia"/>
                            <w:sz w:val="18"/>
                          </w:rPr>
                        </w:pPr>
                        <w:r>
                          <w:rPr>
                            <w:rFonts w:ascii="黑体" w:eastAsia="黑体" w:hint="eastAsia"/>
                            <w:sz w:val="18"/>
                          </w:rPr>
                          <w:t>3.5 宣告死亡处理</w:t>
                        </w:r>
                      </w:p>
                    </w:tc>
                    <w:tc>
                      <w:tcPr>
                        <w:tcW w:w="3504" w:type="dxa"/>
                      </w:tcPr>
                      <w:p>
                        <w:pPr>
                          <w:pStyle w:val="TableParagraph"/>
                          <w:tabs>
                            <w:tab w:pos="3086" w:val="left" w:leader="none"/>
                          </w:tabs>
                          <w:ind w:left="566"/>
                          <w:rPr>
                            <w:rFonts w:ascii="黑体" w:eastAsia="黑体" w:hint="eastAsia"/>
                            <w:sz w:val="18"/>
                          </w:rPr>
                        </w:pPr>
                        <w:r>
                          <w:rPr>
                            <w:rFonts w:ascii="黑体" w:eastAsia="黑体" w:hint="eastAsia"/>
                            <w:sz w:val="18"/>
                            <w:shd w:fill="D3D3D3" w:color="auto" w:val="clear"/>
                          </w:rPr>
                          <w:t>10. 重大疾病的定义</w:t>
                          <w:tab/>
                        </w:r>
                      </w:p>
                    </w:tc>
                    <w:tc>
                      <w:tcPr>
                        <w:tcW w:w="913" w:type="dxa"/>
                      </w:tcPr>
                      <w:p>
                        <w:pPr>
                          <w:pStyle w:val="TableParagraph"/>
                          <w:ind w:left="0" w:right="44"/>
                          <w:jc w:val="right"/>
                          <w:rPr>
                            <w:rFonts w:ascii="黑体"/>
                            <w:sz w:val="18"/>
                          </w:rPr>
                        </w:pPr>
                        <w:r>
                          <w:rPr>
                            <w:rFonts w:ascii="黑体"/>
                            <w:sz w:val="18"/>
                          </w:rPr>
                          <w:t>11.17</w:t>
                        </w:r>
                      </w:p>
                    </w:tc>
                    <w:tc>
                      <w:tcPr>
                        <w:tcW w:w="2049" w:type="dxa"/>
                      </w:tcPr>
                      <w:p>
                        <w:pPr>
                          <w:pStyle w:val="TableParagraph"/>
                          <w:ind w:left="45"/>
                          <w:rPr>
                            <w:rFonts w:ascii="黑体" w:eastAsia="黑体" w:hint="eastAsia"/>
                            <w:sz w:val="18"/>
                          </w:rPr>
                        </w:pPr>
                        <w:r>
                          <w:rPr>
                            <w:rFonts w:ascii="黑体" w:eastAsia="黑体" w:hint="eastAsia"/>
                            <w:sz w:val="18"/>
                          </w:rPr>
                          <w:t>肢体机能完全丧失</w:t>
                        </w:r>
                      </w:p>
                    </w:tc>
                  </w:tr>
                  <w:tr>
                    <w:trPr>
                      <w:trHeight w:val="319" w:hRule="atLeast"/>
                    </w:trPr>
                    <w:tc>
                      <w:tcPr>
                        <w:tcW w:w="2686" w:type="dxa"/>
                      </w:tcPr>
                      <w:p>
                        <w:pPr>
                          <w:pStyle w:val="TableParagraph"/>
                          <w:spacing w:before="23"/>
                          <w:ind w:left="50"/>
                          <w:rPr>
                            <w:rFonts w:ascii="黑体" w:eastAsia="黑体" w:hint="eastAsia"/>
                            <w:sz w:val="18"/>
                          </w:rPr>
                        </w:pPr>
                        <w:r>
                          <w:rPr>
                            <w:rFonts w:ascii="黑体" w:eastAsia="黑体" w:hint="eastAsia"/>
                            <w:sz w:val="18"/>
                          </w:rPr>
                          <w:t>3.6 诉讼时效</w:t>
                        </w:r>
                      </w:p>
                    </w:tc>
                    <w:tc>
                      <w:tcPr>
                        <w:tcW w:w="3504" w:type="dxa"/>
                      </w:tcPr>
                      <w:p>
                        <w:pPr>
                          <w:pStyle w:val="TableParagraph"/>
                          <w:ind w:left="566"/>
                          <w:rPr>
                            <w:rFonts w:ascii="黑体" w:eastAsia="黑体" w:hint="eastAsia"/>
                            <w:sz w:val="18"/>
                          </w:rPr>
                        </w:pPr>
                        <w:r>
                          <w:rPr>
                            <w:rFonts w:ascii="黑体" w:eastAsia="黑体" w:hint="eastAsia"/>
                            <w:sz w:val="18"/>
                          </w:rPr>
                          <w:t>10.1 重大疾病的定义</w:t>
                        </w:r>
                      </w:p>
                    </w:tc>
                    <w:tc>
                      <w:tcPr>
                        <w:tcW w:w="913" w:type="dxa"/>
                      </w:tcPr>
                      <w:p>
                        <w:pPr>
                          <w:pStyle w:val="TableParagraph"/>
                          <w:ind w:left="0" w:right="44"/>
                          <w:jc w:val="right"/>
                          <w:rPr>
                            <w:rFonts w:ascii="黑体"/>
                            <w:sz w:val="18"/>
                          </w:rPr>
                        </w:pPr>
                        <w:r>
                          <w:rPr>
                            <w:rFonts w:ascii="黑体"/>
                            <w:sz w:val="18"/>
                          </w:rPr>
                          <w:t>11.18</w:t>
                        </w:r>
                      </w:p>
                    </w:tc>
                    <w:tc>
                      <w:tcPr>
                        <w:tcW w:w="2049" w:type="dxa"/>
                      </w:tcPr>
                      <w:p>
                        <w:pPr>
                          <w:pStyle w:val="TableParagraph"/>
                          <w:ind w:left="45"/>
                          <w:rPr>
                            <w:rFonts w:ascii="黑体" w:eastAsia="黑体" w:hint="eastAsia"/>
                            <w:sz w:val="18"/>
                          </w:rPr>
                        </w:pPr>
                        <w:r>
                          <w:rPr>
                            <w:rFonts w:ascii="黑体" w:eastAsia="黑体" w:hint="eastAsia"/>
                            <w:sz w:val="18"/>
                          </w:rPr>
                          <w:t>语言能力或咀嚼吞咽能</w:t>
                        </w:r>
                      </w:p>
                    </w:tc>
                  </w:tr>
                  <w:tr>
                    <w:trPr>
                      <w:trHeight w:val="320" w:hRule="atLeast"/>
                    </w:trPr>
                    <w:tc>
                      <w:tcPr>
                        <w:tcW w:w="2686" w:type="dxa"/>
                      </w:tcPr>
                      <w:p>
                        <w:pPr>
                          <w:pStyle w:val="TableParagraph"/>
                          <w:tabs>
                            <w:tab w:pos="2119" w:val="left" w:leader="none"/>
                          </w:tabs>
                          <w:spacing w:before="25"/>
                          <w:ind w:left="50"/>
                          <w:rPr>
                            <w:rFonts w:ascii="黑体" w:eastAsia="黑体" w:hint="eastAsia"/>
                            <w:sz w:val="18"/>
                          </w:rPr>
                        </w:pPr>
                        <w:r>
                          <w:rPr>
                            <w:rFonts w:ascii="黑体" w:eastAsia="黑体" w:hint="eastAsia"/>
                            <w:sz w:val="18"/>
                            <w:shd w:fill="D3D3D3" w:color="auto" w:val="clear"/>
                          </w:rPr>
                          <w:t>4．保险费的支付</w:t>
                          <w:tab/>
                        </w:r>
                      </w:p>
                    </w:tc>
                    <w:tc>
                      <w:tcPr>
                        <w:tcW w:w="3504" w:type="dxa"/>
                      </w:tcPr>
                      <w:p>
                        <w:pPr>
                          <w:pStyle w:val="TableParagraph"/>
                          <w:ind w:left="566"/>
                          <w:rPr>
                            <w:rFonts w:ascii="黑体" w:eastAsia="黑体" w:hint="eastAsia"/>
                            <w:sz w:val="18"/>
                          </w:rPr>
                        </w:pPr>
                        <w:r>
                          <w:rPr>
                            <w:rFonts w:ascii="黑体" w:eastAsia="黑体" w:hint="eastAsia"/>
                            <w:sz w:val="18"/>
                          </w:rPr>
                          <w:t>10.2 定义来源及确诊医院范围</w:t>
                        </w:r>
                      </w:p>
                    </w:tc>
                    <w:tc>
                      <w:tcPr>
                        <w:tcW w:w="913" w:type="dxa"/>
                      </w:tcPr>
                      <w:p>
                        <w:pPr>
                          <w:pStyle w:val="TableParagraph"/>
                          <w:spacing w:before="0"/>
                          <w:ind w:left="0"/>
                          <w:rPr>
                            <w:rFonts w:ascii="Times New Roman"/>
                            <w:sz w:val="18"/>
                          </w:rPr>
                        </w:pPr>
                      </w:p>
                    </w:tc>
                    <w:tc>
                      <w:tcPr>
                        <w:tcW w:w="2049" w:type="dxa"/>
                      </w:tcPr>
                      <w:p>
                        <w:pPr>
                          <w:pStyle w:val="TableParagraph"/>
                          <w:ind w:left="45"/>
                          <w:rPr>
                            <w:rFonts w:ascii="黑体" w:eastAsia="黑体" w:hint="eastAsia"/>
                            <w:sz w:val="18"/>
                          </w:rPr>
                        </w:pPr>
                        <w:r>
                          <w:rPr>
                            <w:rFonts w:ascii="黑体" w:eastAsia="黑体" w:hint="eastAsia"/>
                            <w:sz w:val="18"/>
                          </w:rPr>
                          <w:t>力完全丧失</w:t>
                        </w:r>
                      </w:p>
                    </w:tc>
                  </w:tr>
                  <w:tr>
                    <w:trPr>
                      <w:trHeight w:val="320" w:hRule="atLeast"/>
                    </w:trPr>
                    <w:tc>
                      <w:tcPr>
                        <w:tcW w:w="2686" w:type="dxa"/>
                      </w:tcPr>
                      <w:p>
                        <w:pPr>
                          <w:pStyle w:val="TableParagraph"/>
                          <w:spacing w:before="25"/>
                          <w:ind w:left="50"/>
                          <w:rPr>
                            <w:rFonts w:ascii="黑体" w:eastAsia="黑体" w:hint="eastAsia"/>
                            <w:sz w:val="18"/>
                          </w:rPr>
                        </w:pPr>
                        <w:r>
                          <w:rPr>
                            <w:rFonts w:ascii="黑体" w:eastAsia="黑体" w:hint="eastAsia"/>
                            <w:sz w:val="18"/>
                          </w:rPr>
                          <w:t>4.1 保险费的支付</w:t>
                        </w:r>
                      </w:p>
                    </w:tc>
                    <w:tc>
                      <w:tcPr>
                        <w:tcW w:w="3504" w:type="dxa"/>
                      </w:tcPr>
                      <w:p>
                        <w:pPr>
                          <w:pStyle w:val="TableParagraph"/>
                          <w:tabs>
                            <w:tab w:pos="3086" w:val="left" w:leader="none"/>
                          </w:tabs>
                          <w:ind w:left="566"/>
                          <w:rPr>
                            <w:rFonts w:ascii="黑体" w:eastAsia="黑体" w:hint="eastAsia"/>
                            <w:sz w:val="18"/>
                          </w:rPr>
                        </w:pPr>
                        <w:r>
                          <w:rPr>
                            <w:rFonts w:ascii="黑体" w:eastAsia="黑体" w:hint="eastAsia"/>
                            <w:sz w:val="18"/>
                            <w:shd w:fill="D3D3D3" w:color="auto" w:val="clear"/>
                          </w:rPr>
                          <w:t>11．释义</w:t>
                          <w:tab/>
                        </w:r>
                      </w:p>
                    </w:tc>
                    <w:tc>
                      <w:tcPr>
                        <w:tcW w:w="913" w:type="dxa"/>
                      </w:tcPr>
                      <w:p>
                        <w:pPr>
                          <w:pStyle w:val="TableParagraph"/>
                          <w:ind w:left="0" w:right="44"/>
                          <w:jc w:val="right"/>
                          <w:rPr>
                            <w:rFonts w:ascii="黑体"/>
                            <w:sz w:val="18"/>
                          </w:rPr>
                        </w:pPr>
                        <w:r>
                          <w:rPr>
                            <w:rFonts w:ascii="黑体"/>
                            <w:sz w:val="18"/>
                          </w:rPr>
                          <w:t>11.19</w:t>
                        </w:r>
                      </w:p>
                    </w:tc>
                    <w:tc>
                      <w:tcPr>
                        <w:tcW w:w="2049" w:type="dxa"/>
                      </w:tcPr>
                      <w:p>
                        <w:pPr>
                          <w:pStyle w:val="TableParagraph"/>
                          <w:ind w:left="45"/>
                          <w:rPr>
                            <w:rFonts w:ascii="黑体" w:eastAsia="黑体" w:hint="eastAsia"/>
                            <w:sz w:val="18"/>
                          </w:rPr>
                        </w:pPr>
                        <w:r>
                          <w:rPr>
                            <w:rFonts w:ascii="黑体" w:eastAsia="黑体" w:hint="eastAsia"/>
                            <w:sz w:val="18"/>
                          </w:rPr>
                          <w:t>六项基本日常Th活活动</w:t>
                        </w:r>
                      </w:p>
                    </w:tc>
                  </w:tr>
                  <w:tr>
                    <w:trPr>
                      <w:trHeight w:val="319" w:hRule="atLeast"/>
                    </w:trPr>
                    <w:tc>
                      <w:tcPr>
                        <w:tcW w:w="2686" w:type="dxa"/>
                      </w:tcPr>
                      <w:p>
                        <w:pPr>
                          <w:pStyle w:val="TableParagraph"/>
                          <w:spacing w:before="23"/>
                          <w:ind w:left="50"/>
                          <w:rPr>
                            <w:rFonts w:ascii="黑体" w:eastAsia="黑体" w:hint="eastAsia"/>
                            <w:sz w:val="18"/>
                          </w:rPr>
                        </w:pPr>
                        <w:r>
                          <w:rPr>
                            <w:rFonts w:ascii="黑体" w:eastAsia="黑体" w:hint="eastAsia"/>
                            <w:sz w:val="18"/>
                          </w:rPr>
                          <w:t>4.2 宽限期</w:t>
                        </w:r>
                      </w:p>
                    </w:tc>
                    <w:tc>
                      <w:tcPr>
                        <w:tcW w:w="3504" w:type="dxa"/>
                      </w:tcPr>
                      <w:p>
                        <w:pPr>
                          <w:pStyle w:val="TableParagraph"/>
                          <w:ind w:left="566"/>
                          <w:rPr>
                            <w:rFonts w:ascii="黑体" w:eastAsia="黑体" w:hint="eastAsia"/>
                            <w:sz w:val="18"/>
                          </w:rPr>
                        </w:pPr>
                        <w:r>
                          <w:rPr>
                            <w:rFonts w:ascii="黑体" w:eastAsia="黑体" w:hint="eastAsia"/>
                            <w:sz w:val="18"/>
                          </w:rPr>
                          <w:t>11.1 保单年度</w:t>
                        </w:r>
                      </w:p>
                    </w:tc>
                    <w:tc>
                      <w:tcPr>
                        <w:tcW w:w="913" w:type="dxa"/>
                      </w:tcPr>
                      <w:p>
                        <w:pPr>
                          <w:pStyle w:val="TableParagraph"/>
                          <w:ind w:left="0" w:right="44"/>
                          <w:jc w:val="right"/>
                          <w:rPr>
                            <w:rFonts w:ascii="黑体"/>
                            <w:sz w:val="18"/>
                          </w:rPr>
                        </w:pPr>
                        <w:r>
                          <w:rPr>
                            <w:rFonts w:ascii="黑体"/>
                            <w:sz w:val="18"/>
                          </w:rPr>
                          <w:t>11.20</w:t>
                        </w:r>
                      </w:p>
                    </w:tc>
                    <w:tc>
                      <w:tcPr>
                        <w:tcW w:w="2049" w:type="dxa"/>
                      </w:tcPr>
                      <w:p>
                        <w:pPr>
                          <w:pStyle w:val="TableParagraph"/>
                          <w:ind w:left="45"/>
                          <w:rPr>
                            <w:rFonts w:ascii="黑体" w:eastAsia="黑体" w:hint="eastAsia"/>
                            <w:sz w:val="18"/>
                          </w:rPr>
                        </w:pPr>
                        <w:r>
                          <w:rPr>
                            <w:rFonts w:ascii="黑体" w:eastAsia="黑体" w:hint="eastAsia"/>
                            <w:sz w:val="18"/>
                          </w:rPr>
                          <w:t>永久不可逆</w:t>
                        </w:r>
                      </w:p>
                    </w:tc>
                  </w:tr>
                  <w:tr>
                    <w:trPr>
                      <w:trHeight w:val="320" w:hRule="atLeast"/>
                    </w:trPr>
                    <w:tc>
                      <w:tcPr>
                        <w:tcW w:w="2686" w:type="dxa"/>
                      </w:tcPr>
                      <w:p>
                        <w:pPr>
                          <w:pStyle w:val="TableParagraph"/>
                          <w:spacing w:before="25"/>
                          <w:ind w:left="50"/>
                          <w:rPr>
                            <w:rFonts w:ascii="黑体" w:eastAsia="黑体" w:hint="eastAsia"/>
                            <w:sz w:val="18"/>
                          </w:rPr>
                        </w:pPr>
                        <w:r>
                          <w:rPr>
                            <w:rFonts w:ascii="黑体" w:eastAsia="黑体" w:hint="eastAsia"/>
                            <w:sz w:val="18"/>
                            <w:shd w:fill="D3D3D3" w:color="auto" w:val="clear"/>
                          </w:rPr>
                          <w:t>5．合同效力的中止及恢复</w:t>
                        </w:r>
                      </w:p>
                    </w:tc>
                    <w:tc>
                      <w:tcPr>
                        <w:tcW w:w="3504" w:type="dxa"/>
                      </w:tcPr>
                      <w:p>
                        <w:pPr>
                          <w:pStyle w:val="TableParagraph"/>
                          <w:ind w:left="566"/>
                          <w:rPr>
                            <w:rFonts w:ascii="黑体" w:eastAsia="黑体" w:hint="eastAsia"/>
                            <w:sz w:val="18"/>
                          </w:rPr>
                        </w:pPr>
                        <w:r>
                          <w:rPr>
                            <w:rFonts w:ascii="黑体" w:eastAsia="黑体" w:hint="eastAsia"/>
                            <w:sz w:val="18"/>
                          </w:rPr>
                          <w:t>11.2 合同Th效日对应日</w:t>
                        </w:r>
                      </w:p>
                    </w:tc>
                    <w:tc>
                      <w:tcPr>
                        <w:tcW w:w="913" w:type="dxa"/>
                      </w:tcPr>
                      <w:p>
                        <w:pPr>
                          <w:pStyle w:val="TableParagraph"/>
                          <w:spacing w:before="0"/>
                          <w:ind w:left="0"/>
                          <w:rPr>
                            <w:rFonts w:ascii="Times New Roman"/>
                            <w:sz w:val="18"/>
                          </w:rPr>
                        </w:pPr>
                      </w:p>
                    </w:tc>
                    <w:tc>
                      <w:tcPr>
                        <w:tcW w:w="2049" w:type="dxa"/>
                      </w:tcPr>
                      <w:p>
                        <w:pPr>
                          <w:pStyle w:val="TableParagraph"/>
                          <w:spacing w:before="0"/>
                          <w:ind w:left="0"/>
                          <w:rPr>
                            <w:rFonts w:ascii="Times New Roman"/>
                            <w:sz w:val="18"/>
                          </w:rPr>
                        </w:pPr>
                      </w:p>
                    </w:tc>
                  </w:tr>
                  <w:tr>
                    <w:trPr>
                      <w:trHeight w:val="260" w:hRule="atLeast"/>
                    </w:trPr>
                    <w:tc>
                      <w:tcPr>
                        <w:tcW w:w="2686" w:type="dxa"/>
                      </w:tcPr>
                      <w:p>
                        <w:pPr>
                          <w:pStyle w:val="TableParagraph"/>
                          <w:spacing w:line="216" w:lineRule="exact" w:before="25"/>
                          <w:ind w:left="50"/>
                          <w:rPr>
                            <w:rFonts w:ascii="黑体" w:eastAsia="黑体" w:hint="eastAsia"/>
                            <w:sz w:val="18"/>
                          </w:rPr>
                        </w:pPr>
                        <w:r>
                          <w:rPr>
                            <w:rFonts w:ascii="黑体" w:eastAsia="黑体" w:hint="eastAsia"/>
                            <w:sz w:val="18"/>
                          </w:rPr>
                          <w:t>5.1 效力中止</w:t>
                        </w:r>
                      </w:p>
                    </w:tc>
                    <w:tc>
                      <w:tcPr>
                        <w:tcW w:w="3504" w:type="dxa"/>
                      </w:tcPr>
                      <w:p>
                        <w:pPr>
                          <w:pStyle w:val="TableParagraph"/>
                          <w:ind w:left="566"/>
                          <w:rPr>
                            <w:rFonts w:ascii="黑体" w:eastAsia="黑体" w:hint="eastAsia"/>
                            <w:sz w:val="18"/>
                          </w:rPr>
                        </w:pPr>
                        <w:r>
                          <w:rPr>
                            <w:rFonts w:ascii="黑体" w:eastAsia="黑体" w:hint="eastAsia"/>
                            <w:sz w:val="18"/>
                          </w:rPr>
                          <w:t>11.3 保险费约定支付日</w:t>
                        </w:r>
                      </w:p>
                    </w:tc>
                    <w:tc>
                      <w:tcPr>
                        <w:tcW w:w="913" w:type="dxa"/>
                      </w:tcPr>
                      <w:p>
                        <w:pPr>
                          <w:pStyle w:val="TableParagraph"/>
                          <w:spacing w:before="0"/>
                          <w:ind w:left="0"/>
                          <w:rPr>
                            <w:rFonts w:ascii="Times New Roman"/>
                            <w:sz w:val="18"/>
                          </w:rPr>
                        </w:pPr>
                      </w:p>
                    </w:tc>
                    <w:tc>
                      <w:tcPr>
                        <w:tcW w:w="2049" w:type="dxa"/>
                      </w:tcPr>
                      <w:p>
                        <w:pPr>
                          <w:pStyle w:val="TableParagraph"/>
                          <w:spacing w:before="0"/>
                          <w:ind w:left="0"/>
                          <w:rPr>
                            <w:rFonts w:ascii="Times New Roman"/>
                            <w:sz w:val="18"/>
                          </w:rPr>
                        </w:pPr>
                      </w:p>
                    </w:tc>
                  </w:tr>
                </w:tbl>
                <w:p>
                  <w:pPr>
                    <w:pStyle w:val="BodyText"/>
                    <w:spacing w:before="0"/>
                  </w:pPr>
                </w:p>
              </w:txbxContent>
            </v:textbox>
            <w10:wrap type="none"/>
          </v:shape>
        </w:pict>
      </w:r>
      <w:r>
        <w:rPr>
          <w:rFonts w:ascii="Arial" w:hAnsi="Arial" w:eastAsia="Arial"/>
          <w:w w:val="150"/>
          <w:position w:val="-11"/>
          <w:sz w:val="48"/>
        </w:rPr>
        <w:t>¤</w:t>
        <w:tab/>
      </w:r>
      <w:r>
        <w:rPr>
          <w:rFonts w:ascii="黑体" w:hAnsi="黑体" w:eastAsia="黑体" w:hint="eastAsia"/>
          <w:b/>
          <w:w w:val="95"/>
          <w:sz w:val="21"/>
        </w:rPr>
        <w:t>条款目录（不含三级目录）</w:t>
      </w:r>
    </w:p>
    <w:p>
      <w:pPr>
        <w:spacing w:after="0" w:line="446" w:lineRule="exact"/>
        <w:jc w:val="left"/>
        <w:rPr>
          <w:rFonts w:ascii="黑体" w:hAnsi="黑体" w:eastAsia="黑体" w:hint="eastAsia"/>
          <w:sz w:val="21"/>
        </w:rPr>
        <w:sectPr>
          <w:type w:val="continuous"/>
          <w:pgSz w:w="11910" w:h="16840"/>
          <w:pgMar w:top="1260" w:bottom="280" w:left="1140" w:right="1080"/>
        </w:sectPr>
      </w:pPr>
    </w:p>
    <w:p>
      <w:pPr>
        <w:spacing w:line="201" w:lineRule="auto" w:before="47"/>
        <w:ind w:left="3166" w:right="2500" w:hanging="644"/>
        <w:jc w:val="left"/>
        <w:rPr>
          <w:rFonts w:ascii="黑体" w:eastAsia="黑体" w:hint="eastAsia"/>
          <w:b/>
          <w:sz w:val="32"/>
        </w:rPr>
      </w:pPr>
      <w:r>
        <w:rPr>
          <w:rFonts w:ascii="黑体" w:eastAsia="黑体" w:hint="eastAsia"/>
          <w:b/>
          <w:sz w:val="32"/>
        </w:rPr>
        <w:t>中国太平洋人寿保险股份有限公司</w:t>
      </w:r>
      <w:r>
        <w:rPr>
          <w:rFonts w:ascii="黑体" w:eastAsia="黑体" w:hint="eastAsia"/>
          <w:b/>
          <w:w w:val="95"/>
          <w:sz w:val="32"/>
        </w:rPr>
        <w:t>守护宝重大疾病保险条款</w:t>
      </w:r>
    </w:p>
    <w:p>
      <w:pPr>
        <w:pStyle w:val="BodyText"/>
        <w:spacing w:before="4"/>
        <w:rPr>
          <w:rFonts w:ascii="黑体"/>
          <w:b/>
          <w:sz w:val="30"/>
        </w:rPr>
      </w:pPr>
    </w:p>
    <w:p>
      <w:pPr>
        <w:pStyle w:val="BodyText"/>
        <w:spacing w:line="280" w:lineRule="auto" w:before="0"/>
        <w:ind w:left="114" w:right="175" w:firstLine="420"/>
      </w:pPr>
      <w:r>
        <w:rPr>
          <w:spacing w:val="-13"/>
        </w:rPr>
        <w:t>“守护宝重大疾病保险”简称“守护宝重疾”。在本保险条款中，“您”指投保人，“我们”指中国太</w:t>
      </w:r>
      <w:r>
        <w:rPr>
          <w:spacing w:val="-20"/>
        </w:rPr>
        <w:t>平洋人寿保险股份有限公司，“本合同”指您与我们之间订立的“守护宝重大疾病保险合同”。</w:t>
      </w:r>
    </w:p>
    <w:p>
      <w:pPr>
        <w:pStyle w:val="BodyText"/>
        <w:spacing w:before="0"/>
        <w:rPr>
          <w:sz w:val="10"/>
        </w:rPr>
      </w:pPr>
      <w:r>
        <w:rPr/>
        <w:pict>
          <v:shape style="position:absolute;margin-left:57.360001pt;margin-top:7.753958pt;width:480.6pt;height:15.6pt;mso-position-horizontal-relative:page;mso-position-vertical-relative:paragraph;z-index:1048;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291" w:val="left" w:leader="none"/>
          <w:tab w:pos="1292" w:val="left" w:leader="none"/>
          <w:tab w:pos="2793" w:val="left" w:leader="none"/>
        </w:tabs>
        <w:spacing w:line="278" w:lineRule="auto" w:before="35" w:after="0"/>
        <w:ind w:left="2793" w:right="106" w:hanging="2558"/>
        <w:jc w:val="left"/>
        <w:rPr>
          <w:sz w:val="21"/>
        </w:rPr>
      </w:pPr>
      <w:r>
        <w:rPr>
          <w:rFonts w:ascii="黑体" w:eastAsia="黑体" w:hint="eastAsia"/>
          <w:sz w:val="21"/>
        </w:rPr>
        <w:t>合同构成</w:t>
        <w:tab/>
      </w:r>
      <w:r>
        <w:rPr>
          <w:spacing w:val="-1"/>
          <w:sz w:val="21"/>
        </w:rPr>
        <w:t>本合同</w:t>
      </w:r>
      <w:r>
        <w:rPr>
          <w:sz w:val="21"/>
        </w:rPr>
        <w:t>是您与我们约定保险权利义务关系的协议</w:t>
      </w:r>
      <w:r>
        <w:rPr>
          <w:spacing w:val="-99"/>
          <w:sz w:val="21"/>
        </w:rPr>
        <w:t>，</w:t>
      </w:r>
      <w:r>
        <w:rPr>
          <w:sz w:val="21"/>
        </w:rPr>
        <w:t>包括本保险条款</w:t>
      </w:r>
      <w:r>
        <w:rPr>
          <w:spacing w:val="-99"/>
          <w:sz w:val="21"/>
        </w:rPr>
        <w:t>、</w:t>
      </w:r>
      <w:r>
        <w:rPr>
          <w:sz w:val="21"/>
        </w:rPr>
        <w:t>保险单、投保单及其他投保文件（含视听资料</w:t>
      </w:r>
      <w:r>
        <w:rPr>
          <w:spacing w:val="-105"/>
          <w:sz w:val="21"/>
        </w:rPr>
        <w:t>）</w:t>
      </w:r>
      <w:r>
        <w:rPr>
          <w:sz w:val="21"/>
        </w:rPr>
        <w:t>、投保确认书暨合同签收回执、合法有效的声明、批注、批单及其他您与我们共同认可的书面协议。</w:t>
      </w:r>
    </w:p>
    <w:p>
      <w:pPr>
        <w:pStyle w:val="BodyText"/>
        <w:spacing w:before="0"/>
        <w:rPr>
          <w:sz w:val="9"/>
        </w:rPr>
      </w:pPr>
    </w:p>
    <w:p>
      <w:pPr>
        <w:spacing w:after="0"/>
        <w:rPr>
          <w:sz w:val="9"/>
        </w:rPr>
        <w:sectPr>
          <w:pgSz w:w="11910" w:h="16840"/>
          <w:pgMar w:top="1320" w:bottom="280" w:left="1020" w:right="1040"/>
        </w:sectPr>
      </w:pPr>
    </w:p>
    <w:p>
      <w:pPr>
        <w:pStyle w:val="ListParagraph"/>
        <w:numPr>
          <w:ilvl w:val="1"/>
          <w:numId w:val="2"/>
        </w:numPr>
        <w:tabs>
          <w:tab w:pos="1291" w:val="left" w:leader="none"/>
          <w:tab w:pos="1292" w:val="left" w:leader="none"/>
        </w:tabs>
        <w:spacing w:line="280" w:lineRule="auto" w:before="35" w:after="0"/>
        <w:ind w:left="1291" w:right="0" w:hanging="1056"/>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ind w:left="202"/>
      </w:pPr>
      <w:r>
        <w:rPr/>
        <w:br w:type="column"/>
      </w:r>
      <w:r>
        <w:rPr/>
        <w:t>您提出保险申请、我们同意承保，本合同成立。</w:t>
      </w:r>
    </w:p>
    <w:p>
      <w:pPr>
        <w:spacing w:line="240" w:lineRule="auto" w:before="45"/>
        <w:ind w:left="202" w:right="208" w:firstLine="0"/>
        <w:jc w:val="both"/>
        <w:rPr>
          <w:sz w:val="21"/>
        </w:rPr>
      </w:pPr>
      <w:r>
        <w:rPr>
          <w:spacing w:val="-5"/>
          <w:sz w:val="21"/>
        </w:rPr>
        <w:t>若我们在与您约定的时间内收到首期保险费，本合同生效日以保险单记载的日期为准。</w:t>
      </w:r>
      <w:r>
        <w:rPr>
          <w:rFonts w:ascii="微软雅黑" w:eastAsia="微软雅黑" w:hint="eastAsia"/>
          <w:b/>
          <w:sz w:val="21"/>
        </w:rPr>
        <w:t>保单年度</w:t>
      </w:r>
      <w:r>
        <w:rPr>
          <w:sz w:val="21"/>
        </w:rPr>
        <w:t>、</w:t>
      </w:r>
      <w:r>
        <w:rPr>
          <w:rFonts w:ascii="微软雅黑" w:eastAsia="微软雅黑" w:hint="eastAsia"/>
          <w:b/>
          <w:sz w:val="21"/>
        </w:rPr>
        <w:t>合同生效日对应日</w:t>
      </w:r>
      <w:r>
        <w:rPr>
          <w:sz w:val="21"/>
        </w:rPr>
        <w:t>、</w:t>
      </w:r>
      <w:r>
        <w:rPr>
          <w:rFonts w:ascii="微软雅黑" w:eastAsia="微软雅黑" w:hint="eastAsia"/>
          <w:b/>
          <w:sz w:val="21"/>
        </w:rPr>
        <w:t>保险费约定支付日</w:t>
      </w:r>
      <w:r>
        <w:rPr>
          <w:sz w:val="21"/>
        </w:rPr>
        <w:t>均以该日期计算。</w:t>
      </w:r>
    </w:p>
    <w:p>
      <w:pPr>
        <w:pStyle w:val="BodyText"/>
        <w:spacing w:line="280" w:lineRule="auto" w:before="45"/>
        <w:ind w:left="202" w:right="106"/>
      </w:pPr>
      <w:r>
        <w:rPr>
          <w:shd w:fill="D9D9D9" w:color="auto" w:val="clear"/>
        </w:rPr>
        <w:t>若因您或第三人的原因导致我们未能在和您约定的时间内收到首期保险费， </w:t>
      </w:r>
      <w:r>
        <w:rPr>
          <w:spacing w:val="-15"/>
          <w:shd w:fill="D9D9D9" w:color="auto" w:val="clear"/>
        </w:rPr>
        <w:t>即使我们已经签发保险单，本合同自始不生效，我们也自始不承担保险责</w:t>
      </w:r>
      <w:r>
        <w:rPr>
          <w:spacing w:val="-103"/>
          <w:shd w:fill="D9D9D9" w:color="auto" w:val="clear"/>
        </w:rPr>
        <w:t>任。</w:t>
      </w:r>
    </w:p>
    <w:p>
      <w:pPr>
        <w:spacing w:after="0" w:line="280" w:lineRule="auto"/>
        <w:sectPr>
          <w:type w:val="continuous"/>
          <w:pgSz w:w="11910" w:h="16840"/>
          <w:pgMar w:top="1260" w:bottom="280" w:left="1020" w:right="1040"/>
          <w:cols w:num="2" w:equalWidth="0">
            <w:col w:w="2551" w:space="40"/>
            <w:col w:w="7259"/>
          </w:cols>
        </w:sectPr>
      </w:pPr>
    </w:p>
    <w:p>
      <w:pPr>
        <w:pStyle w:val="BodyText"/>
        <w:spacing w:before="11"/>
        <w:rPr>
          <w:sz w:val="8"/>
        </w:rPr>
      </w:pPr>
    </w:p>
    <w:p>
      <w:pPr>
        <w:pStyle w:val="ListParagraph"/>
        <w:numPr>
          <w:ilvl w:val="1"/>
          <w:numId w:val="2"/>
        </w:numPr>
        <w:tabs>
          <w:tab w:pos="1291" w:val="left" w:leader="none"/>
          <w:tab w:pos="1292" w:val="left" w:leader="none"/>
          <w:tab w:pos="2793" w:val="left" w:leader="none"/>
        </w:tabs>
        <w:spacing w:line="266" w:lineRule="exact" w:before="35" w:after="0"/>
        <w:ind w:left="2793" w:right="0" w:hanging="2558"/>
        <w:jc w:val="left"/>
        <w:rPr>
          <w:sz w:val="21"/>
        </w:rPr>
      </w:pPr>
      <w:r>
        <w:rPr>
          <w:rFonts w:ascii="黑体" w:eastAsia="黑体" w:hint="eastAsia"/>
          <w:sz w:val="21"/>
        </w:rPr>
        <w:t>投保年龄</w:t>
        <w:tab/>
      </w:r>
      <w:r>
        <w:rPr>
          <w:sz w:val="21"/>
        </w:rPr>
        <w:t>指您投保时被保险人的年龄，本合同接受的投保年龄范围为出生满</w:t>
      </w:r>
      <w:r>
        <w:rPr>
          <w:spacing w:val="-63"/>
          <w:sz w:val="21"/>
        </w:rPr>
        <w:t> </w:t>
      </w:r>
      <w:r>
        <w:rPr>
          <w:sz w:val="21"/>
        </w:rPr>
        <w:t>30</w:t>
      </w:r>
      <w:r>
        <w:rPr>
          <w:spacing w:val="-63"/>
          <w:sz w:val="21"/>
        </w:rPr>
        <w:t> </w:t>
      </w:r>
      <w:r>
        <w:rPr>
          <w:sz w:val="21"/>
        </w:rPr>
        <w:t>日至</w:t>
      </w:r>
    </w:p>
    <w:p>
      <w:pPr>
        <w:spacing w:line="354" w:lineRule="exact" w:before="0"/>
        <w:ind w:left="2793" w:right="0" w:firstLine="0"/>
        <w:jc w:val="left"/>
        <w:rPr>
          <w:sz w:val="21"/>
        </w:rPr>
      </w:pPr>
      <w:r>
        <w:rPr>
          <w:sz w:val="21"/>
        </w:rPr>
        <w:t>60</w:t>
      </w:r>
      <w:r>
        <w:rPr>
          <w:spacing w:val="-51"/>
          <w:sz w:val="21"/>
        </w:rPr>
        <w:t> </w:t>
      </w:r>
      <w:r>
        <w:rPr>
          <w:rFonts w:ascii="微软雅黑" w:eastAsia="微软雅黑" w:hint="eastAsia"/>
          <w:b/>
          <w:sz w:val="21"/>
        </w:rPr>
        <w:t>周岁</w:t>
      </w:r>
      <w:r>
        <w:rPr>
          <w:sz w:val="21"/>
        </w:rPr>
        <w:t>。</w:t>
      </w:r>
    </w:p>
    <w:p>
      <w:pPr>
        <w:pStyle w:val="ListParagraph"/>
        <w:numPr>
          <w:ilvl w:val="1"/>
          <w:numId w:val="2"/>
        </w:numPr>
        <w:tabs>
          <w:tab w:pos="1291" w:val="left" w:leader="none"/>
          <w:tab w:pos="1292" w:val="left" w:leader="none"/>
          <w:tab w:pos="2793" w:val="left" w:leader="none"/>
        </w:tabs>
        <w:spacing w:line="278" w:lineRule="auto" w:before="162" w:after="0"/>
        <w:ind w:left="2793" w:right="118" w:hanging="2558"/>
        <w:jc w:val="left"/>
        <w:rPr>
          <w:sz w:val="21"/>
        </w:rPr>
      </w:pPr>
      <w:r>
        <w:rPr>
          <w:rFonts w:ascii="黑体" w:eastAsia="黑体" w:hint="eastAsia"/>
          <w:sz w:val="21"/>
        </w:rPr>
        <w:t>犹豫期</w:t>
        <w:tab/>
      </w:r>
      <w:r>
        <w:rPr>
          <w:sz w:val="21"/>
        </w:rPr>
        <w:t>自您签收本合同之日或本合同生效之日（以较迟者为准）起，有</w:t>
      </w:r>
      <w:r>
        <w:rPr>
          <w:spacing w:val="-63"/>
          <w:sz w:val="21"/>
        </w:rPr>
        <w:t> </w:t>
      </w:r>
      <w:r>
        <w:rPr>
          <w:sz w:val="21"/>
        </w:rPr>
        <w:t>15</w:t>
      </w:r>
      <w:r>
        <w:rPr>
          <w:spacing w:val="-63"/>
          <w:sz w:val="21"/>
        </w:rPr>
        <w:t> </w:t>
      </w:r>
      <w:r>
        <w:rPr>
          <w:sz w:val="21"/>
        </w:rPr>
        <w:t>日的犹豫期</w:t>
      </w:r>
      <w:r>
        <w:rPr>
          <w:spacing w:val="-32"/>
          <w:sz w:val="21"/>
        </w:rPr>
        <w:t>。</w:t>
      </w:r>
      <w:r>
        <w:rPr>
          <w:sz w:val="21"/>
        </w:rPr>
        <w:t>在此期间</w:t>
      </w:r>
      <w:r>
        <w:rPr>
          <w:spacing w:val="-32"/>
          <w:sz w:val="21"/>
        </w:rPr>
        <w:t>，</w:t>
      </w:r>
      <w:r>
        <w:rPr>
          <w:sz w:val="21"/>
        </w:rPr>
        <w:t>请您认真审视本合同</w:t>
      </w:r>
      <w:r>
        <w:rPr>
          <w:spacing w:val="-32"/>
          <w:sz w:val="21"/>
        </w:rPr>
        <w:t>，</w:t>
      </w:r>
      <w:r>
        <w:rPr>
          <w:sz w:val="21"/>
        </w:rPr>
        <w:t>如果您认为本合同与您的需求不相符，您可以不支付保险费，本合同自始不生效；若我们已经收取保险费的， 您可以在犹豫期内提出解除本合同，我们将在扣除人民币</w:t>
      </w:r>
      <w:r>
        <w:rPr>
          <w:spacing w:val="-55"/>
          <w:sz w:val="21"/>
        </w:rPr>
        <w:t> </w:t>
      </w:r>
      <w:r>
        <w:rPr>
          <w:sz w:val="21"/>
        </w:rPr>
        <w:t>10</w:t>
      </w:r>
      <w:r>
        <w:rPr>
          <w:spacing w:val="-55"/>
          <w:sz w:val="21"/>
        </w:rPr>
        <w:t> </w:t>
      </w:r>
      <w:r>
        <w:rPr>
          <w:sz w:val="21"/>
        </w:rPr>
        <w:t>元的工本费后退还您所支付的保险费。</w:t>
      </w:r>
    </w:p>
    <w:p>
      <w:pPr>
        <w:pStyle w:val="BodyText"/>
        <w:spacing w:line="320" w:lineRule="exact" w:before="1"/>
        <w:ind w:left="2793" w:right="212"/>
      </w:pPr>
      <w:r>
        <w:rPr>
          <w:spacing w:val="-8"/>
        </w:rPr>
        <w:t>解除合同时，您需要填写申请书，并提供您的保险合同及</w:t>
      </w:r>
      <w:r>
        <w:rPr>
          <w:rFonts w:ascii="微软雅黑" w:eastAsia="微软雅黑" w:hint="eastAsia"/>
          <w:b/>
        </w:rPr>
        <w:t>有效身份证件</w:t>
      </w:r>
      <w:r>
        <w:rPr>
          <w:spacing w:val="-34"/>
        </w:rPr>
        <w:t>。自</w:t>
      </w:r>
      <w:r>
        <w:rPr>
          <w:spacing w:val="-5"/>
        </w:rPr>
        <w:t>我们收到您解除合同的书面申请时起，本合同即被解除，</w:t>
      </w:r>
      <w:r>
        <w:rPr>
          <w:shd w:fill="D9D9D9" w:color="auto" w:val="clear"/>
        </w:rPr>
        <w:t>对于合同解除前发</w:t>
      </w:r>
    </w:p>
    <w:p>
      <w:pPr>
        <w:pStyle w:val="BodyText"/>
        <w:spacing w:before="11"/>
        <w:ind w:left="2793"/>
      </w:pPr>
      <w:r>
        <w:rPr>
          <w:shd w:fill="D9D9D9" w:color="auto" w:val="clear"/>
        </w:rPr>
        <w:t>生的保险事故，我们不承担保险责任。</w:t>
      </w:r>
    </w:p>
    <w:p>
      <w:pPr>
        <w:pStyle w:val="BodyText"/>
        <w:spacing w:before="9"/>
        <w:rPr>
          <w:sz w:val="11"/>
        </w:rPr>
      </w:pPr>
      <w:r>
        <w:rPr/>
        <w:pict>
          <v:shape style="position:absolute;margin-left:57.360001pt;margin-top:8.84793pt;width:480.6pt;height:15.6pt;mso-position-horizontal-relative:page;mso-position-vertical-relative:paragraph;z-index:1072;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3"/>
        </w:numPr>
        <w:tabs>
          <w:tab w:pos="1291" w:val="left" w:leader="none"/>
          <w:tab w:pos="1292" w:val="left" w:leader="none"/>
          <w:tab w:pos="2793" w:val="left" w:leader="none"/>
        </w:tabs>
        <w:spacing w:line="240" w:lineRule="auto" w:before="35" w:after="0"/>
        <w:ind w:left="2793" w:right="0" w:hanging="2558"/>
        <w:jc w:val="left"/>
        <w:rPr>
          <w:sz w:val="21"/>
        </w:rPr>
      </w:pPr>
      <w:r>
        <w:rPr>
          <w:rFonts w:ascii="黑体" w:eastAsia="黑体" w:hint="eastAsia"/>
          <w:sz w:val="21"/>
        </w:rPr>
        <w:t>基本保险金额</w:t>
        <w:tab/>
      </w:r>
      <w:r>
        <w:rPr>
          <w:sz w:val="21"/>
        </w:rPr>
        <w:t>本合同的基本保险金额按份计算，每份为人民币</w:t>
      </w:r>
      <w:r>
        <w:rPr>
          <w:spacing w:val="-53"/>
          <w:sz w:val="21"/>
        </w:rPr>
        <w:t> </w:t>
      </w:r>
      <w:r>
        <w:rPr>
          <w:sz w:val="21"/>
        </w:rPr>
        <w:t>100,000 元。</w:t>
      </w:r>
    </w:p>
    <w:p>
      <w:pPr>
        <w:pStyle w:val="BodyText"/>
        <w:spacing w:before="3"/>
        <w:rPr>
          <w:sz w:val="14"/>
        </w:rPr>
      </w:pPr>
    </w:p>
    <w:p>
      <w:pPr>
        <w:pStyle w:val="ListParagraph"/>
        <w:numPr>
          <w:ilvl w:val="1"/>
          <w:numId w:val="3"/>
        </w:numPr>
        <w:tabs>
          <w:tab w:pos="1291" w:val="left" w:leader="none"/>
          <w:tab w:pos="1292" w:val="left" w:leader="none"/>
          <w:tab w:pos="2793" w:val="left" w:leader="none"/>
        </w:tabs>
        <w:spacing w:line="240" w:lineRule="auto" w:before="0" w:after="0"/>
        <w:ind w:left="2793" w:right="0" w:hanging="2558"/>
        <w:jc w:val="left"/>
        <w:rPr>
          <w:sz w:val="21"/>
        </w:rPr>
      </w:pPr>
      <w:r>
        <w:rPr>
          <w:rFonts w:ascii="黑体" w:eastAsia="黑体" w:hint="eastAsia"/>
          <w:sz w:val="21"/>
        </w:rPr>
        <w:t>保险期间</w:t>
        <w:tab/>
      </w:r>
      <w:r>
        <w:rPr>
          <w:sz w:val="21"/>
        </w:rPr>
        <w:t>本合同的保险期间为被保险人终身。</w:t>
      </w:r>
    </w:p>
    <w:p>
      <w:pPr>
        <w:pStyle w:val="BodyText"/>
        <w:spacing w:before="3"/>
        <w:rPr>
          <w:sz w:val="14"/>
        </w:rPr>
      </w:pPr>
    </w:p>
    <w:p>
      <w:pPr>
        <w:pStyle w:val="ListParagraph"/>
        <w:numPr>
          <w:ilvl w:val="1"/>
          <w:numId w:val="3"/>
        </w:numPr>
        <w:tabs>
          <w:tab w:pos="1291" w:val="left" w:leader="none"/>
          <w:tab w:pos="1292" w:val="left" w:leader="none"/>
          <w:tab w:pos="2793" w:val="left" w:leader="none"/>
        </w:tabs>
        <w:spacing w:line="280" w:lineRule="auto" w:before="0" w:after="0"/>
        <w:ind w:left="2793" w:right="212" w:hanging="2558"/>
        <w:jc w:val="left"/>
        <w:rPr>
          <w:sz w:val="21"/>
        </w:rPr>
      </w:pPr>
      <w:r>
        <w:rPr>
          <w:rFonts w:ascii="黑体" w:eastAsia="黑体" w:hint="eastAsia"/>
          <w:sz w:val="21"/>
        </w:rPr>
        <w:t>保险责任</w:t>
        <w:tab/>
      </w:r>
      <w:r>
        <w:rPr>
          <w:sz w:val="21"/>
        </w:rPr>
        <w:t>在本合同保险期间内</w:t>
      </w:r>
      <w:r>
        <w:rPr>
          <w:spacing w:val="-47"/>
          <w:sz w:val="21"/>
        </w:rPr>
        <w:t>，</w:t>
      </w:r>
      <w:r>
        <w:rPr>
          <w:sz w:val="21"/>
        </w:rPr>
        <w:t>且本合同有效的前提下</w:t>
      </w:r>
      <w:r>
        <w:rPr>
          <w:spacing w:val="-47"/>
          <w:sz w:val="21"/>
        </w:rPr>
        <w:t>，</w:t>
      </w:r>
      <w:r>
        <w:rPr>
          <w:sz w:val="21"/>
        </w:rPr>
        <w:t>我们按以下约定承担保险责任：</w:t>
      </w:r>
    </w:p>
    <w:p>
      <w:pPr>
        <w:pStyle w:val="BodyText"/>
        <w:tabs>
          <w:tab w:pos="2793" w:val="left" w:leader="none"/>
        </w:tabs>
        <w:spacing w:line="280" w:lineRule="auto" w:before="151"/>
        <w:ind w:left="2793" w:right="212" w:hanging="1503"/>
      </w:pPr>
      <w:r>
        <w:rPr>
          <w:rFonts w:ascii="黑体" w:eastAsia="黑体" w:hint="eastAsia"/>
        </w:rPr>
        <w:t>身故保险金</w:t>
        <w:tab/>
      </w:r>
      <w:r>
        <w:rPr/>
        <w:t>若被保险人身故</w:t>
      </w:r>
      <w:r>
        <w:rPr>
          <w:spacing w:val="-47"/>
        </w:rPr>
        <w:t>，</w:t>
      </w:r>
      <w:r>
        <w:rPr/>
        <w:t>我们按以下两项中金额较大者给付身故保险金</w:t>
      </w:r>
      <w:r>
        <w:rPr>
          <w:spacing w:val="-47"/>
        </w:rPr>
        <w:t>，</w:t>
      </w:r>
      <w:r>
        <w:rPr/>
        <w:t>本合同终止：</w:t>
      </w:r>
    </w:p>
    <w:p>
      <w:pPr>
        <w:pStyle w:val="BodyText"/>
        <w:spacing w:line="280" w:lineRule="auto" w:before="8"/>
        <w:ind w:left="2793" w:right="1484"/>
      </w:pPr>
      <w:r>
        <w:rPr/>
        <w:t>(1)被保险人身故时您根据本合同约定已支付的保险费总额； (2)被保险人身故时本合同保险单的现金价值。</w:t>
      </w:r>
    </w:p>
    <w:p>
      <w:pPr>
        <w:pStyle w:val="BodyText"/>
        <w:spacing w:before="11"/>
        <w:rPr>
          <w:sz w:val="8"/>
        </w:rPr>
      </w:pPr>
    </w:p>
    <w:p>
      <w:pPr>
        <w:spacing w:after="0"/>
        <w:rPr>
          <w:sz w:val="8"/>
        </w:rPr>
        <w:sectPr>
          <w:type w:val="continuous"/>
          <w:pgSz w:w="11910" w:h="16840"/>
          <w:pgMar w:top="1260" w:bottom="280" w:left="1020" w:right="1040"/>
        </w:sectPr>
      </w:pPr>
    </w:p>
    <w:p>
      <w:pPr>
        <w:pStyle w:val="BodyText"/>
        <w:spacing w:line="280" w:lineRule="auto"/>
        <w:ind w:left="1291"/>
        <w:rPr>
          <w:rFonts w:ascii="黑体" w:eastAsia="黑体" w:hint="eastAsia"/>
        </w:rPr>
      </w:pPr>
      <w:r>
        <w:rPr>
          <w:rFonts w:ascii="黑体" w:eastAsia="黑体" w:hint="eastAsia"/>
        </w:rPr>
        <w:t>重大疾病保险金</w:t>
      </w:r>
    </w:p>
    <w:p>
      <w:pPr>
        <w:pStyle w:val="BodyText"/>
        <w:ind w:left="202" w:right="106"/>
      </w:pPr>
      <w:r>
        <w:rPr/>
        <w:br w:type="column"/>
      </w:r>
      <w:r>
        <w:rPr>
          <w:spacing w:val="-6"/>
          <w:shd w:fill="D9D9D9" w:color="auto" w:val="clear"/>
        </w:rPr>
        <w:t>若被保险人在本合同生效或最后一次复效</w:t>
      </w:r>
      <w:r>
        <w:rPr>
          <w:shd w:fill="D9D9D9" w:color="auto" w:val="clear"/>
        </w:rPr>
        <w:t>（以较迟者为准</w:t>
      </w:r>
      <w:r>
        <w:rPr>
          <w:spacing w:val="-99"/>
          <w:shd w:fill="D9D9D9" w:color="auto" w:val="clear"/>
        </w:rPr>
        <w:t>）</w:t>
      </w:r>
      <w:r>
        <w:rPr>
          <w:spacing w:val="-14"/>
          <w:shd w:fill="D9D9D9" w:color="auto" w:val="clear"/>
        </w:rPr>
        <w:t>之日起 </w:t>
      </w:r>
      <w:r>
        <w:rPr>
          <w:shd w:fill="D9D9D9" w:color="auto" w:val="clear"/>
        </w:rPr>
        <w:t>180</w:t>
      </w:r>
      <w:r>
        <w:rPr>
          <w:spacing w:val="-15"/>
          <w:shd w:fill="D9D9D9" w:color="auto" w:val="clear"/>
        </w:rPr>
        <w:t> 日内， 因</w:t>
      </w:r>
      <w:r>
        <w:rPr>
          <w:rFonts w:ascii="微软雅黑" w:eastAsia="微软雅黑" w:hint="eastAsia"/>
          <w:b/>
          <w:spacing w:val="-15"/>
          <w:shd w:fill="D9D9D9" w:color="auto" w:val="clear"/>
        </w:rPr>
        <w:t>意外伤害</w:t>
      </w:r>
      <w:r>
        <w:rPr>
          <w:spacing w:val="-19"/>
          <w:shd w:fill="D9D9D9" w:color="auto" w:val="clear"/>
        </w:rPr>
        <w:t>以外的原因被确诊初次发生本合同约定的重大疾病</w:t>
      </w:r>
      <w:r>
        <w:rPr>
          <w:shd w:fill="D9D9D9" w:color="auto" w:val="clear"/>
        </w:rPr>
        <w:t>（无论一种或</w:t>
      </w:r>
      <w:r>
        <w:rPr>
          <w:spacing w:val="-24"/>
          <w:shd w:fill="D9D9D9" w:color="auto" w:val="clear"/>
        </w:rPr>
        <w:t>多种，下同</w:t>
      </w:r>
      <w:r>
        <w:rPr>
          <w:spacing w:val="-106"/>
          <w:shd w:fill="D9D9D9" w:color="auto" w:val="clear"/>
        </w:rPr>
        <w:t>）</w:t>
      </w:r>
      <w:r>
        <w:rPr>
          <w:shd w:fill="D9D9D9" w:color="auto" w:val="clear"/>
        </w:rPr>
        <w:t>，我们按您根据本合同约定已支付的保险费总额给付重大疾病</w:t>
      </w:r>
    </w:p>
    <w:p>
      <w:pPr>
        <w:pStyle w:val="BodyText"/>
        <w:spacing w:before="45"/>
        <w:ind w:left="202"/>
      </w:pPr>
      <w:r>
        <w:rPr>
          <w:shd w:fill="D9D9D9" w:color="auto" w:val="clear"/>
        </w:rPr>
        <w:t>保险金，本合同终止。</w:t>
      </w:r>
    </w:p>
    <w:p>
      <w:pPr>
        <w:spacing w:after="0"/>
        <w:sectPr>
          <w:type w:val="continuous"/>
          <w:pgSz w:w="11910" w:h="16840"/>
          <w:pgMar w:top="1260" w:bottom="280" w:left="1020" w:right="1040"/>
          <w:cols w:num="2" w:equalWidth="0">
            <w:col w:w="2552" w:space="40"/>
            <w:col w:w="7258"/>
          </w:cols>
        </w:sectPr>
      </w:pPr>
    </w:p>
    <w:p>
      <w:pPr>
        <w:pStyle w:val="BodyText"/>
        <w:spacing w:line="278" w:lineRule="auto" w:before="8"/>
        <w:ind w:left="2773" w:right="212"/>
        <w:jc w:val="both"/>
      </w:pPr>
      <w:r>
        <w:rPr>
          <w:spacing w:val="-4"/>
        </w:rPr>
        <w:t>若被保险人因遭受意外伤害被确诊初次发生本合同约定的重大疾病，或在本</w:t>
      </w:r>
      <w:r>
        <w:rPr>
          <w:spacing w:val="-8"/>
        </w:rPr>
        <w:t>合同生效或最后一次复效</w:t>
      </w:r>
      <w:r>
        <w:rPr/>
        <w:t>（以较迟者为准</w:t>
      </w:r>
      <w:r>
        <w:rPr>
          <w:spacing w:val="-47"/>
        </w:rPr>
        <w:t>）</w:t>
      </w:r>
      <w:r>
        <w:rPr>
          <w:spacing w:val="-14"/>
        </w:rPr>
        <w:t>之日起 </w:t>
      </w:r>
      <w:r>
        <w:rPr/>
        <w:t>180</w:t>
      </w:r>
      <w:r>
        <w:rPr>
          <w:spacing w:val="-8"/>
        </w:rPr>
        <w:t> 日后因意外伤害以外</w:t>
      </w:r>
      <w:r>
        <w:rPr>
          <w:spacing w:val="-11"/>
        </w:rPr>
        <w:t>的原因，被确诊初次发生本合同约定的重大疾病，我们按本合同约定的基本保险金额给付重大疾病保险金，本合同终止。</w:t>
      </w:r>
    </w:p>
    <w:p>
      <w:pPr>
        <w:pStyle w:val="BodyText"/>
        <w:spacing w:before="1"/>
        <w:rPr>
          <w:sz w:val="19"/>
        </w:rPr>
      </w:pPr>
    </w:p>
    <w:p>
      <w:pPr>
        <w:pStyle w:val="BodyText"/>
        <w:spacing w:line="280" w:lineRule="auto" w:before="0"/>
        <w:ind w:left="2773" w:right="212"/>
        <w:jc w:val="both"/>
      </w:pPr>
      <w:r>
        <w:rPr>
          <w:spacing w:val="-9"/>
        </w:rPr>
        <w:t>在任何情况下，身故保险金和重大疾病保险金不可兼得，即若我们给付其中一项保险金，则另一项保险金不再给付。</w:t>
      </w:r>
    </w:p>
    <w:p>
      <w:pPr>
        <w:pStyle w:val="ListParagraph"/>
        <w:numPr>
          <w:ilvl w:val="1"/>
          <w:numId w:val="3"/>
        </w:numPr>
        <w:tabs>
          <w:tab w:pos="1271" w:val="left" w:leader="none"/>
          <w:tab w:pos="1272" w:val="left" w:leader="none"/>
          <w:tab w:pos="2773" w:val="left" w:leader="none"/>
        </w:tabs>
        <w:spacing w:line="278" w:lineRule="auto" w:before="151" w:after="0"/>
        <w:ind w:left="2773" w:right="748" w:hanging="2558"/>
        <w:jc w:val="left"/>
        <w:rPr>
          <w:sz w:val="21"/>
        </w:rPr>
      </w:pPr>
      <w:r>
        <w:rPr>
          <w:rFonts w:ascii="黑体" w:eastAsia="黑体" w:hint="eastAsia"/>
          <w:sz w:val="21"/>
        </w:rPr>
        <w:t>责任免除</w:t>
        <w:tab/>
      </w:r>
      <w:r>
        <w:rPr>
          <w:sz w:val="21"/>
          <w:shd w:fill="D9D9D9" w:color="auto" w:val="clear"/>
        </w:rPr>
        <w:t>因下列情形之一导致被保险人身故，不承担给付身故保险金的责任：</w:t>
      </w:r>
      <w:r>
        <w:rPr>
          <w:sz w:val="21"/>
        </w:rPr>
        <w:t> </w:t>
      </w:r>
      <w:r>
        <w:rPr>
          <w:sz w:val="21"/>
          <w:shd w:fill="D9D9D9" w:color="auto" w:val="clear"/>
        </w:rPr>
        <w:t>(1)投保人对被保险人的故意杀害、故意伤害；</w:t>
      </w:r>
      <w:r>
        <w:rPr>
          <w:sz w:val="21"/>
        </w:rPr>
        <w:t> </w:t>
      </w:r>
      <w:r>
        <w:rPr>
          <w:sz w:val="21"/>
          <w:shd w:fill="D9D9D9" w:color="auto" w:val="clear"/>
        </w:rPr>
        <w:t>                </w:t>
      </w:r>
      <w:r>
        <w:rPr>
          <w:spacing w:val="-1"/>
          <w:sz w:val="21"/>
          <w:shd w:fill="D9D9D9" w:color="auto" w:val="clear"/>
        </w:rPr>
        <w:t>(2)被保险人故意自伤、故意犯罪或抗拒依法采取的刑事强制措施；</w:t>
      </w:r>
    </w:p>
    <w:p>
      <w:pPr>
        <w:pStyle w:val="BodyText"/>
        <w:spacing w:line="291" w:lineRule="exact" w:before="0"/>
        <w:ind w:left="2773"/>
      </w:pPr>
      <w:r>
        <w:rPr>
          <w:shd w:fill="D9D9D9" w:color="auto" w:val="clear"/>
        </w:rPr>
        <w:t>(3)被保险人主动吸食或注射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2"/>
        <w:ind w:left="3089" w:right="213" w:hanging="316"/>
        <w:jc w:val="left"/>
        <w:rPr>
          <w:sz w:val="21"/>
        </w:rPr>
      </w:pPr>
      <w:r>
        <w:rPr>
          <w:sz w:val="21"/>
          <w:shd w:fill="D9D9D9" w:color="auto" w:val="clear"/>
        </w:rPr>
        <w:t>(4)被保险人</w:t>
      </w:r>
      <w:r>
        <w:rPr>
          <w:rFonts w:ascii="微软雅黑" w:eastAsia="微软雅黑" w:hint="eastAsia"/>
          <w:b/>
          <w:sz w:val="21"/>
          <w:shd w:fill="D9D9D9" w:color="auto" w:val="clear"/>
        </w:rPr>
        <w:t>酒后驾驶</w:t>
      </w:r>
      <w:r>
        <w:rPr>
          <w:spacing w:val="-4"/>
          <w:sz w:val="21"/>
          <w:shd w:fill="D9D9D9" w:color="auto" w:val="clear"/>
        </w:rPr>
        <w:t>，</w:t>
      </w:r>
      <w:r>
        <w:rPr>
          <w:rFonts w:ascii="微软雅黑" w:eastAsia="微软雅黑" w:hint="eastAsia"/>
          <w:b/>
          <w:sz w:val="21"/>
          <w:shd w:fill="D9D9D9" w:color="auto" w:val="clear"/>
        </w:rPr>
        <w:t>无合法有效驾驶证驾驶</w:t>
      </w:r>
      <w:r>
        <w:rPr>
          <w:spacing w:val="-2"/>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pacing w:val="-104"/>
          <w:sz w:val="21"/>
          <w:shd w:fill="D9D9D9" w:color="auto" w:val="clear"/>
        </w:rPr>
        <w:t>机动</w:t>
      </w:r>
      <w:r>
        <w:rPr>
          <w:rFonts w:ascii="微软雅黑" w:eastAsia="微软雅黑" w:hint="eastAsia"/>
          <w:b/>
          <w:sz w:val="21"/>
          <w:shd w:fill="D9D9D9" w:color="auto" w:val="clear"/>
        </w:rPr>
        <w:t>车</w:t>
      </w:r>
      <w:r>
        <w:rPr>
          <w:sz w:val="21"/>
          <w:shd w:fill="D9D9D9" w:color="auto" w:val="clear"/>
        </w:rPr>
        <w:t>；</w:t>
      </w:r>
    </w:p>
    <w:p>
      <w:pPr>
        <w:spacing w:line="320" w:lineRule="exact" w:before="0"/>
        <w:ind w:left="2773" w:right="0" w:firstLine="0"/>
        <w:jc w:val="left"/>
        <w:rPr>
          <w:sz w:val="21"/>
        </w:rPr>
      </w:pPr>
      <w:r>
        <w:rPr>
          <w:sz w:val="21"/>
          <w:shd w:fill="D9D9D9" w:color="auto" w:val="clear"/>
        </w:rPr>
        <w:t>(5)被保险人</w:t>
      </w:r>
      <w:r>
        <w:rPr>
          <w:rFonts w:ascii="微软雅黑" w:eastAsia="微软雅黑" w:hint="eastAsia"/>
          <w:b/>
          <w:sz w:val="21"/>
          <w:shd w:fill="D9D9D9" w:color="auto" w:val="clear"/>
        </w:rPr>
        <w:t>感染艾滋病病毒或患艾滋病</w:t>
      </w:r>
      <w:r>
        <w:rPr>
          <w:sz w:val="21"/>
          <w:shd w:fill="D9D9D9" w:color="auto" w:val="clear"/>
        </w:rPr>
        <w:t>，但若属于本附加险合同所保障的</w:t>
      </w:r>
    </w:p>
    <w:p>
      <w:pPr>
        <w:pStyle w:val="BodyText"/>
        <w:spacing w:line="278" w:lineRule="auto" w:before="20"/>
        <w:ind w:left="2773" w:right="854" w:firstLine="315"/>
      </w:pPr>
      <w:r>
        <w:rPr>
          <w:spacing w:val="-1"/>
          <w:shd w:fill="D9D9D9" w:color="auto" w:val="clear"/>
        </w:rPr>
        <w:t>“经输血导致的人类免疫缺陷病毒（HIV）</w:t>
      </w:r>
      <w:r>
        <w:rPr>
          <w:spacing w:val="-14"/>
          <w:shd w:fill="D9D9D9" w:color="auto" w:val="clear"/>
        </w:rPr>
        <w:t>感染”，则不在此限；</w:t>
      </w:r>
      <w:r>
        <w:rPr>
          <w:spacing w:val="-14"/>
        </w:rPr>
        <w:t> </w:t>
      </w:r>
      <w:r>
        <w:rPr>
          <w:spacing w:val="-14"/>
          <w:shd w:fill="D9D9D9" w:color="auto" w:val="clear"/>
        </w:rPr>
        <w:t>(6)战争、军事冲突、暴乱或武装叛乱；</w:t>
      </w:r>
      <w:r>
        <w:rPr>
          <w:spacing w:val="-14"/>
        </w:rPr>
        <w:t> </w:t>
      </w:r>
      <w:r>
        <w:rPr>
          <w:spacing w:val="-14"/>
          <w:shd w:fill="D9D9D9" w:color="auto" w:val="clear"/>
        </w:rPr>
        <w:t>                     </w:t>
      </w:r>
      <w:r>
        <w:rPr>
          <w:spacing w:val="-1"/>
          <w:shd w:fill="D9D9D9" w:color="auto" w:val="clear"/>
        </w:rPr>
        <w:t>(7)核爆炸、核辐射或核污染；</w:t>
      </w:r>
    </w:p>
    <w:p>
      <w:pPr>
        <w:pStyle w:val="BodyText"/>
        <w:spacing w:line="278" w:lineRule="auto" w:before="11"/>
        <w:ind w:left="2773" w:right="209"/>
        <w:jc w:val="both"/>
      </w:pPr>
      <w:r>
        <w:rPr>
          <w:shd w:fill="D9D9D9" w:color="auto" w:val="clear"/>
        </w:rPr>
        <w:t>发生上述第(1)项情形导致被保险人身故的，本保险合同终止，您已交足 2 </w:t>
      </w:r>
      <w:r>
        <w:rPr>
          <w:spacing w:val="-10"/>
          <w:shd w:fill="D9D9D9" w:color="auto" w:val="clear"/>
        </w:rPr>
        <w:t>年以上保险费的，我们向被保险人的继承人退还本保险合同保险单的现金价值。</w:t>
      </w:r>
    </w:p>
    <w:p>
      <w:pPr>
        <w:pStyle w:val="BodyText"/>
        <w:spacing w:before="7"/>
        <w:rPr>
          <w:sz w:val="22"/>
        </w:rPr>
      </w:pPr>
    </w:p>
    <w:p>
      <w:pPr>
        <w:pStyle w:val="BodyText"/>
        <w:spacing w:line="278" w:lineRule="auto" w:before="36"/>
        <w:ind w:left="2773" w:right="212"/>
      </w:pPr>
      <w:r>
        <w:rPr>
          <w:spacing w:val="-5"/>
          <w:shd w:fill="D9D9D9" w:color="auto" w:val="clear"/>
        </w:rPr>
        <w:t>因下列情形之一导致被保险人发生疾病、达到疾病状态或进行手术的，我们</w:t>
      </w:r>
      <w:r>
        <w:rPr>
          <w:spacing w:val="-210"/>
          <w:shd w:fill="D9D9D9" w:color="auto" w:val="clear"/>
        </w:rPr>
        <w:t>不</w:t>
      </w:r>
      <w:r>
        <w:rPr>
          <w:shd w:fill="D9D9D9" w:color="auto" w:val="clear"/>
        </w:rPr>
        <w:t>承担给付重大疾病保险金的责任：</w:t>
      </w:r>
      <w:r>
        <w:rPr/>
        <w:t> </w:t>
      </w:r>
      <w:r>
        <w:rPr>
          <w:shd w:fill="D9D9D9" w:color="auto" w:val="clear"/>
        </w:rPr>
        <w:t>(1)投保人对被保险人的故意杀害、故意伤害；</w:t>
      </w:r>
      <w:r>
        <w:rPr/>
        <w:t> </w:t>
      </w:r>
      <w:r>
        <w:rPr>
          <w:shd w:fill="D9D9D9" w:color="auto" w:val="clear"/>
        </w:rPr>
        <w:t>(2)被保险人故意自伤、故意犯罪或抗拒依法采取的刑事强制措</w:t>
      </w:r>
      <w:r>
        <w:rPr>
          <w:spacing w:val="-1"/>
          <w:shd w:fill="D9D9D9" w:color="auto" w:val="clear"/>
        </w:rPr>
        <w:t>施；</w:t>
      </w:r>
    </w:p>
    <w:p>
      <w:pPr>
        <w:pStyle w:val="BodyText"/>
        <w:spacing w:line="291" w:lineRule="exact" w:before="0"/>
        <w:ind w:left="2773"/>
      </w:pPr>
      <w:r>
        <w:rPr>
          <w:shd w:fill="D9D9D9" w:color="auto" w:val="clear"/>
        </w:rPr>
        <w:t>(3)被保险人主动吸食或注射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2"/>
        <w:ind w:left="3089" w:right="213" w:hanging="316"/>
        <w:jc w:val="left"/>
        <w:rPr>
          <w:sz w:val="21"/>
        </w:rPr>
      </w:pPr>
      <w:r>
        <w:rPr>
          <w:sz w:val="21"/>
          <w:shd w:fill="D9D9D9" w:color="auto" w:val="clear"/>
        </w:rPr>
        <w:t>(4)被保险人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spacing w:line="320" w:lineRule="exact" w:before="0"/>
        <w:ind w:left="2773" w:right="0" w:firstLine="0"/>
        <w:jc w:val="left"/>
        <w:rPr>
          <w:sz w:val="21"/>
        </w:rPr>
      </w:pPr>
      <w:r>
        <w:rPr>
          <w:sz w:val="21"/>
          <w:shd w:fill="D9D9D9" w:color="auto" w:val="clear"/>
        </w:rPr>
        <w:t>(5)被保险人</w:t>
      </w:r>
      <w:r>
        <w:rPr>
          <w:rFonts w:ascii="微软雅黑" w:eastAsia="微软雅黑" w:hint="eastAsia"/>
          <w:b/>
          <w:sz w:val="21"/>
          <w:shd w:fill="D9D9D9" w:color="auto" w:val="clear"/>
        </w:rPr>
        <w:t>感染艾滋病病毒或患艾滋病</w:t>
      </w:r>
      <w:r>
        <w:rPr>
          <w:sz w:val="21"/>
          <w:shd w:fill="D9D9D9" w:color="auto" w:val="clear"/>
        </w:rPr>
        <w:t>，但若属于本附加险合同所保障的</w:t>
      </w:r>
    </w:p>
    <w:p>
      <w:pPr>
        <w:pStyle w:val="BodyText"/>
        <w:spacing w:line="278" w:lineRule="auto" w:before="20"/>
        <w:ind w:left="2773" w:right="854" w:firstLine="315"/>
      </w:pPr>
      <w:r>
        <w:rPr>
          <w:spacing w:val="-1"/>
          <w:shd w:fill="D9D9D9" w:color="auto" w:val="clear"/>
        </w:rPr>
        <w:t>“经输血导致的人类免疫缺陷病毒（HIV）</w:t>
      </w:r>
      <w:r>
        <w:rPr>
          <w:spacing w:val="-14"/>
          <w:shd w:fill="D9D9D9" w:color="auto" w:val="clear"/>
        </w:rPr>
        <w:t>感染”，则不在此限；</w:t>
      </w:r>
      <w:r>
        <w:rPr>
          <w:spacing w:val="-14"/>
        </w:rPr>
        <w:t> </w:t>
      </w:r>
      <w:r>
        <w:rPr>
          <w:spacing w:val="-14"/>
          <w:shd w:fill="D9D9D9" w:color="auto" w:val="clear"/>
        </w:rPr>
        <w:t>(6)战争、军事冲突、暴乱或武装叛乱；</w:t>
      </w:r>
      <w:r>
        <w:rPr>
          <w:spacing w:val="-14"/>
        </w:rPr>
        <w:t> </w:t>
      </w:r>
      <w:r>
        <w:rPr>
          <w:spacing w:val="-14"/>
          <w:shd w:fill="D9D9D9" w:color="auto" w:val="clear"/>
        </w:rPr>
        <w:t>                     </w:t>
      </w:r>
      <w:r>
        <w:rPr>
          <w:spacing w:val="-1"/>
          <w:shd w:fill="D9D9D9" w:color="auto" w:val="clear"/>
        </w:rPr>
        <w:t>(7)核爆炸、核辐射或核污染；</w:t>
      </w:r>
    </w:p>
    <w:p>
      <w:pPr>
        <w:spacing w:line="312" w:lineRule="exact" w:before="0"/>
        <w:ind w:left="2773" w:right="0" w:firstLine="0"/>
        <w:jc w:val="left"/>
        <w:rPr>
          <w:sz w:val="21"/>
        </w:rPr>
      </w:pPr>
      <w:r>
        <w:rPr>
          <w:sz w:val="21"/>
          <w:shd w:fill="D9D9D9" w:color="auto" w:val="clear"/>
        </w:rPr>
        <w:t>(8)</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p>
      <w:pPr>
        <w:pStyle w:val="BodyText"/>
        <w:spacing w:line="280" w:lineRule="auto" w:before="19"/>
        <w:ind w:left="2773" w:right="203"/>
        <w:jc w:val="both"/>
      </w:pPr>
      <w:r>
        <w:rPr>
          <w:spacing w:val="3"/>
          <w:shd w:fill="D9D9D9" w:color="auto" w:val="clear"/>
        </w:rPr>
        <w:t>发生上述第(</w:t>
      </w:r>
      <w:r>
        <w:rPr>
          <w:shd w:fill="D9D9D9" w:color="auto" w:val="clear"/>
        </w:rPr>
        <w:t>1</w:t>
      </w:r>
      <w:r>
        <w:rPr>
          <w:spacing w:val="3"/>
          <w:shd w:fill="D9D9D9" w:color="auto" w:val="clear"/>
        </w:rPr>
        <w:t>)项情形导致被保险人被确诊发生本保险合同约定的重大疾</w:t>
      </w:r>
      <w:r>
        <w:rPr>
          <w:spacing w:val="-12"/>
          <w:shd w:fill="D9D9D9" w:color="auto" w:val="clear"/>
        </w:rPr>
        <w:t>病，本保险合同终止，您已交足 </w:t>
      </w:r>
      <w:r>
        <w:rPr>
          <w:shd w:fill="D9D9D9" w:color="auto" w:val="clear"/>
        </w:rPr>
        <w:t>2</w:t>
      </w:r>
      <w:r>
        <w:rPr>
          <w:spacing w:val="-10"/>
          <w:shd w:fill="D9D9D9" w:color="auto" w:val="clear"/>
        </w:rPr>
        <w:t> 年以上保险费的，我们向被保险人退还本保险合同保险单的现金价值。</w:t>
      </w:r>
    </w:p>
    <w:p>
      <w:pPr>
        <w:pStyle w:val="BodyText"/>
        <w:spacing w:line="280" w:lineRule="auto" w:before="8"/>
        <w:ind w:left="2773" w:right="211"/>
      </w:pPr>
      <w:r>
        <w:rPr>
          <w:spacing w:val="-3"/>
          <w:shd w:fill="D9D9D9" w:color="auto" w:val="clear"/>
        </w:rPr>
        <w:t>发生上述其他情形导致被保险人被确诊发生本保险合同约定的重大疾病，本</w:t>
      </w:r>
      <w:r>
        <w:rPr>
          <w:spacing w:val="-210"/>
          <w:shd w:fill="D9D9D9" w:color="auto" w:val="clear"/>
        </w:rPr>
        <w:t>保</w:t>
      </w:r>
      <w:r>
        <w:rPr>
          <w:shd w:fill="D9D9D9" w:color="auto" w:val="clear"/>
        </w:rPr>
        <w:t>险合同终止，我们向您退还本保险合同保险单的现金价值。</w:t>
      </w:r>
    </w:p>
    <w:p>
      <w:pPr>
        <w:pStyle w:val="BodyText"/>
        <w:spacing w:before="12"/>
        <w:rPr>
          <w:sz w:val="8"/>
        </w:rPr>
      </w:pPr>
      <w:r>
        <w:rPr/>
        <w:pict>
          <v:shape style="position:absolute;margin-left:57.360001pt;margin-top:7.044572pt;width:480.6pt;height:15.6pt;mso-position-horizontal-relative:page;mso-position-vertical-relative:paragraph;z-index:1096;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sz w:val="7"/>
        </w:rPr>
      </w:pPr>
    </w:p>
    <w:p>
      <w:pPr>
        <w:pStyle w:val="BodyText"/>
        <w:tabs>
          <w:tab w:pos="1271" w:val="left" w:leader="none"/>
          <w:tab w:pos="2773" w:val="left" w:leader="none"/>
        </w:tabs>
        <w:ind w:left="215"/>
      </w:pPr>
      <w:r>
        <w:rPr>
          <w:rFonts w:ascii="黑体" w:eastAsia="黑体" w:hint="eastAsia"/>
        </w:rPr>
        <w:t>3.1</w:t>
        <w:tab/>
        <w:t>受益人</w:t>
        <w:tab/>
      </w:r>
      <w:r>
        <w:rPr/>
        <w:t>您或者被保险人可以指定一人或多人为身故保险金受益人。</w:t>
      </w:r>
    </w:p>
    <w:p>
      <w:pPr>
        <w:pStyle w:val="BodyText"/>
        <w:spacing w:line="280" w:lineRule="auto" w:before="45"/>
        <w:ind w:left="2773" w:right="212"/>
      </w:pPr>
      <w:r>
        <w:rPr>
          <w:spacing w:val="-6"/>
        </w:rPr>
        <w:t>身故保险金受益人为多人时，可以确定受益顺序和受益份额；如果没有确定份额，各受益人按照相等份额享有受益权。</w:t>
      </w:r>
    </w:p>
    <w:p>
      <w:pPr>
        <w:spacing w:after="0" w:line="280" w:lineRule="auto"/>
        <w:sectPr>
          <w:pgSz w:w="11910" w:h="16840"/>
          <w:pgMar w:top="1420" w:bottom="280" w:left="1040" w:right="10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752"/>
        <w:gridCol w:w="7010"/>
      </w:tblGrid>
      <w:tr>
        <w:trPr>
          <w:trHeight w:val="4815" w:hRule="atLeast"/>
        </w:trPr>
        <w:tc>
          <w:tcPr>
            <w:tcW w:w="2488" w:type="dxa"/>
            <w:gridSpan w:val="2"/>
          </w:tcPr>
          <w:p>
            <w:pPr>
              <w:pStyle w:val="TableParagraph"/>
              <w:spacing w:before="0"/>
              <w:ind w:left="0"/>
              <w:rPr>
                <w:rFonts w:ascii="Times New Roman"/>
                <w:sz w:val="20"/>
              </w:rPr>
            </w:pPr>
          </w:p>
        </w:tc>
        <w:tc>
          <w:tcPr>
            <w:tcW w:w="7010" w:type="dxa"/>
          </w:tcPr>
          <w:p>
            <w:pPr>
              <w:pStyle w:val="TableParagraph"/>
              <w:spacing w:line="204" w:lineRule="exact" w:before="0"/>
              <w:ind w:left="120"/>
              <w:rPr>
                <w:sz w:val="21"/>
              </w:rPr>
            </w:pPr>
            <w:r>
              <w:rPr>
                <w:spacing w:val="-5"/>
                <w:sz w:val="21"/>
              </w:rPr>
              <w:t>被保险人为无民事行为能力人或限制民事行为能力人的，可以由其监护人指</w:t>
            </w:r>
          </w:p>
          <w:p>
            <w:pPr>
              <w:pStyle w:val="TableParagraph"/>
              <w:spacing w:before="44"/>
              <w:ind w:left="120"/>
              <w:rPr>
                <w:sz w:val="21"/>
              </w:rPr>
            </w:pPr>
            <w:r>
              <w:rPr>
                <w:sz w:val="21"/>
              </w:rPr>
              <w:t>定受益人。</w:t>
            </w:r>
          </w:p>
          <w:p>
            <w:pPr>
              <w:pStyle w:val="TableParagraph"/>
              <w:spacing w:line="280" w:lineRule="auto" w:before="45"/>
              <w:ind w:left="120" w:right="51"/>
              <w:rPr>
                <w:sz w:val="21"/>
              </w:rPr>
            </w:pPr>
            <w:r>
              <w:rPr>
                <w:spacing w:val="-4"/>
                <w:sz w:val="21"/>
              </w:rPr>
              <w:t>您或者被保险人可以变更身故保险金受益人并书面通知我们。我们收到变更受益人的书面通知后，在保险单或其他保险凭证上批注或附贴批单。</w:t>
            </w:r>
          </w:p>
          <w:p>
            <w:pPr>
              <w:pStyle w:val="TableParagraph"/>
              <w:spacing w:before="8"/>
              <w:ind w:left="120"/>
              <w:rPr>
                <w:sz w:val="21"/>
              </w:rPr>
            </w:pPr>
            <w:r>
              <w:rPr>
                <w:sz w:val="21"/>
              </w:rPr>
              <w:t>您在指定和变更身故保险金受益人时，必须经过被保险人同意。</w:t>
            </w:r>
          </w:p>
          <w:p>
            <w:pPr>
              <w:pStyle w:val="TableParagraph"/>
              <w:spacing w:line="278" w:lineRule="auto" w:before="45"/>
              <w:ind w:left="120" w:right="51"/>
              <w:rPr>
                <w:sz w:val="21"/>
              </w:rPr>
            </w:pPr>
            <w:r>
              <w:rPr>
                <w:spacing w:val="-7"/>
                <w:sz w:val="21"/>
              </w:rPr>
              <w:t>被保险人身故后，有下列情形之一的，保险金作为被保险人的遗产，由我们依照《中华人民共和国继承法》的规定履行给付保险金的义务：       (1)没有指定受益人，或者受益人指定不明无法确定的；              (2)受益人先于被保险人身故，没有其他受益人的；                  </w:t>
            </w:r>
            <w:r>
              <w:rPr>
                <w:spacing w:val="-1"/>
                <w:sz w:val="21"/>
              </w:rPr>
              <w:t>(3)受益人依法丧失受益权或者放弃受益权，没有其他受益人的。</w:t>
            </w:r>
          </w:p>
          <w:p>
            <w:pPr>
              <w:pStyle w:val="TableParagraph"/>
              <w:spacing w:line="280" w:lineRule="auto" w:before="10"/>
              <w:ind w:left="120" w:right="51"/>
              <w:rPr>
                <w:sz w:val="21"/>
              </w:rPr>
            </w:pPr>
            <w:r>
              <w:rPr>
                <w:spacing w:val="-5"/>
                <w:sz w:val="21"/>
              </w:rPr>
              <w:t>受益人与被保险人在同一事件中身故，且不能确定身故先后顺序的，推定受益人身故在先。</w:t>
            </w:r>
          </w:p>
          <w:p>
            <w:pPr>
              <w:pStyle w:val="TableParagraph"/>
              <w:spacing w:line="278" w:lineRule="auto" w:before="9"/>
              <w:ind w:left="120" w:right="51"/>
              <w:rPr>
                <w:sz w:val="21"/>
              </w:rPr>
            </w:pPr>
            <w:r>
              <w:rPr>
                <w:spacing w:val="-7"/>
                <w:sz w:val="21"/>
              </w:rPr>
              <w:t>受益人故意造成被保险人身故、伤残、疾病的，或者故意杀害被保险人未遂的，该受益人丧失受益权。</w:t>
            </w:r>
          </w:p>
          <w:p>
            <w:pPr>
              <w:pStyle w:val="TableParagraph"/>
              <w:spacing w:before="12"/>
              <w:ind w:left="120"/>
              <w:rPr>
                <w:sz w:val="21"/>
              </w:rPr>
            </w:pPr>
            <w:r>
              <w:rPr>
                <w:sz w:val="21"/>
              </w:rPr>
              <w:t>除另有指定外，重大疾病保险金的受益人为被保险人本人。</w:t>
            </w:r>
          </w:p>
        </w:tc>
      </w:tr>
      <w:tr>
        <w:trPr>
          <w:trHeight w:val="2061" w:hRule="atLeast"/>
        </w:trPr>
        <w:tc>
          <w:tcPr>
            <w:tcW w:w="736" w:type="dxa"/>
          </w:tcPr>
          <w:p>
            <w:pPr>
              <w:pStyle w:val="TableParagraph"/>
              <w:spacing w:before="54"/>
              <w:ind w:left="50"/>
              <w:rPr>
                <w:rFonts w:ascii="黑体"/>
                <w:sz w:val="21"/>
              </w:rPr>
            </w:pPr>
            <w:r>
              <w:rPr>
                <w:rFonts w:ascii="黑体"/>
                <w:sz w:val="21"/>
              </w:rPr>
              <w:t>3.2</w:t>
            </w:r>
          </w:p>
        </w:tc>
        <w:tc>
          <w:tcPr>
            <w:tcW w:w="1752" w:type="dxa"/>
          </w:tcPr>
          <w:p>
            <w:pPr>
              <w:pStyle w:val="TableParagraph"/>
              <w:spacing w:before="54"/>
              <w:ind w:left="370"/>
              <w:rPr>
                <w:rFonts w:ascii="黑体" w:eastAsia="黑体" w:hint="eastAsia"/>
                <w:sz w:val="21"/>
              </w:rPr>
            </w:pPr>
            <w:r>
              <w:rPr>
                <w:rFonts w:ascii="黑体" w:eastAsia="黑体" w:hint="eastAsia"/>
                <w:sz w:val="21"/>
              </w:rPr>
              <w:t>保险事故通知</w:t>
            </w:r>
          </w:p>
        </w:tc>
        <w:tc>
          <w:tcPr>
            <w:tcW w:w="7010" w:type="dxa"/>
          </w:tcPr>
          <w:p>
            <w:pPr>
              <w:pStyle w:val="TableParagraph"/>
              <w:spacing w:before="54"/>
              <w:ind w:left="120"/>
              <w:rPr>
                <w:sz w:val="21"/>
              </w:rPr>
            </w:pPr>
            <w:r>
              <w:rPr>
                <w:sz w:val="21"/>
              </w:rPr>
              <w:t>您、被保险人或受益人知道保险事故后应当在 10 日内通知我们。</w:t>
            </w:r>
          </w:p>
          <w:p>
            <w:pPr>
              <w:pStyle w:val="TableParagraph"/>
              <w:spacing w:line="278" w:lineRule="auto" w:before="45"/>
              <w:ind w:left="120" w:right="48"/>
              <w:jc w:val="both"/>
              <w:rPr>
                <w:sz w:val="21"/>
              </w:rPr>
            </w:pPr>
            <w:r>
              <w:rPr>
                <w:spacing w:val="-9"/>
                <w:sz w:val="21"/>
                <w:shd w:fill="D9D9D9" w:color="auto" w:val="clear"/>
              </w:rPr>
              <w:t>如果您、被保险人或受益人故意或者因重大过失未及时通知，致使保险事故</w:t>
            </w:r>
            <w:r>
              <w:rPr>
                <w:spacing w:val="-11"/>
                <w:sz w:val="21"/>
                <w:shd w:fill="D9D9D9" w:color="auto" w:val="clear"/>
              </w:rPr>
              <w:t>的性质、原因、损失程度等难以确定的，我们对无法确定的部分，不承担给</w:t>
            </w:r>
            <w:r>
              <w:rPr>
                <w:spacing w:val="-22"/>
                <w:sz w:val="21"/>
                <w:shd w:fill="D9D9D9" w:color="auto" w:val="clear"/>
              </w:rPr>
              <w:t>付保险金的责任，</w:t>
            </w:r>
            <w:r>
              <w:rPr>
                <w:sz w:val="21"/>
              </w:rPr>
              <w:t>但我们通过其他途径已经及时知道或者应当及时知道保险事故发生或者虽未及时通知但不影响我们确定保险事故的性质</w:t>
            </w:r>
            <w:r>
              <w:rPr>
                <w:spacing w:val="-44"/>
                <w:sz w:val="21"/>
              </w:rPr>
              <w:t>、原因、损失程度的除外。</w:t>
            </w:r>
          </w:p>
        </w:tc>
      </w:tr>
      <w:tr>
        <w:trPr>
          <w:trHeight w:val="462" w:hRule="atLeast"/>
        </w:trPr>
        <w:tc>
          <w:tcPr>
            <w:tcW w:w="736" w:type="dxa"/>
          </w:tcPr>
          <w:p>
            <w:pPr>
              <w:pStyle w:val="TableParagraph"/>
              <w:spacing w:before="54"/>
              <w:ind w:left="50"/>
              <w:rPr>
                <w:rFonts w:ascii="黑体"/>
                <w:sz w:val="21"/>
              </w:rPr>
            </w:pPr>
            <w:r>
              <w:rPr>
                <w:rFonts w:ascii="黑体"/>
                <w:sz w:val="21"/>
              </w:rPr>
              <w:t>3.3</w:t>
            </w:r>
          </w:p>
        </w:tc>
        <w:tc>
          <w:tcPr>
            <w:tcW w:w="1752" w:type="dxa"/>
          </w:tcPr>
          <w:p>
            <w:pPr>
              <w:pStyle w:val="TableParagraph"/>
              <w:spacing w:before="54"/>
              <w:ind w:left="370"/>
              <w:rPr>
                <w:rFonts w:ascii="黑体" w:eastAsia="黑体" w:hint="eastAsia"/>
                <w:sz w:val="21"/>
              </w:rPr>
            </w:pPr>
            <w:r>
              <w:rPr>
                <w:rFonts w:ascii="黑体" w:eastAsia="黑体" w:hint="eastAsia"/>
                <w:sz w:val="21"/>
              </w:rPr>
              <w:t>保险金申请</w:t>
            </w:r>
          </w:p>
        </w:tc>
        <w:tc>
          <w:tcPr>
            <w:tcW w:w="7010" w:type="dxa"/>
          </w:tcPr>
          <w:p>
            <w:pPr>
              <w:pStyle w:val="TableParagraph"/>
              <w:spacing w:before="54"/>
              <w:ind w:left="120"/>
              <w:rPr>
                <w:sz w:val="21"/>
              </w:rPr>
            </w:pPr>
            <w:r>
              <w:rPr>
                <w:sz w:val="21"/>
              </w:rPr>
              <w:t>在申请保险金时，请按照下列方式办理：</w:t>
            </w:r>
          </w:p>
        </w:tc>
      </w:tr>
      <w:tr>
        <w:trPr>
          <w:trHeight w:val="1295" w:hRule="atLeast"/>
        </w:trPr>
        <w:tc>
          <w:tcPr>
            <w:tcW w:w="736" w:type="dxa"/>
          </w:tcPr>
          <w:p>
            <w:pPr>
              <w:pStyle w:val="TableParagraph"/>
              <w:spacing w:before="0"/>
              <w:ind w:left="0"/>
              <w:rPr>
                <w:rFonts w:ascii="Times New Roman"/>
                <w:sz w:val="20"/>
              </w:rPr>
            </w:pPr>
          </w:p>
        </w:tc>
        <w:tc>
          <w:tcPr>
            <w:tcW w:w="1752" w:type="dxa"/>
          </w:tcPr>
          <w:p>
            <w:pPr>
              <w:pStyle w:val="TableParagraph"/>
              <w:spacing w:line="280" w:lineRule="auto" w:before="54"/>
              <w:ind w:left="370" w:right="119"/>
              <w:rPr>
                <w:rFonts w:ascii="黑体" w:eastAsia="黑体" w:hint="eastAsia"/>
                <w:sz w:val="21"/>
              </w:rPr>
            </w:pPr>
            <w:r>
              <w:rPr>
                <w:rFonts w:ascii="黑体" w:eastAsia="黑体" w:hint="eastAsia"/>
                <w:sz w:val="21"/>
              </w:rPr>
              <w:t>身故保险金申请</w:t>
            </w:r>
          </w:p>
        </w:tc>
        <w:tc>
          <w:tcPr>
            <w:tcW w:w="7010" w:type="dxa"/>
          </w:tcPr>
          <w:p>
            <w:pPr>
              <w:pStyle w:val="TableParagraph"/>
              <w:spacing w:line="280" w:lineRule="auto" w:before="54"/>
              <w:ind w:left="120" w:right="1410"/>
              <w:rPr>
                <w:sz w:val="21"/>
              </w:rPr>
            </w:pPr>
            <w:r>
              <w:rPr>
                <w:sz w:val="21"/>
              </w:rPr>
              <w:t>申请人须填写保险金给付申请书，并提供下列证明和资料： (1)保险合同；</w:t>
            </w:r>
          </w:p>
          <w:p>
            <w:pPr>
              <w:pStyle w:val="TableParagraph"/>
              <w:spacing w:before="9"/>
              <w:ind w:left="120"/>
              <w:rPr>
                <w:sz w:val="21"/>
              </w:rPr>
            </w:pPr>
            <w:r>
              <w:rPr>
                <w:sz w:val="21"/>
              </w:rPr>
              <w:t>(2)申请人的有效身份证件；</w:t>
            </w:r>
          </w:p>
          <w:p>
            <w:pPr>
              <w:pStyle w:val="TableParagraph"/>
              <w:spacing w:line="261" w:lineRule="exact" w:before="44"/>
              <w:ind w:left="120"/>
              <w:rPr>
                <w:sz w:val="21"/>
              </w:rPr>
            </w:pPr>
            <w:r>
              <w:rPr>
                <w:sz w:val="21"/>
              </w:rPr>
              <w:t>(3)卫生行政部门认定的医疗机构、公安部门或其他相关机构出具的被保险</w:t>
            </w:r>
          </w:p>
        </w:tc>
      </w:tr>
    </w:tbl>
    <w:p>
      <w:pPr>
        <w:pStyle w:val="BodyText"/>
        <w:spacing w:line="280" w:lineRule="auto" w:before="39"/>
        <w:ind w:left="2713" w:right="414" w:firstLine="315"/>
      </w:pPr>
      <w:r>
        <w:rPr/>
        <w:t>人的死亡证明；                                            </w:t>
      </w:r>
      <w:r>
        <w:rPr>
          <w:spacing w:val="-1"/>
        </w:rPr>
        <w:t>(4)所能提供的与确认保险事故的性质、原因等有关的其他证明和资料。</w:t>
      </w:r>
    </w:p>
    <w:p>
      <w:pPr>
        <w:pStyle w:val="BodyText"/>
        <w:spacing w:before="8"/>
        <w:ind w:left="2713"/>
      </w:pPr>
      <w:r>
        <w:rPr/>
        <w:t>保险金作为被保险人遗产时，必须提供可证明合法继承权的相关权利文件。</w:t>
      </w:r>
    </w:p>
    <w:p>
      <w:pPr>
        <w:pStyle w:val="BodyText"/>
        <w:spacing w:before="7"/>
        <w:rPr>
          <w:sz w:val="11"/>
        </w:rPr>
      </w:pPr>
    </w:p>
    <w:p>
      <w:pPr>
        <w:spacing w:after="0"/>
        <w:rPr>
          <w:sz w:val="11"/>
        </w:rPr>
        <w:sectPr>
          <w:pgSz w:w="11910" w:h="16840"/>
          <w:pgMar w:top="1500" w:bottom="280" w:left="1100" w:right="1060"/>
        </w:sectPr>
      </w:pPr>
    </w:p>
    <w:p>
      <w:pPr>
        <w:pStyle w:val="BodyText"/>
        <w:spacing w:line="280" w:lineRule="auto"/>
        <w:ind w:left="1211"/>
        <w:rPr>
          <w:rFonts w:ascii="黑体" w:eastAsia="黑体" w:hint="eastAsia"/>
        </w:rPr>
      </w:pPr>
      <w:r>
        <w:rPr>
          <w:rFonts w:ascii="黑体" w:eastAsia="黑体" w:hint="eastAsia"/>
        </w:rPr>
        <w:t>重大疾病保险金</w:t>
      </w:r>
    </w:p>
    <w:p>
      <w:pPr>
        <w:pStyle w:val="BodyText"/>
        <w:spacing w:line="280" w:lineRule="auto"/>
        <w:ind w:left="171" w:right="1556"/>
      </w:pPr>
      <w:r>
        <w:rPr/>
        <w:br w:type="column"/>
      </w:r>
      <w:r>
        <w:rPr/>
        <w:t>申请人须填写保险金给付申请书，并提供下列证明和资料： (1)保险合同；</w:t>
      </w:r>
    </w:p>
    <w:p>
      <w:pPr>
        <w:pStyle w:val="BodyText"/>
        <w:spacing w:before="9"/>
        <w:ind w:left="171"/>
      </w:pPr>
      <w:r>
        <w:rPr/>
        <w:t>(2)申请人的有效身份证件；</w:t>
      </w:r>
    </w:p>
    <w:p>
      <w:pPr>
        <w:pStyle w:val="BodyText"/>
        <w:spacing w:line="278" w:lineRule="auto" w:before="44"/>
        <w:ind w:left="486" w:right="190" w:hanging="316"/>
        <w:jc w:val="both"/>
      </w:pPr>
      <w:r>
        <w:rPr/>
        <w:t>(3)卫生行政部门认定的二级以上（含二级）医院出具的附有病理显微镜检查报告、血液检查及其他科学方法检验报告的病史资料及疾病诊断报告书；</w:t>
      </w:r>
      <w:r>
        <w:rPr>
          <w:shd w:fill="D9D9D9" w:color="auto" w:val="clear"/>
        </w:rPr>
        <w:t>但原发性心肌病的理赔须由三级以上（含三级）医院出具前述报告和资料；</w:t>
      </w:r>
      <w:r>
        <w:rPr>
          <w:spacing w:val="-16"/>
        </w:rPr>
        <w:t>如有必要，我们有权对被保险人进行复检，复检费用由我们承担；</w:t>
      </w:r>
    </w:p>
    <w:p>
      <w:pPr>
        <w:pStyle w:val="BodyText"/>
        <w:spacing w:line="278" w:lineRule="auto" w:before="12"/>
        <w:ind w:left="486" w:right="190" w:hanging="316"/>
        <w:jc w:val="both"/>
      </w:pPr>
      <w:r>
        <w:rPr/>
        <w:t>(4)所能提供的与确认保险事故的性质、原因、伤害程度等有关的其他证明和资料。</w:t>
      </w:r>
    </w:p>
    <w:p>
      <w:pPr>
        <w:pStyle w:val="BodyText"/>
        <w:spacing w:line="280" w:lineRule="auto" w:before="153"/>
        <w:ind w:left="171" w:right="192"/>
      </w:pPr>
      <w:r>
        <w:rPr>
          <w:spacing w:val="-5"/>
        </w:rPr>
        <w:t>以上各项保险金申请的证明和资料不完整的，我们将及时一次性通知申请人补充提供有关证明和资料。</w:t>
      </w:r>
    </w:p>
    <w:p>
      <w:pPr>
        <w:spacing w:after="0" w:line="280" w:lineRule="auto"/>
        <w:sectPr>
          <w:type w:val="continuous"/>
          <w:pgSz w:w="11910" w:h="16840"/>
          <w:pgMar w:top="1260" w:bottom="280" w:left="1100" w:right="1060"/>
          <w:cols w:num="2" w:equalWidth="0">
            <w:col w:w="2503" w:space="40"/>
            <w:col w:w="7207"/>
          </w:cols>
        </w:sectPr>
      </w:pPr>
    </w:p>
    <w:p>
      <w:pPr>
        <w:pStyle w:val="BodyText"/>
        <w:spacing w:before="8"/>
        <w:rPr>
          <w:sz w:val="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752"/>
        <w:gridCol w:w="7064"/>
      </w:tblGrid>
      <w:tr>
        <w:trPr>
          <w:trHeight w:val="3536" w:hRule="atLeast"/>
        </w:trPr>
        <w:tc>
          <w:tcPr>
            <w:tcW w:w="794" w:type="dxa"/>
          </w:tcPr>
          <w:p>
            <w:pPr>
              <w:pStyle w:val="TableParagraph"/>
              <w:spacing w:line="210" w:lineRule="exact" w:before="0"/>
              <w:ind w:left="107"/>
              <w:rPr>
                <w:rFonts w:ascii="黑体"/>
                <w:sz w:val="21"/>
              </w:rPr>
            </w:pPr>
            <w:r>
              <w:rPr>
                <w:rFonts w:ascii="黑体"/>
                <w:sz w:val="21"/>
              </w:rPr>
              <w:t>3.4</w:t>
            </w:r>
          </w:p>
        </w:tc>
        <w:tc>
          <w:tcPr>
            <w:tcW w:w="1752" w:type="dxa"/>
          </w:tcPr>
          <w:p>
            <w:pPr>
              <w:pStyle w:val="TableParagraph"/>
              <w:spacing w:line="210" w:lineRule="exact" w:before="0"/>
              <w:ind w:left="370"/>
              <w:rPr>
                <w:rFonts w:ascii="黑体" w:eastAsia="黑体" w:hint="eastAsia"/>
                <w:sz w:val="21"/>
              </w:rPr>
            </w:pPr>
            <w:r>
              <w:rPr>
                <w:rFonts w:ascii="黑体" w:eastAsia="黑体" w:hint="eastAsia"/>
                <w:sz w:val="21"/>
              </w:rPr>
              <w:t>保险金给付</w:t>
            </w:r>
          </w:p>
        </w:tc>
        <w:tc>
          <w:tcPr>
            <w:tcW w:w="7064" w:type="dxa"/>
          </w:tcPr>
          <w:p>
            <w:pPr>
              <w:pStyle w:val="TableParagraph"/>
              <w:spacing w:line="202" w:lineRule="exact" w:before="0"/>
              <w:ind w:left="120"/>
              <w:rPr>
                <w:sz w:val="21"/>
              </w:rPr>
            </w:pPr>
            <w:r>
              <w:rPr>
                <w:spacing w:val="-6"/>
                <w:sz w:val="21"/>
              </w:rPr>
              <w:t>我们在收到保险金给付申请书及合同约定的证明和资料后，将在 </w:t>
            </w:r>
            <w:r>
              <w:rPr>
                <w:sz w:val="21"/>
              </w:rPr>
              <w:t>5</w:t>
            </w:r>
            <w:r>
              <w:rPr>
                <w:spacing w:val="-12"/>
                <w:sz w:val="21"/>
              </w:rPr>
              <w:t> 个工作日</w:t>
            </w:r>
          </w:p>
          <w:p>
            <w:pPr>
              <w:pStyle w:val="TableParagraph"/>
              <w:spacing w:line="354" w:lineRule="exact" w:before="0"/>
              <w:ind w:left="120"/>
              <w:rPr>
                <w:sz w:val="21"/>
              </w:rPr>
            </w:pPr>
            <w:r>
              <w:rPr>
                <w:sz w:val="21"/>
              </w:rPr>
              <w:t>内作出核定；</w:t>
            </w:r>
            <w:r>
              <w:rPr>
                <w:rFonts w:ascii="微软雅黑" w:eastAsia="微软雅黑" w:hint="eastAsia"/>
                <w:b/>
                <w:sz w:val="21"/>
              </w:rPr>
              <w:t>情形复杂</w:t>
            </w:r>
            <w:r>
              <w:rPr>
                <w:sz w:val="21"/>
              </w:rPr>
              <w:t>的，在 30 日内作出核定。对属于保险责任的，我们</w:t>
            </w:r>
          </w:p>
          <w:p>
            <w:pPr>
              <w:pStyle w:val="TableParagraph"/>
              <w:spacing w:before="19"/>
              <w:ind w:left="120"/>
              <w:rPr>
                <w:sz w:val="21"/>
              </w:rPr>
            </w:pPr>
            <w:r>
              <w:rPr>
                <w:sz w:val="21"/>
              </w:rPr>
              <w:t>在与受益人达成给付保险金的协议后 10 日内，履行给付保险金义务。</w:t>
            </w:r>
          </w:p>
          <w:p>
            <w:pPr>
              <w:pStyle w:val="TableParagraph"/>
              <w:spacing w:line="278" w:lineRule="auto" w:before="45"/>
              <w:ind w:left="120" w:right="105"/>
              <w:jc w:val="both"/>
              <w:rPr>
                <w:sz w:val="21"/>
              </w:rPr>
            </w:pPr>
            <w:r>
              <w:rPr>
                <w:spacing w:val="-6"/>
                <w:sz w:val="21"/>
              </w:rPr>
              <w:t>我们未及时履行前款规定义务的，除支付保险金外，应当赔偿受益人因此受</w:t>
            </w:r>
            <w:r>
              <w:rPr>
                <w:spacing w:val="-12"/>
                <w:sz w:val="21"/>
              </w:rPr>
              <w:t>到的损失。前述“损失”是指根据中国人民银行公布的同时期的人民币活期存款基准利率计算的利息损失。</w:t>
            </w:r>
          </w:p>
          <w:p>
            <w:pPr>
              <w:pStyle w:val="TableParagraph"/>
              <w:spacing w:line="280" w:lineRule="auto" w:before="11"/>
              <w:ind w:left="120" w:right="105"/>
              <w:jc w:val="both"/>
              <w:rPr>
                <w:sz w:val="21"/>
              </w:rPr>
            </w:pPr>
            <w:r>
              <w:rPr>
                <w:spacing w:val="-13"/>
                <w:sz w:val="21"/>
              </w:rPr>
              <w:t>对不属于保险责任的，我们自作出核定之日起 </w:t>
            </w:r>
            <w:r>
              <w:rPr>
                <w:sz w:val="21"/>
              </w:rPr>
              <w:t>3</w:t>
            </w:r>
            <w:r>
              <w:rPr>
                <w:spacing w:val="-8"/>
                <w:sz w:val="21"/>
              </w:rPr>
              <w:t> 日内向受益人发出拒绝给付保险金通知书并说明理由。</w:t>
            </w:r>
          </w:p>
          <w:p>
            <w:pPr>
              <w:pStyle w:val="TableParagraph"/>
              <w:spacing w:line="280" w:lineRule="auto" w:before="8"/>
              <w:ind w:left="120" w:right="105"/>
              <w:jc w:val="both"/>
              <w:rPr>
                <w:sz w:val="21"/>
              </w:rPr>
            </w:pPr>
            <w:r>
              <w:rPr>
                <w:spacing w:val="-3"/>
                <w:sz w:val="21"/>
              </w:rPr>
              <w:t>我们在收到保险金给付申请书及有关证明和资料之日起 </w:t>
            </w:r>
            <w:r>
              <w:rPr>
                <w:sz w:val="21"/>
              </w:rPr>
              <w:t>60</w:t>
            </w:r>
            <w:r>
              <w:rPr>
                <w:spacing w:val="-8"/>
                <w:sz w:val="21"/>
              </w:rPr>
              <w:t> 日内，对给付保</w:t>
            </w:r>
            <w:r>
              <w:rPr>
                <w:spacing w:val="-13"/>
                <w:sz w:val="21"/>
              </w:rPr>
              <w:t>险金的数额不能确定的，根据已有证明和资料可以确定的数额先予支付；我们最终确定给付保险金的数额后，将支付相应的差额。</w:t>
            </w:r>
          </w:p>
        </w:tc>
      </w:tr>
      <w:tr>
        <w:trPr>
          <w:trHeight w:val="2061" w:hRule="atLeast"/>
        </w:trPr>
        <w:tc>
          <w:tcPr>
            <w:tcW w:w="794" w:type="dxa"/>
          </w:tcPr>
          <w:p>
            <w:pPr>
              <w:pStyle w:val="TableParagraph"/>
              <w:spacing w:before="61"/>
              <w:ind w:left="108"/>
              <w:rPr>
                <w:rFonts w:ascii="黑体"/>
                <w:sz w:val="21"/>
              </w:rPr>
            </w:pPr>
            <w:r>
              <w:rPr>
                <w:rFonts w:ascii="黑体"/>
                <w:sz w:val="21"/>
              </w:rPr>
              <w:t>3.5</w:t>
            </w:r>
          </w:p>
        </w:tc>
        <w:tc>
          <w:tcPr>
            <w:tcW w:w="1752" w:type="dxa"/>
          </w:tcPr>
          <w:p>
            <w:pPr>
              <w:pStyle w:val="TableParagraph"/>
              <w:spacing w:before="61"/>
              <w:ind w:left="370"/>
              <w:rPr>
                <w:rFonts w:ascii="黑体" w:eastAsia="黑体" w:hint="eastAsia"/>
                <w:sz w:val="21"/>
              </w:rPr>
            </w:pPr>
            <w:r>
              <w:rPr>
                <w:rFonts w:ascii="黑体" w:eastAsia="黑体" w:hint="eastAsia"/>
                <w:sz w:val="21"/>
              </w:rPr>
              <w:t>宣告死亡处理</w:t>
            </w:r>
          </w:p>
        </w:tc>
        <w:tc>
          <w:tcPr>
            <w:tcW w:w="7064" w:type="dxa"/>
          </w:tcPr>
          <w:p>
            <w:pPr>
              <w:pStyle w:val="TableParagraph"/>
              <w:spacing w:line="278" w:lineRule="auto" w:before="61"/>
              <w:ind w:left="120" w:right="105"/>
              <w:jc w:val="both"/>
              <w:rPr>
                <w:sz w:val="21"/>
              </w:rPr>
            </w:pPr>
            <w:r>
              <w:rPr>
                <w:spacing w:val="-5"/>
                <w:sz w:val="21"/>
              </w:rPr>
              <w:t>如果被保险人在本合同有效期内失踪，而且被法院宣告死亡，我们以法院判</w:t>
            </w:r>
            <w:r>
              <w:rPr>
                <w:spacing w:val="-10"/>
                <w:sz w:val="21"/>
              </w:rPr>
              <w:t>决宣告死亡之日作为被保险人的死亡时间，符合本合同约定的身故保险金给</w:t>
            </w:r>
            <w:r>
              <w:rPr>
                <w:spacing w:val="-1"/>
                <w:sz w:val="21"/>
              </w:rPr>
              <w:t>付条件的，按本合同的约定给付身故保险金，本合同终止。</w:t>
            </w:r>
          </w:p>
          <w:p>
            <w:pPr>
              <w:pStyle w:val="TableParagraph"/>
              <w:spacing w:line="278" w:lineRule="auto" w:before="11"/>
              <w:ind w:left="120" w:right="105"/>
              <w:jc w:val="both"/>
              <w:rPr>
                <w:sz w:val="21"/>
              </w:rPr>
            </w:pPr>
            <w:r>
              <w:rPr>
                <w:spacing w:val="-4"/>
                <w:sz w:val="21"/>
              </w:rPr>
              <w:t>如果被保险人在宣告死亡后重新出现或者确知其没有死亡，保险金申请人应</w:t>
            </w:r>
            <w:r>
              <w:rPr>
                <w:spacing w:val="-10"/>
                <w:sz w:val="21"/>
              </w:rPr>
              <w:t>于知道或应当知道后 </w:t>
            </w:r>
            <w:r>
              <w:rPr>
                <w:sz w:val="21"/>
              </w:rPr>
              <w:t>30</w:t>
            </w:r>
            <w:r>
              <w:rPr>
                <w:spacing w:val="-8"/>
                <w:sz w:val="21"/>
              </w:rPr>
              <w:t> 日内向我们退还已给付的身故保险金，本合同的效力由双方依法确定。</w:t>
            </w:r>
          </w:p>
        </w:tc>
      </w:tr>
      <w:tr>
        <w:trPr>
          <w:trHeight w:val="833" w:hRule="atLeast"/>
        </w:trPr>
        <w:tc>
          <w:tcPr>
            <w:tcW w:w="794" w:type="dxa"/>
          </w:tcPr>
          <w:p>
            <w:pPr>
              <w:pStyle w:val="TableParagraph"/>
              <w:spacing w:before="61"/>
              <w:ind w:left="108"/>
              <w:rPr>
                <w:rFonts w:ascii="黑体"/>
                <w:sz w:val="21"/>
              </w:rPr>
            </w:pPr>
            <w:r>
              <w:rPr>
                <w:rFonts w:ascii="黑体"/>
                <w:sz w:val="21"/>
              </w:rPr>
              <w:t>3.6</w:t>
            </w:r>
          </w:p>
        </w:tc>
        <w:tc>
          <w:tcPr>
            <w:tcW w:w="1752" w:type="dxa"/>
          </w:tcPr>
          <w:p>
            <w:pPr>
              <w:pStyle w:val="TableParagraph"/>
              <w:spacing w:before="61"/>
              <w:ind w:left="370"/>
              <w:rPr>
                <w:rFonts w:ascii="黑体" w:eastAsia="黑体" w:hint="eastAsia"/>
                <w:sz w:val="21"/>
              </w:rPr>
            </w:pPr>
            <w:r>
              <w:rPr>
                <w:rFonts w:ascii="黑体" w:eastAsia="黑体" w:hint="eastAsia"/>
                <w:sz w:val="21"/>
              </w:rPr>
              <w:t>诉讼时效</w:t>
            </w:r>
          </w:p>
        </w:tc>
        <w:tc>
          <w:tcPr>
            <w:tcW w:w="7064" w:type="dxa"/>
          </w:tcPr>
          <w:p>
            <w:pPr>
              <w:pStyle w:val="TableParagraph"/>
              <w:spacing w:line="280" w:lineRule="auto" w:before="61"/>
              <w:ind w:left="120" w:right="105"/>
              <w:rPr>
                <w:sz w:val="21"/>
              </w:rPr>
            </w:pPr>
            <w:r>
              <w:rPr>
                <w:spacing w:val="-3"/>
                <w:sz w:val="21"/>
              </w:rPr>
              <w:t>受益人向我们请求给付保险金的诉讼时效期间为 </w:t>
            </w:r>
            <w:r>
              <w:rPr>
                <w:sz w:val="21"/>
              </w:rPr>
              <w:t>2</w:t>
            </w:r>
            <w:r>
              <w:rPr>
                <w:spacing w:val="-15"/>
                <w:sz w:val="21"/>
              </w:rPr>
              <w:t> 年，自其知道或者应当知道保险事故发生之日起计算。</w:t>
            </w:r>
          </w:p>
        </w:tc>
      </w:tr>
      <w:tr>
        <w:trPr>
          <w:trHeight w:val="312" w:hRule="atLeast"/>
        </w:trPr>
        <w:tc>
          <w:tcPr>
            <w:tcW w:w="794"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4．</w:t>
            </w:r>
          </w:p>
        </w:tc>
        <w:tc>
          <w:tcPr>
            <w:tcW w:w="1752" w:type="dxa"/>
            <w:shd w:val="clear" w:color="auto" w:fill="D3D3D3"/>
          </w:tcPr>
          <w:p>
            <w:pPr>
              <w:pStyle w:val="TableParagraph"/>
              <w:spacing w:before="10"/>
              <w:ind w:left="370"/>
              <w:rPr>
                <w:rFonts w:ascii="黑体" w:eastAsia="黑体" w:hint="eastAsia"/>
                <w:b/>
                <w:sz w:val="21"/>
              </w:rPr>
            </w:pPr>
            <w:r>
              <w:rPr>
                <w:rFonts w:ascii="黑体" w:eastAsia="黑体" w:hint="eastAsia"/>
                <w:b/>
                <w:w w:val="95"/>
                <w:sz w:val="21"/>
              </w:rPr>
              <w:t>保险费的支付</w:t>
            </w:r>
          </w:p>
        </w:tc>
        <w:tc>
          <w:tcPr>
            <w:tcW w:w="7064" w:type="dxa"/>
            <w:shd w:val="clear" w:color="auto" w:fill="D3D3D3"/>
          </w:tcPr>
          <w:p>
            <w:pPr>
              <w:pStyle w:val="TableParagraph"/>
              <w:spacing w:before="0"/>
              <w:ind w:left="0"/>
              <w:rPr>
                <w:rFonts w:ascii="Times New Roman"/>
                <w:sz w:val="20"/>
              </w:rPr>
            </w:pPr>
          </w:p>
        </w:tc>
      </w:tr>
      <w:tr>
        <w:trPr>
          <w:trHeight w:val="2472" w:hRule="atLeast"/>
        </w:trPr>
        <w:tc>
          <w:tcPr>
            <w:tcW w:w="794" w:type="dxa"/>
          </w:tcPr>
          <w:p>
            <w:pPr>
              <w:pStyle w:val="TableParagraph"/>
              <w:spacing w:before="152"/>
              <w:ind w:left="108"/>
              <w:rPr>
                <w:rFonts w:ascii="黑体"/>
                <w:sz w:val="21"/>
              </w:rPr>
            </w:pPr>
            <w:r>
              <w:rPr>
                <w:rFonts w:ascii="黑体"/>
                <w:sz w:val="21"/>
              </w:rPr>
              <w:t>4.1</w:t>
            </w:r>
          </w:p>
        </w:tc>
        <w:tc>
          <w:tcPr>
            <w:tcW w:w="1752" w:type="dxa"/>
          </w:tcPr>
          <w:p>
            <w:pPr>
              <w:pStyle w:val="TableParagraph"/>
              <w:spacing w:before="152"/>
              <w:ind w:left="370"/>
              <w:rPr>
                <w:rFonts w:ascii="黑体" w:eastAsia="黑体" w:hint="eastAsia"/>
                <w:sz w:val="21"/>
              </w:rPr>
            </w:pPr>
            <w:r>
              <w:rPr>
                <w:rFonts w:ascii="黑体" w:eastAsia="黑体" w:hint="eastAsia"/>
                <w:sz w:val="21"/>
              </w:rPr>
              <w:t>保险费的支付</w:t>
            </w:r>
          </w:p>
        </w:tc>
        <w:tc>
          <w:tcPr>
            <w:tcW w:w="7064" w:type="dxa"/>
          </w:tcPr>
          <w:p>
            <w:pPr>
              <w:pStyle w:val="TableParagraph"/>
              <w:spacing w:line="278" w:lineRule="auto" w:before="152"/>
              <w:ind w:left="120" w:right="102"/>
              <w:jc w:val="both"/>
              <w:rPr>
                <w:sz w:val="21"/>
              </w:rPr>
            </w:pPr>
            <w:r>
              <w:rPr>
                <w:sz w:val="21"/>
              </w:rPr>
              <w:t>本合同的保险费采用趸交（即一次性支付</w:t>
            </w:r>
            <w:r>
              <w:rPr>
                <w:spacing w:val="-105"/>
                <w:sz w:val="21"/>
              </w:rPr>
              <w:t>）</w:t>
            </w:r>
            <w:r>
              <w:rPr>
                <w:sz w:val="21"/>
              </w:rPr>
              <w:t>、限期年交（即在约定的交费期间内每年支付一次保险费</w:t>
            </w:r>
            <w:r>
              <w:rPr>
                <w:spacing w:val="-47"/>
                <w:sz w:val="21"/>
              </w:rPr>
              <w:t>）</w:t>
            </w:r>
            <w:r>
              <w:rPr>
                <w:spacing w:val="-10"/>
                <w:sz w:val="21"/>
              </w:rPr>
              <w:t>或限期月交</w:t>
            </w:r>
            <w:r>
              <w:rPr>
                <w:sz w:val="21"/>
              </w:rPr>
              <w:t>（即在交费期间内每月支付一次保险费）</w:t>
            </w:r>
            <w:r>
              <w:rPr>
                <w:spacing w:val="-2"/>
                <w:sz w:val="21"/>
              </w:rPr>
              <w:t>的方式支付。限期年交和限期月交方式下的交费期间有 </w:t>
            </w:r>
            <w:r>
              <w:rPr>
                <w:sz w:val="21"/>
              </w:rPr>
              <w:t>5</w:t>
            </w:r>
            <w:r>
              <w:rPr>
                <w:spacing w:val="-14"/>
                <w:sz w:val="21"/>
              </w:rPr>
              <w:t> 年、</w:t>
            </w:r>
            <w:r>
              <w:rPr>
                <w:sz w:val="21"/>
              </w:rPr>
              <w:t>10</w:t>
            </w:r>
            <w:r>
              <w:rPr>
                <w:spacing w:val="-14"/>
                <w:sz w:val="21"/>
              </w:rPr>
              <w:t> 年、</w:t>
            </w:r>
          </w:p>
          <w:p>
            <w:pPr>
              <w:pStyle w:val="TableParagraph"/>
              <w:spacing w:line="280" w:lineRule="auto" w:before="12"/>
              <w:ind w:left="120" w:right="105"/>
              <w:jc w:val="both"/>
              <w:rPr>
                <w:sz w:val="21"/>
              </w:rPr>
            </w:pPr>
            <w:r>
              <w:rPr>
                <w:sz w:val="21"/>
              </w:rPr>
              <w:t>15</w:t>
            </w:r>
            <w:r>
              <w:rPr>
                <w:spacing w:val="-27"/>
                <w:sz w:val="21"/>
              </w:rPr>
              <w:t> 年和 </w:t>
            </w:r>
            <w:r>
              <w:rPr>
                <w:sz w:val="21"/>
              </w:rPr>
              <w:t>20</w:t>
            </w:r>
            <w:r>
              <w:rPr>
                <w:spacing w:val="-10"/>
                <w:sz w:val="21"/>
              </w:rPr>
              <w:t> 年四种。交费方式和交费期间由您在投保时与我们约定，并在保险单上载明。</w:t>
            </w:r>
          </w:p>
          <w:p>
            <w:pPr>
              <w:pStyle w:val="TableParagraph"/>
              <w:spacing w:line="280" w:lineRule="auto" w:before="8"/>
              <w:ind w:left="120" w:right="105"/>
              <w:jc w:val="both"/>
              <w:rPr>
                <w:sz w:val="21"/>
              </w:rPr>
            </w:pPr>
            <w:r>
              <w:rPr>
                <w:spacing w:val="-8"/>
                <w:sz w:val="21"/>
              </w:rPr>
              <w:t>选择限期年交、限期月交交费方式的，在支付首期保险费后，您应当按照约定，在每个保险费约定支付日支付其余各期的保险费。</w:t>
            </w:r>
          </w:p>
        </w:tc>
      </w:tr>
      <w:tr>
        <w:trPr>
          <w:trHeight w:val="1935" w:hRule="atLeast"/>
        </w:trPr>
        <w:tc>
          <w:tcPr>
            <w:tcW w:w="794" w:type="dxa"/>
          </w:tcPr>
          <w:p>
            <w:pPr>
              <w:pStyle w:val="TableParagraph"/>
              <w:spacing w:before="61"/>
              <w:ind w:left="108"/>
              <w:rPr>
                <w:rFonts w:ascii="黑体"/>
                <w:sz w:val="21"/>
              </w:rPr>
            </w:pPr>
            <w:r>
              <w:rPr>
                <w:rFonts w:ascii="黑体"/>
                <w:sz w:val="21"/>
              </w:rPr>
              <w:t>4.2</w:t>
            </w:r>
          </w:p>
        </w:tc>
        <w:tc>
          <w:tcPr>
            <w:tcW w:w="1752" w:type="dxa"/>
          </w:tcPr>
          <w:p>
            <w:pPr>
              <w:pStyle w:val="TableParagraph"/>
              <w:spacing w:before="61"/>
              <w:ind w:left="370"/>
              <w:rPr>
                <w:rFonts w:ascii="黑体" w:eastAsia="黑体" w:hint="eastAsia"/>
                <w:sz w:val="21"/>
              </w:rPr>
            </w:pPr>
            <w:r>
              <w:rPr>
                <w:rFonts w:ascii="黑体" w:eastAsia="黑体" w:hint="eastAsia"/>
                <w:sz w:val="21"/>
              </w:rPr>
              <w:t>宽限期</w:t>
            </w:r>
          </w:p>
        </w:tc>
        <w:tc>
          <w:tcPr>
            <w:tcW w:w="7064" w:type="dxa"/>
          </w:tcPr>
          <w:p>
            <w:pPr>
              <w:pStyle w:val="TableParagraph"/>
              <w:spacing w:line="278" w:lineRule="auto" w:before="61"/>
              <w:ind w:left="120"/>
              <w:rPr>
                <w:sz w:val="21"/>
              </w:rPr>
            </w:pPr>
            <w:r>
              <w:rPr>
                <w:spacing w:val="-8"/>
                <w:sz w:val="21"/>
              </w:rPr>
              <w:t>选择限期年交、限期月交交费方式支付保险费的，您支付首期保险费后，除</w:t>
            </w:r>
            <w:r>
              <w:rPr>
                <w:spacing w:val="-13"/>
                <w:sz w:val="21"/>
              </w:rPr>
              <w:t>本合同另有约定外，如果您到期未支付保险费，自保险费约定支付日的次日</w:t>
            </w:r>
            <w:r>
              <w:rPr>
                <w:spacing w:val="-26"/>
                <w:sz w:val="21"/>
              </w:rPr>
              <w:t>零时起 </w:t>
            </w:r>
            <w:r>
              <w:rPr>
                <w:sz w:val="21"/>
              </w:rPr>
              <w:t>60</w:t>
            </w:r>
            <w:r>
              <w:rPr>
                <w:spacing w:val="-13"/>
                <w:sz w:val="21"/>
              </w:rPr>
              <w:t> 日为宽限期。宽限期内发生的保险事故，我们仍会承担保险责任， 但在给付保险金时会扣减您欠交的保险费。</w:t>
            </w:r>
          </w:p>
          <w:p>
            <w:pPr>
              <w:pStyle w:val="TableParagraph"/>
              <w:spacing w:line="320" w:lineRule="exact" w:before="1"/>
              <w:ind w:left="120" w:right="105"/>
              <w:rPr>
                <w:sz w:val="21"/>
              </w:rPr>
            </w:pPr>
            <w:r>
              <w:rPr>
                <w:spacing w:val="-6"/>
                <w:sz w:val="21"/>
              </w:rPr>
              <w:t>如果您宽限期结束之后仍未支付保险费，则本合同自宽限期满的次日零时起效力中止。</w:t>
            </w:r>
          </w:p>
        </w:tc>
      </w:tr>
    </w:tbl>
    <w:p>
      <w:pPr>
        <w:pStyle w:val="BodyText"/>
        <w:spacing w:before="9"/>
        <w:rPr>
          <w:sz w:val="11"/>
        </w:rPr>
      </w:pPr>
      <w:r>
        <w:rPr/>
        <w:pict>
          <v:shape style="position:absolute;margin-left:57.360001pt;margin-top:8.892006pt;width:480.6pt;height:15.6pt;mso-position-horizontal-relative:page;mso-position-vertical-relative:paragraph;z-index:1120;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合同效力的中止及恢复</w:t>
                  </w:r>
                </w:p>
              </w:txbxContent>
            </v:textbox>
            <v:fill type="solid"/>
            <w10:wrap type="topAndBottom"/>
          </v:shape>
        </w:pict>
      </w:r>
    </w:p>
    <w:p>
      <w:pPr>
        <w:pStyle w:val="BodyText"/>
        <w:spacing w:before="11"/>
        <w:rPr>
          <w:sz w:val="7"/>
        </w:rPr>
      </w:pPr>
    </w:p>
    <w:p>
      <w:pPr>
        <w:pStyle w:val="ListParagraph"/>
        <w:numPr>
          <w:ilvl w:val="1"/>
          <w:numId w:val="4"/>
        </w:numPr>
        <w:tabs>
          <w:tab w:pos="1271" w:val="left" w:leader="none"/>
          <w:tab w:pos="1272" w:val="left" w:leader="none"/>
          <w:tab w:pos="2773" w:val="left" w:leader="none"/>
        </w:tabs>
        <w:spacing w:line="240" w:lineRule="auto" w:before="35" w:after="0"/>
        <w:ind w:left="2773" w:right="0" w:hanging="2558"/>
        <w:jc w:val="left"/>
        <w:rPr>
          <w:sz w:val="21"/>
        </w:rPr>
      </w:pPr>
      <w:r>
        <w:rPr>
          <w:rFonts w:ascii="黑体" w:eastAsia="黑体" w:hint="eastAsia"/>
          <w:sz w:val="21"/>
        </w:rPr>
        <w:t>效力中止</w:t>
        <w:tab/>
      </w:r>
      <w:r>
        <w:rPr>
          <w:sz w:val="21"/>
          <w:shd w:fill="D9D9D9" w:color="auto" w:val="clear"/>
        </w:rPr>
        <w:t>在本合同效力中止期间，我们不承担保险责任。</w:t>
      </w:r>
    </w:p>
    <w:p>
      <w:pPr>
        <w:pStyle w:val="BodyText"/>
        <w:spacing w:before="3"/>
        <w:rPr>
          <w:sz w:val="14"/>
        </w:rPr>
      </w:pPr>
    </w:p>
    <w:p>
      <w:pPr>
        <w:pStyle w:val="ListParagraph"/>
        <w:numPr>
          <w:ilvl w:val="1"/>
          <w:numId w:val="4"/>
        </w:numPr>
        <w:tabs>
          <w:tab w:pos="1272" w:val="left" w:leader="none"/>
        </w:tabs>
        <w:spacing w:line="278" w:lineRule="auto" w:before="0" w:after="0"/>
        <w:ind w:left="2773" w:right="212" w:hanging="2558"/>
        <w:jc w:val="both"/>
        <w:rPr>
          <w:sz w:val="21"/>
        </w:rPr>
      </w:pPr>
      <w:r>
        <w:rPr>
          <w:rFonts w:ascii="黑体" w:eastAsia="黑体" w:hint="eastAsia"/>
          <w:spacing w:val="2"/>
          <w:sz w:val="21"/>
        </w:rPr>
        <w:t>效力恢复     </w:t>
      </w:r>
      <w:r>
        <w:rPr>
          <w:spacing w:val="-6"/>
          <w:sz w:val="21"/>
        </w:rPr>
        <w:t>本合同效力中止后 </w:t>
      </w:r>
      <w:r>
        <w:rPr>
          <w:sz w:val="21"/>
        </w:rPr>
        <w:t>2</w:t>
      </w:r>
      <w:r>
        <w:rPr>
          <w:spacing w:val="-7"/>
          <w:sz w:val="21"/>
        </w:rPr>
        <w:t> 年内，您可以申请恢复合同效力</w:t>
      </w:r>
      <w:r>
        <w:rPr>
          <w:sz w:val="21"/>
        </w:rPr>
        <w:t>（即复效</w:t>
      </w:r>
      <w:r>
        <w:rPr>
          <w:spacing w:val="-105"/>
          <w:sz w:val="21"/>
        </w:rPr>
        <w:t>）</w:t>
      </w:r>
      <w:r>
        <w:rPr>
          <w:sz w:val="21"/>
        </w:rPr>
        <w:t>。经我们与</w:t>
      </w:r>
      <w:r>
        <w:rPr>
          <w:spacing w:val="-8"/>
          <w:sz w:val="21"/>
        </w:rPr>
        <w:t>您协商并达成协议，自您补交保险费及相应利息的次日零时起，合同效力恢</w:t>
      </w:r>
      <w:r>
        <w:rPr>
          <w:spacing w:val="-14"/>
          <w:sz w:val="21"/>
        </w:rPr>
        <w:t>复。前述补交保险费的利息按我们参照 </w:t>
      </w:r>
      <w:r>
        <w:rPr>
          <w:sz w:val="21"/>
        </w:rPr>
        <w:t>1</w:t>
      </w:r>
      <w:r>
        <w:rPr>
          <w:spacing w:val="-8"/>
          <w:sz w:val="21"/>
        </w:rPr>
        <w:t> 年期流动资金贷款基准利率作相应浮动后宣布的利率计算。</w:t>
      </w:r>
    </w:p>
    <w:p>
      <w:pPr>
        <w:spacing w:after="0" w:line="278" w:lineRule="auto"/>
        <w:jc w:val="both"/>
        <w:rPr>
          <w:sz w:val="21"/>
        </w:rPr>
        <w:sectPr>
          <w:pgSz w:w="11910" w:h="16840"/>
          <w:pgMar w:top="1600" w:bottom="280" w:left="1040" w:right="104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751"/>
        <w:gridCol w:w="7067"/>
      </w:tblGrid>
      <w:tr>
        <w:trPr>
          <w:trHeight w:val="706" w:hRule="atLeast"/>
        </w:trPr>
        <w:tc>
          <w:tcPr>
            <w:tcW w:w="2545" w:type="dxa"/>
            <w:gridSpan w:val="2"/>
          </w:tcPr>
          <w:p>
            <w:pPr>
              <w:pStyle w:val="TableParagraph"/>
              <w:spacing w:before="0"/>
              <w:ind w:left="0"/>
              <w:rPr>
                <w:rFonts w:ascii="Times New Roman"/>
                <w:sz w:val="20"/>
              </w:rPr>
            </w:pPr>
          </w:p>
        </w:tc>
        <w:tc>
          <w:tcPr>
            <w:tcW w:w="7067" w:type="dxa"/>
          </w:tcPr>
          <w:p>
            <w:pPr>
              <w:pStyle w:val="TableParagraph"/>
              <w:spacing w:line="204" w:lineRule="exact" w:before="0"/>
              <w:rPr>
                <w:sz w:val="21"/>
              </w:rPr>
            </w:pPr>
            <w:r>
              <w:rPr>
                <w:sz w:val="21"/>
              </w:rPr>
              <w:t>自本合同效力中止之日起满 2 年您和我们未达成协议的，我们有权解除合</w:t>
            </w:r>
          </w:p>
          <w:p>
            <w:pPr>
              <w:pStyle w:val="TableParagraph"/>
              <w:spacing w:before="44"/>
              <w:rPr>
                <w:sz w:val="21"/>
              </w:rPr>
            </w:pPr>
            <w:r>
              <w:rPr>
                <w:sz w:val="21"/>
              </w:rPr>
              <w:t>同。我们解除合同的，向您退还合同效力中止时本合同保险单的现金价值。</w:t>
            </w:r>
          </w:p>
        </w:tc>
      </w:tr>
      <w:tr>
        <w:trPr>
          <w:trHeight w:val="320" w:hRule="atLeast"/>
        </w:trPr>
        <w:tc>
          <w:tcPr>
            <w:tcW w:w="794" w:type="dxa"/>
            <w:shd w:val="clear" w:color="auto" w:fill="D3D3D3"/>
          </w:tcPr>
          <w:p>
            <w:pPr>
              <w:pStyle w:val="TableParagraph"/>
              <w:ind w:left="107"/>
              <w:rPr>
                <w:rFonts w:ascii="黑体" w:eastAsia="黑体" w:hint="eastAsia"/>
                <w:b/>
                <w:sz w:val="21"/>
              </w:rPr>
            </w:pPr>
            <w:r>
              <w:rPr>
                <w:rFonts w:ascii="黑体" w:eastAsia="黑体" w:hint="eastAsia"/>
                <w:b/>
                <w:sz w:val="21"/>
              </w:rPr>
              <w:t>6．</w:t>
            </w:r>
          </w:p>
        </w:tc>
        <w:tc>
          <w:tcPr>
            <w:tcW w:w="1751" w:type="dxa"/>
            <w:shd w:val="clear" w:color="auto" w:fill="D3D3D3"/>
          </w:tcPr>
          <w:p>
            <w:pPr>
              <w:pStyle w:val="TableParagraph"/>
              <w:ind w:left="370"/>
              <w:rPr>
                <w:rFonts w:ascii="黑体" w:eastAsia="黑体" w:hint="eastAsia"/>
                <w:sz w:val="21"/>
              </w:rPr>
            </w:pPr>
            <w:r>
              <w:rPr>
                <w:rFonts w:ascii="黑体" w:eastAsia="黑体" w:hint="eastAsia"/>
                <w:sz w:val="21"/>
              </w:rPr>
              <w:t>现金价值权益</w:t>
            </w:r>
          </w:p>
        </w:tc>
        <w:tc>
          <w:tcPr>
            <w:tcW w:w="7067" w:type="dxa"/>
            <w:shd w:val="clear" w:color="auto" w:fill="D3D3D3"/>
          </w:tcPr>
          <w:p>
            <w:pPr>
              <w:pStyle w:val="TableParagraph"/>
              <w:spacing w:before="0"/>
              <w:ind w:left="0"/>
              <w:rPr>
                <w:rFonts w:ascii="Times New Roman"/>
                <w:sz w:val="20"/>
              </w:rPr>
            </w:pPr>
          </w:p>
        </w:tc>
      </w:tr>
      <w:tr>
        <w:trPr>
          <w:trHeight w:val="873" w:hRule="atLeast"/>
        </w:trPr>
        <w:tc>
          <w:tcPr>
            <w:tcW w:w="794" w:type="dxa"/>
          </w:tcPr>
          <w:p>
            <w:pPr>
              <w:pStyle w:val="TableParagraph"/>
              <w:spacing w:before="145"/>
              <w:ind w:left="107"/>
              <w:rPr>
                <w:rFonts w:ascii="黑体"/>
                <w:sz w:val="21"/>
              </w:rPr>
            </w:pPr>
            <w:r>
              <w:rPr>
                <w:rFonts w:ascii="黑体"/>
                <w:sz w:val="21"/>
              </w:rPr>
              <w:t>6.1</w:t>
            </w:r>
          </w:p>
        </w:tc>
        <w:tc>
          <w:tcPr>
            <w:tcW w:w="1751" w:type="dxa"/>
          </w:tcPr>
          <w:p>
            <w:pPr>
              <w:pStyle w:val="TableParagraph"/>
              <w:spacing w:before="145"/>
              <w:ind w:left="370"/>
              <w:rPr>
                <w:rFonts w:ascii="黑体" w:eastAsia="黑体" w:hint="eastAsia"/>
                <w:sz w:val="21"/>
              </w:rPr>
            </w:pPr>
            <w:r>
              <w:rPr>
                <w:rFonts w:ascii="黑体" w:eastAsia="黑体" w:hint="eastAsia"/>
                <w:sz w:val="21"/>
              </w:rPr>
              <w:t>现金价值</w:t>
            </w:r>
          </w:p>
        </w:tc>
        <w:tc>
          <w:tcPr>
            <w:tcW w:w="7067" w:type="dxa"/>
          </w:tcPr>
          <w:p>
            <w:pPr>
              <w:pStyle w:val="TableParagraph"/>
              <w:spacing w:line="280" w:lineRule="auto" w:before="145"/>
              <w:ind w:right="107"/>
              <w:rPr>
                <w:sz w:val="21"/>
              </w:rPr>
            </w:pPr>
            <w:r>
              <w:rPr>
                <w:spacing w:val="-6"/>
                <w:sz w:val="21"/>
              </w:rPr>
              <w:t>指保险单所具有的价值，通常体现为解除合同时，根据精算原理计算的，由我们退还的那部分金额。本合同保险单的现金价值见本合同相应栏目。</w:t>
            </w:r>
          </w:p>
        </w:tc>
      </w:tr>
      <w:tr>
        <w:trPr>
          <w:trHeight w:val="2432" w:hRule="atLeast"/>
        </w:trPr>
        <w:tc>
          <w:tcPr>
            <w:tcW w:w="794" w:type="dxa"/>
          </w:tcPr>
          <w:p>
            <w:pPr>
              <w:pStyle w:val="TableParagraph"/>
              <w:spacing w:before="54"/>
              <w:ind w:left="107"/>
              <w:rPr>
                <w:rFonts w:ascii="黑体"/>
                <w:sz w:val="21"/>
              </w:rPr>
            </w:pPr>
            <w:r>
              <w:rPr>
                <w:rFonts w:ascii="黑体"/>
                <w:sz w:val="21"/>
              </w:rPr>
              <w:t>6.2</w:t>
            </w:r>
          </w:p>
        </w:tc>
        <w:tc>
          <w:tcPr>
            <w:tcW w:w="1751" w:type="dxa"/>
          </w:tcPr>
          <w:p>
            <w:pPr>
              <w:pStyle w:val="TableParagraph"/>
              <w:spacing w:before="54"/>
              <w:ind w:left="370"/>
              <w:rPr>
                <w:rFonts w:ascii="黑体" w:eastAsia="黑体" w:hint="eastAsia"/>
                <w:sz w:val="21"/>
              </w:rPr>
            </w:pPr>
            <w:r>
              <w:rPr>
                <w:rFonts w:ascii="黑体" w:eastAsia="黑体" w:hint="eastAsia"/>
                <w:sz w:val="21"/>
              </w:rPr>
              <w:t>保单贷款</w:t>
            </w:r>
          </w:p>
        </w:tc>
        <w:tc>
          <w:tcPr>
            <w:tcW w:w="7067" w:type="dxa"/>
          </w:tcPr>
          <w:p>
            <w:pPr>
              <w:pStyle w:val="TableParagraph"/>
              <w:spacing w:line="278" w:lineRule="auto" w:before="54"/>
              <w:ind w:right="107"/>
              <w:jc w:val="both"/>
              <w:rPr>
                <w:sz w:val="21"/>
              </w:rPr>
            </w:pPr>
            <w:r>
              <w:rPr>
                <w:spacing w:val="-8"/>
                <w:sz w:val="21"/>
              </w:rPr>
              <w:t>在本合同有效期内，您可以申请并经我们审核同意后办理保单贷款。对于以</w:t>
            </w:r>
            <w:r>
              <w:rPr>
                <w:spacing w:val="-14"/>
                <w:sz w:val="21"/>
              </w:rPr>
              <w:t>身故为保险金给付条件的保单，您申请保单贷款必须取得被保险人的书面同</w:t>
            </w:r>
            <w:r>
              <w:rPr>
                <w:spacing w:val="-11"/>
                <w:sz w:val="21"/>
              </w:rPr>
              <w:t>意。贷款金额不得超过本合同保险单的现金价值之和扣除各项欠款后余额的</w:t>
            </w:r>
          </w:p>
          <w:p>
            <w:pPr>
              <w:pStyle w:val="TableParagraph"/>
              <w:spacing w:line="280" w:lineRule="auto" w:before="11"/>
              <w:ind w:right="107"/>
              <w:jc w:val="both"/>
              <w:rPr>
                <w:sz w:val="21"/>
              </w:rPr>
            </w:pPr>
            <w:r>
              <w:rPr>
                <w:spacing w:val="-12"/>
                <w:sz w:val="21"/>
              </w:rPr>
              <w:t>80％</w:t>
            </w:r>
            <w:r>
              <w:rPr>
                <w:spacing w:val="-7"/>
                <w:sz w:val="21"/>
              </w:rPr>
              <w:t>，每次贷款期限最长不超过 </w:t>
            </w:r>
            <w:r>
              <w:rPr>
                <w:sz w:val="21"/>
              </w:rPr>
              <w:t>6</w:t>
            </w:r>
            <w:r>
              <w:rPr>
                <w:spacing w:val="-11"/>
                <w:sz w:val="21"/>
              </w:rPr>
              <w:t> 个月，贷款利率按您与我们签订的贷款协议中约定的利率执行。</w:t>
            </w:r>
          </w:p>
          <w:p>
            <w:pPr>
              <w:pStyle w:val="TableParagraph"/>
              <w:spacing w:line="280" w:lineRule="auto" w:before="8"/>
              <w:ind w:right="107"/>
              <w:jc w:val="both"/>
              <w:rPr>
                <w:sz w:val="21"/>
              </w:rPr>
            </w:pPr>
            <w:r>
              <w:rPr>
                <w:spacing w:val="-10"/>
                <w:sz w:val="21"/>
              </w:rPr>
              <w:t>逾期未还，自贷款本金及利息加上其他各项欠款达到本合同保险单的现金价</w:t>
            </w:r>
            <w:r>
              <w:rPr>
                <w:spacing w:val="-21"/>
                <w:sz w:val="21"/>
              </w:rPr>
              <w:t>值的当日 </w:t>
            </w:r>
            <w:r>
              <w:rPr>
                <w:sz w:val="21"/>
              </w:rPr>
              <w:t>24</w:t>
            </w:r>
            <w:r>
              <w:rPr>
                <w:spacing w:val="-8"/>
                <w:sz w:val="21"/>
              </w:rPr>
              <w:t> 时起，本合同效力终止。</w:t>
            </w:r>
          </w:p>
        </w:tc>
      </w:tr>
      <w:tr>
        <w:trPr>
          <w:trHeight w:val="311" w:hRule="atLeast"/>
        </w:trPr>
        <w:tc>
          <w:tcPr>
            <w:tcW w:w="794" w:type="dxa"/>
            <w:shd w:val="clear" w:color="auto" w:fill="D3D3D3"/>
          </w:tcPr>
          <w:p>
            <w:pPr>
              <w:pStyle w:val="TableParagraph"/>
              <w:ind w:left="107"/>
              <w:rPr>
                <w:rFonts w:ascii="黑体" w:eastAsia="黑体" w:hint="eastAsia"/>
                <w:b/>
                <w:sz w:val="21"/>
              </w:rPr>
            </w:pPr>
            <w:r>
              <w:rPr>
                <w:rFonts w:ascii="黑体" w:eastAsia="黑体" w:hint="eastAsia"/>
                <w:b/>
                <w:sz w:val="21"/>
              </w:rPr>
              <w:t>7．</w:t>
            </w:r>
          </w:p>
        </w:tc>
        <w:tc>
          <w:tcPr>
            <w:tcW w:w="1751" w:type="dxa"/>
            <w:shd w:val="clear" w:color="auto" w:fill="D3D3D3"/>
          </w:tcPr>
          <w:p>
            <w:pPr>
              <w:pStyle w:val="TableParagraph"/>
              <w:ind w:left="370"/>
              <w:rPr>
                <w:rFonts w:ascii="黑体" w:eastAsia="黑体" w:hint="eastAsia"/>
                <w:b/>
                <w:sz w:val="21"/>
              </w:rPr>
            </w:pPr>
            <w:r>
              <w:rPr>
                <w:rFonts w:ascii="黑体" w:eastAsia="黑体" w:hint="eastAsia"/>
                <w:b/>
                <w:sz w:val="21"/>
              </w:rPr>
              <w:t>合同解除</w:t>
            </w:r>
          </w:p>
        </w:tc>
        <w:tc>
          <w:tcPr>
            <w:tcW w:w="7067" w:type="dxa"/>
            <w:shd w:val="clear" w:color="auto" w:fill="D3D3D3"/>
          </w:tcPr>
          <w:p>
            <w:pPr>
              <w:pStyle w:val="TableParagraph"/>
              <w:spacing w:before="0"/>
              <w:ind w:left="0"/>
              <w:rPr>
                <w:rFonts w:ascii="Times New Roman"/>
                <w:sz w:val="20"/>
              </w:rPr>
            </w:pPr>
          </w:p>
        </w:tc>
      </w:tr>
      <w:tr>
        <w:trPr>
          <w:trHeight w:val="2346" w:hRule="atLeast"/>
        </w:trPr>
        <w:tc>
          <w:tcPr>
            <w:tcW w:w="794" w:type="dxa"/>
          </w:tcPr>
          <w:p>
            <w:pPr>
              <w:pStyle w:val="TableParagraph"/>
              <w:spacing w:before="145"/>
              <w:ind w:left="107"/>
              <w:rPr>
                <w:rFonts w:ascii="黑体"/>
                <w:sz w:val="21"/>
              </w:rPr>
            </w:pPr>
            <w:r>
              <w:rPr>
                <w:rFonts w:ascii="黑体"/>
                <w:sz w:val="21"/>
              </w:rPr>
              <w:t>7.1</w:t>
            </w:r>
          </w:p>
        </w:tc>
        <w:tc>
          <w:tcPr>
            <w:tcW w:w="1751" w:type="dxa"/>
          </w:tcPr>
          <w:p>
            <w:pPr>
              <w:pStyle w:val="TableParagraph"/>
              <w:spacing w:line="280" w:lineRule="auto" w:before="145"/>
              <w:ind w:left="370" w:right="120"/>
              <w:rPr>
                <w:rFonts w:ascii="黑体" w:eastAsia="黑体" w:hint="eastAsia"/>
                <w:sz w:val="21"/>
              </w:rPr>
            </w:pPr>
            <w:r>
              <w:rPr>
                <w:rFonts w:ascii="黑体" w:eastAsia="黑体" w:hint="eastAsia"/>
                <w:sz w:val="21"/>
              </w:rPr>
              <w:t>您解除合同的手续及风险</w:t>
            </w:r>
          </w:p>
        </w:tc>
        <w:tc>
          <w:tcPr>
            <w:tcW w:w="7067" w:type="dxa"/>
          </w:tcPr>
          <w:p>
            <w:pPr>
              <w:pStyle w:val="TableParagraph"/>
              <w:spacing w:line="280" w:lineRule="auto" w:before="145"/>
              <w:ind w:right="107"/>
              <w:rPr>
                <w:sz w:val="21"/>
              </w:rPr>
            </w:pPr>
            <w:r>
              <w:rPr>
                <w:spacing w:val="-7"/>
                <w:sz w:val="21"/>
              </w:rPr>
              <w:t>如您在犹豫期后申请解除本合同，请填写解除合同申请书并向我们提供下列资料：</w:t>
            </w:r>
          </w:p>
          <w:p>
            <w:pPr>
              <w:pStyle w:val="TableParagraph"/>
              <w:spacing w:line="278" w:lineRule="auto" w:before="9"/>
              <w:ind w:right="4739"/>
              <w:rPr>
                <w:sz w:val="21"/>
              </w:rPr>
            </w:pPr>
            <w:r>
              <w:rPr>
                <w:sz w:val="21"/>
              </w:rPr>
              <w:t>(1)保险合同；      </w:t>
            </w:r>
            <w:r>
              <w:rPr>
                <w:spacing w:val="-1"/>
                <w:sz w:val="21"/>
              </w:rPr>
              <w:t>(2)您的有效身份证件。</w:t>
            </w:r>
          </w:p>
          <w:p>
            <w:pPr>
              <w:pStyle w:val="TableParagraph"/>
              <w:spacing w:line="280" w:lineRule="auto" w:before="11"/>
              <w:ind w:right="107"/>
              <w:rPr>
                <w:sz w:val="21"/>
              </w:rPr>
            </w:pPr>
            <w:r>
              <w:rPr>
                <w:spacing w:val="-7"/>
                <w:sz w:val="21"/>
              </w:rPr>
              <w:t>自我们收到解除合同申请书时起，本合同终止。我们自收到解除合同申请书</w:t>
            </w:r>
            <w:r>
              <w:rPr>
                <w:spacing w:val="-22"/>
                <w:sz w:val="21"/>
              </w:rPr>
              <w:t>之日起 </w:t>
            </w:r>
            <w:r>
              <w:rPr>
                <w:sz w:val="21"/>
              </w:rPr>
              <w:t>30</w:t>
            </w:r>
            <w:r>
              <w:rPr>
                <w:spacing w:val="-9"/>
                <w:sz w:val="21"/>
              </w:rPr>
              <w:t> 日内向您退还本合同保险单的现金价值。</w:t>
            </w:r>
          </w:p>
          <w:p>
            <w:pPr>
              <w:pStyle w:val="TableParagraph"/>
              <w:spacing w:line="261" w:lineRule="exact" w:before="8"/>
              <w:rPr>
                <w:sz w:val="21"/>
              </w:rPr>
            </w:pPr>
            <w:r>
              <w:rPr>
                <w:sz w:val="21"/>
                <w:shd w:fill="D9D9D9" w:color="auto" w:val="clear"/>
              </w:rPr>
              <w:t>您犹豫期后解除合同会遭受一定损失。</w:t>
            </w:r>
          </w:p>
        </w:tc>
      </w:tr>
    </w:tbl>
    <w:p>
      <w:pPr>
        <w:pStyle w:val="BodyText"/>
        <w:spacing w:before="2"/>
        <w:rPr>
          <w:sz w:val="11"/>
        </w:rPr>
      </w:pPr>
      <w:r>
        <w:rPr/>
        <w:pict>
          <v:shape style="position:absolute;margin-left:57.360001pt;margin-top:8.519400pt;width:480.6pt;height:15.6pt;mso-position-horizontal-relative:page;mso-position-vertical-relative:paragraph;z-index:1144;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说明、告知与解除权限制</w:t>
                  </w:r>
                </w:p>
              </w:txbxContent>
            </v:textbox>
            <v:fill type="solid"/>
            <w10:wrap type="topAndBottom"/>
          </v:shape>
        </w:pict>
      </w:r>
    </w:p>
    <w:p>
      <w:pPr>
        <w:pStyle w:val="BodyText"/>
        <w:spacing w:before="11"/>
        <w:rPr>
          <w:sz w:val="7"/>
        </w:rPr>
      </w:pPr>
    </w:p>
    <w:p>
      <w:pPr>
        <w:spacing w:after="0"/>
        <w:rPr>
          <w:sz w:val="7"/>
        </w:rPr>
        <w:sectPr>
          <w:pgSz w:w="11910" w:h="16840"/>
          <w:pgMar w:top="1500" w:bottom="280" w:left="1040" w:right="1040"/>
        </w:sectPr>
      </w:pPr>
    </w:p>
    <w:p>
      <w:pPr>
        <w:pStyle w:val="ListParagraph"/>
        <w:numPr>
          <w:ilvl w:val="1"/>
          <w:numId w:val="5"/>
        </w:numPr>
        <w:tabs>
          <w:tab w:pos="1271" w:val="left" w:leader="none"/>
          <w:tab w:pos="1272" w:val="left" w:leader="none"/>
        </w:tabs>
        <w:spacing w:line="278" w:lineRule="auto" w:before="35" w:after="0"/>
        <w:ind w:left="1271" w:right="0" w:hanging="1056"/>
        <w:jc w:val="left"/>
        <w:rPr>
          <w:rFonts w:ascii="黑体" w:eastAsia="黑体" w:hint="eastAsia"/>
          <w:sz w:val="21"/>
        </w:rPr>
      </w:pPr>
      <w:r>
        <w:rPr>
          <w:rFonts w:ascii="黑体" w:eastAsia="黑体" w:hint="eastAsia"/>
          <w:sz w:val="21"/>
        </w:rPr>
        <w:t>明确说明与如实告知</w:t>
      </w:r>
    </w:p>
    <w:p>
      <w:pPr>
        <w:pStyle w:val="BodyText"/>
        <w:ind w:left="202"/>
      </w:pPr>
      <w:r>
        <w:rPr/>
        <w:br w:type="column"/>
      </w:r>
      <w:r>
        <w:rPr/>
        <w:t>订立本合同时，我们应向您说明本合同的内容。</w:t>
      </w:r>
    </w:p>
    <w:p>
      <w:pPr>
        <w:pStyle w:val="BodyText"/>
        <w:spacing w:line="278" w:lineRule="auto" w:before="44"/>
        <w:ind w:left="202" w:right="212"/>
        <w:jc w:val="both"/>
      </w:pPr>
      <w:r>
        <w:rPr>
          <w:spacing w:val="-5"/>
        </w:rPr>
        <w:t>对保险条款中免除我们责任的条款，我们在订立合同时应当在投保单、保险</w:t>
      </w:r>
      <w:r>
        <w:rPr>
          <w:spacing w:val="-9"/>
        </w:rPr>
        <w:t>单或者其他保险凭证上作出足以引起您注意的提示，并对该条款的内容以书</w:t>
      </w:r>
      <w:r>
        <w:rPr>
          <w:spacing w:val="-14"/>
        </w:rPr>
        <w:t>面或者口头形式向您作出明确说明，未作提示或者明确说明的，该条款不产生效力。</w:t>
      </w:r>
    </w:p>
    <w:p>
      <w:pPr>
        <w:pStyle w:val="BodyText"/>
        <w:spacing w:before="12"/>
        <w:ind w:left="202"/>
      </w:pPr>
      <w:r>
        <w:rPr/>
        <w:t>我们就您和被保险人的有关情况提出询问，您应当如实告知。</w:t>
      </w:r>
    </w:p>
    <w:p>
      <w:pPr>
        <w:pStyle w:val="BodyText"/>
        <w:spacing w:line="278" w:lineRule="auto" w:before="45"/>
        <w:ind w:left="202" w:right="212"/>
      </w:pPr>
      <w:r>
        <w:rPr>
          <w:spacing w:val="-4"/>
        </w:rPr>
        <w:t>如果您故意或者因重大过失未履行前款规定的如实告知义务，足以影响我们决定是否同意承保或者提高保险费率的，我们有权解除本合同。</w:t>
      </w:r>
    </w:p>
    <w:p>
      <w:pPr>
        <w:pStyle w:val="BodyText"/>
        <w:spacing w:line="280" w:lineRule="auto" w:before="11"/>
        <w:ind w:left="202" w:right="212"/>
      </w:pPr>
      <w:r>
        <w:rPr>
          <w:spacing w:val="-6"/>
        </w:rPr>
        <w:t>如果您故意不履行如实告知义务，对于本合同解除前发生的保险事故，我们不承担给付保险金的责任，并不退还保险费。</w:t>
      </w:r>
    </w:p>
    <w:p>
      <w:pPr>
        <w:pStyle w:val="BodyText"/>
        <w:spacing w:line="280" w:lineRule="auto" w:before="8"/>
        <w:ind w:left="202" w:right="118"/>
      </w:pPr>
      <w:r>
        <w:rPr/>
        <w:t>如果您因重大过失未履行如实告知义务，对保险事故的发生有严重影响的， 对于本合同解除前发生的保险事故，我们不承担给付保险金的责任，但应当退还保险费。</w:t>
      </w:r>
    </w:p>
    <w:p>
      <w:pPr>
        <w:pStyle w:val="BodyText"/>
        <w:spacing w:line="280" w:lineRule="auto" w:before="8"/>
        <w:ind w:left="202" w:right="212"/>
      </w:pPr>
      <w:r>
        <w:rPr>
          <w:spacing w:val="-5"/>
        </w:rPr>
        <w:t>我们在合同订立时已经知道您未如实告知的情况的，我们不得解除合同；发生保险事故的，我们承担给付保险金的责任。</w:t>
      </w:r>
    </w:p>
    <w:p>
      <w:pPr>
        <w:spacing w:after="0" w:line="280" w:lineRule="auto"/>
        <w:sectPr>
          <w:type w:val="continuous"/>
          <w:pgSz w:w="11910" w:h="16840"/>
          <w:pgMar w:top="1260" w:bottom="280" w:left="1040" w:right="1040"/>
          <w:cols w:num="2" w:equalWidth="0">
            <w:col w:w="2532" w:space="40"/>
            <w:col w:w="7258"/>
          </w:cols>
        </w:sectPr>
      </w:pPr>
    </w:p>
    <w:p>
      <w:pPr>
        <w:pStyle w:val="BodyText"/>
        <w:spacing w:before="11"/>
        <w:rPr>
          <w:sz w:val="8"/>
        </w:rPr>
      </w:pPr>
    </w:p>
    <w:p>
      <w:pPr>
        <w:spacing w:after="0"/>
        <w:rPr>
          <w:sz w:val="8"/>
        </w:rPr>
        <w:sectPr>
          <w:type w:val="continuous"/>
          <w:pgSz w:w="11910" w:h="16840"/>
          <w:pgMar w:top="1260" w:bottom="280" w:left="1040" w:right="1040"/>
        </w:sectPr>
      </w:pPr>
    </w:p>
    <w:p>
      <w:pPr>
        <w:pStyle w:val="ListParagraph"/>
        <w:numPr>
          <w:ilvl w:val="1"/>
          <w:numId w:val="5"/>
        </w:numPr>
        <w:tabs>
          <w:tab w:pos="1271" w:val="left" w:leader="none"/>
          <w:tab w:pos="1272" w:val="left" w:leader="none"/>
        </w:tabs>
        <w:spacing w:line="280" w:lineRule="auto" w:before="35" w:after="0"/>
        <w:ind w:left="1271" w:right="0" w:hanging="1056"/>
        <w:jc w:val="left"/>
        <w:rPr>
          <w:rFonts w:ascii="黑体" w:eastAsia="黑体" w:hint="eastAsia"/>
          <w:sz w:val="21"/>
        </w:rPr>
      </w:pPr>
      <w:r>
        <w:rPr>
          <w:rFonts w:ascii="黑体" w:eastAsia="黑体" w:hint="eastAsia"/>
          <w:spacing w:val="-1"/>
          <w:sz w:val="21"/>
        </w:rPr>
        <w:t>我们合同解除权的限制</w:t>
      </w:r>
    </w:p>
    <w:p>
      <w:pPr>
        <w:pStyle w:val="BodyText"/>
        <w:spacing w:line="278" w:lineRule="auto"/>
        <w:ind w:left="202" w:right="107"/>
      </w:pPr>
      <w:r>
        <w:rPr/>
        <w:br w:type="column"/>
      </w:r>
      <w:r>
        <w:rPr>
          <w:spacing w:val="-3"/>
        </w:rPr>
        <w:t>本保险条款</w:t>
      </w:r>
      <w:r>
        <w:rPr/>
        <w:t>“8.1</w:t>
      </w:r>
      <w:r>
        <w:rPr>
          <w:spacing w:val="-10"/>
        </w:rPr>
        <w:t> 明确说明与如实告知”规定的合同解除权，自我们知道有</w:t>
      </w:r>
      <w:r>
        <w:rPr>
          <w:spacing w:val="-18"/>
        </w:rPr>
        <w:t>解除事由之日起，超过 </w:t>
      </w:r>
      <w:r>
        <w:rPr/>
        <w:t>30</w:t>
      </w:r>
      <w:r>
        <w:rPr>
          <w:spacing w:val="-14"/>
        </w:rPr>
        <w:t> 日不行使而消灭。自合同成立之日起超过 </w:t>
      </w:r>
      <w:r>
        <w:rPr/>
        <w:t>2</w:t>
      </w:r>
      <w:r>
        <w:rPr>
          <w:spacing w:val="-15"/>
        </w:rPr>
        <w:t> 年的， 我们不得解除合同；发生保险事故的，我们承担给付保险金的责任。</w:t>
      </w:r>
    </w:p>
    <w:p>
      <w:pPr>
        <w:spacing w:after="0" w:line="278" w:lineRule="auto"/>
        <w:sectPr>
          <w:type w:val="continuous"/>
          <w:pgSz w:w="11910" w:h="16840"/>
          <w:pgMar w:top="1260" w:bottom="280" w:left="1040" w:right="1040"/>
          <w:cols w:num="2" w:equalWidth="0">
            <w:col w:w="2531" w:space="40"/>
            <w:col w:w="7259"/>
          </w:cols>
        </w:sectPr>
      </w:pPr>
    </w:p>
    <w:p>
      <w:pPr>
        <w:pStyle w:val="BodyText"/>
        <w:spacing w:before="0"/>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其他需要关注的事项</w:t>
                  </w:r>
                </w:p>
              </w:txbxContent>
            </v:textbox>
            <v:fill type="solid"/>
          </v:shape>
        </w:pict>
      </w:r>
      <w:r>
        <w:rPr>
          <w:sz w:val="20"/>
        </w:rPr>
      </w:r>
    </w:p>
    <w:p>
      <w:pPr>
        <w:pStyle w:val="BodyText"/>
        <w:spacing w:before="5"/>
        <w:rPr>
          <w:sz w:val="7"/>
        </w:rPr>
      </w:pPr>
    </w:p>
    <w:p>
      <w:pPr>
        <w:pStyle w:val="ListParagraph"/>
        <w:numPr>
          <w:ilvl w:val="1"/>
          <w:numId w:val="6"/>
        </w:numPr>
        <w:tabs>
          <w:tab w:pos="1272" w:val="left" w:leader="none"/>
        </w:tabs>
        <w:spacing w:line="280" w:lineRule="auto" w:before="35" w:after="0"/>
        <w:ind w:left="2773" w:right="211" w:hanging="2558"/>
        <w:jc w:val="both"/>
        <w:rPr>
          <w:sz w:val="21"/>
        </w:rPr>
      </w:pPr>
      <w:r>
        <w:rPr>
          <w:rFonts w:ascii="黑体" w:eastAsia="黑体" w:hint="eastAsia"/>
          <w:spacing w:val="2"/>
          <w:sz w:val="21"/>
        </w:rPr>
        <w:t>年龄错误     </w:t>
      </w:r>
      <w:r>
        <w:rPr>
          <w:spacing w:val="-10"/>
          <w:sz w:val="21"/>
        </w:rPr>
        <w:t>您在申请投保时，应将与有效身份证件相符的被保险人的出生日期在投保单上填明，如果发生错误按照下列方式办理：</w:t>
      </w:r>
    </w:p>
    <w:p>
      <w:pPr>
        <w:pStyle w:val="BodyText"/>
        <w:spacing w:line="278" w:lineRule="auto" w:before="8"/>
        <w:ind w:left="3089" w:right="210" w:hanging="316"/>
        <w:jc w:val="both"/>
      </w:pPr>
      <w:r>
        <w:rPr/>
        <w:t>(1)您申报的被保险人年龄不真实，并且其真实年龄不符合本合同约定投保年龄限制的，在保险事故发生之前我们有权解除合同，并向您退还本合同保险单的现金价值。我们行使合同解除权适用本保险条款“8.2 我们合同解除权的限制”的规定。</w:t>
      </w:r>
    </w:p>
    <w:p>
      <w:pPr>
        <w:pStyle w:val="BodyText"/>
        <w:spacing w:line="278" w:lineRule="auto" w:before="12"/>
        <w:ind w:left="3089" w:right="210" w:hanging="316"/>
        <w:jc w:val="both"/>
      </w:pPr>
      <w:r>
        <w:rPr/>
        <w:t>(2)您申报的被保险人年龄不真实，致使您实付保险费少于应付保险费的， 我们有权更正并要求您补交保险费；</w:t>
      </w:r>
      <w:r>
        <w:rPr>
          <w:shd w:fill="D9D9D9" w:color="auto" w:val="clear"/>
        </w:rPr>
        <w:t>若已经发生保险事故，在给付保险金时按实付保险费和应付保险费的比例给付。</w:t>
      </w:r>
    </w:p>
    <w:p>
      <w:pPr>
        <w:pStyle w:val="BodyText"/>
        <w:spacing w:line="280" w:lineRule="auto" w:before="12"/>
        <w:ind w:left="3089" w:right="210" w:hanging="316"/>
        <w:jc w:val="both"/>
      </w:pPr>
      <w:r>
        <w:rPr/>
        <w:t>(3)您申报的被保险人年龄不真实，致使您实付保险费多于应付保险费的， 我们会将多收的保险费退还给您。</w:t>
      </w:r>
    </w:p>
    <w:p>
      <w:pPr>
        <w:pStyle w:val="BodyText"/>
        <w:spacing w:line="280" w:lineRule="auto" w:before="8"/>
        <w:ind w:left="3089" w:right="210" w:hanging="316"/>
        <w:jc w:val="both"/>
      </w:pPr>
      <w:r>
        <w:rPr/>
        <w:t>(4)您申报的被保险人年龄不真实，致使本合同保险单的现金价值与实际不符的，我们有权根据被保险人的实际年龄进行调整。</w:t>
      </w:r>
    </w:p>
    <w:p>
      <w:pPr>
        <w:pStyle w:val="ListParagraph"/>
        <w:numPr>
          <w:ilvl w:val="1"/>
          <w:numId w:val="6"/>
        </w:numPr>
        <w:tabs>
          <w:tab w:pos="1272" w:val="left" w:leader="none"/>
        </w:tabs>
        <w:spacing w:line="278" w:lineRule="auto" w:before="150" w:after="0"/>
        <w:ind w:left="2773" w:right="212" w:hanging="2558"/>
        <w:jc w:val="both"/>
        <w:rPr>
          <w:sz w:val="21"/>
        </w:rPr>
      </w:pPr>
      <w:r>
        <w:rPr>
          <w:rFonts w:ascii="黑体" w:eastAsia="黑体" w:hint="eastAsia"/>
          <w:spacing w:val="2"/>
          <w:sz w:val="21"/>
        </w:rPr>
        <w:t>未还款项     </w:t>
      </w:r>
      <w:r>
        <w:rPr>
          <w:spacing w:val="-7"/>
          <w:sz w:val="21"/>
        </w:rPr>
        <w:t>我们在给付各项保险金、退还本合同保险单的现金价值或退还保险费时，若</w:t>
      </w:r>
      <w:r>
        <w:rPr>
          <w:spacing w:val="-12"/>
          <w:sz w:val="21"/>
        </w:rPr>
        <w:t>存在欠交的保险费、其他未还款项及相应利息，我们会在扣除上述欠款后给付。</w:t>
      </w:r>
    </w:p>
    <w:p>
      <w:pPr>
        <w:pStyle w:val="ListParagraph"/>
        <w:numPr>
          <w:ilvl w:val="1"/>
          <w:numId w:val="6"/>
        </w:numPr>
        <w:tabs>
          <w:tab w:pos="1272" w:val="left" w:leader="none"/>
        </w:tabs>
        <w:spacing w:line="280" w:lineRule="auto" w:before="153" w:after="0"/>
        <w:ind w:left="2773" w:right="212" w:hanging="2558"/>
        <w:jc w:val="both"/>
        <w:rPr>
          <w:sz w:val="21"/>
        </w:rPr>
      </w:pPr>
      <w:r>
        <w:rPr>
          <w:rFonts w:ascii="黑体" w:eastAsia="黑体" w:hint="eastAsia"/>
          <w:spacing w:val="2"/>
          <w:sz w:val="21"/>
        </w:rPr>
        <w:t>合同内容变更 </w:t>
      </w:r>
      <w:r>
        <w:rPr>
          <w:spacing w:val="-7"/>
          <w:sz w:val="21"/>
        </w:rPr>
        <w:t>在本合同有效期内，经您与我们协商一致，可以变更本合同的有关内容。变</w:t>
      </w:r>
      <w:r>
        <w:rPr>
          <w:spacing w:val="-11"/>
          <w:sz w:val="21"/>
        </w:rPr>
        <w:t>更本合同的，应当由我们在保险单上批注或者附贴批单，或者由您与我们订立书面的变更协议。</w:t>
      </w:r>
    </w:p>
    <w:p>
      <w:pPr>
        <w:pStyle w:val="ListParagraph"/>
        <w:numPr>
          <w:ilvl w:val="1"/>
          <w:numId w:val="6"/>
        </w:numPr>
        <w:tabs>
          <w:tab w:pos="1272" w:val="left" w:leader="none"/>
        </w:tabs>
        <w:spacing w:line="278" w:lineRule="auto" w:before="151" w:after="0"/>
        <w:ind w:left="2773" w:right="212" w:hanging="2558"/>
        <w:jc w:val="both"/>
        <w:rPr>
          <w:sz w:val="21"/>
        </w:rPr>
      </w:pPr>
      <w:r>
        <w:rPr>
          <w:rFonts w:ascii="黑体" w:eastAsia="黑体" w:hint="eastAsia"/>
          <w:spacing w:val="2"/>
          <w:sz w:val="21"/>
        </w:rPr>
        <w:t>联系方式变更 </w:t>
      </w:r>
      <w:r>
        <w:rPr>
          <w:spacing w:val="-6"/>
          <w:sz w:val="21"/>
        </w:rPr>
        <w:t>为了保障您的合法权益，您的住所、通讯地址或电话等联系方式变更时，请</w:t>
      </w:r>
      <w:r>
        <w:rPr>
          <w:spacing w:val="-10"/>
          <w:sz w:val="21"/>
        </w:rPr>
        <w:t>及时以书面形式或双方认可的其他形式通知我们。若您未以书面形式或双方</w:t>
      </w:r>
      <w:r>
        <w:rPr>
          <w:spacing w:val="-15"/>
          <w:sz w:val="21"/>
        </w:rPr>
        <w:t>认可的其他形式通知我们，我们按本合同载明的最后住所、通讯地址或电话等联系方式发送的有关通知，均视为已送达给您。</w:t>
      </w:r>
    </w:p>
    <w:p>
      <w:pPr>
        <w:pStyle w:val="ListParagraph"/>
        <w:numPr>
          <w:ilvl w:val="1"/>
          <w:numId w:val="6"/>
        </w:numPr>
        <w:tabs>
          <w:tab w:pos="1272" w:val="left" w:leader="none"/>
        </w:tabs>
        <w:spacing w:line="278" w:lineRule="auto" w:before="153" w:after="0"/>
        <w:ind w:left="2773" w:right="212" w:hanging="2558"/>
        <w:jc w:val="both"/>
        <w:rPr>
          <w:sz w:val="21"/>
        </w:rPr>
      </w:pPr>
      <w:r>
        <w:rPr>
          <w:rFonts w:ascii="黑体" w:eastAsia="黑体" w:hint="eastAsia"/>
          <w:spacing w:val="2"/>
          <w:sz w:val="21"/>
        </w:rPr>
        <w:t>争议处理     </w:t>
      </w:r>
      <w:r>
        <w:rPr>
          <w:spacing w:val="-9"/>
          <w:sz w:val="21"/>
        </w:rPr>
        <w:t>本合同履行过程中，双方发生争议时，可以从下列两种方式中选择一种争议处理方式：</w:t>
      </w:r>
    </w:p>
    <w:p>
      <w:pPr>
        <w:pStyle w:val="BodyText"/>
        <w:spacing w:line="280" w:lineRule="auto" w:before="12"/>
        <w:ind w:left="3089" w:right="210" w:hanging="316"/>
        <w:jc w:val="both"/>
      </w:pPr>
      <w:r>
        <w:rPr/>
        <w:t>(1)因履行本合同发生的争议，由双方协商解决，协商不成的，提交本合同约定的仲裁委员会仲裁；</w:t>
      </w:r>
    </w:p>
    <w:p>
      <w:pPr>
        <w:pStyle w:val="BodyText"/>
        <w:spacing w:line="280" w:lineRule="auto" w:before="8"/>
        <w:ind w:left="3089" w:right="210" w:hanging="316"/>
        <w:jc w:val="both"/>
      </w:pPr>
      <w:r>
        <w:rPr/>
        <w:t>(2)因履行本合同发生的争议，由双方协商解决，协商不成的，依法向人民法院起诉。</w:t>
      </w:r>
    </w:p>
    <w:p>
      <w:pPr>
        <w:pStyle w:val="BodyText"/>
        <w:spacing w:before="11"/>
        <w:rPr>
          <w:sz w:val="8"/>
        </w:rPr>
      </w:pPr>
      <w:r>
        <w:rPr/>
        <w:pict>
          <v:shape style="position:absolute;margin-left:57.360001pt;margin-top:7.029348pt;width:480.6pt;height:15.6pt;mso-position-horizontal-relative:page;mso-position-vertical-relative:paragraph;z-index:1192;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10．</w:t>
                    <w:tab/>
                  </w:r>
                  <w:r>
                    <w:rPr>
                      <w:rFonts w:ascii="黑体" w:eastAsia="黑体" w:hint="eastAsia"/>
                      <w:b/>
                      <w:w w:val="95"/>
                      <w:sz w:val="21"/>
                    </w:rPr>
                    <w:t>重大疾病的定义</w:t>
                  </w:r>
                </w:p>
              </w:txbxContent>
            </v:textbox>
            <v:fill type="solid"/>
            <w10:wrap type="topAndBottom"/>
          </v:shape>
        </w:pict>
      </w:r>
    </w:p>
    <w:p>
      <w:pPr>
        <w:pStyle w:val="BodyText"/>
        <w:spacing w:before="10"/>
        <w:rPr>
          <w:sz w:val="7"/>
        </w:rPr>
      </w:pPr>
    </w:p>
    <w:p>
      <w:pPr>
        <w:spacing w:after="0"/>
        <w:rPr>
          <w:sz w:val="7"/>
        </w:rPr>
        <w:sectPr>
          <w:pgSz w:w="11910" w:h="16840"/>
          <w:pgMar w:top="1420" w:bottom="280" w:left="1040" w:right="1040"/>
        </w:sectPr>
      </w:pPr>
    </w:p>
    <w:p>
      <w:pPr>
        <w:pStyle w:val="ListParagraph"/>
        <w:numPr>
          <w:ilvl w:val="1"/>
          <w:numId w:val="7"/>
        </w:numPr>
        <w:tabs>
          <w:tab w:pos="1271" w:val="left" w:leader="none"/>
          <w:tab w:pos="1272" w:val="left" w:leader="none"/>
        </w:tabs>
        <w:spacing w:line="280" w:lineRule="auto" w:before="35" w:after="0"/>
        <w:ind w:left="1271" w:right="0" w:hanging="1056"/>
        <w:jc w:val="left"/>
        <w:rPr>
          <w:rFonts w:ascii="黑体" w:eastAsia="黑体" w:hint="eastAsia"/>
          <w:sz w:val="21"/>
        </w:rPr>
      </w:pPr>
      <w:r>
        <w:rPr>
          <w:rFonts w:ascii="黑体" w:eastAsia="黑体" w:hint="eastAsia"/>
          <w:sz w:val="21"/>
        </w:rPr>
        <w:t>重大疾病的定义</w:t>
      </w:r>
    </w:p>
    <w:p>
      <w:pPr>
        <w:pStyle w:val="BodyText"/>
        <w:spacing w:line="320" w:lineRule="exact" w:before="24"/>
        <w:ind w:left="202" w:right="206"/>
        <w:jc w:val="both"/>
      </w:pPr>
      <w:r>
        <w:rPr/>
        <w:br w:type="column"/>
      </w:r>
      <w:r>
        <w:rPr>
          <w:spacing w:val="-8"/>
        </w:rPr>
        <w:t>本合同所保障的重大疾病，是指被保险人在本合同有效期间内经</w:t>
      </w:r>
      <w:r>
        <w:rPr>
          <w:rFonts w:ascii="微软雅黑" w:eastAsia="微软雅黑" w:hint="eastAsia"/>
          <w:b/>
        </w:rPr>
        <w:t>专科医生</w:t>
      </w:r>
      <w:r>
        <w:rPr/>
        <w:t>明确诊断初次患下列疾病或初次达到下列疾病状态或在医院初次接受下列手术：</w:t>
      </w:r>
    </w:p>
    <w:p>
      <w:pPr>
        <w:spacing w:after="0" w:line="320" w:lineRule="exact"/>
        <w:jc w:val="both"/>
        <w:sectPr>
          <w:type w:val="continuous"/>
          <w:pgSz w:w="11910" w:h="16840"/>
          <w:pgMar w:top="1260" w:bottom="280" w:left="1040" w:right="1040"/>
          <w:cols w:num="2" w:equalWidth="0">
            <w:col w:w="2532" w:space="40"/>
            <w:col w:w="7258"/>
          </w:cols>
        </w:sectPr>
      </w:pPr>
    </w:p>
    <w:p>
      <w:pPr>
        <w:pStyle w:val="BodyText"/>
        <w:spacing w:before="12"/>
        <w:rPr>
          <w:sz w:val="8"/>
        </w:rPr>
      </w:pPr>
    </w:p>
    <w:p>
      <w:pPr>
        <w:pStyle w:val="ListParagraph"/>
        <w:numPr>
          <w:ilvl w:val="2"/>
          <w:numId w:val="7"/>
        </w:numPr>
        <w:tabs>
          <w:tab w:pos="1272" w:val="left" w:leader="none"/>
        </w:tabs>
        <w:spacing w:line="278" w:lineRule="auto" w:before="35" w:after="0"/>
        <w:ind w:left="2773" w:right="212" w:hanging="2558"/>
        <w:jc w:val="both"/>
        <w:rPr>
          <w:sz w:val="21"/>
        </w:rPr>
      </w:pPr>
      <w:r>
        <w:rPr>
          <w:rFonts w:ascii="黑体" w:eastAsia="黑体" w:hint="eastAsia"/>
          <w:spacing w:val="2"/>
          <w:sz w:val="21"/>
        </w:rPr>
        <w:t>恶性肿瘤     </w:t>
      </w:r>
      <w:r>
        <w:rPr>
          <w:spacing w:val="-5"/>
          <w:sz w:val="21"/>
        </w:rPr>
        <w:t>指恶性细胞不受控制的进行性增长和扩散，浸润和破坏周围正常组织，可以</w:t>
      </w:r>
      <w:r>
        <w:rPr>
          <w:spacing w:val="-10"/>
          <w:sz w:val="21"/>
        </w:rPr>
        <w:t>经血管、淋巴管和体腔扩散转移到身体其他部位的疾病。经病理学检查结果</w:t>
      </w:r>
      <w:r>
        <w:rPr>
          <w:spacing w:val="-13"/>
          <w:sz w:val="21"/>
        </w:rPr>
        <w:t>明确诊断，临床诊断属于世界卫生组织《疾病和有关健康问题的国际统计分</w:t>
      </w:r>
      <w:r>
        <w:rPr>
          <w:spacing w:val="-53"/>
          <w:sz w:val="21"/>
        </w:rPr>
        <w:t>类》</w:t>
      </w:r>
      <w:r>
        <w:rPr>
          <w:spacing w:val="-1"/>
          <w:sz w:val="21"/>
        </w:rPr>
        <w:t>（ICD-10）的恶性肿瘤范畴。</w:t>
      </w:r>
    </w:p>
    <w:p>
      <w:pPr>
        <w:pStyle w:val="BodyText"/>
        <w:spacing w:before="10"/>
        <w:ind w:left="2773"/>
      </w:pPr>
      <w:r>
        <w:rPr>
          <w:shd w:fill="D9D9D9" w:color="auto" w:val="clear"/>
        </w:rPr>
        <w:t>下列疾病不在保障范围内： </w:t>
      </w:r>
    </w:p>
    <w:p>
      <w:pPr>
        <w:spacing w:after="0"/>
        <w:sectPr>
          <w:type w:val="continuous"/>
          <w:pgSz w:w="11910" w:h="16840"/>
          <w:pgMar w:top="1260" w:bottom="280" w:left="1040" w:right="1040"/>
        </w:sectPr>
      </w:pPr>
    </w:p>
    <w:p>
      <w:pPr>
        <w:pStyle w:val="BodyText"/>
        <w:spacing w:before="8"/>
        <w:ind w:left="2713"/>
      </w:pPr>
      <w:r>
        <w:rPr>
          <w:shd w:fill="D9D9D9" w:color="auto" w:val="clear"/>
        </w:rPr>
        <w:t>(1)原位癌；</w:t>
      </w:r>
    </w:p>
    <w:p>
      <w:pPr>
        <w:pStyle w:val="BodyText"/>
        <w:spacing w:before="43"/>
        <w:ind w:left="2713"/>
      </w:pPr>
      <w:r>
        <w:rPr>
          <w:shd w:fill="D9D9D9" w:color="auto" w:val="clear"/>
        </w:rPr>
        <w:t>(2)相当于 Binet 分期方案 A 期程度的慢性淋巴细胞白血病；</w:t>
      </w:r>
    </w:p>
    <w:p>
      <w:pPr>
        <w:pStyle w:val="BodyText"/>
        <w:spacing w:line="278" w:lineRule="auto" w:before="45"/>
        <w:ind w:left="2713" w:right="1588"/>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position w:val="1"/>
          <w:shd w:fill="D9D9D9" w:color="auto" w:val="clear"/>
        </w:rPr>
        <w:t>(5)TNM</w:t>
      </w:r>
      <w:r>
        <w:rPr>
          <w:spacing w:val="26"/>
          <w:position w:val="1"/>
          <w:shd w:fill="D9D9D9" w:color="auto" w:val="clear"/>
        </w:rPr>
        <w:t>  分期为  </w:t>
      </w:r>
      <w:r>
        <w:rPr>
          <w:position w:val="1"/>
          <w:shd w:fill="D9D9D9" w:color="auto" w:val="clear"/>
        </w:rPr>
        <w:t>T</w:t>
      </w:r>
      <w:r>
        <w:rPr>
          <w:sz w:val="11"/>
        </w:rPr>
        <w:t>1</w:t>
      </w:r>
      <w:r>
        <w:rPr>
          <w:position w:val="1"/>
          <w:shd w:fill="D9D9D9" w:color="auto" w:val="clear"/>
        </w:rPr>
        <w:t>N</w:t>
      </w:r>
      <w:r>
        <w:rPr>
          <w:sz w:val="11"/>
        </w:rPr>
        <w:t>0</w:t>
      </w:r>
      <w:r>
        <w:rPr>
          <w:position w:val="1"/>
          <w:shd w:fill="D9D9D9" w:color="auto" w:val="clear"/>
        </w:rPr>
        <w:t>M</w:t>
      </w:r>
      <w:r>
        <w:rPr>
          <w:sz w:val="11"/>
        </w:rPr>
        <w:t>0</w:t>
      </w:r>
      <w:r>
        <w:rPr>
          <w:spacing w:val="12"/>
          <w:sz w:val="11"/>
        </w:rPr>
        <w:t>    </w:t>
      </w:r>
      <w:r>
        <w:rPr>
          <w:position w:val="1"/>
          <w:shd w:fill="D9D9D9" w:color="auto" w:val="clear"/>
        </w:rPr>
        <w:t>期或更轻分期的前列腺癌；</w:t>
      </w:r>
      <w:r>
        <w:rPr>
          <w:shd w:fill="D9D9D9" w:color="auto" w:val="clear"/>
        </w:rPr>
        <w:t> </w:t>
      </w:r>
      <w:r>
        <w:rPr>
          <w:spacing w:val="-1"/>
          <w:shd w:fill="D9D9D9" w:color="auto" w:val="clear"/>
        </w:rPr>
        <w:t>(6)感染艾滋病病毒或患艾滋病期间所患恶性肿瘤。</w:t>
      </w:r>
    </w:p>
    <w:p>
      <w:pPr>
        <w:pStyle w:val="ListParagraph"/>
        <w:numPr>
          <w:ilvl w:val="2"/>
          <w:numId w:val="7"/>
        </w:numPr>
        <w:tabs>
          <w:tab w:pos="1212" w:val="left" w:leader="none"/>
        </w:tabs>
        <w:spacing w:line="280" w:lineRule="auto" w:before="153" w:after="0"/>
        <w:ind w:left="2713" w:right="212" w:hanging="2558"/>
        <w:jc w:val="both"/>
        <w:rPr>
          <w:sz w:val="21"/>
        </w:rPr>
      </w:pPr>
      <w:r>
        <w:rPr>
          <w:rFonts w:ascii="黑体" w:eastAsia="黑体" w:hint="eastAsia"/>
          <w:spacing w:val="3"/>
          <w:sz w:val="21"/>
        </w:rPr>
        <w:t>急性心肌梗塞 </w:t>
      </w:r>
      <w:r>
        <w:rPr>
          <w:spacing w:val="-4"/>
          <w:sz w:val="21"/>
        </w:rPr>
        <w:t>指因冠状动脉阻塞导致的相应区域供血不足造成部分心肌坏死。须满足下列至少三项条件：</w:t>
      </w:r>
    </w:p>
    <w:p>
      <w:pPr>
        <w:pStyle w:val="BodyText"/>
        <w:spacing w:line="280" w:lineRule="auto" w:before="8"/>
        <w:ind w:left="2713" w:right="3164"/>
      </w:pPr>
      <w:r>
        <w:rPr/>
        <w:t>(1)典型临床表现，例如急性胸痛等；  </w:t>
      </w:r>
      <w:r>
        <w:rPr>
          <w:spacing w:val="-1"/>
        </w:rPr>
        <w:t>(2)新近的心电图改变提示急性心肌梗塞；</w:t>
      </w:r>
    </w:p>
    <w:p>
      <w:pPr>
        <w:pStyle w:val="BodyText"/>
        <w:spacing w:line="278" w:lineRule="auto" w:before="10"/>
        <w:ind w:left="3029" w:right="210" w:hanging="316"/>
      </w:pPr>
      <w:r>
        <w:rPr/>
        <w:t>(3)心肌酶或肌钙蛋白有诊断意义的升高，或呈符合急性心肌梗塞的动态性变化；</w:t>
      </w:r>
    </w:p>
    <w:p>
      <w:pPr>
        <w:pStyle w:val="BodyText"/>
        <w:spacing w:before="17"/>
        <w:ind w:left="2713"/>
      </w:pPr>
      <w:r>
        <w:rPr/>
        <w:t>(4)发病</w:t>
      </w:r>
      <w:r>
        <w:rPr>
          <w:spacing w:val="-55"/>
        </w:rPr>
        <w:t> </w:t>
      </w:r>
      <w:r>
        <w:rPr/>
        <w:t>90</w:t>
      </w:r>
      <w:r>
        <w:rPr>
          <w:spacing w:val="-56"/>
        </w:rPr>
        <w:t> </w:t>
      </w:r>
      <w:r>
        <w:rPr/>
        <w:t>天后</w:t>
      </w:r>
      <w:r>
        <w:rPr>
          <w:spacing w:val="-74"/>
        </w:rPr>
        <w:t>，</w:t>
      </w:r>
      <w:r>
        <w:rPr/>
        <w:t>经检查证实左心室功能降低</w:t>
      </w:r>
      <w:r>
        <w:rPr>
          <w:spacing w:val="-74"/>
        </w:rPr>
        <w:t>，</w:t>
      </w:r>
      <w:r>
        <w:rPr/>
        <w:t>如左心室射血分数低于</w:t>
      </w:r>
      <w:r>
        <w:rPr>
          <w:spacing w:val="-53"/>
        </w:rPr>
        <w:t> </w:t>
      </w:r>
      <w:r>
        <w:rPr>
          <w:spacing w:val="5"/>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11"/>
        <w:rPr>
          <w:sz w:val="13"/>
        </w:rPr>
      </w:pPr>
    </w:p>
    <w:p>
      <w:pPr>
        <w:pStyle w:val="ListParagraph"/>
        <w:numPr>
          <w:ilvl w:val="2"/>
          <w:numId w:val="7"/>
        </w:numPr>
        <w:tabs>
          <w:tab w:pos="1212" w:val="left" w:leader="none"/>
        </w:tabs>
        <w:spacing w:line="278" w:lineRule="auto" w:before="1" w:after="0"/>
        <w:ind w:left="2713" w:right="212" w:hanging="2558"/>
        <w:jc w:val="both"/>
        <w:rPr>
          <w:sz w:val="21"/>
        </w:rPr>
      </w:pPr>
      <w:r>
        <w:rPr>
          <w:rFonts w:ascii="黑体" w:eastAsia="黑体" w:hint="eastAsia"/>
          <w:spacing w:val="3"/>
          <w:sz w:val="21"/>
        </w:rPr>
        <w:t>脑中风后遗症 </w:t>
      </w:r>
      <w:r>
        <w:rPr>
          <w:spacing w:val="-5"/>
          <w:sz w:val="21"/>
        </w:rPr>
        <w:t>指因脑血管的突发病变引起脑血管出血、栓塞或梗塞，并导致神经系统永久</w:t>
      </w:r>
      <w:r>
        <w:rPr>
          <w:spacing w:val="-12"/>
          <w:sz w:val="21"/>
        </w:rPr>
        <w:t>性的功能障碍。神经系统永久性的功能障碍，指疾病确诊 </w:t>
      </w:r>
      <w:r>
        <w:rPr>
          <w:sz w:val="21"/>
        </w:rPr>
        <w:t>180</w:t>
      </w:r>
      <w:r>
        <w:rPr>
          <w:spacing w:val="-13"/>
          <w:sz w:val="21"/>
        </w:rPr>
        <w:t> 天后，仍遗留下列一种或一种以上障碍：</w:t>
      </w:r>
    </w:p>
    <w:p>
      <w:pPr>
        <w:spacing w:line="291" w:lineRule="exact" w:before="0"/>
        <w:ind w:left="2713"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713"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29" w:right="212"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8"/>
        <w:rPr>
          <w:sz w:val="16"/>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594"/>
        <w:gridCol w:w="7013"/>
      </w:tblGrid>
      <w:tr>
        <w:trPr>
          <w:trHeight w:val="1616" w:hRule="atLeast"/>
        </w:trPr>
        <w:tc>
          <w:tcPr>
            <w:tcW w:w="893" w:type="dxa"/>
          </w:tcPr>
          <w:p>
            <w:pPr>
              <w:pStyle w:val="TableParagraph"/>
              <w:spacing w:line="210" w:lineRule="exact" w:before="0"/>
              <w:ind w:left="50"/>
              <w:rPr>
                <w:rFonts w:ascii="黑体"/>
                <w:sz w:val="21"/>
              </w:rPr>
            </w:pPr>
            <w:r>
              <w:rPr>
                <w:rFonts w:ascii="黑体"/>
                <w:sz w:val="21"/>
              </w:rPr>
              <w:t>10.1.4</w:t>
            </w:r>
          </w:p>
        </w:tc>
        <w:tc>
          <w:tcPr>
            <w:tcW w:w="1594" w:type="dxa"/>
          </w:tcPr>
          <w:p>
            <w:pPr>
              <w:pStyle w:val="TableParagraph"/>
              <w:spacing w:line="210" w:lineRule="exact" w:before="0"/>
              <w:ind w:left="213"/>
              <w:rPr>
                <w:rFonts w:ascii="黑体" w:eastAsia="黑体" w:hint="eastAsia"/>
                <w:sz w:val="21"/>
              </w:rPr>
            </w:pPr>
            <w:r>
              <w:rPr>
                <w:rFonts w:ascii="黑体" w:eastAsia="黑体" w:hint="eastAsia"/>
                <w:sz w:val="21"/>
              </w:rPr>
              <w:t>重大器官移植</w:t>
            </w:r>
          </w:p>
          <w:p>
            <w:pPr>
              <w:pStyle w:val="TableParagraph"/>
              <w:spacing w:line="278" w:lineRule="auto" w:before="45"/>
              <w:ind w:left="213" w:right="118"/>
              <w:rPr>
                <w:rFonts w:ascii="黑体" w:eastAsia="黑体" w:hint="eastAsia"/>
                <w:sz w:val="21"/>
              </w:rPr>
            </w:pPr>
            <w:r>
              <w:rPr>
                <w:rFonts w:ascii="黑体" w:eastAsia="黑体" w:hint="eastAsia"/>
                <w:sz w:val="21"/>
              </w:rPr>
              <w:t>术或造血干细胞移植术</w:t>
            </w:r>
          </w:p>
        </w:tc>
        <w:tc>
          <w:tcPr>
            <w:tcW w:w="7013" w:type="dxa"/>
          </w:tcPr>
          <w:p>
            <w:pPr>
              <w:pStyle w:val="TableParagraph"/>
              <w:spacing w:line="210" w:lineRule="exact" w:before="0"/>
              <w:rPr>
                <w:sz w:val="21"/>
              </w:rPr>
            </w:pPr>
            <w:r>
              <w:rPr>
                <w:spacing w:val="-7"/>
                <w:sz w:val="21"/>
              </w:rPr>
              <w:t>重大器官移植术，指因相应器官功能衰竭，已经实施了肾脏、肝脏、心脏或</w:t>
            </w:r>
          </w:p>
          <w:p>
            <w:pPr>
              <w:pStyle w:val="TableParagraph"/>
              <w:spacing w:before="45"/>
              <w:rPr>
                <w:sz w:val="21"/>
              </w:rPr>
            </w:pPr>
            <w:r>
              <w:rPr>
                <w:sz w:val="21"/>
              </w:rPr>
              <w:t>肺脏的异体移植手术。</w:t>
            </w:r>
          </w:p>
          <w:p>
            <w:pPr>
              <w:pStyle w:val="TableParagraph"/>
              <w:spacing w:line="280" w:lineRule="auto" w:before="44"/>
              <w:ind w:right="53"/>
              <w:jc w:val="both"/>
              <w:rPr>
                <w:sz w:val="21"/>
              </w:rPr>
            </w:pPr>
            <w:r>
              <w:rPr>
                <w:spacing w:val="-8"/>
                <w:sz w:val="21"/>
              </w:rPr>
              <w:t>造血干细胞移植术，指因造血功能损害或造血系统恶性肿瘤，已经实施了造</w:t>
            </w:r>
            <w:r>
              <w:rPr>
                <w:spacing w:val="-14"/>
                <w:sz w:val="21"/>
              </w:rPr>
              <w:t>血干细胞</w:t>
            </w:r>
            <w:r>
              <w:rPr>
                <w:sz w:val="21"/>
              </w:rPr>
              <w:t>（</w:t>
            </w:r>
            <w:r>
              <w:rPr>
                <w:spacing w:val="-4"/>
                <w:sz w:val="21"/>
              </w:rPr>
              <w:t>包括骨髓造血干细胞、外周血造血干细胞和脐血造血干细胞</w:t>
            </w:r>
            <w:r>
              <w:rPr>
                <w:spacing w:val="-32"/>
                <w:sz w:val="21"/>
              </w:rPr>
              <w:t>）</w:t>
            </w:r>
            <w:r>
              <w:rPr>
                <w:sz w:val="21"/>
              </w:rPr>
              <w:t>的异体移植手术。</w:t>
            </w:r>
          </w:p>
        </w:tc>
      </w:tr>
      <w:tr>
        <w:trPr>
          <w:trHeight w:val="1422" w:hRule="atLeast"/>
        </w:trPr>
        <w:tc>
          <w:tcPr>
            <w:tcW w:w="893" w:type="dxa"/>
          </w:tcPr>
          <w:p>
            <w:pPr>
              <w:pStyle w:val="TableParagraph"/>
              <w:spacing w:before="61"/>
              <w:ind w:left="50"/>
              <w:rPr>
                <w:rFonts w:ascii="黑体"/>
                <w:sz w:val="21"/>
              </w:rPr>
            </w:pPr>
            <w:r>
              <w:rPr>
                <w:rFonts w:ascii="黑体"/>
                <w:sz w:val="21"/>
              </w:rPr>
              <w:t>10.1.5</w:t>
            </w:r>
          </w:p>
        </w:tc>
        <w:tc>
          <w:tcPr>
            <w:tcW w:w="1594" w:type="dxa"/>
          </w:tcPr>
          <w:p>
            <w:pPr>
              <w:pStyle w:val="TableParagraph"/>
              <w:spacing w:line="278" w:lineRule="auto" w:before="61"/>
              <w:ind w:left="213" w:right="118"/>
              <w:jc w:val="both"/>
              <w:rPr>
                <w:rFonts w:ascii="黑体" w:eastAsia="黑体" w:hint="eastAsia"/>
                <w:sz w:val="21"/>
              </w:rPr>
            </w:pPr>
            <w:r>
              <w:rPr>
                <w:rFonts w:ascii="黑体" w:eastAsia="黑体" w:hint="eastAsia"/>
                <w:sz w:val="21"/>
              </w:rPr>
              <w:t>冠状动脉搭桥术（或称冠状动脉旁路移植术）</w:t>
            </w:r>
          </w:p>
        </w:tc>
        <w:tc>
          <w:tcPr>
            <w:tcW w:w="7013" w:type="dxa"/>
          </w:tcPr>
          <w:p>
            <w:pPr>
              <w:pStyle w:val="TableParagraph"/>
              <w:spacing w:line="278" w:lineRule="auto" w:before="61"/>
              <w:ind w:right="53"/>
              <w:rPr>
                <w:sz w:val="21"/>
              </w:rPr>
            </w:pPr>
            <w:r>
              <w:rPr>
                <w:spacing w:val="-9"/>
                <w:sz w:val="21"/>
              </w:rPr>
              <w:t>指为治疗严重的冠心病，实际实施了开胸进行的冠状动脉血管旁路移植的手术。</w:t>
            </w:r>
          </w:p>
          <w:p>
            <w:pPr>
              <w:pStyle w:val="TableParagraph"/>
              <w:spacing w:line="280" w:lineRule="auto" w:before="12"/>
              <w:ind w:right="53"/>
              <w:rPr>
                <w:sz w:val="21"/>
              </w:rPr>
            </w:pPr>
            <w:r>
              <w:rPr>
                <w:spacing w:val="-8"/>
                <w:sz w:val="21"/>
                <w:shd w:fill="D9D9D9" w:color="auto" w:val="clear"/>
              </w:rPr>
              <w:t>冠状动脉支架植入术、心导管球囊扩张术、激光射频技术及其他非开胸的介入手术、腔镜手术不在保障范围内。</w:t>
            </w:r>
          </w:p>
        </w:tc>
      </w:tr>
      <w:tr>
        <w:trPr>
          <w:trHeight w:val="1421" w:hRule="atLeast"/>
        </w:trPr>
        <w:tc>
          <w:tcPr>
            <w:tcW w:w="893" w:type="dxa"/>
          </w:tcPr>
          <w:p>
            <w:pPr>
              <w:pStyle w:val="TableParagraph"/>
              <w:spacing w:before="61"/>
              <w:ind w:left="50"/>
              <w:rPr>
                <w:rFonts w:ascii="黑体"/>
                <w:sz w:val="21"/>
              </w:rPr>
            </w:pPr>
            <w:r>
              <w:rPr>
                <w:rFonts w:ascii="黑体"/>
                <w:sz w:val="21"/>
              </w:rPr>
              <w:t>10.1.6</w:t>
            </w:r>
          </w:p>
        </w:tc>
        <w:tc>
          <w:tcPr>
            <w:tcW w:w="1594" w:type="dxa"/>
          </w:tcPr>
          <w:p>
            <w:pPr>
              <w:pStyle w:val="TableParagraph"/>
              <w:spacing w:before="61"/>
              <w:ind w:left="213"/>
              <w:rPr>
                <w:rFonts w:ascii="黑体" w:eastAsia="黑体" w:hint="eastAsia"/>
                <w:sz w:val="21"/>
              </w:rPr>
            </w:pPr>
            <w:r>
              <w:rPr>
                <w:rFonts w:ascii="黑体" w:eastAsia="黑体" w:hint="eastAsia"/>
                <w:sz w:val="21"/>
              </w:rPr>
              <w:t>终末期肾病</w:t>
            </w:r>
          </w:p>
          <w:p>
            <w:pPr>
              <w:pStyle w:val="TableParagraph"/>
              <w:spacing w:line="280" w:lineRule="auto" w:before="44"/>
              <w:ind w:left="213" w:right="118"/>
              <w:jc w:val="both"/>
              <w:rPr>
                <w:rFonts w:ascii="黑体" w:eastAsia="黑体" w:hint="eastAsia"/>
                <w:sz w:val="21"/>
              </w:rPr>
            </w:pPr>
            <w:r>
              <w:rPr>
                <w:rFonts w:ascii="黑体" w:eastAsia="黑体" w:hint="eastAsia"/>
                <w:sz w:val="21"/>
              </w:rPr>
              <w:t>（或称慢性肾功能衰竭尿毒症期）</w:t>
            </w:r>
          </w:p>
        </w:tc>
        <w:tc>
          <w:tcPr>
            <w:tcW w:w="7013" w:type="dxa"/>
          </w:tcPr>
          <w:p>
            <w:pPr>
              <w:pStyle w:val="TableParagraph"/>
              <w:spacing w:before="61"/>
              <w:rPr>
                <w:sz w:val="21"/>
              </w:rPr>
            </w:pPr>
            <w:r>
              <w:rPr>
                <w:sz w:val="21"/>
              </w:rPr>
              <w:t>指双肾功能慢性不可逆性衰竭，达到尿毒症期，经诊断后已经进行了至少</w:t>
            </w:r>
          </w:p>
          <w:p>
            <w:pPr>
              <w:pStyle w:val="TableParagraph"/>
              <w:spacing w:before="44"/>
              <w:rPr>
                <w:sz w:val="21"/>
              </w:rPr>
            </w:pPr>
            <w:r>
              <w:rPr>
                <w:sz w:val="21"/>
              </w:rPr>
              <w:t>90 天的规律性透析治疗或实施了肾脏移植手术。</w:t>
            </w:r>
          </w:p>
        </w:tc>
      </w:tr>
      <w:tr>
        <w:trPr>
          <w:trHeight w:val="781" w:hRule="atLeast"/>
        </w:trPr>
        <w:tc>
          <w:tcPr>
            <w:tcW w:w="893" w:type="dxa"/>
          </w:tcPr>
          <w:p>
            <w:pPr>
              <w:pStyle w:val="TableParagraph"/>
              <w:spacing w:before="61"/>
              <w:ind w:left="50"/>
              <w:rPr>
                <w:rFonts w:ascii="黑体"/>
                <w:sz w:val="21"/>
              </w:rPr>
            </w:pPr>
            <w:r>
              <w:rPr>
                <w:rFonts w:ascii="黑体"/>
                <w:sz w:val="21"/>
              </w:rPr>
              <w:t>10.1.7</w:t>
            </w:r>
          </w:p>
        </w:tc>
        <w:tc>
          <w:tcPr>
            <w:tcW w:w="1594" w:type="dxa"/>
          </w:tcPr>
          <w:p>
            <w:pPr>
              <w:pStyle w:val="TableParagraph"/>
              <w:spacing w:before="61"/>
              <w:ind w:left="213"/>
              <w:rPr>
                <w:rFonts w:ascii="黑体" w:eastAsia="黑体" w:hint="eastAsia"/>
                <w:sz w:val="21"/>
              </w:rPr>
            </w:pPr>
            <w:r>
              <w:rPr>
                <w:rFonts w:ascii="黑体" w:eastAsia="黑体" w:hint="eastAsia"/>
                <w:sz w:val="21"/>
              </w:rPr>
              <w:t>多个肢体缺失</w:t>
            </w:r>
          </w:p>
        </w:tc>
        <w:tc>
          <w:tcPr>
            <w:tcW w:w="7013" w:type="dxa"/>
          </w:tcPr>
          <w:p>
            <w:pPr>
              <w:pStyle w:val="TableParagraph"/>
              <w:spacing w:line="278" w:lineRule="auto" w:before="61"/>
              <w:ind w:right="53"/>
              <w:rPr>
                <w:sz w:val="21"/>
              </w:rPr>
            </w:pPr>
            <w:r>
              <w:rPr>
                <w:spacing w:val="-4"/>
                <w:sz w:val="21"/>
              </w:rPr>
              <w:t>指因疾病或意外伤害导致两个或两个以上肢体自腕关节或踝关节近端</w:t>
            </w:r>
            <w:r>
              <w:rPr>
                <w:sz w:val="21"/>
              </w:rPr>
              <w:t>（靠近躯干端）以上完全性断离。</w:t>
            </w:r>
          </w:p>
        </w:tc>
      </w:tr>
      <w:tr>
        <w:trPr>
          <w:trHeight w:val="1616" w:hRule="atLeast"/>
        </w:trPr>
        <w:tc>
          <w:tcPr>
            <w:tcW w:w="893" w:type="dxa"/>
          </w:tcPr>
          <w:p>
            <w:pPr>
              <w:pStyle w:val="TableParagraph"/>
              <w:spacing w:before="61"/>
              <w:ind w:left="50"/>
              <w:rPr>
                <w:rFonts w:ascii="黑体"/>
                <w:sz w:val="21"/>
              </w:rPr>
            </w:pPr>
            <w:r>
              <w:rPr>
                <w:rFonts w:ascii="黑体"/>
                <w:sz w:val="21"/>
              </w:rPr>
              <w:t>10.1.8</w:t>
            </w:r>
          </w:p>
        </w:tc>
        <w:tc>
          <w:tcPr>
            <w:tcW w:w="1594" w:type="dxa"/>
          </w:tcPr>
          <w:p>
            <w:pPr>
              <w:pStyle w:val="TableParagraph"/>
              <w:spacing w:line="280" w:lineRule="auto" w:before="61"/>
              <w:ind w:left="213" w:right="118"/>
              <w:rPr>
                <w:rFonts w:ascii="黑体" w:eastAsia="黑体" w:hint="eastAsia"/>
                <w:sz w:val="21"/>
              </w:rPr>
            </w:pPr>
            <w:r>
              <w:rPr>
                <w:rFonts w:ascii="黑体" w:eastAsia="黑体" w:hint="eastAsia"/>
                <w:sz w:val="21"/>
              </w:rPr>
              <w:t>急性或亚急性重症肝炎</w:t>
            </w:r>
          </w:p>
        </w:tc>
        <w:tc>
          <w:tcPr>
            <w:tcW w:w="7013" w:type="dxa"/>
          </w:tcPr>
          <w:p>
            <w:pPr>
              <w:pStyle w:val="TableParagraph"/>
              <w:spacing w:line="280" w:lineRule="auto" w:before="61"/>
              <w:ind w:right="53"/>
              <w:rPr>
                <w:sz w:val="21"/>
              </w:rPr>
            </w:pPr>
            <w:r>
              <w:rPr>
                <w:spacing w:val="-5"/>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8"/>
              <w:rPr>
                <w:sz w:val="21"/>
              </w:rPr>
            </w:pPr>
            <w:r>
              <w:rPr>
                <w:sz w:val="21"/>
              </w:rPr>
              <w:t>(2)肝性脑病；</w:t>
            </w:r>
          </w:p>
          <w:p>
            <w:pPr>
              <w:pStyle w:val="TableParagraph"/>
              <w:spacing w:line="255" w:lineRule="exact" w:before="45"/>
              <w:rPr>
                <w:sz w:val="21"/>
              </w:rPr>
            </w:pPr>
            <w:r>
              <w:rPr>
                <w:sz w:val="21"/>
              </w:rPr>
              <w:t>(3)B 超或其他影像学检查显示肝脏体积急速萎缩；</w:t>
            </w:r>
          </w:p>
        </w:tc>
      </w:tr>
    </w:tbl>
    <w:p>
      <w:pPr>
        <w:spacing w:after="0" w:line="255" w:lineRule="exact"/>
        <w:rPr>
          <w:sz w:val="21"/>
        </w:rPr>
        <w:sectPr>
          <w:pgSz w:w="11910" w:h="16840"/>
          <w:pgMar w:top="1420" w:bottom="280" w:left="1100" w:right="10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542"/>
        <w:gridCol w:w="7010"/>
      </w:tblGrid>
      <w:tr>
        <w:trPr>
          <w:trHeight w:val="335" w:hRule="atLeast"/>
        </w:trPr>
        <w:tc>
          <w:tcPr>
            <w:tcW w:w="945" w:type="dxa"/>
          </w:tcPr>
          <w:p>
            <w:pPr>
              <w:pStyle w:val="TableParagraph"/>
              <w:spacing w:before="0"/>
              <w:ind w:left="0"/>
              <w:rPr>
                <w:rFonts w:ascii="Times New Roman"/>
                <w:sz w:val="20"/>
              </w:rPr>
            </w:pPr>
          </w:p>
        </w:tc>
        <w:tc>
          <w:tcPr>
            <w:tcW w:w="1542" w:type="dxa"/>
          </w:tcPr>
          <w:p>
            <w:pPr>
              <w:pStyle w:val="TableParagraph"/>
              <w:spacing w:before="0"/>
              <w:ind w:left="0"/>
              <w:rPr>
                <w:rFonts w:ascii="Times New Roman"/>
                <w:sz w:val="20"/>
              </w:rPr>
            </w:pPr>
          </w:p>
        </w:tc>
        <w:tc>
          <w:tcPr>
            <w:tcW w:w="7010" w:type="dxa"/>
          </w:tcPr>
          <w:p>
            <w:pPr>
              <w:pStyle w:val="TableParagraph"/>
              <w:spacing w:line="204" w:lineRule="exact" w:before="0"/>
              <w:rPr>
                <w:sz w:val="21"/>
              </w:rPr>
            </w:pPr>
            <w:r>
              <w:rPr>
                <w:sz w:val="21"/>
              </w:rPr>
              <w:t>(4)肝功能指标进行性恶化。</w:t>
            </w:r>
          </w:p>
        </w:tc>
      </w:tr>
      <w:tr>
        <w:trPr>
          <w:trHeight w:val="2382" w:hRule="atLeast"/>
        </w:trPr>
        <w:tc>
          <w:tcPr>
            <w:tcW w:w="945" w:type="dxa"/>
          </w:tcPr>
          <w:p>
            <w:pPr>
              <w:pStyle w:val="TableParagraph"/>
              <w:spacing w:before="54"/>
              <w:ind w:left="50"/>
              <w:rPr>
                <w:rFonts w:ascii="黑体"/>
                <w:sz w:val="21"/>
              </w:rPr>
            </w:pPr>
            <w:r>
              <w:rPr>
                <w:rFonts w:ascii="黑体"/>
                <w:sz w:val="21"/>
              </w:rPr>
              <w:t>10.1.9</w:t>
            </w:r>
          </w:p>
        </w:tc>
        <w:tc>
          <w:tcPr>
            <w:tcW w:w="1542" w:type="dxa"/>
          </w:tcPr>
          <w:p>
            <w:pPr>
              <w:pStyle w:val="TableParagraph"/>
              <w:spacing w:before="54"/>
              <w:ind w:left="161"/>
              <w:rPr>
                <w:rFonts w:ascii="黑体" w:eastAsia="黑体" w:hint="eastAsia"/>
                <w:sz w:val="21"/>
              </w:rPr>
            </w:pPr>
            <w:r>
              <w:rPr>
                <w:rFonts w:ascii="黑体" w:eastAsia="黑体" w:hint="eastAsia"/>
                <w:sz w:val="21"/>
              </w:rPr>
              <w:t>良性脑肿瘤</w:t>
            </w:r>
          </w:p>
        </w:tc>
        <w:tc>
          <w:tcPr>
            <w:tcW w:w="7010" w:type="dxa"/>
          </w:tcPr>
          <w:p>
            <w:pPr>
              <w:pStyle w:val="TableParagraph"/>
              <w:spacing w:line="278" w:lineRule="auto" w:before="54"/>
              <w:ind w:right="47"/>
              <w:rPr>
                <w:sz w:val="21"/>
              </w:rPr>
            </w:pPr>
            <w:r>
              <w:rPr>
                <w:spacing w:val="-7"/>
                <w:sz w:val="21"/>
              </w:rPr>
              <w:t>指脑的良性肿瘤，已经引起颅内压增高，临床表现为视神经乳头水肿、精神</w:t>
            </w:r>
            <w:r>
              <w:rPr>
                <w:sz w:val="21"/>
              </w:rPr>
              <w:t>症状、癫痫及运动感觉障碍等，并危及生命。须由头颅断层扫描</w:t>
            </w:r>
            <w:r>
              <w:rPr>
                <w:spacing w:val="0"/>
                <w:sz w:val="21"/>
              </w:rPr>
              <w:t>（</w:t>
            </w:r>
            <w:r>
              <w:rPr>
                <w:sz w:val="21"/>
              </w:rPr>
              <w:t>CT</w:t>
            </w:r>
            <w:r>
              <w:rPr>
                <w:spacing w:val="-106"/>
                <w:sz w:val="21"/>
              </w:rPr>
              <w:t>）</w:t>
            </w:r>
            <w:r>
              <w:rPr>
                <w:sz w:val="21"/>
              </w:rPr>
              <w:t>、核</w:t>
            </w:r>
            <w:r>
              <w:rPr>
                <w:spacing w:val="-4"/>
                <w:sz w:val="21"/>
              </w:rPr>
              <w:t>磁共振检查</w:t>
            </w:r>
            <w:r>
              <w:rPr>
                <w:spacing w:val="-5"/>
                <w:sz w:val="21"/>
              </w:rPr>
              <w:t>（MRI）</w:t>
            </w:r>
            <w:r>
              <w:rPr>
                <w:spacing w:val="-2"/>
                <w:sz w:val="21"/>
              </w:rPr>
              <w:t>或正电子发射断层扫描</w:t>
            </w:r>
            <w:r>
              <w:rPr>
                <w:spacing w:val="-5"/>
                <w:sz w:val="21"/>
              </w:rPr>
              <w:t>（PET）</w:t>
            </w:r>
            <w:r>
              <w:rPr>
                <w:spacing w:val="-3"/>
                <w:sz w:val="21"/>
              </w:rPr>
              <w:t>等影像学检查证实，并须满足下列至少一项条件：                                         (1)实际实施了开颅进行的脑肿瘤完全切除或部分切除的手术；        </w:t>
            </w:r>
            <w:r>
              <w:rPr>
                <w:spacing w:val="-1"/>
                <w:sz w:val="21"/>
              </w:rPr>
              <w:t>(2)实际实施了对脑肿瘤进行的放射治疗。</w:t>
            </w:r>
          </w:p>
          <w:p>
            <w:pPr>
              <w:pStyle w:val="TableParagraph"/>
              <w:spacing w:before="11"/>
              <w:rPr>
                <w:sz w:val="21"/>
              </w:rPr>
            </w:pPr>
            <w:r>
              <w:rPr>
                <w:sz w:val="21"/>
                <w:shd w:fill="D9D9D9" w:color="auto" w:val="clear"/>
              </w:rPr>
              <w:t>脑垂体瘤、脑囊肿、脑血管性疾病不在保障范围内。</w:t>
            </w:r>
          </w:p>
        </w:tc>
      </w:tr>
      <w:tr>
        <w:trPr>
          <w:trHeight w:val="2061" w:hRule="atLeast"/>
        </w:trPr>
        <w:tc>
          <w:tcPr>
            <w:tcW w:w="945" w:type="dxa"/>
          </w:tcPr>
          <w:p>
            <w:pPr>
              <w:pStyle w:val="TableParagraph"/>
              <w:spacing w:before="54"/>
              <w:ind w:left="50"/>
              <w:rPr>
                <w:rFonts w:ascii="黑体"/>
                <w:sz w:val="21"/>
              </w:rPr>
            </w:pPr>
            <w:r>
              <w:rPr>
                <w:rFonts w:ascii="黑体"/>
                <w:sz w:val="21"/>
              </w:rPr>
              <w:t>10.1.10</w:t>
            </w:r>
          </w:p>
        </w:tc>
        <w:tc>
          <w:tcPr>
            <w:tcW w:w="1542" w:type="dxa"/>
          </w:tcPr>
          <w:p>
            <w:pPr>
              <w:pStyle w:val="TableParagraph"/>
              <w:spacing w:line="278" w:lineRule="auto" w:before="54"/>
              <w:ind w:left="161" w:right="119"/>
              <w:rPr>
                <w:rFonts w:ascii="黑体" w:eastAsia="黑体" w:hint="eastAsia"/>
                <w:sz w:val="21"/>
              </w:rPr>
            </w:pPr>
            <w:r>
              <w:rPr>
                <w:rFonts w:ascii="黑体" w:eastAsia="黑体" w:hint="eastAsia"/>
                <w:sz w:val="21"/>
              </w:rPr>
              <w:t>慢性肝功能衰竭失代偿期</w:t>
            </w:r>
          </w:p>
        </w:tc>
        <w:tc>
          <w:tcPr>
            <w:tcW w:w="7010" w:type="dxa"/>
          </w:tcPr>
          <w:p>
            <w:pPr>
              <w:pStyle w:val="TableParagraph"/>
              <w:spacing w:line="278" w:lineRule="auto" w:before="54"/>
              <w:ind w:right="1409"/>
              <w:rPr>
                <w:sz w:val="21"/>
              </w:rPr>
            </w:pPr>
            <w:r>
              <w:rPr>
                <w:sz w:val="21"/>
              </w:rPr>
              <w:t>指因慢性肝脏疾病导致肝功能衰竭。须满足下列全部条件： (1)持续性黄疸；</w:t>
            </w:r>
          </w:p>
          <w:p>
            <w:pPr>
              <w:pStyle w:val="TableParagraph"/>
              <w:spacing w:line="280" w:lineRule="auto" w:before="11"/>
              <w:ind w:right="5522"/>
              <w:rPr>
                <w:sz w:val="21"/>
              </w:rPr>
            </w:pPr>
            <w:r>
              <w:rPr>
                <w:sz w:val="21"/>
              </w:rPr>
              <w:t>(2)腹水；  </w:t>
            </w:r>
            <w:r>
              <w:rPr>
                <w:spacing w:val="-1"/>
                <w:sz w:val="21"/>
              </w:rPr>
              <w:t>(3)肝性脑病；</w:t>
            </w:r>
          </w:p>
          <w:p>
            <w:pPr>
              <w:pStyle w:val="TableParagraph"/>
              <w:spacing w:line="280" w:lineRule="auto" w:before="8"/>
              <w:ind w:right="1846"/>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1616" w:hRule="atLeast"/>
        </w:trPr>
        <w:tc>
          <w:tcPr>
            <w:tcW w:w="945" w:type="dxa"/>
          </w:tcPr>
          <w:p>
            <w:pPr>
              <w:pStyle w:val="TableParagraph"/>
              <w:spacing w:before="54"/>
              <w:ind w:left="50"/>
              <w:rPr>
                <w:rFonts w:ascii="黑体"/>
                <w:sz w:val="21"/>
              </w:rPr>
            </w:pPr>
            <w:r>
              <w:rPr>
                <w:rFonts w:ascii="黑体"/>
                <w:sz w:val="21"/>
              </w:rPr>
              <w:t>10.1.11</w:t>
            </w:r>
          </w:p>
        </w:tc>
        <w:tc>
          <w:tcPr>
            <w:tcW w:w="1542" w:type="dxa"/>
          </w:tcPr>
          <w:p>
            <w:pPr>
              <w:pStyle w:val="TableParagraph"/>
              <w:spacing w:line="280" w:lineRule="auto" w:before="54"/>
              <w:ind w:left="161" w:right="118"/>
              <w:rPr>
                <w:rFonts w:ascii="黑体" w:eastAsia="黑体" w:hint="eastAsia"/>
                <w:sz w:val="21"/>
              </w:rPr>
            </w:pPr>
            <w:r>
              <w:rPr>
                <w:rFonts w:ascii="黑体" w:eastAsia="黑体" w:hint="eastAsia"/>
                <w:sz w:val="21"/>
              </w:rPr>
              <w:t>脑炎后遗症或脑膜炎后遗症</w:t>
            </w:r>
          </w:p>
        </w:tc>
        <w:tc>
          <w:tcPr>
            <w:tcW w:w="7010" w:type="dxa"/>
          </w:tcPr>
          <w:p>
            <w:pPr>
              <w:pStyle w:val="TableParagraph"/>
              <w:spacing w:line="278" w:lineRule="auto" w:before="54"/>
              <w:ind w:right="50"/>
              <w:rPr>
                <w:sz w:val="21"/>
              </w:rPr>
            </w:pPr>
            <w:r>
              <w:rPr>
                <w:spacing w:val="-4"/>
                <w:sz w:val="21"/>
              </w:rPr>
              <w:t>指因患脑炎或脑膜炎导致的神经系统永久性的功能障碍。神经系统永久性的</w:t>
            </w:r>
            <w:r>
              <w:rPr>
                <w:spacing w:val="0"/>
                <w:sz w:val="21"/>
              </w:rPr>
              <w:t>功能障碍，指疾病确诊 </w:t>
            </w:r>
            <w:r>
              <w:rPr>
                <w:sz w:val="21"/>
              </w:rPr>
              <w:t>180 天后，仍遗留下列一种或一种以上障碍： (1)一肢或一肢以上肢体机能完全丧失；                            </w:t>
            </w:r>
            <w:r>
              <w:rPr>
                <w:spacing w:val="-1"/>
                <w:sz w:val="21"/>
              </w:rPr>
              <w:t>(2)语言能力或咀嚼吞咽能力完全丧失；</w:t>
            </w:r>
          </w:p>
          <w:p>
            <w:pPr>
              <w:pStyle w:val="TableParagraph"/>
              <w:spacing w:line="261" w:lineRule="exact" w:before="11"/>
              <w:rPr>
                <w:sz w:val="21"/>
              </w:rPr>
            </w:pPr>
            <w:r>
              <w:rPr>
                <w:sz w:val="21"/>
              </w:rPr>
              <w:t>(3)自主生活能力完全丧失，无法独立完成六项基本日常生活活动中的三项</w:t>
            </w:r>
          </w:p>
        </w:tc>
      </w:tr>
    </w:tbl>
    <w:p>
      <w:pPr>
        <w:pStyle w:val="BodyText"/>
        <w:spacing w:before="38"/>
        <w:ind w:left="3029"/>
      </w:pPr>
      <w:r>
        <w:rPr/>
        <w:t>或三项以上。</w:t>
      </w:r>
    </w:p>
    <w:p>
      <w:pPr>
        <w:pStyle w:val="BodyText"/>
        <w:spacing w:before="4"/>
        <w:rPr>
          <w:sz w:val="14"/>
        </w:rPr>
      </w:pPr>
    </w:p>
    <w:p>
      <w:pPr>
        <w:pStyle w:val="ListParagraph"/>
        <w:numPr>
          <w:ilvl w:val="2"/>
          <w:numId w:val="8"/>
        </w:numPr>
        <w:tabs>
          <w:tab w:pos="1211" w:val="left" w:leader="none"/>
          <w:tab w:pos="1212" w:val="left" w:leader="none"/>
          <w:tab w:pos="2713" w:val="left" w:leader="none"/>
        </w:tabs>
        <w:spacing w:line="280" w:lineRule="auto" w:before="0" w:after="0"/>
        <w:ind w:left="2713" w:right="107" w:hanging="2558"/>
        <w:jc w:val="left"/>
        <w:rPr>
          <w:sz w:val="21"/>
        </w:rPr>
      </w:pPr>
      <w:r>
        <w:rPr>
          <w:rFonts w:ascii="黑体" w:eastAsia="黑体" w:hint="eastAsia"/>
          <w:sz w:val="21"/>
        </w:rPr>
        <w:t>深度昏迷</w:t>
        <w:tab/>
      </w:r>
      <w:r>
        <w:rPr>
          <w:sz w:val="21"/>
        </w:rPr>
        <w:t>指因疾病或意外伤害导致意识丧</w:t>
      </w:r>
      <w:r>
        <w:rPr>
          <w:spacing w:val="2"/>
          <w:sz w:val="21"/>
        </w:rPr>
        <w:t>失</w:t>
      </w:r>
      <w:r>
        <w:rPr>
          <w:sz w:val="21"/>
        </w:rPr>
        <w:t>,对外界刺激和体内需求均无反</w:t>
      </w:r>
      <w:r>
        <w:rPr>
          <w:spacing w:val="2"/>
          <w:sz w:val="21"/>
        </w:rPr>
        <w:t>应</w:t>
      </w:r>
      <w:r>
        <w:rPr>
          <w:sz w:val="21"/>
        </w:rPr>
        <w:t>,昏迷 程度按照格拉斯哥昏迷分</w:t>
      </w:r>
      <w:r>
        <w:rPr>
          <w:spacing w:val="-47"/>
          <w:sz w:val="21"/>
        </w:rPr>
        <w:t>级</w:t>
      </w:r>
      <w:r>
        <w:rPr>
          <w:sz w:val="21"/>
        </w:rPr>
        <w:t>（Glasgow</w:t>
      </w:r>
      <w:r>
        <w:rPr>
          <w:spacing w:val="-54"/>
          <w:sz w:val="21"/>
        </w:rPr>
        <w:t> </w:t>
      </w:r>
      <w:r>
        <w:rPr>
          <w:sz w:val="21"/>
        </w:rPr>
        <w:t>coma</w:t>
      </w:r>
      <w:r>
        <w:rPr>
          <w:spacing w:val="-55"/>
          <w:sz w:val="21"/>
        </w:rPr>
        <w:t> </w:t>
      </w:r>
      <w:r>
        <w:rPr>
          <w:spacing w:val="-9"/>
          <w:sz w:val="21"/>
        </w:rPr>
        <w:t>scale）</w:t>
      </w:r>
      <w:r>
        <w:rPr>
          <w:sz w:val="21"/>
        </w:rPr>
        <w:t>结果为</w:t>
      </w:r>
      <w:r>
        <w:rPr>
          <w:spacing w:val="-54"/>
          <w:sz w:val="21"/>
        </w:rPr>
        <w:t> </w:t>
      </w:r>
      <w:r>
        <w:rPr>
          <w:sz w:val="21"/>
        </w:rPr>
        <w:t>5</w:t>
      </w:r>
      <w:r>
        <w:rPr>
          <w:spacing w:val="-54"/>
          <w:sz w:val="21"/>
        </w:rPr>
        <w:t> </w:t>
      </w:r>
      <w:r>
        <w:rPr>
          <w:sz w:val="21"/>
        </w:rPr>
        <w:t>分或</w:t>
      </w:r>
      <w:r>
        <w:rPr>
          <w:spacing w:val="-54"/>
          <w:sz w:val="21"/>
        </w:rPr>
        <w:t> </w:t>
      </w:r>
      <w:r>
        <w:rPr>
          <w:sz w:val="21"/>
        </w:rPr>
        <w:t>5</w:t>
      </w:r>
      <w:r>
        <w:rPr>
          <w:spacing w:val="-54"/>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8"/>
        <w:ind w:left="2713"/>
      </w:pPr>
      <w:r>
        <w:rPr>
          <w:shd w:fill="D9D9D9" w:color="auto" w:val="clear"/>
        </w:rPr>
        <w:t>因酗酒或药物滥用导致的深度昏迷不在保障范围内。</w:t>
      </w:r>
    </w:p>
    <w:p>
      <w:pPr>
        <w:pStyle w:val="ListParagraph"/>
        <w:numPr>
          <w:ilvl w:val="2"/>
          <w:numId w:val="8"/>
        </w:numPr>
        <w:tabs>
          <w:tab w:pos="1211" w:val="left" w:leader="none"/>
          <w:tab w:pos="1212" w:val="left" w:leader="none"/>
          <w:tab w:pos="2713" w:val="left" w:leader="none"/>
        </w:tabs>
        <w:spacing w:line="264" w:lineRule="auto" w:before="124" w:after="0"/>
        <w:ind w:left="2713" w:right="119" w:hanging="2558"/>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1"/>
          <w:sz w:val="21"/>
        </w:rPr>
        <w:t> </w:t>
      </w:r>
      <w:r>
        <w:rPr>
          <w:sz w:val="21"/>
        </w:rPr>
        <w:t>500</w:t>
      </w:r>
      <w:r>
        <w:rPr>
          <w:spacing w:val="-1"/>
          <w:sz w:val="21"/>
        </w:rPr>
        <w:t> </w:t>
      </w:r>
      <w:r>
        <w:rPr>
          <w:sz w:val="21"/>
        </w:rPr>
        <w:t>赫兹、1000赫兹和</w:t>
      </w:r>
      <w:r>
        <w:rPr>
          <w:spacing w:val="-59"/>
          <w:sz w:val="21"/>
        </w:rPr>
        <w:t> </w:t>
      </w:r>
      <w:r>
        <w:rPr>
          <w:sz w:val="21"/>
        </w:rPr>
        <w:t>2000</w:t>
      </w:r>
      <w:r>
        <w:rPr>
          <w:spacing w:val="-59"/>
          <w:sz w:val="21"/>
        </w:rPr>
        <w:t> </w:t>
      </w:r>
      <w:r>
        <w:rPr>
          <w:sz w:val="21"/>
        </w:rPr>
        <w:t>赫兹语音频率下，平均听阈大于</w:t>
      </w:r>
      <w:r>
        <w:rPr>
          <w:spacing w:val="-59"/>
          <w:sz w:val="21"/>
        </w:rPr>
        <w:t> </w:t>
      </w:r>
      <w:r>
        <w:rPr>
          <w:sz w:val="21"/>
        </w:rPr>
        <w:t>90</w:t>
      </w:r>
      <w:r>
        <w:rPr>
          <w:spacing w:val="-59"/>
          <w:sz w:val="21"/>
        </w:rPr>
        <w:t> </w:t>
      </w:r>
      <w:r>
        <w:rPr>
          <w:sz w:val="21"/>
        </w:rPr>
        <w:t>分贝，且经纯音听力测试、声导抗检测或听觉诱发电位检测等证实。</w:t>
      </w:r>
    </w:p>
    <w:p>
      <w:pPr>
        <w:pStyle w:val="ListParagraph"/>
        <w:numPr>
          <w:ilvl w:val="2"/>
          <w:numId w:val="8"/>
        </w:numPr>
        <w:tabs>
          <w:tab w:pos="1211" w:val="left" w:leader="none"/>
          <w:tab w:pos="1212" w:val="left" w:leader="none"/>
          <w:tab w:pos="2713" w:val="left" w:leader="none"/>
        </w:tabs>
        <w:spacing w:line="278" w:lineRule="auto" w:before="166" w:after="0"/>
        <w:ind w:left="2713" w:right="212" w:hanging="2558"/>
        <w:jc w:val="left"/>
        <w:rPr>
          <w:sz w:val="21"/>
        </w:rPr>
      </w:pPr>
      <w:r>
        <w:rPr>
          <w:rFonts w:ascii="黑体" w:eastAsia="黑体" w:hint="eastAsia"/>
          <w:sz w:val="21"/>
        </w:rPr>
        <w:t>双目失明</w:t>
        <w:tab/>
      </w:r>
      <w:r>
        <w:rPr>
          <w:spacing w:val="-1"/>
          <w:sz w:val="21"/>
        </w:rPr>
        <w:t>指因</w:t>
      </w:r>
      <w:r>
        <w:rPr>
          <w:sz w:val="21"/>
        </w:rPr>
        <w:t>疾病或意外伤害导致双眼视力永久不可逆性丧失</w:t>
      </w:r>
      <w:r>
        <w:rPr>
          <w:spacing w:val="-93"/>
          <w:sz w:val="21"/>
        </w:rPr>
        <w:t>，</w:t>
      </w:r>
      <w:r>
        <w:rPr>
          <w:sz w:val="21"/>
        </w:rPr>
        <w:t>双眼中较好眼须满足下列至少一项条件：</w:t>
      </w:r>
    </w:p>
    <w:p>
      <w:pPr>
        <w:pStyle w:val="BodyText"/>
        <w:spacing w:before="12"/>
        <w:ind w:left="2713"/>
      </w:pPr>
      <w:r>
        <w:rPr/>
        <w:t>(1)眼球缺失或摘除；</w:t>
      </w:r>
    </w:p>
    <w:p>
      <w:pPr>
        <w:pStyle w:val="BodyText"/>
        <w:spacing w:line="278" w:lineRule="auto" w:before="45"/>
        <w:ind w:left="3029" w:right="211" w:hanging="316"/>
      </w:pPr>
      <w:r>
        <w:rPr/>
        <w:t>(2)</w:t>
      </w:r>
      <w:r>
        <w:rPr>
          <w:spacing w:val="-8"/>
        </w:rPr>
        <w:t>矫正视力低于 </w:t>
      </w:r>
      <w:r>
        <w:rPr>
          <w:spacing w:val="-5"/>
        </w:rPr>
        <w:t>0.02（</w:t>
      </w:r>
      <w:r>
        <w:rPr>
          <w:spacing w:val="-3"/>
        </w:rPr>
        <w:t>采用国际标准视力表，如果使用其他视力表应进行换算</w:t>
      </w:r>
      <w:r>
        <w:rPr>
          <w:spacing w:val="-105"/>
        </w:rPr>
        <w:t>）</w:t>
      </w:r>
      <w:r>
        <w:rPr/>
        <w:t>；</w:t>
      </w:r>
    </w:p>
    <w:p>
      <w:pPr>
        <w:pStyle w:val="BodyText"/>
        <w:spacing w:before="11"/>
        <w:ind w:left="2713"/>
      </w:pPr>
      <w:r>
        <w:rPr/>
        <w:t>(3)视野半径小于 5 度。</w:t>
      </w:r>
    </w:p>
    <w:p>
      <w:pPr>
        <w:pStyle w:val="BodyText"/>
        <w:spacing w:before="3"/>
        <w:rPr>
          <w:sz w:val="14"/>
        </w:rPr>
      </w:pPr>
    </w:p>
    <w:p>
      <w:pPr>
        <w:pStyle w:val="ListParagraph"/>
        <w:numPr>
          <w:ilvl w:val="2"/>
          <w:numId w:val="8"/>
        </w:numPr>
        <w:tabs>
          <w:tab w:pos="1211" w:val="left" w:leader="none"/>
        </w:tabs>
        <w:spacing w:line="278" w:lineRule="auto" w:before="0" w:after="0"/>
        <w:ind w:left="2713" w:right="212" w:hanging="2558"/>
        <w:jc w:val="both"/>
        <w:rPr>
          <w:sz w:val="21"/>
        </w:rPr>
      </w:pPr>
      <w:r>
        <w:rPr>
          <w:rFonts w:ascii="黑体" w:eastAsia="黑体" w:hint="eastAsia"/>
          <w:spacing w:val="1"/>
          <w:sz w:val="21"/>
        </w:rPr>
        <w:t>瘫痪         </w:t>
      </w:r>
      <w:r>
        <w:rPr>
          <w:spacing w:val="-4"/>
          <w:sz w:val="21"/>
        </w:rPr>
        <w:t>指因疾病或意外伤害导致两肢或两肢以上肢体机能永久完全丧失。肢体机能</w:t>
      </w:r>
      <w:r>
        <w:rPr>
          <w:spacing w:val="-13"/>
          <w:sz w:val="21"/>
        </w:rPr>
        <w:t>永久完全丧失，指疾病确诊 </w:t>
      </w:r>
      <w:r>
        <w:rPr>
          <w:sz w:val="21"/>
        </w:rPr>
        <w:t>180</w:t>
      </w:r>
      <w:r>
        <w:rPr>
          <w:spacing w:val="-13"/>
          <w:sz w:val="21"/>
        </w:rPr>
        <w:t> 天后或意外伤害发生 </w:t>
      </w:r>
      <w:r>
        <w:rPr>
          <w:sz w:val="21"/>
        </w:rPr>
        <w:t>180</w:t>
      </w:r>
      <w:r>
        <w:rPr>
          <w:spacing w:val="-13"/>
          <w:sz w:val="21"/>
        </w:rPr>
        <w:t> 天后，每肢三大关节中的两大关节仍然完全僵硬，或不能随意识活动。</w:t>
      </w:r>
    </w:p>
    <w:p>
      <w:pPr>
        <w:pStyle w:val="ListParagraph"/>
        <w:numPr>
          <w:ilvl w:val="2"/>
          <w:numId w:val="8"/>
        </w:numPr>
        <w:tabs>
          <w:tab w:pos="1211" w:val="left" w:leader="none"/>
          <w:tab w:pos="1212" w:val="left" w:leader="none"/>
          <w:tab w:pos="2713" w:val="left" w:leader="none"/>
        </w:tabs>
        <w:spacing w:line="280" w:lineRule="auto" w:before="153" w:after="0"/>
        <w:ind w:left="2713" w:right="206" w:hanging="2558"/>
        <w:jc w:val="left"/>
        <w:rPr>
          <w:sz w:val="21"/>
        </w:rPr>
      </w:pPr>
      <w:r>
        <w:rPr>
          <w:rFonts w:ascii="黑体" w:eastAsia="黑体" w:hint="eastAsia"/>
          <w:sz w:val="21"/>
        </w:rPr>
        <w:t>心脏瓣膜手术</w:t>
        <w:tab/>
      </w:r>
      <w:r>
        <w:rPr>
          <w:sz w:val="21"/>
        </w:rPr>
        <w:t>指为</w:t>
      </w:r>
      <w:r>
        <w:rPr>
          <w:spacing w:val="2"/>
          <w:sz w:val="21"/>
        </w:rPr>
        <w:t>治</w:t>
      </w:r>
      <w:r>
        <w:rPr>
          <w:sz w:val="21"/>
        </w:rPr>
        <w:t>疗心脏瓣</w:t>
      </w:r>
      <w:r>
        <w:rPr>
          <w:spacing w:val="2"/>
          <w:sz w:val="21"/>
        </w:rPr>
        <w:t>膜</w:t>
      </w:r>
      <w:r>
        <w:rPr>
          <w:sz w:val="21"/>
        </w:rPr>
        <w:t>疾病，实</w:t>
      </w:r>
      <w:r>
        <w:rPr>
          <w:spacing w:val="2"/>
          <w:sz w:val="21"/>
        </w:rPr>
        <w:t>际</w:t>
      </w:r>
      <w:r>
        <w:rPr>
          <w:sz w:val="21"/>
        </w:rPr>
        <w:t>实施了开</w:t>
      </w:r>
      <w:r>
        <w:rPr>
          <w:spacing w:val="2"/>
          <w:sz w:val="21"/>
        </w:rPr>
        <w:t>胸</w:t>
      </w:r>
      <w:r>
        <w:rPr>
          <w:sz w:val="21"/>
        </w:rPr>
        <w:t>进行的心</w:t>
      </w:r>
      <w:r>
        <w:rPr>
          <w:spacing w:val="2"/>
          <w:sz w:val="21"/>
        </w:rPr>
        <w:t>脏</w:t>
      </w:r>
      <w:r>
        <w:rPr>
          <w:sz w:val="21"/>
        </w:rPr>
        <w:t>瓣膜置换</w:t>
      </w:r>
      <w:r>
        <w:rPr>
          <w:spacing w:val="2"/>
          <w:sz w:val="21"/>
        </w:rPr>
        <w:t>或</w:t>
      </w:r>
      <w:r>
        <w:rPr>
          <w:sz w:val="21"/>
        </w:rPr>
        <w:t>修复的手 术。</w:t>
      </w:r>
    </w:p>
    <w:p>
      <w:pPr>
        <w:pStyle w:val="ListParagraph"/>
        <w:numPr>
          <w:ilvl w:val="2"/>
          <w:numId w:val="8"/>
        </w:numPr>
        <w:tabs>
          <w:tab w:pos="1211" w:val="left" w:leader="none"/>
          <w:tab w:pos="1212" w:val="left" w:leader="none"/>
          <w:tab w:pos="2713" w:val="left" w:leader="none"/>
        </w:tabs>
        <w:spacing w:line="240" w:lineRule="auto" w:before="151" w:after="0"/>
        <w:ind w:left="2713" w:right="0" w:hanging="2558"/>
        <w:jc w:val="left"/>
        <w:rPr>
          <w:sz w:val="21"/>
        </w:rPr>
      </w:pPr>
      <w:r>
        <w:rPr>
          <w:rFonts w:ascii="黑体" w:eastAsia="黑体" w:hint="eastAsia"/>
          <w:sz w:val="21"/>
        </w:rPr>
        <w:t>严重阿尔茨海</w:t>
        <w:tab/>
      </w:r>
      <w:r>
        <w:rPr>
          <w:sz w:val="21"/>
        </w:rPr>
        <w:t>指因大脑进行性</w:t>
      </w:r>
      <w:r>
        <w:rPr>
          <w:spacing w:val="-47"/>
          <w:sz w:val="21"/>
        </w:rPr>
        <w:t>、</w:t>
      </w:r>
      <w:r>
        <w:rPr>
          <w:sz w:val="21"/>
        </w:rPr>
        <w:t>不可逆性改变导致智能严重衰退或丧失</w:t>
      </w:r>
      <w:r>
        <w:rPr>
          <w:spacing w:val="-47"/>
          <w:sz w:val="21"/>
        </w:rPr>
        <w:t>，</w:t>
      </w:r>
      <w:r>
        <w:rPr>
          <w:sz w:val="21"/>
        </w:rPr>
        <w:t>临床表现为明显</w:t>
      </w:r>
    </w:p>
    <w:p>
      <w:pPr>
        <w:spacing w:after="0" w:line="240" w:lineRule="auto"/>
        <w:jc w:val="left"/>
        <w:rPr>
          <w:sz w:val="21"/>
        </w:rPr>
        <w:sectPr>
          <w:pgSz w:w="11910" w:h="16840"/>
          <w:pgMar w:top="1500" w:bottom="280" w:left="1100" w:right="1040"/>
        </w:sectPr>
      </w:pPr>
    </w:p>
    <w:p>
      <w:pPr>
        <w:pStyle w:val="BodyText"/>
        <w:spacing w:line="278" w:lineRule="auto" w:before="8"/>
        <w:ind w:left="2673" w:right="210" w:hanging="1503"/>
        <w:jc w:val="both"/>
      </w:pPr>
      <w:r>
        <w:rPr>
          <w:rFonts w:ascii="黑体" w:eastAsia="黑体" w:hint="eastAsia"/>
          <w:spacing w:val="10"/>
        </w:rPr>
        <w:t>默病 </w:t>
      </w:r>
      <w:r>
        <w:rPr>
          <w:spacing w:val="-10"/>
        </w:rPr>
        <w:t>的认知能力障碍、行为异常和社交能力减退，其日常生活必须持续受到他人监护。须</w:t>
      </w:r>
      <w:r>
        <w:rPr>
          <w:spacing w:val="-12"/>
        </w:rPr>
        <w:t>由头颅断层扫描</w:t>
      </w:r>
      <w:r>
        <w:rPr>
          <w:spacing w:val="-1"/>
        </w:rPr>
        <w:t>（CT</w:t>
      </w:r>
      <w:r>
        <w:rPr>
          <w:spacing w:val="-105"/>
        </w:rPr>
        <w:t>）</w:t>
      </w:r>
      <w:r>
        <w:rPr>
          <w:spacing w:val="-7"/>
        </w:rPr>
        <w:t>、核磁共振检查</w:t>
      </w:r>
      <w:r>
        <w:rPr>
          <w:spacing w:val="-1"/>
        </w:rPr>
        <w:t>（MRI</w:t>
      </w:r>
      <w:r>
        <w:rPr>
          <w:spacing w:val="-18"/>
        </w:rPr>
        <w:t>）</w:t>
      </w:r>
      <w:r>
        <w:rPr>
          <w:spacing w:val="-1"/>
        </w:rPr>
        <w:t>或正电子发射断层扫描（PET）等影像学检查证实，且自主生活能力完全丧失，无法独立完成六项基本日常生活活动中的三项或三项以上。</w:t>
      </w:r>
    </w:p>
    <w:p>
      <w:pPr>
        <w:pStyle w:val="BodyText"/>
        <w:spacing w:before="10"/>
        <w:ind w:left="2673"/>
      </w:pPr>
      <w:r>
        <w:rPr>
          <w:shd w:fill="D9D9D9" w:color="auto" w:val="clear"/>
        </w:rPr>
        <w:t>神经官能症和精神疾病不在保障范围内。</w:t>
      </w:r>
    </w:p>
    <w:p>
      <w:pPr>
        <w:pStyle w:val="BodyText"/>
        <w:spacing w:before="3"/>
        <w:rPr>
          <w:sz w:val="14"/>
        </w:rPr>
      </w:pPr>
    </w:p>
    <w:p>
      <w:pPr>
        <w:pStyle w:val="ListParagraph"/>
        <w:numPr>
          <w:ilvl w:val="2"/>
          <w:numId w:val="8"/>
        </w:numPr>
        <w:tabs>
          <w:tab w:pos="1171" w:val="left" w:leader="none"/>
          <w:tab w:pos="1172" w:val="left" w:leader="none"/>
          <w:tab w:pos="2673" w:val="left" w:leader="none"/>
        </w:tabs>
        <w:spacing w:line="280" w:lineRule="auto" w:before="1" w:after="0"/>
        <w:ind w:left="2673" w:right="211" w:hanging="2558"/>
        <w:jc w:val="left"/>
        <w:rPr>
          <w:sz w:val="21"/>
        </w:rPr>
      </w:pPr>
      <w:r>
        <w:rPr>
          <w:rFonts w:ascii="黑体" w:eastAsia="黑体" w:hint="eastAsia"/>
          <w:sz w:val="21"/>
        </w:rPr>
        <w:t>严重脑损伤</w:t>
        <w:tab/>
      </w:r>
      <w:r>
        <w:rPr>
          <w:sz w:val="21"/>
        </w:rPr>
        <w:t>指因头部遭受机械性外力</w:t>
      </w:r>
      <w:r>
        <w:rPr>
          <w:spacing w:val="-47"/>
          <w:sz w:val="21"/>
        </w:rPr>
        <w:t>，</w:t>
      </w:r>
      <w:r>
        <w:rPr>
          <w:sz w:val="21"/>
        </w:rPr>
        <w:t>引起脑重要部位损伤</w:t>
      </w:r>
      <w:r>
        <w:rPr>
          <w:spacing w:val="-47"/>
          <w:sz w:val="21"/>
        </w:rPr>
        <w:t>，</w:t>
      </w:r>
      <w:r>
        <w:rPr>
          <w:sz w:val="21"/>
        </w:rPr>
        <w:t>导致神经系统永久性的功</w:t>
      </w:r>
      <w:r>
        <w:rPr>
          <w:spacing w:val="-1"/>
          <w:sz w:val="21"/>
        </w:rPr>
        <w:t>能障碍</w:t>
      </w:r>
      <w:r>
        <w:rPr>
          <w:spacing w:val="-20"/>
          <w:sz w:val="21"/>
        </w:rPr>
        <w:t>。</w:t>
      </w:r>
      <w:r>
        <w:rPr>
          <w:spacing w:val="-1"/>
          <w:sz w:val="21"/>
        </w:rPr>
        <w:t>须由头颅断层扫</w:t>
      </w:r>
      <w:r>
        <w:rPr>
          <w:spacing w:val="-18"/>
          <w:sz w:val="21"/>
        </w:rPr>
        <w:t>描</w:t>
      </w:r>
      <w:r>
        <w:rPr>
          <w:spacing w:val="-1"/>
          <w:sz w:val="21"/>
        </w:rPr>
        <w:t>（CT</w:t>
      </w:r>
      <w:r>
        <w:rPr>
          <w:spacing w:val="-105"/>
          <w:sz w:val="21"/>
        </w:rPr>
        <w:t>）</w:t>
      </w:r>
      <w:r>
        <w:rPr>
          <w:spacing w:val="-20"/>
          <w:sz w:val="21"/>
        </w:rPr>
        <w:t>、</w:t>
      </w:r>
      <w:r>
        <w:rPr>
          <w:spacing w:val="-1"/>
          <w:sz w:val="21"/>
        </w:rPr>
        <w:t>核磁共振检</w:t>
      </w:r>
      <w:r>
        <w:rPr>
          <w:spacing w:val="-18"/>
          <w:sz w:val="21"/>
        </w:rPr>
        <w:t>查</w:t>
      </w:r>
      <w:r>
        <w:rPr>
          <w:spacing w:val="-1"/>
          <w:sz w:val="21"/>
        </w:rPr>
        <w:t>（MRI</w:t>
      </w:r>
      <w:r>
        <w:rPr>
          <w:spacing w:val="-18"/>
          <w:sz w:val="21"/>
        </w:rPr>
        <w:t>）</w:t>
      </w:r>
      <w:r>
        <w:rPr>
          <w:spacing w:val="-2"/>
          <w:sz w:val="21"/>
        </w:rPr>
        <w:t>或</w:t>
      </w:r>
      <w:r>
        <w:rPr>
          <w:spacing w:val="-1"/>
          <w:sz w:val="21"/>
        </w:rPr>
        <w:t>正电子发射</w:t>
      </w:r>
      <w:r>
        <w:rPr>
          <w:spacing w:val="0"/>
          <w:sz w:val="21"/>
        </w:rPr>
        <w:t>断</w:t>
      </w:r>
      <w:r>
        <w:rPr>
          <w:sz w:val="21"/>
        </w:rPr>
        <w:t>层扫</w:t>
      </w:r>
      <w:r>
        <w:rPr>
          <w:spacing w:val="-36"/>
          <w:sz w:val="21"/>
        </w:rPr>
        <w:t>描</w:t>
      </w:r>
      <w:r>
        <w:rPr>
          <w:spacing w:val="-8"/>
          <w:sz w:val="21"/>
        </w:rPr>
        <w:t>（PET）</w:t>
      </w:r>
      <w:r>
        <w:rPr>
          <w:sz w:val="21"/>
        </w:rPr>
        <w:t>等影像学检查证实</w:t>
      </w:r>
      <w:r>
        <w:rPr>
          <w:spacing w:val="-36"/>
          <w:sz w:val="21"/>
        </w:rPr>
        <w:t>。</w:t>
      </w:r>
      <w:r>
        <w:rPr>
          <w:sz w:val="21"/>
        </w:rPr>
        <w:t>神经系统永久性的功能障碍</w:t>
      </w:r>
      <w:r>
        <w:rPr>
          <w:spacing w:val="-36"/>
          <w:sz w:val="21"/>
        </w:rPr>
        <w:t>，</w:t>
      </w:r>
      <w:r>
        <w:rPr>
          <w:sz w:val="21"/>
        </w:rPr>
        <w:t>指脑损伤</w:t>
      </w:r>
      <w:r>
        <w:rPr>
          <w:spacing w:val="-69"/>
          <w:sz w:val="21"/>
        </w:rPr>
        <w:t> </w:t>
      </w:r>
      <w:r>
        <w:rPr>
          <w:sz w:val="21"/>
        </w:rPr>
        <w:t>180 天后，仍遗留下列一种或一种以上障碍：                           (1)一肢或一肢以上肢体机能完全丧失；                            </w:t>
      </w:r>
      <w:r>
        <w:rPr>
          <w:spacing w:val="-1"/>
          <w:sz w:val="21"/>
        </w:rPr>
        <w:t>(2)语言能力或咀嚼吞咽能力完全丧失；</w:t>
      </w:r>
    </w:p>
    <w:p>
      <w:pPr>
        <w:pStyle w:val="BodyText"/>
        <w:spacing w:line="280" w:lineRule="auto" w:before="9"/>
        <w:ind w:left="2989" w:right="210" w:hanging="316"/>
      </w:pPr>
      <w:r>
        <w:rPr/>
        <w:t>(3)自主生活能力完全丧失，无法独立完成六项基本日常生活活动中的三项或三项以上。</w:t>
      </w:r>
    </w:p>
    <w:p>
      <w:pPr>
        <w:pStyle w:val="ListParagraph"/>
        <w:numPr>
          <w:ilvl w:val="2"/>
          <w:numId w:val="8"/>
        </w:numPr>
        <w:tabs>
          <w:tab w:pos="1171" w:val="left" w:leader="none"/>
          <w:tab w:pos="1172" w:val="left" w:leader="none"/>
          <w:tab w:pos="2673" w:val="left" w:leader="none"/>
        </w:tabs>
        <w:spacing w:line="280" w:lineRule="auto" w:before="151" w:after="0"/>
        <w:ind w:left="2673" w:right="212" w:hanging="2558"/>
        <w:jc w:val="left"/>
        <w:rPr>
          <w:sz w:val="21"/>
        </w:rPr>
      </w:pPr>
      <w:r>
        <w:rPr>
          <w:rFonts w:ascii="黑体" w:eastAsia="黑体" w:hint="eastAsia"/>
          <w:sz w:val="21"/>
        </w:rPr>
        <w:t>严重帕金森病</w:t>
        <w:tab/>
      </w:r>
      <w:r>
        <w:rPr>
          <w:sz w:val="21"/>
        </w:rPr>
        <w:t>是一种中枢神经系统的退行性疾病</w:t>
      </w:r>
      <w:r>
        <w:rPr>
          <w:spacing w:val="-32"/>
          <w:sz w:val="21"/>
        </w:rPr>
        <w:t>，</w:t>
      </w:r>
      <w:r>
        <w:rPr>
          <w:sz w:val="21"/>
        </w:rPr>
        <w:t>临床表现为震颤麻痹</w:t>
      </w:r>
      <w:r>
        <w:rPr>
          <w:spacing w:val="-32"/>
          <w:sz w:val="21"/>
        </w:rPr>
        <w:t>、</w:t>
      </w:r>
      <w:r>
        <w:rPr>
          <w:sz w:val="21"/>
        </w:rPr>
        <w:t>共济失调等</w:t>
      </w:r>
      <w:r>
        <w:rPr>
          <w:spacing w:val="-32"/>
          <w:sz w:val="21"/>
        </w:rPr>
        <w:t>。</w:t>
      </w:r>
      <w:r>
        <w:rPr>
          <w:sz w:val="21"/>
        </w:rPr>
        <w:t>须满足下列全部条件：</w:t>
      </w:r>
    </w:p>
    <w:p>
      <w:pPr>
        <w:pStyle w:val="BodyText"/>
        <w:spacing w:before="8"/>
        <w:ind w:left="2673"/>
      </w:pPr>
      <w:r>
        <w:rPr/>
        <w:t>(1)药物治疗无法控制病情；</w:t>
      </w:r>
    </w:p>
    <w:p>
      <w:pPr>
        <w:pStyle w:val="BodyText"/>
        <w:spacing w:line="280" w:lineRule="auto" w:before="45"/>
        <w:ind w:left="2989" w:right="210" w:hanging="316"/>
      </w:pPr>
      <w:r>
        <w:rPr/>
        <w:t>(2)自主生活能力完全丧失，无法独立完成六项基本日常生活活动中的三项或三项以上。</w:t>
      </w:r>
    </w:p>
    <w:p>
      <w:pPr>
        <w:pStyle w:val="BodyText"/>
        <w:spacing w:before="8"/>
        <w:ind w:left="2673"/>
      </w:pPr>
      <w:r>
        <w:rPr>
          <w:shd w:fill="D9D9D9" w:color="auto" w:val="clear"/>
        </w:rPr>
        <w:t>继发性帕金森综合症不在保障范围内。</w:t>
      </w:r>
    </w:p>
    <w:p>
      <w:pPr>
        <w:pStyle w:val="BodyText"/>
        <w:spacing w:before="11"/>
        <w:rPr>
          <w:sz w:val="13"/>
        </w:rPr>
      </w:pPr>
    </w:p>
    <w:p>
      <w:pPr>
        <w:pStyle w:val="ListParagraph"/>
        <w:numPr>
          <w:ilvl w:val="2"/>
          <w:numId w:val="8"/>
        </w:numPr>
        <w:tabs>
          <w:tab w:pos="1171" w:val="left" w:leader="none"/>
          <w:tab w:pos="1172" w:val="left" w:leader="none"/>
          <w:tab w:pos="2673" w:val="left" w:leader="none"/>
        </w:tabs>
        <w:spacing w:line="283" w:lineRule="auto" w:before="1" w:after="0"/>
        <w:ind w:left="2673" w:right="106" w:hanging="2558"/>
        <w:jc w:val="left"/>
        <w:rPr>
          <w:sz w:val="21"/>
        </w:rPr>
      </w:pPr>
      <w:r>
        <w:rPr>
          <w:rFonts w:ascii="黑体" w:hAnsi="黑体" w:eastAsia="黑体" w:hint="eastAsia"/>
          <w:position w:val="1"/>
          <w:sz w:val="21"/>
        </w:rPr>
        <w:t>严重Ⅲ度烧伤</w:t>
        <w:tab/>
      </w:r>
      <w:r>
        <w:rPr>
          <w:spacing w:val="-1"/>
          <w:position w:val="1"/>
          <w:sz w:val="21"/>
        </w:rPr>
        <w:t>指烧伤程度为Ⅲ度</w:t>
      </w:r>
      <w:r>
        <w:rPr>
          <w:spacing w:val="-93"/>
          <w:position w:val="1"/>
          <w:sz w:val="21"/>
        </w:rPr>
        <w:t>，</w:t>
      </w:r>
      <w:r>
        <w:rPr>
          <w:spacing w:val="-1"/>
          <w:position w:val="1"/>
          <w:sz w:val="21"/>
        </w:rPr>
        <w:t>且Ⅲ度烧伤的面积达</w:t>
      </w:r>
      <w:r>
        <w:rPr>
          <w:position w:val="1"/>
          <w:sz w:val="21"/>
        </w:rPr>
        <w:t>到全身体表面积的</w:t>
      </w:r>
      <w:r>
        <w:rPr>
          <w:spacing w:val="-53"/>
          <w:position w:val="1"/>
          <w:sz w:val="21"/>
        </w:rPr>
        <w:t> </w:t>
      </w:r>
      <w:r>
        <w:rPr>
          <w:spacing w:val="3"/>
          <w:sz w:val="21"/>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position w:val="1"/>
          <w:sz w:val="21"/>
        </w:rPr>
        <w:t>或</w:t>
      </w:r>
      <w:r>
        <w:rPr>
          <w:spacing w:val="-53"/>
          <w:position w:val="1"/>
          <w:sz w:val="21"/>
        </w:rPr>
        <w:t> </w:t>
      </w:r>
      <w:r>
        <w:rPr>
          <w:spacing w:val="3"/>
          <w:sz w:val="21"/>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position w:val="1"/>
          <w:sz w:val="21"/>
        </w:rPr>
        <w:t>以上。</w:t>
      </w:r>
      <w:r>
        <w:rPr>
          <w:sz w:val="21"/>
        </w:rPr>
        <w:t>   体表面积根据《中国新九分法》计算。</w:t>
      </w:r>
    </w:p>
    <w:p>
      <w:pPr>
        <w:pStyle w:val="BodyText"/>
        <w:spacing w:before="9"/>
        <w:rPr>
          <w:sz w:val="8"/>
        </w:rPr>
      </w:pPr>
    </w:p>
    <w:p>
      <w:pPr>
        <w:spacing w:after="0"/>
        <w:rPr>
          <w:sz w:val="8"/>
        </w:rPr>
        <w:sectPr>
          <w:pgSz w:w="11910" w:h="16840"/>
          <w:pgMar w:top="1420" w:bottom="280" w:left="1140" w:right="1040"/>
        </w:sectPr>
      </w:pPr>
    </w:p>
    <w:p>
      <w:pPr>
        <w:pStyle w:val="ListParagraph"/>
        <w:numPr>
          <w:ilvl w:val="2"/>
          <w:numId w:val="8"/>
        </w:numPr>
        <w:tabs>
          <w:tab w:pos="1171" w:val="left" w:leader="none"/>
          <w:tab w:pos="1172" w:val="left" w:leader="none"/>
        </w:tabs>
        <w:spacing w:line="240" w:lineRule="auto" w:before="35" w:after="0"/>
        <w:ind w:left="1171" w:right="0" w:hanging="1056"/>
        <w:jc w:val="left"/>
        <w:rPr>
          <w:rFonts w:ascii="黑体" w:eastAsia="黑体" w:hint="eastAsia"/>
          <w:sz w:val="21"/>
        </w:rPr>
      </w:pPr>
      <w:r>
        <w:rPr>
          <w:rFonts w:ascii="黑体" w:eastAsia="黑体" w:hint="eastAsia"/>
          <w:spacing w:val="-1"/>
          <w:sz w:val="21"/>
        </w:rPr>
        <w:t>严重原发性肺</w:t>
      </w:r>
    </w:p>
    <w:p>
      <w:pPr>
        <w:pStyle w:val="BodyText"/>
        <w:spacing w:before="45"/>
        <w:ind w:left="1171"/>
        <w:rPr>
          <w:rFonts w:ascii="黑体" w:eastAsia="黑体" w:hint="eastAsia"/>
        </w:rPr>
      </w:pPr>
      <w:r>
        <w:rPr>
          <w:rFonts w:ascii="黑体" w:eastAsia="黑体" w:hint="eastAsia"/>
        </w:rPr>
        <w:t>动脉高压</w:t>
      </w:r>
    </w:p>
    <w:p>
      <w:pPr>
        <w:pStyle w:val="BodyText"/>
        <w:spacing w:line="278" w:lineRule="auto"/>
        <w:ind w:left="115" w:right="212"/>
        <w:jc w:val="both"/>
      </w:pPr>
      <w:r>
        <w:rPr/>
        <w:br w:type="column"/>
      </w:r>
      <w:r>
        <w:rPr>
          <w:spacing w:val="-5"/>
        </w:rPr>
        <w:t>指不明原因的肺动脉压力持续性增高，进行性发展而导致的慢性疾病，已经</w:t>
      </w:r>
      <w:r>
        <w:rPr>
          <w:spacing w:val="-10"/>
        </w:rPr>
        <w:t>造成永久不可逆性的体力活动能力受限，达到美国纽约心脏病学会心功能状</w:t>
      </w:r>
      <w:r>
        <w:rPr>
          <w:spacing w:val="-23"/>
        </w:rPr>
        <w:t>态分级 </w:t>
      </w:r>
      <w:r>
        <w:rPr/>
        <w:t>IV</w:t>
      </w:r>
      <w:r>
        <w:rPr>
          <w:spacing w:val="-11"/>
        </w:rPr>
        <w:t> 级，且静息状态下肺动脉平均压超过 </w:t>
      </w:r>
      <w:r>
        <w:rPr/>
        <w:t>30mmHg。</w:t>
      </w:r>
    </w:p>
    <w:p>
      <w:pPr>
        <w:spacing w:after="0" w:line="278" w:lineRule="auto"/>
        <w:jc w:val="both"/>
        <w:sectPr>
          <w:type w:val="continuous"/>
          <w:pgSz w:w="11910" w:h="16840"/>
          <w:pgMar w:top="1260" w:bottom="280" w:left="1140" w:right="1040"/>
          <w:cols w:num="2" w:equalWidth="0">
            <w:col w:w="2431" w:space="127"/>
            <w:col w:w="7172"/>
          </w:cols>
        </w:sectPr>
      </w:pPr>
    </w:p>
    <w:p>
      <w:pPr>
        <w:pStyle w:val="BodyText"/>
        <w:spacing w:before="12"/>
        <w:rPr>
          <w:sz w:val="8"/>
        </w:rPr>
      </w:pPr>
    </w:p>
    <w:p>
      <w:pPr>
        <w:spacing w:after="0"/>
        <w:rPr>
          <w:sz w:val="8"/>
        </w:rPr>
        <w:sectPr>
          <w:type w:val="continuous"/>
          <w:pgSz w:w="11910" w:h="16840"/>
          <w:pgMar w:top="1260" w:bottom="280" w:left="1140" w:right="1040"/>
        </w:sectPr>
      </w:pPr>
    </w:p>
    <w:p>
      <w:pPr>
        <w:pStyle w:val="ListParagraph"/>
        <w:numPr>
          <w:ilvl w:val="2"/>
          <w:numId w:val="8"/>
        </w:numPr>
        <w:tabs>
          <w:tab w:pos="1171" w:val="left" w:leader="none"/>
          <w:tab w:pos="1172" w:val="left" w:leader="none"/>
        </w:tabs>
        <w:spacing w:line="240" w:lineRule="auto" w:before="36" w:after="0"/>
        <w:ind w:left="1171" w:right="0" w:hanging="1056"/>
        <w:jc w:val="left"/>
        <w:rPr>
          <w:rFonts w:ascii="黑体" w:eastAsia="黑体" w:hint="eastAsia"/>
          <w:sz w:val="21"/>
        </w:rPr>
      </w:pPr>
      <w:r>
        <w:rPr>
          <w:rFonts w:ascii="黑体" w:eastAsia="黑体" w:hint="eastAsia"/>
          <w:spacing w:val="-1"/>
          <w:sz w:val="21"/>
        </w:rPr>
        <w:t>严重运动神经</w:t>
      </w:r>
    </w:p>
    <w:p>
      <w:pPr>
        <w:pStyle w:val="BodyText"/>
        <w:spacing w:before="45"/>
        <w:ind w:left="1151" w:right="820"/>
        <w:jc w:val="center"/>
        <w:rPr>
          <w:rFonts w:ascii="黑体" w:eastAsia="黑体" w:hint="eastAsia"/>
        </w:rPr>
      </w:pPr>
      <w:r>
        <w:rPr>
          <w:rFonts w:ascii="黑体" w:eastAsia="黑体" w:hint="eastAsia"/>
        </w:rPr>
        <w:t>元病</w:t>
      </w:r>
    </w:p>
    <w:p>
      <w:pPr>
        <w:pStyle w:val="BodyText"/>
        <w:spacing w:line="278" w:lineRule="auto" w:before="36"/>
        <w:ind w:left="115" w:right="206"/>
        <w:jc w:val="both"/>
      </w:pPr>
      <w:r>
        <w:rPr/>
        <w:br w:type="column"/>
      </w:r>
      <w:r>
        <w:rPr/>
        <w:t>是一组中枢神经系统运动神经元的进行性变性疾病，包括进行性脊肌萎缩</w:t>
      </w:r>
      <w:r>
        <w:rPr>
          <w:spacing w:val="-9"/>
        </w:rPr>
        <w:t>症、进行性延髓麻痹症、原发性侧索硬化症、肌萎缩性侧索硬化症。须满足</w:t>
      </w:r>
      <w:r>
        <w:rPr>
          <w:spacing w:val="-14"/>
        </w:rPr>
        <w:t>自主生活能力完全丧失，无法独立完成六项基本日常生活活动中的三项或三项以上的条件。</w:t>
      </w:r>
    </w:p>
    <w:p>
      <w:pPr>
        <w:spacing w:after="0" w:line="278" w:lineRule="auto"/>
        <w:jc w:val="both"/>
        <w:sectPr>
          <w:type w:val="continuous"/>
          <w:pgSz w:w="11910" w:h="16840"/>
          <w:pgMar w:top="1260" w:bottom="280" w:left="1140" w:right="1040"/>
          <w:cols w:num="2" w:equalWidth="0">
            <w:col w:w="2431" w:space="127"/>
            <w:col w:w="7172"/>
          </w:cols>
        </w:sectPr>
      </w:pPr>
    </w:p>
    <w:p>
      <w:pPr>
        <w:pStyle w:val="BodyText"/>
        <w:spacing w:before="0"/>
        <w:rPr>
          <w:sz w:val="9"/>
        </w:rPr>
      </w:pPr>
    </w:p>
    <w:p>
      <w:pPr>
        <w:pStyle w:val="ListParagraph"/>
        <w:numPr>
          <w:ilvl w:val="2"/>
          <w:numId w:val="8"/>
        </w:numPr>
        <w:tabs>
          <w:tab w:pos="1171" w:val="left" w:leader="none"/>
          <w:tab w:pos="1172" w:val="left" w:leader="none"/>
          <w:tab w:pos="2673" w:val="left" w:leader="none"/>
        </w:tabs>
        <w:spacing w:line="280" w:lineRule="auto" w:before="35" w:after="0"/>
        <w:ind w:left="2673" w:right="210" w:hanging="2558"/>
        <w:jc w:val="left"/>
        <w:rPr>
          <w:sz w:val="21"/>
        </w:rPr>
      </w:pPr>
      <w:r>
        <w:rPr>
          <w:rFonts w:ascii="黑体" w:eastAsia="黑体" w:hint="eastAsia"/>
          <w:sz w:val="21"/>
        </w:rPr>
        <w:t>语言能力丧失</w:t>
        <w:tab/>
      </w:r>
      <w:r>
        <w:rPr>
          <w:sz w:val="21"/>
        </w:rPr>
        <w:t>指因疾病或意外伤害导致完全丧失语言能力</w:t>
      </w:r>
      <w:r>
        <w:rPr>
          <w:spacing w:val="-99"/>
          <w:sz w:val="21"/>
        </w:rPr>
        <w:t>，</w:t>
      </w:r>
      <w:r>
        <w:rPr>
          <w:sz w:val="21"/>
        </w:rPr>
        <w:t>经过积极治疗至少</w:t>
      </w:r>
      <w:r>
        <w:rPr>
          <w:spacing w:val="-57"/>
          <w:sz w:val="21"/>
        </w:rPr>
        <w:t> </w:t>
      </w:r>
      <w:r>
        <w:rPr>
          <w:sz w:val="21"/>
        </w:rPr>
        <w:t>12</w:t>
      </w:r>
      <w:r>
        <w:rPr>
          <w:spacing w:val="-57"/>
          <w:sz w:val="21"/>
        </w:rPr>
        <w:t> </w:t>
      </w:r>
      <w:r>
        <w:rPr>
          <w:sz w:val="21"/>
        </w:rPr>
        <w:t>个</w:t>
      </w:r>
      <w:r>
        <w:rPr>
          <w:spacing w:val="-99"/>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9"/>
        <w:ind w:left="2673"/>
      </w:pPr>
      <w:r>
        <w:rPr>
          <w:shd w:fill="D9D9D9" w:color="auto" w:val="clear"/>
        </w:rPr>
        <w:t>精神心理因素所致的语言能力丧失不在保障范围内。</w:t>
      </w:r>
    </w:p>
    <w:p>
      <w:pPr>
        <w:pStyle w:val="BodyText"/>
        <w:spacing w:before="7"/>
        <w:rPr>
          <w:sz w:val="11"/>
        </w:rPr>
      </w:pPr>
    </w:p>
    <w:p>
      <w:pPr>
        <w:spacing w:after="0"/>
        <w:rPr>
          <w:sz w:val="11"/>
        </w:rPr>
        <w:sectPr>
          <w:type w:val="continuous"/>
          <w:pgSz w:w="11910" w:h="16840"/>
          <w:pgMar w:top="1260" w:bottom="280" w:left="1140" w:right="1040"/>
        </w:sectPr>
      </w:pPr>
    </w:p>
    <w:p>
      <w:pPr>
        <w:pStyle w:val="ListParagraph"/>
        <w:numPr>
          <w:ilvl w:val="2"/>
          <w:numId w:val="8"/>
        </w:numPr>
        <w:tabs>
          <w:tab w:pos="1171" w:val="left" w:leader="none"/>
          <w:tab w:pos="1172" w:val="left" w:leader="none"/>
        </w:tabs>
        <w:spacing w:line="240" w:lineRule="auto" w:before="36" w:after="0"/>
        <w:ind w:left="1171" w:right="0" w:hanging="1056"/>
        <w:jc w:val="left"/>
        <w:rPr>
          <w:rFonts w:ascii="黑体" w:eastAsia="黑体" w:hint="eastAsia"/>
          <w:sz w:val="21"/>
        </w:rPr>
      </w:pPr>
      <w:r>
        <w:rPr>
          <w:rFonts w:ascii="黑体" w:eastAsia="黑体" w:hint="eastAsia"/>
          <w:spacing w:val="-1"/>
          <w:sz w:val="21"/>
        </w:rPr>
        <w:t>重型再Th障碍</w:t>
      </w:r>
    </w:p>
    <w:p>
      <w:pPr>
        <w:pStyle w:val="BodyText"/>
        <w:spacing w:before="44"/>
        <w:ind w:left="1171"/>
        <w:rPr>
          <w:rFonts w:ascii="黑体" w:eastAsia="黑体" w:hint="eastAsia"/>
        </w:rPr>
      </w:pPr>
      <w:r>
        <w:rPr>
          <w:rFonts w:ascii="黑体" w:eastAsia="黑体" w:hint="eastAsia"/>
        </w:rPr>
        <w:t>性贫血</w:t>
      </w:r>
    </w:p>
    <w:p>
      <w:pPr>
        <w:pStyle w:val="BodyText"/>
        <w:spacing w:line="278" w:lineRule="auto" w:before="36"/>
        <w:ind w:left="115" w:right="212"/>
      </w:pPr>
      <w:r>
        <w:rPr/>
        <w:br w:type="column"/>
      </w:r>
      <w:r>
        <w:rPr>
          <w:spacing w:val="-5"/>
        </w:rPr>
        <w:t>指因骨髓造血功能慢性持续性衰竭导致的贫血、中性粒细胞减少及血小板减少。须满足下列全部条件：</w:t>
      </w:r>
    </w:p>
    <w:p>
      <w:pPr>
        <w:pStyle w:val="BodyText"/>
        <w:spacing w:line="280" w:lineRule="auto" w:before="12"/>
        <w:ind w:left="115" w:right="2942"/>
      </w:pPr>
      <w:r>
        <w:rPr/>
        <w:t>(1)骨髓穿刺检查或骨髓活检结果支持诊断； (2)外周血象须具备以下三项条件：</w:t>
      </w:r>
    </w:p>
    <w:p>
      <w:pPr>
        <w:pStyle w:val="BodyText"/>
        <w:spacing w:before="8"/>
        <w:ind w:left="430"/>
      </w:pPr>
      <w:r>
        <w:rPr/>
        <w:t>①中性粒细胞绝对值≤0.5×10</w:t>
      </w:r>
      <w:r>
        <w:rPr>
          <w:position w:val="11"/>
          <w:sz w:val="11"/>
        </w:rPr>
        <w:t>9</w:t>
      </w:r>
      <w:r>
        <w:rPr/>
        <w:t>/L ；</w:t>
      </w:r>
    </w:p>
    <w:p>
      <w:pPr>
        <w:pStyle w:val="BodyText"/>
        <w:spacing w:before="50"/>
        <w:ind w:left="430"/>
      </w:pPr>
      <w:r>
        <w:rPr/>
        <w:t>②网织红细胞</w:t>
      </w:r>
      <w:r>
        <w:rPr>
          <w:spacing w:val="5"/>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40"/>
        <w:ind w:left="430"/>
      </w:pPr>
      <w:r>
        <w:rPr/>
        <w:t>③血小板绝对值≤20×10</w:t>
      </w:r>
      <w:r>
        <w:rPr>
          <w:position w:val="11"/>
          <w:sz w:val="11"/>
        </w:rPr>
        <w:t>9</w:t>
      </w:r>
      <w:r>
        <w:rPr/>
        <w:t>/L。</w:t>
      </w:r>
    </w:p>
    <w:p>
      <w:pPr>
        <w:spacing w:after="0"/>
        <w:sectPr>
          <w:type w:val="continuous"/>
          <w:pgSz w:w="11910" w:h="16840"/>
          <w:pgMar w:top="1260" w:bottom="280" w:left="1140" w:right="1040"/>
          <w:cols w:num="2" w:equalWidth="0">
            <w:col w:w="2431" w:space="127"/>
            <w:col w:w="7172"/>
          </w:cols>
        </w:sectPr>
      </w:pPr>
    </w:p>
    <w:p>
      <w:pPr>
        <w:pStyle w:val="BodyText"/>
        <w:spacing w:before="7"/>
        <w:rPr>
          <w:sz w:val="11"/>
        </w:rPr>
      </w:pPr>
    </w:p>
    <w:p>
      <w:pPr>
        <w:pStyle w:val="ListParagraph"/>
        <w:numPr>
          <w:ilvl w:val="2"/>
          <w:numId w:val="8"/>
        </w:numPr>
        <w:tabs>
          <w:tab w:pos="1171" w:val="left" w:leader="none"/>
          <w:tab w:pos="1172" w:val="left" w:leader="none"/>
          <w:tab w:pos="2673" w:val="left" w:leader="none"/>
        </w:tabs>
        <w:spacing w:line="240" w:lineRule="auto" w:before="35" w:after="0"/>
        <w:ind w:left="1171" w:right="0" w:hanging="1056"/>
        <w:jc w:val="left"/>
        <w:rPr>
          <w:sz w:val="21"/>
        </w:rPr>
      </w:pPr>
      <w:r>
        <w:rPr>
          <w:rFonts w:ascii="黑体" w:eastAsia="黑体" w:hint="eastAsia"/>
          <w:sz w:val="21"/>
        </w:rPr>
        <w:t>主动脉手术</w:t>
        <w:tab/>
      </w:r>
      <w:r>
        <w:rPr>
          <w:sz w:val="21"/>
        </w:rPr>
        <w:t>指为治疗主动脉疾病</w:t>
      </w:r>
      <w:r>
        <w:rPr>
          <w:spacing w:val="-32"/>
          <w:sz w:val="21"/>
        </w:rPr>
        <w:t>，</w:t>
      </w:r>
      <w:r>
        <w:rPr>
          <w:sz w:val="21"/>
        </w:rPr>
        <w:t>实际实施了开胸或开腹进行的切除</w:t>
      </w:r>
      <w:r>
        <w:rPr>
          <w:spacing w:val="-32"/>
          <w:sz w:val="21"/>
        </w:rPr>
        <w:t>、</w:t>
      </w:r>
      <w:r>
        <w:rPr>
          <w:sz w:val="21"/>
        </w:rPr>
        <w:t>置换</w:t>
      </w:r>
      <w:r>
        <w:rPr>
          <w:spacing w:val="-32"/>
          <w:sz w:val="21"/>
        </w:rPr>
        <w:t>、</w:t>
      </w:r>
      <w:r>
        <w:rPr>
          <w:sz w:val="21"/>
        </w:rPr>
        <w:t>修补病损</w:t>
      </w:r>
    </w:p>
    <w:p>
      <w:pPr>
        <w:spacing w:after="0" w:line="240" w:lineRule="auto"/>
        <w:jc w:val="left"/>
        <w:rPr>
          <w:sz w:val="21"/>
        </w:rPr>
        <w:sectPr>
          <w:type w:val="continuous"/>
          <w:pgSz w:w="11910" w:h="16840"/>
          <w:pgMar w:top="1260" w:bottom="280" w:left="1140" w:right="1040"/>
        </w:sectPr>
      </w:pPr>
    </w:p>
    <w:p>
      <w:pPr>
        <w:pStyle w:val="BodyText"/>
        <w:spacing w:line="278" w:lineRule="auto" w:before="8"/>
        <w:ind w:left="2713" w:right="152"/>
      </w:pPr>
      <w:r>
        <w:rPr>
          <w:spacing w:val="-8"/>
        </w:rPr>
        <w:t>主动脉血管的手术。主动脉指胸主动脉和腹主动脉，不包括胸主动脉和腹主动脉的分支血管。</w:t>
      </w:r>
    </w:p>
    <w:p>
      <w:pPr>
        <w:pStyle w:val="BodyText"/>
        <w:spacing w:before="11"/>
        <w:ind w:left="2713"/>
      </w:pPr>
      <w:r>
        <w:rPr>
          <w:shd w:fill="D9D9D9" w:color="auto" w:val="clear"/>
        </w:rPr>
        <w:t>动脉内血管成形术不在保障范围内。</w:t>
      </w:r>
    </w:p>
    <w:p>
      <w:pPr>
        <w:pStyle w:val="BodyText"/>
        <w:spacing w:before="7"/>
        <w:rPr>
          <w:sz w:val="11"/>
        </w:rPr>
      </w:pPr>
    </w:p>
    <w:p>
      <w:pPr>
        <w:spacing w:after="0"/>
        <w:rPr>
          <w:sz w:val="11"/>
        </w:rPr>
        <w:sectPr>
          <w:pgSz w:w="11910" w:h="16840"/>
          <w:pgMar w:top="1420" w:bottom="280" w:left="1100" w:right="1100"/>
        </w:sectPr>
      </w:pPr>
    </w:p>
    <w:p>
      <w:pPr>
        <w:pStyle w:val="ListParagraph"/>
        <w:numPr>
          <w:ilvl w:val="2"/>
          <w:numId w:val="8"/>
        </w:numPr>
        <w:tabs>
          <w:tab w:pos="1211" w:val="left" w:leader="none"/>
          <w:tab w:pos="1212" w:val="left" w:leader="none"/>
        </w:tabs>
        <w:spacing w:line="240" w:lineRule="auto" w:before="36" w:after="0"/>
        <w:ind w:left="1211" w:right="0" w:hanging="1056"/>
        <w:jc w:val="left"/>
        <w:rPr>
          <w:rFonts w:ascii="黑体" w:eastAsia="黑体" w:hint="eastAsia"/>
          <w:sz w:val="21"/>
        </w:rPr>
      </w:pPr>
      <w:r>
        <w:rPr>
          <w:rFonts w:ascii="黑体" w:eastAsia="黑体" w:hint="eastAsia"/>
          <w:spacing w:val="-1"/>
          <w:sz w:val="21"/>
        </w:rPr>
        <w:t>急性出血性坏</w:t>
      </w:r>
    </w:p>
    <w:p>
      <w:pPr>
        <w:pStyle w:val="BodyText"/>
        <w:spacing w:before="45"/>
        <w:ind w:left="1211"/>
        <w:rPr>
          <w:rFonts w:ascii="黑体" w:eastAsia="黑体" w:hint="eastAsia"/>
        </w:rPr>
      </w:pPr>
      <w:r>
        <w:rPr>
          <w:rFonts w:ascii="黑体" w:eastAsia="黑体" w:hint="eastAsia"/>
        </w:rPr>
        <w:t>死性胰腺炎</w:t>
      </w:r>
    </w:p>
    <w:p>
      <w:pPr>
        <w:pStyle w:val="BodyText"/>
        <w:spacing w:line="280" w:lineRule="auto" w:before="36"/>
        <w:ind w:left="155" w:right="152"/>
      </w:pPr>
      <w:r>
        <w:rPr/>
        <w:br w:type="column"/>
      </w:r>
      <w:r>
        <w:rPr>
          <w:spacing w:val="-5"/>
        </w:rPr>
        <w:t>由专科医生确诊为急性出血性坏死性胰腺炎，并已实施了胰腺组织清除、病灶切除或胰腺切除的手术。</w:t>
      </w:r>
    </w:p>
    <w:p>
      <w:pPr>
        <w:pStyle w:val="BodyText"/>
        <w:spacing w:before="8"/>
        <w:ind w:left="155"/>
      </w:pPr>
      <w:r>
        <w:rPr>
          <w:shd w:fill="D9D9D9" w:color="auto" w:val="clear"/>
        </w:rPr>
        <w:t>因酗酒所致的急性出血性坏死性胰腺炎不在保障范围内。</w:t>
      </w:r>
    </w:p>
    <w:p>
      <w:pPr>
        <w:spacing w:after="0"/>
        <w:sectPr>
          <w:type w:val="continuous"/>
          <w:pgSz w:w="11910" w:h="16840"/>
          <w:pgMar w:top="1260" w:bottom="280" w:left="1100" w:right="1100"/>
          <w:cols w:num="2" w:equalWidth="0">
            <w:col w:w="2471" w:space="87"/>
            <w:col w:w="7152"/>
          </w:cols>
        </w:sectPr>
      </w:pPr>
    </w:p>
    <w:p>
      <w:pPr>
        <w:pStyle w:val="BodyText"/>
        <w:spacing w:before="7"/>
        <w:rPr>
          <w:sz w:val="11"/>
        </w:rPr>
      </w:pPr>
    </w:p>
    <w:p>
      <w:pPr>
        <w:pStyle w:val="ListParagraph"/>
        <w:numPr>
          <w:ilvl w:val="2"/>
          <w:numId w:val="8"/>
        </w:numPr>
        <w:tabs>
          <w:tab w:pos="1212" w:val="left" w:leader="none"/>
        </w:tabs>
        <w:spacing w:line="280" w:lineRule="auto" w:before="35" w:after="0"/>
        <w:ind w:left="2713" w:right="151" w:hanging="2558"/>
        <w:jc w:val="both"/>
        <w:rPr>
          <w:sz w:val="21"/>
        </w:rPr>
      </w:pPr>
      <w:r>
        <w:rPr>
          <w:rFonts w:ascii="黑体" w:eastAsia="黑体" w:hint="eastAsia"/>
          <w:spacing w:val="2"/>
          <w:sz w:val="21"/>
        </w:rPr>
        <w:t>原发性心肌病 </w:t>
      </w:r>
      <w:r>
        <w:rPr>
          <w:spacing w:val="-3"/>
          <w:sz w:val="21"/>
        </w:rPr>
        <w:t>指因原发性心肌病导致慢性心功能损害造成永久不可逆性的心功能衰竭。心</w:t>
      </w:r>
      <w:r>
        <w:rPr>
          <w:spacing w:val="-6"/>
          <w:sz w:val="21"/>
        </w:rPr>
        <w:t>功能衰竭程度达到纽约心脏病学会心功能分级状态分级 </w:t>
      </w:r>
      <w:r>
        <w:rPr>
          <w:sz w:val="21"/>
        </w:rPr>
        <w:t>IV</w:t>
      </w:r>
      <w:r>
        <w:rPr>
          <w:spacing w:val="-8"/>
          <w:sz w:val="21"/>
        </w:rPr>
        <w:t> 级。被保险人永久不可逆性的体力活动能力受限，不能从事任何体力活动。</w:t>
      </w:r>
    </w:p>
    <w:p>
      <w:pPr>
        <w:pStyle w:val="BodyText"/>
        <w:spacing w:before="11"/>
        <w:rPr>
          <w:sz w:val="8"/>
        </w:rPr>
      </w:pPr>
    </w:p>
    <w:p>
      <w:pPr>
        <w:spacing w:after="0"/>
        <w:rPr>
          <w:sz w:val="8"/>
        </w:rPr>
        <w:sectPr>
          <w:type w:val="continuous"/>
          <w:pgSz w:w="11910" w:h="16840"/>
          <w:pgMar w:top="1260" w:bottom="280" w:left="1100" w:right="1100"/>
        </w:sectPr>
      </w:pPr>
    </w:p>
    <w:p>
      <w:pPr>
        <w:pStyle w:val="ListParagraph"/>
        <w:numPr>
          <w:ilvl w:val="2"/>
          <w:numId w:val="8"/>
        </w:numPr>
        <w:tabs>
          <w:tab w:pos="1211" w:val="left" w:leader="none"/>
          <w:tab w:pos="1212" w:val="left" w:leader="none"/>
        </w:tabs>
        <w:spacing w:line="278" w:lineRule="auto" w:before="35" w:after="0"/>
        <w:ind w:left="1211" w:right="0" w:hanging="1056"/>
        <w:jc w:val="left"/>
        <w:rPr>
          <w:rFonts w:ascii="黑体" w:eastAsia="黑体" w:hint="eastAsia"/>
          <w:sz w:val="21"/>
        </w:rPr>
      </w:pPr>
      <w:r>
        <w:rPr>
          <w:rFonts w:ascii="黑体" w:eastAsia="黑体" w:hint="eastAsia"/>
          <w:spacing w:val="-1"/>
          <w:sz w:val="21"/>
        </w:rPr>
        <w:t>持续植物人状态</w:t>
      </w:r>
    </w:p>
    <w:p>
      <w:pPr>
        <w:pStyle w:val="BodyText"/>
        <w:spacing w:line="278" w:lineRule="auto"/>
        <w:ind w:left="155" w:right="152"/>
        <w:jc w:val="both"/>
      </w:pPr>
      <w:r>
        <w:rPr/>
        <w:br w:type="column"/>
      </w:r>
      <w:r>
        <w:rPr>
          <w:spacing w:val="-10"/>
        </w:rPr>
        <w:t>是指由脑外伤、缺氧持续状态、严重的脑炎或者某种神经毒素造成大脑皮层</w:t>
      </w:r>
      <w:r>
        <w:rPr>
          <w:spacing w:val="-13"/>
        </w:rPr>
        <w:t>广泛性损害，而脑干功能相对保留所致的一种丧失生理、意识和交流功能后</w:t>
      </w:r>
      <w:r>
        <w:rPr>
          <w:spacing w:val="-17"/>
        </w:rPr>
        <w:t>的临床状态，并且该状态已持续 </w:t>
      </w:r>
      <w:r>
        <w:rPr/>
        <w:t>30</w:t>
      </w:r>
      <w:r>
        <w:rPr>
          <w:spacing w:val="-8"/>
        </w:rPr>
        <w:t> 天以上。患者无法从事主动或者有目的的活动，但保留了躯体生存的基本功能，如新陈代谢、生长发育等。</w:t>
      </w:r>
    </w:p>
    <w:p>
      <w:pPr>
        <w:spacing w:after="0" w:line="278" w:lineRule="auto"/>
        <w:jc w:val="both"/>
        <w:sectPr>
          <w:type w:val="continuous"/>
          <w:pgSz w:w="11910" w:h="16840"/>
          <w:pgMar w:top="1260" w:bottom="280" w:left="1100" w:right="1100"/>
          <w:cols w:num="2" w:equalWidth="0">
            <w:col w:w="2471" w:space="87"/>
            <w:col w:w="7152"/>
          </w:cols>
        </w:sectPr>
      </w:pPr>
    </w:p>
    <w:p>
      <w:pPr>
        <w:pStyle w:val="BodyText"/>
        <w:spacing w:before="0"/>
        <w:rPr>
          <w:sz w:val="9"/>
        </w:rPr>
      </w:pPr>
    </w:p>
    <w:p>
      <w:pPr>
        <w:spacing w:after="0"/>
        <w:rPr>
          <w:sz w:val="9"/>
        </w:rPr>
        <w:sectPr>
          <w:type w:val="continuous"/>
          <w:pgSz w:w="11910" w:h="16840"/>
          <w:pgMar w:top="1260" w:bottom="280" w:left="1100" w:right="1100"/>
        </w:sectPr>
      </w:pPr>
    </w:p>
    <w:p>
      <w:pPr>
        <w:pStyle w:val="ListParagraph"/>
        <w:numPr>
          <w:ilvl w:val="2"/>
          <w:numId w:val="8"/>
        </w:numPr>
        <w:tabs>
          <w:tab w:pos="1211" w:val="left" w:leader="none"/>
          <w:tab w:pos="1212" w:val="left" w:leader="none"/>
        </w:tabs>
        <w:spacing w:line="240" w:lineRule="auto" w:before="35" w:after="0"/>
        <w:ind w:left="1211" w:right="0" w:hanging="1056"/>
        <w:jc w:val="left"/>
        <w:rPr>
          <w:rFonts w:ascii="黑体" w:eastAsia="黑体" w:hint="eastAsia"/>
          <w:sz w:val="21"/>
        </w:rPr>
      </w:pPr>
      <w:r>
        <w:rPr>
          <w:rFonts w:ascii="黑体" w:eastAsia="黑体" w:hint="eastAsia"/>
          <w:spacing w:val="-1"/>
          <w:sz w:val="21"/>
        </w:rPr>
        <w:t>全身性重症肌</w:t>
      </w:r>
    </w:p>
    <w:p>
      <w:pPr>
        <w:pStyle w:val="BodyText"/>
        <w:spacing w:before="44"/>
        <w:ind w:left="1191" w:right="820"/>
        <w:jc w:val="center"/>
        <w:rPr>
          <w:rFonts w:ascii="黑体" w:eastAsia="黑体" w:hint="eastAsia"/>
        </w:rPr>
      </w:pPr>
      <w:r>
        <w:rPr>
          <w:rFonts w:ascii="黑体" w:eastAsia="黑体" w:hint="eastAsia"/>
        </w:rPr>
        <w:t>无力</w:t>
      </w:r>
    </w:p>
    <w:p>
      <w:pPr>
        <w:pStyle w:val="BodyText"/>
        <w:spacing w:line="278" w:lineRule="auto"/>
        <w:ind w:left="155" w:right="150"/>
      </w:pPr>
      <w:r>
        <w:rPr/>
        <w:br w:type="column"/>
      </w:r>
      <w:r>
        <w:rPr>
          <w:spacing w:val="-4"/>
        </w:rPr>
        <w:t>重症肌无力是一种神经肌肉接头传递障碍所致的疾病，表现为局部或全身骨</w:t>
      </w:r>
      <w:r>
        <w:rPr>
          <w:spacing w:val="-14"/>
        </w:rPr>
        <w:t>骼肌</w:t>
      </w:r>
      <w:r>
        <w:rPr/>
        <w:t>（特别是眼外肌</w:t>
      </w:r>
      <w:r>
        <w:rPr>
          <w:spacing w:val="-23"/>
        </w:rPr>
        <w:t>）</w:t>
      </w:r>
      <w:r>
        <w:rPr>
          <w:spacing w:val="-7"/>
        </w:rPr>
        <w:t>极易疲劳。疾病可以累及呼吸肌、上肢或下肢的近端肌群或全身肌肉，必须满足下列全部条件：                         </w:t>
      </w:r>
      <w:r>
        <w:rPr>
          <w:spacing w:val="-1"/>
        </w:rPr>
        <w:t>(1)经药物治疗和胸腺切除治疗一年以上仍无法控制病情；</w:t>
      </w:r>
    </w:p>
    <w:p>
      <w:pPr>
        <w:pStyle w:val="BodyText"/>
        <w:spacing w:line="280" w:lineRule="auto" w:before="10"/>
        <w:ind w:left="470" w:right="150" w:hanging="316"/>
      </w:pPr>
      <w:r>
        <w:rPr/>
        <w:t>(2)自主生活能力完全丧失，无法独立完成六项基本日常生活活动中的三项或三项以上。</w:t>
      </w:r>
    </w:p>
    <w:p>
      <w:pPr>
        <w:spacing w:after="0" w:line="280" w:lineRule="auto"/>
        <w:sectPr>
          <w:type w:val="continuous"/>
          <w:pgSz w:w="11910" w:h="16840"/>
          <w:pgMar w:top="1260" w:bottom="280" w:left="1100" w:right="1100"/>
          <w:cols w:num="2" w:equalWidth="0">
            <w:col w:w="2471" w:space="87"/>
            <w:col w:w="7152"/>
          </w:cols>
        </w:sectPr>
      </w:pPr>
    </w:p>
    <w:p>
      <w:pPr>
        <w:pStyle w:val="BodyText"/>
        <w:spacing w:before="11"/>
        <w:rPr>
          <w:sz w:val="8"/>
        </w:rPr>
      </w:pPr>
    </w:p>
    <w:p>
      <w:pPr>
        <w:pStyle w:val="ListParagraph"/>
        <w:numPr>
          <w:ilvl w:val="2"/>
          <w:numId w:val="8"/>
        </w:numPr>
        <w:tabs>
          <w:tab w:pos="1211" w:val="left" w:leader="none"/>
          <w:tab w:pos="1212" w:val="left" w:leader="none"/>
          <w:tab w:pos="2713" w:val="left" w:leader="none"/>
        </w:tabs>
        <w:spacing w:line="240" w:lineRule="auto" w:before="35" w:after="0"/>
        <w:ind w:left="2713" w:right="0" w:hanging="2558"/>
        <w:jc w:val="left"/>
        <w:rPr>
          <w:sz w:val="21"/>
        </w:rPr>
      </w:pPr>
      <w:r>
        <w:rPr>
          <w:rFonts w:ascii="黑体" w:eastAsia="黑体" w:hint="eastAsia"/>
          <w:sz w:val="21"/>
        </w:rPr>
        <w:t>坏死性筋膜炎</w:t>
        <w:tab/>
      </w:r>
      <w:r>
        <w:rPr>
          <w:sz w:val="21"/>
        </w:rPr>
        <w:t>坏死性筋膜炎的诊断须同时符合下列要求：</w:t>
      </w:r>
    </w:p>
    <w:p>
      <w:pPr>
        <w:pStyle w:val="BodyText"/>
        <w:spacing w:line="278" w:lineRule="auto" w:before="45"/>
        <w:ind w:left="2713" w:right="3302"/>
      </w:pPr>
      <w:r>
        <w:rPr/>
        <w:t>(1)符合坏死性筋膜炎的一般临床表现； (2)细菌培养检出致病菌；</w:t>
      </w:r>
    </w:p>
    <w:p>
      <w:pPr>
        <w:pStyle w:val="BodyText"/>
        <w:spacing w:line="280" w:lineRule="auto" w:before="12"/>
        <w:ind w:left="3029" w:right="150" w:hanging="316"/>
      </w:pPr>
      <w:r>
        <w:rPr/>
        <w:t>(3)出现广泛性肌肉及软组织坏死，并导致身体受影响部位的功能永久不可逆性丧失。</w:t>
      </w:r>
    </w:p>
    <w:p>
      <w:pPr>
        <w:pStyle w:val="BodyText"/>
        <w:spacing w:before="6" w:after="1"/>
        <w:rPr>
          <w:sz w:val="16"/>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555"/>
        <w:gridCol w:w="6996"/>
      </w:tblGrid>
      <w:tr>
        <w:trPr>
          <w:trHeight w:val="1615" w:hRule="atLeast"/>
        </w:trPr>
        <w:tc>
          <w:tcPr>
            <w:tcW w:w="945" w:type="dxa"/>
          </w:tcPr>
          <w:p>
            <w:pPr>
              <w:pStyle w:val="TableParagraph"/>
              <w:spacing w:line="210" w:lineRule="exact" w:before="0"/>
              <w:ind w:left="50"/>
              <w:rPr>
                <w:rFonts w:ascii="黑体"/>
                <w:sz w:val="21"/>
              </w:rPr>
            </w:pPr>
            <w:r>
              <w:rPr>
                <w:rFonts w:ascii="黑体"/>
                <w:sz w:val="21"/>
              </w:rPr>
              <w:t>10.1.31</w:t>
            </w:r>
          </w:p>
        </w:tc>
        <w:tc>
          <w:tcPr>
            <w:tcW w:w="1555" w:type="dxa"/>
          </w:tcPr>
          <w:p>
            <w:pPr>
              <w:pStyle w:val="TableParagraph"/>
              <w:spacing w:line="210" w:lineRule="exact" w:before="0"/>
              <w:ind w:left="161"/>
              <w:rPr>
                <w:rFonts w:ascii="黑体" w:eastAsia="黑体" w:hint="eastAsia"/>
                <w:sz w:val="21"/>
              </w:rPr>
            </w:pPr>
            <w:r>
              <w:rPr>
                <w:rFonts w:ascii="黑体" w:eastAsia="黑体" w:hint="eastAsia"/>
                <w:sz w:val="21"/>
              </w:rPr>
              <w:t>终末期肺病</w:t>
            </w:r>
          </w:p>
        </w:tc>
        <w:tc>
          <w:tcPr>
            <w:tcW w:w="6996" w:type="dxa"/>
          </w:tcPr>
          <w:p>
            <w:pPr>
              <w:pStyle w:val="TableParagraph"/>
              <w:spacing w:line="210" w:lineRule="exact" w:before="0"/>
              <w:ind w:left="108"/>
              <w:rPr>
                <w:sz w:val="21"/>
              </w:rPr>
            </w:pPr>
            <w:r>
              <w:rPr>
                <w:sz w:val="21"/>
              </w:rPr>
              <w:t>指患有终末期肺病而出现慢性呼吸功能衰竭。须满足下列全部条件：</w:t>
            </w:r>
          </w:p>
          <w:p>
            <w:pPr>
              <w:pStyle w:val="TableParagraph"/>
              <w:spacing w:line="278" w:lineRule="auto" w:before="44"/>
              <w:ind w:left="108" w:right="2739"/>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3022" w:hRule="atLeast"/>
        </w:trPr>
        <w:tc>
          <w:tcPr>
            <w:tcW w:w="945" w:type="dxa"/>
          </w:tcPr>
          <w:p>
            <w:pPr>
              <w:pStyle w:val="TableParagraph"/>
              <w:spacing w:before="61"/>
              <w:ind w:left="50"/>
              <w:rPr>
                <w:rFonts w:ascii="黑体"/>
                <w:sz w:val="21"/>
              </w:rPr>
            </w:pPr>
            <w:r>
              <w:rPr>
                <w:rFonts w:ascii="黑体"/>
                <w:sz w:val="21"/>
              </w:rPr>
              <w:t>10.1.32</w:t>
            </w:r>
          </w:p>
        </w:tc>
        <w:tc>
          <w:tcPr>
            <w:tcW w:w="1555" w:type="dxa"/>
          </w:tcPr>
          <w:p>
            <w:pPr>
              <w:pStyle w:val="TableParagraph"/>
              <w:spacing w:line="278" w:lineRule="auto" w:before="61"/>
              <w:ind w:left="161" w:right="105"/>
              <w:jc w:val="both"/>
              <w:rPr>
                <w:rFonts w:ascii="黑体" w:eastAsia="黑体" w:hint="eastAsia"/>
                <w:sz w:val="21"/>
              </w:rPr>
            </w:pPr>
            <w:r>
              <w:rPr>
                <w:rFonts w:ascii="黑体" w:eastAsia="黑体" w:hint="eastAsia"/>
                <w:sz w:val="21"/>
              </w:rPr>
              <w:t>经输血导致的人类免疫缺陷</w:t>
            </w:r>
            <w:r>
              <w:rPr>
                <w:rFonts w:ascii="黑体" w:eastAsia="黑体" w:hint="eastAsia"/>
                <w:spacing w:val="-20"/>
                <w:sz w:val="21"/>
              </w:rPr>
              <w:t>病毒</w:t>
            </w:r>
            <w:r>
              <w:rPr>
                <w:rFonts w:ascii="黑体" w:eastAsia="黑体" w:hint="eastAsia"/>
                <w:spacing w:val="-9"/>
                <w:sz w:val="21"/>
              </w:rPr>
              <w:t>（HIV）</w:t>
            </w:r>
            <w:r>
              <w:rPr>
                <w:rFonts w:ascii="黑体" w:eastAsia="黑体" w:hint="eastAsia"/>
                <w:sz w:val="21"/>
              </w:rPr>
              <w:t>感染</w:t>
            </w:r>
          </w:p>
        </w:tc>
        <w:tc>
          <w:tcPr>
            <w:tcW w:w="6996" w:type="dxa"/>
          </w:tcPr>
          <w:p>
            <w:pPr>
              <w:pStyle w:val="TableParagraph"/>
              <w:spacing w:line="280" w:lineRule="auto" w:before="61"/>
              <w:ind w:left="108" w:right="114"/>
              <w:rPr>
                <w:sz w:val="21"/>
              </w:rPr>
            </w:pPr>
            <w:r>
              <w:rPr>
                <w:sz w:val="21"/>
              </w:rPr>
              <w:t>被保险人感染上人类免疫缺陷病毒（HIV）并且满足下列全部条件：   (1)在本合同生效日或最后复效日（以较迟者为准）</w:t>
            </w:r>
            <w:r>
              <w:rPr>
                <w:spacing w:val="-11"/>
                <w:sz w:val="21"/>
              </w:rPr>
              <w:t>后因输血而感染 </w:t>
            </w:r>
            <w:r>
              <w:rPr>
                <w:sz w:val="21"/>
              </w:rPr>
              <w:t>HIV；</w:t>
            </w:r>
          </w:p>
          <w:p>
            <w:pPr>
              <w:pStyle w:val="TableParagraph"/>
              <w:spacing w:line="278" w:lineRule="auto" w:before="9"/>
              <w:ind w:left="424" w:right="46" w:hanging="316"/>
              <w:rPr>
                <w:sz w:val="21"/>
              </w:rPr>
            </w:pPr>
            <w:r>
              <w:rPr>
                <w:sz w:val="21"/>
              </w:rPr>
              <w:t>(2)提供输血治疗的输血中心或医院出具该项输血感染属医疗责任事故的报告，或者法院终审裁判为医疗责任；</w:t>
            </w:r>
          </w:p>
          <w:p>
            <w:pPr>
              <w:pStyle w:val="TableParagraph"/>
              <w:spacing w:before="11"/>
              <w:ind w:left="108"/>
              <w:rPr>
                <w:sz w:val="21"/>
              </w:rPr>
            </w:pPr>
            <w:r>
              <w:rPr>
                <w:sz w:val="21"/>
              </w:rPr>
              <w:t>(3)受感染的被保险人不是血友病患者。</w:t>
            </w:r>
          </w:p>
          <w:p>
            <w:pPr>
              <w:pStyle w:val="TableParagraph"/>
              <w:spacing w:line="278" w:lineRule="auto" w:before="45"/>
              <w:ind w:left="108" w:right="49"/>
              <w:rPr>
                <w:sz w:val="21"/>
              </w:rPr>
            </w:pPr>
            <w:r>
              <w:rPr>
                <w:spacing w:val="-4"/>
                <w:sz w:val="21"/>
                <w:shd w:fill="D9D9D9" w:color="auto" w:val="clear"/>
              </w:rPr>
              <w:t>在任何治愈艾滋病</w:t>
            </w:r>
            <w:r>
              <w:rPr>
                <w:spacing w:val="-6"/>
                <w:sz w:val="21"/>
                <w:shd w:fill="D9D9D9" w:color="auto" w:val="clear"/>
              </w:rPr>
              <w:t>（AIDS）</w:t>
            </w:r>
            <w:r>
              <w:rPr>
                <w:spacing w:val="-16"/>
                <w:sz w:val="21"/>
                <w:shd w:fill="D9D9D9" w:color="auto" w:val="clear"/>
              </w:rPr>
              <w:t>或阻止 </w:t>
            </w:r>
            <w:r>
              <w:rPr>
                <w:sz w:val="21"/>
                <w:shd w:fill="D9D9D9" w:color="auto" w:val="clear"/>
              </w:rPr>
              <w:t>HIV</w:t>
            </w:r>
            <w:r>
              <w:rPr>
                <w:spacing w:val="-11"/>
                <w:sz w:val="21"/>
                <w:shd w:fill="D9D9D9" w:color="auto" w:val="clear"/>
              </w:rPr>
              <w:t> 病毒作用的疗法被发现以后，或能防</w:t>
            </w:r>
            <w:r>
              <w:rPr>
                <w:spacing w:val="-39"/>
                <w:sz w:val="21"/>
                <w:shd w:fill="D9D9D9" w:color="auto" w:val="clear"/>
              </w:rPr>
              <w:t>止 </w:t>
            </w:r>
            <w:r>
              <w:rPr>
                <w:sz w:val="21"/>
                <w:shd w:fill="D9D9D9" w:color="auto" w:val="clear"/>
              </w:rPr>
              <w:t>AIDS</w:t>
            </w:r>
            <w:r>
              <w:rPr>
                <w:spacing w:val="-9"/>
                <w:sz w:val="21"/>
                <w:shd w:fill="D9D9D9" w:color="auto" w:val="clear"/>
              </w:rPr>
              <w:t> 发生的医疗方法被研究出来以后，本保障将不再予以赔付。</w:t>
            </w:r>
          </w:p>
          <w:p>
            <w:pPr>
              <w:pStyle w:val="TableParagraph"/>
              <w:spacing w:line="280" w:lineRule="auto" w:before="11"/>
              <w:ind w:left="108" w:right="48"/>
              <w:rPr>
                <w:sz w:val="21"/>
              </w:rPr>
            </w:pPr>
            <w:r>
              <w:rPr>
                <w:sz w:val="21"/>
                <w:shd w:fill="D9D9D9" w:color="auto" w:val="clear"/>
              </w:rPr>
              <w:t>任何因其他传播方式（包括但不限于性传播或静脉注射毒品）导致的 HIV 感染不在保障范围内。</w:t>
            </w:r>
          </w:p>
        </w:tc>
      </w:tr>
      <w:tr>
        <w:trPr>
          <w:trHeight w:val="335" w:hRule="atLeast"/>
        </w:trPr>
        <w:tc>
          <w:tcPr>
            <w:tcW w:w="945" w:type="dxa"/>
          </w:tcPr>
          <w:p>
            <w:pPr>
              <w:pStyle w:val="TableParagraph"/>
              <w:spacing w:line="255" w:lineRule="exact" w:before="61"/>
              <w:ind w:left="50"/>
              <w:rPr>
                <w:rFonts w:ascii="黑体"/>
                <w:sz w:val="21"/>
              </w:rPr>
            </w:pPr>
            <w:r>
              <w:rPr>
                <w:rFonts w:ascii="黑体"/>
                <w:sz w:val="21"/>
              </w:rPr>
              <w:t>10.1.33</w:t>
            </w:r>
          </w:p>
        </w:tc>
        <w:tc>
          <w:tcPr>
            <w:tcW w:w="1555" w:type="dxa"/>
          </w:tcPr>
          <w:p>
            <w:pPr>
              <w:pStyle w:val="TableParagraph"/>
              <w:spacing w:line="255" w:lineRule="exact" w:before="61"/>
              <w:ind w:left="161"/>
              <w:rPr>
                <w:rFonts w:ascii="黑体" w:eastAsia="黑体" w:hint="eastAsia"/>
                <w:sz w:val="21"/>
              </w:rPr>
            </w:pPr>
            <w:r>
              <w:rPr>
                <w:rFonts w:ascii="黑体" w:eastAsia="黑体" w:hint="eastAsia"/>
                <w:sz w:val="21"/>
              </w:rPr>
              <w:t>肌营养不良症</w:t>
            </w:r>
          </w:p>
        </w:tc>
        <w:tc>
          <w:tcPr>
            <w:tcW w:w="6996" w:type="dxa"/>
          </w:tcPr>
          <w:p>
            <w:pPr>
              <w:pStyle w:val="TableParagraph"/>
              <w:spacing w:line="255" w:lineRule="exact" w:before="61"/>
              <w:ind w:left="108"/>
              <w:rPr>
                <w:sz w:val="21"/>
              </w:rPr>
            </w:pPr>
            <w:r>
              <w:rPr>
                <w:spacing w:val="-5"/>
                <w:sz w:val="21"/>
              </w:rPr>
              <w:t>由专科医师确认的诊断为 </w:t>
            </w:r>
            <w:r>
              <w:rPr>
                <w:sz w:val="21"/>
              </w:rPr>
              <w:t>Duchenne，Becker，</w:t>
            </w:r>
            <w:r>
              <w:rPr>
                <w:spacing w:val="-27"/>
                <w:sz w:val="21"/>
              </w:rPr>
              <w:t>或 </w:t>
            </w:r>
            <w:r>
              <w:rPr>
                <w:sz w:val="21"/>
              </w:rPr>
              <w:t>Limb Girdle</w:t>
            </w:r>
            <w:r>
              <w:rPr>
                <w:spacing w:val="-4"/>
                <w:sz w:val="21"/>
              </w:rPr>
              <w:t> 肌营养不良</w:t>
            </w:r>
          </w:p>
        </w:tc>
      </w:tr>
    </w:tbl>
    <w:p>
      <w:pPr>
        <w:spacing w:after="0" w:line="255" w:lineRule="exact"/>
        <w:rPr>
          <w:sz w:val="21"/>
        </w:rPr>
        <w:sectPr>
          <w:type w:val="continuous"/>
          <w:pgSz w:w="11910" w:h="16840"/>
          <w:pgMar w:top="1260" w:bottom="280" w:left="1100" w:right="1100"/>
        </w:sectPr>
      </w:pPr>
    </w:p>
    <w:p>
      <w:pPr>
        <w:pStyle w:val="BodyText"/>
        <w:spacing w:line="278" w:lineRule="auto" w:before="8"/>
        <w:ind w:left="2773" w:right="210"/>
        <w:jc w:val="both"/>
      </w:pPr>
      <w:r>
        <w:rPr>
          <w:spacing w:val="2"/>
        </w:rPr>
        <w:t>症</w:t>
      </w:r>
      <w:r>
        <w:rPr>
          <w:spacing w:val="2"/>
          <w:shd w:fill="D9D9D9" w:color="auto" w:val="clear"/>
        </w:rPr>
        <w:t>（</w:t>
      </w:r>
      <w:r>
        <w:rPr>
          <w:shd w:fill="D9D9D9" w:color="auto" w:val="clear"/>
        </w:rPr>
        <w:t>所有其他类型的肌营养不良症均不在保障范围内</w:t>
      </w:r>
      <w:r>
        <w:rPr>
          <w:spacing w:val="-101"/>
          <w:shd w:fill="D9D9D9" w:color="auto" w:val="clear"/>
        </w:rPr>
        <w:t>）</w:t>
      </w:r>
      <w:r>
        <w:rPr>
          <w:spacing w:val="2"/>
          <w:shd w:fill="D9D9D9" w:color="auto" w:val="clear"/>
        </w:rPr>
        <w:t>，</w:t>
      </w:r>
      <w:r>
        <w:rPr>
          <w:spacing w:val="1"/>
        </w:rPr>
        <w:t>已进行了至少 </w:t>
      </w:r>
      <w:r>
        <w:rPr/>
        <w:t>90</w:t>
      </w:r>
      <w:r>
        <w:rPr>
          <w:spacing w:val="-4"/>
        </w:rPr>
        <w:t>天的治疗，并提供肌肉活检和血 </w:t>
      </w:r>
      <w:r>
        <w:rPr/>
        <w:t>CPK</w:t>
      </w:r>
      <w:r>
        <w:rPr>
          <w:spacing w:val="-10"/>
        </w:rPr>
        <w:t> 检测证实。</w:t>
      </w:r>
    </w:p>
    <w:p>
      <w:pPr>
        <w:pStyle w:val="BodyText"/>
        <w:spacing w:line="278" w:lineRule="auto" w:before="11"/>
        <w:ind w:left="2773" w:right="212"/>
        <w:jc w:val="both"/>
      </w:pPr>
      <w:r>
        <w:rPr>
          <w:spacing w:val="-5"/>
        </w:rPr>
        <w:t>该疾病须导致被保险人自主生活能力完全丧失，无法独立完成六项基本日常</w:t>
      </w:r>
      <w:r>
        <w:rPr>
          <w:spacing w:val="-10"/>
        </w:rPr>
        <w:t>生活活动中的三项或三项以上，或者导致被保险人永久性的卧床，没有外部帮助无法起床。</w:t>
      </w:r>
    </w:p>
    <w:p>
      <w:pPr>
        <w:pStyle w:val="BodyText"/>
        <w:spacing w:before="0"/>
        <w:rPr>
          <w:sz w:val="9"/>
        </w:rPr>
      </w:pPr>
    </w:p>
    <w:p>
      <w:pPr>
        <w:spacing w:after="0"/>
        <w:rPr>
          <w:sz w:val="9"/>
        </w:rPr>
        <w:sectPr>
          <w:pgSz w:w="11910" w:h="16840"/>
          <w:pgMar w:top="1420" w:bottom="280" w:left="1040" w:right="1040"/>
        </w:sectPr>
      </w:pPr>
    </w:p>
    <w:p>
      <w:pPr>
        <w:pStyle w:val="ListParagraph"/>
        <w:numPr>
          <w:ilvl w:val="2"/>
          <w:numId w:val="9"/>
        </w:numPr>
        <w:tabs>
          <w:tab w:pos="1271" w:val="left" w:leader="none"/>
          <w:tab w:pos="1272" w:val="left" w:leader="none"/>
        </w:tabs>
        <w:spacing w:line="280" w:lineRule="auto" w:before="35" w:after="0"/>
        <w:ind w:left="1271" w:right="0" w:hanging="1056"/>
        <w:jc w:val="left"/>
        <w:rPr>
          <w:rFonts w:ascii="黑体" w:eastAsia="黑体" w:hint="eastAsia"/>
          <w:sz w:val="21"/>
        </w:rPr>
      </w:pPr>
      <w:r>
        <w:rPr>
          <w:rFonts w:ascii="黑体" w:eastAsia="黑体" w:hint="eastAsia"/>
          <w:spacing w:val="-1"/>
          <w:sz w:val="21"/>
        </w:rPr>
        <w:t>严重多发性硬化</w:t>
      </w:r>
    </w:p>
    <w:p>
      <w:pPr>
        <w:pStyle w:val="BodyText"/>
        <w:spacing w:line="278" w:lineRule="auto"/>
        <w:ind w:left="202" w:right="210"/>
        <w:jc w:val="both"/>
      </w:pPr>
      <w:r>
        <w:rPr/>
        <w:br w:type="column"/>
      </w:r>
      <w:r>
        <w:rPr>
          <w:spacing w:val="-5"/>
        </w:rPr>
        <w:t>多发性硬化为中枢神经系统白质多灶性脱髓鞘病变，病变有时累及灰质。多发性硬化必须明确诊断并由核磁共振（MRI）等影像学检验证实，而且已经</w:t>
      </w:r>
      <w:r>
        <w:rPr>
          <w:spacing w:val="-14"/>
        </w:rPr>
        <w:t>造成永久的神经系统功能损害，导致被保险人持续 </w:t>
      </w:r>
      <w:r>
        <w:rPr/>
        <w:t>180</w:t>
      </w:r>
      <w:r>
        <w:rPr>
          <w:spacing w:val="-8"/>
        </w:rPr>
        <w:t> 天无法独立完成下列基本日常生活活动之一：</w:t>
      </w:r>
    </w:p>
    <w:p>
      <w:pPr>
        <w:pStyle w:val="BodyText"/>
        <w:spacing w:line="280" w:lineRule="auto" w:before="11"/>
        <w:ind w:left="202" w:right="1904"/>
      </w:pPr>
      <w:r>
        <w:rPr/>
        <w:t>(1)移动：自己从一个房间到另一个房间；          </w:t>
      </w:r>
      <w:r>
        <w:rPr>
          <w:spacing w:val="-1"/>
        </w:rPr>
        <w:t>(2)进食：自己从已准备好的碗或碟中取食物放入口中。</w:t>
      </w:r>
    </w:p>
    <w:p>
      <w:pPr>
        <w:spacing w:after="0" w:line="280" w:lineRule="auto"/>
        <w:sectPr>
          <w:type w:val="continuous"/>
          <w:pgSz w:w="11910" w:h="16840"/>
          <w:pgMar w:top="1260" w:bottom="280" w:left="1040" w:right="1040"/>
          <w:cols w:num="2" w:equalWidth="0">
            <w:col w:w="2531" w:space="40"/>
            <w:col w:w="7259"/>
          </w:cols>
        </w:sectPr>
      </w:pPr>
    </w:p>
    <w:p>
      <w:pPr>
        <w:pStyle w:val="BodyText"/>
        <w:spacing w:before="11"/>
        <w:rPr>
          <w:sz w:val="8"/>
        </w:rPr>
      </w:pPr>
    </w:p>
    <w:p>
      <w:pPr>
        <w:pStyle w:val="ListParagraph"/>
        <w:numPr>
          <w:ilvl w:val="2"/>
          <w:numId w:val="9"/>
        </w:numPr>
        <w:tabs>
          <w:tab w:pos="1272" w:val="left" w:leader="none"/>
        </w:tabs>
        <w:spacing w:line="278" w:lineRule="auto" w:before="35" w:after="0"/>
        <w:ind w:left="2773" w:right="212" w:hanging="2558"/>
        <w:jc w:val="both"/>
        <w:rPr>
          <w:sz w:val="21"/>
        </w:rPr>
      </w:pPr>
      <w:r>
        <w:rPr>
          <w:rFonts w:ascii="黑体" w:eastAsia="黑体" w:hint="eastAsia"/>
          <w:spacing w:val="2"/>
          <w:sz w:val="21"/>
        </w:rPr>
        <w:t>严重克隆病   </w:t>
      </w:r>
      <w:r>
        <w:rPr>
          <w:spacing w:val="-6"/>
          <w:sz w:val="21"/>
        </w:rPr>
        <w:t>克隆病是一种慢性肉芽肿性肠炎，具有特征性的克隆病病理组织学变化。诊</w:t>
      </w:r>
      <w:r>
        <w:rPr>
          <w:spacing w:val="-13"/>
          <w:sz w:val="21"/>
        </w:rPr>
        <w:t>断必须由病理检查结果证实。被保险人所患的克隆病必须已经造成瘘管形成并伴有肠梗阻或肠穿孔。</w:t>
      </w:r>
    </w:p>
    <w:p>
      <w:pPr>
        <w:pStyle w:val="BodyText"/>
        <w:spacing w:before="0"/>
        <w:rPr>
          <w:sz w:val="9"/>
        </w:rPr>
      </w:pPr>
    </w:p>
    <w:p>
      <w:pPr>
        <w:spacing w:after="0"/>
        <w:rPr>
          <w:sz w:val="9"/>
        </w:rPr>
        <w:sectPr>
          <w:type w:val="continuous"/>
          <w:pgSz w:w="11910" w:h="16840"/>
          <w:pgMar w:top="1260" w:bottom="280" w:left="1040" w:right="1040"/>
        </w:sectPr>
      </w:pPr>
    </w:p>
    <w:p>
      <w:pPr>
        <w:pStyle w:val="ListParagraph"/>
        <w:numPr>
          <w:ilvl w:val="2"/>
          <w:numId w:val="9"/>
        </w:numPr>
        <w:tabs>
          <w:tab w:pos="1271" w:val="left" w:leader="none"/>
          <w:tab w:pos="1272" w:val="left" w:leader="none"/>
        </w:tabs>
        <w:spacing w:line="240" w:lineRule="auto" w:before="35" w:after="0"/>
        <w:ind w:left="1271" w:right="0" w:hanging="1056"/>
        <w:jc w:val="left"/>
        <w:rPr>
          <w:rFonts w:ascii="黑体" w:eastAsia="黑体" w:hint="eastAsia"/>
          <w:sz w:val="21"/>
        </w:rPr>
      </w:pPr>
      <w:r>
        <w:rPr>
          <w:rFonts w:ascii="黑体" w:eastAsia="黑体" w:hint="eastAsia"/>
          <w:spacing w:val="-1"/>
          <w:sz w:val="21"/>
        </w:rPr>
        <w:t>意外导致的面</w:t>
      </w:r>
    </w:p>
    <w:p>
      <w:pPr>
        <w:pStyle w:val="BodyText"/>
        <w:spacing w:before="45"/>
        <w:ind w:left="1271"/>
        <w:rPr>
          <w:rFonts w:ascii="黑体" w:eastAsia="黑体" w:hint="eastAsia"/>
        </w:rPr>
      </w:pPr>
      <w:r>
        <w:rPr>
          <w:rFonts w:ascii="黑体" w:eastAsia="黑体" w:hint="eastAsia"/>
        </w:rPr>
        <w:t>部整形手术</w:t>
      </w:r>
    </w:p>
    <w:p>
      <w:pPr>
        <w:pStyle w:val="BodyText"/>
        <w:spacing w:line="278" w:lineRule="auto"/>
        <w:ind w:left="202" w:right="210"/>
        <w:jc w:val="both"/>
      </w:pPr>
      <w:r>
        <w:rPr/>
        <w:br w:type="column"/>
      </w:r>
      <w:r>
        <w:rPr>
          <w:spacing w:val="-1"/>
        </w:rPr>
        <w:t>是指被保险人因意外事故导致面部皮肤 </w:t>
      </w:r>
      <w:r>
        <w:rPr/>
        <w:t>III</w:t>
      </w:r>
      <w:r>
        <w:rPr>
          <w:spacing w:val="-2"/>
        </w:rPr>
        <w:t> 度烧伤或者面部皮肤组织缺失</w:t>
      </w:r>
      <w:r>
        <w:rPr>
          <w:spacing w:val="-5"/>
        </w:rPr>
        <w:t>累及真皮层，造成面容毁损，且损伤皮肤面积超过 </w:t>
      </w:r>
      <w:r>
        <w:rPr/>
        <w:t>10</w:t>
      </w:r>
      <w:r>
        <w:rPr>
          <w:spacing w:val="-8"/>
        </w:rPr>
        <w:t> 平方厘米，在全身麻醉情况下实际接受了由整形外科专科医生进行的面部整形手术。</w:t>
      </w:r>
    </w:p>
    <w:p>
      <w:pPr>
        <w:spacing w:after="0" w:line="278" w:lineRule="auto"/>
        <w:jc w:val="both"/>
        <w:sectPr>
          <w:type w:val="continuous"/>
          <w:pgSz w:w="11910" w:h="16840"/>
          <w:pgMar w:top="1260" w:bottom="280" w:left="1040" w:right="1040"/>
          <w:cols w:num="2" w:equalWidth="0">
            <w:col w:w="2531" w:space="40"/>
            <w:col w:w="7259"/>
          </w:cols>
        </w:sectPr>
      </w:pPr>
    </w:p>
    <w:p>
      <w:pPr>
        <w:pStyle w:val="BodyText"/>
        <w:spacing w:before="0"/>
        <w:rPr>
          <w:sz w:val="9"/>
        </w:rPr>
      </w:pPr>
    </w:p>
    <w:p>
      <w:pPr>
        <w:spacing w:after="0"/>
        <w:rPr>
          <w:sz w:val="9"/>
        </w:rPr>
        <w:sectPr>
          <w:type w:val="continuous"/>
          <w:pgSz w:w="11910" w:h="16840"/>
          <w:pgMar w:top="1260" w:bottom="280" w:left="1040" w:right="1040"/>
        </w:sectPr>
      </w:pPr>
    </w:p>
    <w:p>
      <w:pPr>
        <w:pStyle w:val="ListParagraph"/>
        <w:numPr>
          <w:ilvl w:val="1"/>
          <w:numId w:val="9"/>
        </w:numPr>
        <w:tabs>
          <w:tab w:pos="1271" w:val="left" w:leader="none"/>
          <w:tab w:pos="1272" w:val="left" w:leader="none"/>
        </w:tabs>
        <w:spacing w:line="280" w:lineRule="auto" w:before="35" w:after="0"/>
        <w:ind w:left="1271" w:right="0" w:hanging="1056"/>
        <w:jc w:val="left"/>
        <w:rPr>
          <w:rFonts w:ascii="黑体" w:eastAsia="黑体" w:hint="eastAsia"/>
          <w:sz w:val="21"/>
        </w:rPr>
      </w:pPr>
      <w:r>
        <w:rPr>
          <w:rFonts w:ascii="黑体" w:eastAsia="黑体" w:hint="eastAsia"/>
          <w:sz w:val="21"/>
        </w:rPr>
        <w:t>定义来源及确诊医院范围</w:t>
      </w:r>
    </w:p>
    <w:p>
      <w:pPr>
        <w:pStyle w:val="BodyText"/>
        <w:spacing w:line="280" w:lineRule="auto"/>
        <w:ind w:left="202" w:right="106"/>
      </w:pPr>
      <w:r>
        <w:rPr/>
        <w:br w:type="column"/>
      </w:r>
      <w:r>
        <w:rPr>
          <w:spacing w:val="-12"/>
        </w:rPr>
        <w:t>以上</w:t>
      </w:r>
      <w:r>
        <w:rPr/>
        <w:t>“10.1.1</w:t>
      </w:r>
      <w:r>
        <w:rPr>
          <w:spacing w:val="-14"/>
        </w:rPr>
        <w:t> 恶性肿瘤”至“</w:t>
      </w:r>
      <w:r>
        <w:rPr/>
        <w:t>10.1.25</w:t>
      </w:r>
      <w:r>
        <w:rPr>
          <w:spacing w:val="-9"/>
        </w:rPr>
        <w:t> 主动脉手术”所列重大疾病定义根据</w:t>
      </w:r>
      <w:r>
        <w:rPr>
          <w:spacing w:val="-15"/>
        </w:rPr>
        <w:t>中国保险行业协会 </w:t>
      </w:r>
      <w:r>
        <w:rPr/>
        <w:t>2007</w:t>
      </w:r>
      <w:r>
        <w:rPr>
          <w:spacing w:val="-8"/>
        </w:rPr>
        <w:t> 年公布的《重大疾病保险的疾病定义使用规范》作出，其他重大疾病由我们增加，其定义由我们根据通行的医学标准制定。</w:t>
      </w:r>
      <w:r>
        <w:rPr>
          <w:spacing w:val="-8"/>
          <w:shd w:fill="D9D9D9" w:color="auto" w:val="clear"/>
        </w:rPr>
        <w:t> </w:t>
      </w:r>
      <w:r>
        <w:rPr>
          <w:spacing w:val="-16"/>
          <w:shd w:fill="D9D9D9" w:color="auto" w:val="clear"/>
        </w:rPr>
        <w:t>以上重大疾病，除原发性心肌病须在卫生行政部门认定的三级以上</w:t>
      </w:r>
      <w:r>
        <w:rPr>
          <w:shd w:fill="D9D9D9" w:color="auto" w:val="clear"/>
        </w:rPr>
        <w:t>（含三级）</w:t>
      </w:r>
      <w:r>
        <w:rPr>
          <w:spacing w:val="-210"/>
          <w:shd w:fill="D9D9D9" w:color="auto" w:val="clear"/>
        </w:rPr>
        <w:t>医</w:t>
      </w:r>
      <w:r>
        <w:rPr>
          <w:spacing w:val="-7"/>
          <w:shd w:fill="D9D9D9" w:color="auto" w:val="clear"/>
        </w:rPr>
        <w:t>院确诊外，</w:t>
      </w:r>
      <w:r>
        <w:rPr>
          <w:spacing w:val="-2"/>
        </w:rPr>
        <w:t>其他疾病均须在卫生行政部门认定的二级以上</w:t>
      </w:r>
      <w:r>
        <w:rPr/>
        <w:t>（含二级</w:t>
      </w:r>
      <w:r>
        <w:rPr>
          <w:spacing w:val="-32"/>
        </w:rPr>
        <w:t>）</w:t>
      </w:r>
      <w:r>
        <w:rPr/>
        <w:t>医院确诊。</w:t>
      </w:r>
    </w:p>
    <w:p>
      <w:pPr>
        <w:spacing w:after="0" w:line="280" w:lineRule="auto"/>
        <w:sectPr>
          <w:type w:val="continuous"/>
          <w:pgSz w:w="11910" w:h="16840"/>
          <w:pgMar w:top="1260" w:bottom="280" w:left="1040" w:right="1040"/>
          <w:cols w:num="2" w:equalWidth="0">
            <w:col w:w="2532" w:space="40"/>
            <w:col w:w="7258"/>
          </w:cols>
        </w:sectPr>
      </w:pPr>
    </w:p>
    <w:p>
      <w:pPr>
        <w:pStyle w:val="BodyText"/>
        <w:spacing w:before="7"/>
      </w:pPr>
    </w:p>
    <w:p>
      <w:pPr>
        <w:pStyle w:val="BodyText"/>
        <w:spacing w:before="0"/>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11．</w:t>
                    <w:tab/>
                    <w:t>释义</w:t>
                  </w:r>
                </w:p>
              </w:txbxContent>
            </v:textbox>
            <v:fill type="solid"/>
          </v:shape>
        </w:pict>
      </w:r>
      <w:r>
        <w:rPr>
          <w:sz w:val="20"/>
        </w:rPr>
      </w:r>
    </w:p>
    <w:p>
      <w:pPr>
        <w:pStyle w:val="BodyText"/>
        <w:spacing w:before="7"/>
        <w:rPr>
          <w:sz w:val="7"/>
        </w:rPr>
      </w:pPr>
    </w:p>
    <w:p>
      <w:pPr>
        <w:pStyle w:val="ListParagraph"/>
        <w:numPr>
          <w:ilvl w:val="1"/>
          <w:numId w:val="10"/>
        </w:numPr>
        <w:tabs>
          <w:tab w:pos="1271" w:val="left" w:leader="none"/>
          <w:tab w:pos="1272" w:val="left" w:leader="none"/>
          <w:tab w:pos="2773" w:val="left" w:leader="none"/>
        </w:tabs>
        <w:spacing w:line="280" w:lineRule="auto" w:before="35" w:after="0"/>
        <w:ind w:left="2773" w:right="206" w:hanging="2558"/>
        <w:jc w:val="left"/>
        <w:rPr>
          <w:sz w:val="21"/>
        </w:rPr>
      </w:pPr>
      <w:r>
        <w:rPr>
          <w:rFonts w:ascii="黑体" w:eastAsia="黑体" w:hint="eastAsia"/>
          <w:sz w:val="21"/>
        </w:rPr>
        <w:t>保单年度</w:t>
        <w:tab/>
      </w:r>
      <w:r>
        <w:rPr>
          <w:sz w:val="21"/>
        </w:rPr>
        <w:t>从本</w:t>
      </w:r>
      <w:r>
        <w:rPr>
          <w:spacing w:val="2"/>
          <w:sz w:val="21"/>
        </w:rPr>
        <w:t>合</w:t>
      </w:r>
      <w:r>
        <w:rPr>
          <w:sz w:val="21"/>
        </w:rPr>
        <w:t>同生效日</w:t>
      </w:r>
      <w:r>
        <w:rPr>
          <w:spacing w:val="2"/>
          <w:sz w:val="21"/>
        </w:rPr>
        <w:t>或</w:t>
      </w:r>
      <w:r>
        <w:rPr>
          <w:sz w:val="21"/>
        </w:rPr>
        <w:t>合同生效</w:t>
      </w:r>
      <w:r>
        <w:rPr>
          <w:spacing w:val="2"/>
          <w:sz w:val="21"/>
        </w:rPr>
        <w:t>日</w:t>
      </w:r>
      <w:r>
        <w:rPr>
          <w:sz w:val="21"/>
        </w:rPr>
        <w:t>对应日的</w:t>
      </w:r>
      <w:r>
        <w:rPr>
          <w:spacing w:val="2"/>
          <w:sz w:val="21"/>
        </w:rPr>
        <w:t>零</w:t>
      </w:r>
      <w:r>
        <w:rPr>
          <w:sz w:val="21"/>
        </w:rPr>
        <w:t>时起至下</w:t>
      </w:r>
      <w:r>
        <w:rPr>
          <w:spacing w:val="2"/>
          <w:sz w:val="21"/>
        </w:rPr>
        <w:t>一</w:t>
      </w:r>
      <w:r>
        <w:rPr>
          <w:sz w:val="21"/>
        </w:rPr>
        <w:t>个合同生</w:t>
      </w:r>
      <w:r>
        <w:rPr>
          <w:spacing w:val="2"/>
          <w:sz w:val="21"/>
        </w:rPr>
        <w:t>效</w:t>
      </w:r>
      <w:r>
        <w:rPr>
          <w:sz w:val="21"/>
        </w:rPr>
        <w:t>日对应日 前一日的</w:t>
      </w:r>
      <w:r>
        <w:rPr>
          <w:spacing w:val="-60"/>
          <w:sz w:val="21"/>
        </w:rPr>
        <w:t> </w:t>
      </w:r>
      <w:r>
        <w:rPr>
          <w:sz w:val="21"/>
        </w:rPr>
        <w:t>24</w:t>
      </w:r>
      <w:r>
        <w:rPr>
          <w:spacing w:val="-60"/>
          <w:sz w:val="21"/>
        </w:rPr>
        <w:t> </w:t>
      </w:r>
      <w:r>
        <w:rPr>
          <w:sz w:val="21"/>
        </w:rPr>
        <w:t>时止为一个保单年度。</w:t>
      </w:r>
    </w:p>
    <w:p>
      <w:pPr>
        <w:pStyle w:val="BodyText"/>
        <w:spacing w:before="11"/>
        <w:rPr>
          <w:sz w:val="8"/>
        </w:rPr>
      </w:pPr>
    </w:p>
    <w:p>
      <w:pPr>
        <w:spacing w:after="0"/>
        <w:rPr>
          <w:sz w:val="8"/>
        </w:rPr>
        <w:sectPr>
          <w:type w:val="continuous"/>
          <w:pgSz w:w="11910" w:h="16840"/>
          <w:pgMar w:top="1260" w:bottom="280" w:left="1040" w:right="1040"/>
        </w:sectPr>
      </w:pPr>
    </w:p>
    <w:p>
      <w:pPr>
        <w:pStyle w:val="ListParagraph"/>
        <w:numPr>
          <w:ilvl w:val="1"/>
          <w:numId w:val="10"/>
        </w:numPr>
        <w:tabs>
          <w:tab w:pos="1271" w:val="left" w:leader="none"/>
          <w:tab w:pos="1272" w:val="left" w:leader="none"/>
        </w:tabs>
        <w:spacing w:line="280" w:lineRule="auto" w:before="35" w:after="0"/>
        <w:ind w:left="1271" w:right="0" w:hanging="1056"/>
        <w:jc w:val="left"/>
        <w:rPr>
          <w:rFonts w:ascii="黑体" w:eastAsia="黑体" w:hint="eastAsia"/>
          <w:sz w:val="21"/>
        </w:rPr>
      </w:pPr>
      <w:r>
        <w:rPr>
          <w:rFonts w:ascii="黑体" w:eastAsia="黑体" w:hint="eastAsia"/>
          <w:sz w:val="21"/>
        </w:rPr>
        <w:t>合同Th效日对应日</w:t>
      </w:r>
    </w:p>
    <w:p>
      <w:pPr>
        <w:pStyle w:val="BodyText"/>
        <w:spacing w:line="280" w:lineRule="auto"/>
        <w:ind w:left="202" w:right="212"/>
      </w:pPr>
      <w:r>
        <w:rPr/>
        <w:br w:type="column"/>
      </w:r>
      <w:r>
        <w:rPr>
          <w:spacing w:val="-5"/>
        </w:rPr>
        <w:t>指本合同生效日在合同生效后每年的对应日，不含合同生效日当日。如果当月没有对应的同一日，则以该月最后一日为对应日。</w:t>
      </w:r>
    </w:p>
    <w:p>
      <w:pPr>
        <w:spacing w:after="0" w:line="280" w:lineRule="auto"/>
        <w:sectPr>
          <w:type w:val="continuous"/>
          <w:pgSz w:w="11910" w:h="16840"/>
          <w:pgMar w:top="1260" w:bottom="280" w:left="1040" w:right="1040"/>
          <w:cols w:num="2" w:equalWidth="0">
            <w:col w:w="2532" w:space="40"/>
            <w:col w:w="7258"/>
          </w:cols>
        </w:sectPr>
      </w:pPr>
    </w:p>
    <w:p>
      <w:pPr>
        <w:pStyle w:val="BodyText"/>
        <w:spacing w:before="11"/>
        <w:rPr>
          <w:sz w:val="8"/>
        </w:rPr>
      </w:pPr>
    </w:p>
    <w:p>
      <w:pPr>
        <w:spacing w:after="0"/>
        <w:rPr>
          <w:sz w:val="8"/>
        </w:rPr>
        <w:sectPr>
          <w:type w:val="continuous"/>
          <w:pgSz w:w="11910" w:h="16840"/>
          <w:pgMar w:top="1260" w:bottom="280" w:left="1040" w:right="1040"/>
        </w:sectPr>
      </w:pPr>
    </w:p>
    <w:p>
      <w:pPr>
        <w:pStyle w:val="ListParagraph"/>
        <w:numPr>
          <w:ilvl w:val="1"/>
          <w:numId w:val="10"/>
        </w:numPr>
        <w:tabs>
          <w:tab w:pos="1271" w:val="left" w:leader="none"/>
          <w:tab w:pos="1272" w:val="left" w:leader="none"/>
        </w:tabs>
        <w:spacing w:line="278" w:lineRule="auto" w:before="35" w:after="0"/>
        <w:ind w:left="1271" w:right="0" w:hanging="1056"/>
        <w:jc w:val="left"/>
        <w:rPr>
          <w:rFonts w:ascii="黑体" w:eastAsia="黑体" w:hint="eastAsia"/>
          <w:sz w:val="21"/>
        </w:rPr>
      </w:pPr>
      <w:r>
        <w:rPr>
          <w:rFonts w:ascii="黑体" w:eastAsia="黑体" w:hint="eastAsia"/>
          <w:sz w:val="21"/>
        </w:rPr>
        <w:t>保险费约定支付日</w:t>
      </w:r>
    </w:p>
    <w:p>
      <w:pPr>
        <w:pStyle w:val="BodyText"/>
        <w:spacing w:line="278" w:lineRule="auto"/>
        <w:ind w:left="202" w:right="118"/>
      </w:pPr>
      <w:r>
        <w:rPr/>
        <w:br w:type="column"/>
      </w:r>
      <w:r>
        <w:rPr/>
        <w:t>保险费约定支付日在限期年交、限期月交方式下分别为合同生效日在每年、</w:t>
      </w:r>
      <w:r>
        <w:rPr>
          <w:spacing w:val="-7"/>
        </w:rPr>
        <w:t>每月的对应日的前一日。如果当月没有对应的同一日，则以该月最后一日为对应日。</w:t>
      </w:r>
    </w:p>
    <w:p>
      <w:pPr>
        <w:spacing w:after="0" w:line="278" w:lineRule="auto"/>
        <w:sectPr>
          <w:type w:val="continuous"/>
          <w:pgSz w:w="11910" w:h="16840"/>
          <w:pgMar w:top="1260" w:bottom="280" w:left="1040" w:right="1040"/>
          <w:cols w:num="2" w:equalWidth="0">
            <w:col w:w="2532" w:space="40"/>
            <w:col w:w="7258"/>
          </w:cols>
        </w:sectPr>
      </w:pPr>
    </w:p>
    <w:p>
      <w:pPr>
        <w:pStyle w:val="BodyText"/>
        <w:spacing w:before="0"/>
        <w:rPr>
          <w:sz w:val="9"/>
        </w:rPr>
      </w:pPr>
    </w:p>
    <w:p>
      <w:pPr>
        <w:pStyle w:val="ListParagraph"/>
        <w:numPr>
          <w:ilvl w:val="1"/>
          <w:numId w:val="10"/>
        </w:numPr>
        <w:tabs>
          <w:tab w:pos="1270" w:val="left" w:leader="none"/>
          <w:tab w:pos="1271" w:val="left" w:leader="none"/>
          <w:tab w:pos="2773" w:val="left" w:leader="none"/>
        </w:tabs>
        <w:spacing w:line="280" w:lineRule="auto" w:before="35" w:after="0"/>
        <w:ind w:left="2773" w:right="118" w:hanging="2558"/>
        <w:jc w:val="left"/>
        <w:rPr>
          <w:sz w:val="21"/>
        </w:rPr>
      </w:pPr>
      <w:r>
        <w:rPr>
          <w:rFonts w:ascii="黑体" w:eastAsia="黑体" w:hint="eastAsia"/>
          <w:sz w:val="21"/>
        </w:rPr>
        <w:t>周岁</w:t>
        <w:tab/>
      </w:r>
      <w:r>
        <w:rPr>
          <w:sz w:val="21"/>
        </w:rPr>
        <w:t>指按有效身份证件中记载的出生日期计算的年龄，自出生之日起为零周岁，每经过一年增加一岁，不足一年的不计。</w:t>
      </w:r>
    </w:p>
    <w:p>
      <w:pPr>
        <w:pStyle w:val="ListParagraph"/>
        <w:numPr>
          <w:ilvl w:val="1"/>
          <w:numId w:val="10"/>
        </w:numPr>
        <w:tabs>
          <w:tab w:pos="1271" w:val="left" w:leader="none"/>
          <w:tab w:pos="1272" w:val="left" w:leader="none"/>
          <w:tab w:pos="2773" w:val="left" w:leader="none"/>
        </w:tabs>
        <w:spacing w:line="278" w:lineRule="auto" w:before="151" w:after="0"/>
        <w:ind w:left="2773" w:right="212" w:hanging="2558"/>
        <w:jc w:val="left"/>
        <w:rPr>
          <w:sz w:val="21"/>
        </w:rPr>
      </w:pPr>
      <w:r>
        <w:rPr>
          <w:rFonts w:ascii="黑体" w:eastAsia="黑体" w:hint="eastAsia"/>
          <w:sz w:val="21"/>
        </w:rPr>
        <w:t>有效身份证件</w:t>
        <w:tab/>
      </w:r>
      <w:r>
        <w:rPr>
          <w:sz w:val="21"/>
        </w:rPr>
        <w:t>指由政府主管部门规定的证明其身份的证件</w:t>
      </w:r>
      <w:r>
        <w:rPr>
          <w:spacing w:val="-32"/>
          <w:sz w:val="21"/>
        </w:rPr>
        <w:t>，</w:t>
      </w:r>
      <w:r>
        <w:rPr>
          <w:sz w:val="21"/>
        </w:rPr>
        <w:t>如</w:t>
      </w:r>
      <w:r>
        <w:rPr>
          <w:spacing w:val="-32"/>
          <w:sz w:val="21"/>
        </w:rPr>
        <w:t>：</w:t>
      </w:r>
      <w:r>
        <w:rPr>
          <w:sz w:val="21"/>
        </w:rPr>
        <w:t>居民身份证</w:t>
      </w:r>
      <w:r>
        <w:rPr>
          <w:spacing w:val="-32"/>
          <w:sz w:val="21"/>
        </w:rPr>
        <w:t>、</w:t>
      </w:r>
      <w:r>
        <w:rPr>
          <w:sz w:val="21"/>
        </w:rPr>
        <w:t>按规定可使用的有效护照、军官证、警官证、士兵证、户口簿等证件。</w:t>
      </w:r>
    </w:p>
    <w:p>
      <w:pPr>
        <w:pStyle w:val="ListParagraph"/>
        <w:numPr>
          <w:ilvl w:val="1"/>
          <w:numId w:val="10"/>
        </w:numPr>
        <w:tabs>
          <w:tab w:pos="1271" w:val="left" w:leader="none"/>
          <w:tab w:pos="1272" w:val="left" w:leader="none"/>
          <w:tab w:pos="2773" w:val="left" w:leader="none"/>
        </w:tabs>
        <w:spacing w:line="280" w:lineRule="auto" w:before="153" w:after="0"/>
        <w:ind w:left="2773" w:right="212" w:hanging="2558"/>
        <w:jc w:val="left"/>
        <w:rPr>
          <w:sz w:val="21"/>
        </w:rPr>
      </w:pPr>
      <w:r>
        <w:rPr>
          <w:rFonts w:ascii="黑体" w:eastAsia="黑体" w:hint="eastAsia"/>
          <w:sz w:val="21"/>
        </w:rPr>
        <w:t>意外伤害</w:t>
        <w:tab/>
      </w:r>
      <w:r>
        <w:rPr>
          <w:sz w:val="21"/>
        </w:rPr>
        <w:t>指遭受外来的</w:t>
      </w:r>
      <w:r>
        <w:rPr>
          <w:spacing w:val="-32"/>
          <w:sz w:val="21"/>
        </w:rPr>
        <w:t>、</w:t>
      </w:r>
      <w:r>
        <w:rPr>
          <w:sz w:val="21"/>
        </w:rPr>
        <w:t>突发的</w:t>
      </w:r>
      <w:r>
        <w:rPr>
          <w:spacing w:val="-32"/>
          <w:sz w:val="21"/>
        </w:rPr>
        <w:t>、</w:t>
      </w:r>
      <w:r>
        <w:rPr>
          <w:sz w:val="21"/>
        </w:rPr>
        <w:t>非本意的</w:t>
      </w:r>
      <w:r>
        <w:rPr>
          <w:spacing w:val="-32"/>
          <w:sz w:val="21"/>
        </w:rPr>
        <w:t>、</w:t>
      </w:r>
      <w:r>
        <w:rPr>
          <w:sz w:val="21"/>
        </w:rPr>
        <w:t>非疾病的客观事件直接致使身体受到的伤害。</w:t>
      </w:r>
    </w:p>
    <w:p>
      <w:pPr>
        <w:spacing w:after="0" w:line="280" w:lineRule="auto"/>
        <w:jc w:val="left"/>
        <w:rPr>
          <w:sz w:val="21"/>
        </w:rPr>
        <w:sectPr>
          <w:type w:val="continuous"/>
          <w:pgSz w:w="11910" w:h="16840"/>
          <w:pgMar w:top="1260" w:bottom="280" w:left="1040" w:right="10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47"/>
        <w:gridCol w:w="7128"/>
      </w:tblGrid>
      <w:tr>
        <w:trPr>
          <w:trHeight w:val="1295" w:hRule="atLeast"/>
        </w:trPr>
        <w:tc>
          <w:tcPr>
            <w:tcW w:w="840" w:type="dxa"/>
          </w:tcPr>
          <w:p>
            <w:pPr>
              <w:pStyle w:val="TableParagraph"/>
              <w:spacing w:line="204" w:lineRule="exact" w:before="0"/>
              <w:ind w:left="50"/>
              <w:rPr>
                <w:rFonts w:ascii="黑体"/>
                <w:sz w:val="21"/>
              </w:rPr>
            </w:pPr>
            <w:r>
              <w:rPr>
                <w:rFonts w:ascii="黑体"/>
                <w:sz w:val="21"/>
              </w:rPr>
              <w:t>11.7</w:t>
            </w:r>
          </w:p>
        </w:tc>
        <w:tc>
          <w:tcPr>
            <w:tcW w:w="1647" w:type="dxa"/>
          </w:tcPr>
          <w:p>
            <w:pPr>
              <w:pStyle w:val="TableParagraph"/>
              <w:spacing w:line="204" w:lineRule="exact" w:before="0"/>
              <w:ind w:left="265"/>
              <w:rPr>
                <w:rFonts w:ascii="黑体" w:eastAsia="黑体" w:hint="eastAsia"/>
                <w:sz w:val="21"/>
              </w:rPr>
            </w:pPr>
            <w:r>
              <w:rPr>
                <w:rFonts w:ascii="黑体" w:eastAsia="黑体" w:hint="eastAsia"/>
                <w:sz w:val="21"/>
              </w:rPr>
              <w:t>毒品</w:t>
            </w:r>
          </w:p>
        </w:tc>
        <w:tc>
          <w:tcPr>
            <w:tcW w:w="7128" w:type="dxa"/>
          </w:tcPr>
          <w:p>
            <w:pPr>
              <w:pStyle w:val="TableParagraph"/>
              <w:spacing w:line="204" w:lineRule="exact" w:before="0"/>
              <w:rPr>
                <w:sz w:val="21"/>
              </w:rPr>
            </w:pPr>
            <w:r>
              <w:rPr>
                <w:sz w:val="21"/>
              </w:rPr>
              <w:t>指中华人民共和国刑法规定的鸦片、海洛因、甲基苯丙胺（冰毒</w:t>
            </w:r>
            <w:r>
              <w:rPr>
                <w:spacing w:val="-105"/>
                <w:sz w:val="21"/>
              </w:rPr>
              <w:t>）</w:t>
            </w:r>
            <w:r>
              <w:rPr>
                <w:sz w:val="21"/>
              </w:rPr>
              <w:t>、吗啡、</w:t>
            </w:r>
          </w:p>
          <w:p>
            <w:pPr>
              <w:pStyle w:val="TableParagraph"/>
              <w:spacing w:line="280" w:lineRule="auto" w:before="44"/>
              <w:ind w:right="168"/>
              <w:jc w:val="both"/>
              <w:rPr>
                <w:sz w:val="21"/>
              </w:rPr>
            </w:pPr>
            <w:r>
              <w:rPr>
                <w:spacing w:val="-11"/>
                <w:sz w:val="21"/>
              </w:rPr>
              <w:t>大麻、可卡因以及国家规定管制的其他能够使人形成瘾癖的麻醉药品和精神</w:t>
            </w:r>
            <w:r>
              <w:rPr>
                <w:spacing w:val="-12"/>
                <w:sz w:val="21"/>
              </w:rPr>
              <w:t>药品，但不包括由医生开具并遵医嘱使用的用于治疗疾病但含有毒品成分的处方药品。</w:t>
            </w:r>
          </w:p>
        </w:tc>
      </w:tr>
      <w:tr>
        <w:trPr>
          <w:trHeight w:val="1101" w:hRule="atLeast"/>
        </w:trPr>
        <w:tc>
          <w:tcPr>
            <w:tcW w:w="840" w:type="dxa"/>
          </w:tcPr>
          <w:p>
            <w:pPr>
              <w:pStyle w:val="TableParagraph"/>
              <w:spacing w:before="54"/>
              <w:ind w:left="50"/>
              <w:rPr>
                <w:rFonts w:ascii="黑体"/>
                <w:sz w:val="21"/>
              </w:rPr>
            </w:pPr>
            <w:r>
              <w:rPr>
                <w:rFonts w:ascii="黑体"/>
                <w:sz w:val="21"/>
              </w:rPr>
              <w:t>11.8</w:t>
            </w:r>
          </w:p>
        </w:tc>
        <w:tc>
          <w:tcPr>
            <w:tcW w:w="1647" w:type="dxa"/>
          </w:tcPr>
          <w:p>
            <w:pPr>
              <w:pStyle w:val="TableParagraph"/>
              <w:spacing w:before="54"/>
              <w:ind w:left="266"/>
              <w:rPr>
                <w:rFonts w:ascii="黑体" w:eastAsia="黑体" w:hint="eastAsia"/>
                <w:sz w:val="21"/>
              </w:rPr>
            </w:pPr>
            <w:r>
              <w:rPr>
                <w:rFonts w:ascii="黑体" w:eastAsia="黑体" w:hint="eastAsia"/>
                <w:sz w:val="21"/>
              </w:rPr>
              <w:t>酒后驾驶</w:t>
            </w:r>
          </w:p>
        </w:tc>
        <w:tc>
          <w:tcPr>
            <w:tcW w:w="7128" w:type="dxa"/>
          </w:tcPr>
          <w:p>
            <w:pPr>
              <w:pStyle w:val="TableParagraph"/>
              <w:spacing w:line="278" w:lineRule="auto" w:before="54"/>
              <w:ind w:right="168"/>
              <w:jc w:val="both"/>
              <w:rPr>
                <w:sz w:val="21"/>
              </w:rPr>
            </w:pPr>
            <w:r>
              <w:rPr>
                <w:spacing w:val="-10"/>
                <w:sz w:val="21"/>
              </w:rPr>
              <w:t>指经检测或鉴定，发生事故时车辆驾驶人员每百毫升血液中的酒精含量达到</w:t>
            </w:r>
            <w:r>
              <w:rPr>
                <w:spacing w:val="-13"/>
                <w:sz w:val="21"/>
              </w:rPr>
              <w:t>或超过一定的标准，公安机关交通管理部门依据《道路交通安全法》的规定认定为饮酒后驾驶或醉酒后驾驶。</w:t>
            </w:r>
          </w:p>
        </w:tc>
      </w:tr>
      <w:tr>
        <w:trPr>
          <w:trHeight w:val="2061" w:hRule="atLeast"/>
        </w:trPr>
        <w:tc>
          <w:tcPr>
            <w:tcW w:w="840" w:type="dxa"/>
          </w:tcPr>
          <w:p>
            <w:pPr>
              <w:pStyle w:val="TableParagraph"/>
              <w:spacing w:before="54"/>
              <w:ind w:left="50"/>
              <w:rPr>
                <w:rFonts w:ascii="黑体"/>
                <w:sz w:val="21"/>
              </w:rPr>
            </w:pPr>
            <w:r>
              <w:rPr>
                <w:rFonts w:ascii="黑体"/>
                <w:sz w:val="21"/>
              </w:rPr>
              <w:t>11.9</w:t>
            </w:r>
          </w:p>
        </w:tc>
        <w:tc>
          <w:tcPr>
            <w:tcW w:w="1647" w:type="dxa"/>
          </w:tcPr>
          <w:p>
            <w:pPr>
              <w:pStyle w:val="TableParagraph"/>
              <w:spacing w:line="280" w:lineRule="auto" w:before="54"/>
              <w:ind w:left="266" w:right="118"/>
              <w:rPr>
                <w:rFonts w:ascii="黑体" w:eastAsia="黑体" w:hint="eastAsia"/>
                <w:sz w:val="21"/>
              </w:rPr>
            </w:pPr>
            <w:r>
              <w:rPr>
                <w:rFonts w:ascii="黑体" w:eastAsia="黑体" w:hint="eastAsia"/>
                <w:sz w:val="21"/>
              </w:rPr>
              <w:t>无合法有效驾驶证驾驶</w:t>
            </w:r>
          </w:p>
        </w:tc>
        <w:tc>
          <w:tcPr>
            <w:tcW w:w="7128" w:type="dxa"/>
          </w:tcPr>
          <w:p>
            <w:pPr>
              <w:pStyle w:val="TableParagraph"/>
              <w:spacing w:line="280" w:lineRule="auto" w:before="54"/>
              <w:ind w:right="4800"/>
              <w:rPr>
                <w:sz w:val="21"/>
              </w:rPr>
            </w:pPr>
            <w:r>
              <w:rPr>
                <w:sz w:val="21"/>
              </w:rPr>
              <w:t>指下列情形之一：   </w:t>
            </w:r>
            <w:r>
              <w:rPr>
                <w:spacing w:val="-1"/>
                <w:sz w:val="21"/>
              </w:rPr>
              <w:t>(1)没有取得驾驶资格；</w:t>
            </w:r>
          </w:p>
          <w:p>
            <w:pPr>
              <w:pStyle w:val="TableParagraph"/>
              <w:spacing w:line="280" w:lineRule="auto" w:before="8"/>
              <w:ind w:right="2892"/>
              <w:rPr>
                <w:sz w:val="21"/>
              </w:rPr>
            </w:pPr>
            <w:r>
              <w:rPr>
                <w:sz w:val="21"/>
              </w:rPr>
              <w:t>(2)驾驶与驾驶证准驾车型不相符合的车辆； (3)持审验不合格的驾驶证驾驶；</w:t>
            </w:r>
          </w:p>
          <w:p>
            <w:pPr>
              <w:pStyle w:val="TableParagraph"/>
              <w:spacing w:line="278" w:lineRule="auto" w:before="10"/>
              <w:ind w:left="437" w:right="165" w:hanging="316"/>
              <w:rPr>
                <w:sz w:val="21"/>
              </w:rPr>
            </w:pPr>
            <w:r>
              <w:rPr>
                <w:sz w:val="21"/>
              </w:rPr>
              <w:t>(4)持学习驾驶证学习驾车时，无教练员随车指导，或不按指定时间、路线学习驾车。</w:t>
            </w:r>
          </w:p>
        </w:tc>
      </w:tr>
      <w:tr>
        <w:trPr>
          <w:trHeight w:val="1102" w:hRule="atLeast"/>
        </w:trPr>
        <w:tc>
          <w:tcPr>
            <w:tcW w:w="840" w:type="dxa"/>
          </w:tcPr>
          <w:p>
            <w:pPr>
              <w:pStyle w:val="TableParagraph"/>
              <w:spacing w:before="54"/>
              <w:ind w:left="50"/>
              <w:rPr>
                <w:rFonts w:ascii="黑体"/>
                <w:sz w:val="21"/>
              </w:rPr>
            </w:pPr>
            <w:r>
              <w:rPr>
                <w:rFonts w:ascii="黑体"/>
                <w:sz w:val="21"/>
              </w:rPr>
              <w:t>11.10</w:t>
            </w:r>
          </w:p>
        </w:tc>
        <w:tc>
          <w:tcPr>
            <w:tcW w:w="1647" w:type="dxa"/>
          </w:tcPr>
          <w:p>
            <w:pPr>
              <w:pStyle w:val="TableParagraph"/>
              <w:spacing w:before="54"/>
              <w:ind w:left="266"/>
              <w:rPr>
                <w:rFonts w:ascii="黑体" w:eastAsia="黑体" w:hint="eastAsia"/>
                <w:sz w:val="21"/>
              </w:rPr>
            </w:pPr>
            <w:r>
              <w:rPr>
                <w:rFonts w:ascii="黑体" w:eastAsia="黑体" w:hint="eastAsia"/>
                <w:sz w:val="21"/>
              </w:rPr>
              <w:t>无有效行驶证</w:t>
            </w:r>
          </w:p>
        </w:tc>
        <w:tc>
          <w:tcPr>
            <w:tcW w:w="7128" w:type="dxa"/>
          </w:tcPr>
          <w:p>
            <w:pPr>
              <w:pStyle w:val="TableParagraph"/>
              <w:spacing w:line="280" w:lineRule="auto" w:before="54"/>
              <w:ind w:right="2490"/>
              <w:rPr>
                <w:sz w:val="21"/>
              </w:rPr>
            </w:pPr>
            <w:r>
              <w:rPr>
                <w:sz w:val="21"/>
              </w:rPr>
              <w:t>指下列情形之一：                         (1)机动车被依法注销登记的；              </w:t>
            </w:r>
            <w:r>
              <w:rPr>
                <w:spacing w:val="-1"/>
                <w:sz w:val="21"/>
              </w:rPr>
              <w:t>(2)未依法按时进行或通过机动车安全技术检验。</w:t>
            </w:r>
          </w:p>
        </w:tc>
      </w:tr>
      <w:tr>
        <w:trPr>
          <w:trHeight w:val="781" w:hRule="atLeast"/>
        </w:trPr>
        <w:tc>
          <w:tcPr>
            <w:tcW w:w="840" w:type="dxa"/>
          </w:tcPr>
          <w:p>
            <w:pPr>
              <w:pStyle w:val="TableParagraph"/>
              <w:spacing w:before="54"/>
              <w:ind w:left="50"/>
              <w:rPr>
                <w:rFonts w:ascii="黑体"/>
                <w:sz w:val="21"/>
              </w:rPr>
            </w:pPr>
            <w:r>
              <w:rPr>
                <w:rFonts w:ascii="黑体"/>
                <w:sz w:val="21"/>
              </w:rPr>
              <w:t>11.11</w:t>
            </w:r>
          </w:p>
        </w:tc>
        <w:tc>
          <w:tcPr>
            <w:tcW w:w="1647" w:type="dxa"/>
          </w:tcPr>
          <w:p>
            <w:pPr>
              <w:pStyle w:val="TableParagraph"/>
              <w:spacing w:before="54"/>
              <w:ind w:left="265"/>
              <w:rPr>
                <w:rFonts w:ascii="黑体" w:eastAsia="黑体" w:hint="eastAsia"/>
                <w:sz w:val="21"/>
              </w:rPr>
            </w:pPr>
            <w:r>
              <w:rPr>
                <w:rFonts w:ascii="黑体" w:eastAsia="黑体" w:hint="eastAsia"/>
                <w:sz w:val="21"/>
              </w:rPr>
              <w:t>机动车</w:t>
            </w:r>
          </w:p>
        </w:tc>
        <w:tc>
          <w:tcPr>
            <w:tcW w:w="7128" w:type="dxa"/>
          </w:tcPr>
          <w:p>
            <w:pPr>
              <w:pStyle w:val="TableParagraph"/>
              <w:spacing w:line="278" w:lineRule="auto" w:before="54"/>
              <w:ind w:right="168"/>
              <w:rPr>
                <w:sz w:val="21"/>
              </w:rPr>
            </w:pPr>
            <w:r>
              <w:rPr>
                <w:spacing w:val="-8"/>
                <w:sz w:val="21"/>
              </w:rPr>
              <w:t>指以动力装置驱动或者牵引，上道路行驶的供人员乘用或者用于运送物品以及进行工程专项作业的轮式车辆。</w:t>
            </w:r>
          </w:p>
        </w:tc>
      </w:tr>
      <w:tr>
        <w:trPr>
          <w:trHeight w:val="1742" w:hRule="atLeast"/>
        </w:trPr>
        <w:tc>
          <w:tcPr>
            <w:tcW w:w="840" w:type="dxa"/>
          </w:tcPr>
          <w:p>
            <w:pPr>
              <w:pStyle w:val="TableParagraph"/>
              <w:spacing w:before="54"/>
              <w:ind w:left="50"/>
              <w:rPr>
                <w:rFonts w:ascii="黑体"/>
                <w:sz w:val="21"/>
              </w:rPr>
            </w:pPr>
            <w:r>
              <w:rPr>
                <w:rFonts w:ascii="黑体"/>
                <w:sz w:val="21"/>
              </w:rPr>
              <w:t>11.12</w:t>
            </w:r>
          </w:p>
        </w:tc>
        <w:tc>
          <w:tcPr>
            <w:tcW w:w="1647" w:type="dxa"/>
          </w:tcPr>
          <w:p>
            <w:pPr>
              <w:pStyle w:val="TableParagraph"/>
              <w:spacing w:line="280" w:lineRule="auto" w:before="54"/>
              <w:ind w:left="266" w:right="118"/>
              <w:rPr>
                <w:rFonts w:ascii="黑体" w:eastAsia="黑体" w:hint="eastAsia"/>
                <w:sz w:val="21"/>
              </w:rPr>
            </w:pPr>
            <w:r>
              <w:rPr>
                <w:rFonts w:ascii="黑体" w:eastAsia="黑体" w:hint="eastAsia"/>
                <w:sz w:val="21"/>
              </w:rPr>
              <w:t>感染艾滋病病毒或患艾滋病</w:t>
            </w:r>
          </w:p>
        </w:tc>
        <w:tc>
          <w:tcPr>
            <w:tcW w:w="7128" w:type="dxa"/>
          </w:tcPr>
          <w:p>
            <w:pPr>
              <w:pStyle w:val="TableParagraph"/>
              <w:spacing w:line="280" w:lineRule="auto" w:before="54"/>
              <w:ind w:right="168"/>
              <w:rPr>
                <w:sz w:val="21"/>
              </w:rPr>
            </w:pPr>
            <w:r>
              <w:rPr>
                <w:spacing w:val="-6"/>
                <w:sz w:val="21"/>
              </w:rPr>
              <w:t>艾滋病病毒指人类免疫缺陷病毒，英文缩写为 </w:t>
            </w:r>
            <w:r>
              <w:rPr>
                <w:sz w:val="21"/>
              </w:rPr>
              <w:t>HIV</w:t>
            </w:r>
            <w:r>
              <w:rPr>
                <w:spacing w:val="-5"/>
                <w:sz w:val="21"/>
              </w:rPr>
              <w:t>。艾滋病指人类免疫缺陷</w:t>
            </w:r>
            <w:r>
              <w:rPr>
                <w:spacing w:val="-8"/>
                <w:sz w:val="21"/>
              </w:rPr>
              <w:t>病毒引起的获得性免疫缺陷综合症，英文缩写为 </w:t>
            </w:r>
            <w:r>
              <w:rPr>
                <w:sz w:val="21"/>
              </w:rPr>
              <w:t>AIDS。</w:t>
            </w:r>
          </w:p>
          <w:p>
            <w:pPr>
              <w:pStyle w:val="TableParagraph"/>
              <w:spacing w:line="278" w:lineRule="auto" w:before="9"/>
              <w:ind w:right="62"/>
              <w:rPr>
                <w:sz w:val="21"/>
              </w:rPr>
            </w:pPr>
            <w:r>
              <w:rPr>
                <w:spacing w:val="-4"/>
                <w:sz w:val="21"/>
              </w:rPr>
              <w:t>在人体血液或其他样本中检测到艾滋病病毒或其抗体呈阳性，没有出现临床</w:t>
            </w:r>
            <w:r>
              <w:rPr>
                <w:spacing w:val="-17"/>
                <w:sz w:val="21"/>
              </w:rPr>
              <w:t>症状或体征的，为感染艾滋病病毒；如果同时出现了明显临床症状或体征的， 为患艾滋病。</w:t>
            </w:r>
          </w:p>
        </w:tc>
      </w:tr>
      <w:tr>
        <w:trPr>
          <w:trHeight w:val="782" w:hRule="atLeast"/>
        </w:trPr>
        <w:tc>
          <w:tcPr>
            <w:tcW w:w="840" w:type="dxa"/>
          </w:tcPr>
          <w:p>
            <w:pPr>
              <w:pStyle w:val="TableParagraph"/>
              <w:spacing w:before="54"/>
              <w:ind w:left="50"/>
              <w:rPr>
                <w:rFonts w:ascii="黑体"/>
                <w:sz w:val="21"/>
              </w:rPr>
            </w:pPr>
            <w:r>
              <w:rPr>
                <w:rFonts w:ascii="黑体"/>
                <w:sz w:val="21"/>
              </w:rPr>
              <w:t>11.13</w:t>
            </w:r>
          </w:p>
        </w:tc>
        <w:tc>
          <w:tcPr>
            <w:tcW w:w="1647" w:type="dxa"/>
          </w:tcPr>
          <w:p>
            <w:pPr>
              <w:pStyle w:val="TableParagraph"/>
              <w:spacing w:before="54"/>
              <w:ind w:left="266"/>
              <w:rPr>
                <w:rFonts w:ascii="黑体" w:eastAsia="黑体" w:hint="eastAsia"/>
                <w:sz w:val="21"/>
              </w:rPr>
            </w:pPr>
            <w:r>
              <w:rPr>
                <w:rFonts w:ascii="黑体" w:eastAsia="黑体" w:hint="eastAsia"/>
                <w:sz w:val="21"/>
              </w:rPr>
              <w:t>遗传性疾病</w:t>
            </w:r>
          </w:p>
        </w:tc>
        <w:tc>
          <w:tcPr>
            <w:tcW w:w="7128" w:type="dxa"/>
          </w:tcPr>
          <w:p>
            <w:pPr>
              <w:pStyle w:val="TableParagraph"/>
              <w:spacing w:line="280" w:lineRule="auto" w:before="54"/>
              <w:ind w:right="168"/>
              <w:rPr>
                <w:sz w:val="21"/>
              </w:rPr>
            </w:pPr>
            <w:r>
              <w:rPr>
                <w:spacing w:val="-4"/>
                <w:sz w:val="21"/>
              </w:rPr>
              <w:t>指生殖细胞或受精卵的遗传物质</w:t>
            </w:r>
            <w:r>
              <w:rPr>
                <w:sz w:val="21"/>
              </w:rPr>
              <w:t>（染色体和基因</w:t>
            </w:r>
            <w:r>
              <w:rPr>
                <w:spacing w:val="-47"/>
                <w:sz w:val="21"/>
              </w:rPr>
              <w:t>）</w:t>
            </w:r>
            <w:r>
              <w:rPr>
                <w:sz w:val="21"/>
              </w:rPr>
              <w:t>发生突变或畸变所引起的疾病，通常具有由亲代传至后代的垂直传递的特征。</w:t>
            </w:r>
          </w:p>
        </w:tc>
      </w:tr>
      <w:tr>
        <w:trPr>
          <w:trHeight w:val="1101" w:hRule="atLeast"/>
        </w:trPr>
        <w:tc>
          <w:tcPr>
            <w:tcW w:w="840" w:type="dxa"/>
          </w:tcPr>
          <w:p>
            <w:pPr>
              <w:pStyle w:val="TableParagraph"/>
              <w:spacing w:before="54"/>
              <w:ind w:left="50"/>
              <w:rPr>
                <w:rFonts w:ascii="黑体"/>
                <w:sz w:val="21"/>
              </w:rPr>
            </w:pPr>
            <w:r>
              <w:rPr>
                <w:rFonts w:ascii="黑体"/>
                <w:sz w:val="21"/>
              </w:rPr>
              <w:t>11.14</w:t>
            </w:r>
          </w:p>
        </w:tc>
        <w:tc>
          <w:tcPr>
            <w:tcW w:w="1647" w:type="dxa"/>
          </w:tcPr>
          <w:p>
            <w:pPr>
              <w:pStyle w:val="TableParagraph"/>
              <w:spacing w:line="278" w:lineRule="auto" w:before="54"/>
              <w:ind w:left="266" w:right="118"/>
              <w:jc w:val="both"/>
              <w:rPr>
                <w:rFonts w:ascii="黑体" w:eastAsia="黑体" w:hint="eastAsia"/>
                <w:sz w:val="21"/>
              </w:rPr>
            </w:pPr>
            <w:r>
              <w:rPr>
                <w:rFonts w:ascii="黑体" w:eastAsia="黑体" w:hint="eastAsia"/>
                <w:sz w:val="21"/>
              </w:rPr>
              <w:t>先天性畸形、变形或染色体异常</w:t>
            </w:r>
          </w:p>
        </w:tc>
        <w:tc>
          <w:tcPr>
            <w:tcW w:w="7128" w:type="dxa"/>
          </w:tcPr>
          <w:p>
            <w:pPr>
              <w:pStyle w:val="TableParagraph"/>
              <w:spacing w:line="278" w:lineRule="auto" w:before="54"/>
              <w:ind w:right="47"/>
              <w:rPr>
                <w:sz w:val="21"/>
              </w:rPr>
            </w:pPr>
            <w:r>
              <w:rPr>
                <w:spacing w:val="-6"/>
                <w:sz w:val="21"/>
              </w:rPr>
              <w:t>指被保险人出生时就具有的畸形、变形或染色体异常。先天性畸形、变形和</w:t>
            </w:r>
            <w:r>
              <w:rPr>
                <w:spacing w:val="12"/>
                <w:sz w:val="21"/>
              </w:rPr>
              <w:t>染色体异常依照世界卫生组织《疾病和有关健康问题的国际统计分类》</w:t>
            </w:r>
          </w:p>
          <w:p>
            <w:pPr>
              <w:pStyle w:val="TableParagraph"/>
              <w:spacing w:before="11"/>
              <w:rPr>
                <w:sz w:val="21"/>
              </w:rPr>
            </w:pPr>
            <w:r>
              <w:rPr>
                <w:sz w:val="21"/>
              </w:rPr>
              <w:t>（ICD-10）确定。</w:t>
            </w:r>
          </w:p>
        </w:tc>
      </w:tr>
      <w:tr>
        <w:trPr>
          <w:trHeight w:val="782" w:hRule="atLeast"/>
        </w:trPr>
        <w:tc>
          <w:tcPr>
            <w:tcW w:w="840" w:type="dxa"/>
          </w:tcPr>
          <w:p>
            <w:pPr>
              <w:pStyle w:val="TableParagraph"/>
              <w:spacing w:before="54"/>
              <w:ind w:left="50"/>
              <w:rPr>
                <w:rFonts w:ascii="黑体"/>
                <w:sz w:val="21"/>
              </w:rPr>
            </w:pPr>
            <w:r>
              <w:rPr>
                <w:rFonts w:ascii="黑体"/>
                <w:sz w:val="21"/>
              </w:rPr>
              <w:t>11.15</w:t>
            </w:r>
          </w:p>
        </w:tc>
        <w:tc>
          <w:tcPr>
            <w:tcW w:w="1647" w:type="dxa"/>
          </w:tcPr>
          <w:p>
            <w:pPr>
              <w:pStyle w:val="TableParagraph"/>
              <w:spacing w:before="54"/>
              <w:ind w:left="266"/>
              <w:rPr>
                <w:rFonts w:ascii="黑体" w:eastAsia="黑体" w:hint="eastAsia"/>
                <w:sz w:val="21"/>
              </w:rPr>
            </w:pPr>
            <w:r>
              <w:rPr>
                <w:rFonts w:ascii="黑体" w:eastAsia="黑体" w:hint="eastAsia"/>
                <w:sz w:val="21"/>
              </w:rPr>
              <w:t>情形复杂</w:t>
            </w:r>
          </w:p>
        </w:tc>
        <w:tc>
          <w:tcPr>
            <w:tcW w:w="7128" w:type="dxa"/>
          </w:tcPr>
          <w:p>
            <w:pPr>
              <w:pStyle w:val="TableParagraph"/>
              <w:spacing w:line="280" w:lineRule="auto" w:before="54"/>
              <w:ind w:right="168"/>
              <w:rPr>
                <w:sz w:val="21"/>
              </w:rPr>
            </w:pPr>
            <w:r>
              <w:rPr>
                <w:spacing w:val="-10"/>
                <w:sz w:val="21"/>
              </w:rPr>
              <w:t>指保险事故的性质、原因、伤害或损失程度等在我们收到保险金给付申请书</w:t>
            </w:r>
            <w:r>
              <w:rPr>
                <w:spacing w:val="-14"/>
                <w:sz w:val="21"/>
              </w:rPr>
              <w:t>及合同约定的证明和资料后 </w:t>
            </w:r>
            <w:r>
              <w:rPr>
                <w:sz w:val="21"/>
              </w:rPr>
              <w:t>5</w:t>
            </w:r>
            <w:r>
              <w:rPr>
                <w:spacing w:val="-8"/>
                <w:sz w:val="21"/>
              </w:rPr>
              <w:t> 个工作日内无法确定，需要进一步核实。</w:t>
            </w:r>
          </w:p>
        </w:tc>
      </w:tr>
      <w:tr>
        <w:trPr>
          <w:trHeight w:val="975" w:hRule="atLeast"/>
        </w:trPr>
        <w:tc>
          <w:tcPr>
            <w:tcW w:w="840" w:type="dxa"/>
          </w:tcPr>
          <w:p>
            <w:pPr>
              <w:pStyle w:val="TableParagraph"/>
              <w:spacing w:before="54"/>
              <w:ind w:left="50"/>
              <w:rPr>
                <w:rFonts w:ascii="黑体"/>
                <w:sz w:val="21"/>
              </w:rPr>
            </w:pPr>
            <w:r>
              <w:rPr>
                <w:rFonts w:ascii="黑体"/>
                <w:sz w:val="21"/>
              </w:rPr>
              <w:t>11.16</w:t>
            </w:r>
          </w:p>
        </w:tc>
        <w:tc>
          <w:tcPr>
            <w:tcW w:w="1647" w:type="dxa"/>
          </w:tcPr>
          <w:p>
            <w:pPr>
              <w:pStyle w:val="TableParagraph"/>
              <w:spacing w:before="54"/>
              <w:ind w:left="266"/>
              <w:rPr>
                <w:rFonts w:ascii="黑体" w:eastAsia="黑体" w:hint="eastAsia"/>
                <w:sz w:val="21"/>
              </w:rPr>
            </w:pPr>
            <w:r>
              <w:rPr>
                <w:rFonts w:ascii="黑体" w:eastAsia="黑体" w:hint="eastAsia"/>
                <w:sz w:val="21"/>
              </w:rPr>
              <w:t>专科医Th</w:t>
            </w:r>
          </w:p>
        </w:tc>
        <w:tc>
          <w:tcPr>
            <w:tcW w:w="7128" w:type="dxa"/>
          </w:tcPr>
          <w:p>
            <w:pPr>
              <w:pStyle w:val="TableParagraph"/>
              <w:spacing w:before="54"/>
              <w:rPr>
                <w:sz w:val="21"/>
              </w:rPr>
            </w:pPr>
            <w:r>
              <w:rPr>
                <w:sz w:val="21"/>
              </w:rPr>
              <w:t>专科医生应当同时满足以下四项资格条件：</w:t>
            </w:r>
          </w:p>
          <w:p>
            <w:pPr>
              <w:pStyle w:val="TableParagraph"/>
              <w:spacing w:before="43"/>
              <w:rPr>
                <w:sz w:val="21"/>
              </w:rPr>
            </w:pPr>
            <w:r>
              <w:rPr>
                <w:sz w:val="21"/>
              </w:rPr>
              <w:t>(1)具有有效的中华人民共和国《医师资格证书》；</w:t>
            </w:r>
          </w:p>
          <w:p>
            <w:pPr>
              <w:pStyle w:val="TableParagraph"/>
              <w:spacing w:line="261" w:lineRule="exact" w:before="45"/>
              <w:rPr>
                <w:sz w:val="21"/>
              </w:rPr>
            </w:pPr>
            <w:r>
              <w:rPr>
                <w:spacing w:val="-1"/>
                <w:sz w:val="21"/>
              </w:rPr>
              <w:t>(2)</w:t>
            </w:r>
            <w:r>
              <w:rPr>
                <w:spacing w:val="-12"/>
                <w:sz w:val="21"/>
              </w:rPr>
              <w:t>具有有效的中华人民共和国《医师执业证书》，并按期到相关部门登记注</w:t>
            </w:r>
          </w:p>
        </w:tc>
      </w:tr>
    </w:tbl>
    <w:p>
      <w:pPr>
        <w:pStyle w:val="BodyText"/>
        <w:spacing w:before="39"/>
        <w:ind w:left="3029"/>
      </w:pPr>
      <w:r>
        <w:rPr/>
        <w:t>册；</w:t>
      </w:r>
    </w:p>
    <w:p>
      <w:pPr>
        <w:pStyle w:val="BodyText"/>
        <w:spacing w:line="280" w:lineRule="auto" w:before="44"/>
        <w:ind w:left="3029" w:right="270" w:hanging="316"/>
      </w:pPr>
      <w:r>
        <w:rPr/>
        <w:t>(3)具有有效的中华人民共和国主治医师或主治医师以上职称的《医师职称证书》；</w:t>
      </w:r>
    </w:p>
    <w:p>
      <w:pPr>
        <w:pStyle w:val="BodyText"/>
        <w:spacing w:before="9"/>
        <w:ind w:left="2713"/>
      </w:pPr>
      <w:r>
        <w:rPr/>
        <w:t>(4)在二级或二级以上医院的相应科室从事临床工作三年以上。</w:t>
      </w:r>
    </w:p>
    <w:p>
      <w:pPr>
        <w:pStyle w:val="BodyText"/>
        <w:spacing w:before="3"/>
        <w:rPr>
          <w:sz w:val="14"/>
        </w:rPr>
      </w:pPr>
    </w:p>
    <w:p>
      <w:pPr>
        <w:pStyle w:val="BodyText"/>
        <w:tabs>
          <w:tab w:pos="1211" w:val="left" w:leader="none"/>
          <w:tab w:pos="2713" w:val="left" w:leader="none"/>
        </w:tabs>
        <w:spacing w:before="0"/>
        <w:ind w:left="155"/>
      </w:pPr>
      <w:r>
        <w:rPr>
          <w:rFonts w:ascii="黑体" w:eastAsia="黑体" w:hint="eastAsia"/>
        </w:rPr>
        <w:t>11.17</w:t>
        <w:tab/>
        <w:t>肢体机能完全</w:t>
        <w:tab/>
      </w:r>
      <w:r>
        <w:rPr/>
        <w:t>指肢体的三大关节中的两大关节僵硬</w:t>
      </w:r>
      <w:r>
        <w:rPr>
          <w:spacing w:val="-47"/>
        </w:rPr>
        <w:t>，</w:t>
      </w:r>
      <w:r>
        <w:rPr/>
        <w:t>或不能随意识活动</w:t>
      </w:r>
      <w:r>
        <w:rPr>
          <w:spacing w:val="-47"/>
        </w:rPr>
        <w:t>。</w:t>
      </w:r>
      <w:r>
        <w:rPr/>
        <w:t>肢体是指包括肩</w:t>
      </w:r>
    </w:p>
    <w:p>
      <w:pPr>
        <w:spacing w:after="0"/>
        <w:sectPr>
          <w:pgSz w:w="11910" w:h="16840"/>
          <w:pgMar w:top="1500" w:bottom="280" w:left="1100" w:right="98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47"/>
        <w:gridCol w:w="7010"/>
      </w:tblGrid>
      <w:tr>
        <w:trPr>
          <w:trHeight w:val="335" w:hRule="atLeast"/>
        </w:trPr>
        <w:tc>
          <w:tcPr>
            <w:tcW w:w="840" w:type="dxa"/>
          </w:tcPr>
          <w:p>
            <w:pPr>
              <w:pStyle w:val="TableParagraph"/>
              <w:spacing w:before="0"/>
              <w:ind w:left="0"/>
              <w:rPr>
                <w:rFonts w:ascii="Times New Roman"/>
                <w:sz w:val="20"/>
              </w:rPr>
            </w:pPr>
          </w:p>
        </w:tc>
        <w:tc>
          <w:tcPr>
            <w:tcW w:w="1647" w:type="dxa"/>
          </w:tcPr>
          <w:p>
            <w:pPr>
              <w:pStyle w:val="TableParagraph"/>
              <w:spacing w:line="204" w:lineRule="exact" w:before="0"/>
              <w:ind w:left="266"/>
              <w:rPr>
                <w:rFonts w:ascii="黑体" w:eastAsia="黑体" w:hint="eastAsia"/>
                <w:sz w:val="21"/>
              </w:rPr>
            </w:pPr>
            <w:r>
              <w:rPr>
                <w:rFonts w:ascii="黑体" w:eastAsia="黑体" w:hint="eastAsia"/>
                <w:sz w:val="21"/>
              </w:rPr>
              <w:t>丧失</w:t>
            </w:r>
          </w:p>
        </w:tc>
        <w:tc>
          <w:tcPr>
            <w:tcW w:w="7010" w:type="dxa"/>
          </w:tcPr>
          <w:p>
            <w:pPr>
              <w:pStyle w:val="TableParagraph"/>
              <w:spacing w:line="204" w:lineRule="exact" w:before="0"/>
              <w:rPr>
                <w:sz w:val="21"/>
              </w:rPr>
            </w:pPr>
            <w:r>
              <w:rPr>
                <w:sz w:val="21"/>
              </w:rPr>
              <w:t>关节的整个上肢或包括髋关节的整个下肢。</w:t>
            </w:r>
          </w:p>
        </w:tc>
      </w:tr>
      <w:tr>
        <w:trPr>
          <w:trHeight w:val="1741" w:hRule="atLeast"/>
        </w:trPr>
        <w:tc>
          <w:tcPr>
            <w:tcW w:w="840" w:type="dxa"/>
          </w:tcPr>
          <w:p>
            <w:pPr>
              <w:pStyle w:val="TableParagraph"/>
              <w:spacing w:before="54"/>
              <w:ind w:left="50"/>
              <w:rPr>
                <w:rFonts w:ascii="黑体"/>
                <w:sz w:val="21"/>
              </w:rPr>
            </w:pPr>
            <w:r>
              <w:rPr>
                <w:rFonts w:ascii="黑体"/>
                <w:sz w:val="21"/>
              </w:rPr>
              <w:t>11.18</w:t>
            </w:r>
          </w:p>
        </w:tc>
        <w:tc>
          <w:tcPr>
            <w:tcW w:w="1647" w:type="dxa"/>
          </w:tcPr>
          <w:p>
            <w:pPr>
              <w:pStyle w:val="TableParagraph"/>
              <w:spacing w:line="278" w:lineRule="auto" w:before="54"/>
              <w:ind w:left="266" w:right="118"/>
              <w:jc w:val="both"/>
              <w:rPr>
                <w:rFonts w:ascii="黑体" w:eastAsia="黑体" w:hint="eastAsia"/>
                <w:sz w:val="21"/>
              </w:rPr>
            </w:pPr>
            <w:r>
              <w:rPr>
                <w:rFonts w:ascii="黑体" w:eastAsia="黑体" w:hint="eastAsia"/>
                <w:sz w:val="21"/>
              </w:rPr>
              <w:t>语言能力或咀嚼吞咽能力完全丧失</w:t>
            </w:r>
          </w:p>
        </w:tc>
        <w:tc>
          <w:tcPr>
            <w:tcW w:w="7010" w:type="dxa"/>
          </w:tcPr>
          <w:p>
            <w:pPr>
              <w:pStyle w:val="TableParagraph"/>
              <w:spacing w:line="278" w:lineRule="auto" w:before="54"/>
              <w:ind w:right="47"/>
              <w:jc w:val="both"/>
              <w:rPr>
                <w:sz w:val="21"/>
              </w:rPr>
            </w:pPr>
            <w:r>
              <w:rPr>
                <w:spacing w:val="-5"/>
                <w:sz w:val="21"/>
              </w:rPr>
              <w:t>语言能力完全丧失，指无法发出四种语音</w:t>
            </w:r>
            <w:r>
              <w:rPr>
                <w:sz w:val="21"/>
              </w:rPr>
              <w:t>（</w:t>
            </w:r>
            <w:r>
              <w:rPr>
                <w:spacing w:val="-6"/>
                <w:sz w:val="21"/>
              </w:rPr>
              <w:t>包括口唇音、齿舌音、口盖音和喉头音</w:t>
            </w:r>
            <w:r>
              <w:rPr>
                <w:spacing w:val="-32"/>
                <w:sz w:val="21"/>
              </w:rPr>
              <w:t>）</w:t>
            </w:r>
            <w:r>
              <w:rPr>
                <w:spacing w:val="-7"/>
                <w:sz w:val="21"/>
              </w:rPr>
              <w:t>中的任何三种、或声带全部切除，或因大脑语言中枢受伤害而患失语症。</w:t>
            </w:r>
          </w:p>
          <w:p>
            <w:pPr>
              <w:pStyle w:val="TableParagraph"/>
              <w:spacing w:line="278" w:lineRule="auto" w:before="11"/>
              <w:ind w:right="50"/>
              <w:jc w:val="both"/>
              <w:rPr>
                <w:sz w:val="21"/>
              </w:rPr>
            </w:pPr>
            <w:r>
              <w:rPr>
                <w:spacing w:val="-7"/>
                <w:sz w:val="21"/>
              </w:rPr>
              <w:t>咀嚼吞咽能力完全丧失，指因牙齿以外的原因导致器质障碍或机能障碍，以致不能作咀嚼吞咽运动，除流质食物外不能摄取或吞咽的状态。</w:t>
            </w:r>
          </w:p>
        </w:tc>
      </w:tr>
      <w:tr>
        <w:trPr>
          <w:trHeight w:val="2389" w:hRule="atLeast"/>
        </w:trPr>
        <w:tc>
          <w:tcPr>
            <w:tcW w:w="840" w:type="dxa"/>
          </w:tcPr>
          <w:p>
            <w:pPr>
              <w:pStyle w:val="TableParagraph"/>
              <w:spacing w:before="54"/>
              <w:ind w:left="50"/>
              <w:rPr>
                <w:rFonts w:ascii="黑体"/>
                <w:sz w:val="21"/>
              </w:rPr>
            </w:pPr>
            <w:r>
              <w:rPr>
                <w:rFonts w:ascii="黑体"/>
                <w:sz w:val="21"/>
              </w:rPr>
              <w:t>11.19</w:t>
            </w:r>
          </w:p>
        </w:tc>
        <w:tc>
          <w:tcPr>
            <w:tcW w:w="1647" w:type="dxa"/>
          </w:tcPr>
          <w:p>
            <w:pPr>
              <w:pStyle w:val="TableParagraph"/>
              <w:spacing w:line="280" w:lineRule="auto" w:before="54"/>
              <w:ind w:left="266" w:right="119"/>
              <w:rPr>
                <w:rFonts w:ascii="黑体" w:eastAsia="黑体" w:hint="eastAsia"/>
                <w:sz w:val="21"/>
              </w:rPr>
            </w:pPr>
            <w:r>
              <w:rPr>
                <w:rFonts w:ascii="黑体" w:eastAsia="黑体" w:hint="eastAsia"/>
                <w:sz w:val="21"/>
              </w:rPr>
              <w:t>六项基本日常Th活活动</w:t>
            </w:r>
          </w:p>
        </w:tc>
        <w:tc>
          <w:tcPr>
            <w:tcW w:w="7010" w:type="dxa"/>
          </w:tcPr>
          <w:p>
            <w:pPr>
              <w:pStyle w:val="TableParagraph"/>
              <w:spacing w:line="278" w:lineRule="auto" w:before="54"/>
              <w:ind w:right="1742"/>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63" w:hRule="atLeast"/>
        </w:trPr>
        <w:tc>
          <w:tcPr>
            <w:tcW w:w="840" w:type="dxa"/>
          </w:tcPr>
          <w:p>
            <w:pPr>
              <w:pStyle w:val="TableParagraph"/>
              <w:spacing w:before="62"/>
              <w:ind w:left="50"/>
              <w:rPr>
                <w:rFonts w:ascii="黑体"/>
                <w:sz w:val="21"/>
              </w:rPr>
            </w:pPr>
            <w:r>
              <w:rPr>
                <w:rFonts w:ascii="黑体"/>
                <w:sz w:val="21"/>
              </w:rPr>
              <w:t>11.20</w:t>
            </w:r>
          </w:p>
        </w:tc>
        <w:tc>
          <w:tcPr>
            <w:tcW w:w="1647" w:type="dxa"/>
          </w:tcPr>
          <w:p>
            <w:pPr>
              <w:pStyle w:val="TableParagraph"/>
              <w:spacing w:before="62"/>
              <w:ind w:left="266"/>
              <w:rPr>
                <w:rFonts w:ascii="黑体" w:eastAsia="黑体" w:hint="eastAsia"/>
                <w:sz w:val="21"/>
              </w:rPr>
            </w:pPr>
            <w:r>
              <w:rPr>
                <w:rFonts w:ascii="黑体" w:eastAsia="黑体" w:hint="eastAsia"/>
                <w:sz w:val="21"/>
              </w:rPr>
              <w:t>永久不可逆</w:t>
            </w:r>
          </w:p>
        </w:tc>
        <w:tc>
          <w:tcPr>
            <w:tcW w:w="7010" w:type="dxa"/>
          </w:tcPr>
          <w:p>
            <w:pPr>
              <w:pStyle w:val="TableParagraph"/>
              <w:spacing w:line="320" w:lineRule="atLeast" w:before="16"/>
              <w:ind w:right="50"/>
              <w:rPr>
                <w:sz w:val="21"/>
              </w:rPr>
            </w:pPr>
            <w:r>
              <w:rPr>
                <w:spacing w:val="-6"/>
                <w:sz w:val="21"/>
              </w:rPr>
              <w:t>指自疾病确诊或意外伤害发生之日起，经过积极治疗 </w:t>
            </w:r>
            <w:r>
              <w:rPr>
                <w:sz w:val="21"/>
              </w:rPr>
              <w:t>180</w:t>
            </w:r>
            <w:r>
              <w:rPr>
                <w:spacing w:val="-13"/>
                <w:sz w:val="21"/>
              </w:rPr>
              <w:t> 天后，仍无法通过现有医疗手段恢复。</w:t>
            </w:r>
          </w:p>
        </w:tc>
      </w:tr>
    </w:tbl>
    <w:sectPr>
      <w:pgSz w:w="11910" w:h="16840"/>
      <w:pgMar w:top="1500" w:bottom="280" w:left="11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1"/>
      <w:numFmt w:val="decimal"/>
      <w:lvlText w:val="%1"/>
      <w:lvlJc w:val="left"/>
      <w:pPr>
        <w:ind w:left="2773" w:hanging="1057"/>
        <w:jc w:val="left"/>
      </w:pPr>
      <w:rPr>
        <w:rFonts w:hint="default"/>
      </w:rPr>
    </w:lvl>
    <w:lvl w:ilvl="1">
      <w:start w:val="1"/>
      <w:numFmt w:val="decimal"/>
      <w:lvlText w:val="%1.%2"/>
      <w:lvlJc w:val="left"/>
      <w:pPr>
        <w:ind w:left="2773" w:hanging="1057"/>
        <w:jc w:val="left"/>
      </w:pPr>
      <w:rPr>
        <w:rFonts w:hint="default" w:ascii="黑体" w:hAnsi="黑体" w:eastAsia="黑体" w:cs="黑体"/>
        <w:spacing w:val="-53"/>
        <w:w w:val="100"/>
        <w:sz w:val="21"/>
        <w:szCs w:val="21"/>
      </w:rPr>
    </w:lvl>
    <w:lvl w:ilvl="2">
      <w:start w:val="0"/>
      <w:numFmt w:val="bullet"/>
      <w:lvlText w:val="•"/>
      <w:lvlJc w:val="left"/>
      <w:pPr>
        <w:ind w:left="4188" w:hanging="1057"/>
      </w:pPr>
      <w:rPr>
        <w:rFonts w:hint="default"/>
      </w:rPr>
    </w:lvl>
    <w:lvl w:ilvl="3">
      <w:start w:val="0"/>
      <w:numFmt w:val="bullet"/>
      <w:lvlText w:val="•"/>
      <w:lvlJc w:val="left"/>
      <w:pPr>
        <w:ind w:left="4893" w:hanging="1057"/>
      </w:pPr>
      <w:rPr>
        <w:rFonts w:hint="default"/>
      </w:rPr>
    </w:lvl>
    <w:lvl w:ilvl="4">
      <w:start w:val="0"/>
      <w:numFmt w:val="bullet"/>
      <w:lvlText w:val="•"/>
      <w:lvlJc w:val="left"/>
      <w:pPr>
        <w:ind w:left="5597" w:hanging="1057"/>
      </w:pPr>
      <w:rPr>
        <w:rFonts w:hint="default"/>
      </w:rPr>
    </w:lvl>
    <w:lvl w:ilvl="5">
      <w:start w:val="0"/>
      <w:numFmt w:val="bullet"/>
      <w:lvlText w:val="•"/>
      <w:lvlJc w:val="left"/>
      <w:pPr>
        <w:ind w:left="6302" w:hanging="1057"/>
      </w:pPr>
      <w:rPr>
        <w:rFonts w:hint="default"/>
      </w:rPr>
    </w:lvl>
    <w:lvl w:ilvl="6">
      <w:start w:val="0"/>
      <w:numFmt w:val="bullet"/>
      <w:lvlText w:val="•"/>
      <w:lvlJc w:val="left"/>
      <w:pPr>
        <w:ind w:left="7006" w:hanging="1057"/>
      </w:pPr>
      <w:rPr>
        <w:rFonts w:hint="default"/>
      </w:rPr>
    </w:lvl>
    <w:lvl w:ilvl="7">
      <w:start w:val="0"/>
      <w:numFmt w:val="bullet"/>
      <w:lvlText w:val="•"/>
      <w:lvlJc w:val="left"/>
      <w:pPr>
        <w:ind w:left="7711" w:hanging="1057"/>
      </w:pPr>
      <w:rPr>
        <w:rFonts w:hint="default"/>
      </w:rPr>
    </w:lvl>
    <w:lvl w:ilvl="8">
      <w:start w:val="0"/>
      <w:numFmt w:val="bullet"/>
      <w:lvlText w:val="•"/>
      <w:lvlJc w:val="left"/>
      <w:pPr>
        <w:ind w:left="8415" w:hanging="1057"/>
      </w:pPr>
      <w:rPr>
        <w:rFonts w:hint="default"/>
      </w:rPr>
    </w:lvl>
  </w:abstractNum>
  <w:abstractNum w:abstractNumId="8">
    <w:multiLevelType w:val="hybridMultilevel"/>
    <w:lvl w:ilvl="0">
      <w:start w:val="10"/>
      <w:numFmt w:val="decimal"/>
      <w:lvlText w:val="%1"/>
      <w:lvlJc w:val="left"/>
      <w:pPr>
        <w:ind w:left="1271" w:hanging="1057"/>
        <w:jc w:val="left"/>
      </w:pPr>
      <w:rPr>
        <w:rFonts w:hint="default"/>
      </w:rPr>
    </w:lvl>
    <w:lvl w:ilvl="1">
      <w:start w:val="1"/>
      <w:numFmt w:val="decimal"/>
      <w:lvlText w:val="%1.%2"/>
      <w:lvlJc w:val="left"/>
      <w:pPr>
        <w:ind w:left="1271" w:hanging="1057"/>
        <w:jc w:val="left"/>
      </w:pPr>
      <w:rPr>
        <w:rFonts w:hint="default"/>
      </w:rPr>
    </w:lvl>
    <w:lvl w:ilvl="2">
      <w:start w:val="34"/>
      <w:numFmt w:val="decimal"/>
      <w:lvlText w:val="%1.%2.%3"/>
      <w:lvlJc w:val="left"/>
      <w:pPr>
        <w:ind w:left="1271" w:hanging="1057"/>
        <w:jc w:val="left"/>
      </w:pPr>
      <w:rPr>
        <w:rFonts w:hint="default" w:ascii="黑体" w:hAnsi="黑体" w:eastAsia="黑体" w:cs="黑体"/>
        <w:spacing w:val="-1"/>
        <w:w w:val="100"/>
        <w:sz w:val="21"/>
        <w:szCs w:val="21"/>
      </w:rPr>
    </w:lvl>
    <w:lvl w:ilvl="3">
      <w:start w:val="0"/>
      <w:numFmt w:val="bullet"/>
      <w:lvlText w:val="•"/>
      <w:lvlJc w:val="left"/>
      <w:pPr>
        <w:ind w:left="1655" w:hanging="1057"/>
      </w:pPr>
      <w:rPr>
        <w:rFonts w:hint="default"/>
      </w:rPr>
    </w:lvl>
    <w:lvl w:ilvl="4">
      <w:start w:val="0"/>
      <w:numFmt w:val="bullet"/>
      <w:lvlText w:val="•"/>
      <w:lvlJc w:val="left"/>
      <w:pPr>
        <w:ind w:left="1780" w:hanging="1057"/>
      </w:pPr>
      <w:rPr>
        <w:rFonts w:hint="default"/>
      </w:rPr>
    </w:lvl>
    <w:lvl w:ilvl="5">
      <w:start w:val="0"/>
      <w:numFmt w:val="bullet"/>
      <w:lvlText w:val="•"/>
      <w:lvlJc w:val="left"/>
      <w:pPr>
        <w:ind w:left="1905" w:hanging="1057"/>
      </w:pPr>
      <w:rPr>
        <w:rFonts w:hint="default"/>
      </w:rPr>
    </w:lvl>
    <w:lvl w:ilvl="6">
      <w:start w:val="0"/>
      <w:numFmt w:val="bullet"/>
      <w:lvlText w:val="•"/>
      <w:lvlJc w:val="left"/>
      <w:pPr>
        <w:ind w:left="2030" w:hanging="1057"/>
      </w:pPr>
      <w:rPr>
        <w:rFonts w:hint="default"/>
      </w:rPr>
    </w:lvl>
    <w:lvl w:ilvl="7">
      <w:start w:val="0"/>
      <w:numFmt w:val="bullet"/>
      <w:lvlText w:val="•"/>
      <w:lvlJc w:val="left"/>
      <w:pPr>
        <w:ind w:left="2155" w:hanging="1057"/>
      </w:pPr>
      <w:rPr>
        <w:rFonts w:hint="default"/>
      </w:rPr>
    </w:lvl>
    <w:lvl w:ilvl="8">
      <w:start w:val="0"/>
      <w:numFmt w:val="bullet"/>
      <w:lvlText w:val="•"/>
      <w:lvlJc w:val="left"/>
      <w:pPr>
        <w:ind w:left="2280" w:hanging="1057"/>
      </w:pPr>
      <w:rPr>
        <w:rFonts w:hint="default"/>
      </w:rPr>
    </w:lvl>
  </w:abstractNum>
  <w:abstractNum w:abstractNumId="7">
    <w:multiLevelType w:val="hybridMultilevel"/>
    <w:lvl w:ilvl="0">
      <w:start w:val="10"/>
      <w:numFmt w:val="decimal"/>
      <w:lvlText w:val="%1"/>
      <w:lvlJc w:val="left"/>
      <w:pPr>
        <w:ind w:left="2713" w:hanging="1057"/>
        <w:jc w:val="left"/>
      </w:pPr>
      <w:rPr>
        <w:rFonts w:hint="default"/>
      </w:rPr>
    </w:lvl>
    <w:lvl w:ilvl="1">
      <w:start w:val="1"/>
      <w:numFmt w:val="decimal"/>
      <w:lvlText w:val="%1.%2"/>
      <w:lvlJc w:val="left"/>
      <w:pPr>
        <w:ind w:left="2713" w:hanging="1057"/>
        <w:jc w:val="left"/>
      </w:pPr>
      <w:rPr>
        <w:rFonts w:hint="default"/>
      </w:rPr>
    </w:lvl>
    <w:lvl w:ilvl="2">
      <w:start w:val="12"/>
      <w:numFmt w:val="decimal"/>
      <w:lvlText w:val="%1.%2.%3"/>
      <w:lvlJc w:val="left"/>
      <w:pPr>
        <w:ind w:left="2713" w:hanging="1057"/>
        <w:jc w:val="left"/>
      </w:pPr>
      <w:rPr>
        <w:rFonts w:hint="default" w:ascii="黑体" w:hAnsi="黑体" w:eastAsia="黑体" w:cs="黑体"/>
        <w:spacing w:val="-54"/>
        <w:w w:val="100"/>
        <w:sz w:val="21"/>
        <w:szCs w:val="21"/>
      </w:rPr>
    </w:lvl>
    <w:lvl w:ilvl="3">
      <w:start w:val="0"/>
      <w:numFmt w:val="bullet"/>
      <w:lvlText w:val="•"/>
      <w:lvlJc w:val="left"/>
      <w:pPr>
        <w:ind w:left="4833" w:hanging="1057"/>
      </w:pPr>
      <w:rPr>
        <w:rFonts w:hint="default"/>
      </w:rPr>
    </w:lvl>
    <w:lvl w:ilvl="4">
      <w:start w:val="0"/>
      <w:numFmt w:val="bullet"/>
      <w:lvlText w:val="•"/>
      <w:lvlJc w:val="left"/>
      <w:pPr>
        <w:ind w:left="5537" w:hanging="1057"/>
      </w:pPr>
      <w:rPr>
        <w:rFonts w:hint="default"/>
      </w:rPr>
    </w:lvl>
    <w:lvl w:ilvl="5">
      <w:start w:val="0"/>
      <w:numFmt w:val="bullet"/>
      <w:lvlText w:val="•"/>
      <w:lvlJc w:val="left"/>
      <w:pPr>
        <w:ind w:left="6242" w:hanging="1057"/>
      </w:pPr>
      <w:rPr>
        <w:rFonts w:hint="default"/>
      </w:rPr>
    </w:lvl>
    <w:lvl w:ilvl="6">
      <w:start w:val="0"/>
      <w:numFmt w:val="bullet"/>
      <w:lvlText w:val="•"/>
      <w:lvlJc w:val="left"/>
      <w:pPr>
        <w:ind w:left="6946" w:hanging="1057"/>
      </w:pPr>
      <w:rPr>
        <w:rFonts w:hint="default"/>
      </w:rPr>
    </w:lvl>
    <w:lvl w:ilvl="7">
      <w:start w:val="0"/>
      <w:numFmt w:val="bullet"/>
      <w:lvlText w:val="•"/>
      <w:lvlJc w:val="left"/>
      <w:pPr>
        <w:ind w:left="7651" w:hanging="1057"/>
      </w:pPr>
      <w:rPr>
        <w:rFonts w:hint="default"/>
      </w:rPr>
    </w:lvl>
    <w:lvl w:ilvl="8">
      <w:start w:val="0"/>
      <w:numFmt w:val="bullet"/>
      <w:lvlText w:val="•"/>
      <w:lvlJc w:val="left"/>
      <w:pPr>
        <w:ind w:left="8355" w:hanging="1057"/>
      </w:pPr>
      <w:rPr>
        <w:rFonts w:hint="default"/>
      </w:rPr>
    </w:lvl>
  </w:abstractNum>
  <w:abstractNum w:abstractNumId="6">
    <w:multiLevelType w:val="hybridMultilevel"/>
    <w:lvl w:ilvl="0">
      <w:start w:val="10"/>
      <w:numFmt w:val="decimal"/>
      <w:lvlText w:val="%1"/>
      <w:lvlJc w:val="left"/>
      <w:pPr>
        <w:ind w:left="1271" w:hanging="1057"/>
        <w:jc w:val="left"/>
      </w:pPr>
      <w:rPr>
        <w:rFonts w:hint="default"/>
      </w:rPr>
    </w:lvl>
    <w:lvl w:ilvl="1">
      <w:start w:val="1"/>
      <w:numFmt w:val="decimal"/>
      <w:lvlText w:val="%1.%2"/>
      <w:lvlJc w:val="left"/>
      <w:pPr>
        <w:ind w:left="1271" w:hanging="1057"/>
        <w:jc w:val="left"/>
      </w:pPr>
      <w:rPr>
        <w:rFonts w:hint="default" w:ascii="黑体" w:hAnsi="黑体" w:eastAsia="黑体" w:cs="黑体"/>
        <w:w w:val="100"/>
        <w:sz w:val="21"/>
        <w:szCs w:val="21"/>
      </w:rPr>
    </w:lvl>
    <w:lvl w:ilvl="2">
      <w:start w:val="1"/>
      <w:numFmt w:val="decimal"/>
      <w:lvlText w:val="%1.%2.%3"/>
      <w:lvlJc w:val="left"/>
      <w:pPr>
        <w:ind w:left="2773" w:hanging="1057"/>
        <w:jc w:val="right"/>
      </w:pPr>
      <w:rPr>
        <w:rFonts w:hint="default" w:ascii="黑体" w:hAnsi="黑体" w:eastAsia="黑体" w:cs="黑体"/>
        <w:spacing w:val="-105"/>
        <w:w w:val="100"/>
        <w:sz w:val="21"/>
        <w:szCs w:val="21"/>
      </w:rPr>
    </w:lvl>
    <w:lvl w:ilvl="3">
      <w:start w:val="0"/>
      <w:numFmt w:val="bullet"/>
      <w:lvlText w:val="•"/>
      <w:lvlJc w:val="left"/>
      <w:pPr>
        <w:ind w:left="2724" w:hanging="1057"/>
      </w:pPr>
      <w:rPr>
        <w:rFonts w:hint="default"/>
      </w:rPr>
    </w:lvl>
    <w:lvl w:ilvl="4">
      <w:start w:val="0"/>
      <w:numFmt w:val="bullet"/>
      <w:lvlText w:val="•"/>
      <w:lvlJc w:val="left"/>
      <w:pPr>
        <w:ind w:left="2697" w:hanging="1057"/>
      </w:pPr>
      <w:rPr>
        <w:rFonts w:hint="default"/>
      </w:rPr>
    </w:lvl>
    <w:lvl w:ilvl="5">
      <w:start w:val="0"/>
      <w:numFmt w:val="bullet"/>
      <w:lvlText w:val="•"/>
      <w:lvlJc w:val="left"/>
      <w:pPr>
        <w:ind w:left="2669" w:hanging="1057"/>
      </w:pPr>
      <w:rPr>
        <w:rFonts w:hint="default"/>
      </w:rPr>
    </w:lvl>
    <w:lvl w:ilvl="6">
      <w:start w:val="0"/>
      <w:numFmt w:val="bullet"/>
      <w:lvlText w:val="•"/>
      <w:lvlJc w:val="left"/>
      <w:pPr>
        <w:ind w:left="2641" w:hanging="1057"/>
      </w:pPr>
      <w:rPr>
        <w:rFonts w:hint="default"/>
      </w:rPr>
    </w:lvl>
    <w:lvl w:ilvl="7">
      <w:start w:val="0"/>
      <w:numFmt w:val="bullet"/>
      <w:lvlText w:val="•"/>
      <w:lvlJc w:val="left"/>
      <w:pPr>
        <w:ind w:left="2614" w:hanging="1057"/>
      </w:pPr>
      <w:rPr>
        <w:rFonts w:hint="default"/>
      </w:rPr>
    </w:lvl>
    <w:lvl w:ilvl="8">
      <w:start w:val="0"/>
      <w:numFmt w:val="bullet"/>
      <w:lvlText w:val="•"/>
      <w:lvlJc w:val="left"/>
      <w:pPr>
        <w:ind w:left="2586" w:hanging="1057"/>
      </w:pPr>
      <w:rPr>
        <w:rFonts w:hint="default"/>
      </w:rPr>
    </w:lvl>
  </w:abstractNum>
  <w:abstractNum w:abstractNumId="5">
    <w:multiLevelType w:val="hybridMultilevel"/>
    <w:lvl w:ilvl="0">
      <w:start w:val="9"/>
      <w:numFmt w:val="decimal"/>
      <w:lvlText w:val="%1"/>
      <w:lvlJc w:val="left"/>
      <w:pPr>
        <w:ind w:left="2773" w:hanging="1057"/>
        <w:jc w:val="left"/>
      </w:pPr>
      <w:rPr>
        <w:rFonts w:hint="default"/>
      </w:rPr>
    </w:lvl>
    <w:lvl w:ilvl="1">
      <w:start w:val="1"/>
      <w:numFmt w:val="decimal"/>
      <w:lvlText w:val="%1.%2"/>
      <w:lvlJc w:val="left"/>
      <w:pPr>
        <w:ind w:left="2773" w:hanging="1057"/>
        <w:jc w:val="left"/>
      </w:pPr>
      <w:rPr>
        <w:rFonts w:hint="default" w:ascii="黑体" w:hAnsi="黑体" w:eastAsia="黑体" w:cs="黑体"/>
        <w:spacing w:val="-95"/>
        <w:w w:val="100"/>
        <w:sz w:val="21"/>
        <w:szCs w:val="21"/>
      </w:rPr>
    </w:lvl>
    <w:lvl w:ilvl="2">
      <w:start w:val="0"/>
      <w:numFmt w:val="bullet"/>
      <w:lvlText w:val="•"/>
      <w:lvlJc w:val="left"/>
      <w:pPr>
        <w:ind w:left="4188" w:hanging="1057"/>
      </w:pPr>
      <w:rPr>
        <w:rFonts w:hint="default"/>
      </w:rPr>
    </w:lvl>
    <w:lvl w:ilvl="3">
      <w:start w:val="0"/>
      <w:numFmt w:val="bullet"/>
      <w:lvlText w:val="•"/>
      <w:lvlJc w:val="left"/>
      <w:pPr>
        <w:ind w:left="4893" w:hanging="1057"/>
      </w:pPr>
      <w:rPr>
        <w:rFonts w:hint="default"/>
      </w:rPr>
    </w:lvl>
    <w:lvl w:ilvl="4">
      <w:start w:val="0"/>
      <w:numFmt w:val="bullet"/>
      <w:lvlText w:val="•"/>
      <w:lvlJc w:val="left"/>
      <w:pPr>
        <w:ind w:left="5597" w:hanging="1057"/>
      </w:pPr>
      <w:rPr>
        <w:rFonts w:hint="default"/>
      </w:rPr>
    </w:lvl>
    <w:lvl w:ilvl="5">
      <w:start w:val="0"/>
      <w:numFmt w:val="bullet"/>
      <w:lvlText w:val="•"/>
      <w:lvlJc w:val="left"/>
      <w:pPr>
        <w:ind w:left="6302" w:hanging="1057"/>
      </w:pPr>
      <w:rPr>
        <w:rFonts w:hint="default"/>
      </w:rPr>
    </w:lvl>
    <w:lvl w:ilvl="6">
      <w:start w:val="0"/>
      <w:numFmt w:val="bullet"/>
      <w:lvlText w:val="•"/>
      <w:lvlJc w:val="left"/>
      <w:pPr>
        <w:ind w:left="7006" w:hanging="1057"/>
      </w:pPr>
      <w:rPr>
        <w:rFonts w:hint="default"/>
      </w:rPr>
    </w:lvl>
    <w:lvl w:ilvl="7">
      <w:start w:val="0"/>
      <w:numFmt w:val="bullet"/>
      <w:lvlText w:val="•"/>
      <w:lvlJc w:val="left"/>
      <w:pPr>
        <w:ind w:left="7711" w:hanging="1057"/>
      </w:pPr>
      <w:rPr>
        <w:rFonts w:hint="default"/>
      </w:rPr>
    </w:lvl>
    <w:lvl w:ilvl="8">
      <w:start w:val="0"/>
      <w:numFmt w:val="bullet"/>
      <w:lvlText w:val="•"/>
      <w:lvlJc w:val="left"/>
      <w:pPr>
        <w:ind w:left="8415" w:hanging="1057"/>
      </w:pPr>
      <w:rPr>
        <w:rFonts w:hint="default"/>
      </w:rPr>
    </w:lvl>
  </w:abstractNum>
  <w:abstractNum w:abstractNumId="4">
    <w:multiLevelType w:val="hybridMultilevel"/>
    <w:lvl w:ilvl="0">
      <w:start w:val="8"/>
      <w:numFmt w:val="decimal"/>
      <w:lvlText w:val="%1"/>
      <w:lvlJc w:val="left"/>
      <w:pPr>
        <w:ind w:left="1271" w:hanging="1057"/>
        <w:jc w:val="left"/>
      </w:pPr>
      <w:rPr>
        <w:rFonts w:hint="default"/>
      </w:rPr>
    </w:lvl>
    <w:lvl w:ilvl="1">
      <w:start w:val="1"/>
      <w:numFmt w:val="decimal"/>
      <w:lvlText w:val="%1.%2"/>
      <w:lvlJc w:val="left"/>
      <w:pPr>
        <w:ind w:left="1271" w:hanging="1057"/>
        <w:jc w:val="left"/>
      </w:pPr>
      <w:rPr>
        <w:rFonts w:hint="default" w:ascii="黑体" w:hAnsi="黑体" w:eastAsia="黑体" w:cs="黑体"/>
        <w:w w:val="100"/>
        <w:sz w:val="21"/>
        <w:szCs w:val="21"/>
      </w:rPr>
    </w:lvl>
    <w:lvl w:ilvl="2">
      <w:start w:val="0"/>
      <w:numFmt w:val="bullet"/>
      <w:lvlText w:val="•"/>
      <w:lvlJc w:val="left"/>
      <w:pPr>
        <w:ind w:left="1530" w:hanging="1057"/>
      </w:pPr>
      <w:rPr>
        <w:rFonts w:hint="default"/>
      </w:rPr>
    </w:lvl>
    <w:lvl w:ilvl="3">
      <w:start w:val="0"/>
      <w:numFmt w:val="bullet"/>
      <w:lvlText w:val="•"/>
      <w:lvlJc w:val="left"/>
      <w:pPr>
        <w:ind w:left="1655" w:hanging="1057"/>
      </w:pPr>
      <w:rPr>
        <w:rFonts w:hint="default"/>
      </w:rPr>
    </w:lvl>
    <w:lvl w:ilvl="4">
      <w:start w:val="0"/>
      <w:numFmt w:val="bullet"/>
      <w:lvlText w:val="•"/>
      <w:lvlJc w:val="left"/>
      <w:pPr>
        <w:ind w:left="1780" w:hanging="1057"/>
      </w:pPr>
      <w:rPr>
        <w:rFonts w:hint="default"/>
      </w:rPr>
    </w:lvl>
    <w:lvl w:ilvl="5">
      <w:start w:val="0"/>
      <w:numFmt w:val="bullet"/>
      <w:lvlText w:val="•"/>
      <w:lvlJc w:val="left"/>
      <w:pPr>
        <w:ind w:left="1905" w:hanging="1057"/>
      </w:pPr>
      <w:rPr>
        <w:rFonts w:hint="default"/>
      </w:rPr>
    </w:lvl>
    <w:lvl w:ilvl="6">
      <w:start w:val="0"/>
      <w:numFmt w:val="bullet"/>
      <w:lvlText w:val="•"/>
      <w:lvlJc w:val="left"/>
      <w:pPr>
        <w:ind w:left="2030" w:hanging="1057"/>
      </w:pPr>
      <w:rPr>
        <w:rFonts w:hint="default"/>
      </w:rPr>
    </w:lvl>
    <w:lvl w:ilvl="7">
      <w:start w:val="0"/>
      <w:numFmt w:val="bullet"/>
      <w:lvlText w:val="•"/>
      <w:lvlJc w:val="left"/>
      <w:pPr>
        <w:ind w:left="2155" w:hanging="1057"/>
      </w:pPr>
      <w:rPr>
        <w:rFonts w:hint="default"/>
      </w:rPr>
    </w:lvl>
    <w:lvl w:ilvl="8">
      <w:start w:val="0"/>
      <w:numFmt w:val="bullet"/>
      <w:lvlText w:val="•"/>
      <w:lvlJc w:val="left"/>
      <w:pPr>
        <w:ind w:left="2280" w:hanging="1057"/>
      </w:pPr>
      <w:rPr>
        <w:rFonts w:hint="default"/>
      </w:rPr>
    </w:lvl>
  </w:abstractNum>
  <w:abstractNum w:abstractNumId="3">
    <w:multiLevelType w:val="hybridMultilevel"/>
    <w:lvl w:ilvl="0">
      <w:start w:val="5"/>
      <w:numFmt w:val="decimal"/>
      <w:lvlText w:val="%1"/>
      <w:lvlJc w:val="left"/>
      <w:pPr>
        <w:ind w:left="2773" w:hanging="1057"/>
        <w:jc w:val="left"/>
      </w:pPr>
      <w:rPr>
        <w:rFonts w:hint="default"/>
      </w:rPr>
    </w:lvl>
    <w:lvl w:ilvl="1">
      <w:start w:val="1"/>
      <w:numFmt w:val="decimal"/>
      <w:lvlText w:val="%1.%2"/>
      <w:lvlJc w:val="left"/>
      <w:pPr>
        <w:ind w:left="2773" w:hanging="1057"/>
        <w:jc w:val="left"/>
      </w:pPr>
      <w:rPr>
        <w:rFonts w:hint="default" w:ascii="黑体" w:hAnsi="黑体" w:eastAsia="黑体" w:cs="黑体"/>
        <w:w w:val="100"/>
        <w:sz w:val="21"/>
        <w:szCs w:val="21"/>
      </w:rPr>
    </w:lvl>
    <w:lvl w:ilvl="2">
      <w:start w:val="0"/>
      <w:numFmt w:val="bullet"/>
      <w:lvlText w:val="•"/>
      <w:lvlJc w:val="left"/>
      <w:pPr>
        <w:ind w:left="4188" w:hanging="1057"/>
      </w:pPr>
      <w:rPr>
        <w:rFonts w:hint="default"/>
      </w:rPr>
    </w:lvl>
    <w:lvl w:ilvl="3">
      <w:start w:val="0"/>
      <w:numFmt w:val="bullet"/>
      <w:lvlText w:val="•"/>
      <w:lvlJc w:val="left"/>
      <w:pPr>
        <w:ind w:left="4893" w:hanging="1057"/>
      </w:pPr>
      <w:rPr>
        <w:rFonts w:hint="default"/>
      </w:rPr>
    </w:lvl>
    <w:lvl w:ilvl="4">
      <w:start w:val="0"/>
      <w:numFmt w:val="bullet"/>
      <w:lvlText w:val="•"/>
      <w:lvlJc w:val="left"/>
      <w:pPr>
        <w:ind w:left="5597" w:hanging="1057"/>
      </w:pPr>
      <w:rPr>
        <w:rFonts w:hint="default"/>
      </w:rPr>
    </w:lvl>
    <w:lvl w:ilvl="5">
      <w:start w:val="0"/>
      <w:numFmt w:val="bullet"/>
      <w:lvlText w:val="•"/>
      <w:lvlJc w:val="left"/>
      <w:pPr>
        <w:ind w:left="6302" w:hanging="1057"/>
      </w:pPr>
      <w:rPr>
        <w:rFonts w:hint="default"/>
      </w:rPr>
    </w:lvl>
    <w:lvl w:ilvl="6">
      <w:start w:val="0"/>
      <w:numFmt w:val="bullet"/>
      <w:lvlText w:val="•"/>
      <w:lvlJc w:val="left"/>
      <w:pPr>
        <w:ind w:left="7006" w:hanging="1057"/>
      </w:pPr>
      <w:rPr>
        <w:rFonts w:hint="default"/>
      </w:rPr>
    </w:lvl>
    <w:lvl w:ilvl="7">
      <w:start w:val="0"/>
      <w:numFmt w:val="bullet"/>
      <w:lvlText w:val="•"/>
      <w:lvlJc w:val="left"/>
      <w:pPr>
        <w:ind w:left="7711" w:hanging="1057"/>
      </w:pPr>
      <w:rPr>
        <w:rFonts w:hint="default"/>
      </w:rPr>
    </w:lvl>
    <w:lvl w:ilvl="8">
      <w:start w:val="0"/>
      <w:numFmt w:val="bullet"/>
      <w:lvlText w:val="•"/>
      <w:lvlJc w:val="left"/>
      <w:pPr>
        <w:ind w:left="8415" w:hanging="1057"/>
      </w:pPr>
      <w:rPr>
        <w:rFonts w:hint="default"/>
      </w:rPr>
    </w:lvl>
  </w:abstractNum>
  <w:abstractNum w:abstractNumId="2">
    <w:multiLevelType w:val="hybridMultilevel"/>
    <w:lvl w:ilvl="0">
      <w:start w:val="2"/>
      <w:numFmt w:val="decimal"/>
      <w:lvlText w:val="%1"/>
      <w:lvlJc w:val="left"/>
      <w:pPr>
        <w:ind w:left="1291" w:hanging="1057"/>
        <w:jc w:val="left"/>
      </w:pPr>
      <w:rPr>
        <w:rFonts w:hint="default"/>
      </w:rPr>
    </w:lvl>
    <w:lvl w:ilvl="1">
      <w:start w:val="1"/>
      <w:numFmt w:val="decimal"/>
      <w:lvlText w:val="%1.%2"/>
      <w:lvlJc w:val="left"/>
      <w:pPr>
        <w:ind w:left="2793" w:hanging="1057"/>
        <w:jc w:val="left"/>
      </w:pPr>
      <w:rPr>
        <w:rFonts w:hint="default" w:ascii="黑体" w:hAnsi="黑体" w:eastAsia="黑体" w:cs="黑体"/>
        <w:spacing w:val="-53"/>
        <w:w w:val="100"/>
        <w:sz w:val="21"/>
        <w:szCs w:val="21"/>
      </w:rPr>
    </w:lvl>
    <w:lvl w:ilvl="2">
      <w:start w:val="0"/>
      <w:numFmt w:val="bullet"/>
      <w:lvlText w:val="•"/>
      <w:lvlJc w:val="left"/>
      <w:pPr>
        <w:ind w:left="3582" w:hanging="1057"/>
      </w:pPr>
      <w:rPr>
        <w:rFonts w:hint="default"/>
      </w:rPr>
    </w:lvl>
    <w:lvl w:ilvl="3">
      <w:start w:val="0"/>
      <w:numFmt w:val="bullet"/>
      <w:lvlText w:val="•"/>
      <w:lvlJc w:val="left"/>
      <w:pPr>
        <w:ind w:left="4365" w:hanging="1057"/>
      </w:pPr>
      <w:rPr>
        <w:rFonts w:hint="default"/>
      </w:rPr>
    </w:lvl>
    <w:lvl w:ilvl="4">
      <w:start w:val="0"/>
      <w:numFmt w:val="bullet"/>
      <w:lvlText w:val="•"/>
      <w:lvlJc w:val="left"/>
      <w:pPr>
        <w:ind w:left="5148" w:hanging="1057"/>
      </w:pPr>
      <w:rPr>
        <w:rFonts w:hint="default"/>
      </w:rPr>
    </w:lvl>
    <w:lvl w:ilvl="5">
      <w:start w:val="0"/>
      <w:numFmt w:val="bullet"/>
      <w:lvlText w:val="•"/>
      <w:lvlJc w:val="left"/>
      <w:pPr>
        <w:ind w:left="5930" w:hanging="1057"/>
      </w:pPr>
      <w:rPr>
        <w:rFonts w:hint="default"/>
      </w:rPr>
    </w:lvl>
    <w:lvl w:ilvl="6">
      <w:start w:val="0"/>
      <w:numFmt w:val="bullet"/>
      <w:lvlText w:val="•"/>
      <w:lvlJc w:val="left"/>
      <w:pPr>
        <w:ind w:left="6713" w:hanging="1057"/>
      </w:pPr>
      <w:rPr>
        <w:rFonts w:hint="default"/>
      </w:rPr>
    </w:lvl>
    <w:lvl w:ilvl="7">
      <w:start w:val="0"/>
      <w:numFmt w:val="bullet"/>
      <w:lvlText w:val="•"/>
      <w:lvlJc w:val="left"/>
      <w:pPr>
        <w:ind w:left="7496" w:hanging="1057"/>
      </w:pPr>
      <w:rPr>
        <w:rFonts w:hint="default"/>
      </w:rPr>
    </w:lvl>
    <w:lvl w:ilvl="8">
      <w:start w:val="0"/>
      <w:numFmt w:val="bullet"/>
      <w:lvlText w:val="•"/>
      <w:lvlJc w:val="left"/>
      <w:pPr>
        <w:ind w:left="8278" w:hanging="1057"/>
      </w:pPr>
      <w:rPr>
        <w:rFonts w:hint="default"/>
      </w:rPr>
    </w:lvl>
  </w:abstractNum>
  <w:abstractNum w:abstractNumId="1">
    <w:multiLevelType w:val="hybridMultilevel"/>
    <w:lvl w:ilvl="0">
      <w:start w:val="1"/>
      <w:numFmt w:val="decimal"/>
      <w:lvlText w:val="%1"/>
      <w:lvlJc w:val="left"/>
      <w:pPr>
        <w:ind w:left="2793" w:hanging="1057"/>
        <w:jc w:val="left"/>
      </w:pPr>
      <w:rPr>
        <w:rFonts w:hint="default"/>
      </w:rPr>
    </w:lvl>
    <w:lvl w:ilvl="1">
      <w:start w:val="1"/>
      <w:numFmt w:val="decimal"/>
      <w:lvlText w:val="%1.%2"/>
      <w:lvlJc w:val="left"/>
      <w:pPr>
        <w:ind w:left="2793" w:hanging="1057"/>
        <w:jc w:val="left"/>
      </w:pPr>
      <w:rPr>
        <w:rFonts w:hint="default" w:ascii="黑体" w:hAnsi="黑体" w:eastAsia="黑体" w:cs="黑体"/>
        <w:spacing w:val="-105"/>
        <w:w w:val="100"/>
        <w:sz w:val="21"/>
        <w:szCs w:val="21"/>
      </w:rPr>
    </w:lvl>
    <w:lvl w:ilvl="2">
      <w:start w:val="0"/>
      <w:numFmt w:val="bullet"/>
      <w:lvlText w:val="•"/>
      <w:lvlJc w:val="left"/>
      <w:pPr>
        <w:ind w:left="4208" w:hanging="1057"/>
      </w:pPr>
      <w:rPr>
        <w:rFonts w:hint="default"/>
      </w:rPr>
    </w:lvl>
    <w:lvl w:ilvl="3">
      <w:start w:val="0"/>
      <w:numFmt w:val="bullet"/>
      <w:lvlText w:val="•"/>
      <w:lvlJc w:val="left"/>
      <w:pPr>
        <w:ind w:left="4913" w:hanging="1057"/>
      </w:pPr>
      <w:rPr>
        <w:rFonts w:hint="default"/>
      </w:rPr>
    </w:lvl>
    <w:lvl w:ilvl="4">
      <w:start w:val="0"/>
      <w:numFmt w:val="bullet"/>
      <w:lvlText w:val="•"/>
      <w:lvlJc w:val="left"/>
      <w:pPr>
        <w:ind w:left="5617" w:hanging="1057"/>
      </w:pPr>
      <w:rPr>
        <w:rFonts w:hint="default"/>
      </w:rPr>
    </w:lvl>
    <w:lvl w:ilvl="5">
      <w:start w:val="0"/>
      <w:numFmt w:val="bullet"/>
      <w:lvlText w:val="•"/>
      <w:lvlJc w:val="left"/>
      <w:pPr>
        <w:ind w:left="6322" w:hanging="1057"/>
      </w:pPr>
      <w:rPr>
        <w:rFonts w:hint="default"/>
      </w:rPr>
    </w:lvl>
    <w:lvl w:ilvl="6">
      <w:start w:val="0"/>
      <w:numFmt w:val="bullet"/>
      <w:lvlText w:val="•"/>
      <w:lvlJc w:val="left"/>
      <w:pPr>
        <w:ind w:left="7026" w:hanging="1057"/>
      </w:pPr>
      <w:rPr>
        <w:rFonts w:hint="default"/>
      </w:rPr>
    </w:lvl>
    <w:lvl w:ilvl="7">
      <w:start w:val="0"/>
      <w:numFmt w:val="bullet"/>
      <w:lvlText w:val="•"/>
      <w:lvlJc w:val="left"/>
      <w:pPr>
        <w:ind w:left="7731" w:hanging="1057"/>
      </w:pPr>
      <w:rPr>
        <w:rFonts w:hint="default"/>
      </w:rPr>
    </w:lvl>
    <w:lvl w:ilvl="8">
      <w:start w:val="0"/>
      <w:numFmt w:val="bullet"/>
      <w:lvlText w:val="•"/>
      <w:lvlJc w:val="left"/>
      <w:pPr>
        <w:ind w:left="8435" w:hanging="1057"/>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24" w:hanging="453"/>
      </w:pPr>
      <w:rPr>
        <w:rFonts w:hint="default"/>
      </w:rPr>
    </w:lvl>
    <w:lvl w:ilvl="2">
      <w:start w:val="0"/>
      <w:numFmt w:val="bullet"/>
      <w:lvlText w:val="•"/>
      <w:lvlJc w:val="left"/>
      <w:pPr>
        <w:ind w:left="2608" w:hanging="453"/>
      </w:pPr>
      <w:rPr>
        <w:rFonts w:hint="default"/>
      </w:rPr>
    </w:lvl>
    <w:lvl w:ilvl="3">
      <w:start w:val="0"/>
      <w:numFmt w:val="bullet"/>
      <w:lvlText w:val="•"/>
      <w:lvlJc w:val="left"/>
      <w:pPr>
        <w:ind w:left="3493" w:hanging="453"/>
      </w:pPr>
      <w:rPr>
        <w:rFonts w:hint="default"/>
      </w:rPr>
    </w:lvl>
    <w:lvl w:ilvl="4">
      <w:start w:val="0"/>
      <w:numFmt w:val="bullet"/>
      <w:lvlText w:val="•"/>
      <w:lvlJc w:val="left"/>
      <w:pPr>
        <w:ind w:left="4377" w:hanging="453"/>
      </w:pPr>
      <w:rPr>
        <w:rFonts w:hint="default"/>
      </w:rPr>
    </w:lvl>
    <w:lvl w:ilvl="5">
      <w:start w:val="0"/>
      <w:numFmt w:val="bullet"/>
      <w:lvlText w:val="•"/>
      <w:lvlJc w:val="left"/>
      <w:pPr>
        <w:ind w:left="5262" w:hanging="453"/>
      </w:pPr>
      <w:rPr>
        <w:rFonts w:hint="default"/>
      </w:rPr>
    </w:lvl>
    <w:lvl w:ilvl="6">
      <w:start w:val="0"/>
      <w:numFmt w:val="bullet"/>
      <w:lvlText w:val="•"/>
      <w:lvlJc w:val="left"/>
      <w:pPr>
        <w:ind w:left="6146" w:hanging="453"/>
      </w:pPr>
      <w:rPr>
        <w:rFonts w:hint="default"/>
      </w:rPr>
    </w:lvl>
    <w:lvl w:ilvl="7">
      <w:start w:val="0"/>
      <w:numFmt w:val="bullet"/>
      <w:lvlText w:val="•"/>
      <w:lvlJc w:val="left"/>
      <w:pPr>
        <w:ind w:left="7031" w:hanging="453"/>
      </w:pPr>
      <w:rPr>
        <w:rFonts w:hint="default"/>
      </w:rPr>
    </w:lvl>
    <w:lvl w:ilvl="8">
      <w:start w:val="0"/>
      <w:numFmt w:val="bullet"/>
      <w:lvlText w:val="•"/>
      <w:lvlJc w:val="left"/>
      <w:pPr>
        <w:ind w:left="7915" w:hanging="453"/>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47"/>
      <w:ind w:left="106" w:right="399" w:hanging="644"/>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773" w:hanging="2558"/>
    </w:pPr>
    <w:rPr>
      <w:rFonts w:ascii="宋体" w:hAnsi="宋体" w:eastAsia="宋体" w:cs="宋体"/>
    </w:rPr>
  </w:style>
  <w:style w:styleId="TableParagraph" w:type="paragraph">
    <w:name w:val="Table Paragraph"/>
    <w:basedOn w:val="Normal"/>
    <w:uiPriority w:val="1"/>
    <w:qFormat/>
    <w:pPr>
      <w:spacing w:before="4"/>
      <w:ind w:left="12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zhubeibei</dc:creator>
  <dc:title>&lt;4D6963726F736F667420576F7264202D20CCABB1A3CAD9A3A832303134A3A9333239BAC5B8BDBCFE303220CAD8BBA4B1A6D6D8B4F3BCB2B2A1B1A3CFD5CCF5BFEE&gt;</dc:title>
  <dcterms:created xsi:type="dcterms:W3CDTF">2018-10-19T22:49:16Z</dcterms:created>
  <dcterms:modified xsi:type="dcterms:W3CDTF">2018-10-19T22:49:16Z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2014-10-24T00:00:00Z</vt:filetime>
  </property>
  <property fmtid="{D5CDD505-2E9C-101B-9397-08002B2CF9AE}" pid="3" name="Creator">
    <vt:lpwstr>PScript5.dll Version 5.2</vt:lpwstr>
  </property>
  <property fmtid="{D5CDD505-2E9C-101B-9397-08002B2CF9AE}" pid="4" name="LastSaved">
    <vt:filetime>2018-10-19T00:00:00Z</vt:filetime>
  </property>
</Properties>
</file>