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930"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930"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188"/>
        <w:ind w:left="2931" w:right="0" w:firstLine="0"/>
        <w:jc w:val="center"/>
        <w:rPr>
          <w:rFonts w:ascii="Microsoft JhengHei" w:eastAsia="Microsoft JhengHei" w:hint="eastAsia"/>
          <w:b/>
          <w:sz w:val="32"/>
        </w:rPr>
      </w:pPr>
      <w:r>
        <w:rPr>
          <w:rFonts w:ascii="Microsoft JhengHei" w:eastAsia="Microsoft JhengHei" w:hint="eastAsia"/>
          <w:b/>
          <w:sz w:val="32"/>
        </w:rPr>
        <w:t>附加安心重大疾病保险</w:t>
      </w:r>
    </w:p>
    <w:p>
      <w:pPr>
        <w:spacing w:before="146"/>
        <w:ind w:left="651" w:right="100" w:firstLine="0"/>
        <w:jc w:val="center"/>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1</w:t>
      </w:r>
      <w:r>
        <w:rPr>
          <w:spacing w:val="1"/>
          <w:w w:val="56"/>
          <w:sz w:val="18"/>
        </w:rPr>
        <w:t>]</w:t>
      </w:r>
      <w:r>
        <w:rPr>
          <w:spacing w:val="-3"/>
          <w:w w:val="101"/>
          <w:sz w:val="18"/>
        </w:rPr>
        <w:t>疾病保险第</w:t>
      </w:r>
      <w:r>
        <w:rPr>
          <w:spacing w:val="-47"/>
          <w:sz w:val="18"/>
        </w:rPr>
        <w:t> </w:t>
      </w:r>
      <w:r>
        <w:rPr>
          <w:spacing w:val="-1"/>
          <w:w w:val="112"/>
          <w:sz w:val="18"/>
        </w:rPr>
        <w:t>00</w:t>
      </w:r>
      <w:r>
        <w:rPr>
          <w:w w:val="112"/>
          <w:sz w:val="18"/>
        </w:rPr>
        <w:t>6</w:t>
      </w:r>
      <w:r>
        <w:rPr>
          <w:spacing w:val="-53"/>
          <w:sz w:val="18"/>
        </w:rPr>
        <w:t> </w:t>
      </w:r>
      <w:r>
        <w:rPr>
          <w:w w:val="101"/>
          <w:sz w:val="18"/>
        </w:rPr>
        <w:t>号</w:t>
      </w:r>
    </w:p>
    <w:p>
      <w:pPr>
        <w:pStyle w:val="BodyText"/>
        <w:spacing w:before="8"/>
        <w:ind w:left="0"/>
        <w:rPr>
          <w:sz w:val="13"/>
        </w:rPr>
      </w:pPr>
      <w:r>
        <w:rPr/>
        <w:drawing>
          <wp:anchor distT="0" distB="0" distL="0" distR="0" allowOverlap="1" layoutInCell="1" locked="0" behindDoc="0" simplePos="0" relativeHeight="0">
            <wp:simplePos x="0" y="0"/>
            <wp:positionH relativeFrom="page">
              <wp:posOffset>6096000</wp:posOffset>
            </wp:positionH>
            <wp:positionV relativeFrom="paragraph">
              <wp:posOffset>138253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06"/>
        <w:ind w:left="627" w:right="100"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9" w:top="840" w:bottom="400" w:left="820" w:right="240"/>
          <w:cols w:num="2" w:equalWidth="0">
            <w:col w:w="7338" w:space="40"/>
            <w:col w:w="3472"/>
          </w:cols>
        </w:sectPr>
      </w:pPr>
    </w:p>
    <w:p>
      <w:pPr>
        <w:pStyle w:val="BodyText"/>
        <w:spacing w:before="10"/>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1"/>
        <w:gridCol w:w="3200"/>
        <w:gridCol w:w="1527"/>
        <w:gridCol w:w="2686"/>
      </w:tblGrid>
      <w:tr>
        <w:trPr>
          <w:trHeight w:val="485" w:hRule="atLeast"/>
        </w:trPr>
        <w:tc>
          <w:tcPr>
            <w:tcW w:w="1211" w:type="dxa"/>
          </w:tcPr>
          <w:p>
            <w:pPr>
              <w:pStyle w:val="TableParagraph"/>
              <w:spacing w:line="318" w:lineRule="exact" w:before="0"/>
              <w:ind w:left="200"/>
              <w:rPr>
                <w:rFonts w:ascii="Microsoft JhengHei" w:eastAsia="Microsoft JhengHei" w:hint="eastAsia"/>
                <w:b/>
                <w:sz w:val="24"/>
              </w:rPr>
            </w:pPr>
            <w:r>
              <w:rPr>
                <w:rFonts w:ascii="Microsoft JhengHei" w:eastAsia="Microsoft JhengHei" w:hint="eastAsia"/>
                <w:b/>
                <w:sz w:val="24"/>
              </w:rPr>
              <w:t>条款目录</w:t>
            </w:r>
          </w:p>
        </w:tc>
        <w:tc>
          <w:tcPr>
            <w:tcW w:w="3200" w:type="dxa"/>
          </w:tcPr>
          <w:p>
            <w:pPr>
              <w:pStyle w:val="TableParagraph"/>
              <w:spacing w:before="0"/>
              <w:rPr>
                <w:rFonts w:ascii="Times New Roman"/>
                <w:sz w:val="20"/>
              </w:rPr>
            </w:pPr>
          </w:p>
        </w:tc>
        <w:tc>
          <w:tcPr>
            <w:tcW w:w="1527" w:type="dxa"/>
          </w:tcPr>
          <w:p>
            <w:pPr>
              <w:pStyle w:val="TableParagraph"/>
              <w:spacing w:before="0"/>
              <w:rPr>
                <w:rFonts w:ascii="Times New Roman"/>
                <w:sz w:val="20"/>
              </w:rPr>
            </w:pPr>
          </w:p>
        </w:tc>
        <w:tc>
          <w:tcPr>
            <w:tcW w:w="2686" w:type="dxa"/>
          </w:tcPr>
          <w:p>
            <w:pPr>
              <w:pStyle w:val="TableParagraph"/>
              <w:spacing w:before="0"/>
              <w:rPr>
                <w:rFonts w:ascii="Times New Roman"/>
                <w:sz w:val="20"/>
              </w:rPr>
            </w:pPr>
          </w:p>
        </w:tc>
      </w:tr>
      <w:tr>
        <w:trPr>
          <w:trHeight w:val="490" w:hRule="atLeast"/>
        </w:trPr>
        <w:tc>
          <w:tcPr>
            <w:tcW w:w="1211" w:type="dxa"/>
          </w:tcPr>
          <w:p>
            <w:pPr>
              <w:pStyle w:val="TableParagraph"/>
              <w:spacing w:before="145"/>
              <w:ind w:left="200"/>
              <w:rPr>
                <w:sz w:val="21"/>
              </w:rPr>
            </w:pPr>
            <w:r>
              <w:rPr>
                <w:sz w:val="21"/>
              </w:rPr>
              <w:t>第一条</w:t>
            </w:r>
          </w:p>
        </w:tc>
        <w:tc>
          <w:tcPr>
            <w:tcW w:w="3200" w:type="dxa"/>
          </w:tcPr>
          <w:p>
            <w:pPr>
              <w:pStyle w:val="TableParagraph"/>
              <w:spacing w:before="145"/>
              <w:ind w:left="165"/>
              <w:rPr>
                <w:sz w:val="21"/>
              </w:rPr>
            </w:pPr>
            <w:r>
              <w:rPr>
                <w:sz w:val="21"/>
              </w:rPr>
              <w:t>附加合同的构成</w:t>
            </w:r>
          </w:p>
        </w:tc>
        <w:tc>
          <w:tcPr>
            <w:tcW w:w="1527" w:type="dxa"/>
          </w:tcPr>
          <w:p>
            <w:pPr>
              <w:pStyle w:val="TableParagraph"/>
              <w:spacing w:before="145"/>
              <w:ind w:left="298"/>
              <w:rPr>
                <w:sz w:val="21"/>
              </w:rPr>
            </w:pPr>
            <w:r>
              <w:rPr>
                <w:sz w:val="21"/>
              </w:rPr>
              <w:t>第十二条</w:t>
            </w:r>
          </w:p>
        </w:tc>
        <w:tc>
          <w:tcPr>
            <w:tcW w:w="2686" w:type="dxa"/>
          </w:tcPr>
          <w:p>
            <w:pPr>
              <w:pStyle w:val="TableParagraph"/>
              <w:spacing w:before="145"/>
              <w:ind w:left="173"/>
              <w:rPr>
                <w:sz w:val="21"/>
              </w:rPr>
            </w:pPr>
            <w:r>
              <w:rPr>
                <w:sz w:val="21"/>
              </w:rPr>
              <w:t>本公司合同解除权的限制</w:t>
            </w:r>
          </w:p>
        </w:tc>
      </w:tr>
      <w:tr>
        <w:trPr>
          <w:trHeight w:val="367" w:hRule="atLeast"/>
        </w:trPr>
        <w:tc>
          <w:tcPr>
            <w:tcW w:w="1211" w:type="dxa"/>
          </w:tcPr>
          <w:p>
            <w:pPr>
              <w:pStyle w:val="TableParagraph"/>
              <w:spacing w:before="23"/>
              <w:ind w:left="200"/>
              <w:rPr>
                <w:sz w:val="21"/>
              </w:rPr>
            </w:pPr>
            <w:r>
              <w:rPr>
                <w:sz w:val="21"/>
              </w:rPr>
              <w:t>第二条</w:t>
            </w:r>
          </w:p>
        </w:tc>
        <w:tc>
          <w:tcPr>
            <w:tcW w:w="3200" w:type="dxa"/>
          </w:tcPr>
          <w:p>
            <w:pPr>
              <w:pStyle w:val="TableParagraph"/>
              <w:spacing w:before="23"/>
              <w:ind w:left="165"/>
              <w:rPr>
                <w:sz w:val="21"/>
              </w:rPr>
            </w:pPr>
            <w:r>
              <w:rPr>
                <w:sz w:val="21"/>
              </w:rPr>
              <w:t>保险责任</w:t>
            </w:r>
          </w:p>
        </w:tc>
        <w:tc>
          <w:tcPr>
            <w:tcW w:w="1527" w:type="dxa"/>
          </w:tcPr>
          <w:p>
            <w:pPr>
              <w:pStyle w:val="TableParagraph"/>
              <w:spacing w:before="23"/>
              <w:ind w:left="298"/>
              <w:rPr>
                <w:sz w:val="21"/>
              </w:rPr>
            </w:pPr>
            <w:r>
              <w:rPr>
                <w:sz w:val="21"/>
              </w:rPr>
              <w:t>第十三条</w:t>
            </w:r>
          </w:p>
        </w:tc>
        <w:tc>
          <w:tcPr>
            <w:tcW w:w="2686" w:type="dxa"/>
          </w:tcPr>
          <w:p>
            <w:pPr>
              <w:pStyle w:val="TableParagraph"/>
              <w:spacing w:before="23"/>
              <w:ind w:left="173"/>
              <w:rPr>
                <w:sz w:val="21"/>
              </w:rPr>
            </w:pPr>
            <w:r>
              <w:rPr>
                <w:sz w:val="21"/>
              </w:rPr>
              <w:t>受益人</w:t>
            </w:r>
          </w:p>
        </w:tc>
      </w:tr>
      <w:tr>
        <w:trPr>
          <w:trHeight w:val="364" w:hRule="atLeast"/>
        </w:trPr>
        <w:tc>
          <w:tcPr>
            <w:tcW w:w="1211" w:type="dxa"/>
          </w:tcPr>
          <w:p>
            <w:pPr>
              <w:pStyle w:val="TableParagraph"/>
              <w:ind w:left="200"/>
              <w:rPr>
                <w:sz w:val="21"/>
              </w:rPr>
            </w:pPr>
            <w:r>
              <w:rPr>
                <w:sz w:val="21"/>
              </w:rPr>
              <w:t>第三条</w:t>
            </w:r>
          </w:p>
        </w:tc>
        <w:tc>
          <w:tcPr>
            <w:tcW w:w="3200" w:type="dxa"/>
          </w:tcPr>
          <w:p>
            <w:pPr>
              <w:pStyle w:val="TableParagraph"/>
              <w:ind w:left="165"/>
              <w:rPr>
                <w:sz w:val="21"/>
              </w:rPr>
            </w:pPr>
            <w:r>
              <w:rPr>
                <w:sz w:val="21"/>
              </w:rPr>
              <w:t>责任免除</w:t>
            </w:r>
          </w:p>
        </w:tc>
        <w:tc>
          <w:tcPr>
            <w:tcW w:w="1527" w:type="dxa"/>
          </w:tcPr>
          <w:p>
            <w:pPr>
              <w:pStyle w:val="TableParagraph"/>
              <w:ind w:left="298"/>
              <w:rPr>
                <w:sz w:val="21"/>
              </w:rPr>
            </w:pPr>
            <w:r>
              <w:rPr>
                <w:sz w:val="21"/>
              </w:rPr>
              <w:t>第十四条</w:t>
            </w:r>
          </w:p>
        </w:tc>
        <w:tc>
          <w:tcPr>
            <w:tcW w:w="2686" w:type="dxa"/>
          </w:tcPr>
          <w:p>
            <w:pPr>
              <w:pStyle w:val="TableParagraph"/>
              <w:ind w:left="173"/>
              <w:rPr>
                <w:sz w:val="21"/>
              </w:rPr>
            </w:pPr>
            <w:r>
              <w:rPr>
                <w:sz w:val="21"/>
              </w:rPr>
              <w:t>保险金申请</w:t>
            </w:r>
          </w:p>
        </w:tc>
      </w:tr>
      <w:tr>
        <w:trPr>
          <w:trHeight w:val="364" w:hRule="atLeast"/>
        </w:trPr>
        <w:tc>
          <w:tcPr>
            <w:tcW w:w="1211" w:type="dxa"/>
          </w:tcPr>
          <w:p>
            <w:pPr>
              <w:pStyle w:val="TableParagraph"/>
              <w:ind w:left="200"/>
              <w:rPr>
                <w:sz w:val="21"/>
              </w:rPr>
            </w:pPr>
            <w:r>
              <w:rPr>
                <w:sz w:val="21"/>
              </w:rPr>
              <w:t>第四条</w:t>
            </w:r>
          </w:p>
        </w:tc>
        <w:tc>
          <w:tcPr>
            <w:tcW w:w="3200" w:type="dxa"/>
          </w:tcPr>
          <w:p>
            <w:pPr>
              <w:pStyle w:val="TableParagraph"/>
              <w:ind w:left="165"/>
              <w:rPr>
                <w:sz w:val="21"/>
              </w:rPr>
            </w:pPr>
            <w:r>
              <w:rPr>
                <w:sz w:val="21"/>
              </w:rPr>
              <w:t>保险合同成立与生效</w:t>
            </w:r>
          </w:p>
        </w:tc>
        <w:tc>
          <w:tcPr>
            <w:tcW w:w="1527" w:type="dxa"/>
          </w:tcPr>
          <w:p>
            <w:pPr>
              <w:pStyle w:val="TableParagraph"/>
              <w:ind w:left="298"/>
              <w:rPr>
                <w:sz w:val="21"/>
              </w:rPr>
            </w:pPr>
            <w:r>
              <w:rPr>
                <w:sz w:val="21"/>
              </w:rPr>
              <w:t>第十五条</w:t>
            </w:r>
          </w:p>
        </w:tc>
        <w:tc>
          <w:tcPr>
            <w:tcW w:w="2686" w:type="dxa"/>
          </w:tcPr>
          <w:p>
            <w:pPr>
              <w:pStyle w:val="TableParagraph"/>
              <w:ind w:left="173"/>
              <w:rPr>
                <w:sz w:val="21"/>
              </w:rPr>
            </w:pPr>
            <w:r>
              <w:rPr>
                <w:sz w:val="21"/>
              </w:rPr>
              <w:t>诉讼时效</w:t>
            </w:r>
          </w:p>
        </w:tc>
      </w:tr>
      <w:tr>
        <w:trPr>
          <w:trHeight w:val="367" w:hRule="atLeast"/>
        </w:trPr>
        <w:tc>
          <w:tcPr>
            <w:tcW w:w="1211" w:type="dxa"/>
          </w:tcPr>
          <w:p>
            <w:pPr>
              <w:pStyle w:val="TableParagraph"/>
              <w:ind w:left="200"/>
              <w:rPr>
                <w:sz w:val="21"/>
              </w:rPr>
            </w:pPr>
            <w:r>
              <w:rPr>
                <w:sz w:val="21"/>
              </w:rPr>
              <w:t>第五条</w:t>
            </w:r>
          </w:p>
        </w:tc>
        <w:tc>
          <w:tcPr>
            <w:tcW w:w="3200" w:type="dxa"/>
          </w:tcPr>
          <w:p>
            <w:pPr>
              <w:pStyle w:val="TableParagraph"/>
              <w:ind w:left="165"/>
              <w:rPr>
                <w:sz w:val="21"/>
              </w:rPr>
            </w:pPr>
            <w:r>
              <w:rPr>
                <w:sz w:val="21"/>
              </w:rPr>
              <w:t>保险期间</w:t>
            </w:r>
          </w:p>
        </w:tc>
        <w:tc>
          <w:tcPr>
            <w:tcW w:w="1527" w:type="dxa"/>
          </w:tcPr>
          <w:p>
            <w:pPr>
              <w:pStyle w:val="TableParagraph"/>
              <w:ind w:left="298"/>
              <w:rPr>
                <w:sz w:val="21"/>
              </w:rPr>
            </w:pPr>
            <w:r>
              <w:rPr>
                <w:sz w:val="21"/>
              </w:rPr>
              <w:t>第十六条</w:t>
            </w:r>
          </w:p>
        </w:tc>
        <w:tc>
          <w:tcPr>
            <w:tcW w:w="2686" w:type="dxa"/>
          </w:tcPr>
          <w:p>
            <w:pPr>
              <w:pStyle w:val="TableParagraph"/>
              <w:ind w:left="173"/>
              <w:rPr>
                <w:sz w:val="21"/>
              </w:rPr>
            </w:pPr>
            <w:r>
              <w:rPr>
                <w:sz w:val="21"/>
              </w:rPr>
              <w:t>身体检查</w:t>
            </w:r>
          </w:p>
        </w:tc>
      </w:tr>
      <w:tr>
        <w:trPr>
          <w:trHeight w:val="367" w:hRule="atLeast"/>
        </w:trPr>
        <w:tc>
          <w:tcPr>
            <w:tcW w:w="1211" w:type="dxa"/>
          </w:tcPr>
          <w:p>
            <w:pPr>
              <w:pStyle w:val="TableParagraph"/>
              <w:spacing w:before="24"/>
              <w:ind w:left="200"/>
              <w:rPr>
                <w:sz w:val="21"/>
              </w:rPr>
            </w:pPr>
            <w:r>
              <w:rPr>
                <w:sz w:val="21"/>
              </w:rPr>
              <w:t>第六条</w:t>
            </w:r>
          </w:p>
        </w:tc>
        <w:tc>
          <w:tcPr>
            <w:tcW w:w="3200" w:type="dxa"/>
          </w:tcPr>
          <w:p>
            <w:pPr>
              <w:pStyle w:val="TableParagraph"/>
              <w:spacing w:before="24"/>
              <w:ind w:left="165"/>
              <w:rPr>
                <w:sz w:val="21"/>
              </w:rPr>
            </w:pPr>
            <w:r>
              <w:rPr>
                <w:sz w:val="21"/>
              </w:rPr>
              <w:t>保险金额</w:t>
            </w:r>
          </w:p>
        </w:tc>
        <w:tc>
          <w:tcPr>
            <w:tcW w:w="1527" w:type="dxa"/>
          </w:tcPr>
          <w:p>
            <w:pPr>
              <w:pStyle w:val="TableParagraph"/>
              <w:spacing w:before="24"/>
              <w:ind w:left="298"/>
              <w:rPr>
                <w:sz w:val="21"/>
              </w:rPr>
            </w:pPr>
            <w:r>
              <w:rPr>
                <w:sz w:val="21"/>
              </w:rPr>
              <w:t>第十七条</w:t>
            </w:r>
          </w:p>
        </w:tc>
        <w:tc>
          <w:tcPr>
            <w:tcW w:w="2686" w:type="dxa"/>
          </w:tcPr>
          <w:p>
            <w:pPr>
              <w:pStyle w:val="TableParagraph"/>
              <w:spacing w:before="24"/>
              <w:ind w:left="173"/>
              <w:rPr>
                <w:sz w:val="21"/>
              </w:rPr>
            </w:pPr>
            <w:r>
              <w:rPr>
                <w:sz w:val="21"/>
              </w:rPr>
              <w:t>保险费的缴付与宽限期</w:t>
            </w:r>
          </w:p>
        </w:tc>
      </w:tr>
      <w:tr>
        <w:trPr>
          <w:trHeight w:val="364" w:hRule="atLeast"/>
        </w:trPr>
        <w:tc>
          <w:tcPr>
            <w:tcW w:w="1211" w:type="dxa"/>
          </w:tcPr>
          <w:p>
            <w:pPr>
              <w:pStyle w:val="TableParagraph"/>
              <w:ind w:left="200"/>
              <w:rPr>
                <w:sz w:val="21"/>
              </w:rPr>
            </w:pPr>
            <w:r>
              <w:rPr>
                <w:sz w:val="21"/>
              </w:rPr>
              <w:t>第七条</w:t>
            </w:r>
          </w:p>
        </w:tc>
        <w:tc>
          <w:tcPr>
            <w:tcW w:w="3200" w:type="dxa"/>
          </w:tcPr>
          <w:p>
            <w:pPr>
              <w:pStyle w:val="TableParagraph"/>
              <w:ind w:left="165"/>
              <w:rPr>
                <w:sz w:val="21"/>
              </w:rPr>
            </w:pPr>
            <w:r>
              <w:rPr>
                <w:sz w:val="21"/>
              </w:rPr>
              <w:t>保证续保</w:t>
            </w:r>
          </w:p>
        </w:tc>
        <w:tc>
          <w:tcPr>
            <w:tcW w:w="1527" w:type="dxa"/>
          </w:tcPr>
          <w:p>
            <w:pPr>
              <w:pStyle w:val="TableParagraph"/>
              <w:ind w:left="298"/>
              <w:rPr>
                <w:sz w:val="21"/>
              </w:rPr>
            </w:pPr>
            <w:r>
              <w:rPr>
                <w:sz w:val="21"/>
              </w:rPr>
              <w:t>第十八条</w:t>
            </w:r>
          </w:p>
        </w:tc>
        <w:tc>
          <w:tcPr>
            <w:tcW w:w="2686" w:type="dxa"/>
          </w:tcPr>
          <w:p>
            <w:pPr>
              <w:pStyle w:val="TableParagraph"/>
              <w:ind w:left="173"/>
              <w:rPr>
                <w:sz w:val="21"/>
              </w:rPr>
            </w:pPr>
            <w:r>
              <w:rPr>
                <w:sz w:val="21"/>
              </w:rPr>
              <w:t>欠款的扣除</w:t>
            </w:r>
          </w:p>
        </w:tc>
      </w:tr>
      <w:tr>
        <w:trPr>
          <w:trHeight w:val="364" w:hRule="atLeast"/>
        </w:trPr>
        <w:tc>
          <w:tcPr>
            <w:tcW w:w="1211" w:type="dxa"/>
          </w:tcPr>
          <w:p>
            <w:pPr>
              <w:pStyle w:val="TableParagraph"/>
              <w:ind w:left="200"/>
              <w:rPr>
                <w:sz w:val="21"/>
              </w:rPr>
            </w:pPr>
            <w:r>
              <w:rPr>
                <w:sz w:val="21"/>
              </w:rPr>
              <w:t>第八条</w:t>
            </w:r>
          </w:p>
        </w:tc>
        <w:tc>
          <w:tcPr>
            <w:tcW w:w="3200" w:type="dxa"/>
          </w:tcPr>
          <w:p>
            <w:pPr>
              <w:pStyle w:val="TableParagraph"/>
              <w:ind w:left="165"/>
              <w:rPr>
                <w:sz w:val="21"/>
              </w:rPr>
            </w:pPr>
            <w:r>
              <w:rPr>
                <w:sz w:val="21"/>
              </w:rPr>
              <w:t>保险费率的调整</w:t>
            </w:r>
          </w:p>
        </w:tc>
        <w:tc>
          <w:tcPr>
            <w:tcW w:w="1527" w:type="dxa"/>
          </w:tcPr>
          <w:p>
            <w:pPr>
              <w:pStyle w:val="TableParagraph"/>
              <w:ind w:left="298"/>
              <w:rPr>
                <w:sz w:val="21"/>
              </w:rPr>
            </w:pPr>
            <w:r>
              <w:rPr>
                <w:sz w:val="21"/>
              </w:rPr>
              <w:t>第十九条</w:t>
            </w:r>
          </w:p>
        </w:tc>
        <w:tc>
          <w:tcPr>
            <w:tcW w:w="2686" w:type="dxa"/>
          </w:tcPr>
          <w:p>
            <w:pPr>
              <w:pStyle w:val="TableParagraph"/>
              <w:ind w:left="173"/>
              <w:rPr>
                <w:sz w:val="21"/>
              </w:rPr>
            </w:pPr>
            <w:r>
              <w:rPr>
                <w:sz w:val="21"/>
              </w:rPr>
              <w:t>附加合同效力的终止</w:t>
            </w:r>
          </w:p>
        </w:tc>
      </w:tr>
      <w:tr>
        <w:trPr>
          <w:trHeight w:val="365" w:hRule="atLeast"/>
        </w:trPr>
        <w:tc>
          <w:tcPr>
            <w:tcW w:w="1211" w:type="dxa"/>
          </w:tcPr>
          <w:p>
            <w:pPr>
              <w:pStyle w:val="TableParagraph"/>
              <w:ind w:left="200"/>
              <w:rPr>
                <w:sz w:val="21"/>
              </w:rPr>
            </w:pPr>
            <w:r>
              <w:rPr>
                <w:sz w:val="21"/>
              </w:rPr>
              <w:t>第九条</w:t>
            </w:r>
          </w:p>
        </w:tc>
        <w:tc>
          <w:tcPr>
            <w:tcW w:w="3200" w:type="dxa"/>
          </w:tcPr>
          <w:p>
            <w:pPr>
              <w:pStyle w:val="TableParagraph"/>
              <w:ind w:left="165"/>
              <w:rPr>
                <w:sz w:val="21"/>
              </w:rPr>
            </w:pPr>
            <w:r>
              <w:rPr>
                <w:sz w:val="21"/>
              </w:rPr>
              <w:t>附加合同犹豫期</w:t>
            </w:r>
          </w:p>
        </w:tc>
        <w:tc>
          <w:tcPr>
            <w:tcW w:w="1527" w:type="dxa"/>
          </w:tcPr>
          <w:p>
            <w:pPr>
              <w:pStyle w:val="TableParagraph"/>
              <w:ind w:left="298"/>
              <w:rPr>
                <w:sz w:val="21"/>
              </w:rPr>
            </w:pPr>
            <w:r>
              <w:rPr>
                <w:sz w:val="21"/>
              </w:rPr>
              <w:t>第二十条</w:t>
            </w:r>
          </w:p>
        </w:tc>
        <w:tc>
          <w:tcPr>
            <w:tcW w:w="2686" w:type="dxa"/>
          </w:tcPr>
          <w:p>
            <w:pPr>
              <w:pStyle w:val="TableParagraph"/>
              <w:ind w:left="173"/>
              <w:rPr>
                <w:sz w:val="21"/>
              </w:rPr>
            </w:pPr>
            <w:r>
              <w:rPr>
                <w:sz w:val="21"/>
              </w:rPr>
              <w:t>重大疾病的释义</w:t>
            </w:r>
          </w:p>
        </w:tc>
      </w:tr>
      <w:tr>
        <w:trPr>
          <w:trHeight w:val="367" w:hRule="atLeast"/>
        </w:trPr>
        <w:tc>
          <w:tcPr>
            <w:tcW w:w="1211" w:type="dxa"/>
          </w:tcPr>
          <w:p>
            <w:pPr>
              <w:pStyle w:val="TableParagraph"/>
              <w:ind w:left="200"/>
              <w:rPr>
                <w:sz w:val="21"/>
              </w:rPr>
            </w:pPr>
            <w:r>
              <w:rPr>
                <w:sz w:val="21"/>
              </w:rPr>
              <w:t>第十条</w:t>
            </w:r>
          </w:p>
        </w:tc>
        <w:tc>
          <w:tcPr>
            <w:tcW w:w="3200" w:type="dxa"/>
          </w:tcPr>
          <w:p>
            <w:pPr>
              <w:pStyle w:val="TableParagraph"/>
              <w:ind w:left="165"/>
              <w:rPr>
                <w:sz w:val="21"/>
              </w:rPr>
            </w:pPr>
            <w:r>
              <w:rPr>
                <w:sz w:val="21"/>
              </w:rPr>
              <w:t>投保人解除合同的手续及风险</w:t>
            </w:r>
          </w:p>
        </w:tc>
        <w:tc>
          <w:tcPr>
            <w:tcW w:w="1527" w:type="dxa"/>
          </w:tcPr>
          <w:p>
            <w:pPr>
              <w:pStyle w:val="TableParagraph"/>
              <w:ind w:left="298"/>
              <w:rPr>
                <w:sz w:val="21"/>
              </w:rPr>
            </w:pPr>
            <w:r>
              <w:rPr>
                <w:sz w:val="21"/>
              </w:rPr>
              <w:t>第二十一条</w:t>
            </w:r>
          </w:p>
        </w:tc>
        <w:tc>
          <w:tcPr>
            <w:tcW w:w="2686" w:type="dxa"/>
          </w:tcPr>
          <w:p>
            <w:pPr>
              <w:pStyle w:val="TableParagraph"/>
              <w:ind w:left="173"/>
              <w:rPr>
                <w:sz w:val="21"/>
              </w:rPr>
            </w:pPr>
            <w:r>
              <w:rPr>
                <w:sz w:val="21"/>
              </w:rPr>
              <w:t>其他名词的释义</w:t>
            </w:r>
          </w:p>
        </w:tc>
      </w:tr>
      <w:tr>
        <w:trPr>
          <w:trHeight w:val="326" w:hRule="atLeast"/>
        </w:trPr>
        <w:tc>
          <w:tcPr>
            <w:tcW w:w="1211" w:type="dxa"/>
          </w:tcPr>
          <w:p>
            <w:pPr>
              <w:pStyle w:val="TableParagraph"/>
              <w:spacing w:before="23"/>
              <w:ind w:left="200"/>
              <w:rPr>
                <w:sz w:val="21"/>
              </w:rPr>
            </w:pPr>
            <w:r>
              <w:rPr>
                <w:sz w:val="21"/>
              </w:rPr>
              <w:t>第十一条</w:t>
            </w:r>
          </w:p>
        </w:tc>
        <w:tc>
          <w:tcPr>
            <w:tcW w:w="3200" w:type="dxa"/>
          </w:tcPr>
          <w:p>
            <w:pPr>
              <w:pStyle w:val="TableParagraph"/>
              <w:spacing w:before="23"/>
              <w:ind w:left="165"/>
              <w:rPr>
                <w:sz w:val="21"/>
              </w:rPr>
            </w:pPr>
            <w:r>
              <w:rPr>
                <w:sz w:val="21"/>
              </w:rPr>
              <w:t>明确说明与如实告知</w:t>
            </w:r>
          </w:p>
        </w:tc>
        <w:tc>
          <w:tcPr>
            <w:tcW w:w="1527" w:type="dxa"/>
          </w:tcPr>
          <w:p>
            <w:pPr>
              <w:pStyle w:val="TableParagraph"/>
              <w:spacing w:before="0"/>
              <w:rPr>
                <w:rFonts w:ascii="Times New Roman"/>
                <w:sz w:val="20"/>
              </w:rPr>
            </w:pPr>
          </w:p>
        </w:tc>
        <w:tc>
          <w:tcPr>
            <w:tcW w:w="2686" w:type="dxa"/>
          </w:tcPr>
          <w:p>
            <w:pPr>
              <w:pStyle w:val="TableParagraph"/>
              <w:spacing w:before="0"/>
              <w:rPr>
                <w:rFonts w:ascii="Times New Roman"/>
                <w:sz w:val="20"/>
              </w:rPr>
            </w:pPr>
          </w:p>
        </w:tc>
      </w:tr>
    </w:tbl>
    <w:p>
      <w:pPr>
        <w:pStyle w:val="BodyText"/>
        <w:spacing w:before="12"/>
        <w:ind w:left="0"/>
        <w:rPr>
          <w:sz w:val="15"/>
        </w:rPr>
      </w:pPr>
    </w:p>
    <w:p>
      <w:pPr>
        <w:pStyle w:val="Heading1"/>
        <w:spacing w:before="36"/>
        <w:ind w:left="313"/>
      </w:pPr>
      <w:r>
        <w:rPr/>
        <w:t>第一条 附加合同的构成</w:t>
      </w:r>
    </w:p>
    <w:p>
      <w:pPr>
        <w:pStyle w:val="BodyText"/>
        <w:spacing w:before="8"/>
        <w:ind w:left="0"/>
        <w:rPr>
          <w:rFonts w:ascii="黑体"/>
          <w:b/>
          <w:sz w:val="22"/>
        </w:rPr>
      </w:pPr>
    </w:p>
    <w:p>
      <w:pPr>
        <w:pStyle w:val="BodyText"/>
        <w:spacing w:line="321" w:lineRule="auto"/>
        <w:ind w:left="313" w:right="886"/>
        <w:jc w:val="both"/>
      </w:pPr>
      <w:r>
        <w:rPr>
          <w:w w:val="100"/>
        </w:rPr>
        <w:t>附加安心重大疾病保险合同（以下简称本附加合同</w:t>
      </w:r>
      <w:r>
        <w:rPr>
          <w:spacing w:val="-101"/>
          <w:w w:val="100"/>
        </w:rPr>
        <w:t>）</w:t>
      </w:r>
      <w:r>
        <w:rPr>
          <w:spacing w:val="-1"/>
          <w:w w:val="100"/>
        </w:rPr>
        <w:t>，依主合同投保人的申请，经本公司同意而订立。本</w:t>
      </w:r>
      <w:r>
        <w:rPr>
          <w:spacing w:val="-6"/>
        </w:rPr>
        <w:t>附加合同须附加于主合同后始为有效。主合同的构成中与本附加合同相关的部分均为本附加合同的构成部</w:t>
      </w:r>
      <w:r>
        <w:rPr>
          <w:spacing w:val="-5"/>
        </w:rPr>
        <w:t>分。若主合同与本附加合同的条款内容互有冲突，则以本附加合同为准。</w:t>
      </w:r>
    </w:p>
    <w:p>
      <w:pPr>
        <w:pStyle w:val="BodyText"/>
        <w:spacing w:before="9"/>
        <w:ind w:left="0"/>
        <w:rPr>
          <w:sz w:val="19"/>
        </w:rPr>
      </w:pPr>
    </w:p>
    <w:p>
      <w:pPr>
        <w:pStyle w:val="BodyText"/>
        <w:ind w:left="313"/>
      </w:pPr>
      <w:r>
        <w:rPr/>
        <w:t>本附加合同的代码为 </w:t>
      </w:r>
      <w:r>
        <w:rPr>
          <w:rFonts w:ascii="Times New Roman" w:eastAsia="Times New Roman"/>
        </w:rPr>
        <w:t>BDDD</w:t>
      </w:r>
      <w:r>
        <w:rPr/>
        <w:t>。</w:t>
      </w:r>
    </w:p>
    <w:p>
      <w:pPr>
        <w:pStyle w:val="BodyText"/>
        <w:spacing w:before="12"/>
        <w:ind w:left="0"/>
        <w:rPr>
          <w:sz w:val="19"/>
        </w:rPr>
      </w:pPr>
    </w:p>
    <w:p>
      <w:pPr>
        <w:pStyle w:val="Heading1"/>
        <w:spacing w:before="1"/>
        <w:ind w:left="313"/>
      </w:pPr>
      <w:r>
        <w:rPr/>
        <w:t>第二条 保险责任</w:t>
      </w:r>
    </w:p>
    <w:p>
      <w:pPr>
        <w:pStyle w:val="BodyText"/>
        <w:spacing w:before="8"/>
        <w:ind w:left="0"/>
        <w:rPr>
          <w:rFonts w:ascii="黑体"/>
          <w:b/>
          <w:sz w:val="22"/>
        </w:rPr>
      </w:pPr>
    </w:p>
    <w:p>
      <w:pPr>
        <w:pStyle w:val="BodyText"/>
        <w:ind w:left="313"/>
      </w:pPr>
      <w:r>
        <w:rPr/>
        <w:t>一、 身故、全残保险金</w:t>
      </w:r>
    </w:p>
    <w:p>
      <w:pPr>
        <w:pStyle w:val="BodyText"/>
        <w:spacing w:line="297" w:lineRule="auto" w:before="22"/>
        <w:ind w:left="313" w:right="887"/>
        <w:jc w:val="both"/>
      </w:pPr>
      <w:r>
        <w:rPr>
          <w:spacing w:val="-1"/>
        </w:rPr>
        <w:t>在本附加合同有效期限内，若被保险人身故或</w:t>
      </w:r>
      <w:r>
        <w:rPr>
          <w:rFonts w:ascii="Microsoft JhengHei" w:eastAsia="Microsoft JhengHei" w:hint="eastAsia"/>
          <w:b/>
          <w:spacing w:val="1"/>
        </w:rPr>
        <w:t>全残</w:t>
      </w:r>
      <w:r>
        <w:rPr>
          <w:rFonts w:ascii="Times New Roman" w:eastAsia="Times New Roman"/>
          <w:b/>
          <w:spacing w:val="-4"/>
        </w:rPr>
        <w:t>(</w:t>
      </w:r>
      <w:r>
        <w:rPr>
          <w:rFonts w:ascii="Microsoft JhengHei" w:eastAsia="Microsoft JhengHei" w:hint="eastAsia"/>
          <w:b/>
        </w:rPr>
        <w:t>见释义</w:t>
      </w:r>
      <w:r>
        <w:rPr>
          <w:rFonts w:ascii="Times New Roman" w:eastAsia="Times New Roman"/>
          <w:b/>
        </w:rPr>
        <w:t>)</w:t>
      </w:r>
      <w:r>
        <w:rPr>
          <w:spacing w:val="-2"/>
        </w:rPr>
        <w:t>，则本公司将按本附加合同保险金额给付身故</w:t>
      </w:r>
      <w:r>
        <w:rPr>
          <w:spacing w:val="-2"/>
          <w:w w:val="100"/>
        </w:rPr>
        <w:t>或全残保险金（</w:t>
      </w:r>
      <w:r>
        <w:rPr>
          <w:spacing w:val="-1"/>
          <w:w w:val="100"/>
        </w:rPr>
        <w:t>若被保险人同时致成一项以上全残情形时，该给付以一项为限</w:t>
      </w:r>
      <w:r>
        <w:rPr>
          <w:spacing w:val="-101"/>
          <w:w w:val="100"/>
        </w:rPr>
        <w:t>）</w:t>
      </w:r>
      <w:r>
        <w:rPr>
          <w:w w:val="100"/>
        </w:rPr>
        <w:t>，且不再给付本附加合同</w:t>
      </w:r>
      <w:r>
        <w:rPr>
          <w:spacing w:val="-4"/>
        </w:rPr>
        <w:t>的重大疾病保险金，本附加合同效力终止。</w:t>
      </w:r>
    </w:p>
    <w:p>
      <w:pPr>
        <w:pStyle w:val="BodyText"/>
        <w:spacing w:before="9"/>
        <w:ind w:left="0"/>
      </w:pPr>
    </w:p>
    <w:p>
      <w:pPr>
        <w:pStyle w:val="BodyText"/>
        <w:ind w:left="313"/>
      </w:pPr>
      <w:r>
        <w:rPr/>
        <w:t>二、 重大疾病保险金</w:t>
      </w:r>
    </w:p>
    <w:p>
      <w:pPr>
        <w:pStyle w:val="BodyText"/>
        <w:spacing w:line="321" w:lineRule="auto" w:before="90"/>
        <w:ind w:left="313" w:right="881"/>
        <w:jc w:val="both"/>
      </w:pPr>
      <w:r>
        <w:rPr>
          <w:w w:val="100"/>
        </w:rPr>
        <w:t>在本附加合同有效期间内，若被保险人确诊首次患本附加合同所述重大疾病</w:t>
      </w:r>
      <w:r>
        <w:rPr>
          <w:spacing w:val="3"/>
          <w:w w:val="100"/>
        </w:rPr>
        <w:t>（</w:t>
      </w:r>
      <w:r>
        <w:rPr>
          <w:w w:val="100"/>
        </w:rPr>
        <w:t>无论一种或多种</w:t>
      </w:r>
      <w:r>
        <w:rPr>
          <w:spacing w:val="-101"/>
          <w:w w:val="100"/>
        </w:rPr>
        <w:t>）</w:t>
      </w:r>
      <w:r>
        <w:rPr>
          <w:w w:val="100"/>
        </w:rPr>
        <w:t>，则本公</w:t>
      </w:r>
      <w:r>
        <w:rPr>
          <w:spacing w:val="-7"/>
        </w:rPr>
        <w:t>司将给付等值于本附加合同保险金额的重大疾病保险金，且不再给付本附加合同的身故或全残保险金，本</w:t>
      </w:r>
      <w:r>
        <w:rPr>
          <w:spacing w:val="-6"/>
        </w:rPr>
        <w:t>附加合同效力终止。</w:t>
      </w:r>
    </w:p>
    <w:p>
      <w:pPr>
        <w:pStyle w:val="BodyText"/>
        <w:spacing w:line="300" w:lineRule="auto" w:before="192"/>
        <w:ind w:left="313" w:right="882"/>
        <w:jc w:val="both"/>
      </w:pPr>
      <w:r>
        <w:rPr>
          <w:spacing w:val="-4"/>
        </w:rPr>
        <w:t>对于由本附加合同生效前已遭受的</w:t>
      </w:r>
      <w:r>
        <w:rPr>
          <w:rFonts w:ascii="Microsoft JhengHei" w:eastAsia="Microsoft JhengHei" w:hint="eastAsia"/>
          <w:b/>
          <w:spacing w:val="-2"/>
        </w:rPr>
        <w:t>意外伤害</w:t>
      </w:r>
      <w:r>
        <w:rPr>
          <w:rFonts w:ascii="Microsoft JhengHei" w:eastAsia="Microsoft JhengHei" w:hint="eastAsia"/>
          <w:b/>
        </w:rPr>
        <w:t>（</w:t>
      </w:r>
      <w:r>
        <w:rPr>
          <w:rFonts w:ascii="Microsoft JhengHei" w:eastAsia="Microsoft JhengHei" w:hint="eastAsia"/>
          <w:b/>
          <w:spacing w:val="-4"/>
        </w:rPr>
        <w:t>见释义</w:t>
      </w:r>
      <w:r>
        <w:rPr>
          <w:rFonts w:ascii="Microsoft JhengHei" w:eastAsia="Microsoft JhengHei" w:hint="eastAsia"/>
          <w:b/>
          <w:spacing w:val="-5"/>
        </w:rPr>
        <w:t>）</w:t>
      </w:r>
      <w:r>
        <w:rPr>
          <w:spacing w:val="-3"/>
        </w:rPr>
        <w:t>事故或已患的疾病</w:t>
      </w:r>
      <w:r>
        <w:rPr/>
        <w:t>（</w:t>
      </w:r>
      <w:r>
        <w:rPr>
          <w:spacing w:val="-2"/>
        </w:rPr>
        <w:t>或症状</w:t>
      </w:r>
      <w:r>
        <w:rPr>
          <w:spacing w:val="-5"/>
        </w:rPr>
        <w:t>）</w:t>
      </w:r>
      <w:r>
        <w:rPr>
          <w:spacing w:val="-3"/>
        </w:rPr>
        <w:t>或其复发所致的重大</w:t>
      </w:r>
      <w:r>
        <w:rPr>
          <w:spacing w:val="-6"/>
        </w:rPr>
        <w:t>疾病，或于本附加合同生效之日起九十天内被保险人所患的疾病</w:t>
      </w:r>
      <w:r>
        <w:rPr/>
        <w:t>（</w:t>
      </w:r>
      <w:r>
        <w:rPr>
          <w:spacing w:val="-2"/>
        </w:rPr>
        <w:t>或症状</w:t>
      </w:r>
      <w:r>
        <w:rPr>
          <w:spacing w:val="-5"/>
        </w:rPr>
        <w:t>）或其复发所致的重大疾病，本</w:t>
      </w:r>
      <w:r>
        <w:rPr>
          <w:spacing w:val="-4"/>
        </w:rPr>
        <w:t>公司不承担给付重大疾病保险金的责任。</w:t>
      </w:r>
    </w:p>
    <w:p>
      <w:pPr>
        <w:spacing w:after="0" w:line="300" w:lineRule="auto"/>
        <w:jc w:val="both"/>
        <w:sectPr>
          <w:type w:val="continuous"/>
          <w:pgSz w:w="11910" w:h="16840"/>
          <w:pgMar w:top="840" w:bottom="400" w:left="820" w:right="240"/>
        </w:sectPr>
      </w:pPr>
    </w:p>
    <w:p>
      <w:pPr>
        <w:pStyle w:val="Heading1"/>
        <w:spacing w:before="12"/>
      </w:pPr>
      <w:r>
        <w:rPr/>
        <w:t>第三条 责任免除</w:t>
      </w:r>
    </w:p>
    <w:p>
      <w:pPr>
        <w:pStyle w:val="BodyText"/>
        <w:spacing w:before="2"/>
        <w:ind w:left="0"/>
        <w:rPr>
          <w:rFonts w:ascii="黑体"/>
          <w:b/>
          <w:sz w:val="18"/>
        </w:rPr>
      </w:pPr>
    </w:p>
    <w:p>
      <w:pPr>
        <w:pStyle w:val="BodyText"/>
        <w:spacing w:line="274" w:lineRule="exact"/>
        <w:rPr>
          <w:rFonts w:ascii="黑体" w:eastAsia="黑体" w:hint="eastAsia"/>
        </w:rPr>
      </w:pPr>
      <w:r>
        <w:rPr>
          <w:rFonts w:ascii="黑体" w:eastAsia="黑体" w:hint="eastAsia"/>
        </w:rPr>
        <w:t>一、因下列情形之一导致被保险人身故或全残的，本公司不承担给付身故或全残保险金的责任：</w:t>
      </w:r>
    </w:p>
    <w:p>
      <w:pPr>
        <w:pStyle w:val="BodyText"/>
        <w:spacing w:line="274" w:lineRule="exact"/>
        <w:rPr>
          <w:rFonts w:ascii="黑体" w:eastAsia="黑体" w:hint="eastAsia"/>
        </w:rPr>
      </w:pPr>
      <w:r>
        <w:rPr>
          <w:rFonts w:ascii="黑体" w:eastAsia="黑体" w:hint="eastAsia"/>
        </w:rPr>
        <w:t>1、 投保人对被保险人的故意杀害、故意伤害；</w:t>
      </w:r>
    </w:p>
    <w:p>
      <w:pPr>
        <w:pStyle w:val="BodyText"/>
        <w:spacing w:line="274" w:lineRule="exact"/>
        <w:rPr>
          <w:rFonts w:ascii="黑体" w:eastAsia="黑体" w:hint="eastAsia"/>
        </w:rPr>
      </w:pPr>
      <w:r>
        <w:rPr>
          <w:rFonts w:ascii="黑体" w:eastAsia="黑体" w:hint="eastAsia"/>
        </w:rPr>
        <w:t>2、 被保险人故意犯罪或者抗拒依法采取的刑事强制措施；</w:t>
      </w:r>
    </w:p>
    <w:p>
      <w:pPr>
        <w:pStyle w:val="BodyText"/>
        <w:spacing w:line="272" w:lineRule="exact"/>
        <w:rPr>
          <w:rFonts w:ascii="黑体" w:eastAsia="黑体" w:hint="eastAsia"/>
        </w:rPr>
      </w:pPr>
      <w:r>
        <w:rPr>
          <w:rFonts w:ascii="黑体" w:eastAsia="黑体" w:hint="eastAsia"/>
        </w:rPr>
        <w:t>3、 被保险人自本合同成立之日起 2 年内自杀，但被保险人自杀时为无民事行为能力人的除外；</w:t>
      </w:r>
    </w:p>
    <w:p>
      <w:pPr>
        <w:spacing w:line="272" w:lineRule="exact" w:before="0"/>
        <w:ind w:left="113" w:right="0" w:firstLine="0"/>
        <w:jc w:val="left"/>
        <w:rPr>
          <w:rFonts w:ascii="黑体" w:eastAsia="黑体" w:hint="eastAsia"/>
          <w:sz w:val="21"/>
        </w:rPr>
      </w:pPr>
      <w:r>
        <w:rPr>
          <w:rFonts w:ascii="黑体" w:eastAsia="黑体" w:hint="eastAsia"/>
          <w:w w:val="100"/>
          <w:sz w:val="21"/>
        </w:rPr>
        <w:t>4、</w:t>
      </w:r>
      <w:r>
        <w:rPr>
          <w:rFonts w:ascii="黑体" w:eastAsia="黑体" w:hint="eastAsia"/>
          <w:sz w:val="21"/>
        </w:rPr>
        <w:t> </w:t>
      </w:r>
      <w:r>
        <w:rPr>
          <w:rFonts w:ascii="黑体" w:eastAsia="黑体" w:hint="eastAsia"/>
          <w:spacing w:val="-3"/>
          <w:w w:val="100"/>
          <w:sz w:val="21"/>
        </w:rPr>
        <w:t>被保险人主动吸食或注射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before="0"/>
        <w:ind w:left="535" w:right="101" w:hanging="423"/>
        <w:jc w:val="left"/>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2"/>
          <w:w w:val="100"/>
          <w:sz w:val="21"/>
        </w:rPr>
        <w:t>被保险人</w:t>
      </w:r>
      <w:r>
        <w:rPr>
          <w:rFonts w:ascii="黑体" w:eastAsia="黑体" w:hint="eastAsia"/>
          <w:b/>
          <w:spacing w:val="-3"/>
          <w:w w:val="100"/>
          <w:sz w:val="21"/>
        </w:rPr>
        <w:t>酒后驾驶</w:t>
      </w:r>
      <w:r>
        <w:rPr>
          <w:rFonts w:ascii="黑体" w:eastAsia="黑体" w:hint="eastAsia"/>
          <w:b/>
          <w:w w:val="100"/>
          <w:sz w:val="21"/>
        </w:rPr>
        <w:t>（见释义</w:t>
      </w:r>
      <w:r>
        <w:rPr>
          <w:rFonts w:ascii="黑体" w:eastAsia="黑体" w:hint="eastAsia"/>
          <w:b/>
          <w:spacing w:val="-101"/>
          <w:w w:val="100"/>
          <w:sz w:val="21"/>
        </w:rPr>
        <w:t>）</w:t>
      </w:r>
      <w:r>
        <w:rPr>
          <w:rFonts w:ascii="黑体" w:eastAsia="黑体" w:hint="eastAsia"/>
          <w:spacing w:val="-14"/>
          <w:w w:val="100"/>
          <w:sz w:val="21"/>
        </w:rPr>
        <w:t>，</w:t>
      </w:r>
      <w:r>
        <w:rPr>
          <w:rFonts w:ascii="黑体" w:eastAsia="黑体" w:hint="eastAsia"/>
          <w:b/>
          <w:spacing w:val="-2"/>
          <w:w w:val="100"/>
          <w:sz w:val="21"/>
        </w:rPr>
        <w:t>无合法有效驾驶证驾驶</w:t>
      </w:r>
      <w:r>
        <w:rPr>
          <w:rFonts w:ascii="黑体" w:eastAsia="黑体" w:hint="eastAsia"/>
          <w:b/>
          <w:w w:val="100"/>
          <w:sz w:val="21"/>
        </w:rPr>
        <w:t>（见释义</w:t>
      </w:r>
      <w:r>
        <w:rPr>
          <w:rFonts w:ascii="黑体" w:eastAsia="黑体" w:hint="eastAsia"/>
          <w:b/>
          <w:spacing w:val="-101"/>
          <w:w w:val="100"/>
          <w:sz w:val="21"/>
        </w:rPr>
        <w:t>）</w:t>
      </w:r>
      <w:r>
        <w:rPr>
          <w:rFonts w:ascii="黑体" w:eastAsia="黑体" w:hint="eastAsia"/>
          <w:spacing w:val="-6"/>
          <w:w w:val="100"/>
          <w:sz w:val="21"/>
        </w:rPr>
        <w:t>，或驾驶</w:t>
      </w:r>
      <w:r>
        <w:rPr>
          <w:rFonts w:ascii="黑体" w:eastAsia="黑体" w:hint="eastAsia"/>
          <w:b/>
          <w:spacing w:val="-2"/>
          <w:w w:val="100"/>
          <w:sz w:val="21"/>
        </w:rPr>
        <w:t>无有效行驶证</w:t>
      </w:r>
      <w:r>
        <w:rPr>
          <w:rFonts w:ascii="黑体" w:eastAsia="黑体" w:hint="eastAsia"/>
          <w:b/>
          <w:w w:val="100"/>
          <w:sz w:val="21"/>
        </w:rPr>
        <w:t>（见释义</w:t>
      </w:r>
      <w:r>
        <w:rPr>
          <w:rFonts w:ascii="黑体" w:eastAsia="黑体" w:hint="eastAsia"/>
          <w:b/>
          <w:spacing w:val="-9"/>
          <w:w w:val="100"/>
          <w:sz w:val="21"/>
        </w:rPr>
        <w:t>）</w:t>
      </w:r>
      <w:r>
        <w:rPr>
          <w:rFonts w:ascii="黑体" w:eastAsia="黑体" w:hint="eastAsia"/>
          <w:w w:val="100"/>
          <w:sz w:val="21"/>
        </w:rPr>
        <w:t>的</w:t>
      </w:r>
      <w:r>
        <w:rPr>
          <w:rFonts w:ascii="黑体" w:eastAsia="黑体" w:hint="eastAsia"/>
          <w:sz w:val="21"/>
        </w:rPr>
        <w:t>机动车；</w:t>
      </w:r>
    </w:p>
    <w:p>
      <w:pPr>
        <w:spacing w:line="271" w:lineRule="exact" w:before="1"/>
        <w:ind w:left="113" w:right="0" w:firstLine="0"/>
        <w:jc w:val="left"/>
        <w:rPr>
          <w:rFonts w:ascii="黑体" w:eastAsia="黑体" w:hint="eastAsia"/>
          <w:sz w:val="21"/>
        </w:rPr>
      </w:pPr>
      <w:r>
        <w:rPr>
          <w:rFonts w:ascii="黑体" w:eastAsia="黑体" w:hint="eastAsia"/>
          <w:sz w:val="21"/>
        </w:rPr>
        <w:t>6、 战争、军事冲突、暴乱、</w:t>
      </w:r>
      <w:r>
        <w:rPr>
          <w:rFonts w:ascii="黑体" w:eastAsia="黑体" w:hint="eastAsia"/>
          <w:b/>
          <w:sz w:val="21"/>
        </w:rPr>
        <w:t>恐怖主义行为（见释义）</w:t>
      </w:r>
      <w:r>
        <w:rPr>
          <w:rFonts w:ascii="黑体" w:eastAsia="黑体" w:hint="eastAsia"/>
          <w:sz w:val="21"/>
        </w:rPr>
        <w:t>或武装叛乱；</w:t>
      </w:r>
    </w:p>
    <w:p>
      <w:pPr>
        <w:pStyle w:val="BodyText"/>
        <w:spacing w:line="272" w:lineRule="exact"/>
        <w:rPr>
          <w:rFonts w:ascii="黑体" w:eastAsia="黑体" w:hint="eastAsia"/>
        </w:rPr>
      </w:pPr>
      <w:r>
        <w:rPr>
          <w:rFonts w:ascii="黑体" w:eastAsia="黑体" w:hint="eastAsia"/>
        </w:rPr>
        <w:t>7、 核爆炸、核辐射或核污染。</w:t>
      </w:r>
    </w:p>
    <w:p>
      <w:pPr>
        <w:pStyle w:val="BodyText"/>
        <w:spacing w:before="3"/>
        <w:ind w:left="0"/>
        <w:rPr>
          <w:rFonts w:ascii="黑体"/>
          <w:sz w:val="25"/>
        </w:rPr>
      </w:pPr>
    </w:p>
    <w:p>
      <w:pPr>
        <w:pStyle w:val="BodyText"/>
        <w:spacing w:line="259" w:lineRule="auto"/>
        <w:ind w:right="102"/>
      </w:pPr>
      <w:r>
        <w:rPr>
          <w:spacing w:val="-7"/>
        </w:rPr>
        <w:t>发生上述第１项情形导致被保险人身故或全残的，本附加合同终止，本公司向其他权利人退还本附加合同当时的</w:t>
      </w:r>
      <w:r>
        <w:rPr>
          <w:rFonts w:ascii="Microsoft JhengHei" w:eastAsia="Microsoft JhengHei" w:hint="eastAsia"/>
          <w:b/>
        </w:rPr>
        <w:t>现金价值（</w:t>
      </w:r>
      <w:r>
        <w:rPr>
          <w:rFonts w:ascii="Microsoft JhengHei" w:eastAsia="Microsoft JhengHei" w:hint="eastAsia"/>
          <w:b/>
          <w:spacing w:val="-2"/>
        </w:rPr>
        <w:t>见释义</w:t>
      </w:r>
      <w:r>
        <w:rPr>
          <w:rFonts w:ascii="Microsoft JhengHei" w:eastAsia="Microsoft JhengHei" w:hint="eastAsia"/>
          <w:b/>
          <w:spacing w:val="-106"/>
        </w:rPr>
        <w:t>）</w:t>
      </w:r>
      <w:r>
        <w:rPr/>
        <w:t>。</w:t>
      </w:r>
    </w:p>
    <w:p>
      <w:pPr>
        <w:pStyle w:val="BodyText"/>
        <w:spacing w:before="8"/>
        <w:ind w:left="0"/>
      </w:pPr>
    </w:p>
    <w:p>
      <w:pPr>
        <w:pStyle w:val="BodyText"/>
        <w:spacing w:line="264" w:lineRule="auto"/>
        <w:ind w:right="101"/>
        <w:rPr>
          <w:rFonts w:ascii="Microsoft JhengHei" w:eastAsia="Microsoft JhengHei" w:hint="eastAsia"/>
          <w:b/>
        </w:rPr>
      </w:pPr>
      <w:r>
        <w:rPr>
          <w:spacing w:val="-7"/>
        </w:rPr>
        <w:t>发生上述其他情形导致被保险人身故或全残的，本附加合同终止，本公司向投保人退还本附加合同当时的现金价值</w:t>
      </w:r>
      <w:r>
        <w:rPr>
          <w:rFonts w:ascii="Microsoft JhengHei" w:eastAsia="Microsoft JhengHei" w:hint="eastAsia"/>
          <w:b/>
        </w:rPr>
        <w:t>。</w:t>
      </w:r>
    </w:p>
    <w:p>
      <w:pPr>
        <w:pStyle w:val="BodyText"/>
        <w:spacing w:before="16"/>
        <w:ind w:left="0"/>
        <w:rPr>
          <w:rFonts w:ascii="Microsoft JhengHei"/>
          <w:b/>
          <w:sz w:val="15"/>
        </w:rPr>
      </w:pPr>
    </w:p>
    <w:p>
      <w:pPr>
        <w:pStyle w:val="BodyText"/>
        <w:rPr>
          <w:rFonts w:ascii="黑体" w:eastAsia="黑体" w:hint="eastAsia"/>
        </w:rPr>
      </w:pPr>
      <w:r>
        <w:rPr>
          <w:rFonts w:ascii="黑体" w:eastAsia="黑体" w:hint="eastAsia"/>
        </w:rPr>
        <w:t>二、因下列情形之一导致被保险人重大疾病的，本公司不承担给付重大疾病保险金的责任：</w:t>
      </w:r>
    </w:p>
    <w:p>
      <w:pPr>
        <w:pStyle w:val="BodyText"/>
        <w:spacing w:before="36"/>
        <w:rPr>
          <w:rFonts w:ascii="黑体" w:eastAsia="黑体" w:hint="eastAsia"/>
        </w:rPr>
      </w:pPr>
      <w:r>
        <w:rPr>
          <w:rFonts w:ascii="黑体" w:eastAsia="黑体" w:hint="eastAsia"/>
        </w:rPr>
        <w:t>1、 投保人对被保险人的故意杀害、故意伤害；</w:t>
      </w:r>
    </w:p>
    <w:p>
      <w:pPr>
        <w:pStyle w:val="BodyText"/>
        <w:spacing w:before="36"/>
        <w:rPr>
          <w:rFonts w:ascii="黑体" w:eastAsia="黑体" w:hint="eastAsia"/>
        </w:rPr>
      </w:pPr>
      <w:r>
        <w:rPr>
          <w:rFonts w:ascii="黑体" w:eastAsia="黑体" w:hint="eastAsia"/>
        </w:rPr>
        <w:t>2、 被保险人故意自伤、故意犯罪或拒捕；</w:t>
      </w:r>
    </w:p>
    <w:p>
      <w:pPr>
        <w:pStyle w:val="BodyText"/>
        <w:spacing w:before="36"/>
        <w:rPr>
          <w:rFonts w:ascii="黑体" w:eastAsia="黑体" w:hint="eastAsia"/>
        </w:rPr>
      </w:pPr>
      <w:r>
        <w:rPr>
          <w:rFonts w:ascii="黑体" w:eastAsia="黑体" w:hint="eastAsia"/>
        </w:rPr>
        <w:t>3、 被保险人服用、吸食或注射毒品；</w:t>
      </w:r>
    </w:p>
    <w:p>
      <w:pPr>
        <w:pStyle w:val="BodyText"/>
        <w:spacing w:before="37"/>
        <w:rPr>
          <w:rFonts w:ascii="黑体" w:eastAsia="黑体" w:hint="eastAsia"/>
        </w:rPr>
      </w:pPr>
      <w:r>
        <w:rPr>
          <w:rFonts w:ascii="黑体" w:eastAsia="黑体" w:hint="eastAsia"/>
        </w:rPr>
        <w:t>4、 被保险人酒后驾驶、无合法有效驾驶证驾驶，或驾驶无有效行驶证的机动车；</w:t>
      </w:r>
    </w:p>
    <w:p>
      <w:pPr>
        <w:spacing w:before="37"/>
        <w:ind w:left="113" w:right="0" w:firstLine="0"/>
        <w:jc w:val="left"/>
        <w:rPr>
          <w:rFonts w:ascii="黑体" w:eastAsia="黑体" w:hint="eastAsia"/>
          <w:b/>
          <w:sz w:val="21"/>
        </w:rPr>
      </w:pPr>
      <w:r>
        <w:rPr>
          <w:rFonts w:ascii="黑体" w:eastAsia="黑体" w:hint="eastAsia"/>
          <w:w w:val="100"/>
          <w:sz w:val="21"/>
        </w:rPr>
        <w:t>5、</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感染艾滋病病毒或患艾滋病（见释义</w:t>
      </w:r>
      <w:r>
        <w:rPr>
          <w:rFonts w:ascii="黑体" w:eastAsia="黑体" w:hint="eastAsia"/>
          <w:b/>
          <w:spacing w:val="-111"/>
          <w:w w:val="100"/>
          <w:sz w:val="21"/>
        </w:rPr>
        <w:t>）</w:t>
      </w:r>
      <w:r>
        <w:rPr>
          <w:rFonts w:ascii="黑体" w:eastAsia="黑体" w:hint="eastAsia"/>
          <w:b/>
          <w:w w:val="100"/>
          <w:sz w:val="21"/>
        </w:rPr>
        <w:t>；</w:t>
      </w:r>
    </w:p>
    <w:p>
      <w:pPr>
        <w:pStyle w:val="BodyText"/>
        <w:spacing w:before="37"/>
        <w:rPr>
          <w:rFonts w:ascii="黑体" w:eastAsia="黑体" w:hint="eastAsia"/>
        </w:rPr>
      </w:pPr>
      <w:r>
        <w:rPr>
          <w:rFonts w:ascii="黑体" w:eastAsia="黑体" w:hint="eastAsia"/>
        </w:rPr>
        <w:t>6、 战争、军事冲突、暴乱或武装叛乱；</w:t>
      </w:r>
    </w:p>
    <w:p>
      <w:pPr>
        <w:pStyle w:val="BodyText"/>
        <w:spacing w:before="37"/>
        <w:rPr>
          <w:rFonts w:ascii="黑体" w:eastAsia="黑体" w:hint="eastAsia"/>
        </w:rPr>
      </w:pPr>
      <w:r>
        <w:rPr>
          <w:rFonts w:ascii="黑体" w:eastAsia="黑体" w:hint="eastAsia"/>
        </w:rPr>
        <w:t>7、 核爆炸、核辐射或核污染；</w:t>
      </w:r>
    </w:p>
    <w:p>
      <w:pPr>
        <w:pStyle w:val="Heading1"/>
        <w:spacing w:before="37"/>
        <w:rPr>
          <w:b w:val="0"/>
        </w:rPr>
      </w:pPr>
      <w:r>
        <w:rPr>
          <w:b w:val="0"/>
          <w:w w:val="100"/>
        </w:rPr>
        <w:t>8、</w:t>
      </w:r>
      <w:r>
        <w:rPr>
          <w:b w:val="0"/>
        </w:rPr>
        <w:t> </w:t>
      </w:r>
      <w:r>
        <w:rPr>
          <w:w w:val="100"/>
        </w:rPr>
        <w:t>遗传性疾病（见释义</w:t>
      </w:r>
      <w:r>
        <w:rPr>
          <w:spacing w:val="-105"/>
          <w:w w:val="100"/>
        </w:rPr>
        <w:t>）</w:t>
      </w:r>
      <w:r>
        <w:rPr>
          <w:b w:val="0"/>
          <w:spacing w:val="-5"/>
          <w:w w:val="100"/>
        </w:rPr>
        <w:t>，</w:t>
      </w:r>
      <w:r>
        <w:rPr>
          <w:spacing w:val="-1"/>
          <w:w w:val="100"/>
        </w:rPr>
        <w:t>先天性畸形、变形或染色体异常</w:t>
      </w:r>
      <w:r>
        <w:rPr>
          <w:w w:val="100"/>
        </w:rPr>
        <w:t>（见释义</w:t>
      </w:r>
      <w:r>
        <w:rPr>
          <w:spacing w:val="-105"/>
          <w:w w:val="100"/>
        </w:rPr>
        <w:t>）</w:t>
      </w:r>
      <w:r>
        <w:rPr>
          <w:b w:val="0"/>
          <w:w w:val="100"/>
        </w:rPr>
        <w:t>。</w:t>
      </w:r>
    </w:p>
    <w:p>
      <w:pPr>
        <w:pStyle w:val="BodyText"/>
        <w:spacing w:before="10"/>
        <w:ind w:left="0"/>
        <w:rPr>
          <w:rFonts w:ascii="黑体"/>
          <w:sz w:val="23"/>
        </w:rPr>
      </w:pPr>
    </w:p>
    <w:p>
      <w:pPr>
        <w:pStyle w:val="BodyText"/>
        <w:spacing w:line="319" w:lineRule="auto"/>
        <w:ind w:right="102"/>
      </w:pPr>
      <w:r>
        <w:rPr>
          <w:spacing w:val="-7"/>
        </w:rPr>
        <w:t>发生上述第１项情形导致被保险人重大疾病的，本附加合同终止，本公司向其他权利人退还本附加合同当</w:t>
      </w:r>
      <w:r>
        <w:rPr>
          <w:spacing w:val="-6"/>
        </w:rPr>
        <w:t>时的现金价值。</w:t>
      </w:r>
    </w:p>
    <w:p>
      <w:pPr>
        <w:pStyle w:val="BodyText"/>
        <w:spacing w:before="3"/>
        <w:ind w:left="0"/>
        <w:rPr>
          <w:sz w:val="20"/>
        </w:rPr>
      </w:pPr>
    </w:p>
    <w:p>
      <w:pPr>
        <w:pStyle w:val="BodyText"/>
        <w:spacing w:line="261" w:lineRule="auto"/>
        <w:ind w:right="101"/>
        <w:rPr>
          <w:rFonts w:ascii="Microsoft JhengHei" w:eastAsia="Microsoft JhengHei" w:hint="eastAsia"/>
          <w:b/>
        </w:rPr>
      </w:pPr>
      <w:r>
        <w:rPr>
          <w:spacing w:val="-6"/>
        </w:rPr>
        <w:t>发生上述其他情形导致被保险人重大疾病的，本附加合同终止，本公司向投保人退还本附加合同当时的现金价值</w:t>
      </w:r>
      <w:r>
        <w:rPr>
          <w:rFonts w:ascii="Microsoft JhengHei" w:eastAsia="Microsoft JhengHei" w:hint="eastAsia"/>
          <w:b/>
        </w:rPr>
        <w:t>。</w:t>
      </w:r>
    </w:p>
    <w:p>
      <w:pPr>
        <w:pStyle w:val="Heading1"/>
        <w:spacing w:before="223"/>
      </w:pPr>
      <w:r>
        <w:rPr/>
        <w:t>第四条 保险合同成立与Th效</w:t>
      </w:r>
    </w:p>
    <w:p>
      <w:pPr>
        <w:pStyle w:val="BodyText"/>
        <w:ind w:left="0"/>
        <w:rPr>
          <w:rFonts w:ascii="黑体"/>
          <w:b/>
          <w:sz w:val="20"/>
        </w:rPr>
      </w:pPr>
    </w:p>
    <w:p>
      <w:pPr>
        <w:pStyle w:val="BodyText"/>
        <w:spacing w:before="164"/>
      </w:pPr>
      <w:r>
        <w:rPr/>
        <w:t>投保人提出保险申请、本公司同意承保，本附加合同成立。</w:t>
      </w:r>
    </w:p>
    <w:p>
      <w:pPr>
        <w:pStyle w:val="BodyText"/>
        <w:ind w:left="0"/>
        <w:rPr>
          <w:sz w:val="28"/>
        </w:rPr>
      </w:pPr>
    </w:p>
    <w:p>
      <w:pPr>
        <w:pStyle w:val="BodyText"/>
        <w:spacing w:before="6"/>
        <w:ind w:left="0"/>
        <w:rPr>
          <w:sz w:val="22"/>
        </w:rPr>
      </w:pPr>
    </w:p>
    <w:p>
      <w:pPr>
        <w:pStyle w:val="BodyText"/>
        <w:spacing w:before="1"/>
      </w:pPr>
      <w:r>
        <w:rPr/>
        <w:t>本附加合同生效日期在保险单上载明。保单年度、保险费约定支付日均以该日期计算。</w:t>
      </w:r>
    </w:p>
    <w:p>
      <w:pPr>
        <w:pStyle w:val="BodyText"/>
        <w:spacing w:before="1"/>
        <w:ind w:left="0"/>
        <w:rPr>
          <w:sz w:val="31"/>
        </w:rPr>
      </w:pPr>
    </w:p>
    <w:p>
      <w:pPr>
        <w:pStyle w:val="Heading1"/>
      </w:pPr>
      <w:r>
        <w:rPr/>
        <w:t>第五条 保险期间</w:t>
      </w:r>
    </w:p>
    <w:p>
      <w:pPr>
        <w:pStyle w:val="BodyText"/>
        <w:spacing w:before="8"/>
        <w:ind w:left="0"/>
        <w:rPr>
          <w:rFonts w:ascii="黑体"/>
          <w:b/>
          <w:sz w:val="22"/>
        </w:rPr>
      </w:pPr>
    </w:p>
    <w:p>
      <w:pPr>
        <w:pStyle w:val="BodyText"/>
        <w:spacing w:before="1"/>
      </w:pPr>
      <w:r>
        <w:rPr/>
        <w:t>本附加合同的保险期间为一年。</w:t>
      </w:r>
    </w:p>
    <w:p>
      <w:pPr>
        <w:pStyle w:val="BodyText"/>
        <w:spacing w:before="10"/>
        <w:ind w:left="0"/>
        <w:rPr>
          <w:sz w:val="20"/>
        </w:rPr>
      </w:pPr>
    </w:p>
    <w:p>
      <w:pPr>
        <w:pStyle w:val="Heading1"/>
      </w:pPr>
      <w:r>
        <w:rPr/>
        <w:t>第六条 保险金额</w:t>
      </w:r>
    </w:p>
    <w:p>
      <w:pPr>
        <w:pStyle w:val="BodyText"/>
        <w:spacing w:before="7"/>
        <w:ind w:left="0"/>
        <w:rPr>
          <w:rFonts w:ascii="黑体"/>
          <w:b/>
          <w:sz w:val="22"/>
        </w:rPr>
      </w:pPr>
    </w:p>
    <w:p>
      <w:pPr>
        <w:pStyle w:val="BodyText"/>
      </w:pPr>
      <w:r>
        <w:rPr/>
        <w:t>本附加合同的保险金额在保险单上载明。</w:t>
      </w:r>
    </w:p>
    <w:p>
      <w:pPr>
        <w:pStyle w:val="BodyText"/>
        <w:spacing w:before="2"/>
        <w:ind w:left="0"/>
      </w:pPr>
    </w:p>
    <w:p>
      <w:pPr>
        <w:pStyle w:val="Heading1"/>
      </w:pPr>
      <w:r>
        <w:rPr/>
        <w:t>第七条 保证续保</w:t>
      </w:r>
    </w:p>
    <w:p>
      <w:pPr>
        <w:spacing w:after="0"/>
        <w:sectPr>
          <w:pgSz w:w="11910" w:h="16840"/>
          <w:pgMar w:header="0" w:footer="219" w:top="780" w:bottom="480" w:left="1020" w:right="1020"/>
        </w:sectPr>
      </w:pPr>
    </w:p>
    <w:p>
      <w:pPr>
        <w:pStyle w:val="BodyText"/>
        <w:spacing w:line="273" w:lineRule="auto" w:before="55"/>
        <w:ind w:right="98"/>
      </w:pPr>
      <w:r>
        <w:rPr>
          <w:spacing w:val="-10"/>
        </w:rPr>
        <w:t>本附加合同自生效日起保证续保期间为十年。保证续保期间届满时，若经本公司重新审核并同意继续承保， </w:t>
      </w:r>
      <w:r>
        <w:rPr>
          <w:spacing w:val="-7"/>
        </w:rPr>
        <w:t>则保证续保期间再延续十年，但最高保障至被保险人年满七十</w:t>
      </w:r>
      <w:r>
        <w:rPr>
          <w:rFonts w:ascii="Microsoft JhengHei" w:eastAsia="Microsoft JhengHei" w:hint="eastAsia"/>
          <w:b/>
          <w:spacing w:val="-3"/>
        </w:rPr>
        <w:t>周岁</w:t>
      </w:r>
      <w:r>
        <w:rPr>
          <w:rFonts w:ascii="Microsoft JhengHei" w:eastAsia="Microsoft JhengHei" w:hint="eastAsia"/>
          <w:b/>
        </w:rPr>
        <w:t>（</w:t>
      </w:r>
      <w:r>
        <w:rPr>
          <w:rFonts w:ascii="Microsoft JhengHei" w:eastAsia="Microsoft JhengHei" w:hint="eastAsia"/>
          <w:b/>
          <w:spacing w:val="-2"/>
        </w:rPr>
        <w:t>见释义</w:t>
      </w:r>
      <w:r>
        <w:rPr>
          <w:rFonts w:ascii="Microsoft JhengHei" w:eastAsia="Microsoft JhengHei" w:hint="eastAsia"/>
          <w:b/>
          <w:spacing w:val="-5"/>
        </w:rPr>
        <w:t>）</w:t>
      </w:r>
      <w:r>
        <w:rPr>
          <w:spacing w:val="-5"/>
        </w:rPr>
        <w:t>后的首个保单周年日。若审核不同意继续承保，本公司将书面通知被保险人。</w:t>
      </w:r>
    </w:p>
    <w:p>
      <w:pPr>
        <w:pStyle w:val="BodyText"/>
        <w:spacing w:before="3"/>
        <w:ind w:left="0"/>
        <w:rPr>
          <w:sz w:val="33"/>
        </w:rPr>
      </w:pPr>
    </w:p>
    <w:p>
      <w:pPr>
        <w:pStyle w:val="BodyText"/>
        <w:spacing w:line="544" w:lineRule="auto"/>
        <w:ind w:right="205"/>
      </w:pPr>
      <w:r>
        <w:rPr>
          <w:spacing w:val="-6"/>
        </w:rPr>
        <w:t>在保证续保期间内，每个保险期间届满时，如果投保人未提出不再续保的书面要求，则本附加合同将自动续保一年。</w:t>
      </w:r>
    </w:p>
    <w:p>
      <w:pPr>
        <w:pStyle w:val="BodyText"/>
        <w:spacing w:line="319" w:lineRule="auto" w:before="192"/>
        <w:ind w:right="204"/>
      </w:pPr>
      <w:r>
        <w:rPr>
          <w:spacing w:val="-6"/>
        </w:rPr>
        <w:t>在保证续保期间内，本公司将不会因为被保险人的健康状况或理赔情况而拒绝投保人的续保要求、或对被</w:t>
      </w:r>
      <w:r>
        <w:rPr>
          <w:spacing w:val="-5"/>
        </w:rPr>
        <w:t>保险人个别作加费或批注处理。</w:t>
      </w:r>
    </w:p>
    <w:p>
      <w:pPr>
        <w:pStyle w:val="Heading1"/>
        <w:spacing w:before="207"/>
      </w:pPr>
      <w:r>
        <w:rPr/>
        <w:t>第八条 保险费率的调整</w:t>
      </w:r>
    </w:p>
    <w:p>
      <w:pPr>
        <w:pStyle w:val="BodyText"/>
        <w:spacing w:before="8"/>
        <w:ind w:left="0"/>
        <w:rPr>
          <w:rFonts w:ascii="黑体"/>
          <w:b/>
          <w:sz w:val="22"/>
        </w:rPr>
      </w:pPr>
    </w:p>
    <w:p>
      <w:pPr>
        <w:pStyle w:val="BodyText"/>
        <w:spacing w:line="319" w:lineRule="auto" w:before="1"/>
        <w:ind w:right="201"/>
        <w:jc w:val="both"/>
      </w:pPr>
      <w:r>
        <w:rPr>
          <w:spacing w:val="-6"/>
        </w:rPr>
        <w:t>本公司可以根据整体风险的变化情况，针对所有被保险人或同一年龄组的所有被保险人调整保险费率。若费率调整时本附加合同的缴费期间尚未届满，则调整后的保险费率将在费率调整后的首个保单周年日之前</w:t>
      </w:r>
      <w:r>
        <w:rPr>
          <w:spacing w:val="-5"/>
        </w:rPr>
        <w:t>以书面形式通知投保人。投保人应按调整后的保险费率缴纳续期保险费。</w:t>
      </w:r>
    </w:p>
    <w:p>
      <w:pPr>
        <w:pStyle w:val="Heading1"/>
        <w:spacing w:before="208"/>
      </w:pPr>
      <w:r>
        <w:rPr/>
        <w:t>第九条 附加合同犹豫期</w:t>
      </w:r>
    </w:p>
    <w:p>
      <w:pPr>
        <w:pStyle w:val="BodyText"/>
        <w:spacing w:before="8"/>
        <w:ind w:left="0"/>
        <w:rPr>
          <w:rFonts w:ascii="黑体"/>
          <w:b/>
          <w:sz w:val="22"/>
        </w:rPr>
      </w:pPr>
    </w:p>
    <w:p>
      <w:pPr>
        <w:pStyle w:val="BodyText"/>
        <w:spacing w:before="1"/>
      </w:pPr>
      <w:r>
        <w:rPr/>
        <w:t>本附加合同的犹豫期与主合同相同。犹豫期在续保时不适用。</w:t>
      </w:r>
    </w:p>
    <w:p>
      <w:pPr>
        <w:pStyle w:val="BodyText"/>
        <w:spacing w:before="10"/>
        <w:ind w:left="0"/>
        <w:rPr>
          <w:sz w:val="20"/>
        </w:rPr>
      </w:pPr>
    </w:p>
    <w:p>
      <w:pPr>
        <w:pStyle w:val="Heading1"/>
      </w:pPr>
      <w:r>
        <w:rPr/>
        <w:t>第十条 投保人解除合同的手续及风险</w:t>
      </w:r>
    </w:p>
    <w:p>
      <w:pPr>
        <w:pStyle w:val="BodyText"/>
        <w:ind w:left="0"/>
        <w:rPr>
          <w:rFonts w:ascii="黑体"/>
          <w:b/>
          <w:sz w:val="20"/>
        </w:rPr>
      </w:pPr>
    </w:p>
    <w:p>
      <w:pPr>
        <w:pStyle w:val="BodyText"/>
        <w:spacing w:before="163"/>
      </w:pPr>
      <w:r>
        <w:rPr/>
        <w:t>如投保人在犹豫期后申请解除本附加合同，请填写保险合同变更申请书并向本公司提供下列资料：</w:t>
      </w:r>
    </w:p>
    <w:p>
      <w:pPr>
        <w:pStyle w:val="BodyText"/>
        <w:spacing w:before="8"/>
        <w:ind w:left="0"/>
        <w:rPr>
          <w:sz w:val="26"/>
        </w:rPr>
      </w:pPr>
    </w:p>
    <w:p>
      <w:pPr>
        <w:pStyle w:val="BodyText"/>
        <w:spacing w:before="1"/>
      </w:pPr>
      <w:r>
        <w:rPr>
          <w:rFonts w:ascii="Times New Roman" w:eastAsia="Times New Roman"/>
        </w:rPr>
        <w:t>1</w:t>
      </w:r>
      <w:r>
        <w:rPr/>
        <w:t>、 保险合同；</w:t>
      </w:r>
    </w:p>
    <w:p>
      <w:pPr>
        <w:pStyle w:val="BodyText"/>
        <w:spacing w:before="6"/>
        <w:ind w:left="0"/>
        <w:rPr>
          <w:sz w:val="25"/>
        </w:rPr>
      </w:pPr>
    </w:p>
    <w:p>
      <w:pPr>
        <w:pStyle w:val="BodyText"/>
      </w:pPr>
      <w:r>
        <w:rPr>
          <w:rFonts w:ascii="Times New Roman" w:eastAsia="Times New Roman"/>
        </w:rPr>
        <w:t>2</w:t>
      </w:r>
      <w:r>
        <w:rPr/>
        <w:t>、 投保人的有效身份证件。</w:t>
      </w:r>
    </w:p>
    <w:p>
      <w:pPr>
        <w:pStyle w:val="BodyText"/>
        <w:ind w:left="0"/>
        <w:rPr>
          <w:sz w:val="28"/>
        </w:rPr>
      </w:pPr>
    </w:p>
    <w:p>
      <w:pPr>
        <w:pStyle w:val="BodyText"/>
        <w:spacing w:line="516" w:lineRule="auto" w:before="212"/>
        <w:ind w:right="202"/>
      </w:pPr>
      <w:r>
        <w:rPr>
          <w:spacing w:val="-5"/>
        </w:rPr>
        <w:t>自本公司收到解除合同申请时起，本附加合同终止。本公司自收到解除合同申请之日起 </w:t>
      </w:r>
      <w:r>
        <w:rPr>
          <w:rFonts w:ascii="Times New Roman" w:eastAsia="Times New Roman"/>
          <w:spacing w:val="-3"/>
        </w:rPr>
        <w:t>30 </w:t>
      </w:r>
      <w:r>
        <w:rPr>
          <w:spacing w:val="-2"/>
        </w:rPr>
        <w:t>日内向投保人</w:t>
      </w:r>
      <w:r>
        <w:rPr>
          <w:spacing w:val="-4"/>
        </w:rPr>
        <w:t>退还保险单的现金价值。</w:t>
      </w:r>
    </w:p>
    <w:p>
      <w:pPr>
        <w:pStyle w:val="BodyText"/>
        <w:spacing w:before="7"/>
        <w:ind w:left="0"/>
        <w:rPr>
          <w:sz w:val="26"/>
        </w:rPr>
      </w:pPr>
    </w:p>
    <w:p>
      <w:pPr>
        <w:pStyle w:val="BodyText"/>
        <w:spacing w:before="1"/>
      </w:pPr>
      <w:r>
        <w:rPr/>
        <w:t>投保人犹豫期后解除合同会遭受一定损失。</w:t>
      </w:r>
    </w:p>
    <w:p>
      <w:pPr>
        <w:pStyle w:val="BodyText"/>
        <w:spacing w:before="9"/>
        <w:ind w:left="0"/>
        <w:rPr>
          <w:sz w:val="30"/>
        </w:rPr>
      </w:pPr>
    </w:p>
    <w:p>
      <w:pPr>
        <w:pStyle w:val="Heading1"/>
        <w:tabs>
          <w:tab w:pos="1376" w:val="left" w:leader="none"/>
        </w:tabs>
      </w:pPr>
      <w:r>
        <w:rPr/>
        <w:t>第十一条</w:t>
        <w:tab/>
        <w:t>明确说明与如实告知</w:t>
      </w:r>
    </w:p>
    <w:p>
      <w:pPr>
        <w:pStyle w:val="BodyText"/>
        <w:ind w:left="0"/>
        <w:rPr>
          <w:rFonts w:ascii="黑体"/>
          <w:b/>
          <w:sz w:val="20"/>
        </w:rPr>
      </w:pPr>
    </w:p>
    <w:p>
      <w:pPr>
        <w:pStyle w:val="BodyText"/>
        <w:spacing w:before="164"/>
      </w:pPr>
      <w:r>
        <w:rPr/>
        <w:t>订立本附加合同时，本公司应向投保人说明本附加合同的内容。</w:t>
      </w:r>
    </w:p>
    <w:p>
      <w:pPr>
        <w:pStyle w:val="BodyText"/>
        <w:ind w:left="0"/>
        <w:rPr>
          <w:sz w:val="28"/>
        </w:rPr>
      </w:pPr>
    </w:p>
    <w:p>
      <w:pPr>
        <w:pStyle w:val="BodyText"/>
        <w:spacing w:line="544" w:lineRule="auto" w:before="227"/>
        <w:ind w:right="202"/>
        <w:jc w:val="both"/>
      </w:pPr>
      <w:r>
        <w:rPr>
          <w:spacing w:val="-6"/>
        </w:rPr>
        <w:t>对保险条款中免除本公司责任的条款，本公司在订立合同时应当在投保单、保险单或者其他保险凭证上作</w:t>
      </w:r>
      <w:r>
        <w:rPr>
          <w:spacing w:val="-7"/>
        </w:rPr>
        <w:t>出足以引起投保人注意的提示，并对该条款的内容以书面或者口头形式向投保人作出明确说明，未作提示</w:t>
      </w:r>
      <w:r>
        <w:rPr>
          <w:spacing w:val="-6"/>
        </w:rPr>
        <w:t>或者明确说明的，该条款不产生效力。</w:t>
      </w:r>
    </w:p>
    <w:p>
      <w:pPr>
        <w:spacing w:after="0" w:line="544" w:lineRule="auto"/>
        <w:jc w:val="both"/>
        <w:sectPr>
          <w:pgSz w:w="11910" w:h="16840"/>
          <w:pgMar w:header="0" w:footer="219" w:top="1040" w:bottom="480" w:left="1020" w:right="920"/>
        </w:sectPr>
      </w:pPr>
    </w:p>
    <w:p>
      <w:pPr>
        <w:pStyle w:val="BodyText"/>
        <w:spacing w:before="64"/>
      </w:pPr>
      <w:r>
        <w:rPr/>
        <w:t>本公司就投保人和被保险人的有关情况提出询问，投保人应当如实告知。</w:t>
      </w:r>
    </w:p>
    <w:p>
      <w:pPr>
        <w:pStyle w:val="BodyText"/>
        <w:ind w:left="0"/>
        <w:rPr>
          <w:sz w:val="28"/>
        </w:rPr>
      </w:pPr>
    </w:p>
    <w:p>
      <w:pPr>
        <w:pStyle w:val="BodyText"/>
        <w:spacing w:before="6"/>
        <w:ind w:left="0"/>
        <w:rPr>
          <w:sz w:val="22"/>
        </w:rPr>
      </w:pPr>
    </w:p>
    <w:p>
      <w:pPr>
        <w:pStyle w:val="BodyText"/>
        <w:spacing w:line="544" w:lineRule="auto"/>
        <w:ind w:right="206"/>
      </w:pPr>
      <w:r>
        <w:rPr>
          <w:spacing w:val="-6"/>
        </w:rPr>
        <w:t>如果投保人故意或者因重大过失未履行前款规定的如实告知义务，足以影响本公司决定是否同意承保或者</w:t>
      </w:r>
      <w:r>
        <w:rPr>
          <w:spacing w:val="-5"/>
        </w:rPr>
        <w:t>提高保险费率的，本公司有权解除本附加合同。</w:t>
      </w:r>
    </w:p>
    <w:p>
      <w:pPr>
        <w:pStyle w:val="BodyText"/>
        <w:spacing w:before="7"/>
        <w:ind w:left="0"/>
        <w:rPr>
          <w:sz w:val="24"/>
        </w:rPr>
      </w:pPr>
    </w:p>
    <w:p>
      <w:pPr>
        <w:pStyle w:val="BodyText"/>
        <w:spacing w:line="544" w:lineRule="auto"/>
        <w:ind w:right="203"/>
      </w:pPr>
      <w:r>
        <w:rPr>
          <w:spacing w:val="-6"/>
        </w:rPr>
        <w:t>如果投保人故意不履行如实告知义务，对于本附加合同解除前发生的保险事故，本公司不承担给付保险金</w:t>
      </w:r>
      <w:r>
        <w:rPr>
          <w:spacing w:val="-5"/>
        </w:rPr>
        <w:t>的责任，并不退还保险费。</w:t>
      </w:r>
    </w:p>
    <w:p>
      <w:pPr>
        <w:pStyle w:val="BodyText"/>
        <w:spacing w:before="7"/>
        <w:ind w:left="0"/>
        <w:rPr>
          <w:sz w:val="24"/>
        </w:rPr>
      </w:pPr>
    </w:p>
    <w:p>
      <w:pPr>
        <w:pStyle w:val="BodyText"/>
        <w:spacing w:line="544" w:lineRule="auto"/>
        <w:ind w:right="202"/>
      </w:pPr>
      <w:r>
        <w:rPr>
          <w:spacing w:val="-6"/>
        </w:rPr>
        <w:t>如果投保人因重大过失未履行如实告知义务，对保险事故的发生有严重影响的，对于本附加合同解除前发</w:t>
      </w:r>
      <w:r>
        <w:rPr>
          <w:spacing w:val="-5"/>
        </w:rPr>
        <w:t>生的保险事故，本公司不承担给付保险金的责任，但应当退还保险费。</w:t>
      </w:r>
    </w:p>
    <w:p>
      <w:pPr>
        <w:pStyle w:val="BodyText"/>
        <w:spacing w:before="12"/>
        <w:ind w:left="0"/>
        <w:rPr>
          <w:sz w:val="24"/>
        </w:rPr>
      </w:pPr>
    </w:p>
    <w:p>
      <w:pPr>
        <w:pStyle w:val="BodyText"/>
        <w:spacing w:line="544" w:lineRule="auto"/>
        <w:ind w:right="202"/>
      </w:pPr>
      <w:r>
        <w:rPr>
          <w:spacing w:val="-8"/>
        </w:rPr>
        <w:t>本公司在合同订立时已经知道投保人未如实告知的情况的，本公司不得解除合同；发生保险事故的，本公</w:t>
      </w:r>
      <w:r>
        <w:rPr>
          <w:spacing w:val="-6"/>
        </w:rPr>
        <w:t>司承担给付保险金的责任。</w:t>
      </w:r>
    </w:p>
    <w:p>
      <w:pPr>
        <w:pStyle w:val="Heading1"/>
        <w:tabs>
          <w:tab w:pos="1376" w:val="left" w:leader="none"/>
        </w:tabs>
        <w:spacing w:before="135"/>
      </w:pPr>
      <w:r>
        <w:rPr/>
        <w:t>第十二条</w:t>
        <w:tab/>
        <w:t>本公司合同解除权的限制</w:t>
      </w:r>
    </w:p>
    <w:p>
      <w:pPr>
        <w:pStyle w:val="BodyText"/>
        <w:spacing w:before="8"/>
        <w:ind w:left="0"/>
        <w:rPr>
          <w:rFonts w:ascii="黑体"/>
          <w:b/>
          <w:sz w:val="22"/>
        </w:rPr>
      </w:pPr>
    </w:p>
    <w:p>
      <w:pPr>
        <w:pStyle w:val="BodyText"/>
        <w:spacing w:line="302" w:lineRule="auto"/>
        <w:ind w:right="202"/>
      </w:pPr>
      <w:r>
        <w:rPr>
          <w:spacing w:val="-5"/>
        </w:rPr>
        <w:t>前条规定的合同解除权，自本公司知道有解除事由之日起，超过 </w:t>
      </w:r>
      <w:r>
        <w:rPr>
          <w:rFonts w:ascii="Times New Roman" w:eastAsia="Times New Roman"/>
        </w:rPr>
        <w:t>30</w:t>
      </w:r>
      <w:r>
        <w:rPr>
          <w:rFonts w:ascii="Times New Roman" w:eastAsia="Times New Roman"/>
          <w:spacing w:val="10"/>
        </w:rPr>
        <w:t> </w:t>
      </w:r>
      <w:r>
        <w:rPr>
          <w:spacing w:val="-4"/>
        </w:rPr>
        <w:t>日不行使而消灭，发生保险事故的， </w:t>
      </w:r>
      <w:r>
        <w:rPr>
          <w:spacing w:val="-5"/>
        </w:rPr>
        <w:t>本公司承担给付保险金的责任。</w:t>
      </w:r>
    </w:p>
    <w:p>
      <w:pPr>
        <w:pStyle w:val="Heading1"/>
        <w:tabs>
          <w:tab w:pos="1376" w:val="left" w:leader="none"/>
        </w:tabs>
        <w:spacing w:before="222"/>
      </w:pPr>
      <w:r>
        <w:rPr/>
        <w:t>第十三条</w:t>
        <w:tab/>
        <w:t>受益人</w:t>
      </w:r>
    </w:p>
    <w:p>
      <w:pPr>
        <w:pStyle w:val="BodyText"/>
        <w:spacing w:before="8"/>
        <w:ind w:left="0"/>
        <w:rPr>
          <w:rFonts w:ascii="黑体"/>
          <w:b/>
          <w:sz w:val="22"/>
        </w:rPr>
      </w:pPr>
    </w:p>
    <w:p>
      <w:pPr>
        <w:pStyle w:val="BodyText"/>
      </w:pPr>
      <w:r>
        <w:rPr/>
        <w:t>投保人或者被保险人可以指定一人或多人为受益人。</w:t>
      </w:r>
    </w:p>
    <w:p>
      <w:pPr>
        <w:pStyle w:val="BodyText"/>
        <w:spacing w:before="2"/>
        <w:ind w:left="0"/>
        <w:rPr>
          <w:sz w:val="25"/>
        </w:rPr>
      </w:pPr>
    </w:p>
    <w:p>
      <w:pPr>
        <w:pStyle w:val="BodyText"/>
        <w:spacing w:line="532" w:lineRule="auto" w:before="1"/>
        <w:ind w:right="105"/>
      </w:pPr>
      <w:r>
        <w:rPr>
          <w:spacing w:val="-11"/>
        </w:rPr>
        <w:t>受益人为多人时，可以确定受益顺序和受益份额；如果没有确定份额，各受益人按照相等份额享有受益权。</w:t>
      </w:r>
      <w:r>
        <w:rPr>
          <w:spacing w:val="-7"/>
        </w:rPr>
        <w:t>被保险人为无民事行为能力人或限制民事行为能力人的，可以由其监护人指定受益人。</w:t>
      </w:r>
    </w:p>
    <w:p>
      <w:pPr>
        <w:pStyle w:val="BodyText"/>
        <w:spacing w:line="319" w:lineRule="auto" w:before="74"/>
        <w:ind w:right="202"/>
      </w:pPr>
      <w:r>
        <w:rPr>
          <w:spacing w:val="-7"/>
        </w:rPr>
        <w:t>投保人或者被保险人可以变更受益人并书面通知本公司。本公司收到变更受益人的书面通知后，在保险单</w:t>
      </w:r>
      <w:r>
        <w:rPr>
          <w:spacing w:val="-6"/>
        </w:rPr>
        <w:t>或其他保险凭证上批注或附贴批单。</w:t>
      </w:r>
    </w:p>
    <w:p>
      <w:pPr>
        <w:pStyle w:val="BodyText"/>
        <w:spacing w:before="3"/>
        <w:ind w:left="0"/>
        <w:rPr>
          <w:sz w:val="20"/>
        </w:rPr>
      </w:pPr>
    </w:p>
    <w:p>
      <w:pPr>
        <w:pStyle w:val="BodyText"/>
        <w:spacing w:before="1"/>
      </w:pPr>
      <w:r>
        <w:rPr/>
        <w:t>投保人在指定和变更受益人时，必须经过被保险人同意。</w:t>
      </w:r>
    </w:p>
    <w:p>
      <w:pPr>
        <w:pStyle w:val="BodyText"/>
        <w:spacing w:before="7"/>
        <w:ind w:left="0"/>
        <w:rPr>
          <w:sz w:val="25"/>
        </w:rPr>
      </w:pPr>
    </w:p>
    <w:p>
      <w:pPr>
        <w:pStyle w:val="BodyText"/>
        <w:spacing w:line="319" w:lineRule="auto"/>
        <w:ind w:right="206"/>
      </w:pPr>
      <w:r>
        <w:rPr>
          <w:spacing w:val="-6"/>
        </w:rPr>
        <w:t>被保险人身故后，有下列情形之一的，保险金作为被保险人的遗产，由本公司依照《中华人民共和国继承</w:t>
      </w:r>
      <w:r>
        <w:rPr>
          <w:spacing w:val="-5"/>
        </w:rPr>
        <w:t>法》的规定履行给付保险金的义务：</w:t>
      </w:r>
    </w:p>
    <w:p>
      <w:pPr>
        <w:pStyle w:val="BodyText"/>
        <w:spacing w:before="149"/>
      </w:pPr>
      <w:r>
        <w:rPr>
          <w:rFonts w:ascii="Times New Roman" w:eastAsia="Times New Roman"/>
        </w:rPr>
        <w:t>1</w:t>
      </w:r>
      <w:r>
        <w:rPr/>
        <w:t>、 没有指定受益人，或者受益人指定不明无法确定的；</w:t>
      </w:r>
    </w:p>
    <w:p>
      <w:pPr>
        <w:pStyle w:val="BodyText"/>
        <w:spacing w:before="5"/>
        <w:ind w:left="0"/>
        <w:rPr>
          <w:sz w:val="25"/>
        </w:rPr>
      </w:pPr>
    </w:p>
    <w:p>
      <w:pPr>
        <w:pStyle w:val="BodyText"/>
      </w:pPr>
      <w:r>
        <w:rPr>
          <w:rFonts w:ascii="Times New Roman" w:eastAsia="Times New Roman"/>
        </w:rPr>
        <w:t>2</w:t>
      </w:r>
      <w:r>
        <w:rPr/>
        <w:t>、 受益人先于被保险人身故，没有其他受益人的；</w:t>
      </w:r>
    </w:p>
    <w:p>
      <w:pPr>
        <w:pStyle w:val="BodyText"/>
        <w:spacing w:before="6"/>
        <w:ind w:left="0"/>
        <w:rPr>
          <w:sz w:val="25"/>
        </w:rPr>
      </w:pPr>
    </w:p>
    <w:p>
      <w:pPr>
        <w:pStyle w:val="BodyText"/>
      </w:pPr>
      <w:r>
        <w:rPr>
          <w:rFonts w:ascii="Times New Roman" w:eastAsia="Times New Roman"/>
        </w:rPr>
        <w:t>3</w:t>
      </w:r>
      <w:r>
        <w:rPr/>
        <w:t>、 受益人依法丧失受益权或者放弃受益权，没有其他受益人的。</w:t>
      </w:r>
    </w:p>
    <w:p>
      <w:pPr>
        <w:spacing w:after="0"/>
        <w:sectPr>
          <w:pgSz w:w="11910" w:h="16840"/>
          <w:pgMar w:header="0" w:footer="219" w:top="1160" w:bottom="480" w:left="1020" w:right="920"/>
        </w:sectPr>
      </w:pPr>
    </w:p>
    <w:p>
      <w:pPr>
        <w:pStyle w:val="BodyText"/>
        <w:spacing w:before="55"/>
      </w:pPr>
      <w:r>
        <w:rPr/>
        <w:t>受益人与被保险人在同一事件中身故，且不能确定身故先后顺序的，推定受益人身故在先。</w:t>
      </w:r>
    </w:p>
    <w:p>
      <w:pPr>
        <w:pStyle w:val="BodyText"/>
        <w:spacing w:before="2"/>
        <w:ind w:left="0"/>
        <w:rPr>
          <w:sz w:val="25"/>
        </w:rPr>
      </w:pPr>
    </w:p>
    <w:p>
      <w:pPr>
        <w:pStyle w:val="BodyText"/>
        <w:spacing w:line="532" w:lineRule="auto"/>
        <w:ind w:right="395"/>
      </w:pPr>
      <w:r>
        <w:rPr>
          <w:spacing w:val="-5"/>
        </w:rPr>
        <w:t>受益人故意造成被保险人身故、伤残、疾病的，或者故意杀害被保险人未遂的，该受益人丧失受益权。除另有指定外，本附加合同全残保险金及重大疾病保险金的受益人为被保险人本人。</w:t>
      </w:r>
    </w:p>
    <w:p>
      <w:pPr>
        <w:pStyle w:val="Heading1"/>
        <w:tabs>
          <w:tab w:pos="1376" w:val="left" w:leader="none"/>
        </w:tabs>
        <w:spacing w:before="15"/>
      </w:pPr>
      <w:r>
        <w:rPr/>
        <w:t>第十四条</w:t>
        <w:tab/>
        <w:t>保险金申请</w:t>
      </w:r>
    </w:p>
    <w:p>
      <w:pPr>
        <w:pStyle w:val="BodyText"/>
        <w:spacing w:before="8"/>
        <w:ind w:left="0"/>
        <w:rPr>
          <w:rFonts w:ascii="黑体"/>
          <w:b/>
          <w:sz w:val="22"/>
        </w:rPr>
      </w:pPr>
    </w:p>
    <w:p>
      <w:pPr>
        <w:pStyle w:val="BodyText"/>
      </w:pPr>
      <w:r>
        <w:rPr/>
        <w:t>一、身故、全残保险金的申请</w:t>
      </w:r>
    </w:p>
    <w:p>
      <w:pPr>
        <w:pStyle w:val="BodyText"/>
        <w:spacing w:before="90"/>
      </w:pPr>
      <w:r>
        <w:rPr/>
        <w:t>在申请身故、全残保险金时，申请人须填写保险金给付申请书，并提供下列证明和资料：</w:t>
      </w:r>
    </w:p>
    <w:p>
      <w:pPr>
        <w:pStyle w:val="BodyText"/>
        <w:spacing w:before="94"/>
      </w:pPr>
      <w:r>
        <w:rPr>
          <w:rFonts w:ascii="Times New Roman" w:eastAsia="Times New Roman"/>
        </w:rPr>
        <w:t>1</w:t>
      </w:r>
      <w:r>
        <w:rPr/>
        <w:t>、 保险合同；</w:t>
      </w:r>
    </w:p>
    <w:p>
      <w:pPr>
        <w:pStyle w:val="BodyText"/>
        <w:spacing w:before="73"/>
      </w:pPr>
      <w:r>
        <w:rPr>
          <w:rFonts w:ascii="Times New Roman" w:eastAsia="Times New Roman"/>
        </w:rPr>
        <w:t>2</w:t>
      </w:r>
      <w:r>
        <w:rPr/>
        <w:t>、 申请人的有效身份证件；</w:t>
      </w:r>
    </w:p>
    <w:p>
      <w:pPr>
        <w:pStyle w:val="BodyText"/>
        <w:spacing w:line="300" w:lineRule="auto" w:before="73"/>
        <w:ind w:left="535" w:right="202" w:hanging="423"/>
      </w:pPr>
      <w:r>
        <w:rPr>
          <w:rFonts w:ascii="Times New Roman" w:eastAsia="Times New Roman"/>
        </w:rPr>
        <w:t>3</w:t>
      </w:r>
      <w:r>
        <w:rPr>
          <w:spacing w:val="-6"/>
        </w:rPr>
        <w:t>、 若因被保险人身故提出申请，则应提供国家卫生行政部门认定的医疗机构、公安部门或其他相关机构</w:t>
      </w:r>
      <w:r>
        <w:rPr>
          <w:spacing w:val="-5"/>
        </w:rPr>
        <w:t>出具的被保险人的死亡证明；</w:t>
      </w:r>
    </w:p>
    <w:p>
      <w:pPr>
        <w:pStyle w:val="BodyText"/>
        <w:spacing w:before="42"/>
      </w:pPr>
      <w:r>
        <w:rPr>
          <w:rFonts w:ascii="Times New Roman" w:eastAsia="Times New Roman"/>
        </w:rPr>
        <w:t>4</w:t>
      </w:r>
      <w:r>
        <w:rPr/>
        <w:t>、 若因被保险人全残提出申请，则应提供本公司指定或认可的鉴定机构或医师出具的鉴定诊断书；</w:t>
      </w:r>
    </w:p>
    <w:p>
      <w:pPr>
        <w:pStyle w:val="BodyText"/>
        <w:spacing w:line="499" w:lineRule="auto" w:before="73"/>
        <w:ind w:right="2917"/>
      </w:pPr>
      <w:r>
        <w:rPr>
          <w:rFonts w:ascii="Times New Roman" w:eastAsia="Times New Roman"/>
        </w:rPr>
        <w:t>5</w:t>
      </w:r>
      <w:r>
        <w:rPr/>
        <w:t>、 所能提供的与确认保险事故的性质、原因等有关的其他证明和资料。保险金作为被保险人遗产时，必须提供可证明合法继承权的相关权利文件。</w:t>
      </w:r>
    </w:p>
    <w:p>
      <w:pPr>
        <w:pStyle w:val="BodyText"/>
        <w:spacing w:before="107"/>
      </w:pPr>
      <w:r>
        <w:rPr/>
        <w:t>二、重大疾病保险金的申请</w:t>
      </w:r>
    </w:p>
    <w:p>
      <w:pPr>
        <w:pStyle w:val="BodyText"/>
        <w:spacing w:before="89"/>
      </w:pPr>
      <w:r>
        <w:rPr/>
        <w:t>在申请重大疾病保险金时，申请人须填写保险金给付申请书，并提供下列证明和资料：</w:t>
      </w:r>
    </w:p>
    <w:p>
      <w:pPr>
        <w:pStyle w:val="ListParagraph"/>
        <w:numPr>
          <w:ilvl w:val="0"/>
          <w:numId w:val="1"/>
        </w:numPr>
        <w:tabs>
          <w:tab w:pos="473" w:val="left" w:leader="none"/>
          <w:tab w:pos="474" w:val="left" w:leader="none"/>
        </w:tabs>
        <w:spacing w:line="240" w:lineRule="auto" w:before="89" w:after="0"/>
        <w:ind w:left="473" w:right="0" w:hanging="360"/>
        <w:jc w:val="left"/>
        <w:rPr>
          <w:sz w:val="21"/>
        </w:rPr>
      </w:pPr>
      <w:r>
        <w:rPr>
          <w:sz w:val="21"/>
        </w:rPr>
        <w:t>保险合同；</w:t>
      </w:r>
    </w:p>
    <w:p>
      <w:pPr>
        <w:pStyle w:val="ListParagraph"/>
        <w:numPr>
          <w:ilvl w:val="0"/>
          <w:numId w:val="1"/>
        </w:numPr>
        <w:tabs>
          <w:tab w:pos="473" w:val="left" w:leader="none"/>
          <w:tab w:pos="474" w:val="left" w:leader="none"/>
        </w:tabs>
        <w:spacing w:line="240" w:lineRule="auto" w:before="73" w:after="0"/>
        <w:ind w:left="473" w:right="0" w:hanging="360"/>
        <w:jc w:val="left"/>
        <w:rPr>
          <w:sz w:val="21"/>
        </w:rPr>
      </w:pPr>
      <w:r>
        <w:rPr>
          <w:spacing w:val="-2"/>
          <w:sz w:val="21"/>
        </w:rPr>
        <w:t>申请人的有效身份证件；</w:t>
      </w:r>
    </w:p>
    <w:p>
      <w:pPr>
        <w:pStyle w:val="ListParagraph"/>
        <w:numPr>
          <w:ilvl w:val="0"/>
          <w:numId w:val="1"/>
        </w:numPr>
        <w:tabs>
          <w:tab w:pos="473" w:val="left" w:leader="none"/>
          <w:tab w:pos="474" w:val="left" w:leader="none"/>
        </w:tabs>
        <w:spacing w:line="283" w:lineRule="auto" w:before="12" w:after="0"/>
        <w:ind w:left="473" w:right="100" w:hanging="360"/>
        <w:jc w:val="left"/>
        <w:rPr>
          <w:sz w:val="21"/>
        </w:rPr>
      </w:pPr>
      <w:r>
        <w:rPr>
          <w:sz w:val="21"/>
        </w:rPr>
        <w:t>由</w:t>
      </w:r>
      <w:r>
        <w:rPr>
          <w:rFonts w:ascii="Microsoft JhengHei" w:eastAsia="Microsoft JhengHei" w:hint="eastAsia"/>
          <w:b/>
          <w:sz w:val="21"/>
        </w:rPr>
        <w:t>专科医生（见释义）</w:t>
      </w:r>
      <w:r>
        <w:rPr>
          <w:spacing w:val="-2"/>
          <w:sz w:val="21"/>
        </w:rPr>
        <w:t>出具的疾病诊断书及相关所必需的检查结果证明</w:t>
      </w:r>
      <w:r>
        <w:rPr>
          <w:sz w:val="21"/>
        </w:rPr>
        <w:t>（</w:t>
      </w:r>
      <w:r>
        <w:rPr>
          <w:spacing w:val="-1"/>
          <w:sz w:val="21"/>
        </w:rPr>
        <w:t>如病理检查报告、血液检查</w:t>
      </w:r>
      <w:r>
        <w:rPr>
          <w:spacing w:val="-11"/>
          <w:sz w:val="21"/>
        </w:rPr>
        <w:t>报告、超声波、影像学及其它医学诊断检查报告等</w:t>
      </w:r>
      <w:r>
        <w:rPr>
          <w:spacing w:val="-77"/>
          <w:sz w:val="21"/>
        </w:rPr>
        <w:t>）</w:t>
      </w:r>
      <w:r>
        <w:rPr>
          <w:spacing w:val="-12"/>
          <w:sz w:val="21"/>
        </w:rPr>
        <w:t>，若接受外科手术者，还需提供外科手术证明文件；</w:t>
      </w:r>
    </w:p>
    <w:p>
      <w:pPr>
        <w:pStyle w:val="ListParagraph"/>
        <w:numPr>
          <w:ilvl w:val="0"/>
          <w:numId w:val="1"/>
        </w:numPr>
        <w:tabs>
          <w:tab w:pos="473" w:val="left" w:leader="none"/>
          <w:tab w:pos="474" w:val="left" w:leader="none"/>
        </w:tabs>
        <w:spacing w:line="240" w:lineRule="auto" w:before="52" w:after="0"/>
        <w:ind w:left="473" w:right="0" w:hanging="360"/>
        <w:jc w:val="left"/>
        <w:rPr>
          <w:sz w:val="21"/>
        </w:rPr>
      </w:pPr>
      <w:r>
        <w:rPr>
          <w:spacing w:val="-5"/>
          <w:sz w:val="21"/>
        </w:rPr>
        <w:t>所能提供的与确认保险事故的性质、原因等有关的其他证明和资料。</w:t>
      </w:r>
    </w:p>
    <w:p>
      <w:pPr>
        <w:pStyle w:val="BodyText"/>
        <w:spacing w:before="4"/>
        <w:ind w:left="0"/>
        <w:rPr>
          <w:sz w:val="24"/>
        </w:rPr>
      </w:pPr>
    </w:p>
    <w:p>
      <w:pPr>
        <w:pStyle w:val="BodyText"/>
      </w:pPr>
      <w:r>
        <w:rPr/>
        <w:t>以上证明和资料不完整的，本公司将及时一次性通知申请人补充提供有关证明和资料。</w:t>
      </w:r>
    </w:p>
    <w:p>
      <w:pPr>
        <w:pStyle w:val="BodyText"/>
        <w:spacing w:before="10"/>
        <w:ind w:left="0"/>
        <w:rPr>
          <w:sz w:val="20"/>
        </w:rPr>
      </w:pPr>
    </w:p>
    <w:p>
      <w:pPr>
        <w:pStyle w:val="Heading1"/>
        <w:tabs>
          <w:tab w:pos="1376" w:val="left" w:leader="none"/>
        </w:tabs>
      </w:pPr>
      <w:r>
        <w:rPr/>
        <w:t>第十五条</w:t>
        <w:tab/>
        <w:t>诉讼时效</w:t>
      </w:r>
    </w:p>
    <w:p>
      <w:pPr>
        <w:pStyle w:val="BodyText"/>
        <w:ind w:left="0"/>
        <w:rPr>
          <w:rFonts w:ascii="黑体"/>
          <w:b/>
          <w:sz w:val="20"/>
        </w:rPr>
      </w:pPr>
    </w:p>
    <w:p>
      <w:pPr>
        <w:pStyle w:val="BodyText"/>
        <w:spacing w:before="163"/>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11"/>
        <w:ind w:left="0"/>
        <w:rPr>
          <w:sz w:val="29"/>
        </w:rPr>
      </w:pPr>
    </w:p>
    <w:p>
      <w:pPr>
        <w:pStyle w:val="Heading1"/>
        <w:tabs>
          <w:tab w:pos="1376" w:val="left" w:leader="none"/>
        </w:tabs>
      </w:pPr>
      <w:r>
        <w:rPr/>
        <w:t>第十六条</w:t>
        <w:tab/>
        <w:t>身体检查</w:t>
      </w:r>
    </w:p>
    <w:p>
      <w:pPr>
        <w:pStyle w:val="BodyText"/>
        <w:spacing w:before="8"/>
        <w:ind w:left="0"/>
        <w:rPr>
          <w:rFonts w:ascii="黑体"/>
          <w:b/>
          <w:sz w:val="22"/>
        </w:rPr>
      </w:pPr>
    </w:p>
    <w:p>
      <w:pPr>
        <w:pStyle w:val="BodyText"/>
        <w:spacing w:line="319" w:lineRule="auto"/>
        <w:ind w:right="206"/>
        <w:jc w:val="both"/>
      </w:pPr>
      <w:r>
        <w:rPr>
          <w:spacing w:val="-5"/>
        </w:rPr>
        <w:t>申请本附加合同保险金时，本公司有权根据实际情况要求被保险人到本公司指定的医院进行身体检查或其他必要的检验以确认保险事故的发生，费用由本公司承担。如果被保险人拒绝检查、检验或检查、检验结果不符合本附加合同关于保险事故的约定，本公司不负给付保险金的责任。</w:t>
      </w:r>
    </w:p>
    <w:p>
      <w:pPr>
        <w:pStyle w:val="Heading1"/>
        <w:tabs>
          <w:tab w:pos="1376" w:val="left" w:leader="none"/>
        </w:tabs>
        <w:spacing w:before="208"/>
      </w:pPr>
      <w:r>
        <w:rPr/>
        <w:t>第十七条</w:t>
        <w:tab/>
        <w:t>保险费的缴付与宽限期</w:t>
      </w:r>
    </w:p>
    <w:p>
      <w:pPr>
        <w:pStyle w:val="BodyText"/>
        <w:spacing w:before="8"/>
        <w:ind w:left="0"/>
        <w:rPr>
          <w:rFonts w:ascii="黑体"/>
          <w:b/>
          <w:sz w:val="22"/>
        </w:rPr>
      </w:pPr>
    </w:p>
    <w:p>
      <w:pPr>
        <w:pStyle w:val="BodyText"/>
        <w:spacing w:line="319" w:lineRule="auto"/>
        <w:ind w:right="202"/>
        <w:jc w:val="both"/>
      </w:pPr>
      <w:r>
        <w:rPr>
          <w:spacing w:val="-7"/>
        </w:rPr>
        <w:t>投保人应于本附加合同成立时向本公司缴付首期保险费，首期后的分期保险费，应按保险单上所载的缴付</w:t>
      </w:r>
      <w:r>
        <w:rPr>
          <w:spacing w:val="-9"/>
        </w:rPr>
        <w:t>方法及日期缴付；分期保险费到期未缴付者，除非主合同其他条款另有约定，否则自本附加合同保险费到</w:t>
      </w:r>
      <w:r>
        <w:rPr>
          <w:spacing w:val="-7"/>
        </w:rPr>
        <w:t>期日的次日起六十日为宽限期。</w:t>
      </w:r>
    </w:p>
    <w:p>
      <w:pPr>
        <w:spacing w:after="0" w:line="319" w:lineRule="auto"/>
        <w:jc w:val="both"/>
        <w:sectPr>
          <w:pgSz w:w="11910" w:h="16840"/>
          <w:pgMar w:header="0" w:footer="219" w:top="1040" w:bottom="480" w:left="1020" w:right="920"/>
        </w:sectPr>
      </w:pPr>
    </w:p>
    <w:p>
      <w:pPr>
        <w:pStyle w:val="BodyText"/>
        <w:spacing w:line="544" w:lineRule="auto" w:before="60"/>
        <w:ind w:right="102"/>
      </w:pPr>
      <w:r>
        <w:rPr>
          <w:spacing w:val="-6"/>
        </w:rPr>
        <w:t>若续保，投保人应按主合同的相关约定以及续保时本公司规定的费率缴纳续保保险费。未按时缴纳续保保</w:t>
      </w:r>
      <w:r>
        <w:rPr>
          <w:spacing w:val="-5"/>
        </w:rPr>
        <w:t>险费者，除非主合同其他条款另有约定，否则自本附加合同保险期间届满日的次日起六十日为宽限期。</w:t>
      </w:r>
    </w:p>
    <w:p>
      <w:pPr>
        <w:pStyle w:val="BodyText"/>
        <w:spacing w:line="309" w:lineRule="auto" w:before="198"/>
        <w:ind w:right="102"/>
        <w:jc w:val="both"/>
      </w:pPr>
      <w:r>
        <w:rPr>
          <w:spacing w:val="-7"/>
        </w:rPr>
        <w:t>宽限期内本附加合同仍然有效。对于被保险人在宽限期内发生的保险事故，本公司仍负保险责任，并在给</w:t>
      </w:r>
      <w:r>
        <w:rPr>
          <w:spacing w:val="-5"/>
        </w:rPr>
        <w:t>付保险金时，从中扣除欠缴的保险费。若超过宽限期仍未缴付保险费，本附加合同自宽限期满的当日 </w:t>
      </w:r>
      <w:r>
        <w:rPr>
          <w:rFonts w:ascii="Times New Roman" w:eastAsia="Times New Roman"/>
        </w:rPr>
        <w:t>24 </w:t>
      </w:r>
      <w:r>
        <w:rPr>
          <w:spacing w:val="-1"/>
        </w:rPr>
        <w:t>时起效力终止。</w:t>
      </w:r>
    </w:p>
    <w:p>
      <w:pPr>
        <w:pStyle w:val="Heading1"/>
        <w:tabs>
          <w:tab w:pos="1376" w:val="left" w:leader="none"/>
        </w:tabs>
        <w:spacing w:before="216"/>
      </w:pPr>
      <w:r>
        <w:rPr/>
        <w:t>第十八条</w:t>
        <w:tab/>
        <w:t>欠款的扣除</w:t>
      </w:r>
    </w:p>
    <w:p>
      <w:pPr>
        <w:pStyle w:val="BodyText"/>
        <w:spacing w:before="8"/>
        <w:ind w:left="0"/>
        <w:rPr>
          <w:rFonts w:ascii="黑体"/>
          <w:b/>
          <w:sz w:val="22"/>
        </w:rPr>
      </w:pPr>
    </w:p>
    <w:p>
      <w:pPr>
        <w:pStyle w:val="BodyText"/>
        <w:spacing w:line="319" w:lineRule="auto" w:before="1"/>
        <w:ind w:right="104"/>
      </w:pPr>
      <w:r>
        <w:rPr>
          <w:spacing w:val="-6"/>
        </w:rPr>
        <w:t>本公司在给付本附加合同各项保险金时，若投保人有欠缴保险费及利息，则本公司应先扣除上述款项后给</w:t>
      </w:r>
      <w:r>
        <w:rPr>
          <w:spacing w:val="-5"/>
        </w:rPr>
        <w:t>付各项保险金。</w:t>
      </w:r>
    </w:p>
    <w:p>
      <w:pPr>
        <w:pStyle w:val="Heading1"/>
        <w:spacing w:before="203"/>
        <w:jc w:val="both"/>
      </w:pPr>
      <w:r>
        <w:rPr/>
        <w:t>第十九条   附加合同效力的终止</w:t>
      </w:r>
    </w:p>
    <w:p>
      <w:pPr>
        <w:pStyle w:val="BodyText"/>
        <w:spacing w:before="8"/>
        <w:ind w:left="0"/>
        <w:rPr>
          <w:rFonts w:ascii="黑体"/>
          <w:b/>
          <w:sz w:val="22"/>
        </w:rPr>
      </w:pPr>
    </w:p>
    <w:p>
      <w:pPr>
        <w:pStyle w:val="BodyText"/>
        <w:spacing w:before="1"/>
        <w:jc w:val="both"/>
      </w:pPr>
      <w:r>
        <w:rPr/>
        <w:t>出现下列情况之一时，本附加合同的效力即终止：</w:t>
      </w:r>
    </w:p>
    <w:p>
      <w:pPr>
        <w:pStyle w:val="ListParagraph"/>
        <w:numPr>
          <w:ilvl w:val="0"/>
          <w:numId w:val="2"/>
        </w:numPr>
        <w:tabs>
          <w:tab w:pos="474" w:val="left" w:leader="none"/>
        </w:tabs>
        <w:spacing w:line="240" w:lineRule="auto" w:before="95" w:after="0"/>
        <w:ind w:left="473" w:right="0" w:hanging="360"/>
        <w:jc w:val="both"/>
        <w:rPr>
          <w:sz w:val="21"/>
        </w:rPr>
      </w:pPr>
      <w:r>
        <w:rPr>
          <w:spacing w:val="-5"/>
          <w:sz w:val="21"/>
        </w:rPr>
        <w:t>主合同效力中止、终止、处于自动垫缴期或更改为减额付清保险；</w:t>
      </w:r>
    </w:p>
    <w:p>
      <w:pPr>
        <w:pStyle w:val="ListParagraph"/>
        <w:numPr>
          <w:ilvl w:val="0"/>
          <w:numId w:val="2"/>
        </w:numPr>
        <w:tabs>
          <w:tab w:pos="474" w:val="left" w:leader="none"/>
        </w:tabs>
        <w:spacing w:line="240" w:lineRule="auto" w:before="204" w:after="0"/>
        <w:ind w:left="473" w:right="0" w:hanging="360"/>
        <w:jc w:val="both"/>
        <w:rPr>
          <w:sz w:val="21"/>
        </w:rPr>
      </w:pPr>
      <w:r>
        <w:rPr>
          <w:spacing w:val="-7"/>
          <w:sz w:val="21"/>
        </w:rPr>
        <w:t>本附加合同保证续保期间内，自动续保时被保险人年龄已满 </w:t>
      </w:r>
      <w:r>
        <w:rPr>
          <w:rFonts w:ascii="Times New Roman" w:eastAsia="Times New Roman"/>
          <w:sz w:val="21"/>
        </w:rPr>
        <w:t>70</w:t>
      </w:r>
      <w:r>
        <w:rPr>
          <w:rFonts w:ascii="Times New Roman" w:eastAsia="Times New Roman"/>
          <w:spacing w:val="16"/>
          <w:sz w:val="21"/>
        </w:rPr>
        <w:t> </w:t>
      </w:r>
      <w:r>
        <w:rPr>
          <w:spacing w:val="-2"/>
          <w:sz w:val="21"/>
        </w:rPr>
        <w:t>周岁；</w:t>
      </w:r>
    </w:p>
    <w:p>
      <w:pPr>
        <w:pStyle w:val="ListParagraph"/>
        <w:numPr>
          <w:ilvl w:val="0"/>
          <w:numId w:val="2"/>
        </w:numPr>
        <w:tabs>
          <w:tab w:pos="474" w:val="left" w:leader="none"/>
        </w:tabs>
        <w:spacing w:line="240" w:lineRule="auto" w:before="204" w:after="0"/>
        <w:ind w:left="473" w:right="0" w:hanging="360"/>
        <w:jc w:val="both"/>
        <w:rPr>
          <w:sz w:val="21"/>
        </w:rPr>
      </w:pPr>
      <w:r>
        <w:rPr>
          <w:spacing w:val="-5"/>
          <w:sz w:val="21"/>
        </w:rPr>
        <w:t>本附加合同保证续保期间届满，且本公司不同意继续承保；</w:t>
      </w:r>
    </w:p>
    <w:p>
      <w:pPr>
        <w:pStyle w:val="ListParagraph"/>
        <w:numPr>
          <w:ilvl w:val="0"/>
          <w:numId w:val="2"/>
        </w:numPr>
        <w:tabs>
          <w:tab w:pos="474" w:val="left" w:leader="none"/>
        </w:tabs>
        <w:spacing w:line="240" w:lineRule="auto" w:before="74" w:after="0"/>
        <w:ind w:left="473" w:right="0" w:hanging="360"/>
        <w:jc w:val="both"/>
        <w:rPr>
          <w:sz w:val="21"/>
        </w:rPr>
      </w:pPr>
      <w:r>
        <w:rPr>
          <w:spacing w:val="-4"/>
          <w:sz w:val="21"/>
        </w:rPr>
        <w:t>主合同或本附加合同已约定的效力终止的情形。</w:t>
      </w:r>
    </w:p>
    <w:p>
      <w:pPr>
        <w:pStyle w:val="BodyText"/>
        <w:spacing w:before="12"/>
        <w:ind w:left="0"/>
        <w:rPr>
          <w:sz w:val="19"/>
        </w:rPr>
      </w:pPr>
    </w:p>
    <w:p>
      <w:pPr>
        <w:pStyle w:val="Heading1"/>
        <w:jc w:val="both"/>
      </w:pPr>
      <w:r>
        <w:rPr/>
        <w:t>第二十条 重大疾病的释义</w:t>
      </w:r>
    </w:p>
    <w:p>
      <w:pPr>
        <w:pStyle w:val="BodyText"/>
        <w:spacing w:before="11"/>
        <w:ind w:left="0"/>
        <w:rPr>
          <w:rFonts w:ascii="黑体"/>
          <w:b/>
        </w:rPr>
      </w:pPr>
    </w:p>
    <w:p>
      <w:pPr>
        <w:pStyle w:val="BodyText"/>
        <w:jc w:val="both"/>
      </w:pPr>
      <w:r>
        <w:rPr>
          <w:spacing w:val="-8"/>
        </w:rPr>
        <w:t>本附加合同所指的重大疾病共有二十七种。其中第 </w:t>
      </w:r>
      <w:r>
        <w:rPr>
          <w:rFonts w:ascii="Times New Roman" w:eastAsia="Times New Roman"/>
        </w:rPr>
        <w:t>1 </w:t>
      </w:r>
      <w:r>
        <w:rPr>
          <w:spacing w:val="-12"/>
        </w:rPr>
        <w:t>种至第 </w:t>
      </w:r>
      <w:r>
        <w:rPr>
          <w:rFonts w:ascii="Times New Roman" w:eastAsia="Times New Roman"/>
        </w:rPr>
        <w:t>25 </w:t>
      </w:r>
      <w:r>
        <w:rPr>
          <w:spacing w:val="-8"/>
        </w:rPr>
        <w:t>种采用中国保险行业协会 </w:t>
      </w:r>
      <w:r>
        <w:rPr>
          <w:rFonts w:ascii="Times New Roman" w:eastAsia="Times New Roman"/>
        </w:rPr>
        <w:t>2007 </w:t>
      </w:r>
      <w:r>
        <w:rPr>
          <w:spacing w:val="-24"/>
        </w:rPr>
        <w:t>年 </w:t>
      </w:r>
      <w:r>
        <w:rPr>
          <w:rFonts w:ascii="Times New Roman" w:eastAsia="Times New Roman"/>
        </w:rPr>
        <w:t>3 </w:t>
      </w:r>
      <w:r>
        <w:rPr>
          <w:spacing w:val="-2"/>
        </w:rPr>
        <w:t>月发布</w:t>
      </w:r>
    </w:p>
    <w:p>
      <w:pPr>
        <w:pStyle w:val="BodyText"/>
        <w:spacing w:line="266" w:lineRule="auto" w:before="26"/>
        <w:ind w:right="102"/>
      </w:pPr>
      <w:r>
        <w:rPr>
          <w:spacing w:val="-8"/>
        </w:rPr>
        <w:t>的《重大疾病保险的疾病定义使用规范》中规定的重大疾病种类及定义，第 </w:t>
      </w:r>
      <w:r>
        <w:rPr>
          <w:rFonts w:ascii="Times New Roman" w:eastAsia="Times New Roman"/>
        </w:rPr>
        <w:t>26 </w:t>
      </w:r>
      <w:r>
        <w:rPr>
          <w:spacing w:val="-10"/>
        </w:rPr>
        <w:t>种和第 </w:t>
      </w:r>
      <w:r>
        <w:rPr>
          <w:rFonts w:ascii="Times New Roman" w:eastAsia="Times New Roman"/>
          <w:spacing w:val="-3"/>
        </w:rPr>
        <w:t>27 </w:t>
      </w:r>
      <w:r>
        <w:rPr>
          <w:spacing w:val="-2"/>
        </w:rPr>
        <w:t>种为本公司自行</w:t>
      </w:r>
      <w:r>
        <w:rPr>
          <w:spacing w:val="-4"/>
        </w:rPr>
        <w:t>增加的二种重大疾病。</w:t>
      </w:r>
    </w:p>
    <w:p>
      <w:pPr>
        <w:pStyle w:val="BodyText"/>
        <w:spacing w:before="13"/>
        <w:ind w:left="0"/>
        <w:rPr>
          <w:sz w:val="25"/>
        </w:rPr>
      </w:pPr>
    </w:p>
    <w:p>
      <w:pPr>
        <w:pStyle w:val="BodyText"/>
        <w:spacing w:line="280" w:lineRule="auto"/>
        <w:ind w:right="105"/>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spacing w:line="280" w:lineRule="auto" w:before="251"/>
        <w:ind w:right="102"/>
      </w:pPr>
      <w:r>
        <w:rPr>
          <w:spacing w:val="-7"/>
        </w:rPr>
        <w:t>本附加合同所指的重大疾病为符合下列定义的二十七种疾病、疾病状态或手术。被保险人发生符合以下疾</w:t>
      </w:r>
      <w:r>
        <w:rPr>
          <w:spacing w:val="-6"/>
        </w:rPr>
        <w:t>病定义所述条件的重大疾病，应当由专科医生明确诊断。</w:t>
      </w:r>
    </w:p>
    <w:p>
      <w:pPr>
        <w:pStyle w:val="BodyText"/>
        <w:spacing w:before="3"/>
        <w:ind w:left="0"/>
        <w:rPr>
          <w:sz w:val="24"/>
        </w:rPr>
      </w:pPr>
    </w:p>
    <w:p>
      <w:pPr>
        <w:pStyle w:val="BodyText"/>
      </w:pPr>
      <w:r>
        <w:rPr>
          <w:rFonts w:ascii="Times New Roman" w:eastAsia="Times New Roman"/>
        </w:rPr>
        <w:t>1</w:t>
      </w:r>
      <w:r>
        <w:rPr/>
        <w:t>、恶性肿瘤</w:t>
      </w:r>
    </w:p>
    <w:p>
      <w:pPr>
        <w:pStyle w:val="BodyText"/>
        <w:spacing w:line="278" w:lineRule="auto" w:before="30"/>
        <w:ind w:right="105"/>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8" w:lineRule="exact"/>
        <w:jc w:val="both"/>
      </w:pPr>
      <w:r>
        <w:rPr/>
        <w:t>下列疾病不在保障范围内：</w:t>
      </w:r>
    </w:p>
    <w:p>
      <w:pPr>
        <w:pStyle w:val="BodyText"/>
        <w:spacing w:before="47"/>
        <w:jc w:val="both"/>
      </w:pPr>
      <w:r>
        <w:rPr/>
        <w:t>（</w:t>
      </w:r>
      <w:r>
        <w:rPr>
          <w:rFonts w:ascii="Times New Roman" w:eastAsia="Times New Roman"/>
        </w:rPr>
        <w:t>1</w:t>
      </w:r>
      <w:r>
        <w:rPr/>
        <w:t>）原位癌；</w:t>
      </w:r>
    </w:p>
    <w:p>
      <w:pPr>
        <w:pStyle w:val="BodyText"/>
        <w:spacing w:before="26"/>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30"/>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30"/>
        <w:jc w:val="both"/>
      </w:pPr>
      <w:r>
        <w:rPr/>
        <w:t>（</w:t>
      </w:r>
      <w:r>
        <w:rPr>
          <w:rFonts w:ascii="Times New Roman" w:eastAsia="Times New Roman"/>
        </w:rPr>
        <w:t>4</w:t>
      </w:r>
      <w:r>
        <w:rPr/>
        <w:t>）皮肤癌（不包括恶性黑色素瘤及已发生转移的皮肤癌）；</w:t>
      </w:r>
    </w:p>
    <w:p>
      <w:pPr>
        <w:pStyle w:val="ListParagraph"/>
        <w:numPr>
          <w:ilvl w:val="0"/>
          <w:numId w:val="3"/>
        </w:numPr>
        <w:tabs>
          <w:tab w:pos="643" w:val="left" w:leader="none"/>
        </w:tabs>
        <w:spacing w:line="240" w:lineRule="auto" w:before="26" w:after="0"/>
        <w:ind w:left="642" w:right="0" w:hanging="529"/>
        <w:jc w:val="both"/>
        <w:rPr>
          <w:rFonts w:ascii="Times New Roman" w:eastAsia="Times New Roman"/>
          <w:sz w:val="21"/>
        </w:rPr>
      </w:pPr>
      <w:r>
        <w:rPr>
          <w:rFonts w:ascii="Times New Roman" w:eastAsia="Times New Roman"/>
          <w:sz w:val="21"/>
        </w:rPr>
        <w:t>TNM</w:t>
      </w:r>
      <w:r>
        <w:rPr>
          <w:rFonts w:ascii="Times New Roman" w:eastAsia="Times New Roman"/>
          <w:spacing w:val="5"/>
          <w:sz w:val="21"/>
        </w:rPr>
        <w:t> </w:t>
      </w:r>
      <w:r>
        <w:rPr>
          <w:spacing w:val="-12"/>
          <w:sz w:val="21"/>
        </w:rPr>
        <w:t>分期为 </w:t>
      </w:r>
      <w:r>
        <w:rPr>
          <w:rFonts w:ascii="Times New Roman" w:eastAsia="Times New Roman"/>
          <w:spacing w:val="-2"/>
          <w:sz w:val="21"/>
        </w:rPr>
        <w:t>T</w:t>
      </w:r>
      <w:r>
        <w:rPr>
          <w:rFonts w:ascii="Times New Roman" w:eastAsia="Times New Roman"/>
          <w:spacing w:val="-2"/>
          <w:sz w:val="21"/>
          <w:vertAlign w:val="subscript"/>
        </w:rPr>
        <w:t>1</w:t>
      </w:r>
      <w:r>
        <w:rPr>
          <w:rFonts w:ascii="Times New Roman" w:eastAsia="Times New Roman"/>
          <w:spacing w:val="-2"/>
          <w:sz w:val="21"/>
          <w:vertAlign w:val="baseline"/>
        </w:rPr>
        <w:t>N</w:t>
      </w:r>
      <w:r>
        <w:rPr>
          <w:rFonts w:ascii="Times New Roman" w:eastAsia="Times New Roman"/>
          <w:spacing w:val="-2"/>
          <w:sz w:val="21"/>
          <w:vertAlign w:val="subscript"/>
        </w:rPr>
        <w:t>0</w:t>
      </w:r>
      <w:r>
        <w:rPr>
          <w:rFonts w:ascii="Times New Roman" w:eastAsia="Times New Roman"/>
          <w:spacing w:val="-2"/>
          <w:sz w:val="21"/>
          <w:vertAlign w:val="baseline"/>
        </w:rPr>
        <w:t>M</w:t>
      </w:r>
      <w:r>
        <w:rPr>
          <w:rFonts w:ascii="Times New Roman" w:eastAsia="Times New Roman"/>
          <w:spacing w:val="-2"/>
          <w:sz w:val="21"/>
          <w:vertAlign w:val="subscript"/>
        </w:rPr>
        <w:t>0</w:t>
      </w:r>
      <w:r>
        <w:rPr>
          <w:rFonts w:ascii="Times New Roman" w:eastAsia="Times New Roman"/>
          <w:spacing w:val="-19"/>
          <w:sz w:val="21"/>
          <w:vertAlign w:val="baseline"/>
        </w:rPr>
        <w:t> </w:t>
      </w:r>
      <w:r>
        <w:rPr>
          <w:spacing w:val="-1"/>
          <w:sz w:val="21"/>
          <w:vertAlign w:val="baseline"/>
        </w:rPr>
        <w:t>期或更轻分期的前列腺癌</w:t>
      </w:r>
      <w:r>
        <w:rPr>
          <w:rFonts w:ascii="Times New Roman" w:eastAsia="Times New Roman"/>
          <w:sz w:val="21"/>
          <w:vertAlign w:val="baseline"/>
        </w:rPr>
        <w:t>;</w:t>
      </w:r>
    </w:p>
    <w:p>
      <w:pPr>
        <w:pStyle w:val="BodyText"/>
        <w:spacing w:before="31"/>
        <w:jc w:val="both"/>
      </w:pPr>
      <w:r>
        <w:rPr/>
        <w:t>（</w:t>
      </w:r>
      <w:r>
        <w:rPr>
          <w:rFonts w:ascii="Times New Roman" w:eastAsia="Times New Roman"/>
        </w:rPr>
        <w:t>6</w:t>
      </w:r>
      <w:r>
        <w:rPr/>
        <w:t>）感染艾滋病病毒或患艾滋病期间所患恶性肿瘤。</w:t>
      </w:r>
    </w:p>
    <w:p>
      <w:pPr>
        <w:pStyle w:val="BodyText"/>
        <w:spacing w:before="8"/>
        <w:ind w:left="0"/>
        <w:rPr>
          <w:sz w:val="26"/>
        </w:rPr>
      </w:pPr>
    </w:p>
    <w:p>
      <w:pPr>
        <w:pStyle w:val="BodyText"/>
        <w:jc w:val="both"/>
      </w:pPr>
      <w:r>
        <w:rPr>
          <w:rFonts w:ascii="Times New Roman" w:eastAsia="Times New Roman"/>
        </w:rPr>
        <w:t>2</w:t>
      </w:r>
      <w:r>
        <w:rPr/>
        <w:t>、急性心肌梗塞</w:t>
      </w:r>
    </w:p>
    <w:p>
      <w:pPr>
        <w:spacing w:after="0"/>
        <w:jc w:val="both"/>
        <w:sectPr>
          <w:pgSz w:w="11910" w:h="16840"/>
          <w:pgMar w:header="0" w:footer="219" w:top="920" w:bottom="480" w:left="1020" w:right="1020"/>
        </w:sectPr>
      </w:pPr>
    </w:p>
    <w:p>
      <w:pPr>
        <w:pStyle w:val="BodyText"/>
        <w:spacing w:line="280" w:lineRule="auto" w:before="60"/>
        <w:ind w:right="3964"/>
      </w:pPr>
      <w:r>
        <w:rPr/>
        <w:t>指因冠状动脉阻塞导致的相应区域供血不足造成部分心肌坏死。须满足下列至少三项条件：</w:t>
      </w:r>
    </w:p>
    <w:p>
      <w:pPr>
        <w:pStyle w:val="BodyText"/>
        <w:spacing w:before="10"/>
      </w:pPr>
      <w:r>
        <w:rPr/>
        <w:t>（</w:t>
      </w:r>
      <w:r>
        <w:rPr>
          <w:rFonts w:ascii="Times New Roman" w:eastAsia="Times New Roman"/>
        </w:rPr>
        <w:t>1</w:t>
      </w:r>
      <w:r>
        <w:rPr/>
        <w:t>）典型临床表现，例如急性胸痛等；</w:t>
      </w:r>
    </w:p>
    <w:p>
      <w:pPr>
        <w:pStyle w:val="BodyText"/>
        <w:spacing w:before="25"/>
      </w:pPr>
      <w:r>
        <w:rPr/>
        <w:t>（</w:t>
      </w:r>
      <w:r>
        <w:rPr>
          <w:rFonts w:ascii="Times New Roman" w:eastAsia="Times New Roman"/>
        </w:rPr>
        <w:t>2</w:t>
      </w:r>
      <w:r>
        <w:rPr/>
        <w:t>）新近的心电图改变提示急性心肌梗塞；</w:t>
      </w:r>
    </w:p>
    <w:p>
      <w:pPr>
        <w:pStyle w:val="BodyText"/>
        <w:spacing w:before="30"/>
      </w:pPr>
      <w:r>
        <w:rPr/>
        <w:t>（</w:t>
      </w:r>
      <w:r>
        <w:rPr>
          <w:rFonts w:ascii="Times New Roman" w:eastAsia="Times New Roman"/>
        </w:rPr>
        <w:t>3</w:t>
      </w:r>
      <w:r>
        <w:rPr/>
        <w:t>）心肌酶或肌钙蛋白有诊断意义的升高，或呈符合急性心肌梗塞的动态性变化；</w:t>
      </w:r>
    </w:p>
    <w:p>
      <w:pPr>
        <w:pStyle w:val="BodyText"/>
        <w:spacing w:before="31"/>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7"/>
        <w:ind w:left="0"/>
        <w:rPr>
          <w:sz w:val="26"/>
        </w:rPr>
      </w:pPr>
    </w:p>
    <w:p>
      <w:pPr>
        <w:pStyle w:val="BodyText"/>
      </w:pPr>
      <w:r>
        <w:rPr>
          <w:rFonts w:ascii="Times New Roman" w:eastAsia="Times New Roman"/>
        </w:rPr>
        <w:t>3</w:t>
      </w:r>
      <w:r>
        <w:rPr/>
        <w:t>、脑中风后遗症</w:t>
      </w:r>
    </w:p>
    <w:p>
      <w:pPr>
        <w:pStyle w:val="BodyText"/>
        <w:spacing w:line="276" w:lineRule="auto" w:before="30"/>
        <w:ind w:right="202"/>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73"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19"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line="341"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spacing w:before="5"/>
        <w:ind w:left="0"/>
        <w:rPr>
          <w:sz w:val="26"/>
        </w:rPr>
      </w:pPr>
    </w:p>
    <w:p>
      <w:pPr>
        <w:pStyle w:val="BodyText"/>
      </w:pPr>
      <w:r>
        <w:rPr>
          <w:rFonts w:ascii="Times New Roman" w:eastAsia="Times New Roman"/>
        </w:rPr>
        <w:t>4</w:t>
      </w:r>
      <w:r>
        <w:rPr/>
        <w:t>、重大器官移植术或造血干细胞移植术</w:t>
      </w:r>
    </w:p>
    <w:p>
      <w:pPr>
        <w:pStyle w:val="BodyText"/>
        <w:spacing w:before="26"/>
      </w:pPr>
      <w:r>
        <w:rPr/>
        <w:t>重大器官移植术，指因相应器官功能衰竭，已经实施了肾脏、肝脏、心脏或肺脏的异体移植手术。</w:t>
      </w:r>
    </w:p>
    <w:p>
      <w:pPr>
        <w:pStyle w:val="BodyText"/>
        <w:spacing w:line="280" w:lineRule="auto" w:before="46"/>
        <w:ind w:right="2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ind w:left="0"/>
        <w:rPr>
          <w:sz w:val="25"/>
        </w:rPr>
      </w:pPr>
    </w:p>
    <w:p>
      <w:pPr>
        <w:pStyle w:val="BodyText"/>
      </w:pPr>
      <w:r>
        <w:rPr>
          <w:rFonts w:ascii="Times New Roman" w:eastAsia="Times New Roman"/>
        </w:rPr>
        <w:t>5</w:t>
      </w:r>
      <w:r>
        <w:rPr/>
        <w:t>、冠状动脉搭桥术（或称冠状动脉旁路移植术）</w:t>
      </w:r>
    </w:p>
    <w:p>
      <w:pPr>
        <w:pStyle w:val="BodyText"/>
        <w:spacing w:before="30"/>
      </w:pPr>
      <w:r>
        <w:rPr/>
        <w:t>指为治疗严重的冠心病，实际实施了开胸进行的冠状动脉血管旁路移植的手术。</w:t>
      </w:r>
    </w:p>
    <w:p>
      <w:pPr>
        <w:pStyle w:val="BodyText"/>
        <w:spacing w:line="280" w:lineRule="auto" w:before="41"/>
        <w:ind w:right="202"/>
      </w:pPr>
      <w:r>
        <w:rPr>
          <w:spacing w:val="-6"/>
        </w:rPr>
        <w:t>冠状动脉支架植入术、心导管球囊扩张术、激光射频技术及其它非开胸的介入手术、腔镜手术不在保障范围内。</w:t>
      </w:r>
    </w:p>
    <w:p>
      <w:pPr>
        <w:pStyle w:val="BodyText"/>
        <w:ind w:left="0"/>
        <w:rPr>
          <w:sz w:val="25"/>
        </w:rPr>
      </w:pPr>
    </w:p>
    <w:p>
      <w:pPr>
        <w:pStyle w:val="BodyText"/>
      </w:pPr>
      <w:r>
        <w:rPr>
          <w:rFonts w:ascii="Times New Roman" w:eastAsia="Times New Roman"/>
        </w:rPr>
        <w:t>6</w:t>
      </w:r>
      <w:r>
        <w:rPr/>
        <w:t>、终末期肾病（或称慢性肾功能衰竭尿毒症期）</w:t>
      </w:r>
    </w:p>
    <w:p>
      <w:pPr>
        <w:pStyle w:val="BodyText"/>
        <w:spacing w:line="266" w:lineRule="auto" w:before="31"/>
        <w:ind w:right="2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ind w:left="0"/>
        <w:rPr>
          <w:sz w:val="26"/>
        </w:rPr>
      </w:pPr>
    </w:p>
    <w:p>
      <w:pPr>
        <w:pStyle w:val="BodyText"/>
      </w:pPr>
      <w:r>
        <w:rPr>
          <w:rFonts w:ascii="Times New Roman" w:eastAsia="Times New Roman"/>
        </w:rPr>
        <w:t>7</w:t>
      </w:r>
      <w:r>
        <w:rPr/>
        <w:t>、多个肢体缺失</w:t>
      </w:r>
    </w:p>
    <w:p>
      <w:pPr>
        <w:pStyle w:val="BodyText"/>
        <w:spacing w:before="30"/>
      </w:pPr>
      <w:r>
        <w:rPr/>
        <w:t>指因疾病或意外伤害导致两个或两个以上肢体自腕关节或踝关节近端（靠近躯干端）以上完全性断离。</w:t>
      </w:r>
    </w:p>
    <w:p>
      <w:pPr>
        <w:pStyle w:val="BodyText"/>
        <w:spacing w:before="10"/>
        <w:ind w:left="0"/>
        <w:rPr>
          <w:sz w:val="27"/>
        </w:rPr>
      </w:pPr>
    </w:p>
    <w:p>
      <w:pPr>
        <w:pStyle w:val="BodyText"/>
      </w:pPr>
      <w:r>
        <w:rPr>
          <w:rFonts w:ascii="Times New Roman" w:eastAsia="Times New Roman"/>
        </w:rPr>
        <w:t>8</w:t>
      </w:r>
      <w:r>
        <w:rPr/>
        <w:t>、急性或亚急性重症肝炎</w:t>
      </w:r>
    </w:p>
    <w:p>
      <w:pPr>
        <w:pStyle w:val="BodyText"/>
        <w:spacing w:line="276" w:lineRule="auto" w:before="30"/>
        <w:ind w:right="201"/>
      </w:pPr>
      <w:r>
        <w:rPr>
          <w:spacing w:val="-7"/>
        </w:rPr>
        <w:t>指因肝炎病毒感染引起肝脏组织弥漫性坏死，导致急性肝功能衰竭，且经血清学或病毒学检查证实，并须</w:t>
      </w:r>
      <w:r>
        <w:rPr>
          <w:spacing w:val="-6"/>
        </w:rPr>
        <w:t>满足下列全部条件：</w:t>
      </w:r>
    </w:p>
    <w:p>
      <w:pPr>
        <w:pStyle w:val="BodyText"/>
        <w:spacing w:before="14"/>
      </w:pPr>
      <w:r>
        <w:rPr/>
        <w:t>（</w:t>
      </w:r>
      <w:r>
        <w:rPr>
          <w:rFonts w:ascii="Times New Roman" w:eastAsia="Times New Roman"/>
        </w:rPr>
        <w:t>1</w:t>
      </w:r>
      <w:r>
        <w:rPr/>
        <w:t>）重度黄疸或黄疸迅速加重；</w:t>
      </w:r>
    </w:p>
    <w:p>
      <w:pPr>
        <w:pStyle w:val="BodyText"/>
        <w:spacing w:before="30"/>
      </w:pPr>
      <w:r>
        <w:rPr/>
        <w:t>（</w:t>
      </w:r>
      <w:r>
        <w:rPr>
          <w:rFonts w:ascii="Times New Roman" w:eastAsia="Times New Roman"/>
        </w:rPr>
        <w:t>2</w:t>
      </w:r>
      <w:r>
        <w:rPr/>
        <w:t>）肝性脑病；</w:t>
      </w:r>
    </w:p>
    <w:p>
      <w:pPr>
        <w:pStyle w:val="BodyText"/>
        <w:spacing w:before="25"/>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30"/>
      </w:pPr>
      <w:r>
        <w:rPr/>
        <w:t>（</w:t>
      </w:r>
      <w:r>
        <w:rPr>
          <w:rFonts w:ascii="Times New Roman" w:eastAsia="Times New Roman"/>
        </w:rPr>
        <w:t>4</w:t>
      </w:r>
      <w:r>
        <w:rPr/>
        <w:t>）肝功能指标进行性恶化。</w:t>
      </w:r>
    </w:p>
    <w:p>
      <w:pPr>
        <w:pStyle w:val="BodyText"/>
        <w:spacing w:before="7"/>
        <w:ind w:left="0"/>
        <w:rPr>
          <w:sz w:val="26"/>
        </w:rPr>
      </w:pPr>
    </w:p>
    <w:p>
      <w:pPr>
        <w:pStyle w:val="BodyText"/>
      </w:pPr>
      <w:r>
        <w:rPr>
          <w:rFonts w:ascii="Times New Roman" w:eastAsia="Times New Roman"/>
        </w:rPr>
        <w:t>9</w:t>
      </w:r>
      <w:r>
        <w:rPr/>
        <w:t>、良性脑肿瘤</w:t>
      </w:r>
    </w:p>
    <w:p>
      <w:pPr>
        <w:pStyle w:val="BodyText"/>
        <w:spacing w:line="271" w:lineRule="auto" w:before="31"/>
        <w:ind w:right="10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19"/>
      </w:pPr>
      <w:r>
        <w:rPr/>
        <w:t>（</w:t>
      </w:r>
      <w:r>
        <w:rPr>
          <w:rFonts w:ascii="Times New Roman" w:eastAsia="Times New Roman"/>
        </w:rPr>
        <w:t>1</w:t>
      </w:r>
      <w:r>
        <w:rPr/>
        <w:t>）实际实施了开颅进行的脑肿瘤完全切除或部分切除的手术；</w:t>
      </w:r>
    </w:p>
    <w:p>
      <w:pPr>
        <w:pStyle w:val="BodyText"/>
        <w:spacing w:before="31"/>
      </w:pPr>
      <w:r>
        <w:rPr/>
        <w:t>（</w:t>
      </w:r>
      <w:r>
        <w:rPr>
          <w:rFonts w:ascii="Times New Roman" w:eastAsia="Times New Roman"/>
        </w:rPr>
        <w:t>2</w:t>
      </w:r>
      <w:r>
        <w:rPr/>
        <w:t>）实际实施了对脑肿瘤进行的放射治疗。</w:t>
      </w:r>
    </w:p>
    <w:p>
      <w:pPr>
        <w:pStyle w:val="BodyText"/>
        <w:spacing w:before="26"/>
      </w:pPr>
      <w:r>
        <w:rPr/>
        <w:t>脑垂体瘤、脑囊肿、脑血管性疾病不在保障范围内。</w:t>
      </w:r>
    </w:p>
    <w:p>
      <w:pPr>
        <w:spacing w:after="0"/>
        <w:sectPr>
          <w:pgSz w:w="11910" w:h="16840"/>
          <w:pgMar w:header="0" w:footer="219" w:top="780" w:bottom="480" w:left="1020" w:right="920"/>
        </w:sectPr>
      </w:pPr>
    </w:p>
    <w:p>
      <w:pPr>
        <w:pStyle w:val="BodyText"/>
        <w:spacing w:before="60"/>
        <w:jc w:val="both"/>
      </w:pPr>
      <w:r>
        <w:rPr>
          <w:rFonts w:ascii="Times New Roman" w:eastAsia="Times New Roman"/>
        </w:rPr>
        <w:t>10</w:t>
      </w:r>
      <w:r>
        <w:rPr/>
        <w:t>、慢性肝功能衰竭失代偿期</w:t>
      </w:r>
    </w:p>
    <w:p>
      <w:pPr>
        <w:pStyle w:val="BodyText"/>
        <w:spacing w:before="30"/>
        <w:jc w:val="both"/>
      </w:pPr>
      <w:r>
        <w:rPr/>
        <w:t>指因慢性肝脏疾病导致肝功能衰竭。须满足下列全部条件：</w:t>
      </w:r>
    </w:p>
    <w:p>
      <w:pPr>
        <w:pStyle w:val="BodyText"/>
        <w:spacing w:before="46"/>
        <w:jc w:val="both"/>
      </w:pPr>
      <w:r>
        <w:rPr/>
        <w:t>（</w:t>
      </w:r>
      <w:r>
        <w:rPr>
          <w:rFonts w:ascii="Times New Roman" w:eastAsia="Times New Roman"/>
        </w:rPr>
        <w:t>1</w:t>
      </w:r>
      <w:r>
        <w:rPr/>
        <w:t>）持续性黄疸；</w:t>
      </w:r>
    </w:p>
    <w:p>
      <w:pPr>
        <w:pStyle w:val="BodyText"/>
        <w:spacing w:before="25"/>
        <w:jc w:val="both"/>
      </w:pPr>
      <w:r>
        <w:rPr/>
        <w:t>（</w:t>
      </w:r>
      <w:r>
        <w:rPr>
          <w:rFonts w:ascii="Times New Roman" w:eastAsia="Times New Roman"/>
        </w:rPr>
        <w:t>2</w:t>
      </w:r>
      <w:r>
        <w:rPr/>
        <w:t>）腹水；</w:t>
      </w:r>
    </w:p>
    <w:p>
      <w:pPr>
        <w:pStyle w:val="BodyText"/>
        <w:spacing w:before="30"/>
        <w:jc w:val="both"/>
      </w:pPr>
      <w:r>
        <w:rPr/>
        <w:t>（</w:t>
      </w:r>
      <w:r>
        <w:rPr>
          <w:rFonts w:ascii="Times New Roman" w:eastAsia="Times New Roman"/>
        </w:rPr>
        <w:t>3</w:t>
      </w:r>
      <w:r>
        <w:rPr/>
        <w:t>）肝性脑病；</w:t>
      </w:r>
    </w:p>
    <w:p>
      <w:pPr>
        <w:pStyle w:val="BodyText"/>
        <w:spacing w:line="261" w:lineRule="auto" w:before="31"/>
        <w:ind w:right="472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9"/>
        <w:ind w:left="0"/>
        <w:rPr>
          <w:sz w:val="26"/>
        </w:rPr>
      </w:pPr>
    </w:p>
    <w:p>
      <w:pPr>
        <w:pStyle w:val="BodyText"/>
      </w:pPr>
      <w:r>
        <w:rPr>
          <w:rFonts w:ascii="Times New Roman" w:eastAsia="Times New Roman"/>
        </w:rPr>
        <w:t>11</w:t>
      </w:r>
      <w:r>
        <w:rPr/>
        <w:t>、脑炎后遗症或脑膜炎后遗症</w:t>
      </w:r>
    </w:p>
    <w:p>
      <w:pPr>
        <w:pStyle w:val="BodyText"/>
        <w:spacing w:line="266" w:lineRule="auto" w:before="26"/>
        <w:ind w:right="22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23"/>
        <w:jc w:val="both"/>
      </w:pPr>
      <w:r>
        <w:rPr/>
        <w:t>（</w:t>
      </w:r>
      <w:r>
        <w:rPr>
          <w:rFonts w:ascii="Times New Roman" w:eastAsia="Times New Roman"/>
        </w:rPr>
        <w:t>1</w:t>
      </w:r>
      <w:r>
        <w:rPr/>
        <w:t>）一肢或一肢以上肢体机能完全丧失；</w:t>
      </w:r>
    </w:p>
    <w:p>
      <w:pPr>
        <w:pStyle w:val="BodyText"/>
        <w:spacing w:before="25"/>
        <w:jc w:val="both"/>
      </w:pPr>
      <w:r>
        <w:rPr/>
        <w:t>（</w:t>
      </w:r>
      <w:r>
        <w:rPr>
          <w:rFonts w:ascii="Times New Roman" w:eastAsia="Times New Roman"/>
        </w:rPr>
        <w:t>2</w:t>
      </w:r>
      <w:r>
        <w:rPr/>
        <w:t>）语言能力或咀嚼吞咽能力完全丧失；</w:t>
      </w:r>
    </w:p>
    <w:p>
      <w:pPr>
        <w:pStyle w:val="BodyText"/>
        <w:spacing w:before="30"/>
        <w:jc w:val="both"/>
      </w:pPr>
      <w:r>
        <w:rPr/>
        <w:t>（</w:t>
      </w:r>
      <w:r>
        <w:rPr>
          <w:rFonts w:ascii="Times New Roman" w:eastAsia="Times New Roman"/>
        </w:rPr>
        <w:t>3</w:t>
      </w:r>
      <w:r>
        <w:rPr/>
        <w:t>）自主生活能力完全丧失，无法独立完成六项基本日常生活活动中的三项或三项以上。</w:t>
      </w:r>
    </w:p>
    <w:p>
      <w:pPr>
        <w:pStyle w:val="BodyText"/>
        <w:spacing w:before="7"/>
        <w:ind w:left="0"/>
        <w:rPr>
          <w:sz w:val="26"/>
        </w:rPr>
      </w:pPr>
    </w:p>
    <w:p>
      <w:pPr>
        <w:pStyle w:val="BodyText"/>
        <w:jc w:val="both"/>
      </w:pPr>
      <w:r>
        <w:rPr>
          <w:rFonts w:ascii="Times New Roman" w:eastAsia="Times New Roman"/>
        </w:rPr>
        <w:t>12</w:t>
      </w:r>
      <w:r>
        <w:rPr/>
        <w:t>、深度昏迷</w:t>
      </w:r>
    </w:p>
    <w:p>
      <w:pPr>
        <w:pStyle w:val="BodyText"/>
        <w:spacing w:before="30"/>
        <w:jc w:val="both"/>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1" w:lineRule="auto" w:before="30"/>
        <w:ind w:right="116"/>
      </w:pPr>
      <w:r>
        <w:rPr/>
        <w:t>（</w:t>
      </w:r>
      <w:r>
        <w:rPr>
          <w:rFonts w:ascii="Times New Roman" w:eastAsia="Times New Roman"/>
        </w:rPr>
        <w:t>Glasgow </w:t>
      </w:r>
      <w:r>
        <w:rPr>
          <w:rFonts w:ascii="Times New Roman" w:eastAsia="Times New Roman"/>
          <w:spacing w:val="-3"/>
        </w:rPr>
        <w:t>coma </w:t>
      </w:r>
      <w:r>
        <w:rPr>
          <w:rFonts w:ascii="Times New Roman" w:eastAsia="Times New Roman"/>
          <w:spacing w:val="-7"/>
        </w:rPr>
        <w:t>scale</w:t>
      </w:r>
      <w:r>
        <w:rPr>
          <w:spacing w:val="-7"/>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pStyle w:val="BodyText"/>
        <w:spacing w:before="9"/>
        <w:ind w:left="0"/>
        <w:rPr>
          <w:sz w:val="26"/>
        </w:rPr>
      </w:pPr>
    </w:p>
    <w:p>
      <w:pPr>
        <w:pStyle w:val="BodyText"/>
        <w:spacing w:line="270" w:lineRule="exact"/>
        <w:jc w:val="both"/>
      </w:pPr>
      <w:r>
        <w:rPr>
          <w:rFonts w:ascii="Times New Roman" w:eastAsia="Times New Roman"/>
        </w:rPr>
        <w:t>13</w:t>
      </w:r>
      <w:r>
        <w:rPr/>
        <w:t>、双耳失聪</w:t>
      </w:r>
    </w:p>
    <w:p>
      <w:pPr>
        <w:pStyle w:val="BodyText"/>
        <w:spacing w:line="345" w:lineRule="exact"/>
        <w:jc w:val="both"/>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23"/>
        <w:jc w:val="both"/>
      </w:pPr>
      <w:r>
        <w:rPr/>
        <w:t>音频率下，平均听阈大于 </w:t>
      </w:r>
      <w:r>
        <w:rPr>
          <w:rFonts w:ascii="Times New Roman" w:eastAsia="Times New Roman"/>
        </w:rPr>
        <w:t>90 </w:t>
      </w:r>
      <w:r>
        <w:rPr/>
        <w:t>分贝，且经纯音听力测试、声导抗检测或听觉诱发电位检测等证实。</w:t>
      </w:r>
    </w:p>
    <w:p>
      <w:pPr>
        <w:pStyle w:val="BodyText"/>
        <w:spacing w:before="7"/>
        <w:ind w:left="0"/>
        <w:rPr>
          <w:sz w:val="26"/>
        </w:rPr>
      </w:pPr>
    </w:p>
    <w:p>
      <w:pPr>
        <w:pStyle w:val="BodyText"/>
        <w:jc w:val="both"/>
      </w:pPr>
      <w:r>
        <w:rPr>
          <w:rFonts w:ascii="Times New Roman" w:eastAsia="Times New Roman"/>
        </w:rPr>
        <w:t>14</w:t>
      </w:r>
      <w:r>
        <w:rPr/>
        <w:t>、双目失明</w:t>
      </w:r>
    </w:p>
    <w:p>
      <w:pPr>
        <w:pStyle w:val="BodyText"/>
        <w:spacing w:before="31"/>
        <w:jc w:val="both"/>
      </w:pPr>
      <w:r>
        <w:rPr/>
        <w:t>指因疾病或意外伤害导致双眼视力永久不可逆性丧失，双眼中较好眼须满足下列至少一项条件：</w:t>
      </w:r>
    </w:p>
    <w:p>
      <w:pPr>
        <w:pStyle w:val="BodyText"/>
        <w:spacing w:before="47"/>
        <w:jc w:val="both"/>
      </w:pPr>
      <w:r>
        <w:rPr/>
        <w:t>（</w:t>
      </w:r>
      <w:r>
        <w:rPr>
          <w:rFonts w:ascii="Times New Roman" w:eastAsia="Times New Roman"/>
        </w:rPr>
        <w:t>1</w:t>
      </w:r>
      <w:r>
        <w:rPr/>
        <w:t>）眼球缺失或摘除；</w:t>
      </w:r>
    </w:p>
    <w:p>
      <w:pPr>
        <w:pStyle w:val="BodyText"/>
        <w:spacing w:before="26"/>
        <w:jc w:val="both"/>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30"/>
        <w:jc w:val="both"/>
      </w:pPr>
      <w:r>
        <w:rPr/>
        <w:t>（</w:t>
      </w:r>
      <w:r>
        <w:rPr>
          <w:rFonts w:ascii="Times New Roman" w:eastAsia="Times New Roman"/>
        </w:rPr>
        <w:t>3</w:t>
      </w:r>
      <w:r>
        <w:rPr/>
        <w:t>）视野半径小于 </w:t>
      </w:r>
      <w:r>
        <w:rPr>
          <w:rFonts w:ascii="Times New Roman" w:eastAsia="Times New Roman"/>
        </w:rPr>
        <w:t>5 </w:t>
      </w:r>
      <w:r>
        <w:rPr/>
        <w:t>度。</w:t>
      </w:r>
    </w:p>
    <w:p>
      <w:pPr>
        <w:pStyle w:val="BodyText"/>
        <w:spacing w:before="7"/>
        <w:ind w:left="0"/>
        <w:rPr>
          <w:sz w:val="26"/>
        </w:rPr>
      </w:pPr>
    </w:p>
    <w:p>
      <w:pPr>
        <w:pStyle w:val="BodyText"/>
        <w:jc w:val="both"/>
      </w:pPr>
      <w:r>
        <w:rPr>
          <w:rFonts w:ascii="Times New Roman" w:eastAsia="Times New Roman"/>
        </w:rPr>
        <w:t>15</w:t>
      </w:r>
      <w:r>
        <w:rPr/>
        <w:t>、瘫痪</w:t>
      </w:r>
    </w:p>
    <w:p>
      <w:pPr>
        <w:pStyle w:val="BodyText"/>
        <w:spacing w:before="30"/>
        <w:jc w:val="both"/>
        <w:rPr>
          <w:rFonts w:ascii="Times New Roman" w:eastAsia="Times New Roman"/>
        </w:rPr>
      </w:pPr>
      <w:r>
        <w:rPr/>
        <w:t>指因疾病或意外伤害导致两肢或两肢以上肢体机能永久完全丧失。肢体机能永久完全丧失，指疾病确诊 </w:t>
      </w:r>
      <w:r>
        <w:rPr>
          <w:rFonts w:ascii="Times New Roman" w:eastAsia="Times New Roman"/>
        </w:rPr>
        <w:t>180</w:t>
      </w:r>
    </w:p>
    <w:p>
      <w:pPr>
        <w:pStyle w:val="BodyText"/>
        <w:spacing w:before="30"/>
        <w:jc w:val="both"/>
      </w:pPr>
      <w:r>
        <w:rPr/>
        <w:t>天后或意外伤害发生 </w:t>
      </w:r>
      <w:r>
        <w:rPr>
          <w:rFonts w:ascii="Times New Roman" w:eastAsia="Times New Roman"/>
        </w:rPr>
        <w:t>180 </w:t>
      </w:r>
      <w:r>
        <w:rPr/>
        <w:t>天后，每肢三大关节中的两大关节仍然完全僵硬，或不能随意识活动。</w:t>
      </w:r>
    </w:p>
    <w:p>
      <w:pPr>
        <w:pStyle w:val="BodyText"/>
        <w:spacing w:before="7"/>
        <w:ind w:left="0"/>
        <w:rPr>
          <w:sz w:val="26"/>
        </w:rPr>
      </w:pPr>
    </w:p>
    <w:p>
      <w:pPr>
        <w:pStyle w:val="BodyText"/>
        <w:jc w:val="both"/>
      </w:pPr>
      <w:r>
        <w:rPr>
          <w:rFonts w:ascii="Times New Roman" w:eastAsia="Times New Roman"/>
        </w:rPr>
        <w:t>16</w:t>
      </w:r>
      <w:r>
        <w:rPr/>
        <w:t>、心脏瓣膜手术</w:t>
      </w:r>
    </w:p>
    <w:p>
      <w:pPr>
        <w:pStyle w:val="BodyText"/>
        <w:spacing w:before="31"/>
        <w:jc w:val="both"/>
      </w:pPr>
      <w:r>
        <w:rPr/>
        <w:t>指为治疗心脏瓣膜疾病，实际实施了开胸进行的心脏瓣膜置换或修复的手术。</w:t>
      </w:r>
    </w:p>
    <w:p>
      <w:pPr>
        <w:pStyle w:val="BodyText"/>
        <w:spacing w:before="10"/>
        <w:ind w:left="0"/>
        <w:rPr>
          <w:sz w:val="27"/>
        </w:rPr>
      </w:pPr>
    </w:p>
    <w:p>
      <w:pPr>
        <w:pStyle w:val="BodyText"/>
        <w:jc w:val="both"/>
      </w:pPr>
      <w:r>
        <w:rPr>
          <w:rFonts w:ascii="Times New Roman" w:eastAsia="Times New Roman"/>
        </w:rPr>
        <w:t>17</w:t>
      </w:r>
      <w:r>
        <w:rPr/>
        <w:t>、严重阿尔茨海默病</w:t>
      </w:r>
    </w:p>
    <w:p>
      <w:pPr>
        <w:pStyle w:val="BodyText"/>
        <w:spacing w:line="268" w:lineRule="auto" w:before="31"/>
        <w:ind w:right="223"/>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BodyText"/>
        <w:spacing w:before="17"/>
        <w:jc w:val="both"/>
      </w:pPr>
      <w:r>
        <w:rPr/>
        <w:t>神经官能症和精神疾病不在保障范围内。</w:t>
      </w:r>
    </w:p>
    <w:p>
      <w:pPr>
        <w:pStyle w:val="BodyText"/>
        <w:spacing w:before="1"/>
        <w:ind w:left="0"/>
        <w:rPr>
          <w:sz w:val="28"/>
        </w:rPr>
      </w:pPr>
    </w:p>
    <w:p>
      <w:pPr>
        <w:pStyle w:val="BodyText"/>
        <w:spacing w:before="1"/>
        <w:jc w:val="both"/>
      </w:pPr>
      <w:r>
        <w:rPr>
          <w:rFonts w:ascii="Times New Roman" w:eastAsia="Times New Roman"/>
        </w:rPr>
        <w:t>18</w:t>
      </w:r>
      <w:r>
        <w:rPr/>
        <w:t>、严重脑损伤</w:t>
      </w:r>
    </w:p>
    <w:p>
      <w:pPr>
        <w:pStyle w:val="BodyText"/>
        <w:spacing w:before="26"/>
        <w:jc w:val="both"/>
      </w:pPr>
      <w:r>
        <w:rPr/>
        <w:t>指因头部遭受机械性外力，引起脑重要部位损伤，导致神经系统永久性的功能障碍。须由头颅断层扫描</w:t>
      </w:r>
    </w:p>
    <w:p>
      <w:pPr>
        <w:pStyle w:val="BodyText"/>
        <w:spacing w:before="46"/>
        <w:jc w:val="both"/>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p>
    <w:p>
      <w:pPr>
        <w:spacing w:after="0"/>
        <w:jc w:val="both"/>
        <w:sectPr>
          <w:pgSz w:w="11910" w:h="16840"/>
          <w:pgMar w:header="0" w:footer="219" w:top="780" w:bottom="480" w:left="1020" w:right="900"/>
        </w:sectPr>
      </w:pPr>
    </w:p>
    <w:p>
      <w:pPr>
        <w:pStyle w:val="BodyText"/>
        <w:spacing w:before="60"/>
      </w:pPr>
      <w:r>
        <w:rPr/>
        <w:t>能障碍，指脑损伤 </w:t>
      </w:r>
      <w:r>
        <w:rPr>
          <w:rFonts w:ascii="Times New Roman" w:eastAsia="Times New Roman"/>
        </w:rPr>
        <w:t>180 </w:t>
      </w:r>
      <w:r>
        <w:rPr/>
        <w:t>天后，仍遗留下列一种或一种以上障碍：</w:t>
      </w:r>
    </w:p>
    <w:p>
      <w:pPr>
        <w:pStyle w:val="BodyText"/>
        <w:spacing w:before="30"/>
      </w:pPr>
      <w:r>
        <w:rPr/>
        <w:t>（</w:t>
      </w:r>
      <w:r>
        <w:rPr>
          <w:rFonts w:ascii="Times New Roman" w:eastAsia="Times New Roman"/>
        </w:rPr>
        <w:t>1</w:t>
      </w:r>
      <w:r>
        <w:rPr/>
        <w:t>）一肢或一肢以上肢体机能完全丧失；</w:t>
      </w:r>
    </w:p>
    <w:p>
      <w:pPr>
        <w:pStyle w:val="BodyText"/>
        <w:spacing w:before="30"/>
      </w:pPr>
      <w:r>
        <w:rPr/>
        <w:t>（</w:t>
      </w:r>
      <w:r>
        <w:rPr>
          <w:rFonts w:ascii="Times New Roman" w:eastAsia="Times New Roman"/>
        </w:rPr>
        <w:t>2</w:t>
      </w:r>
      <w:r>
        <w:rPr/>
        <w:t>）语言能力或咀嚼吞咽能力完全丧失；</w:t>
      </w:r>
    </w:p>
    <w:p>
      <w:pPr>
        <w:pStyle w:val="BodyText"/>
        <w:spacing w:before="25"/>
      </w:pPr>
      <w:r>
        <w:rPr/>
        <w:t>（</w:t>
      </w:r>
      <w:r>
        <w:rPr>
          <w:rFonts w:ascii="Times New Roman" w:eastAsia="Times New Roman"/>
        </w:rPr>
        <w:t>3</w:t>
      </w:r>
      <w:r>
        <w:rPr/>
        <w:t>）自主生活能力完全丧失，无法独立完成六项基本日常生活活动中的三项或三项以上。</w:t>
      </w:r>
    </w:p>
    <w:p>
      <w:pPr>
        <w:pStyle w:val="BodyText"/>
        <w:spacing w:before="12"/>
        <w:ind w:left="0"/>
        <w:rPr>
          <w:sz w:val="26"/>
        </w:rPr>
      </w:pPr>
    </w:p>
    <w:p>
      <w:pPr>
        <w:pStyle w:val="BodyText"/>
      </w:pPr>
      <w:r>
        <w:rPr>
          <w:rFonts w:ascii="Times New Roman" w:eastAsia="Times New Roman"/>
        </w:rPr>
        <w:t>19</w:t>
      </w:r>
      <w:r>
        <w:rPr/>
        <w:t>、严重帕金森病</w:t>
      </w:r>
    </w:p>
    <w:p>
      <w:pPr>
        <w:pStyle w:val="BodyText"/>
        <w:spacing w:before="25"/>
      </w:pPr>
      <w:r>
        <w:rPr/>
        <w:t>是一种中枢神经系统的退行性疾病，临床表现为震颤麻痹、共济失调等。须满足下列全部条件：</w:t>
      </w:r>
    </w:p>
    <w:p>
      <w:pPr>
        <w:pStyle w:val="BodyText"/>
        <w:spacing w:before="46"/>
      </w:pPr>
      <w:r>
        <w:rPr/>
        <w:t>（</w:t>
      </w:r>
      <w:r>
        <w:rPr>
          <w:rFonts w:ascii="Times New Roman" w:eastAsia="Times New Roman"/>
        </w:rPr>
        <w:t>1</w:t>
      </w:r>
      <w:r>
        <w:rPr/>
        <w:t>）药物治疗无法控制病情；</w:t>
      </w:r>
    </w:p>
    <w:p>
      <w:pPr>
        <w:pStyle w:val="BodyText"/>
        <w:spacing w:line="261" w:lineRule="auto" w:before="30"/>
        <w:ind w:right="1570"/>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pStyle w:val="BodyText"/>
        <w:spacing w:before="8"/>
        <w:ind w:left="0"/>
        <w:rPr>
          <w:sz w:val="26"/>
        </w:rPr>
      </w:pPr>
    </w:p>
    <w:p>
      <w:pPr>
        <w:pStyle w:val="BodyText"/>
        <w:spacing w:before="1"/>
      </w:pPr>
      <w:r>
        <w:rPr>
          <w:rFonts w:ascii="Times New Roman" w:hAnsi="Times New Roman" w:eastAsia="Times New Roman"/>
        </w:rPr>
        <w:t>20</w:t>
      </w:r>
      <w:r>
        <w:rPr/>
        <w:t>、严重Ⅲ度烧伤</w:t>
      </w:r>
    </w:p>
    <w:p>
      <w:pPr>
        <w:pStyle w:val="BodyText"/>
        <w:spacing w:line="266" w:lineRule="auto" w:before="26"/>
        <w:ind w:right="222"/>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《中国新九分法》计算。</w:t>
      </w:r>
    </w:p>
    <w:p>
      <w:pPr>
        <w:pStyle w:val="BodyText"/>
        <w:ind w:left="0"/>
        <w:rPr>
          <w:sz w:val="26"/>
        </w:rPr>
      </w:pPr>
    </w:p>
    <w:p>
      <w:pPr>
        <w:pStyle w:val="BodyText"/>
      </w:pPr>
      <w:r>
        <w:rPr>
          <w:rFonts w:ascii="Times New Roman" w:eastAsia="Times New Roman"/>
        </w:rPr>
        <w:t>21</w:t>
      </w:r>
      <w:r>
        <w:rPr/>
        <w:t>、严重原发性肺动脉高压</w:t>
      </w:r>
    </w:p>
    <w:p>
      <w:pPr>
        <w:pStyle w:val="BodyText"/>
        <w:spacing w:line="280" w:lineRule="auto" w:before="30"/>
        <w:ind w:right="22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6"/>
        <w:ind w:left="0"/>
        <w:rPr>
          <w:sz w:val="23"/>
        </w:rPr>
      </w:pPr>
    </w:p>
    <w:p>
      <w:pPr>
        <w:pStyle w:val="BodyText"/>
        <w:spacing w:before="1"/>
      </w:pPr>
      <w:r>
        <w:rPr>
          <w:rFonts w:ascii="Times New Roman" w:eastAsia="Times New Roman"/>
        </w:rPr>
        <w:t>22</w:t>
      </w:r>
      <w:r>
        <w:rPr/>
        <w:t>、严重运动神经元病</w:t>
      </w:r>
    </w:p>
    <w:p>
      <w:pPr>
        <w:pStyle w:val="BodyText"/>
        <w:spacing w:line="278" w:lineRule="auto" w:before="31"/>
        <w:ind w:right="222"/>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2"/>
        <w:ind w:left="0"/>
        <w:rPr>
          <w:sz w:val="25"/>
        </w:rPr>
      </w:pPr>
    </w:p>
    <w:p>
      <w:pPr>
        <w:pStyle w:val="BodyText"/>
      </w:pPr>
      <w:r>
        <w:rPr>
          <w:rFonts w:ascii="Times New Roman" w:eastAsia="Times New Roman"/>
        </w:rPr>
        <w:t>23</w:t>
      </w:r>
      <w:r>
        <w:rPr/>
        <w:t>、语言能力丧失</w:t>
      </w:r>
    </w:p>
    <w:p>
      <w:pPr>
        <w:pStyle w:val="BodyText"/>
        <w:spacing w:line="266" w:lineRule="auto" w:before="30"/>
        <w:ind w:right="116"/>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before="18"/>
      </w:pPr>
      <w:r>
        <w:rPr/>
        <w:t>精神心理因素所致的语言能力丧失不在保障范围内。</w:t>
      </w:r>
    </w:p>
    <w:p>
      <w:pPr>
        <w:pStyle w:val="BodyText"/>
        <w:spacing w:before="1"/>
        <w:ind w:left="0"/>
        <w:rPr>
          <w:sz w:val="28"/>
        </w:rPr>
      </w:pPr>
    </w:p>
    <w:p>
      <w:pPr>
        <w:pStyle w:val="BodyText"/>
        <w:spacing w:before="1"/>
      </w:pPr>
      <w:r>
        <w:rPr>
          <w:rFonts w:ascii="Times New Roman" w:eastAsia="Times New Roman"/>
        </w:rPr>
        <w:t>24</w:t>
      </w:r>
      <w:r>
        <w:rPr/>
        <w:t>、重型再生障碍性贫血</w:t>
      </w:r>
    </w:p>
    <w:p>
      <w:pPr>
        <w:pStyle w:val="BodyText"/>
        <w:spacing w:before="27"/>
      </w:pPr>
      <w:r>
        <w:rPr/>
        <w:t>指因骨髓造血功能慢性持续性衰竭导致的贫血、中性粒细胞减少及血小板减少。须满足下列全部条件：</w:t>
      </w:r>
    </w:p>
    <w:p>
      <w:pPr>
        <w:pStyle w:val="BodyText"/>
        <w:spacing w:before="47"/>
      </w:pPr>
      <w:r>
        <w:rPr/>
        <w:t>（</w:t>
      </w:r>
      <w:r>
        <w:rPr>
          <w:rFonts w:ascii="Times New Roman" w:eastAsia="Times New Roman"/>
        </w:rPr>
        <w:t>1</w:t>
      </w:r>
      <w:r>
        <w:rPr/>
        <w:t>）骨髓穿刺检查或骨髓活检结果支持诊断；</w:t>
      </w:r>
    </w:p>
    <w:p>
      <w:pPr>
        <w:pStyle w:val="BodyText"/>
        <w:spacing w:before="31"/>
      </w:pPr>
      <w:r>
        <w:rPr/>
        <w:t>（</w:t>
      </w:r>
      <w:r>
        <w:rPr>
          <w:rFonts w:ascii="Times New Roman" w:eastAsia="Times New Roman"/>
        </w:rPr>
        <w:t>2</w:t>
      </w:r>
      <w:r>
        <w:rPr/>
        <w:t>）外周血象必须具备以下三项条件：</w:t>
      </w:r>
    </w:p>
    <w:p>
      <w:pPr>
        <w:pStyle w:val="BodyText"/>
        <w:spacing w:before="26"/>
        <w:ind w:left="521" w:right="6262"/>
        <w:jc w:val="center"/>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30"/>
        <w:ind w:left="535"/>
      </w:pPr>
      <w:r>
        <w:rPr/>
        <w:t>② 网织红细胞＜</w:t>
      </w:r>
      <w:r>
        <w:rPr>
          <w:rFonts w:ascii="Times New Roman" w:hAnsi="Times New Roman" w:eastAsia="Times New Roman"/>
        </w:rPr>
        <w:t>1%</w:t>
      </w:r>
      <w:r>
        <w:rPr/>
        <w:t>；</w:t>
      </w:r>
    </w:p>
    <w:p>
      <w:pPr>
        <w:pStyle w:val="BodyText"/>
        <w:spacing w:before="30"/>
        <w:ind w:left="535"/>
      </w:pPr>
      <w:r>
        <w:rPr/>
        <w:t>③ 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6"/>
        <w:ind w:left="0"/>
        <w:rPr>
          <w:sz w:val="26"/>
        </w:rPr>
      </w:pPr>
    </w:p>
    <w:p>
      <w:pPr>
        <w:pStyle w:val="BodyText"/>
        <w:spacing w:before="1"/>
      </w:pPr>
      <w:r>
        <w:rPr>
          <w:rFonts w:ascii="Times New Roman" w:eastAsia="Times New Roman"/>
        </w:rPr>
        <w:t>25</w:t>
      </w:r>
      <w:r>
        <w:rPr/>
        <w:t>、主动脉手术</w:t>
      </w:r>
    </w:p>
    <w:p>
      <w:pPr>
        <w:pStyle w:val="BodyText"/>
        <w:spacing w:line="276" w:lineRule="auto" w:before="31"/>
        <w:ind w:right="223"/>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16"/>
      </w:pPr>
      <w:r>
        <w:rPr/>
        <w:t>动脉内血管成形术不在保障范围内。</w:t>
      </w:r>
    </w:p>
    <w:p>
      <w:pPr>
        <w:pStyle w:val="BodyText"/>
        <w:spacing w:before="10"/>
        <w:ind w:left="0"/>
        <w:rPr>
          <w:sz w:val="27"/>
        </w:rPr>
      </w:pPr>
    </w:p>
    <w:p>
      <w:pPr>
        <w:pStyle w:val="BodyText"/>
      </w:pPr>
      <w:r>
        <w:rPr>
          <w:rFonts w:ascii="Times New Roman" w:eastAsia="Times New Roman"/>
        </w:rPr>
        <w:t>26</w:t>
      </w:r>
      <w:r>
        <w:rPr/>
        <w:t>、慢性呼吸功能衰竭</w:t>
      </w:r>
    </w:p>
    <w:p>
      <w:pPr>
        <w:pStyle w:val="BodyText"/>
        <w:spacing w:line="280" w:lineRule="auto" w:before="30"/>
        <w:ind w:right="222"/>
      </w:pPr>
      <w:r>
        <w:rPr>
          <w:spacing w:val="-6"/>
        </w:rPr>
        <w:t>指慢性肺部疾病导致永久不可逆性的慢性呼吸功能衰竭。慢性呼吸功能衰竭必须明确诊断并满足下列全部条件：</w:t>
      </w:r>
    </w:p>
    <w:p>
      <w:pPr>
        <w:pStyle w:val="BodyText"/>
        <w:spacing w:before="6"/>
      </w:pPr>
      <w:r>
        <w:rPr/>
        <w:t>（</w:t>
      </w:r>
      <w:r>
        <w:rPr>
          <w:rFonts w:ascii="Times New Roman" w:eastAsia="Times New Roman"/>
        </w:rPr>
        <w:t>1</w:t>
      </w:r>
      <w:r>
        <w:rPr/>
        <w:t>）休息时出现呼吸困难；</w:t>
      </w:r>
    </w:p>
    <w:p>
      <w:pPr>
        <w:pStyle w:val="BodyText"/>
        <w:spacing w:before="30"/>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50 mmHg</w:t>
      </w:r>
      <w:r>
        <w:rPr>
          <w:vertAlign w:val="baseline"/>
        </w:rPr>
        <w:t>；</w:t>
      </w:r>
    </w:p>
    <w:p>
      <w:pPr>
        <w:spacing w:after="0"/>
        <w:sectPr>
          <w:pgSz w:w="11910" w:h="16840"/>
          <w:pgMar w:header="0" w:footer="219" w:top="780" w:bottom="480" w:left="1020" w:right="900"/>
        </w:sectPr>
      </w:pPr>
    </w:p>
    <w:p>
      <w:pPr>
        <w:pStyle w:val="BodyText"/>
        <w:spacing w:before="60"/>
        <w:ind w:left="313"/>
        <w:rPr>
          <w:rFonts w:ascii="Times New Roman" w:eastAsia="Times New Roman"/>
        </w:rPr>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80%;</w:t>
      </w:r>
    </w:p>
    <w:p>
      <w:pPr>
        <w:pStyle w:val="BodyText"/>
        <w:spacing w:before="30"/>
        <w:ind w:left="313"/>
      </w:pPr>
      <w:r>
        <w:rPr/>
        <w:t>（</w:t>
      </w:r>
      <w:r>
        <w:rPr>
          <w:rFonts w:ascii="Times New Roman" w:eastAsia="Times New Roman"/>
        </w:rPr>
        <w:t>4</w:t>
      </w:r>
      <w:r>
        <w:rPr/>
        <w:t>）因缺氧必须接受持续的输氧治疗。</w:t>
      </w:r>
    </w:p>
    <w:p>
      <w:pPr>
        <w:pStyle w:val="BodyText"/>
        <w:spacing w:before="7"/>
        <w:ind w:left="0"/>
        <w:rPr>
          <w:sz w:val="26"/>
        </w:rPr>
      </w:pPr>
    </w:p>
    <w:p>
      <w:pPr>
        <w:pStyle w:val="BodyText"/>
        <w:ind w:left="313"/>
      </w:pPr>
      <w:r>
        <w:rPr>
          <w:rFonts w:ascii="Times New Roman" w:eastAsia="Times New Roman"/>
        </w:rPr>
        <w:t>27</w:t>
      </w:r>
      <w:r>
        <w:rPr/>
        <w:t>、严重多发性硬化症</w:t>
      </w:r>
    </w:p>
    <w:p>
      <w:pPr>
        <w:pStyle w:val="BodyText"/>
        <w:spacing w:line="271" w:lineRule="auto" w:before="30"/>
        <w:ind w:left="313" w:right="202"/>
        <w:jc w:val="both"/>
      </w:pPr>
      <w:r>
        <w:rPr>
          <w:spacing w:val="-8"/>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spacing w:val="-2"/>
        </w:rPr>
        <w:t>天无法独立完</w:t>
      </w:r>
      <w:r>
        <w:rPr>
          <w:spacing w:val="-4"/>
        </w:rPr>
        <w:t>成下列基本日常生活活动：</w:t>
      </w:r>
    </w:p>
    <w:p>
      <w:pPr>
        <w:pStyle w:val="BodyText"/>
        <w:spacing w:before="19"/>
        <w:ind w:left="313"/>
      </w:pPr>
      <w:r>
        <w:rPr/>
        <w:t>（</w:t>
      </w:r>
      <w:r>
        <w:rPr>
          <w:rFonts w:ascii="Times New Roman" w:eastAsia="Times New Roman"/>
        </w:rPr>
        <w:t>1</w:t>
      </w:r>
      <w:r>
        <w:rPr/>
        <w:t>）移动：自己从一个房间到另一个房间；或者</w:t>
      </w:r>
    </w:p>
    <w:p>
      <w:pPr>
        <w:pStyle w:val="BodyText"/>
        <w:spacing w:before="31"/>
        <w:ind w:left="313"/>
      </w:pPr>
      <w:r>
        <w:rPr/>
        <w:t>（</w:t>
      </w:r>
      <w:r>
        <w:rPr>
          <w:rFonts w:ascii="Times New Roman" w:eastAsia="Times New Roman"/>
        </w:rPr>
        <w:t>2</w:t>
      </w:r>
      <w:r>
        <w:rPr/>
        <w:t>）进食：自己从已准备好的碗或碟中取食物放入口中。</w:t>
      </w:r>
    </w:p>
    <w:p>
      <w:pPr>
        <w:pStyle w:val="Heading1"/>
        <w:tabs>
          <w:tab w:pos="1681" w:val="left" w:leader="none"/>
        </w:tabs>
        <w:spacing w:before="223"/>
        <w:ind w:left="313"/>
      </w:pPr>
      <w:r>
        <w:rPr/>
        <w:t>第二十一条</w:t>
        <w:tab/>
        <w:t>其他名词的释义</w:t>
      </w:r>
    </w:p>
    <w:p>
      <w:pPr>
        <w:pStyle w:val="BodyText"/>
        <w:spacing w:before="8"/>
        <w:ind w:left="0"/>
        <w:rPr>
          <w:rFonts w:ascii="黑体"/>
          <w:b/>
          <w:sz w:val="22"/>
        </w:rPr>
      </w:pPr>
    </w:p>
    <w:p>
      <w:pPr>
        <w:pStyle w:val="BodyText"/>
        <w:ind w:left="313"/>
      </w:pPr>
      <w:r>
        <w:rPr/>
        <w:t>本附加合同中具有特定含义的名词，其定义如下：</w:t>
      </w:r>
    </w:p>
    <w:p>
      <w:pPr>
        <w:pStyle w:val="BodyText"/>
        <w:spacing w:before="4"/>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1"/>
        <w:gridCol w:w="886"/>
        <w:gridCol w:w="7752"/>
      </w:tblGrid>
      <w:tr>
        <w:trPr>
          <w:trHeight w:val="10399" w:hRule="atLeast"/>
        </w:trPr>
        <w:tc>
          <w:tcPr>
            <w:tcW w:w="1311" w:type="dxa"/>
          </w:tcPr>
          <w:p>
            <w:pPr>
              <w:pStyle w:val="TableParagraph"/>
              <w:spacing w:line="255" w:lineRule="exact" w:before="0"/>
              <w:ind w:left="200"/>
              <w:rPr>
                <w:sz w:val="21"/>
              </w:rPr>
            </w:pPr>
            <w:r>
              <w:rPr>
                <w:sz w:val="21"/>
              </w:rPr>
              <w:t>全残</w:t>
            </w:r>
          </w:p>
        </w:tc>
        <w:tc>
          <w:tcPr>
            <w:tcW w:w="886" w:type="dxa"/>
          </w:tcPr>
          <w:p>
            <w:pPr>
              <w:pStyle w:val="TableParagraph"/>
              <w:spacing w:line="222" w:lineRule="exact" w:before="0"/>
              <w:ind w:right="-29"/>
              <w:jc w:val="right"/>
              <w:rPr>
                <w:sz w:val="21"/>
              </w:rPr>
            </w:pPr>
            <w:r>
              <w:rPr>
                <w:w w:val="100"/>
                <w:sz w:val="21"/>
              </w:rPr>
              <w:t>：</w:t>
            </w:r>
          </w:p>
        </w:tc>
        <w:tc>
          <w:tcPr>
            <w:tcW w:w="7752" w:type="dxa"/>
          </w:tcPr>
          <w:p>
            <w:pPr>
              <w:pStyle w:val="TableParagraph"/>
              <w:spacing w:line="544" w:lineRule="auto" w:before="110"/>
              <w:ind w:left="-14" w:right="4610"/>
              <w:rPr>
                <w:sz w:val="21"/>
              </w:rPr>
            </w:pPr>
            <w:r>
              <w:rPr>
                <w:spacing w:val="-3"/>
                <w:sz w:val="21"/>
              </w:rPr>
              <w:t>指具有下列情况之一项或多项者： </w:t>
            </w:r>
            <w:r>
              <w:rPr>
                <w:spacing w:val="-5"/>
                <w:w w:val="100"/>
                <w:sz w:val="21"/>
              </w:rPr>
              <w:t>一、双目永久完全失明的</w:t>
            </w:r>
            <w:r>
              <w:rPr>
                <w:w w:val="100"/>
                <w:sz w:val="21"/>
              </w:rPr>
              <w:t>（</w:t>
            </w:r>
            <w:r>
              <w:rPr>
                <w:spacing w:val="0"/>
                <w:w w:val="100"/>
                <w:sz w:val="21"/>
              </w:rPr>
              <w:t>注</w:t>
            </w:r>
            <w:r>
              <w:rPr>
                <w:rFonts w:ascii="Times New Roman" w:eastAsia="Times New Roman"/>
                <w:spacing w:val="-5"/>
                <w:w w:val="100"/>
                <w:sz w:val="21"/>
              </w:rPr>
              <w:t>1</w:t>
            </w:r>
            <w:r>
              <w:rPr>
                <w:spacing w:val="-106"/>
                <w:w w:val="100"/>
                <w:sz w:val="21"/>
              </w:rPr>
              <w:t>）；</w:t>
            </w:r>
          </w:p>
          <w:p>
            <w:pPr>
              <w:pStyle w:val="TableParagraph"/>
              <w:spacing w:line="544" w:lineRule="auto" w:before="38"/>
              <w:ind w:left="-14" w:right="2930"/>
              <w:jc w:val="both"/>
              <w:rPr>
                <w:sz w:val="21"/>
              </w:rPr>
            </w:pPr>
            <w:r>
              <w:rPr>
                <w:spacing w:val="-5"/>
                <w:sz w:val="21"/>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5"/>
                <w:w w:val="100"/>
                <w:sz w:val="21"/>
              </w:rPr>
              <w:t>六、四肢关节机能永久完全丧失的</w:t>
            </w:r>
            <w:r>
              <w:rPr>
                <w:w w:val="100"/>
                <w:sz w:val="21"/>
              </w:rPr>
              <w:t>（</w:t>
            </w:r>
            <w:r>
              <w:rPr>
                <w:spacing w:val="0"/>
                <w:w w:val="100"/>
                <w:sz w:val="21"/>
              </w:rPr>
              <w:t>注</w:t>
            </w:r>
            <w:r>
              <w:rPr>
                <w:rFonts w:ascii="Times New Roman" w:eastAsia="Times New Roman"/>
                <w:spacing w:val="-5"/>
                <w:w w:val="100"/>
                <w:sz w:val="21"/>
              </w:rPr>
              <w:t>2</w:t>
            </w:r>
            <w:r>
              <w:rPr>
                <w:spacing w:val="-106"/>
                <w:w w:val="100"/>
                <w:sz w:val="21"/>
              </w:rPr>
              <w:t>）；</w:t>
            </w:r>
          </w:p>
          <w:p>
            <w:pPr>
              <w:pStyle w:val="TableParagraph"/>
              <w:spacing w:before="38"/>
              <w:ind w:left="-14"/>
              <w:rPr>
                <w:sz w:val="21"/>
              </w:rPr>
            </w:pPr>
            <w:r>
              <w:rPr>
                <w:spacing w:val="-3"/>
                <w:w w:val="100"/>
                <w:sz w:val="21"/>
              </w:rPr>
              <w:t>七、咀嚼、吞咽机能永久完全丧失的</w:t>
            </w:r>
            <w:r>
              <w:rPr>
                <w:spacing w:val="-5"/>
                <w:w w:val="100"/>
                <w:sz w:val="21"/>
              </w:rPr>
              <w:t>（</w:t>
            </w:r>
            <w:r>
              <w:rPr>
                <w:spacing w:val="0"/>
                <w:w w:val="100"/>
                <w:sz w:val="21"/>
              </w:rPr>
              <w:t>注</w:t>
            </w:r>
            <w:r>
              <w:rPr>
                <w:rFonts w:ascii="Times New Roman" w:eastAsia="Times New Roman"/>
                <w:w w:val="100"/>
                <w:sz w:val="21"/>
              </w:rPr>
              <w:t>3</w:t>
            </w:r>
            <w:r>
              <w:rPr>
                <w:spacing w:val="-106"/>
                <w:w w:val="100"/>
                <w:sz w:val="21"/>
              </w:rPr>
              <w:t>）；</w:t>
            </w:r>
          </w:p>
          <w:p>
            <w:pPr>
              <w:pStyle w:val="TableParagraph"/>
              <w:spacing w:before="6"/>
              <w:rPr>
                <w:sz w:val="25"/>
              </w:rPr>
            </w:pPr>
          </w:p>
          <w:p>
            <w:pPr>
              <w:pStyle w:val="TableParagraph"/>
              <w:spacing w:line="544" w:lineRule="auto" w:before="0"/>
              <w:ind w:left="-14" w:right="199"/>
              <w:rPr>
                <w:sz w:val="21"/>
              </w:rPr>
            </w:pPr>
            <w:r>
              <w:rPr>
                <w:spacing w:val="-5"/>
                <w:sz w:val="21"/>
              </w:rPr>
              <w:t>八、中枢神经系统机能或胸、腹部脏器机能极度障碍，终身不能从事任何工作，为</w:t>
            </w:r>
            <w:r>
              <w:rPr>
                <w:spacing w:val="-5"/>
                <w:w w:val="100"/>
                <w:sz w:val="21"/>
              </w:rPr>
              <w:t>维持生命必要的日常生活活动，全需他人扶助的</w:t>
            </w:r>
            <w:r>
              <w:rPr>
                <w:w w:val="100"/>
                <w:sz w:val="21"/>
              </w:rPr>
              <w:t>（</w:t>
            </w:r>
            <w:r>
              <w:rPr>
                <w:spacing w:val="-4"/>
                <w:w w:val="100"/>
                <w:sz w:val="21"/>
              </w:rPr>
              <w:t>注</w:t>
            </w:r>
            <w:r>
              <w:rPr>
                <w:rFonts w:ascii="Times New Roman" w:eastAsia="Times New Roman"/>
                <w:w w:val="100"/>
                <w:sz w:val="21"/>
              </w:rPr>
              <w:t>4</w:t>
            </w:r>
            <w:r>
              <w:rPr>
                <w:spacing w:val="-106"/>
                <w:w w:val="100"/>
                <w:sz w:val="21"/>
              </w:rPr>
              <w:t>）。</w:t>
            </w:r>
          </w:p>
          <w:p>
            <w:pPr>
              <w:pStyle w:val="TableParagraph"/>
              <w:spacing w:before="38"/>
              <w:ind w:left="-14"/>
              <w:rPr>
                <w:sz w:val="21"/>
              </w:rPr>
            </w:pPr>
            <w:r>
              <w:rPr>
                <w:sz w:val="21"/>
              </w:rPr>
              <w:t>注：</w:t>
            </w:r>
          </w:p>
          <w:p>
            <w:pPr>
              <w:pStyle w:val="TableParagraph"/>
              <w:spacing w:before="9"/>
              <w:rPr>
                <w:sz w:val="26"/>
              </w:rPr>
            </w:pPr>
          </w:p>
          <w:p>
            <w:pPr>
              <w:pStyle w:val="TableParagraph"/>
              <w:spacing w:line="516" w:lineRule="auto" w:before="0"/>
              <w:ind w:left="-14" w:right="197"/>
              <w:jc w:val="both"/>
              <w:rPr>
                <w:sz w:val="21"/>
              </w:rPr>
            </w:pPr>
            <w:r>
              <w:rPr>
                <w:rFonts w:ascii="Times New Roman" w:eastAsia="Times New Roman"/>
                <w:sz w:val="21"/>
              </w:rPr>
              <w:t>1</w:t>
            </w:r>
            <w:r>
              <w:rPr>
                <w:spacing w:val="-11"/>
                <w:sz w:val="21"/>
              </w:rPr>
              <w:t>、失明包括眼球缺失或摘除、或不能辨别明暗、或仅能辨别眼前手动者，最佳矫正</w:t>
            </w:r>
            <w:r>
              <w:rPr>
                <w:spacing w:val="-7"/>
                <w:sz w:val="21"/>
              </w:rPr>
              <w:t>视力低于国际标准视力表</w:t>
            </w:r>
            <w:r>
              <w:rPr>
                <w:rFonts w:ascii="Times New Roman" w:eastAsia="Times New Roman"/>
                <w:spacing w:val="-6"/>
                <w:sz w:val="21"/>
              </w:rPr>
              <w:t>0.02</w:t>
            </w:r>
            <w:r>
              <w:rPr>
                <w:spacing w:val="-4"/>
                <w:sz w:val="21"/>
              </w:rPr>
              <w:t>，或视野半径小于</w:t>
            </w:r>
            <w:r>
              <w:rPr>
                <w:rFonts w:ascii="Times New Roman" w:eastAsia="Times New Roman"/>
                <w:sz w:val="21"/>
              </w:rPr>
              <w:t>5</w:t>
            </w:r>
            <w:r>
              <w:rPr>
                <w:spacing w:val="-7"/>
                <w:sz w:val="21"/>
              </w:rPr>
              <w:t>度，并由保险公司指定有资格的眼</w:t>
            </w:r>
            <w:r>
              <w:rPr>
                <w:spacing w:val="-6"/>
                <w:sz w:val="21"/>
              </w:rPr>
              <w:t>科医师出具医疗诊断证明。</w:t>
            </w:r>
          </w:p>
          <w:p>
            <w:pPr>
              <w:pStyle w:val="TableParagraph"/>
              <w:spacing w:before="108"/>
              <w:ind w:left="-14"/>
              <w:rPr>
                <w:sz w:val="21"/>
              </w:rPr>
            </w:pPr>
            <w:r>
              <w:rPr>
                <w:rFonts w:ascii="Times New Roman" w:eastAsia="Times New Roman"/>
                <w:sz w:val="21"/>
              </w:rPr>
              <w:t>2</w:t>
            </w:r>
            <w:r>
              <w:rPr>
                <w:sz w:val="21"/>
              </w:rPr>
              <w:t>、关节机能的丧失系指关节永久完全僵硬、或麻痹、或关节不能随意识活动。</w:t>
            </w:r>
          </w:p>
          <w:p>
            <w:pPr>
              <w:pStyle w:val="TableParagraph"/>
              <w:spacing w:line="610" w:lineRule="atLeast" w:before="14"/>
              <w:ind w:left="-14" w:right="204"/>
              <w:rPr>
                <w:sz w:val="21"/>
              </w:rPr>
            </w:pPr>
            <w:r>
              <w:rPr>
                <w:rFonts w:ascii="Times New Roman" w:eastAsia="Times New Roman"/>
                <w:sz w:val="21"/>
              </w:rPr>
              <w:t>3</w:t>
            </w:r>
            <w:r>
              <w:rPr>
                <w:spacing w:val="-11"/>
                <w:sz w:val="21"/>
              </w:rPr>
              <w:t>、咀嚼、吞咽机能的丧失系指由于牙齿以外的原因引起器质障碍或机能障碍，以致</w:t>
            </w:r>
            <w:r>
              <w:rPr>
                <w:spacing w:val="-7"/>
                <w:sz w:val="21"/>
              </w:rPr>
              <w:t>不能作咀嚼、吞咽运动，除流质食物外不能摄取或吞咽的状态。</w:t>
            </w:r>
          </w:p>
        </w:tc>
      </w:tr>
    </w:tbl>
    <w:p>
      <w:pPr>
        <w:spacing w:after="0" w:line="610" w:lineRule="atLeast"/>
        <w:rPr>
          <w:sz w:val="21"/>
        </w:rPr>
        <w:sectPr>
          <w:pgSz w:w="11910" w:h="16840"/>
          <w:pgMar w:header="0" w:footer="219" w:top="780" w:bottom="480" w:left="82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212"/>
        <w:gridCol w:w="7740"/>
      </w:tblGrid>
      <w:tr>
        <w:trPr>
          <w:trHeight w:val="1812" w:hRule="atLeast"/>
        </w:trPr>
        <w:tc>
          <w:tcPr>
            <w:tcW w:w="2001" w:type="dxa"/>
          </w:tcPr>
          <w:p>
            <w:pPr>
              <w:pStyle w:val="TableParagraph"/>
              <w:spacing w:before="0"/>
              <w:rPr>
                <w:rFonts w:ascii="Times New Roman"/>
                <w:sz w:val="20"/>
              </w:rPr>
            </w:pPr>
          </w:p>
        </w:tc>
        <w:tc>
          <w:tcPr>
            <w:tcW w:w="212" w:type="dxa"/>
          </w:tcPr>
          <w:p>
            <w:pPr>
              <w:pStyle w:val="TableParagraph"/>
              <w:spacing w:before="0"/>
              <w:rPr>
                <w:rFonts w:ascii="Times New Roman"/>
                <w:sz w:val="20"/>
              </w:rPr>
            </w:pPr>
          </w:p>
        </w:tc>
        <w:tc>
          <w:tcPr>
            <w:tcW w:w="7740" w:type="dxa"/>
          </w:tcPr>
          <w:p>
            <w:pPr>
              <w:pStyle w:val="TableParagraph"/>
              <w:spacing w:line="271" w:lineRule="exact" w:before="0"/>
              <w:ind w:left="-30"/>
              <w:rPr>
                <w:sz w:val="21"/>
              </w:rPr>
            </w:pPr>
            <w:r>
              <w:rPr>
                <w:rFonts w:ascii="Times New Roman" w:eastAsia="Times New Roman"/>
                <w:sz w:val="21"/>
              </w:rPr>
              <w:t>4</w:t>
            </w:r>
            <w:r>
              <w:rPr>
                <w:sz w:val="21"/>
              </w:rPr>
              <w:t>、为维持生命必要之日常生活活动，全需他人扶助系指食物摄取、大小便始末、穿</w:t>
            </w:r>
          </w:p>
          <w:p>
            <w:pPr>
              <w:pStyle w:val="TableParagraph"/>
              <w:spacing w:before="6"/>
              <w:rPr>
                <w:sz w:val="25"/>
              </w:rPr>
            </w:pPr>
          </w:p>
          <w:p>
            <w:pPr>
              <w:pStyle w:val="TableParagraph"/>
              <w:spacing w:before="0"/>
              <w:ind w:left="-30"/>
              <w:rPr>
                <w:sz w:val="21"/>
              </w:rPr>
            </w:pPr>
            <w:r>
              <w:rPr>
                <w:sz w:val="21"/>
              </w:rPr>
              <w:t>脱衣服、起居、步行、入浴等，皆不能自己为之，需要他人帮助。</w:t>
            </w:r>
          </w:p>
          <w:p>
            <w:pPr>
              <w:pStyle w:val="TableParagraph"/>
              <w:spacing w:line="350" w:lineRule="atLeast" w:before="160"/>
              <w:ind w:left="32" w:right="207"/>
              <w:rPr>
                <w:sz w:val="21"/>
              </w:rPr>
            </w:pPr>
            <w:r>
              <w:rPr>
                <w:rFonts w:ascii="Times New Roman" w:eastAsia="Times New Roman"/>
                <w:sz w:val="21"/>
              </w:rPr>
              <w:t>5</w:t>
            </w:r>
            <w:r>
              <w:rPr>
                <w:sz w:val="21"/>
              </w:rPr>
              <w:t>、所谓永久完全系指自以上情况发生之日起经过一百八十天的治疗，机能仍然完全丧失，但眼球摘除等明显无法复原之情况，不在此限。</w:t>
            </w:r>
          </w:p>
        </w:tc>
      </w:tr>
      <w:tr>
        <w:trPr>
          <w:trHeight w:val="794" w:hRule="atLeast"/>
        </w:trPr>
        <w:tc>
          <w:tcPr>
            <w:tcW w:w="2001" w:type="dxa"/>
          </w:tcPr>
          <w:p>
            <w:pPr>
              <w:pStyle w:val="TableParagraph"/>
              <w:ind w:left="200"/>
              <w:rPr>
                <w:sz w:val="21"/>
              </w:rPr>
            </w:pPr>
            <w:r>
              <w:rPr>
                <w:sz w:val="21"/>
              </w:rPr>
              <w:t>意外伤害</w:t>
            </w:r>
          </w:p>
        </w:tc>
        <w:tc>
          <w:tcPr>
            <w:tcW w:w="212" w:type="dxa"/>
          </w:tcPr>
          <w:p>
            <w:pPr>
              <w:pStyle w:val="TableParagraph"/>
              <w:spacing w:before="151"/>
              <w:ind w:left="-1" w:right="1"/>
              <w:jc w:val="center"/>
              <w:rPr>
                <w:sz w:val="21"/>
              </w:rPr>
            </w:pPr>
            <w:r>
              <w:rPr>
                <w:w w:val="100"/>
                <w:sz w:val="21"/>
              </w:rPr>
              <w:t>：</w:t>
            </w:r>
          </w:p>
        </w:tc>
        <w:tc>
          <w:tcPr>
            <w:tcW w:w="7740" w:type="dxa"/>
          </w:tcPr>
          <w:p>
            <w:pPr>
              <w:pStyle w:val="TableParagraph"/>
              <w:spacing w:line="319" w:lineRule="auto"/>
              <w:ind w:left="32" w:right="203"/>
              <w:rPr>
                <w:sz w:val="21"/>
              </w:rPr>
            </w:pPr>
            <w:r>
              <w:rPr>
                <w:spacing w:val="-8"/>
                <w:sz w:val="21"/>
              </w:rPr>
              <w:t>指以外来的、突发的、非本意的、非疾病的客观事件为直接且单独的原因致使身体</w:t>
            </w:r>
            <w:r>
              <w:rPr>
                <w:spacing w:val="-7"/>
                <w:sz w:val="21"/>
              </w:rPr>
              <w:t>受到的伤害。</w:t>
            </w:r>
          </w:p>
        </w:tc>
      </w:tr>
      <w:tr>
        <w:trPr>
          <w:trHeight w:val="1807" w:hRule="atLeast"/>
        </w:trPr>
        <w:tc>
          <w:tcPr>
            <w:tcW w:w="2001" w:type="dxa"/>
          </w:tcPr>
          <w:p>
            <w:pPr>
              <w:pStyle w:val="TableParagraph"/>
              <w:spacing w:before="86"/>
              <w:ind w:left="200"/>
              <w:rPr>
                <w:sz w:val="21"/>
              </w:rPr>
            </w:pPr>
            <w:r>
              <w:rPr>
                <w:sz w:val="21"/>
              </w:rPr>
              <w:t>毒品</w:t>
            </w:r>
          </w:p>
        </w:tc>
        <w:tc>
          <w:tcPr>
            <w:tcW w:w="212" w:type="dxa"/>
          </w:tcPr>
          <w:p>
            <w:pPr>
              <w:pStyle w:val="TableParagraph"/>
              <w:spacing w:before="86"/>
              <w:ind w:left="-1" w:right="27"/>
              <w:jc w:val="center"/>
              <w:rPr>
                <w:sz w:val="21"/>
              </w:rPr>
            </w:pPr>
            <w:r>
              <w:rPr>
                <w:spacing w:val="-29"/>
                <w:w w:val="100"/>
                <w:sz w:val="21"/>
              </w:rPr>
              <w:t>：</w:t>
            </w:r>
          </w:p>
        </w:tc>
        <w:tc>
          <w:tcPr>
            <w:tcW w:w="7740" w:type="dxa"/>
          </w:tcPr>
          <w:p>
            <w:pPr>
              <w:pStyle w:val="TableParagraph"/>
              <w:spacing w:before="86"/>
              <w:ind w:left="-30"/>
              <w:rPr>
                <w:sz w:val="21"/>
              </w:rPr>
            </w:pPr>
            <w:r>
              <w:rPr>
                <w:spacing w:val="-7"/>
                <w:sz w:val="21"/>
              </w:rPr>
              <w:t>指中华人民共和国刑法规定的鸦片、海洛因、甲基苯丙胺</w:t>
            </w:r>
            <w:r>
              <w:rPr>
                <w:sz w:val="21"/>
              </w:rPr>
              <w:t>（冰毒</w:t>
            </w:r>
            <w:r>
              <w:rPr>
                <w:spacing w:val="-106"/>
                <w:sz w:val="21"/>
              </w:rPr>
              <w:t>）</w:t>
            </w:r>
            <w:r>
              <w:rPr>
                <w:spacing w:val="-10"/>
                <w:sz w:val="21"/>
              </w:rPr>
              <w:t>、吗啡、大麻、可</w:t>
            </w:r>
          </w:p>
          <w:p>
            <w:pPr>
              <w:pStyle w:val="TableParagraph"/>
              <w:spacing w:line="620" w:lineRule="atLeast" w:before="4"/>
              <w:ind w:left="-30" w:right="202"/>
              <w:rPr>
                <w:sz w:val="21"/>
              </w:rPr>
            </w:pPr>
            <w:r>
              <w:rPr>
                <w:sz w:val="21"/>
              </w:rPr>
              <w:t>卡因以及国家规定管制的其他能够使人形成瘾癖的麻醉药品和精神药品，但不包括由医生开具并遵医嘱使用的用于治疗疾病但含有毒品成分的处方药品。</w:t>
            </w:r>
          </w:p>
        </w:tc>
      </w:tr>
      <w:tr>
        <w:trPr>
          <w:trHeight w:val="1872" w:hRule="atLeast"/>
        </w:trPr>
        <w:tc>
          <w:tcPr>
            <w:tcW w:w="2001" w:type="dxa"/>
          </w:tcPr>
          <w:p>
            <w:pPr>
              <w:pStyle w:val="TableParagraph"/>
              <w:spacing w:before="151"/>
              <w:ind w:left="200"/>
              <w:rPr>
                <w:sz w:val="21"/>
              </w:rPr>
            </w:pPr>
            <w:r>
              <w:rPr>
                <w:sz w:val="21"/>
              </w:rPr>
              <w:t>酒后驾驶</w:t>
            </w:r>
          </w:p>
        </w:tc>
        <w:tc>
          <w:tcPr>
            <w:tcW w:w="212" w:type="dxa"/>
          </w:tcPr>
          <w:p>
            <w:pPr>
              <w:pStyle w:val="TableParagraph"/>
              <w:spacing w:before="151"/>
              <w:ind w:left="-1" w:right="27"/>
              <w:jc w:val="center"/>
              <w:rPr>
                <w:sz w:val="21"/>
              </w:rPr>
            </w:pPr>
            <w:r>
              <w:rPr>
                <w:spacing w:val="-29"/>
                <w:w w:val="100"/>
                <w:sz w:val="21"/>
              </w:rPr>
              <w:t>：</w:t>
            </w:r>
          </w:p>
        </w:tc>
        <w:tc>
          <w:tcPr>
            <w:tcW w:w="7740" w:type="dxa"/>
          </w:tcPr>
          <w:p>
            <w:pPr>
              <w:pStyle w:val="TableParagraph"/>
              <w:spacing w:line="544" w:lineRule="auto" w:before="151"/>
              <w:ind w:left="-30" w:right="203"/>
              <w:rPr>
                <w:sz w:val="21"/>
              </w:rPr>
            </w:pPr>
            <w:r>
              <w:rPr>
                <w:sz w:val="21"/>
              </w:rPr>
              <w:t>指经检测或鉴定，发生事故时车辆驾驶人员每百毫升血液中的酒精含量达到或超过一定的标准，公安机关交通管理部门依据《道路交通安全法》的规定认定为饮酒后</w:t>
            </w:r>
          </w:p>
          <w:p>
            <w:pPr>
              <w:pStyle w:val="TableParagraph"/>
              <w:spacing w:before="82"/>
              <w:ind w:left="-30"/>
              <w:rPr>
                <w:sz w:val="21"/>
              </w:rPr>
            </w:pPr>
            <w:r>
              <w:rPr>
                <w:sz w:val="21"/>
              </w:rPr>
              <w:t>驾驶或醉酒后驾驶。</w:t>
            </w:r>
          </w:p>
        </w:tc>
      </w:tr>
      <w:tr>
        <w:trPr>
          <w:trHeight w:val="3745" w:hRule="atLeast"/>
        </w:trPr>
        <w:tc>
          <w:tcPr>
            <w:tcW w:w="2001" w:type="dxa"/>
          </w:tcPr>
          <w:p>
            <w:pPr>
              <w:pStyle w:val="TableParagraph"/>
              <w:spacing w:line="544" w:lineRule="auto" w:before="151"/>
              <w:ind w:left="200" w:right="-15"/>
              <w:rPr>
                <w:sz w:val="21"/>
              </w:rPr>
            </w:pPr>
            <w:r>
              <w:rPr>
                <w:spacing w:val="10"/>
                <w:sz w:val="21"/>
              </w:rPr>
              <w:t>无合法有效驾驶证驾驶</w:t>
            </w:r>
          </w:p>
        </w:tc>
        <w:tc>
          <w:tcPr>
            <w:tcW w:w="212" w:type="dxa"/>
          </w:tcPr>
          <w:p>
            <w:pPr>
              <w:pStyle w:val="TableParagraph"/>
              <w:spacing w:before="151"/>
              <w:ind w:left="-1" w:right="27"/>
              <w:jc w:val="center"/>
              <w:rPr>
                <w:sz w:val="21"/>
              </w:rPr>
            </w:pPr>
            <w:r>
              <w:rPr>
                <w:spacing w:val="-29"/>
                <w:w w:val="100"/>
                <w:sz w:val="21"/>
              </w:rPr>
              <w:t>：</w:t>
            </w:r>
          </w:p>
        </w:tc>
        <w:tc>
          <w:tcPr>
            <w:tcW w:w="7740" w:type="dxa"/>
          </w:tcPr>
          <w:p>
            <w:pPr>
              <w:pStyle w:val="TableParagraph"/>
              <w:spacing w:before="151"/>
              <w:ind w:left="-30"/>
              <w:rPr>
                <w:sz w:val="21"/>
              </w:rPr>
            </w:pPr>
            <w:r>
              <w:rPr>
                <w:sz w:val="21"/>
              </w:rPr>
              <w:t>指下列情形之一：</w:t>
            </w:r>
          </w:p>
          <w:p>
            <w:pPr>
              <w:pStyle w:val="TableParagraph"/>
              <w:spacing w:before="8"/>
              <w:rPr>
                <w:sz w:val="26"/>
              </w:rPr>
            </w:pPr>
          </w:p>
          <w:p>
            <w:pPr>
              <w:pStyle w:val="TableParagraph"/>
              <w:spacing w:before="0"/>
              <w:ind w:left="-30"/>
              <w:rPr>
                <w:sz w:val="21"/>
              </w:rPr>
            </w:pPr>
            <w:r>
              <w:rPr>
                <w:sz w:val="21"/>
              </w:rPr>
              <w:t>（</w:t>
            </w:r>
            <w:r>
              <w:rPr>
                <w:rFonts w:ascii="Times New Roman" w:eastAsia="Times New Roman"/>
                <w:sz w:val="21"/>
              </w:rPr>
              <w:t>1</w:t>
            </w:r>
            <w:r>
              <w:rPr>
                <w:sz w:val="21"/>
              </w:rPr>
              <w:t>）没有取得驾驶资格；</w:t>
            </w:r>
          </w:p>
          <w:p>
            <w:pPr>
              <w:pStyle w:val="TableParagraph"/>
              <w:spacing w:before="5"/>
              <w:rPr>
                <w:sz w:val="25"/>
              </w:rPr>
            </w:pPr>
          </w:p>
          <w:p>
            <w:pPr>
              <w:pStyle w:val="TableParagraph"/>
              <w:spacing w:before="0"/>
              <w:ind w:left="-3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5"/>
              <w:rPr>
                <w:sz w:val="25"/>
              </w:rPr>
            </w:pPr>
          </w:p>
          <w:p>
            <w:pPr>
              <w:pStyle w:val="TableParagraph"/>
              <w:spacing w:before="0"/>
              <w:ind w:left="-30"/>
              <w:rPr>
                <w:sz w:val="21"/>
              </w:rPr>
            </w:pPr>
            <w:r>
              <w:rPr>
                <w:sz w:val="21"/>
              </w:rPr>
              <w:t>（</w:t>
            </w:r>
            <w:r>
              <w:rPr>
                <w:rFonts w:ascii="Times New Roman" w:eastAsia="Times New Roman"/>
                <w:sz w:val="21"/>
              </w:rPr>
              <w:t>3</w:t>
            </w:r>
            <w:r>
              <w:rPr>
                <w:sz w:val="21"/>
              </w:rPr>
              <w:t>）持审验不合格的驾驶证驾驶；</w:t>
            </w:r>
          </w:p>
          <w:p>
            <w:pPr>
              <w:pStyle w:val="TableParagraph"/>
              <w:spacing w:line="610" w:lineRule="atLeast" w:before="13"/>
              <w:ind w:left="-30" w:right="200"/>
              <w:rPr>
                <w:sz w:val="21"/>
              </w:rPr>
            </w:pPr>
            <w:r>
              <w:rPr>
                <w:spacing w:val="-9"/>
                <w:sz w:val="21"/>
              </w:rPr>
              <w:t>（</w:t>
            </w:r>
            <w:r>
              <w:rPr>
                <w:rFonts w:ascii="Times New Roman" w:eastAsia="Times New Roman"/>
                <w:spacing w:val="-9"/>
                <w:sz w:val="21"/>
              </w:rPr>
              <w:t>4</w:t>
            </w:r>
            <w:r>
              <w:rPr>
                <w:spacing w:val="-9"/>
                <w:sz w:val="21"/>
              </w:rPr>
              <w:t>）</w:t>
            </w:r>
            <w:r>
              <w:rPr>
                <w:spacing w:val="-10"/>
                <w:sz w:val="21"/>
              </w:rPr>
              <w:t>持学习驾驶证学习驾车时，无教练员随车指导，或不按指定时间、路线学习驾车。</w:t>
            </w:r>
          </w:p>
        </w:tc>
      </w:tr>
      <w:tr>
        <w:trPr>
          <w:trHeight w:val="1807" w:hRule="atLeast"/>
        </w:trPr>
        <w:tc>
          <w:tcPr>
            <w:tcW w:w="2001" w:type="dxa"/>
          </w:tcPr>
          <w:p>
            <w:pPr>
              <w:pStyle w:val="TableParagraph"/>
              <w:spacing w:before="151"/>
              <w:ind w:left="200"/>
              <w:rPr>
                <w:sz w:val="21"/>
              </w:rPr>
            </w:pPr>
            <w:r>
              <w:rPr>
                <w:sz w:val="21"/>
              </w:rPr>
              <w:t>无有效行驶证</w:t>
            </w:r>
          </w:p>
        </w:tc>
        <w:tc>
          <w:tcPr>
            <w:tcW w:w="212" w:type="dxa"/>
          </w:tcPr>
          <w:p>
            <w:pPr>
              <w:pStyle w:val="TableParagraph"/>
              <w:spacing w:before="151"/>
              <w:ind w:left="-1" w:right="27"/>
              <w:jc w:val="center"/>
              <w:rPr>
                <w:sz w:val="21"/>
              </w:rPr>
            </w:pPr>
            <w:r>
              <w:rPr>
                <w:spacing w:val="-29"/>
                <w:w w:val="100"/>
                <w:sz w:val="21"/>
              </w:rPr>
              <w:t>：</w:t>
            </w:r>
          </w:p>
        </w:tc>
        <w:tc>
          <w:tcPr>
            <w:tcW w:w="7740" w:type="dxa"/>
          </w:tcPr>
          <w:p>
            <w:pPr>
              <w:pStyle w:val="TableParagraph"/>
              <w:spacing w:before="151"/>
              <w:ind w:left="-30"/>
              <w:rPr>
                <w:sz w:val="21"/>
              </w:rPr>
            </w:pPr>
            <w:r>
              <w:rPr>
                <w:sz w:val="21"/>
              </w:rPr>
              <w:t>指下列情形之一：</w:t>
            </w:r>
          </w:p>
          <w:p>
            <w:pPr>
              <w:pStyle w:val="TableParagraph"/>
              <w:spacing w:before="8"/>
              <w:rPr>
                <w:sz w:val="26"/>
              </w:rPr>
            </w:pPr>
          </w:p>
          <w:p>
            <w:pPr>
              <w:pStyle w:val="TableParagraph"/>
              <w:spacing w:before="1"/>
              <w:ind w:left="-30"/>
              <w:rPr>
                <w:sz w:val="21"/>
              </w:rPr>
            </w:pPr>
            <w:r>
              <w:rPr>
                <w:sz w:val="21"/>
              </w:rPr>
              <w:t>（</w:t>
            </w:r>
            <w:r>
              <w:rPr>
                <w:rFonts w:ascii="Times New Roman" w:eastAsia="Times New Roman"/>
                <w:sz w:val="21"/>
              </w:rPr>
              <w:t>1</w:t>
            </w:r>
            <w:r>
              <w:rPr>
                <w:sz w:val="21"/>
              </w:rPr>
              <w:t>）机动车被依法注销登记的；</w:t>
            </w:r>
          </w:p>
          <w:p>
            <w:pPr>
              <w:pStyle w:val="TableParagraph"/>
              <w:spacing w:before="6"/>
              <w:rPr>
                <w:sz w:val="25"/>
              </w:rPr>
            </w:pPr>
          </w:p>
          <w:p>
            <w:pPr>
              <w:pStyle w:val="TableParagraph"/>
              <w:spacing w:before="0"/>
              <w:ind w:left="-30"/>
              <w:rPr>
                <w:sz w:val="21"/>
              </w:rPr>
            </w:pPr>
            <w:r>
              <w:rPr>
                <w:sz w:val="21"/>
              </w:rPr>
              <w:t>（</w:t>
            </w:r>
            <w:r>
              <w:rPr>
                <w:rFonts w:ascii="Times New Roman" w:eastAsia="Times New Roman"/>
                <w:sz w:val="21"/>
              </w:rPr>
              <w:t>2</w:t>
            </w:r>
            <w:r>
              <w:rPr>
                <w:sz w:val="21"/>
              </w:rPr>
              <w:t>）未依法按时进行或通过机动车安全技术检验。</w:t>
            </w:r>
          </w:p>
        </w:tc>
      </w:tr>
      <w:tr>
        <w:trPr>
          <w:trHeight w:val="1529" w:hRule="atLeast"/>
        </w:trPr>
        <w:tc>
          <w:tcPr>
            <w:tcW w:w="2001" w:type="dxa"/>
          </w:tcPr>
          <w:p>
            <w:pPr>
              <w:pStyle w:val="TableParagraph"/>
              <w:spacing w:before="86"/>
              <w:ind w:left="200"/>
              <w:rPr>
                <w:sz w:val="21"/>
              </w:rPr>
            </w:pPr>
            <w:r>
              <w:rPr>
                <w:sz w:val="21"/>
              </w:rPr>
              <w:t>恐怖主义行为</w:t>
            </w:r>
          </w:p>
        </w:tc>
        <w:tc>
          <w:tcPr>
            <w:tcW w:w="212" w:type="dxa"/>
          </w:tcPr>
          <w:p>
            <w:pPr>
              <w:pStyle w:val="TableParagraph"/>
              <w:spacing w:before="215"/>
              <w:ind w:left="-1" w:right="27"/>
              <w:jc w:val="center"/>
              <w:rPr>
                <w:sz w:val="21"/>
              </w:rPr>
            </w:pPr>
            <w:r>
              <w:rPr>
                <w:spacing w:val="-29"/>
                <w:w w:val="100"/>
                <w:sz w:val="21"/>
              </w:rPr>
              <w:t>：</w:t>
            </w:r>
          </w:p>
        </w:tc>
        <w:tc>
          <w:tcPr>
            <w:tcW w:w="7740" w:type="dxa"/>
          </w:tcPr>
          <w:p>
            <w:pPr>
              <w:pStyle w:val="TableParagraph"/>
              <w:spacing w:before="86"/>
              <w:ind w:left="-30"/>
              <w:rPr>
                <w:sz w:val="21"/>
              </w:rPr>
            </w:pPr>
            <w:r>
              <w:rPr>
                <w:sz w:val="21"/>
              </w:rPr>
              <w:t>包括但并不仅限于以下行为：</w:t>
            </w:r>
          </w:p>
          <w:p>
            <w:pPr>
              <w:pStyle w:val="TableParagraph"/>
              <w:spacing w:before="90"/>
              <w:ind w:left="32"/>
              <w:rPr>
                <w:sz w:val="21"/>
              </w:rPr>
            </w:pPr>
            <w:r>
              <w:rPr>
                <w:sz w:val="21"/>
              </w:rPr>
              <w:t>任何人或群体，以个人名义单独所为或代表组织、政府，出于政治、宗教、意识形</w:t>
            </w:r>
          </w:p>
          <w:p>
            <w:pPr>
              <w:pStyle w:val="TableParagraph"/>
              <w:spacing w:line="360" w:lineRule="atLeast" w:before="10"/>
              <w:ind w:left="32" w:right="137"/>
              <w:rPr>
                <w:sz w:val="21"/>
              </w:rPr>
            </w:pPr>
            <w:r>
              <w:rPr>
                <w:sz w:val="21"/>
              </w:rPr>
              <w:t>态和种族等原因，使用武力（暴力）或以武力（暴力）相威胁，从而影响政府或使公众陷入恐惧。</w:t>
            </w:r>
          </w:p>
        </w:tc>
      </w:tr>
      <w:tr>
        <w:trPr>
          <w:trHeight w:val="1423" w:hRule="atLeast"/>
        </w:trPr>
        <w:tc>
          <w:tcPr>
            <w:tcW w:w="2001" w:type="dxa"/>
          </w:tcPr>
          <w:p>
            <w:pPr>
              <w:pStyle w:val="TableParagraph"/>
              <w:ind w:left="200"/>
              <w:rPr>
                <w:sz w:val="21"/>
              </w:rPr>
            </w:pPr>
            <w:r>
              <w:rPr>
                <w:sz w:val="21"/>
              </w:rPr>
              <w:t>现金价值</w:t>
            </w:r>
          </w:p>
        </w:tc>
        <w:tc>
          <w:tcPr>
            <w:tcW w:w="212" w:type="dxa"/>
          </w:tcPr>
          <w:p>
            <w:pPr>
              <w:pStyle w:val="TableParagraph"/>
              <w:spacing w:before="151"/>
              <w:ind w:left="-1" w:right="27"/>
              <w:jc w:val="center"/>
              <w:rPr>
                <w:sz w:val="21"/>
              </w:rPr>
            </w:pPr>
            <w:r>
              <w:rPr>
                <w:spacing w:val="-29"/>
                <w:w w:val="100"/>
                <w:sz w:val="21"/>
              </w:rPr>
              <w:t>：</w:t>
            </w:r>
          </w:p>
        </w:tc>
        <w:tc>
          <w:tcPr>
            <w:tcW w:w="7740" w:type="dxa"/>
          </w:tcPr>
          <w:p>
            <w:pPr>
              <w:pStyle w:val="TableParagraph"/>
              <w:spacing w:line="319" w:lineRule="auto"/>
              <w:ind w:left="-30" w:right="203"/>
              <w:rPr>
                <w:sz w:val="21"/>
              </w:rPr>
            </w:pPr>
            <w:r>
              <w:rPr>
                <w:sz w:val="21"/>
              </w:rPr>
              <w:t>指保险单所具有的价值，通常体现为解除合同时，根据精算原理计算的，由本公司退还的那部分金额。</w:t>
            </w:r>
          </w:p>
          <w:p>
            <w:pPr>
              <w:pStyle w:val="TableParagraph"/>
              <w:spacing w:before="20"/>
              <w:ind w:left="-30"/>
              <w:rPr>
                <w:sz w:val="21"/>
              </w:rPr>
            </w:pPr>
            <w:r>
              <w:rPr>
                <w:sz w:val="21"/>
              </w:rPr>
              <w:t>本附加合同现金价值 </w:t>
            </w:r>
            <w:r>
              <w:rPr>
                <w:rFonts w:ascii="Times New Roman" w:hAnsi="Times New Roman" w:eastAsia="Times New Roman"/>
                <w:sz w:val="21"/>
              </w:rPr>
              <w:t>=  </w:t>
            </w:r>
            <w:r>
              <w:rPr>
                <w:sz w:val="21"/>
              </w:rPr>
              <w:t>本附加合同最后一期已缴的保险费</w:t>
            </w:r>
            <w:r>
              <w:rPr>
                <w:w w:val="90"/>
                <w:sz w:val="21"/>
              </w:rPr>
              <w:t>×</w:t>
            </w:r>
            <w:r>
              <w:rPr>
                <w:sz w:val="21"/>
              </w:rPr>
              <w:t>按下表退还保险费的</w:t>
            </w:r>
          </w:p>
          <w:p>
            <w:pPr>
              <w:pStyle w:val="TableParagraph"/>
              <w:spacing w:before="78"/>
              <w:ind w:left="-30"/>
              <w:rPr>
                <w:sz w:val="21"/>
              </w:rPr>
            </w:pPr>
            <w:r>
              <w:rPr>
                <w:sz w:val="21"/>
              </w:rPr>
              <w:t>比例</w:t>
            </w:r>
          </w:p>
        </w:tc>
      </w:tr>
    </w:tbl>
    <w:p>
      <w:pPr>
        <w:spacing w:after="0"/>
        <w:rPr>
          <w:sz w:val="21"/>
        </w:rPr>
        <w:sectPr>
          <w:pgSz w:w="11910" w:h="16840"/>
          <w:pgMar w:header="0" w:footer="219" w:top="1000" w:bottom="400" w:left="820" w:right="920"/>
        </w:sectPr>
      </w:pPr>
    </w:p>
    <w:tbl>
      <w:tblPr>
        <w:tblW w:w="0" w:type="auto"/>
        <w:jc w:val="left"/>
        <w:tblInd w:w="2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9"/>
        <w:gridCol w:w="1297"/>
        <w:gridCol w:w="1292"/>
        <w:gridCol w:w="1292"/>
      </w:tblGrid>
      <w:tr>
        <w:trPr>
          <w:trHeight w:val="623" w:hRule="atLeast"/>
        </w:trPr>
        <w:tc>
          <w:tcPr>
            <w:tcW w:w="2459" w:type="dxa"/>
            <w:vMerge w:val="restart"/>
          </w:tcPr>
          <w:p>
            <w:pPr>
              <w:pStyle w:val="TableParagraph"/>
              <w:spacing w:before="149"/>
              <w:ind w:left="177"/>
              <w:rPr>
                <w:sz w:val="21"/>
              </w:rPr>
            </w:pPr>
            <w:r>
              <w:rPr>
                <w:sz w:val="21"/>
              </w:rPr>
              <w:t>本附加合同最后一期已</w:t>
            </w:r>
          </w:p>
          <w:p>
            <w:pPr>
              <w:pStyle w:val="TableParagraph"/>
              <w:spacing w:before="8"/>
              <w:rPr>
                <w:sz w:val="26"/>
              </w:rPr>
            </w:pPr>
          </w:p>
          <w:p>
            <w:pPr>
              <w:pStyle w:val="TableParagraph"/>
              <w:spacing w:before="0"/>
              <w:ind w:left="177"/>
              <w:rPr>
                <w:sz w:val="21"/>
              </w:rPr>
            </w:pPr>
            <w:r>
              <w:rPr>
                <w:sz w:val="21"/>
              </w:rPr>
              <w:t>缴保险费未到期的月数</w:t>
            </w:r>
          </w:p>
        </w:tc>
        <w:tc>
          <w:tcPr>
            <w:tcW w:w="3881" w:type="dxa"/>
            <w:gridSpan w:val="3"/>
          </w:tcPr>
          <w:p>
            <w:pPr>
              <w:pStyle w:val="TableParagraph"/>
              <w:spacing w:before="144"/>
              <w:ind w:left="359"/>
              <w:rPr>
                <w:sz w:val="21"/>
              </w:rPr>
            </w:pPr>
            <w:r>
              <w:rPr>
                <w:sz w:val="21"/>
              </w:rPr>
              <w:t>不同缴费方式下退还保险费的比例</w:t>
            </w:r>
          </w:p>
        </w:tc>
      </w:tr>
      <w:tr>
        <w:trPr>
          <w:trHeight w:val="623" w:hRule="atLeast"/>
        </w:trPr>
        <w:tc>
          <w:tcPr>
            <w:tcW w:w="2459" w:type="dxa"/>
            <w:vMerge/>
            <w:tcBorders>
              <w:top w:val="nil"/>
            </w:tcBorders>
          </w:tcPr>
          <w:p>
            <w:pPr>
              <w:rPr>
                <w:sz w:val="2"/>
                <w:szCs w:val="2"/>
              </w:rPr>
            </w:pPr>
          </w:p>
        </w:tc>
        <w:tc>
          <w:tcPr>
            <w:tcW w:w="1297" w:type="dxa"/>
          </w:tcPr>
          <w:p>
            <w:pPr>
              <w:pStyle w:val="TableParagraph"/>
              <w:spacing w:before="144"/>
              <w:ind w:left="413" w:right="414"/>
              <w:jc w:val="center"/>
              <w:rPr>
                <w:sz w:val="21"/>
              </w:rPr>
            </w:pPr>
            <w:r>
              <w:rPr>
                <w:sz w:val="21"/>
              </w:rPr>
              <w:t>季缴</w:t>
            </w:r>
          </w:p>
        </w:tc>
        <w:tc>
          <w:tcPr>
            <w:tcW w:w="1292" w:type="dxa"/>
          </w:tcPr>
          <w:p>
            <w:pPr>
              <w:pStyle w:val="TableParagraph"/>
              <w:spacing w:before="144"/>
              <w:ind w:left="307" w:right="305"/>
              <w:jc w:val="center"/>
              <w:rPr>
                <w:sz w:val="21"/>
              </w:rPr>
            </w:pPr>
            <w:r>
              <w:rPr>
                <w:sz w:val="21"/>
              </w:rPr>
              <w:t>半年缴</w:t>
            </w:r>
          </w:p>
        </w:tc>
        <w:tc>
          <w:tcPr>
            <w:tcW w:w="1292" w:type="dxa"/>
          </w:tcPr>
          <w:p>
            <w:pPr>
              <w:pStyle w:val="TableParagraph"/>
              <w:spacing w:before="144"/>
              <w:ind w:left="430"/>
              <w:rPr>
                <w:sz w:val="21"/>
              </w:rPr>
            </w:pPr>
            <w:r>
              <w:rPr>
                <w:sz w:val="21"/>
              </w:rPr>
              <w:t>年缴</w:t>
            </w:r>
          </w:p>
        </w:tc>
      </w:tr>
      <w:tr>
        <w:trPr>
          <w:trHeight w:val="624" w:hRule="atLeast"/>
        </w:trPr>
        <w:tc>
          <w:tcPr>
            <w:tcW w:w="2459" w:type="dxa"/>
          </w:tcPr>
          <w:p>
            <w:pPr>
              <w:pStyle w:val="TableParagraph"/>
              <w:spacing w:before="145"/>
              <w:ind w:left="209" w:right="201"/>
              <w:jc w:val="center"/>
              <w:rPr>
                <w:sz w:val="21"/>
              </w:rPr>
            </w:pPr>
            <w:r>
              <w:rPr>
                <w:sz w:val="21"/>
              </w:rPr>
              <w:t>满</w:t>
            </w:r>
            <w:r>
              <w:rPr>
                <w:rFonts w:ascii="Times New Roman" w:eastAsia="Times New Roman"/>
                <w:sz w:val="21"/>
              </w:rPr>
              <w:t>10</w:t>
            </w:r>
            <w:r>
              <w:rPr>
                <w:sz w:val="21"/>
              </w:rPr>
              <w:t>个月</w:t>
            </w:r>
          </w:p>
        </w:tc>
        <w:tc>
          <w:tcPr>
            <w:tcW w:w="1297" w:type="dxa"/>
          </w:tcPr>
          <w:p>
            <w:pPr>
              <w:pStyle w:val="TableParagraph"/>
              <w:spacing w:before="184"/>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4"/>
              <w:ind w:left="2"/>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4"/>
              <w:ind w:left="449"/>
              <w:rPr>
                <w:rFonts w:ascii="Times New Roman"/>
                <w:sz w:val="21"/>
              </w:rPr>
            </w:pPr>
            <w:r>
              <w:rPr>
                <w:rFonts w:ascii="Times New Roman"/>
                <w:sz w:val="21"/>
              </w:rPr>
              <w:t>60%</w:t>
            </w:r>
          </w:p>
        </w:tc>
      </w:tr>
      <w:tr>
        <w:trPr>
          <w:trHeight w:val="623" w:hRule="atLeast"/>
        </w:trPr>
        <w:tc>
          <w:tcPr>
            <w:tcW w:w="2459" w:type="dxa"/>
          </w:tcPr>
          <w:p>
            <w:pPr>
              <w:pStyle w:val="TableParagraph"/>
              <w:spacing w:before="144"/>
              <w:ind w:left="209" w:right="205"/>
              <w:jc w:val="center"/>
              <w:rPr>
                <w:sz w:val="21"/>
              </w:rPr>
            </w:pPr>
            <w:r>
              <w:rPr>
                <w:sz w:val="21"/>
              </w:rPr>
              <w:t>满</w:t>
            </w:r>
            <w:r>
              <w:rPr>
                <w:rFonts w:ascii="Times New Roman" w:eastAsia="Times New Roman"/>
                <w:sz w:val="21"/>
              </w:rPr>
              <w:t>9</w:t>
            </w:r>
            <w:r>
              <w:rPr>
                <w:sz w:val="21"/>
              </w:rPr>
              <w:t>个月但不满</w:t>
            </w:r>
            <w:r>
              <w:rPr>
                <w:rFonts w:ascii="Times New Roman" w:eastAsia="Times New Roman"/>
                <w:sz w:val="21"/>
              </w:rPr>
              <w:t>10</w:t>
            </w:r>
            <w:r>
              <w:rPr>
                <w:sz w:val="21"/>
              </w:rPr>
              <w:t>个月</w:t>
            </w:r>
          </w:p>
        </w:tc>
        <w:tc>
          <w:tcPr>
            <w:tcW w:w="1297" w:type="dxa"/>
          </w:tcPr>
          <w:p>
            <w:pPr>
              <w:pStyle w:val="TableParagraph"/>
              <w:spacing w:before="184"/>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4"/>
              <w:ind w:left="2"/>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4"/>
              <w:ind w:left="449"/>
              <w:rPr>
                <w:rFonts w:ascii="Times New Roman"/>
                <w:sz w:val="21"/>
              </w:rPr>
            </w:pPr>
            <w:r>
              <w:rPr>
                <w:rFonts w:ascii="Times New Roman"/>
                <w:sz w:val="21"/>
              </w:rPr>
              <w:t>50%</w:t>
            </w:r>
          </w:p>
        </w:tc>
      </w:tr>
      <w:tr>
        <w:trPr>
          <w:trHeight w:val="624" w:hRule="atLeast"/>
        </w:trPr>
        <w:tc>
          <w:tcPr>
            <w:tcW w:w="2459" w:type="dxa"/>
          </w:tcPr>
          <w:p>
            <w:pPr>
              <w:pStyle w:val="TableParagraph"/>
              <w:spacing w:before="145"/>
              <w:ind w:left="209" w:right="205"/>
              <w:jc w:val="center"/>
              <w:rPr>
                <w:sz w:val="21"/>
              </w:rPr>
            </w:pPr>
            <w:r>
              <w:rPr>
                <w:sz w:val="21"/>
              </w:rPr>
              <w:t>满</w:t>
            </w:r>
            <w:r>
              <w:rPr>
                <w:rFonts w:ascii="Times New Roman" w:eastAsia="Times New Roman"/>
                <w:sz w:val="21"/>
              </w:rPr>
              <w:t>8</w:t>
            </w:r>
            <w:r>
              <w:rPr>
                <w:sz w:val="21"/>
              </w:rPr>
              <w:t>个月但不满</w:t>
            </w:r>
            <w:r>
              <w:rPr>
                <w:rFonts w:ascii="Times New Roman" w:eastAsia="Times New Roman"/>
                <w:sz w:val="21"/>
              </w:rPr>
              <w:t>9</w:t>
            </w:r>
            <w:r>
              <w:rPr>
                <w:sz w:val="21"/>
              </w:rPr>
              <w:t>个月</w:t>
            </w:r>
          </w:p>
        </w:tc>
        <w:tc>
          <w:tcPr>
            <w:tcW w:w="1297" w:type="dxa"/>
          </w:tcPr>
          <w:p>
            <w:pPr>
              <w:pStyle w:val="TableParagraph"/>
              <w:spacing w:before="189"/>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9"/>
              <w:ind w:left="2"/>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9"/>
              <w:ind w:left="449"/>
              <w:rPr>
                <w:rFonts w:ascii="Times New Roman"/>
                <w:sz w:val="21"/>
              </w:rPr>
            </w:pPr>
            <w:r>
              <w:rPr>
                <w:rFonts w:ascii="Times New Roman"/>
                <w:sz w:val="21"/>
              </w:rPr>
              <w:t>40%</w:t>
            </w:r>
          </w:p>
        </w:tc>
      </w:tr>
      <w:tr>
        <w:trPr>
          <w:trHeight w:val="623" w:hRule="atLeast"/>
        </w:trPr>
        <w:tc>
          <w:tcPr>
            <w:tcW w:w="2459" w:type="dxa"/>
          </w:tcPr>
          <w:p>
            <w:pPr>
              <w:pStyle w:val="TableParagraph"/>
              <w:spacing w:before="144"/>
              <w:ind w:left="209" w:right="205"/>
              <w:jc w:val="center"/>
              <w:rPr>
                <w:sz w:val="21"/>
              </w:rPr>
            </w:pPr>
            <w:r>
              <w:rPr>
                <w:sz w:val="21"/>
              </w:rPr>
              <w:t>满</w:t>
            </w:r>
            <w:r>
              <w:rPr>
                <w:rFonts w:ascii="Times New Roman" w:eastAsia="Times New Roman"/>
                <w:sz w:val="21"/>
              </w:rPr>
              <w:t>7</w:t>
            </w:r>
            <w:r>
              <w:rPr>
                <w:sz w:val="21"/>
              </w:rPr>
              <w:t>个月但不满</w:t>
            </w:r>
            <w:r>
              <w:rPr>
                <w:rFonts w:ascii="Times New Roman" w:eastAsia="Times New Roman"/>
                <w:sz w:val="21"/>
              </w:rPr>
              <w:t>8</w:t>
            </w:r>
            <w:r>
              <w:rPr>
                <w:sz w:val="21"/>
              </w:rPr>
              <w:t>个月</w:t>
            </w:r>
          </w:p>
        </w:tc>
        <w:tc>
          <w:tcPr>
            <w:tcW w:w="1297" w:type="dxa"/>
          </w:tcPr>
          <w:p>
            <w:pPr>
              <w:pStyle w:val="TableParagraph"/>
              <w:spacing w:before="189"/>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9"/>
              <w:ind w:left="2"/>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9"/>
              <w:ind w:left="449"/>
              <w:rPr>
                <w:rFonts w:ascii="Times New Roman"/>
                <w:sz w:val="21"/>
              </w:rPr>
            </w:pPr>
            <w:r>
              <w:rPr>
                <w:rFonts w:ascii="Times New Roman"/>
                <w:sz w:val="21"/>
              </w:rPr>
              <w:t>30%</w:t>
            </w:r>
          </w:p>
        </w:tc>
      </w:tr>
      <w:tr>
        <w:trPr>
          <w:trHeight w:val="623" w:hRule="atLeast"/>
        </w:trPr>
        <w:tc>
          <w:tcPr>
            <w:tcW w:w="2459" w:type="dxa"/>
          </w:tcPr>
          <w:p>
            <w:pPr>
              <w:pStyle w:val="TableParagraph"/>
              <w:spacing w:before="144"/>
              <w:ind w:left="209" w:right="205"/>
              <w:jc w:val="center"/>
              <w:rPr>
                <w:sz w:val="21"/>
              </w:rPr>
            </w:pPr>
            <w:r>
              <w:rPr>
                <w:sz w:val="21"/>
              </w:rPr>
              <w:t>满</w:t>
            </w:r>
            <w:r>
              <w:rPr>
                <w:rFonts w:ascii="Times New Roman" w:eastAsia="Times New Roman"/>
                <w:sz w:val="21"/>
              </w:rPr>
              <w:t>6</w:t>
            </w:r>
            <w:r>
              <w:rPr>
                <w:sz w:val="21"/>
              </w:rPr>
              <w:t>个月但不满</w:t>
            </w:r>
            <w:r>
              <w:rPr>
                <w:rFonts w:ascii="Times New Roman" w:eastAsia="Times New Roman"/>
                <w:sz w:val="21"/>
              </w:rPr>
              <w:t>7</w:t>
            </w:r>
            <w:r>
              <w:rPr>
                <w:sz w:val="21"/>
              </w:rPr>
              <w:t>个月</w:t>
            </w:r>
          </w:p>
        </w:tc>
        <w:tc>
          <w:tcPr>
            <w:tcW w:w="1297" w:type="dxa"/>
          </w:tcPr>
          <w:p>
            <w:pPr>
              <w:pStyle w:val="TableParagraph"/>
              <w:spacing w:before="189"/>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9"/>
              <w:ind w:left="2"/>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9"/>
              <w:ind w:left="449"/>
              <w:rPr>
                <w:rFonts w:ascii="Times New Roman"/>
                <w:sz w:val="21"/>
              </w:rPr>
            </w:pPr>
            <w:r>
              <w:rPr>
                <w:rFonts w:ascii="Times New Roman"/>
                <w:sz w:val="21"/>
              </w:rPr>
              <w:t>25%</w:t>
            </w:r>
          </w:p>
        </w:tc>
      </w:tr>
      <w:tr>
        <w:trPr>
          <w:trHeight w:val="624" w:hRule="atLeast"/>
        </w:trPr>
        <w:tc>
          <w:tcPr>
            <w:tcW w:w="2459" w:type="dxa"/>
          </w:tcPr>
          <w:p>
            <w:pPr>
              <w:pStyle w:val="TableParagraph"/>
              <w:spacing w:before="145"/>
              <w:ind w:left="209" w:right="205"/>
              <w:jc w:val="center"/>
              <w:rPr>
                <w:sz w:val="21"/>
              </w:rPr>
            </w:pPr>
            <w:r>
              <w:rPr>
                <w:sz w:val="21"/>
              </w:rPr>
              <w:t>满</w:t>
            </w:r>
            <w:r>
              <w:rPr>
                <w:rFonts w:ascii="Times New Roman" w:eastAsia="Times New Roman"/>
                <w:sz w:val="21"/>
              </w:rPr>
              <w:t>5</w:t>
            </w:r>
            <w:r>
              <w:rPr>
                <w:sz w:val="21"/>
              </w:rPr>
              <w:t>个月但不满</w:t>
            </w:r>
            <w:r>
              <w:rPr>
                <w:rFonts w:ascii="Times New Roman" w:eastAsia="Times New Roman"/>
                <w:sz w:val="21"/>
              </w:rPr>
              <w:t>6</w:t>
            </w:r>
            <w:r>
              <w:rPr>
                <w:sz w:val="21"/>
              </w:rPr>
              <w:t>个月</w:t>
            </w:r>
          </w:p>
        </w:tc>
        <w:tc>
          <w:tcPr>
            <w:tcW w:w="1297" w:type="dxa"/>
          </w:tcPr>
          <w:p>
            <w:pPr>
              <w:pStyle w:val="TableParagraph"/>
              <w:spacing w:before="189"/>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9"/>
              <w:ind w:left="307" w:right="302"/>
              <w:jc w:val="center"/>
              <w:rPr>
                <w:rFonts w:ascii="Times New Roman"/>
                <w:sz w:val="21"/>
              </w:rPr>
            </w:pPr>
            <w:r>
              <w:rPr>
                <w:rFonts w:ascii="Times New Roman"/>
                <w:sz w:val="21"/>
              </w:rPr>
              <w:t>50%</w:t>
            </w:r>
          </w:p>
        </w:tc>
        <w:tc>
          <w:tcPr>
            <w:tcW w:w="1292" w:type="dxa"/>
          </w:tcPr>
          <w:p>
            <w:pPr>
              <w:pStyle w:val="TableParagraph"/>
              <w:spacing w:before="189"/>
              <w:ind w:left="449"/>
              <w:rPr>
                <w:rFonts w:ascii="Times New Roman"/>
                <w:sz w:val="21"/>
              </w:rPr>
            </w:pPr>
            <w:r>
              <w:rPr>
                <w:rFonts w:ascii="Times New Roman"/>
                <w:sz w:val="21"/>
              </w:rPr>
              <w:t>20%</w:t>
            </w:r>
          </w:p>
        </w:tc>
      </w:tr>
      <w:tr>
        <w:trPr>
          <w:trHeight w:val="623" w:hRule="atLeast"/>
        </w:trPr>
        <w:tc>
          <w:tcPr>
            <w:tcW w:w="2459" w:type="dxa"/>
          </w:tcPr>
          <w:p>
            <w:pPr>
              <w:pStyle w:val="TableParagraph"/>
              <w:spacing w:before="144"/>
              <w:ind w:left="209" w:right="205"/>
              <w:jc w:val="center"/>
              <w:rPr>
                <w:sz w:val="21"/>
              </w:rPr>
            </w:pPr>
            <w:r>
              <w:rPr>
                <w:sz w:val="21"/>
              </w:rPr>
              <w:t>满</w:t>
            </w:r>
            <w:r>
              <w:rPr>
                <w:rFonts w:ascii="Times New Roman" w:eastAsia="Times New Roman"/>
                <w:sz w:val="21"/>
              </w:rPr>
              <w:t>4</w:t>
            </w:r>
            <w:r>
              <w:rPr>
                <w:sz w:val="21"/>
              </w:rPr>
              <w:t>个月但不满</w:t>
            </w:r>
            <w:r>
              <w:rPr>
                <w:rFonts w:ascii="Times New Roman" w:eastAsia="Times New Roman"/>
                <w:sz w:val="21"/>
              </w:rPr>
              <w:t>5</w:t>
            </w:r>
            <w:r>
              <w:rPr>
                <w:sz w:val="21"/>
              </w:rPr>
              <w:t>个月</w:t>
            </w:r>
          </w:p>
        </w:tc>
        <w:tc>
          <w:tcPr>
            <w:tcW w:w="1297" w:type="dxa"/>
          </w:tcPr>
          <w:p>
            <w:pPr>
              <w:pStyle w:val="TableParagraph"/>
              <w:spacing w:before="189"/>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9"/>
              <w:ind w:left="307" w:right="302"/>
              <w:jc w:val="center"/>
              <w:rPr>
                <w:rFonts w:ascii="Times New Roman"/>
                <w:sz w:val="21"/>
              </w:rPr>
            </w:pPr>
            <w:r>
              <w:rPr>
                <w:rFonts w:ascii="Times New Roman"/>
                <w:sz w:val="21"/>
              </w:rPr>
              <w:t>40%</w:t>
            </w:r>
          </w:p>
        </w:tc>
        <w:tc>
          <w:tcPr>
            <w:tcW w:w="1292" w:type="dxa"/>
          </w:tcPr>
          <w:p>
            <w:pPr>
              <w:pStyle w:val="TableParagraph"/>
              <w:spacing w:before="189"/>
              <w:ind w:left="449"/>
              <w:rPr>
                <w:rFonts w:ascii="Times New Roman"/>
                <w:sz w:val="21"/>
              </w:rPr>
            </w:pPr>
            <w:r>
              <w:rPr>
                <w:rFonts w:ascii="Times New Roman"/>
                <w:sz w:val="21"/>
              </w:rPr>
              <w:t>15%</w:t>
            </w:r>
          </w:p>
        </w:tc>
      </w:tr>
      <w:tr>
        <w:trPr>
          <w:trHeight w:val="624" w:hRule="atLeast"/>
        </w:trPr>
        <w:tc>
          <w:tcPr>
            <w:tcW w:w="2459" w:type="dxa"/>
          </w:tcPr>
          <w:p>
            <w:pPr>
              <w:pStyle w:val="TableParagraph"/>
              <w:spacing w:before="144"/>
              <w:ind w:left="209" w:right="205"/>
              <w:jc w:val="center"/>
              <w:rPr>
                <w:sz w:val="21"/>
              </w:rPr>
            </w:pPr>
            <w:r>
              <w:rPr>
                <w:sz w:val="21"/>
              </w:rPr>
              <w:t>满</w:t>
            </w:r>
            <w:r>
              <w:rPr>
                <w:rFonts w:ascii="Times New Roman" w:eastAsia="Times New Roman"/>
                <w:sz w:val="21"/>
              </w:rPr>
              <w:t>3</w:t>
            </w:r>
            <w:r>
              <w:rPr>
                <w:sz w:val="21"/>
              </w:rPr>
              <w:t>个月但不满</w:t>
            </w:r>
            <w:r>
              <w:rPr>
                <w:rFonts w:ascii="Times New Roman" w:eastAsia="Times New Roman"/>
                <w:sz w:val="21"/>
              </w:rPr>
              <w:t>4</w:t>
            </w:r>
            <w:r>
              <w:rPr>
                <w:sz w:val="21"/>
              </w:rPr>
              <w:t>个月</w:t>
            </w:r>
          </w:p>
        </w:tc>
        <w:tc>
          <w:tcPr>
            <w:tcW w:w="1297" w:type="dxa"/>
          </w:tcPr>
          <w:p>
            <w:pPr>
              <w:pStyle w:val="TableParagraph"/>
              <w:spacing w:before="189"/>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9"/>
              <w:ind w:left="307" w:right="302"/>
              <w:jc w:val="center"/>
              <w:rPr>
                <w:rFonts w:ascii="Times New Roman"/>
                <w:sz w:val="21"/>
              </w:rPr>
            </w:pPr>
            <w:r>
              <w:rPr>
                <w:rFonts w:ascii="Times New Roman"/>
                <w:sz w:val="21"/>
              </w:rPr>
              <w:t>25%</w:t>
            </w:r>
          </w:p>
        </w:tc>
        <w:tc>
          <w:tcPr>
            <w:tcW w:w="1292" w:type="dxa"/>
          </w:tcPr>
          <w:p>
            <w:pPr>
              <w:pStyle w:val="TableParagraph"/>
              <w:spacing w:before="189"/>
              <w:ind w:left="449"/>
              <w:rPr>
                <w:rFonts w:ascii="Times New Roman"/>
                <w:sz w:val="21"/>
              </w:rPr>
            </w:pPr>
            <w:r>
              <w:rPr>
                <w:rFonts w:ascii="Times New Roman"/>
                <w:sz w:val="21"/>
              </w:rPr>
              <w:t>10%</w:t>
            </w:r>
          </w:p>
        </w:tc>
      </w:tr>
      <w:tr>
        <w:trPr>
          <w:trHeight w:val="628" w:hRule="atLeast"/>
        </w:trPr>
        <w:tc>
          <w:tcPr>
            <w:tcW w:w="2459" w:type="dxa"/>
          </w:tcPr>
          <w:p>
            <w:pPr>
              <w:pStyle w:val="TableParagraph"/>
              <w:spacing w:before="149"/>
              <w:ind w:left="209" w:right="205"/>
              <w:jc w:val="center"/>
              <w:rPr>
                <w:sz w:val="21"/>
              </w:rPr>
            </w:pPr>
            <w:r>
              <w:rPr>
                <w:sz w:val="21"/>
              </w:rPr>
              <w:t>满</w:t>
            </w:r>
            <w:r>
              <w:rPr>
                <w:rFonts w:ascii="Times New Roman" w:eastAsia="Times New Roman"/>
                <w:sz w:val="21"/>
              </w:rPr>
              <w:t>2</w:t>
            </w:r>
            <w:r>
              <w:rPr>
                <w:sz w:val="21"/>
              </w:rPr>
              <w:t>个月但不满</w:t>
            </w:r>
            <w:r>
              <w:rPr>
                <w:rFonts w:ascii="Times New Roman" w:eastAsia="Times New Roman"/>
                <w:sz w:val="21"/>
              </w:rPr>
              <w:t>3</w:t>
            </w:r>
            <w:r>
              <w:rPr>
                <w:sz w:val="21"/>
              </w:rPr>
              <w:t>个月</w:t>
            </w:r>
          </w:p>
        </w:tc>
        <w:tc>
          <w:tcPr>
            <w:tcW w:w="1297" w:type="dxa"/>
          </w:tcPr>
          <w:p>
            <w:pPr>
              <w:pStyle w:val="TableParagraph"/>
              <w:spacing w:before="189"/>
              <w:ind w:left="413" w:right="412"/>
              <w:jc w:val="center"/>
              <w:rPr>
                <w:rFonts w:ascii="Times New Roman"/>
                <w:sz w:val="21"/>
              </w:rPr>
            </w:pPr>
            <w:r>
              <w:rPr>
                <w:rFonts w:ascii="Times New Roman"/>
                <w:sz w:val="21"/>
              </w:rPr>
              <w:t>30%</w:t>
            </w:r>
          </w:p>
        </w:tc>
        <w:tc>
          <w:tcPr>
            <w:tcW w:w="1292" w:type="dxa"/>
          </w:tcPr>
          <w:p>
            <w:pPr>
              <w:pStyle w:val="TableParagraph"/>
              <w:spacing w:before="189"/>
              <w:ind w:left="307" w:right="302"/>
              <w:jc w:val="center"/>
              <w:rPr>
                <w:rFonts w:ascii="Times New Roman"/>
                <w:sz w:val="21"/>
              </w:rPr>
            </w:pPr>
            <w:r>
              <w:rPr>
                <w:rFonts w:ascii="Times New Roman"/>
                <w:sz w:val="21"/>
              </w:rPr>
              <w:t>15%</w:t>
            </w:r>
          </w:p>
        </w:tc>
        <w:tc>
          <w:tcPr>
            <w:tcW w:w="1292" w:type="dxa"/>
          </w:tcPr>
          <w:p>
            <w:pPr>
              <w:pStyle w:val="TableParagraph"/>
              <w:spacing w:before="189"/>
              <w:ind w:left="502"/>
              <w:rPr>
                <w:rFonts w:ascii="Times New Roman"/>
                <w:sz w:val="21"/>
              </w:rPr>
            </w:pPr>
            <w:r>
              <w:rPr>
                <w:rFonts w:ascii="Times New Roman"/>
                <w:sz w:val="21"/>
              </w:rPr>
              <w:t>5%</w:t>
            </w:r>
          </w:p>
        </w:tc>
      </w:tr>
      <w:tr>
        <w:trPr>
          <w:trHeight w:val="623" w:hRule="atLeast"/>
        </w:trPr>
        <w:tc>
          <w:tcPr>
            <w:tcW w:w="2459" w:type="dxa"/>
          </w:tcPr>
          <w:p>
            <w:pPr>
              <w:pStyle w:val="TableParagraph"/>
              <w:spacing w:before="144"/>
              <w:ind w:left="209" w:right="201"/>
              <w:jc w:val="center"/>
              <w:rPr>
                <w:sz w:val="21"/>
              </w:rPr>
            </w:pPr>
            <w:r>
              <w:rPr>
                <w:sz w:val="21"/>
              </w:rPr>
              <w:t>不满</w:t>
            </w:r>
            <w:r>
              <w:rPr>
                <w:rFonts w:ascii="Times New Roman" w:eastAsia="Times New Roman"/>
                <w:sz w:val="21"/>
              </w:rPr>
              <w:t>2</w:t>
            </w:r>
            <w:r>
              <w:rPr>
                <w:sz w:val="21"/>
              </w:rPr>
              <w:t>个月</w:t>
            </w:r>
          </w:p>
        </w:tc>
        <w:tc>
          <w:tcPr>
            <w:tcW w:w="1297" w:type="dxa"/>
          </w:tcPr>
          <w:p>
            <w:pPr>
              <w:pStyle w:val="TableParagraph"/>
              <w:spacing w:before="184"/>
              <w:ind w:left="413" w:right="412"/>
              <w:jc w:val="center"/>
              <w:rPr>
                <w:rFonts w:ascii="Times New Roman"/>
                <w:sz w:val="21"/>
              </w:rPr>
            </w:pPr>
            <w:r>
              <w:rPr>
                <w:rFonts w:ascii="Times New Roman"/>
                <w:sz w:val="21"/>
              </w:rPr>
              <w:t>10%</w:t>
            </w:r>
          </w:p>
        </w:tc>
        <w:tc>
          <w:tcPr>
            <w:tcW w:w="1292" w:type="dxa"/>
          </w:tcPr>
          <w:p>
            <w:pPr>
              <w:pStyle w:val="TableParagraph"/>
              <w:spacing w:before="184"/>
              <w:ind w:left="307" w:right="302"/>
              <w:jc w:val="center"/>
              <w:rPr>
                <w:rFonts w:ascii="Times New Roman"/>
                <w:sz w:val="21"/>
              </w:rPr>
            </w:pPr>
            <w:r>
              <w:rPr>
                <w:rFonts w:ascii="Times New Roman"/>
                <w:sz w:val="21"/>
              </w:rPr>
              <w:t>5%</w:t>
            </w:r>
          </w:p>
        </w:tc>
        <w:tc>
          <w:tcPr>
            <w:tcW w:w="1292" w:type="dxa"/>
          </w:tcPr>
          <w:p>
            <w:pPr>
              <w:pStyle w:val="TableParagraph"/>
              <w:spacing w:before="184"/>
              <w:ind w:left="420"/>
              <w:rPr>
                <w:rFonts w:ascii="Times New Roman"/>
                <w:sz w:val="21"/>
              </w:rPr>
            </w:pPr>
            <w:r>
              <w:rPr>
                <w:rFonts w:ascii="Times New Roman"/>
                <w:sz w:val="21"/>
              </w:rPr>
              <w:t>2.5%</w:t>
            </w:r>
          </w:p>
        </w:tc>
      </w:tr>
    </w:tbl>
    <w:p>
      <w:pPr>
        <w:pStyle w:val="BodyText"/>
        <w:spacing w:line="384" w:lineRule="exact" w:before="15"/>
      </w:pPr>
      <w:r>
        <w:rPr/>
        <w:t>感染艾滋病病毒或</w:t>
      </w:r>
      <w:r>
        <w:rPr>
          <w:position w:val="-12"/>
        </w:rPr>
        <w:t>： </w:t>
      </w:r>
      <w:r>
        <w:rPr/>
        <w:t>艾滋病病毒指人类免疫缺陷病毒，英文缩写为 </w:t>
      </w:r>
      <w:r>
        <w:rPr>
          <w:rFonts w:ascii="Times New Roman" w:eastAsia="Times New Roman"/>
        </w:rPr>
        <w:t>HIV</w:t>
      </w:r>
      <w:r>
        <w:rPr/>
        <w:t>。艾滋病指人类免疫缺陷病毒引</w:t>
      </w:r>
    </w:p>
    <w:p>
      <w:pPr>
        <w:spacing w:after="0" w:line="384" w:lineRule="exact"/>
        <w:sectPr>
          <w:pgSz w:w="11910" w:h="16840"/>
          <w:pgMar w:header="0" w:footer="219" w:top="1080" w:bottom="400" w:left="1020" w:right="1060"/>
        </w:sectPr>
      </w:pPr>
    </w:p>
    <w:p>
      <w:pPr>
        <w:pStyle w:val="BodyText"/>
        <w:spacing w:line="255" w:lineRule="exact"/>
      </w:pPr>
      <w:r>
        <w:rPr/>
        <w:t>患艾滋病</w:t>
      </w:r>
    </w:p>
    <w:p>
      <w:pPr>
        <w:pStyle w:val="BodyText"/>
        <w:spacing w:line="271" w:lineRule="exact"/>
      </w:pPr>
      <w:r>
        <w:rPr/>
        <w:br w:type="column"/>
      </w:r>
      <w:r>
        <w:rPr/>
        <w:t>起的获得性免疫缺陷综合征，英文缩写为 </w:t>
      </w:r>
      <w:r>
        <w:rPr>
          <w:rFonts w:ascii="Times New Roman" w:eastAsia="Times New Roman"/>
        </w:rPr>
        <w:t>AIDS</w:t>
      </w:r>
      <w:r>
        <w:rPr/>
        <w:t>。</w:t>
      </w:r>
    </w:p>
    <w:p>
      <w:pPr>
        <w:pStyle w:val="BodyText"/>
        <w:spacing w:line="319" w:lineRule="auto" w:before="74"/>
        <w:ind w:left="118" w:right="161"/>
      </w:pPr>
      <w:r>
        <w:rPr>
          <w:spacing w:val="-8"/>
        </w:rPr>
        <w:t>在人体血液或其他样本中检测到艾滋病病毒或其抗体呈阳性，没有出现临床症状或</w:t>
      </w:r>
      <w:r>
        <w:rPr>
          <w:spacing w:val="-16"/>
        </w:rPr>
        <w:t>体征的，为感染艾滋病病毒；如果同时出现了明显临床症状或体征的，为患艾滋病</w:t>
      </w:r>
    </w:p>
    <w:p>
      <w:pPr>
        <w:spacing w:after="0" w:line="319" w:lineRule="auto"/>
        <w:sectPr>
          <w:type w:val="continuous"/>
          <w:pgSz w:w="11910" w:h="16840"/>
          <w:pgMar w:top="840" w:bottom="400" w:left="1020" w:right="1060"/>
          <w:cols w:num="2" w:equalWidth="0">
            <w:col w:w="959" w:space="1087"/>
            <w:col w:w="7784"/>
          </w:cols>
        </w:sectPr>
      </w:pPr>
    </w:p>
    <w:p>
      <w:pPr>
        <w:pStyle w:val="BodyText"/>
        <w:tabs>
          <w:tab w:pos="1913" w:val="left" w:leader="none"/>
        </w:tabs>
        <w:spacing w:line="216" w:lineRule="auto" w:before="40"/>
        <w:ind w:left="2158" w:right="98" w:hanging="2046"/>
      </w:pPr>
      <w:r>
        <w:rPr/>
        <w:t>遗传性疾病</w:t>
        <w:tab/>
      </w:r>
      <w:r>
        <w:rPr>
          <w:position w:val="-12"/>
        </w:rPr>
        <w:t>：</w:t>
      </w:r>
      <w:r>
        <w:rPr>
          <w:spacing w:val="-27"/>
          <w:position w:val="-12"/>
        </w:rPr>
        <w:t> </w:t>
      </w:r>
      <w:r>
        <w:rPr/>
        <w:t>指生殖细</w:t>
      </w:r>
      <w:r>
        <w:rPr>
          <w:spacing w:val="-5"/>
        </w:rPr>
        <w:t>胞</w:t>
      </w:r>
      <w:r>
        <w:rPr/>
        <w:t>或受精</w:t>
      </w:r>
      <w:r>
        <w:rPr>
          <w:spacing w:val="-5"/>
        </w:rPr>
        <w:t>卵</w:t>
      </w:r>
      <w:r>
        <w:rPr/>
        <w:t>的遗传</w:t>
      </w:r>
      <w:r>
        <w:rPr>
          <w:spacing w:val="-5"/>
        </w:rPr>
        <w:t>物</w:t>
      </w:r>
      <w:r>
        <w:rPr/>
        <w:t>质（染</w:t>
      </w:r>
      <w:r>
        <w:rPr>
          <w:spacing w:val="-5"/>
        </w:rPr>
        <w:t>色</w:t>
      </w:r>
      <w:r>
        <w:rPr/>
        <w:t>体和基</w:t>
      </w:r>
      <w:r>
        <w:rPr>
          <w:spacing w:val="-5"/>
        </w:rPr>
        <w:t>因</w:t>
      </w:r>
      <w:r>
        <w:rPr/>
        <w:t>）</w:t>
      </w:r>
      <w:r>
        <w:rPr>
          <w:spacing w:val="-5"/>
        </w:rPr>
        <w:t>发</w:t>
      </w:r>
      <w:r>
        <w:rPr/>
        <w:t>生突变或</w:t>
      </w:r>
      <w:r>
        <w:rPr>
          <w:spacing w:val="-5"/>
        </w:rPr>
        <w:t>畸</w:t>
      </w:r>
      <w:r>
        <w:rPr/>
        <w:t>变所引</w:t>
      </w:r>
      <w:r>
        <w:rPr>
          <w:spacing w:val="-5"/>
        </w:rPr>
        <w:t>起</w:t>
      </w:r>
      <w:r>
        <w:rPr/>
        <w:t>的疾病，通常具有</w:t>
      </w:r>
      <w:r>
        <w:rPr>
          <w:spacing w:val="-5"/>
        </w:rPr>
        <w:t>由</w:t>
      </w:r>
      <w:r>
        <w:rPr/>
        <w:t>亲代传</w:t>
      </w:r>
      <w:r>
        <w:rPr>
          <w:spacing w:val="-5"/>
        </w:rPr>
        <w:t>至</w:t>
      </w:r>
      <w:r>
        <w:rPr/>
        <w:t>后代的</w:t>
      </w:r>
      <w:r>
        <w:rPr>
          <w:spacing w:val="-5"/>
        </w:rPr>
        <w:t>垂</w:t>
      </w:r>
      <w:r>
        <w:rPr/>
        <w:t>直传递</w:t>
      </w:r>
      <w:r>
        <w:rPr>
          <w:spacing w:val="-5"/>
        </w:rPr>
        <w:t>的</w:t>
      </w:r>
      <w:r>
        <w:rPr/>
        <w:t>特征。</w:t>
      </w:r>
    </w:p>
    <w:p>
      <w:pPr>
        <w:pStyle w:val="BodyText"/>
        <w:spacing w:line="384" w:lineRule="exact" w:before="90"/>
      </w:pPr>
      <w:r>
        <w:rPr>
          <w:spacing w:val="-13"/>
        </w:rPr>
        <w:t>先天性畸形、变形或</w:t>
      </w:r>
      <w:r>
        <w:rPr>
          <w:spacing w:val="-6"/>
          <w:position w:val="-12"/>
        </w:rPr>
        <w:t>： </w:t>
      </w:r>
      <w:r>
        <w:rPr>
          <w:spacing w:val="-7"/>
        </w:rPr>
        <w:t>指被保险人出生时就具有的畸形、变形或染色体异常。先天性畸形、变形和染色体</w:t>
      </w:r>
    </w:p>
    <w:p>
      <w:pPr>
        <w:pStyle w:val="BodyText"/>
        <w:tabs>
          <w:tab w:pos="2163" w:val="left" w:leader="none"/>
        </w:tabs>
        <w:spacing w:line="271" w:lineRule="exact"/>
      </w:pPr>
      <w:r>
        <w:rPr/>
        <w:t>染色体异常</w:t>
        <w:tab/>
      </w:r>
      <w:r>
        <w:rPr>
          <w:spacing w:val="-1"/>
        </w:rPr>
        <w:t>异常依照</w:t>
      </w:r>
      <w:r>
        <w:rPr>
          <w:spacing w:val="-5"/>
        </w:rPr>
        <w:t>世</w:t>
      </w:r>
      <w:r>
        <w:rPr>
          <w:spacing w:val="-1"/>
        </w:rPr>
        <w:t>界卫生</w:t>
      </w:r>
      <w:r>
        <w:rPr>
          <w:spacing w:val="-5"/>
        </w:rPr>
        <w:t>组</w:t>
      </w:r>
      <w:r>
        <w:rPr/>
        <w:t>织《疾</w:t>
      </w:r>
      <w:r>
        <w:rPr>
          <w:spacing w:val="-5"/>
        </w:rPr>
        <w:t>病</w:t>
      </w:r>
      <w:r>
        <w:rPr/>
        <w:t>和有关</w:t>
      </w:r>
      <w:r>
        <w:rPr>
          <w:spacing w:val="-5"/>
        </w:rPr>
        <w:t>健</w:t>
      </w:r>
      <w:r>
        <w:rPr/>
        <w:t>康问题</w:t>
      </w:r>
      <w:r>
        <w:rPr>
          <w:spacing w:val="-5"/>
        </w:rPr>
        <w:t>的</w:t>
      </w:r>
      <w:r>
        <w:rPr/>
        <w:t>国</w:t>
      </w:r>
      <w:r>
        <w:rPr>
          <w:spacing w:val="-5"/>
        </w:rPr>
        <w:t>际</w:t>
      </w:r>
      <w:r>
        <w:rPr/>
        <w:t>统计分类</w:t>
      </w:r>
      <w:r>
        <w:rPr>
          <w:spacing w:val="-106"/>
        </w:rPr>
        <w:t>》</w:t>
      </w:r>
      <w:r>
        <w:rPr/>
        <w:t>（</w:t>
      </w:r>
      <w:r>
        <w:rPr>
          <w:rFonts w:ascii="Times New Roman" w:eastAsia="Times New Roman"/>
        </w:rPr>
        <w:t>ICD-10</w:t>
      </w:r>
      <w:r>
        <w:rPr/>
        <w:t>）</w:t>
      </w:r>
      <w:r>
        <w:rPr>
          <w:spacing w:val="-5"/>
        </w:rPr>
        <w:t>确</w:t>
      </w:r>
      <w:r>
        <w:rPr/>
        <w:t>定。</w:t>
      </w:r>
    </w:p>
    <w:p>
      <w:pPr>
        <w:pStyle w:val="BodyText"/>
        <w:tabs>
          <w:tab w:pos="1913" w:val="left" w:leader="none"/>
        </w:tabs>
        <w:spacing w:line="432" w:lineRule="auto" w:before="74"/>
        <w:ind w:right="2824"/>
      </w:pPr>
      <w:r>
        <w:rPr/>
        <w:t>周岁</w:t>
        <w:tab/>
      </w:r>
      <w:r>
        <w:rPr>
          <w:position w:val="-12"/>
        </w:rPr>
        <w:t>：</w:t>
      </w:r>
      <w:r>
        <w:rPr>
          <w:spacing w:val="-39"/>
          <w:position w:val="-12"/>
        </w:rPr>
        <w:t> </w:t>
      </w:r>
      <w:r>
        <w:rPr/>
        <w:t>以法定身</w:t>
      </w:r>
      <w:r>
        <w:rPr>
          <w:spacing w:val="-5"/>
        </w:rPr>
        <w:t>份</w:t>
      </w:r>
      <w:r>
        <w:rPr/>
        <w:t>证明文</w:t>
      </w:r>
      <w:r>
        <w:rPr>
          <w:spacing w:val="-5"/>
        </w:rPr>
        <w:t>件</w:t>
      </w:r>
      <w:r>
        <w:rPr/>
        <w:t>中记载</w:t>
      </w:r>
      <w:r>
        <w:rPr>
          <w:spacing w:val="-5"/>
        </w:rPr>
        <w:t>的</w:t>
      </w:r>
      <w:r>
        <w:rPr/>
        <w:t>出生日</w:t>
      </w:r>
      <w:r>
        <w:rPr>
          <w:spacing w:val="-5"/>
        </w:rPr>
        <w:t>期</w:t>
      </w:r>
      <w:r>
        <w:rPr/>
        <w:t>为计算</w:t>
      </w:r>
      <w:r>
        <w:rPr>
          <w:spacing w:val="-5"/>
        </w:rPr>
        <w:t>基</w:t>
      </w:r>
      <w:r>
        <w:rPr/>
        <w:t>础。专科医生</w:t>
        <w:tab/>
        <w:t>：</w:t>
      </w:r>
      <w:r>
        <w:rPr>
          <w:spacing w:val="-28"/>
        </w:rPr>
        <w:t> </w:t>
      </w:r>
      <w:r>
        <w:rPr/>
        <w:t>专科医生</w:t>
      </w:r>
      <w:r>
        <w:rPr>
          <w:spacing w:val="-5"/>
        </w:rPr>
        <w:t>应</w:t>
      </w:r>
      <w:r>
        <w:rPr/>
        <w:t>当同时</w:t>
      </w:r>
      <w:r>
        <w:rPr>
          <w:spacing w:val="-5"/>
        </w:rPr>
        <w:t>满</w:t>
      </w:r>
      <w:r>
        <w:rPr/>
        <w:t>足以下</w:t>
      </w:r>
      <w:r>
        <w:rPr>
          <w:spacing w:val="-5"/>
        </w:rPr>
        <w:t>四</w:t>
      </w:r>
      <w:r>
        <w:rPr/>
        <w:t>项资格</w:t>
      </w:r>
      <w:r>
        <w:rPr>
          <w:spacing w:val="-5"/>
        </w:rPr>
        <w:t>条</w:t>
      </w:r>
      <w:r>
        <w:rPr/>
        <w:t>件：</w:t>
      </w:r>
    </w:p>
    <w:p>
      <w:pPr>
        <w:pStyle w:val="ListParagraph"/>
        <w:numPr>
          <w:ilvl w:val="1"/>
          <w:numId w:val="3"/>
        </w:numPr>
        <w:tabs>
          <w:tab w:pos="2899" w:val="left" w:leader="none"/>
        </w:tabs>
        <w:spacing w:line="217" w:lineRule="exact" w:before="0" w:after="0"/>
        <w:ind w:left="2898" w:right="0" w:hanging="720"/>
        <w:jc w:val="left"/>
        <w:rPr>
          <w:sz w:val="21"/>
        </w:rPr>
      </w:pPr>
      <w:r>
        <w:rPr>
          <w:spacing w:val="-10"/>
          <w:sz w:val="21"/>
        </w:rPr>
        <w:t>具有有效的中华人民共和国《医师资格证书》；</w:t>
      </w:r>
    </w:p>
    <w:p>
      <w:pPr>
        <w:pStyle w:val="ListParagraph"/>
        <w:numPr>
          <w:ilvl w:val="1"/>
          <w:numId w:val="3"/>
        </w:numPr>
        <w:tabs>
          <w:tab w:pos="2899" w:val="left" w:leader="none"/>
        </w:tabs>
        <w:spacing w:line="240" w:lineRule="auto" w:before="74" w:after="0"/>
        <w:ind w:left="2898" w:right="0" w:hanging="720"/>
        <w:jc w:val="left"/>
        <w:rPr>
          <w:sz w:val="21"/>
        </w:rPr>
      </w:pPr>
      <w:r>
        <w:rPr>
          <w:spacing w:val="-19"/>
          <w:sz w:val="21"/>
        </w:rPr>
        <w:t>具有有效的中华人民共和国《医师执业证书》，并按期到相关部门登记注册</w:t>
      </w:r>
    </w:p>
    <w:p>
      <w:pPr>
        <w:pStyle w:val="ListParagraph"/>
        <w:numPr>
          <w:ilvl w:val="1"/>
          <w:numId w:val="3"/>
        </w:numPr>
        <w:tabs>
          <w:tab w:pos="2899" w:val="left" w:leader="none"/>
        </w:tabs>
        <w:spacing w:line="302" w:lineRule="auto" w:before="74" w:after="0"/>
        <w:ind w:left="2898" w:right="165" w:hanging="720"/>
        <w:jc w:val="left"/>
        <w:rPr>
          <w:sz w:val="21"/>
        </w:rPr>
      </w:pPr>
      <w:r>
        <w:rPr>
          <w:sz w:val="21"/>
        </w:rPr>
        <w:t>具有有效的中华人民共和国主治医师或主治医师以上职称的《医师职称证</w:t>
      </w:r>
      <w:r>
        <w:rPr>
          <w:spacing w:val="-36"/>
          <w:sz w:val="21"/>
        </w:rPr>
        <w:t>书》；</w:t>
      </w:r>
    </w:p>
    <w:p>
      <w:pPr>
        <w:pStyle w:val="ListParagraph"/>
        <w:numPr>
          <w:ilvl w:val="1"/>
          <w:numId w:val="3"/>
        </w:numPr>
        <w:tabs>
          <w:tab w:pos="2899" w:val="left" w:leader="none"/>
        </w:tabs>
        <w:spacing w:line="240" w:lineRule="auto" w:before="40" w:after="0"/>
        <w:ind w:left="2898" w:right="0" w:hanging="720"/>
        <w:jc w:val="left"/>
        <w:rPr>
          <w:sz w:val="21"/>
        </w:rPr>
      </w:pPr>
      <w:r>
        <w:rPr>
          <w:spacing w:val="-5"/>
          <w:sz w:val="21"/>
        </w:rPr>
        <w:t>在二级或二级以上医院的相应科室从事临床工作三年以上。</w:t>
      </w:r>
    </w:p>
    <w:p>
      <w:pPr>
        <w:pStyle w:val="BodyText"/>
        <w:spacing w:line="319" w:lineRule="auto" w:before="74"/>
        <w:ind w:left="2207" w:right="158" w:hanging="2094"/>
      </w:pPr>
      <w:r>
        <w:rPr>
          <w:spacing w:val="-8"/>
        </w:rPr>
        <w:t>肢体机能完全丧失 ： 指肢体的三大关节中的两大关节僵硬，或不能随意识活动。肢体是指包括肩关节的</w:t>
      </w:r>
      <w:r>
        <w:rPr>
          <w:spacing w:val="-6"/>
        </w:rPr>
        <w:t>整个上肢或包括髋关节的整个下肢。</w:t>
      </w:r>
    </w:p>
    <w:p>
      <w:pPr>
        <w:pStyle w:val="BodyText"/>
        <w:spacing w:line="319" w:lineRule="auto" w:before="21"/>
        <w:ind w:left="2207" w:right="160" w:hanging="2094"/>
      </w:pPr>
      <w:r>
        <w:rPr>
          <w:spacing w:val="-4"/>
        </w:rPr>
        <w:t>语言能力完全丧失 ： 指无法发出四种语音</w:t>
      </w:r>
      <w:r>
        <w:rPr/>
        <w:t>（</w:t>
      </w:r>
      <w:r>
        <w:rPr>
          <w:spacing w:val="-6"/>
        </w:rPr>
        <w:t>包括口唇音、齿舌音、口盖音和喉头音</w:t>
      </w:r>
      <w:r>
        <w:rPr>
          <w:spacing w:val="-15"/>
        </w:rPr>
        <w:t>）</w:t>
      </w:r>
      <w:r>
        <w:rPr>
          <w:spacing w:val="-5"/>
        </w:rPr>
        <w:t>中的任何三种、或声带全部切除，或因大脑语言中枢受伤害而患失语症。</w:t>
      </w:r>
    </w:p>
    <w:p>
      <w:pPr>
        <w:spacing w:after="0" w:line="319" w:lineRule="auto"/>
        <w:sectPr>
          <w:type w:val="continuous"/>
          <w:pgSz w:w="11910" w:h="16840"/>
          <w:pgMar w:top="840" w:bottom="400" w:left="1020" w:right="10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96"/>
        <w:gridCol w:w="7753"/>
      </w:tblGrid>
      <w:tr>
        <w:trPr>
          <w:trHeight w:val="693" w:hRule="atLeast"/>
        </w:trPr>
        <w:tc>
          <w:tcPr>
            <w:tcW w:w="2002" w:type="dxa"/>
          </w:tcPr>
          <w:p>
            <w:pPr>
              <w:pStyle w:val="TableParagraph"/>
              <w:spacing w:line="255" w:lineRule="exact" w:before="0"/>
              <w:ind w:left="200" w:right="-15"/>
              <w:rPr>
                <w:sz w:val="21"/>
              </w:rPr>
            </w:pPr>
            <w:r>
              <w:rPr>
                <w:spacing w:val="10"/>
                <w:sz w:val="21"/>
              </w:rPr>
              <w:t>咀嚼吞咽能力完全</w:t>
            </w:r>
          </w:p>
          <w:p>
            <w:pPr>
              <w:pStyle w:val="TableParagraph"/>
              <w:spacing w:before="94"/>
              <w:ind w:left="200"/>
              <w:rPr>
                <w:sz w:val="21"/>
              </w:rPr>
            </w:pPr>
            <w:r>
              <w:rPr>
                <w:sz w:val="21"/>
              </w:rPr>
              <w:t>丧失</w:t>
            </w:r>
          </w:p>
        </w:tc>
        <w:tc>
          <w:tcPr>
            <w:tcW w:w="196" w:type="dxa"/>
          </w:tcPr>
          <w:p>
            <w:pPr>
              <w:pStyle w:val="TableParagraph"/>
              <w:spacing w:line="255" w:lineRule="exact" w:before="0"/>
              <w:ind w:left="-2" w:right="-15"/>
              <w:jc w:val="center"/>
              <w:rPr>
                <w:sz w:val="21"/>
              </w:rPr>
            </w:pPr>
            <w:r>
              <w:rPr>
                <w:w w:val="100"/>
                <w:sz w:val="21"/>
              </w:rPr>
              <w:t>：</w:t>
            </w:r>
          </w:p>
        </w:tc>
        <w:tc>
          <w:tcPr>
            <w:tcW w:w="7753" w:type="dxa"/>
          </w:tcPr>
          <w:p>
            <w:pPr>
              <w:pStyle w:val="TableParagraph"/>
              <w:spacing w:line="255" w:lineRule="exact" w:before="0"/>
              <w:ind w:left="66"/>
              <w:rPr>
                <w:sz w:val="21"/>
              </w:rPr>
            </w:pPr>
            <w:r>
              <w:rPr>
                <w:sz w:val="21"/>
              </w:rPr>
              <w:t>指因牙齿以外的原因导致器质障碍或机能障碍，以致不能作咀嚼吞咽运动，除流质</w:t>
            </w:r>
          </w:p>
          <w:p>
            <w:pPr>
              <w:pStyle w:val="TableParagraph"/>
              <w:spacing w:before="94"/>
              <w:ind w:left="95"/>
              <w:rPr>
                <w:sz w:val="21"/>
              </w:rPr>
            </w:pPr>
            <w:r>
              <w:rPr>
                <w:sz w:val="21"/>
              </w:rPr>
              <w:t>食物外不能摄取或吞咽的状态。</w:t>
            </w:r>
          </w:p>
        </w:tc>
      </w:tr>
      <w:tr>
        <w:trPr>
          <w:trHeight w:val="2559" w:hRule="atLeast"/>
        </w:trPr>
        <w:tc>
          <w:tcPr>
            <w:tcW w:w="2002" w:type="dxa"/>
          </w:tcPr>
          <w:p>
            <w:pPr>
              <w:pStyle w:val="TableParagraph"/>
              <w:spacing w:line="319" w:lineRule="auto"/>
              <w:ind w:left="200" w:right="-15"/>
              <w:rPr>
                <w:sz w:val="21"/>
              </w:rPr>
            </w:pPr>
            <w:r>
              <w:rPr>
                <w:spacing w:val="10"/>
                <w:sz w:val="21"/>
              </w:rPr>
              <w:t>六项基本日常生活活动</w:t>
            </w:r>
          </w:p>
        </w:tc>
        <w:tc>
          <w:tcPr>
            <w:tcW w:w="196" w:type="dxa"/>
          </w:tcPr>
          <w:p>
            <w:pPr>
              <w:pStyle w:val="TableParagraph"/>
              <w:ind w:left="-2" w:right="-15"/>
              <w:jc w:val="center"/>
              <w:rPr>
                <w:sz w:val="21"/>
              </w:rPr>
            </w:pPr>
            <w:r>
              <w:rPr>
                <w:w w:val="100"/>
                <w:sz w:val="21"/>
              </w:rPr>
              <w:t>：</w:t>
            </w:r>
          </w:p>
        </w:tc>
        <w:tc>
          <w:tcPr>
            <w:tcW w:w="7753" w:type="dxa"/>
          </w:tcPr>
          <w:p>
            <w:pPr>
              <w:pStyle w:val="TableParagraph"/>
              <w:ind w:left="66"/>
              <w:rPr>
                <w:sz w:val="21"/>
              </w:rPr>
            </w:pPr>
            <w:r>
              <w:rPr>
                <w:sz w:val="21"/>
              </w:rPr>
              <w:t>六项基本日常生活活动是指：</w:t>
            </w:r>
          </w:p>
          <w:p>
            <w:pPr>
              <w:pStyle w:val="TableParagraph"/>
              <w:numPr>
                <w:ilvl w:val="0"/>
                <w:numId w:val="4"/>
              </w:numPr>
              <w:tabs>
                <w:tab w:pos="591" w:val="left" w:leader="none"/>
              </w:tabs>
              <w:spacing w:line="240" w:lineRule="auto" w:before="89" w:after="0"/>
              <w:ind w:left="590" w:right="0" w:hanging="605"/>
              <w:jc w:val="left"/>
              <w:rPr>
                <w:sz w:val="21"/>
              </w:rPr>
            </w:pPr>
            <w:r>
              <w:rPr>
                <w:spacing w:val="-2"/>
                <w:sz w:val="21"/>
              </w:rPr>
              <w:t>穿衣：自己能够穿衣及脱衣；</w:t>
            </w:r>
          </w:p>
          <w:p>
            <w:pPr>
              <w:pStyle w:val="TableParagraph"/>
              <w:numPr>
                <w:ilvl w:val="0"/>
                <w:numId w:val="4"/>
              </w:numPr>
              <w:tabs>
                <w:tab w:pos="591" w:val="left" w:leader="none"/>
              </w:tabs>
              <w:spacing w:line="240" w:lineRule="auto" w:before="74" w:after="0"/>
              <w:ind w:left="590" w:right="0" w:hanging="605"/>
              <w:jc w:val="left"/>
              <w:rPr>
                <w:sz w:val="21"/>
              </w:rPr>
            </w:pPr>
            <w:r>
              <w:rPr>
                <w:spacing w:val="-3"/>
                <w:sz w:val="21"/>
              </w:rPr>
              <w:t>移动：自己从一个房间到另一个房间；</w:t>
            </w:r>
          </w:p>
          <w:p>
            <w:pPr>
              <w:pStyle w:val="TableParagraph"/>
              <w:numPr>
                <w:ilvl w:val="0"/>
                <w:numId w:val="4"/>
              </w:numPr>
              <w:tabs>
                <w:tab w:pos="591" w:val="left" w:leader="none"/>
              </w:tabs>
              <w:spacing w:line="240" w:lineRule="auto" w:before="74" w:after="0"/>
              <w:ind w:left="590" w:right="0" w:hanging="605"/>
              <w:jc w:val="left"/>
              <w:rPr>
                <w:sz w:val="21"/>
              </w:rPr>
            </w:pPr>
            <w:r>
              <w:rPr>
                <w:spacing w:val="-3"/>
                <w:sz w:val="21"/>
              </w:rPr>
              <w:t>行动：自己上下床或上下轮椅；</w:t>
            </w:r>
          </w:p>
          <w:p>
            <w:pPr>
              <w:pStyle w:val="TableParagraph"/>
              <w:numPr>
                <w:ilvl w:val="0"/>
                <w:numId w:val="4"/>
              </w:numPr>
              <w:tabs>
                <w:tab w:pos="591" w:val="left" w:leader="none"/>
              </w:tabs>
              <w:spacing w:line="240" w:lineRule="auto" w:before="79" w:after="0"/>
              <w:ind w:left="590" w:right="0" w:hanging="605"/>
              <w:jc w:val="left"/>
              <w:rPr>
                <w:sz w:val="21"/>
              </w:rPr>
            </w:pPr>
            <w:r>
              <w:rPr>
                <w:spacing w:val="-2"/>
                <w:sz w:val="21"/>
              </w:rPr>
              <w:t>如厕：自己控制进行大小便；</w:t>
            </w:r>
          </w:p>
          <w:p>
            <w:pPr>
              <w:pStyle w:val="TableParagraph"/>
              <w:numPr>
                <w:ilvl w:val="0"/>
                <w:numId w:val="4"/>
              </w:numPr>
              <w:tabs>
                <w:tab w:pos="591" w:val="left" w:leader="none"/>
              </w:tabs>
              <w:spacing w:line="240" w:lineRule="auto" w:before="74" w:after="0"/>
              <w:ind w:left="590" w:right="0" w:hanging="605"/>
              <w:jc w:val="left"/>
              <w:rPr>
                <w:sz w:val="21"/>
              </w:rPr>
            </w:pPr>
            <w:r>
              <w:rPr>
                <w:spacing w:val="-5"/>
                <w:sz w:val="21"/>
              </w:rPr>
              <w:t>进食：自己从已准备好的碗或碟中取食物放入口中；</w:t>
            </w:r>
          </w:p>
          <w:p>
            <w:pPr>
              <w:pStyle w:val="TableParagraph"/>
              <w:numPr>
                <w:ilvl w:val="0"/>
                <w:numId w:val="4"/>
              </w:numPr>
              <w:tabs>
                <w:tab w:pos="591" w:val="left" w:leader="none"/>
              </w:tabs>
              <w:spacing w:line="240" w:lineRule="auto" w:before="74" w:after="0"/>
              <w:ind w:left="590" w:right="0" w:hanging="605"/>
              <w:jc w:val="left"/>
              <w:rPr>
                <w:sz w:val="21"/>
              </w:rPr>
            </w:pPr>
            <w:r>
              <w:rPr>
                <w:spacing w:val="-2"/>
                <w:sz w:val="21"/>
              </w:rPr>
              <w:t>洗澡：自己进行淋浴或盆浴。</w:t>
            </w:r>
          </w:p>
        </w:tc>
      </w:tr>
      <w:tr>
        <w:trPr>
          <w:trHeight w:val="688" w:hRule="atLeast"/>
        </w:trPr>
        <w:tc>
          <w:tcPr>
            <w:tcW w:w="2002" w:type="dxa"/>
          </w:tcPr>
          <w:p>
            <w:pPr>
              <w:pStyle w:val="TableParagraph"/>
              <w:ind w:left="200"/>
              <w:rPr>
                <w:sz w:val="21"/>
              </w:rPr>
            </w:pPr>
            <w:r>
              <w:rPr>
                <w:sz w:val="21"/>
              </w:rPr>
              <w:t>永久不可逆</w:t>
            </w:r>
          </w:p>
        </w:tc>
        <w:tc>
          <w:tcPr>
            <w:tcW w:w="196" w:type="dxa"/>
          </w:tcPr>
          <w:p>
            <w:pPr>
              <w:pStyle w:val="TableParagraph"/>
              <w:ind w:left="-2" w:right="-15"/>
              <w:jc w:val="center"/>
              <w:rPr>
                <w:sz w:val="21"/>
              </w:rPr>
            </w:pPr>
            <w:r>
              <w:rPr>
                <w:w w:val="100"/>
                <w:sz w:val="21"/>
              </w:rPr>
              <w:t>：</w:t>
            </w:r>
          </w:p>
        </w:tc>
        <w:tc>
          <w:tcPr>
            <w:tcW w:w="7753" w:type="dxa"/>
          </w:tcPr>
          <w:p>
            <w:pPr>
              <w:pStyle w:val="TableParagraph"/>
              <w:ind w:left="66"/>
              <w:rPr>
                <w:sz w:val="21"/>
              </w:rPr>
            </w:pPr>
            <w:r>
              <w:rPr>
                <w:sz w:val="21"/>
              </w:rPr>
              <w:t>指自疾病确诊或意外伤害发生之日起，经过积极治疗 </w:t>
            </w:r>
            <w:r>
              <w:rPr>
                <w:rFonts w:ascii="Times New Roman" w:eastAsia="Times New Roman"/>
                <w:sz w:val="21"/>
              </w:rPr>
              <w:t>180 </w:t>
            </w:r>
            <w:r>
              <w:rPr>
                <w:sz w:val="21"/>
              </w:rPr>
              <w:t>天，仍无法通过现有医疗</w:t>
            </w:r>
          </w:p>
          <w:p>
            <w:pPr>
              <w:pStyle w:val="TableParagraph"/>
              <w:spacing w:before="73"/>
              <w:ind w:left="95"/>
              <w:rPr>
                <w:sz w:val="21"/>
              </w:rPr>
            </w:pPr>
            <w:r>
              <w:rPr>
                <w:sz w:val="21"/>
              </w:rPr>
              <w:t>手段恢复。</w:t>
            </w:r>
          </w:p>
        </w:tc>
      </w:tr>
    </w:tbl>
    <w:sectPr>
      <w:pgSz w:w="11910" w:h="16840"/>
      <w:pgMar w:header="0" w:footer="219" w:top="860" w:bottom="400" w:left="8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15.993042pt;width:175.1pt;height:12.1pt;mso-position-horizontal-relative:page;mso-position-vertical-relative:page;z-index:-21232" type="#_x0000_t202" filled="false" stroked="false">
          <v:textbox inset="0,0,0,0">
            <w:txbxContent>
              <w:p>
                <w:pPr>
                  <w:spacing w:line="221" w:lineRule="exact" w:before="0"/>
                  <w:ind w:left="20" w:right="0" w:firstLine="0"/>
                  <w:jc w:val="left"/>
                  <w:rPr>
                    <w:sz w:val="18"/>
                  </w:rPr>
                </w:pPr>
                <w:r>
                  <w:rPr>
                    <w:spacing w:val="-5"/>
                    <w:sz w:val="18"/>
                  </w:rPr>
                  <w:t>《附加安心重大疾病保险》</w:t>
                </w:r>
                <w:r>
                  <w:rPr>
                    <w:rFonts w:ascii="Times New Roman" w:eastAsia="Times New Roman"/>
                    <w:spacing w:val="-3"/>
                    <w:sz w:val="18"/>
                  </w:rPr>
                  <w:t>2011 </w:t>
                </w:r>
                <w:r>
                  <w:rPr>
                    <w:spacing w:val="-16"/>
                    <w:sz w:val="18"/>
                  </w:rPr>
                  <w:t>年 </w:t>
                </w:r>
                <w:r>
                  <w:rPr>
                    <w:rFonts w:ascii="Times New Roman" w:eastAsia="Times New Roman"/>
                    <w:sz w:val="18"/>
                  </w:rPr>
                  <w:t>7 </w:t>
                </w:r>
                <w:r>
                  <w:rPr>
                    <w:spacing w:val="-2"/>
                    <w:sz w:val="18"/>
                  </w:rPr>
                  <w:t>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90" w:hanging="605"/>
        <w:jc w:val="left"/>
      </w:pPr>
      <w:rPr>
        <w:rFonts w:hint="default" w:ascii="宋体" w:hAnsi="宋体" w:eastAsia="宋体" w:cs="宋体"/>
        <w:w w:val="100"/>
        <w:sz w:val="21"/>
        <w:szCs w:val="21"/>
      </w:rPr>
    </w:lvl>
    <w:lvl w:ilvl="1">
      <w:start w:val="0"/>
      <w:numFmt w:val="bullet"/>
      <w:lvlText w:val="•"/>
      <w:lvlJc w:val="left"/>
      <w:pPr>
        <w:ind w:left="1315" w:hanging="605"/>
      </w:pPr>
      <w:rPr>
        <w:rFonts w:hint="default"/>
      </w:rPr>
    </w:lvl>
    <w:lvl w:ilvl="2">
      <w:start w:val="0"/>
      <w:numFmt w:val="bullet"/>
      <w:lvlText w:val="•"/>
      <w:lvlJc w:val="left"/>
      <w:pPr>
        <w:ind w:left="2030" w:hanging="605"/>
      </w:pPr>
      <w:rPr>
        <w:rFonts w:hint="default"/>
      </w:rPr>
    </w:lvl>
    <w:lvl w:ilvl="3">
      <w:start w:val="0"/>
      <w:numFmt w:val="bullet"/>
      <w:lvlText w:val="•"/>
      <w:lvlJc w:val="left"/>
      <w:pPr>
        <w:ind w:left="2745" w:hanging="605"/>
      </w:pPr>
      <w:rPr>
        <w:rFonts w:hint="default"/>
      </w:rPr>
    </w:lvl>
    <w:lvl w:ilvl="4">
      <w:start w:val="0"/>
      <w:numFmt w:val="bullet"/>
      <w:lvlText w:val="•"/>
      <w:lvlJc w:val="left"/>
      <w:pPr>
        <w:ind w:left="3461" w:hanging="605"/>
      </w:pPr>
      <w:rPr>
        <w:rFonts w:hint="default"/>
      </w:rPr>
    </w:lvl>
    <w:lvl w:ilvl="5">
      <w:start w:val="0"/>
      <w:numFmt w:val="bullet"/>
      <w:lvlText w:val="•"/>
      <w:lvlJc w:val="left"/>
      <w:pPr>
        <w:ind w:left="4176" w:hanging="605"/>
      </w:pPr>
      <w:rPr>
        <w:rFonts w:hint="default"/>
      </w:rPr>
    </w:lvl>
    <w:lvl w:ilvl="6">
      <w:start w:val="0"/>
      <w:numFmt w:val="bullet"/>
      <w:lvlText w:val="•"/>
      <w:lvlJc w:val="left"/>
      <w:pPr>
        <w:ind w:left="4891" w:hanging="605"/>
      </w:pPr>
      <w:rPr>
        <w:rFonts w:hint="default"/>
      </w:rPr>
    </w:lvl>
    <w:lvl w:ilvl="7">
      <w:start w:val="0"/>
      <w:numFmt w:val="bullet"/>
      <w:lvlText w:val="•"/>
      <w:lvlJc w:val="left"/>
      <w:pPr>
        <w:ind w:left="5607" w:hanging="605"/>
      </w:pPr>
      <w:rPr>
        <w:rFonts w:hint="default"/>
      </w:rPr>
    </w:lvl>
    <w:lvl w:ilvl="8">
      <w:start w:val="0"/>
      <w:numFmt w:val="bullet"/>
      <w:lvlText w:val="•"/>
      <w:lvlJc w:val="left"/>
      <w:pPr>
        <w:ind w:left="6322" w:hanging="605"/>
      </w:pPr>
      <w:rPr>
        <w:rFonts w:hint="default"/>
      </w:rPr>
    </w:lvl>
  </w:abstractNum>
  <w:abstractNum w:abstractNumId="2">
    <w:multiLevelType w:val="hybridMultilevel"/>
    <w:lvl w:ilvl="0">
      <w:start w:val="5"/>
      <w:numFmt w:val="decimal"/>
      <w:lvlText w:val="（%1）"/>
      <w:lvlJc w:val="left"/>
      <w:pPr>
        <w:ind w:left="642" w:hanging="529"/>
        <w:jc w:val="left"/>
      </w:pPr>
      <w:rPr>
        <w:rFonts w:hint="default" w:ascii="宋体" w:hAnsi="宋体" w:eastAsia="宋体" w:cs="宋体"/>
        <w:w w:val="100"/>
        <w:sz w:val="19"/>
        <w:szCs w:val="19"/>
      </w:rPr>
    </w:lvl>
    <w:lvl w:ilvl="1">
      <w:start w:val="1"/>
      <w:numFmt w:val="decimal"/>
      <w:lvlText w:val="（%2）"/>
      <w:lvlJc w:val="left"/>
      <w:pPr>
        <w:ind w:left="2898" w:hanging="720"/>
        <w:jc w:val="left"/>
      </w:pPr>
      <w:rPr>
        <w:rFonts w:hint="default" w:ascii="宋体" w:hAnsi="宋体" w:eastAsia="宋体" w:cs="宋体"/>
        <w:w w:val="100"/>
        <w:sz w:val="21"/>
        <w:szCs w:val="21"/>
      </w:rPr>
    </w:lvl>
    <w:lvl w:ilvl="2">
      <w:start w:val="0"/>
      <w:numFmt w:val="bullet"/>
      <w:lvlText w:val="•"/>
      <w:lvlJc w:val="left"/>
      <w:pPr>
        <w:ind w:left="3669" w:hanging="720"/>
      </w:pPr>
      <w:rPr>
        <w:rFonts w:hint="default"/>
      </w:rPr>
    </w:lvl>
    <w:lvl w:ilvl="3">
      <w:start w:val="0"/>
      <w:numFmt w:val="bullet"/>
      <w:lvlText w:val="•"/>
      <w:lvlJc w:val="left"/>
      <w:pPr>
        <w:ind w:left="4438" w:hanging="720"/>
      </w:pPr>
      <w:rPr>
        <w:rFonts w:hint="default"/>
      </w:rPr>
    </w:lvl>
    <w:lvl w:ilvl="4">
      <w:start w:val="0"/>
      <w:numFmt w:val="bullet"/>
      <w:lvlText w:val="•"/>
      <w:lvlJc w:val="left"/>
      <w:pPr>
        <w:ind w:left="5208" w:hanging="720"/>
      </w:pPr>
      <w:rPr>
        <w:rFonts w:hint="default"/>
      </w:rPr>
    </w:lvl>
    <w:lvl w:ilvl="5">
      <w:start w:val="0"/>
      <w:numFmt w:val="bullet"/>
      <w:lvlText w:val="•"/>
      <w:lvlJc w:val="left"/>
      <w:pPr>
        <w:ind w:left="5977" w:hanging="720"/>
      </w:pPr>
      <w:rPr>
        <w:rFonts w:hint="default"/>
      </w:rPr>
    </w:lvl>
    <w:lvl w:ilvl="6">
      <w:start w:val="0"/>
      <w:numFmt w:val="bullet"/>
      <w:lvlText w:val="•"/>
      <w:lvlJc w:val="left"/>
      <w:pPr>
        <w:ind w:left="6746" w:hanging="720"/>
      </w:pPr>
      <w:rPr>
        <w:rFonts w:hint="default"/>
      </w:rPr>
    </w:lvl>
    <w:lvl w:ilvl="7">
      <w:start w:val="0"/>
      <w:numFmt w:val="bullet"/>
      <w:lvlText w:val="•"/>
      <w:lvlJc w:val="left"/>
      <w:pPr>
        <w:ind w:left="7516" w:hanging="720"/>
      </w:pPr>
      <w:rPr>
        <w:rFonts w:hint="default"/>
      </w:rPr>
    </w:lvl>
    <w:lvl w:ilvl="8">
      <w:start w:val="0"/>
      <w:numFmt w:val="bullet"/>
      <w:lvlText w:val="•"/>
      <w:lvlJc w:val="left"/>
      <w:pPr>
        <w:ind w:left="8285" w:hanging="720"/>
      </w:pPr>
      <w:rPr>
        <w:rFonts w:hint="default"/>
      </w:rPr>
    </w:lvl>
  </w:abstractNum>
  <w:abstractNum w:abstractNumId="1">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18" w:hanging="360"/>
      </w:pPr>
      <w:rPr>
        <w:rFonts w:hint="default"/>
      </w:rPr>
    </w:lvl>
    <w:lvl w:ilvl="2">
      <w:start w:val="0"/>
      <w:numFmt w:val="bullet"/>
      <w:lvlText w:val="•"/>
      <w:lvlJc w:val="left"/>
      <w:pPr>
        <w:ind w:left="2356" w:hanging="360"/>
      </w:pPr>
      <w:rPr>
        <w:rFonts w:hint="default"/>
      </w:rPr>
    </w:lvl>
    <w:lvl w:ilvl="3">
      <w:start w:val="0"/>
      <w:numFmt w:val="bullet"/>
      <w:lvlText w:val="•"/>
      <w:lvlJc w:val="left"/>
      <w:pPr>
        <w:ind w:left="3295" w:hanging="360"/>
      </w:pPr>
      <w:rPr>
        <w:rFonts w:hint="default"/>
      </w:rPr>
    </w:lvl>
    <w:lvl w:ilvl="4">
      <w:start w:val="0"/>
      <w:numFmt w:val="bullet"/>
      <w:lvlText w:val="•"/>
      <w:lvlJc w:val="left"/>
      <w:pPr>
        <w:ind w:left="4233" w:hanging="360"/>
      </w:pPr>
      <w:rPr>
        <w:rFonts w:hint="default"/>
      </w:rPr>
    </w:lvl>
    <w:lvl w:ilvl="5">
      <w:start w:val="0"/>
      <w:numFmt w:val="bullet"/>
      <w:lvlText w:val="•"/>
      <w:lvlJc w:val="left"/>
      <w:pPr>
        <w:ind w:left="5172" w:hanging="360"/>
      </w:pPr>
      <w:rPr>
        <w:rFonts w:hint="default"/>
      </w:rPr>
    </w:lvl>
    <w:lvl w:ilvl="6">
      <w:start w:val="0"/>
      <w:numFmt w:val="bullet"/>
      <w:lvlText w:val="•"/>
      <w:lvlJc w:val="left"/>
      <w:pPr>
        <w:ind w:left="6110" w:hanging="360"/>
      </w:pPr>
      <w:rPr>
        <w:rFonts w:hint="default"/>
      </w:rPr>
    </w:lvl>
    <w:lvl w:ilvl="7">
      <w:start w:val="0"/>
      <w:numFmt w:val="bullet"/>
      <w:lvlText w:val="•"/>
      <w:lvlJc w:val="left"/>
      <w:pPr>
        <w:ind w:left="7048" w:hanging="360"/>
      </w:pPr>
      <w:rPr>
        <w:rFonts w:hint="default"/>
      </w:rPr>
    </w:lvl>
    <w:lvl w:ilvl="8">
      <w:start w:val="0"/>
      <w:numFmt w:val="bullet"/>
      <w:lvlText w:val="•"/>
      <w:lvlJc w:val="left"/>
      <w:pPr>
        <w:ind w:left="7987" w:hanging="360"/>
      </w:pPr>
      <w:rPr>
        <w:rFonts w:hint="default"/>
      </w:rPr>
    </w:lvl>
  </w:abstractNum>
  <w:abstractNum w:abstractNumId="0">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28" w:hanging="360"/>
      </w:pPr>
      <w:rPr>
        <w:rFonts w:hint="default"/>
      </w:rPr>
    </w:lvl>
    <w:lvl w:ilvl="2">
      <w:start w:val="0"/>
      <w:numFmt w:val="bullet"/>
      <w:lvlText w:val="•"/>
      <w:lvlJc w:val="left"/>
      <w:pPr>
        <w:ind w:left="2376" w:hanging="360"/>
      </w:pPr>
      <w:rPr>
        <w:rFonts w:hint="default"/>
      </w:rPr>
    </w:lvl>
    <w:lvl w:ilvl="3">
      <w:start w:val="0"/>
      <w:numFmt w:val="bullet"/>
      <w:lvlText w:val="•"/>
      <w:lvlJc w:val="left"/>
      <w:pPr>
        <w:ind w:left="3325" w:hanging="360"/>
      </w:pPr>
      <w:rPr>
        <w:rFonts w:hint="default"/>
      </w:rPr>
    </w:lvl>
    <w:lvl w:ilvl="4">
      <w:start w:val="0"/>
      <w:numFmt w:val="bullet"/>
      <w:lvlText w:val="•"/>
      <w:lvlJc w:val="left"/>
      <w:pPr>
        <w:ind w:left="4273" w:hanging="360"/>
      </w:pPr>
      <w:rPr>
        <w:rFonts w:hint="default"/>
      </w:rPr>
    </w:lvl>
    <w:lvl w:ilvl="5">
      <w:start w:val="0"/>
      <w:numFmt w:val="bullet"/>
      <w:lvlText w:val="•"/>
      <w:lvlJc w:val="left"/>
      <w:pPr>
        <w:ind w:left="5222" w:hanging="360"/>
      </w:pPr>
      <w:rPr>
        <w:rFonts w:hint="default"/>
      </w:rPr>
    </w:lvl>
    <w:lvl w:ilvl="6">
      <w:start w:val="0"/>
      <w:numFmt w:val="bullet"/>
      <w:lvlText w:val="•"/>
      <w:lvlJc w:val="left"/>
      <w:pPr>
        <w:ind w:left="6170" w:hanging="360"/>
      </w:pPr>
      <w:rPr>
        <w:rFonts w:hint="default"/>
      </w:rPr>
    </w:lvl>
    <w:lvl w:ilvl="7">
      <w:start w:val="0"/>
      <w:numFmt w:val="bullet"/>
      <w:lvlText w:val="•"/>
      <w:lvlJc w:val="left"/>
      <w:pPr>
        <w:ind w:left="7118" w:hanging="360"/>
      </w:pPr>
      <w:rPr>
        <w:rFonts w:hint="default"/>
      </w:rPr>
    </w:lvl>
    <w:lvl w:ilvl="8">
      <w:start w:val="0"/>
      <w:numFmt w:val="bullet"/>
      <w:lvlText w:val="•"/>
      <w:lvlJc w:val="left"/>
      <w:pPr>
        <w:ind w:left="8067"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黑体" w:hAnsi="黑体" w:eastAsia="黑体" w:cs="黑体"/>
      <w:b/>
      <w:bCs/>
      <w:sz w:val="21"/>
      <w:szCs w:val="21"/>
    </w:rPr>
  </w:style>
  <w:style w:styleId="ListParagraph" w:type="paragraph">
    <w:name w:val="List Paragraph"/>
    <w:basedOn w:val="Normal"/>
    <w:uiPriority w:val="1"/>
    <w:qFormat/>
    <w:pPr>
      <w:spacing w:before="74"/>
      <w:ind w:left="473" w:hanging="360"/>
    </w:pPr>
    <w:rPr>
      <w:rFonts w:ascii="宋体" w:hAnsi="宋体" w:eastAsia="宋体" w:cs="宋体"/>
    </w:rPr>
  </w:style>
  <w:style w:styleId="TableParagraph" w:type="paragraph">
    <w:name w:val="Table Paragraph"/>
    <w:basedOn w:val="Normal"/>
    <w:uiPriority w:val="1"/>
    <w:qFormat/>
    <w:pPr>
      <w:spacing w:before="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Xu</dc:creator>
  <dc:title>太平洋安泰人寿保险有限公司</dc:title>
  <dcterms:created xsi:type="dcterms:W3CDTF">2018-10-19T22:52:11Z</dcterms:created>
  <dcterms:modified xsi:type="dcterms:W3CDTF">2018-10-19T22:52:11Z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Microsoft® Office Word 2007</vt:lpwstr>
  </property>
  <property fmtid="{D5CDD505-2E9C-101B-9397-08002B2CF9AE}" pid="4" name="LastSaved">
    <vt:filetime>2018-10-19T00:00:00Z</vt:filetime>
  </property>
</Properties>
</file>