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49" w:firstLine="0"/>
        <w:jc w:val="right"/>
        <w:rPr>
          <w:sz w:val="16"/>
        </w:rPr>
      </w:pPr>
      <w:r>
        <w:rPr/>
        <w:drawing>
          <wp:anchor distT="0" distB="0" distL="0" distR="0" allowOverlap="1" layoutInCell="1" locked="0" behindDoc="0" simplePos="0" relativeHeight="0">
            <wp:simplePos x="0" y="0"/>
            <wp:positionH relativeFrom="page">
              <wp:posOffset>6205854</wp:posOffset>
            </wp:positionH>
            <wp:positionV relativeFrom="paragraph">
              <wp:posOffset>233092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君康人寿[2016]疾病保险 046 号</w:t>
      </w:r>
    </w:p>
    <w:p>
      <w:pPr>
        <w:pStyle w:val="BodyText"/>
        <w:ind w:left="0" w:firstLine="0"/>
        <w:rPr>
          <w:sz w:val="20"/>
        </w:rPr>
      </w:pPr>
    </w:p>
    <w:p>
      <w:pPr>
        <w:pStyle w:val="BodyText"/>
        <w:ind w:left="0" w:firstLine="0"/>
        <w:rPr>
          <w:sz w:val="16"/>
        </w:rPr>
      </w:pPr>
    </w:p>
    <w:p>
      <w:pPr>
        <w:spacing w:after="0"/>
        <w:rPr>
          <w:sz w:val="16"/>
        </w:rPr>
        <w:sectPr>
          <w:type w:val="continuous"/>
          <w:pgSz w:w="11910" w:h="16840"/>
          <w:pgMar w:top="620" w:bottom="280" w:left="780" w:right="660"/>
        </w:sectPr>
      </w:pPr>
    </w:p>
    <w:p>
      <w:pPr>
        <w:spacing w:line="357" w:lineRule="auto" w:before="1"/>
        <w:ind w:left="4289" w:right="0" w:hanging="2331"/>
        <w:jc w:val="left"/>
        <w:rPr>
          <w:b/>
          <w:sz w:val="32"/>
        </w:rPr>
      </w:pPr>
      <w:r>
        <w:rPr>
          <w:b/>
          <w:w w:val="95"/>
          <w:sz w:val="32"/>
        </w:rPr>
        <w:t>君康附加投保人豁免保险费重大疾病保险条款 </w:t>
      </w:r>
      <w:r>
        <w:rPr>
          <w:b/>
          <w:spacing w:val="-1"/>
          <w:sz w:val="32"/>
        </w:rPr>
        <w:t>阅 读 指 引</w:t>
      </w:r>
    </w:p>
    <w:p>
      <w:pPr>
        <w:pStyle w:val="BodyText"/>
        <w:ind w:left="0" w:firstLine="0"/>
        <w:rPr>
          <w:b/>
          <w:sz w:val="14"/>
        </w:rPr>
      </w:pPr>
      <w:r>
        <w:rPr/>
        <w:br w:type="column"/>
      </w:r>
      <w:r>
        <w:rPr>
          <w:b/>
          <w:sz w:val="14"/>
        </w:rPr>
      </w:r>
    </w:p>
    <w:p>
      <w:pPr>
        <w:pStyle w:val="BodyText"/>
        <w:ind w:left="0" w:firstLine="0"/>
        <w:rPr>
          <w:b/>
          <w:sz w:val="14"/>
        </w:rPr>
      </w:pPr>
    </w:p>
    <w:p>
      <w:pPr>
        <w:pStyle w:val="BodyText"/>
        <w:ind w:left="0" w:firstLine="0"/>
        <w:rPr>
          <w:b/>
          <w:sz w:val="14"/>
        </w:rPr>
      </w:pPr>
    </w:p>
    <w:p>
      <w:pPr>
        <w:pStyle w:val="BodyText"/>
        <w:ind w:left="0" w:firstLine="0"/>
        <w:rPr>
          <w:b/>
          <w:sz w:val="14"/>
        </w:rPr>
      </w:pPr>
    </w:p>
    <w:p>
      <w:pPr>
        <w:pStyle w:val="BodyText"/>
        <w:spacing w:before="7"/>
        <w:ind w:left="0" w:firstLine="0"/>
        <w:rPr>
          <w:b/>
          <w:sz w:val="11"/>
        </w:rPr>
      </w:pPr>
    </w:p>
    <w:p>
      <w:pPr>
        <w:spacing w:before="0"/>
        <w:ind w:left="318" w:right="0" w:firstLine="0"/>
        <w:jc w:val="left"/>
        <w:rPr>
          <w:sz w:val="15"/>
        </w:rPr>
      </w:pPr>
      <w:r>
        <w:rPr>
          <w:sz w:val="15"/>
        </w:rPr>
        <w:t>请扫描以查询验证条款</w:t>
      </w:r>
    </w:p>
    <w:p>
      <w:pPr>
        <w:spacing w:after="0"/>
        <w:jc w:val="left"/>
        <w:rPr>
          <w:sz w:val="15"/>
        </w:rPr>
        <w:sectPr>
          <w:type w:val="continuous"/>
          <w:pgSz w:w="11910" w:h="16840"/>
          <w:pgMar w:top="620" w:bottom="280" w:left="780" w:right="660"/>
          <w:cols w:num="2" w:equalWidth="0">
            <w:col w:w="8388" w:space="40"/>
            <w:col w:w="2042"/>
          </w:cols>
        </w:sectPr>
      </w:pPr>
    </w:p>
    <w:p>
      <w:pPr>
        <w:pStyle w:val="BodyText"/>
        <w:spacing w:line="342" w:lineRule="exact"/>
        <w:ind w:left="864" w:firstLine="0"/>
        <w:rPr>
          <w:rFonts w:ascii="宋体" w:eastAsia="宋体" w:hint="eastAsia"/>
        </w:rPr>
      </w:pP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52"/>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2"/>
          <w:w w:val="100"/>
        </w:rPr>
        <w:t>引</w:t>
      </w:r>
      <w:r>
        <w:rPr>
          <w:rFonts w:ascii="宋体" w:eastAsia="宋体" w:hint="eastAsia"/>
          <w:spacing w:val="-63"/>
          <w:w w:val="100"/>
          <w:position w:val="-7"/>
        </w:rPr>
        <w:t>．</w:t>
      </w:r>
      <w:r>
        <w:rPr>
          <w:rFonts w:ascii="宋体" w:eastAsia="宋体" w:hint="eastAsia"/>
          <w:spacing w:val="-150"/>
          <w:w w:val="100"/>
        </w:rPr>
        <w:t>有</w:t>
      </w:r>
      <w:r>
        <w:rPr>
          <w:rFonts w:ascii="宋体" w:eastAsia="宋体" w:hint="eastAsia"/>
          <w:spacing w:val="-63"/>
          <w:w w:val="100"/>
          <w:position w:val="-7"/>
        </w:rPr>
        <w:t>．</w:t>
      </w:r>
      <w:r>
        <w:rPr>
          <w:rFonts w:ascii="宋体" w:eastAsia="宋体" w:hint="eastAsia"/>
          <w:spacing w:val="-152"/>
          <w:w w:val="100"/>
        </w:rPr>
        <w:t>助</w:t>
      </w:r>
      <w:r>
        <w:rPr>
          <w:rFonts w:ascii="宋体" w:eastAsia="宋体" w:hint="eastAsia"/>
          <w:spacing w:val="-63"/>
          <w:w w:val="100"/>
          <w:position w:val="-7"/>
        </w:rPr>
        <w:t>．</w:t>
      </w:r>
      <w:r>
        <w:rPr>
          <w:rFonts w:ascii="宋体" w:eastAsia="宋体" w:hint="eastAsia"/>
          <w:spacing w:val="-150"/>
          <w:w w:val="100"/>
        </w:rPr>
        <w:t>于</w:t>
      </w:r>
      <w:r>
        <w:rPr>
          <w:rFonts w:ascii="宋体" w:eastAsia="宋体" w:hint="eastAsia"/>
          <w:spacing w:val="-63"/>
          <w:w w:val="100"/>
          <w:position w:val="-7"/>
        </w:rPr>
        <w:t>．</w:t>
      </w:r>
      <w:r>
        <w:rPr>
          <w:rFonts w:ascii="宋体" w:eastAsia="宋体" w:hint="eastAsia"/>
          <w:spacing w:val="-152"/>
          <w:w w:val="100"/>
        </w:rPr>
        <w:t>您</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投</w:t>
      </w:r>
      <w:r>
        <w:rPr>
          <w:rFonts w:ascii="宋体" w:eastAsia="宋体" w:hint="eastAsia"/>
          <w:spacing w:val="-63"/>
          <w:w w:val="100"/>
          <w:position w:val="-7"/>
        </w:rPr>
        <w:t>．</w:t>
      </w:r>
      <w:r>
        <w:rPr>
          <w:rFonts w:ascii="宋体" w:eastAsia="宋体" w:hint="eastAsia"/>
          <w:spacing w:val="-149"/>
          <w:w w:val="100"/>
        </w:rPr>
        <w:t>保</w:t>
      </w:r>
      <w:r>
        <w:rPr>
          <w:rFonts w:ascii="宋体" w:eastAsia="宋体" w:hint="eastAsia"/>
          <w:spacing w:val="-63"/>
          <w:w w:val="100"/>
          <w:position w:val="-7"/>
        </w:rPr>
        <w:t>．</w:t>
      </w:r>
      <w:r>
        <w:rPr>
          <w:rFonts w:ascii="宋体" w:eastAsia="宋体" w:hint="eastAsia"/>
          <w:spacing w:val="-149"/>
          <w:w w:val="100"/>
        </w:rPr>
        <w:t>人</w:t>
      </w:r>
      <w:r>
        <w:rPr>
          <w:rFonts w:ascii="宋体" w:eastAsia="宋体" w:hint="eastAsia"/>
          <w:spacing w:val="-63"/>
          <w:w w:val="100"/>
          <w:position w:val="-7"/>
        </w:rPr>
        <w:t>．</w:t>
      </w:r>
      <w:r>
        <w:rPr>
          <w:rFonts w:ascii="宋体" w:eastAsia="宋体" w:hint="eastAsia"/>
          <w:spacing w:val="-151"/>
          <w:w w:val="100"/>
        </w:rPr>
        <w:t>，</w:t>
      </w:r>
      <w:r>
        <w:rPr>
          <w:rFonts w:ascii="宋体" w:eastAsia="宋体" w:hint="eastAsia"/>
          <w:spacing w:val="-63"/>
          <w:w w:val="100"/>
          <w:position w:val="-7"/>
        </w:rPr>
        <w:t>．</w:t>
      </w:r>
      <w:r>
        <w:rPr>
          <w:rFonts w:ascii="宋体" w:eastAsia="宋体" w:hint="eastAsia"/>
          <w:spacing w:val="-149"/>
          <w:w w:val="100"/>
        </w:rPr>
        <w:t>以</w:t>
      </w:r>
      <w:r>
        <w:rPr>
          <w:rFonts w:ascii="宋体" w:eastAsia="宋体" w:hint="eastAsia"/>
          <w:spacing w:val="-63"/>
          <w:w w:val="100"/>
          <w:position w:val="-7"/>
        </w:rPr>
        <w:t>．</w:t>
      </w:r>
      <w:r>
        <w:rPr>
          <w:rFonts w:ascii="宋体" w:eastAsia="宋体" w:hint="eastAsia"/>
          <w:spacing w:val="-151"/>
          <w:w w:val="100"/>
        </w:rPr>
        <w:t>下</w:t>
      </w:r>
      <w:r>
        <w:rPr>
          <w:rFonts w:ascii="宋体" w:eastAsia="宋体" w:hint="eastAsia"/>
          <w:spacing w:val="-63"/>
          <w:w w:val="100"/>
          <w:position w:val="-7"/>
        </w:rPr>
        <w:t>．</w:t>
      </w:r>
      <w:r>
        <w:rPr>
          <w:rFonts w:ascii="宋体" w:eastAsia="宋体" w:hint="eastAsia"/>
          <w:spacing w:val="-149"/>
          <w:w w:val="100"/>
        </w:rPr>
        <w:t>含</w:t>
      </w:r>
      <w:r>
        <w:rPr>
          <w:rFonts w:ascii="宋体" w:eastAsia="宋体" w:hint="eastAsia"/>
          <w:spacing w:val="-63"/>
          <w:w w:val="100"/>
          <w:position w:val="-7"/>
        </w:rPr>
        <w:t>．</w:t>
      </w:r>
      <w:r>
        <w:rPr>
          <w:rFonts w:ascii="宋体" w:eastAsia="宋体" w:hint="eastAsia"/>
          <w:spacing w:val="-151"/>
          <w:w w:val="100"/>
        </w:rPr>
        <w:t>义</w:t>
      </w:r>
      <w:r>
        <w:rPr>
          <w:rFonts w:ascii="宋体" w:eastAsia="宋体" w:hint="eastAsia"/>
          <w:spacing w:val="-63"/>
          <w:w w:val="100"/>
          <w:position w:val="-7"/>
        </w:rPr>
        <w:t>．</w:t>
      </w:r>
      <w:r>
        <w:rPr>
          <w:rFonts w:ascii="宋体" w:eastAsia="宋体" w:hint="eastAsia"/>
          <w:spacing w:val="-149"/>
          <w:w w:val="100"/>
        </w:rPr>
        <w:t>相</w:t>
      </w:r>
      <w:r>
        <w:rPr>
          <w:rFonts w:ascii="宋体" w:eastAsia="宋体" w:hint="eastAsia"/>
          <w:spacing w:val="-63"/>
          <w:w w:val="100"/>
          <w:position w:val="-7"/>
        </w:rPr>
        <w:t>．</w:t>
      </w:r>
      <w:r>
        <w:rPr>
          <w:rFonts w:ascii="宋体" w:eastAsia="宋体" w:hint="eastAsia"/>
          <w:spacing w:val="-151"/>
          <w:w w:val="100"/>
        </w:rPr>
        <w:t>同</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2"/>
          <w:w w:val="100"/>
        </w:rPr>
        <w:t>理</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对</w:t>
      </w:r>
      <w:r>
        <w:rPr>
          <w:rFonts w:ascii="宋体" w:eastAsia="宋体" w:hint="eastAsia"/>
          <w:spacing w:val="-63"/>
          <w:w w:val="100"/>
          <w:position w:val="-7"/>
        </w:rPr>
        <w:t>．</w:t>
      </w: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52"/>
          <w:w w:val="100"/>
        </w:rPr>
        <w:t>合</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52"/>
          <w:w w:val="100"/>
        </w:rPr>
        <w:t>内</w:t>
      </w:r>
      <w:r>
        <w:rPr>
          <w:rFonts w:ascii="宋体" w:eastAsia="宋体" w:hint="eastAsia"/>
          <w:spacing w:val="-63"/>
          <w:w w:val="100"/>
          <w:position w:val="-7"/>
        </w:rPr>
        <w:t>．</w:t>
      </w:r>
      <w:r>
        <w:rPr>
          <w:rFonts w:ascii="宋体" w:eastAsia="宋体" w:hint="eastAsia"/>
          <w:spacing w:val="-149"/>
          <w:w w:val="100"/>
        </w:rPr>
        <w:t>容</w:t>
      </w:r>
      <w:r>
        <w:rPr>
          <w:rFonts w:ascii="宋体" w:eastAsia="宋体" w:hint="eastAsia"/>
          <w:spacing w:val="-63"/>
          <w:w w:val="100"/>
          <w:position w:val="-7"/>
        </w:rPr>
        <w:t>．</w:t>
      </w:r>
      <w:r>
        <w:rPr>
          <w:rFonts w:ascii="宋体" w:eastAsia="宋体" w:hint="eastAsia"/>
          <w:spacing w:val="-152"/>
          <w:w w:val="100"/>
        </w:rPr>
        <w:t>的</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释</w:t>
      </w:r>
      <w:r>
        <w:rPr>
          <w:rFonts w:ascii="宋体" w:eastAsia="宋体" w:hint="eastAsia"/>
          <w:spacing w:val="-63"/>
          <w:w w:val="100"/>
          <w:position w:val="-7"/>
        </w:rPr>
        <w:t>．</w:t>
      </w:r>
      <w:r>
        <w:rPr>
          <w:rFonts w:ascii="宋体" w:eastAsia="宋体" w:hint="eastAsia"/>
          <w:spacing w:val="-151"/>
          <w:w w:val="100"/>
        </w:rPr>
        <w:t>以</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为</w:t>
      </w:r>
      <w:r>
        <w:rPr>
          <w:rFonts w:ascii="宋体" w:eastAsia="宋体" w:hint="eastAsia"/>
          <w:spacing w:val="-63"/>
          <w:w w:val="100"/>
          <w:position w:val="-7"/>
        </w:rPr>
        <w:t>．</w:t>
      </w:r>
      <w:r>
        <w:rPr>
          <w:rFonts w:ascii="宋体" w:eastAsia="宋体" w:hint="eastAsia"/>
          <w:spacing w:val="-151"/>
          <w:w w:val="100"/>
        </w:rPr>
        <w:t>准</w:t>
      </w:r>
      <w:r>
        <w:rPr>
          <w:rFonts w:ascii="宋体" w:eastAsia="宋体" w:hint="eastAsia"/>
          <w:spacing w:val="-63"/>
          <w:w w:val="100"/>
          <w:position w:val="-7"/>
        </w:rPr>
        <w:t>．</w:t>
      </w:r>
      <w:r>
        <w:rPr>
          <w:rFonts w:ascii="宋体" w:eastAsia="宋体" w:hint="eastAsia"/>
          <w:w w:val="100"/>
        </w:rPr>
        <w:t>。</w:t>
      </w:r>
    </w:p>
    <w:p>
      <w:pPr>
        <w:tabs>
          <w:tab w:pos="1250" w:val="left" w:leader="none"/>
        </w:tabs>
        <w:spacing w:before="170"/>
        <w:ind w:left="240" w:right="0" w:firstLine="0"/>
        <w:jc w:val="left"/>
        <w:rPr>
          <w:rFonts w:ascii="宋体" w:hAnsi="宋体" w:eastAsia="宋体" w:hint="eastAsia"/>
          <w:b/>
          <w:sz w:val="21"/>
        </w:rPr>
      </w:pPr>
      <w:r>
        <w:rPr/>
        <w:pict>
          <v:group style="position:absolute;margin-left:44.040001pt;margin-top:6.138683pt;width:512.65pt;height:612.950pt;mso-position-horizontal-relative:page;mso-position-vertical-relative:paragraph;z-index:-61576" coordorigin="881,123" coordsize="10253,12259">
            <v:shape style="position:absolute;left:880;top:122;width:10253;height:12259" type="#_x0000_t75" stroked="false">
              <v:imagedata r:id="rId6" o:title=""/>
            </v:shape>
            <v:rect style="position:absolute;left:1177;top:5381;width:9720;height:6897" filled="true" fillcolor="#ffffff" stroked="false">
              <v:fill type="solid"/>
            </v:rect>
            <v:rect style="position:absolute;left:1177;top:5381;width:9720;height:6897" filled="false" stroked="true" strokeweight=".75pt" strokecolor="#000000">
              <v:stroke dashstyle="dot"/>
            </v:rect>
            <w10:wrap type="none"/>
          </v:group>
        </w:pict>
      </w:r>
      <w:r>
        <w:rPr>
          <w:rFonts w:ascii="Arial" w:hAnsi="Arial" w:eastAsia="Arial"/>
          <w:b/>
          <w:w w:val="105"/>
          <w:position w:val="-11"/>
          <w:sz w:val="52"/>
        </w:rPr>
        <w:t></w:t>
        <w:tab/>
      </w:r>
      <w:r>
        <w:rPr>
          <w:rFonts w:ascii="宋体" w:hAnsi="宋体" w:eastAsia="宋体" w:hint="eastAsia"/>
          <w:b/>
          <w:spacing w:val="-1"/>
          <w:sz w:val="21"/>
        </w:rPr>
        <w:t>您拥有的重要权益</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在犹</w:t>
      </w:r>
      <w:r>
        <w:rPr>
          <w:spacing w:val="-3"/>
          <w:sz w:val="21"/>
        </w:rPr>
        <w:t>豫</w:t>
      </w:r>
      <w:r>
        <w:rPr>
          <w:sz w:val="21"/>
        </w:rPr>
        <w:t>期</w:t>
      </w:r>
      <w:r>
        <w:rPr>
          <w:spacing w:val="-3"/>
          <w:sz w:val="21"/>
        </w:rPr>
        <w:t>内</w:t>
      </w:r>
      <w:r>
        <w:rPr>
          <w:sz w:val="21"/>
        </w:rPr>
        <w:t>，</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全</w:t>
      </w:r>
      <w:r>
        <w:rPr>
          <w:sz w:val="21"/>
        </w:rPr>
        <w:t>部</w:t>
      </w:r>
      <w:r>
        <w:rPr>
          <w:spacing w:val="-3"/>
          <w:sz w:val="21"/>
        </w:rPr>
        <w:t>保</w:t>
      </w:r>
      <w:r>
        <w:rPr>
          <w:sz w:val="21"/>
        </w:rPr>
        <w:t>险费</w:t>
        <w:tab/>
        <w:t>1.4</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您有</w:t>
      </w:r>
      <w:r>
        <w:rPr>
          <w:spacing w:val="-3"/>
          <w:sz w:val="21"/>
        </w:rPr>
        <w:t>按</w:t>
      </w:r>
      <w:r>
        <w:rPr>
          <w:sz w:val="21"/>
        </w:rPr>
        <w:t>合</w:t>
      </w:r>
      <w:r>
        <w:rPr>
          <w:spacing w:val="-3"/>
          <w:sz w:val="21"/>
        </w:rPr>
        <w:t>同</w:t>
      </w:r>
      <w:r>
        <w:rPr>
          <w:sz w:val="21"/>
        </w:rPr>
        <w:t>约</w:t>
      </w:r>
      <w:r>
        <w:rPr>
          <w:spacing w:val="-3"/>
          <w:sz w:val="21"/>
        </w:rPr>
        <w:t>定</w:t>
      </w:r>
      <w:r>
        <w:rPr>
          <w:sz w:val="21"/>
        </w:rPr>
        <w:t>申</w:t>
      </w:r>
      <w:r>
        <w:rPr>
          <w:spacing w:val="-3"/>
          <w:sz w:val="21"/>
        </w:rPr>
        <w:t>请</w:t>
      </w:r>
      <w:r>
        <w:rPr>
          <w:sz w:val="21"/>
        </w:rPr>
        <w:t>保</w:t>
      </w:r>
      <w:r>
        <w:rPr>
          <w:spacing w:val="-3"/>
          <w:sz w:val="21"/>
        </w:rPr>
        <w:t>单</w:t>
      </w:r>
      <w:r>
        <w:rPr>
          <w:sz w:val="21"/>
        </w:rPr>
        <w:t>贷款</w:t>
      </w:r>
      <w:r>
        <w:rPr>
          <w:spacing w:val="-3"/>
          <w:sz w:val="21"/>
        </w:rPr>
        <w:t>的</w:t>
      </w:r>
      <w:r>
        <w:rPr>
          <w:sz w:val="21"/>
        </w:rPr>
        <w:t>权利</w:t>
        <w:tab/>
        <w:t>5.2</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tabs>
          <w:tab w:pos="1250" w:val="left" w:leader="none"/>
        </w:tabs>
        <w:spacing w:before="21"/>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1"/>
          <w:sz w:val="21"/>
        </w:rPr>
        <w:t>您应当特别注意的事项</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632" w:val="left" w:leader="none"/>
          <w:tab w:pos="1633" w:val="left" w:leader="none"/>
          <w:tab w:pos="9933"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tabs>
          <w:tab w:pos="1250" w:val="left" w:leader="none"/>
        </w:tabs>
        <w:spacing w:before="22"/>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3"/>
          <w:sz w:val="21"/>
        </w:rPr>
        <w:t>条款是保险合同的重要内容，为充分保障您的权益，请您仔细阅读本条款。</w:t>
      </w:r>
    </w:p>
    <w:p>
      <w:pPr>
        <w:tabs>
          <w:tab w:pos="1250" w:val="left" w:leader="none"/>
        </w:tabs>
        <w:spacing w:before="26"/>
        <w:ind w:left="240" w:right="0" w:firstLine="0"/>
        <w:jc w:val="left"/>
        <w:rPr>
          <w:rFonts w:ascii="宋体" w:hAnsi="宋体" w:eastAsia="宋体" w:hint="eastAsia"/>
          <w:b/>
          <w:sz w:val="21"/>
        </w:rPr>
      </w:pPr>
      <w:r>
        <w:rPr>
          <w:rFonts w:ascii="Arial" w:hAnsi="Arial" w:eastAsia="Arial"/>
          <w:b/>
          <w:w w:val="110"/>
          <w:position w:val="-11"/>
          <w:sz w:val="52"/>
        </w:rPr>
        <w:t></w:t>
        <w:tab/>
      </w:r>
      <w:r>
        <w:rPr>
          <w:rFonts w:ascii="宋体" w:hAnsi="宋体" w:eastAsia="宋体" w:hint="eastAsia"/>
          <w:b/>
          <w:sz w:val="21"/>
        </w:rPr>
        <w:t>条款目录</w:t>
      </w:r>
    </w:p>
    <w:p>
      <w:pPr>
        <w:spacing w:after="0"/>
        <w:jc w:val="left"/>
        <w:rPr>
          <w:rFonts w:ascii="宋体" w:hAnsi="宋体" w:eastAsia="宋体" w:hint="eastAsia"/>
          <w:sz w:val="21"/>
        </w:rPr>
        <w:sectPr>
          <w:type w:val="continuous"/>
          <w:pgSz w:w="11910" w:h="16840"/>
          <w:pgMar w:top="620" w:bottom="280" w:left="780" w:right="660"/>
        </w:sectPr>
      </w:pPr>
    </w:p>
    <w:p>
      <w:pPr>
        <w:spacing w:line="268" w:lineRule="exact" w:before="40"/>
        <w:ind w:left="1200" w:right="0" w:firstLine="0"/>
        <w:jc w:val="left"/>
        <w:rPr>
          <w:b/>
          <w:sz w:val="21"/>
        </w:rPr>
      </w:pPr>
      <w:r>
        <w:rPr>
          <w:b/>
          <w:sz w:val="21"/>
        </w:rPr>
        <w:t>1．投保人与本公司的合同</w:t>
      </w:r>
    </w:p>
    <w:p>
      <w:pPr>
        <w:pStyle w:val="ListParagraph"/>
        <w:numPr>
          <w:ilvl w:val="1"/>
          <w:numId w:val="2"/>
        </w:numPr>
        <w:tabs>
          <w:tab w:pos="1834" w:val="left" w:leader="none"/>
        </w:tabs>
        <w:spacing w:line="260" w:lineRule="exact" w:before="0" w:after="0"/>
        <w:ind w:left="1834" w:right="0" w:hanging="423"/>
        <w:jc w:val="left"/>
        <w:rPr>
          <w:sz w:val="21"/>
        </w:rPr>
      </w:pPr>
      <w:r>
        <w:rPr>
          <w:spacing w:val="-3"/>
          <w:sz w:val="21"/>
        </w:rPr>
        <w:t>合同构成</w:t>
      </w:r>
    </w:p>
    <w:p>
      <w:pPr>
        <w:pStyle w:val="ListParagraph"/>
        <w:numPr>
          <w:ilvl w:val="1"/>
          <w:numId w:val="2"/>
        </w:numPr>
        <w:tabs>
          <w:tab w:pos="1834" w:val="left" w:leader="none"/>
        </w:tabs>
        <w:spacing w:line="259" w:lineRule="exact" w:before="0" w:after="0"/>
        <w:ind w:left="1834" w:right="0" w:hanging="423"/>
        <w:jc w:val="left"/>
        <w:rPr>
          <w:sz w:val="21"/>
        </w:rPr>
      </w:pPr>
      <w:r>
        <w:rPr>
          <w:spacing w:val="-3"/>
          <w:sz w:val="21"/>
        </w:rPr>
        <w:t>合同成立与生效</w:t>
      </w:r>
    </w:p>
    <w:p>
      <w:pPr>
        <w:pStyle w:val="ListParagraph"/>
        <w:numPr>
          <w:ilvl w:val="1"/>
          <w:numId w:val="2"/>
        </w:numPr>
        <w:tabs>
          <w:tab w:pos="1834" w:val="left" w:leader="none"/>
        </w:tabs>
        <w:spacing w:line="260" w:lineRule="exact" w:before="0" w:after="0"/>
        <w:ind w:left="1834" w:right="0" w:hanging="423"/>
        <w:jc w:val="left"/>
        <w:rPr>
          <w:sz w:val="21"/>
        </w:rPr>
      </w:pPr>
      <w:r>
        <w:rPr>
          <w:spacing w:val="-3"/>
          <w:sz w:val="21"/>
        </w:rPr>
        <w:t>投保范围</w:t>
      </w:r>
    </w:p>
    <w:p>
      <w:pPr>
        <w:pStyle w:val="ListParagraph"/>
        <w:numPr>
          <w:ilvl w:val="1"/>
          <w:numId w:val="2"/>
        </w:numPr>
        <w:tabs>
          <w:tab w:pos="1834" w:val="left" w:leader="none"/>
        </w:tabs>
        <w:spacing w:line="268" w:lineRule="exact" w:before="0" w:after="0"/>
        <w:ind w:left="1834" w:right="0" w:hanging="423"/>
        <w:jc w:val="left"/>
        <w:rPr>
          <w:sz w:val="21"/>
        </w:rPr>
      </w:pPr>
      <w:r>
        <w:rPr>
          <w:spacing w:val="-2"/>
          <w:sz w:val="21"/>
        </w:rPr>
        <w:t>犹豫期</w:t>
      </w:r>
    </w:p>
    <w:p>
      <w:pPr>
        <w:pStyle w:val="BodyText"/>
        <w:spacing w:before="8"/>
        <w:ind w:left="0" w:firstLine="0"/>
        <w:rPr>
          <w:sz w:val="18"/>
        </w:rPr>
      </w:pPr>
    </w:p>
    <w:p>
      <w:pPr>
        <w:spacing w:line="268" w:lineRule="exact" w:before="0"/>
        <w:ind w:left="1200" w:right="0" w:firstLine="0"/>
        <w:jc w:val="left"/>
        <w:rPr>
          <w:b/>
          <w:sz w:val="21"/>
        </w:rPr>
      </w:pPr>
      <w:r>
        <w:rPr>
          <w:b/>
          <w:sz w:val="21"/>
        </w:rPr>
        <w:t>2．本公司提供的保障</w:t>
      </w:r>
    </w:p>
    <w:p>
      <w:pPr>
        <w:pStyle w:val="ListParagraph"/>
        <w:numPr>
          <w:ilvl w:val="1"/>
          <w:numId w:val="3"/>
        </w:numPr>
        <w:tabs>
          <w:tab w:pos="1834" w:val="left" w:leader="none"/>
        </w:tabs>
        <w:spacing w:line="260" w:lineRule="exact" w:before="0" w:after="0"/>
        <w:ind w:left="1834" w:right="0" w:hanging="423"/>
        <w:jc w:val="left"/>
        <w:rPr>
          <w:sz w:val="21"/>
        </w:rPr>
      </w:pPr>
      <w:r>
        <w:rPr>
          <w:spacing w:val="-3"/>
          <w:sz w:val="21"/>
        </w:rPr>
        <w:t>保险责任</w:t>
      </w:r>
    </w:p>
    <w:p>
      <w:pPr>
        <w:pStyle w:val="ListParagraph"/>
        <w:numPr>
          <w:ilvl w:val="1"/>
          <w:numId w:val="3"/>
        </w:numPr>
        <w:tabs>
          <w:tab w:pos="1834" w:val="left" w:leader="none"/>
        </w:tabs>
        <w:spacing w:line="259" w:lineRule="exact" w:before="0" w:after="0"/>
        <w:ind w:left="1834" w:right="0" w:hanging="423"/>
        <w:jc w:val="left"/>
        <w:rPr>
          <w:sz w:val="21"/>
        </w:rPr>
      </w:pPr>
      <w:r>
        <w:rPr>
          <w:spacing w:val="-3"/>
          <w:sz w:val="21"/>
        </w:rPr>
        <w:t>责任免除</w:t>
      </w:r>
    </w:p>
    <w:p>
      <w:pPr>
        <w:pStyle w:val="ListParagraph"/>
        <w:numPr>
          <w:ilvl w:val="1"/>
          <w:numId w:val="3"/>
        </w:numPr>
        <w:tabs>
          <w:tab w:pos="1834" w:val="left" w:leader="none"/>
        </w:tabs>
        <w:spacing w:line="267" w:lineRule="exact" w:before="0" w:after="0"/>
        <w:ind w:left="1834" w:right="0" w:hanging="423"/>
        <w:jc w:val="left"/>
        <w:rPr>
          <w:sz w:val="21"/>
        </w:rPr>
      </w:pPr>
      <w:r>
        <w:rPr>
          <w:spacing w:val="-3"/>
          <w:sz w:val="21"/>
        </w:rPr>
        <w:t>保险期间</w:t>
      </w:r>
    </w:p>
    <w:p>
      <w:pPr>
        <w:pStyle w:val="BodyText"/>
        <w:spacing w:before="11"/>
        <w:ind w:left="0" w:firstLine="0"/>
        <w:rPr>
          <w:sz w:val="18"/>
        </w:rPr>
      </w:pPr>
    </w:p>
    <w:p>
      <w:pPr>
        <w:spacing w:line="267" w:lineRule="exact" w:before="0"/>
        <w:ind w:left="1200" w:right="0" w:firstLine="0"/>
        <w:jc w:val="left"/>
        <w:rPr>
          <w:b/>
          <w:sz w:val="21"/>
        </w:rPr>
      </w:pPr>
      <w:r>
        <w:rPr>
          <w:b/>
          <w:sz w:val="21"/>
        </w:rPr>
        <w:t>3．如何申请豁免保险费</w:t>
      </w:r>
    </w:p>
    <w:p>
      <w:pPr>
        <w:pStyle w:val="ListParagraph"/>
        <w:numPr>
          <w:ilvl w:val="1"/>
          <w:numId w:val="4"/>
        </w:numPr>
        <w:tabs>
          <w:tab w:pos="1834" w:val="left" w:leader="none"/>
        </w:tabs>
        <w:spacing w:line="260" w:lineRule="exact" w:before="0" w:after="0"/>
        <w:ind w:left="1834" w:right="0" w:hanging="423"/>
        <w:jc w:val="left"/>
        <w:rPr>
          <w:sz w:val="21"/>
        </w:rPr>
      </w:pPr>
      <w:r>
        <w:rPr>
          <w:spacing w:val="-2"/>
          <w:sz w:val="21"/>
        </w:rPr>
        <w:t>受益人</w:t>
      </w:r>
    </w:p>
    <w:p>
      <w:pPr>
        <w:pStyle w:val="ListParagraph"/>
        <w:numPr>
          <w:ilvl w:val="1"/>
          <w:numId w:val="4"/>
        </w:numPr>
        <w:tabs>
          <w:tab w:pos="1834" w:val="left" w:leader="none"/>
        </w:tabs>
        <w:spacing w:line="260" w:lineRule="exact" w:before="0" w:after="0"/>
        <w:ind w:left="1834" w:right="0" w:hanging="423"/>
        <w:jc w:val="left"/>
        <w:rPr>
          <w:sz w:val="21"/>
        </w:rPr>
      </w:pPr>
      <w:r>
        <w:rPr>
          <w:spacing w:val="-3"/>
          <w:sz w:val="21"/>
        </w:rPr>
        <w:t>保险事故通知</w:t>
      </w:r>
    </w:p>
    <w:p>
      <w:pPr>
        <w:pStyle w:val="ListParagraph"/>
        <w:numPr>
          <w:ilvl w:val="1"/>
          <w:numId w:val="4"/>
        </w:numPr>
        <w:tabs>
          <w:tab w:pos="1834" w:val="left" w:leader="none"/>
        </w:tabs>
        <w:spacing w:line="259" w:lineRule="exact" w:before="0" w:after="0"/>
        <w:ind w:left="1834" w:right="0" w:hanging="423"/>
        <w:jc w:val="left"/>
        <w:rPr>
          <w:sz w:val="21"/>
        </w:rPr>
      </w:pPr>
      <w:r>
        <w:rPr>
          <w:spacing w:val="-3"/>
          <w:sz w:val="21"/>
        </w:rPr>
        <w:t>豁免保险费申请</w:t>
      </w:r>
    </w:p>
    <w:p>
      <w:pPr>
        <w:pStyle w:val="ListParagraph"/>
        <w:numPr>
          <w:ilvl w:val="1"/>
          <w:numId w:val="4"/>
        </w:numPr>
        <w:tabs>
          <w:tab w:pos="1834" w:val="left" w:leader="none"/>
        </w:tabs>
        <w:spacing w:line="260" w:lineRule="exact" w:before="0" w:after="0"/>
        <w:ind w:left="1834" w:right="0" w:hanging="423"/>
        <w:jc w:val="left"/>
        <w:rPr>
          <w:sz w:val="21"/>
        </w:rPr>
      </w:pPr>
      <w:r>
        <w:rPr>
          <w:spacing w:val="-3"/>
          <w:sz w:val="21"/>
        </w:rPr>
        <w:t>保险费的豁免</w:t>
      </w:r>
    </w:p>
    <w:p>
      <w:pPr>
        <w:pStyle w:val="ListParagraph"/>
        <w:numPr>
          <w:ilvl w:val="1"/>
          <w:numId w:val="4"/>
        </w:numPr>
        <w:tabs>
          <w:tab w:pos="1834" w:val="left" w:leader="none"/>
        </w:tabs>
        <w:spacing w:line="260" w:lineRule="exact" w:before="0" w:after="0"/>
        <w:ind w:left="1834" w:right="0" w:hanging="423"/>
        <w:jc w:val="left"/>
        <w:rPr>
          <w:sz w:val="21"/>
        </w:rPr>
      </w:pPr>
      <w:r>
        <w:rPr>
          <w:spacing w:val="-3"/>
          <w:sz w:val="21"/>
        </w:rPr>
        <w:t>豁免保险费申请时效</w:t>
      </w:r>
    </w:p>
    <w:p>
      <w:pPr>
        <w:pStyle w:val="ListParagraph"/>
        <w:numPr>
          <w:ilvl w:val="1"/>
          <w:numId w:val="4"/>
        </w:numPr>
        <w:tabs>
          <w:tab w:pos="1834" w:val="left" w:leader="none"/>
        </w:tabs>
        <w:spacing w:line="267" w:lineRule="exact" w:before="0" w:after="0"/>
        <w:ind w:left="1834" w:right="0" w:hanging="423"/>
        <w:jc w:val="left"/>
        <w:rPr>
          <w:sz w:val="21"/>
        </w:rPr>
      </w:pPr>
      <w:r>
        <w:rPr>
          <w:spacing w:val="-3"/>
          <w:sz w:val="21"/>
        </w:rPr>
        <w:t>宣告死亡处理</w:t>
      </w:r>
    </w:p>
    <w:p>
      <w:pPr>
        <w:pStyle w:val="BodyText"/>
        <w:spacing w:before="10"/>
        <w:ind w:left="0" w:firstLine="0"/>
        <w:rPr>
          <w:sz w:val="18"/>
        </w:rPr>
      </w:pPr>
    </w:p>
    <w:p>
      <w:pPr>
        <w:spacing w:line="267" w:lineRule="exact" w:before="0"/>
        <w:ind w:left="1200" w:right="0" w:firstLine="0"/>
        <w:jc w:val="left"/>
        <w:rPr>
          <w:b/>
          <w:sz w:val="21"/>
        </w:rPr>
      </w:pPr>
      <w:r>
        <w:rPr>
          <w:b/>
          <w:sz w:val="21"/>
        </w:rPr>
        <w:t>4．如何交纳保险费</w:t>
      </w:r>
    </w:p>
    <w:p>
      <w:pPr>
        <w:pStyle w:val="BodyText"/>
        <w:spacing w:line="267" w:lineRule="exact"/>
        <w:ind w:left="1411" w:firstLine="0"/>
      </w:pPr>
      <w:r>
        <w:rPr/>
        <w:pict>
          <v:shapetype id="_x0000_t202" o:spt="202" coordsize="21600,21600" path="m,l,21600r21600,l21600,xe">
            <v:stroke joinstyle="miter"/>
            <v:path gradientshapeok="t" o:connecttype="rect"/>
          </v:shapetype>
          <v:shape style="position:absolute;margin-left:96.524002pt;margin-top:15.758555pt;width:257.2pt;height:50.7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2"/>
                    <w:gridCol w:w="1258"/>
                    <w:gridCol w:w="1363"/>
                  </w:tblGrid>
                  <w:tr>
                    <w:trPr>
                      <w:trHeight w:val="256" w:hRule="atLeast"/>
                    </w:trPr>
                    <w:tc>
                      <w:tcPr>
                        <w:tcW w:w="2522" w:type="dxa"/>
                      </w:tcPr>
                      <w:p>
                        <w:pPr>
                          <w:pStyle w:val="TableParagraph"/>
                          <w:spacing w:line="211" w:lineRule="exact" w:before="0"/>
                          <w:ind w:left="261"/>
                          <w:rPr>
                            <w:sz w:val="21"/>
                          </w:rPr>
                        </w:pPr>
                        <w:r>
                          <w:rPr>
                            <w:sz w:val="21"/>
                          </w:rPr>
                          <w:t>4.2 宽限期</w:t>
                        </w:r>
                      </w:p>
                    </w:tc>
                    <w:tc>
                      <w:tcPr>
                        <w:tcW w:w="1258" w:type="dxa"/>
                      </w:tcPr>
                      <w:p>
                        <w:pPr>
                          <w:pStyle w:val="TableParagraph"/>
                          <w:spacing w:line="233" w:lineRule="exact" w:before="0"/>
                          <w:ind w:left="0" w:right="50"/>
                          <w:jc w:val="right"/>
                          <w:rPr>
                            <w:sz w:val="21"/>
                          </w:rPr>
                        </w:pPr>
                        <w:r>
                          <w:rPr>
                            <w:sz w:val="21"/>
                          </w:rPr>
                          <w:t>9.3</w:t>
                        </w:r>
                      </w:p>
                    </w:tc>
                    <w:tc>
                      <w:tcPr>
                        <w:tcW w:w="1363" w:type="dxa"/>
                      </w:tcPr>
                      <w:p>
                        <w:pPr>
                          <w:pStyle w:val="TableParagraph"/>
                          <w:spacing w:line="233" w:lineRule="exact" w:before="0"/>
                          <w:ind w:left="52"/>
                          <w:rPr>
                            <w:sz w:val="21"/>
                          </w:rPr>
                        </w:pPr>
                        <w:r>
                          <w:rPr>
                            <w:sz w:val="21"/>
                          </w:rPr>
                          <w:t>保险费应交日</w:t>
                        </w:r>
                      </w:p>
                    </w:tc>
                  </w:tr>
                  <w:tr>
                    <w:trPr>
                      <w:trHeight w:val="249" w:hRule="atLeast"/>
                    </w:trPr>
                    <w:tc>
                      <w:tcPr>
                        <w:tcW w:w="2522" w:type="dxa"/>
                      </w:tcPr>
                      <w:p>
                        <w:pPr>
                          <w:pStyle w:val="TableParagraph"/>
                          <w:spacing w:before="0"/>
                          <w:ind w:left="0"/>
                          <w:rPr>
                            <w:rFonts w:ascii="Times New Roman"/>
                            <w:sz w:val="18"/>
                          </w:rPr>
                        </w:pPr>
                      </w:p>
                    </w:tc>
                    <w:tc>
                      <w:tcPr>
                        <w:tcW w:w="1258" w:type="dxa"/>
                      </w:tcPr>
                      <w:p>
                        <w:pPr>
                          <w:pStyle w:val="TableParagraph"/>
                          <w:spacing w:line="230" w:lineRule="exact" w:before="0"/>
                          <w:ind w:left="0" w:right="50"/>
                          <w:jc w:val="right"/>
                          <w:rPr>
                            <w:sz w:val="21"/>
                          </w:rPr>
                        </w:pPr>
                        <w:r>
                          <w:rPr>
                            <w:sz w:val="21"/>
                          </w:rPr>
                          <w:t>9.4</w:t>
                        </w:r>
                      </w:p>
                    </w:tc>
                    <w:tc>
                      <w:tcPr>
                        <w:tcW w:w="1363" w:type="dxa"/>
                      </w:tcPr>
                      <w:p>
                        <w:pPr>
                          <w:pStyle w:val="TableParagraph"/>
                          <w:spacing w:line="230" w:lineRule="exact" w:before="0"/>
                          <w:ind w:left="52"/>
                          <w:rPr>
                            <w:sz w:val="21"/>
                          </w:rPr>
                        </w:pPr>
                        <w:r>
                          <w:rPr>
                            <w:sz w:val="21"/>
                          </w:rPr>
                          <w:t>周岁</w:t>
                        </w:r>
                      </w:p>
                    </w:tc>
                  </w:tr>
                  <w:tr>
                    <w:trPr>
                      <w:trHeight w:val="266" w:hRule="atLeast"/>
                    </w:trPr>
                    <w:tc>
                      <w:tcPr>
                        <w:tcW w:w="2522" w:type="dxa"/>
                      </w:tcPr>
                      <w:p>
                        <w:pPr>
                          <w:pStyle w:val="TableParagraph"/>
                          <w:spacing w:line="226" w:lineRule="exact" w:before="0"/>
                          <w:ind w:left="50"/>
                          <w:rPr>
                            <w:b/>
                            <w:sz w:val="21"/>
                          </w:rPr>
                        </w:pPr>
                        <w:r>
                          <w:rPr>
                            <w:b/>
                            <w:sz w:val="21"/>
                          </w:rPr>
                          <w:t>5．现金价值权益</w:t>
                        </w:r>
                      </w:p>
                    </w:tc>
                    <w:tc>
                      <w:tcPr>
                        <w:tcW w:w="1258" w:type="dxa"/>
                      </w:tcPr>
                      <w:p>
                        <w:pPr>
                          <w:pStyle w:val="TableParagraph"/>
                          <w:spacing w:line="245" w:lineRule="exact" w:before="0"/>
                          <w:ind w:left="0" w:right="50"/>
                          <w:jc w:val="right"/>
                          <w:rPr>
                            <w:sz w:val="21"/>
                          </w:rPr>
                        </w:pPr>
                        <w:r>
                          <w:rPr>
                            <w:sz w:val="21"/>
                          </w:rPr>
                          <w:t>9.5</w:t>
                        </w:r>
                      </w:p>
                    </w:tc>
                    <w:tc>
                      <w:tcPr>
                        <w:tcW w:w="1363" w:type="dxa"/>
                      </w:tcPr>
                      <w:p>
                        <w:pPr>
                          <w:pStyle w:val="TableParagraph"/>
                          <w:spacing w:line="245" w:lineRule="exact" w:before="0"/>
                          <w:ind w:left="52"/>
                          <w:rPr>
                            <w:sz w:val="21"/>
                          </w:rPr>
                        </w:pPr>
                        <w:r>
                          <w:rPr>
                            <w:sz w:val="21"/>
                          </w:rPr>
                          <w:t>特殊群体</w:t>
                        </w:r>
                      </w:p>
                    </w:tc>
                  </w:tr>
                  <w:tr>
                    <w:trPr>
                      <w:trHeight w:val="240" w:hRule="atLeast"/>
                    </w:trPr>
                    <w:tc>
                      <w:tcPr>
                        <w:tcW w:w="2522" w:type="dxa"/>
                      </w:tcPr>
                      <w:p>
                        <w:pPr>
                          <w:pStyle w:val="TableParagraph"/>
                          <w:spacing w:line="220" w:lineRule="exact" w:before="0"/>
                          <w:ind w:left="261"/>
                          <w:rPr>
                            <w:sz w:val="21"/>
                          </w:rPr>
                        </w:pPr>
                        <w:r>
                          <w:rPr>
                            <w:sz w:val="21"/>
                          </w:rPr>
                          <w:t>5.1 现金价值</w:t>
                        </w:r>
                      </w:p>
                    </w:tc>
                    <w:tc>
                      <w:tcPr>
                        <w:tcW w:w="1258" w:type="dxa"/>
                      </w:tcPr>
                      <w:p>
                        <w:pPr>
                          <w:pStyle w:val="TableParagraph"/>
                          <w:spacing w:line="220" w:lineRule="exact" w:before="0"/>
                          <w:ind w:left="0" w:right="50"/>
                          <w:jc w:val="right"/>
                          <w:rPr>
                            <w:sz w:val="21"/>
                          </w:rPr>
                        </w:pPr>
                        <w:r>
                          <w:rPr>
                            <w:sz w:val="21"/>
                          </w:rPr>
                          <w:t>9.6</w:t>
                        </w:r>
                      </w:p>
                    </w:tc>
                    <w:tc>
                      <w:tcPr>
                        <w:tcW w:w="1363" w:type="dxa"/>
                      </w:tcPr>
                      <w:p>
                        <w:pPr>
                          <w:pStyle w:val="TableParagraph"/>
                          <w:spacing w:line="220" w:lineRule="exact" w:before="0"/>
                          <w:ind w:left="52"/>
                          <w:rPr>
                            <w:sz w:val="21"/>
                          </w:rPr>
                        </w:pPr>
                        <w:r>
                          <w:rPr>
                            <w:sz w:val="21"/>
                          </w:rPr>
                          <w:t>意外伤害</w:t>
                        </w:r>
                      </w:p>
                    </w:tc>
                  </w:tr>
                </w:tbl>
                <w:p>
                  <w:pPr>
                    <w:pStyle w:val="BodyText"/>
                    <w:ind w:left="0" w:firstLine="0"/>
                  </w:pPr>
                </w:p>
              </w:txbxContent>
            </v:textbox>
            <w10:wrap type="none"/>
          </v:shape>
        </w:pict>
      </w:r>
      <w:r>
        <w:rPr/>
        <w:t>4.1 保险费的交纳</w:t>
      </w:r>
    </w:p>
    <w:p>
      <w:pPr>
        <w:pStyle w:val="BodyText"/>
        <w:spacing w:before="54"/>
        <w:ind w:left="795" w:firstLine="0"/>
      </w:pPr>
      <w:r>
        <w:rPr/>
        <w:br w:type="column"/>
      </w:r>
      <w:r>
        <w:rPr/>
        <w:t>5.2 保单贷款</w:t>
      </w:r>
    </w:p>
    <w:p>
      <w:pPr>
        <w:pStyle w:val="BodyText"/>
        <w:spacing w:before="1"/>
        <w:ind w:left="0" w:firstLine="0"/>
        <w:rPr>
          <w:sz w:val="19"/>
        </w:rPr>
      </w:pPr>
    </w:p>
    <w:p>
      <w:pPr>
        <w:spacing w:line="268" w:lineRule="exact" w:before="0"/>
        <w:ind w:left="584" w:right="0" w:firstLine="0"/>
        <w:jc w:val="left"/>
        <w:rPr>
          <w:b/>
          <w:sz w:val="21"/>
        </w:rPr>
      </w:pPr>
      <w:r>
        <w:rPr>
          <w:b/>
          <w:sz w:val="21"/>
        </w:rPr>
        <w:t>6．合同效力的中止及恢复</w:t>
      </w:r>
    </w:p>
    <w:p>
      <w:pPr>
        <w:pStyle w:val="ListParagraph"/>
        <w:numPr>
          <w:ilvl w:val="1"/>
          <w:numId w:val="5"/>
        </w:numPr>
        <w:tabs>
          <w:tab w:pos="1219" w:val="left" w:leader="none"/>
        </w:tabs>
        <w:spacing w:line="260" w:lineRule="exact" w:before="0" w:after="0"/>
        <w:ind w:left="1218" w:right="0" w:hanging="423"/>
        <w:jc w:val="left"/>
        <w:rPr>
          <w:sz w:val="21"/>
        </w:rPr>
      </w:pPr>
      <w:r>
        <w:rPr>
          <w:spacing w:val="-3"/>
          <w:sz w:val="21"/>
        </w:rPr>
        <w:t>效力中止</w:t>
      </w:r>
    </w:p>
    <w:p>
      <w:pPr>
        <w:pStyle w:val="ListParagraph"/>
        <w:numPr>
          <w:ilvl w:val="1"/>
          <w:numId w:val="5"/>
        </w:numPr>
        <w:tabs>
          <w:tab w:pos="1219" w:val="left" w:leader="none"/>
        </w:tabs>
        <w:spacing w:line="267" w:lineRule="exact" w:before="0" w:after="0"/>
        <w:ind w:left="1218" w:right="0" w:hanging="423"/>
        <w:jc w:val="left"/>
        <w:rPr>
          <w:sz w:val="21"/>
        </w:rPr>
      </w:pPr>
      <w:r>
        <w:rPr>
          <w:spacing w:val="-3"/>
          <w:sz w:val="21"/>
        </w:rPr>
        <w:t>效力恢复</w:t>
      </w:r>
    </w:p>
    <w:p>
      <w:pPr>
        <w:pStyle w:val="BodyText"/>
        <w:spacing w:before="9"/>
        <w:ind w:left="0" w:firstLine="0"/>
        <w:rPr>
          <w:sz w:val="18"/>
        </w:rPr>
      </w:pPr>
    </w:p>
    <w:p>
      <w:pPr>
        <w:spacing w:line="267" w:lineRule="exact" w:before="0"/>
        <w:ind w:left="584" w:right="0" w:firstLine="0"/>
        <w:jc w:val="left"/>
        <w:rPr>
          <w:b/>
          <w:sz w:val="21"/>
        </w:rPr>
      </w:pPr>
      <w:r>
        <w:rPr>
          <w:b/>
          <w:sz w:val="21"/>
        </w:rPr>
        <w:t>7．如何解除保险合同</w:t>
      </w:r>
    </w:p>
    <w:p>
      <w:pPr>
        <w:pStyle w:val="BodyText"/>
        <w:spacing w:line="267" w:lineRule="exact"/>
        <w:ind w:left="795" w:firstLine="0"/>
      </w:pPr>
      <w:r>
        <w:rPr/>
        <w:t>7.1 合同解除</w:t>
      </w:r>
    </w:p>
    <w:p>
      <w:pPr>
        <w:pStyle w:val="BodyText"/>
        <w:spacing w:before="11"/>
        <w:ind w:left="0" w:firstLine="0"/>
        <w:rPr>
          <w:sz w:val="18"/>
        </w:rPr>
      </w:pPr>
    </w:p>
    <w:p>
      <w:pPr>
        <w:spacing w:line="267" w:lineRule="exact" w:before="0"/>
        <w:ind w:left="584" w:right="0" w:firstLine="0"/>
        <w:jc w:val="left"/>
        <w:rPr>
          <w:b/>
          <w:sz w:val="21"/>
        </w:rPr>
      </w:pPr>
      <w:r>
        <w:rPr>
          <w:b/>
          <w:sz w:val="21"/>
        </w:rPr>
        <w:t>8．其他需要关注的事项</w:t>
      </w:r>
    </w:p>
    <w:p>
      <w:pPr>
        <w:pStyle w:val="ListParagraph"/>
        <w:numPr>
          <w:ilvl w:val="1"/>
          <w:numId w:val="6"/>
        </w:numPr>
        <w:tabs>
          <w:tab w:pos="1219" w:val="left" w:leader="none"/>
        </w:tabs>
        <w:spacing w:line="259" w:lineRule="exact" w:before="0" w:after="0"/>
        <w:ind w:left="1218" w:right="0" w:hanging="423"/>
        <w:jc w:val="left"/>
        <w:rPr>
          <w:sz w:val="21"/>
        </w:rPr>
      </w:pPr>
      <w:r>
        <w:rPr>
          <w:spacing w:val="-3"/>
          <w:sz w:val="21"/>
        </w:rPr>
        <w:t>如实告知</w:t>
      </w:r>
    </w:p>
    <w:p>
      <w:pPr>
        <w:pStyle w:val="ListParagraph"/>
        <w:numPr>
          <w:ilvl w:val="1"/>
          <w:numId w:val="6"/>
        </w:numPr>
        <w:tabs>
          <w:tab w:pos="1219" w:val="left" w:leader="none"/>
        </w:tabs>
        <w:spacing w:line="261" w:lineRule="exact" w:before="0" w:after="0"/>
        <w:ind w:left="1218" w:right="0" w:hanging="423"/>
        <w:jc w:val="left"/>
        <w:rPr>
          <w:sz w:val="21"/>
        </w:rPr>
      </w:pPr>
      <w:r>
        <w:rPr>
          <w:spacing w:val="-3"/>
          <w:sz w:val="21"/>
        </w:rPr>
        <w:t>年龄确定与错误处理</w:t>
      </w:r>
    </w:p>
    <w:p>
      <w:pPr>
        <w:pStyle w:val="ListParagraph"/>
        <w:numPr>
          <w:ilvl w:val="1"/>
          <w:numId w:val="6"/>
        </w:numPr>
        <w:tabs>
          <w:tab w:pos="1219" w:val="left" w:leader="none"/>
        </w:tabs>
        <w:spacing w:line="260" w:lineRule="exact" w:before="0" w:after="0"/>
        <w:ind w:left="1218" w:right="0" w:hanging="423"/>
        <w:jc w:val="left"/>
        <w:rPr>
          <w:sz w:val="21"/>
        </w:rPr>
      </w:pPr>
      <w:r>
        <w:rPr>
          <w:spacing w:val="-3"/>
          <w:sz w:val="21"/>
        </w:rPr>
        <w:t>未还款项</w:t>
      </w:r>
    </w:p>
    <w:p>
      <w:pPr>
        <w:pStyle w:val="ListParagraph"/>
        <w:numPr>
          <w:ilvl w:val="1"/>
          <w:numId w:val="6"/>
        </w:numPr>
        <w:tabs>
          <w:tab w:pos="1219" w:val="left" w:leader="none"/>
        </w:tabs>
        <w:spacing w:line="259" w:lineRule="exact" w:before="0" w:after="0"/>
        <w:ind w:left="1218" w:right="0" w:hanging="423"/>
        <w:jc w:val="left"/>
        <w:rPr>
          <w:sz w:val="21"/>
        </w:rPr>
      </w:pPr>
      <w:r>
        <w:rPr>
          <w:spacing w:val="-3"/>
          <w:sz w:val="21"/>
        </w:rPr>
        <w:t>合同内容变更</w:t>
      </w:r>
    </w:p>
    <w:p>
      <w:pPr>
        <w:pStyle w:val="ListParagraph"/>
        <w:numPr>
          <w:ilvl w:val="1"/>
          <w:numId w:val="6"/>
        </w:numPr>
        <w:tabs>
          <w:tab w:pos="1219" w:val="left" w:leader="none"/>
        </w:tabs>
        <w:spacing w:line="260" w:lineRule="exact" w:before="0" w:after="0"/>
        <w:ind w:left="1218" w:right="0" w:hanging="423"/>
        <w:jc w:val="left"/>
        <w:rPr>
          <w:sz w:val="21"/>
        </w:rPr>
      </w:pPr>
      <w:r>
        <w:rPr>
          <w:spacing w:val="-3"/>
          <w:sz w:val="21"/>
        </w:rPr>
        <w:t>联系方式变更</w:t>
      </w:r>
    </w:p>
    <w:p>
      <w:pPr>
        <w:pStyle w:val="ListParagraph"/>
        <w:numPr>
          <w:ilvl w:val="1"/>
          <w:numId w:val="6"/>
        </w:numPr>
        <w:tabs>
          <w:tab w:pos="1219" w:val="left" w:leader="none"/>
        </w:tabs>
        <w:spacing w:line="260" w:lineRule="exact" w:before="0" w:after="0"/>
        <w:ind w:left="1218" w:right="0" w:hanging="423"/>
        <w:jc w:val="left"/>
        <w:rPr>
          <w:sz w:val="21"/>
        </w:rPr>
      </w:pPr>
      <w:r>
        <w:rPr>
          <w:spacing w:val="-3"/>
          <w:sz w:val="21"/>
        </w:rPr>
        <w:t>争议处理</w:t>
      </w:r>
    </w:p>
    <w:p>
      <w:pPr>
        <w:pStyle w:val="ListParagraph"/>
        <w:numPr>
          <w:ilvl w:val="1"/>
          <w:numId w:val="6"/>
        </w:numPr>
        <w:tabs>
          <w:tab w:pos="1219" w:val="left" w:leader="none"/>
        </w:tabs>
        <w:spacing w:line="267" w:lineRule="exact" w:before="0" w:after="0"/>
        <w:ind w:left="1218" w:right="0" w:hanging="423"/>
        <w:jc w:val="left"/>
        <w:rPr>
          <w:sz w:val="21"/>
        </w:rPr>
      </w:pPr>
      <w:r>
        <w:rPr>
          <w:spacing w:val="-3"/>
          <w:sz w:val="21"/>
        </w:rPr>
        <w:t>合同效力的终止</w:t>
      </w:r>
    </w:p>
    <w:p>
      <w:pPr>
        <w:pStyle w:val="BodyText"/>
        <w:spacing w:before="10"/>
        <w:ind w:left="0" w:firstLine="0"/>
        <w:rPr>
          <w:sz w:val="18"/>
        </w:rPr>
      </w:pPr>
    </w:p>
    <w:p>
      <w:pPr>
        <w:spacing w:line="267" w:lineRule="exact" w:before="0"/>
        <w:ind w:left="584" w:right="0" w:firstLine="0"/>
        <w:jc w:val="left"/>
        <w:rPr>
          <w:b/>
          <w:sz w:val="21"/>
        </w:rPr>
      </w:pPr>
      <w:r>
        <w:rPr>
          <w:b/>
          <w:sz w:val="21"/>
        </w:rPr>
        <w:t>9．释义</w:t>
      </w:r>
    </w:p>
    <w:p>
      <w:pPr>
        <w:pStyle w:val="ListParagraph"/>
        <w:numPr>
          <w:ilvl w:val="1"/>
          <w:numId w:val="7"/>
        </w:numPr>
        <w:tabs>
          <w:tab w:pos="1219" w:val="left" w:leader="none"/>
        </w:tabs>
        <w:spacing w:line="259" w:lineRule="exact" w:before="0" w:after="0"/>
        <w:ind w:left="1218" w:right="0" w:hanging="423"/>
        <w:jc w:val="left"/>
        <w:rPr>
          <w:sz w:val="21"/>
        </w:rPr>
      </w:pPr>
      <w:r>
        <w:rPr>
          <w:spacing w:val="-2"/>
          <w:sz w:val="21"/>
        </w:rPr>
        <w:t>本公司</w:t>
      </w:r>
    </w:p>
    <w:p>
      <w:pPr>
        <w:pStyle w:val="ListParagraph"/>
        <w:numPr>
          <w:ilvl w:val="1"/>
          <w:numId w:val="7"/>
        </w:numPr>
        <w:tabs>
          <w:tab w:pos="1219" w:val="left" w:leader="none"/>
        </w:tabs>
        <w:spacing w:line="267" w:lineRule="exact" w:before="0" w:after="0"/>
        <w:ind w:left="1218" w:right="0" w:hanging="423"/>
        <w:jc w:val="left"/>
        <w:rPr>
          <w:sz w:val="21"/>
        </w:rPr>
      </w:pPr>
      <w:r>
        <w:rPr>
          <w:spacing w:val="-3"/>
          <w:sz w:val="21"/>
        </w:rPr>
        <w:t>保单年度</w:t>
      </w:r>
    </w:p>
    <w:p>
      <w:pPr>
        <w:pStyle w:val="ListParagraph"/>
        <w:numPr>
          <w:ilvl w:val="1"/>
          <w:numId w:val="8"/>
        </w:numPr>
        <w:tabs>
          <w:tab w:pos="1115" w:val="left" w:leader="none"/>
        </w:tabs>
        <w:spacing w:line="268" w:lineRule="exact" w:before="40" w:after="0"/>
        <w:ind w:left="1215" w:right="0" w:hanging="523"/>
        <w:jc w:val="left"/>
        <w:rPr>
          <w:sz w:val="21"/>
        </w:rPr>
      </w:pPr>
      <w:r>
        <w:rPr>
          <w:spacing w:val="-3"/>
          <w:w w:val="100"/>
          <w:sz w:val="21"/>
        </w:rPr>
        <w:br w:type="column"/>
      </w:r>
      <w:r>
        <w:rPr>
          <w:spacing w:val="-3"/>
          <w:sz w:val="21"/>
        </w:rPr>
        <w:t>医院</w:t>
      </w:r>
    </w:p>
    <w:p>
      <w:pPr>
        <w:pStyle w:val="ListParagraph"/>
        <w:numPr>
          <w:ilvl w:val="1"/>
          <w:numId w:val="8"/>
        </w:numPr>
        <w:tabs>
          <w:tab w:pos="1115" w:val="left" w:leader="none"/>
        </w:tabs>
        <w:spacing w:line="260" w:lineRule="exact" w:before="0" w:after="0"/>
        <w:ind w:left="1215" w:right="0" w:hanging="523"/>
        <w:jc w:val="left"/>
        <w:rPr>
          <w:sz w:val="21"/>
        </w:rPr>
      </w:pPr>
      <w:r>
        <w:rPr>
          <w:spacing w:val="-3"/>
          <w:sz w:val="21"/>
        </w:rPr>
        <w:t>专科医生</w:t>
      </w:r>
    </w:p>
    <w:p>
      <w:pPr>
        <w:pStyle w:val="ListParagraph"/>
        <w:numPr>
          <w:ilvl w:val="1"/>
          <w:numId w:val="8"/>
        </w:numPr>
        <w:tabs>
          <w:tab w:pos="1115" w:val="left" w:leader="none"/>
        </w:tabs>
        <w:spacing w:line="259" w:lineRule="exact" w:before="0" w:after="0"/>
        <w:ind w:left="1215" w:right="0" w:hanging="523"/>
        <w:jc w:val="left"/>
        <w:rPr>
          <w:sz w:val="21"/>
        </w:rPr>
      </w:pPr>
      <w:r>
        <w:rPr>
          <w:spacing w:val="-3"/>
          <w:sz w:val="21"/>
        </w:rPr>
        <w:t>初次罹患</w:t>
      </w:r>
    </w:p>
    <w:p>
      <w:pPr>
        <w:pStyle w:val="ListParagraph"/>
        <w:numPr>
          <w:ilvl w:val="1"/>
          <w:numId w:val="8"/>
        </w:numPr>
        <w:tabs>
          <w:tab w:pos="1219" w:val="left" w:leader="none"/>
        </w:tabs>
        <w:spacing w:line="260" w:lineRule="exact" w:before="0" w:after="0"/>
        <w:ind w:left="1218" w:right="0" w:hanging="526"/>
        <w:jc w:val="left"/>
        <w:rPr>
          <w:sz w:val="21"/>
        </w:rPr>
      </w:pPr>
      <w:r>
        <w:rPr>
          <w:spacing w:val="-2"/>
          <w:sz w:val="21"/>
        </w:rPr>
        <w:t>轻症疾病</w:t>
      </w:r>
    </w:p>
    <w:p>
      <w:pPr>
        <w:pStyle w:val="ListParagraph"/>
        <w:numPr>
          <w:ilvl w:val="1"/>
          <w:numId w:val="8"/>
        </w:numPr>
        <w:tabs>
          <w:tab w:pos="1219" w:val="left" w:leader="none"/>
        </w:tabs>
        <w:spacing w:line="260" w:lineRule="exact" w:before="0" w:after="0"/>
        <w:ind w:left="1218" w:right="0" w:hanging="526"/>
        <w:jc w:val="left"/>
        <w:rPr>
          <w:sz w:val="21"/>
        </w:rPr>
      </w:pPr>
      <w:r>
        <w:rPr>
          <w:spacing w:val="-2"/>
          <w:sz w:val="21"/>
        </w:rPr>
        <w:t>重大疾病</w:t>
      </w:r>
    </w:p>
    <w:p>
      <w:pPr>
        <w:pStyle w:val="ListParagraph"/>
        <w:numPr>
          <w:ilvl w:val="1"/>
          <w:numId w:val="8"/>
        </w:numPr>
        <w:tabs>
          <w:tab w:pos="1219" w:val="left" w:leader="none"/>
        </w:tabs>
        <w:spacing w:line="259" w:lineRule="exact" w:before="0" w:after="0"/>
        <w:ind w:left="1218" w:right="0" w:hanging="526"/>
        <w:jc w:val="left"/>
        <w:rPr>
          <w:sz w:val="21"/>
        </w:rPr>
      </w:pPr>
      <w:r>
        <w:rPr>
          <w:sz w:val="21"/>
        </w:rPr>
        <w:t>全残</w:t>
      </w:r>
    </w:p>
    <w:p>
      <w:pPr>
        <w:pStyle w:val="ListParagraph"/>
        <w:numPr>
          <w:ilvl w:val="1"/>
          <w:numId w:val="8"/>
        </w:numPr>
        <w:tabs>
          <w:tab w:pos="1219" w:val="left" w:leader="none"/>
        </w:tabs>
        <w:spacing w:line="260" w:lineRule="exact" w:before="0" w:after="0"/>
        <w:ind w:left="1218" w:right="0" w:hanging="526"/>
        <w:jc w:val="left"/>
        <w:rPr>
          <w:sz w:val="21"/>
        </w:rPr>
      </w:pPr>
      <w:r>
        <w:rPr>
          <w:spacing w:val="-3"/>
          <w:sz w:val="21"/>
        </w:rPr>
        <w:t>累计已交保险费</w:t>
      </w:r>
    </w:p>
    <w:p>
      <w:pPr>
        <w:pStyle w:val="ListParagraph"/>
        <w:numPr>
          <w:ilvl w:val="1"/>
          <w:numId w:val="8"/>
        </w:numPr>
        <w:tabs>
          <w:tab w:pos="1219" w:val="left" w:leader="none"/>
        </w:tabs>
        <w:spacing w:line="268" w:lineRule="exact" w:before="0" w:after="0"/>
        <w:ind w:left="1218" w:right="0" w:hanging="526"/>
        <w:jc w:val="left"/>
        <w:rPr>
          <w:sz w:val="21"/>
        </w:rPr>
      </w:pPr>
      <w:r>
        <w:rPr>
          <w:spacing w:val="-2"/>
          <w:sz w:val="21"/>
        </w:rPr>
        <w:t>保险事故</w:t>
      </w:r>
    </w:p>
    <w:p>
      <w:pPr>
        <w:pStyle w:val="ListParagraph"/>
        <w:numPr>
          <w:ilvl w:val="1"/>
          <w:numId w:val="8"/>
        </w:numPr>
        <w:tabs>
          <w:tab w:pos="1219" w:val="left" w:leader="none"/>
        </w:tabs>
        <w:spacing w:line="274" w:lineRule="exact" w:before="0" w:after="0"/>
        <w:ind w:left="1218" w:right="0" w:hanging="526"/>
        <w:jc w:val="left"/>
        <w:rPr>
          <w:sz w:val="21"/>
        </w:rPr>
      </w:pPr>
      <w:r>
        <w:rPr>
          <w:sz w:val="21"/>
        </w:rPr>
        <w:t>毒品</w:t>
      </w:r>
    </w:p>
    <w:p>
      <w:pPr>
        <w:pStyle w:val="ListParagraph"/>
        <w:numPr>
          <w:ilvl w:val="1"/>
          <w:numId w:val="8"/>
        </w:numPr>
        <w:tabs>
          <w:tab w:pos="1219" w:val="left" w:leader="none"/>
        </w:tabs>
        <w:spacing w:line="240" w:lineRule="auto" w:before="6" w:after="0"/>
        <w:ind w:left="1218" w:right="0" w:hanging="526"/>
        <w:jc w:val="left"/>
        <w:rPr>
          <w:sz w:val="21"/>
        </w:rPr>
      </w:pPr>
      <w:r>
        <w:rPr>
          <w:spacing w:val="-2"/>
          <w:sz w:val="21"/>
        </w:rPr>
        <w:t>酒后驾驶</w:t>
      </w:r>
    </w:p>
    <w:p>
      <w:pPr>
        <w:pStyle w:val="ListParagraph"/>
        <w:numPr>
          <w:ilvl w:val="1"/>
          <w:numId w:val="8"/>
        </w:numPr>
        <w:tabs>
          <w:tab w:pos="1238" w:val="left" w:leader="none"/>
        </w:tabs>
        <w:spacing w:line="244" w:lineRule="auto" w:before="3" w:after="0"/>
        <w:ind w:left="1215" w:right="512" w:hanging="523"/>
        <w:jc w:val="left"/>
        <w:rPr>
          <w:sz w:val="21"/>
        </w:rPr>
      </w:pPr>
      <w:r>
        <w:rPr>
          <w:spacing w:val="10"/>
          <w:sz w:val="21"/>
        </w:rPr>
        <w:t>无合法有效驾驶证驾驶</w:t>
      </w:r>
    </w:p>
    <w:p>
      <w:pPr>
        <w:pStyle w:val="ListParagraph"/>
        <w:numPr>
          <w:ilvl w:val="1"/>
          <w:numId w:val="8"/>
        </w:numPr>
        <w:tabs>
          <w:tab w:pos="1219" w:val="left" w:leader="none"/>
        </w:tabs>
        <w:spacing w:line="240" w:lineRule="auto" w:before="1" w:after="0"/>
        <w:ind w:left="1218" w:right="0" w:hanging="526"/>
        <w:jc w:val="left"/>
        <w:rPr>
          <w:sz w:val="21"/>
        </w:rPr>
      </w:pPr>
      <w:r>
        <w:rPr>
          <w:spacing w:val="-3"/>
          <w:sz w:val="21"/>
        </w:rPr>
        <w:t>无有效行驶证</w:t>
      </w:r>
    </w:p>
    <w:p>
      <w:pPr>
        <w:pStyle w:val="ListParagraph"/>
        <w:numPr>
          <w:ilvl w:val="1"/>
          <w:numId w:val="8"/>
        </w:numPr>
        <w:tabs>
          <w:tab w:pos="1219" w:val="left" w:leader="none"/>
        </w:tabs>
        <w:spacing w:line="240" w:lineRule="auto" w:before="3" w:after="0"/>
        <w:ind w:left="1218" w:right="0" w:hanging="526"/>
        <w:jc w:val="left"/>
        <w:rPr>
          <w:sz w:val="21"/>
        </w:rPr>
      </w:pPr>
      <w:r>
        <w:rPr>
          <w:spacing w:val="-2"/>
          <w:sz w:val="21"/>
        </w:rPr>
        <w:t>机动车</w:t>
      </w:r>
    </w:p>
    <w:p>
      <w:pPr>
        <w:pStyle w:val="ListParagraph"/>
        <w:numPr>
          <w:ilvl w:val="1"/>
          <w:numId w:val="8"/>
        </w:numPr>
        <w:tabs>
          <w:tab w:pos="1219" w:val="left" w:leader="none"/>
        </w:tabs>
        <w:spacing w:line="244" w:lineRule="auto" w:before="5" w:after="0"/>
        <w:ind w:left="1215" w:right="648" w:hanging="523"/>
        <w:jc w:val="left"/>
        <w:rPr>
          <w:sz w:val="21"/>
        </w:rPr>
      </w:pPr>
      <w:r>
        <w:rPr>
          <w:spacing w:val="-3"/>
          <w:sz w:val="21"/>
        </w:rPr>
        <w:t>感染艾滋病病毒或者患艾滋病</w:t>
      </w:r>
    </w:p>
    <w:p>
      <w:pPr>
        <w:pStyle w:val="ListParagraph"/>
        <w:numPr>
          <w:ilvl w:val="1"/>
          <w:numId w:val="8"/>
        </w:numPr>
        <w:tabs>
          <w:tab w:pos="1219" w:val="left" w:leader="none"/>
        </w:tabs>
        <w:spacing w:line="253" w:lineRule="exact" w:before="0" w:after="0"/>
        <w:ind w:left="1218" w:right="0" w:hanging="526"/>
        <w:jc w:val="left"/>
        <w:rPr>
          <w:sz w:val="21"/>
        </w:rPr>
      </w:pPr>
      <w:r>
        <w:rPr>
          <w:spacing w:val="-3"/>
          <w:sz w:val="21"/>
        </w:rPr>
        <w:t>遗传性疾病</w:t>
      </w:r>
    </w:p>
    <w:p>
      <w:pPr>
        <w:pStyle w:val="ListParagraph"/>
        <w:numPr>
          <w:ilvl w:val="1"/>
          <w:numId w:val="8"/>
        </w:numPr>
        <w:tabs>
          <w:tab w:pos="1219" w:val="left" w:leader="none"/>
        </w:tabs>
        <w:spacing w:line="225" w:lineRule="auto" w:before="10" w:after="0"/>
        <w:ind w:left="1215" w:right="648" w:hanging="523"/>
        <w:jc w:val="left"/>
        <w:rPr>
          <w:sz w:val="21"/>
        </w:rPr>
      </w:pPr>
      <w:r>
        <w:rPr>
          <w:spacing w:val="-3"/>
          <w:sz w:val="21"/>
        </w:rPr>
        <w:t>先天性畸形、变形或者染色体异常</w:t>
      </w:r>
    </w:p>
    <w:p>
      <w:pPr>
        <w:pStyle w:val="ListParagraph"/>
        <w:numPr>
          <w:ilvl w:val="1"/>
          <w:numId w:val="8"/>
        </w:numPr>
        <w:tabs>
          <w:tab w:pos="1219" w:val="left" w:leader="none"/>
        </w:tabs>
        <w:spacing w:line="253" w:lineRule="exact" w:before="0" w:after="0"/>
        <w:ind w:left="1218" w:right="0" w:hanging="526"/>
        <w:jc w:val="left"/>
        <w:rPr>
          <w:sz w:val="21"/>
        </w:rPr>
      </w:pPr>
      <w:r>
        <w:rPr>
          <w:spacing w:val="-3"/>
          <w:sz w:val="21"/>
        </w:rPr>
        <w:t>其他权利人</w:t>
      </w:r>
    </w:p>
    <w:p>
      <w:pPr>
        <w:pStyle w:val="ListParagraph"/>
        <w:numPr>
          <w:ilvl w:val="1"/>
          <w:numId w:val="8"/>
        </w:numPr>
        <w:tabs>
          <w:tab w:pos="1219" w:val="left" w:leader="none"/>
        </w:tabs>
        <w:spacing w:line="260" w:lineRule="exact" w:before="0" w:after="0"/>
        <w:ind w:left="1218" w:right="0" w:hanging="526"/>
        <w:jc w:val="left"/>
        <w:rPr>
          <w:sz w:val="21"/>
        </w:rPr>
      </w:pPr>
      <w:r>
        <w:rPr>
          <w:spacing w:val="-2"/>
          <w:sz w:val="21"/>
        </w:rPr>
        <w:t>不可抗力</w:t>
      </w:r>
    </w:p>
    <w:p>
      <w:pPr>
        <w:pStyle w:val="ListParagraph"/>
        <w:numPr>
          <w:ilvl w:val="1"/>
          <w:numId w:val="8"/>
        </w:numPr>
        <w:tabs>
          <w:tab w:pos="1219" w:val="left" w:leader="none"/>
        </w:tabs>
        <w:spacing w:line="259" w:lineRule="exact" w:before="0" w:after="0"/>
        <w:ind w:left="1218" w:right="0" w:hanging="526"/>
        <w:jc w:val="left"/>
        <w:rPr>
          <w:sz w:val="21"/>
        </w:rPr>
      </w:pPr>
      <w:r>
        <w:rPr>
          <w:spacing w:val="-3"/>
          <w:sz w:val="21"/>
        </w:rPr>
        <w:t>法定身份证明</w:t>
      </w:r>
    </w:p>
    <w:p>
      <w:pPr>
        <w:pStyle w:val="ListParagraph"/>
        <w:numPr>
          <w:ilvl w:val="1"/>
          <w:numId w:val="8"/>
        </w:numPr>
        <w:tabs>
          <w:tab w:pos="1219" w:val="left" w:leader="none"/>
        </w:tabs>
        <w:spacing w:line="261" w:lineRule="exact" w:before="0" w:after="0"/>
        <w:ind w:left="1218" w:right="0" w:hanging="526"/>
        <w:jc w:val="left"/>
        <w:rPr>
          <w:sz w:val="21"/>
        </w:rPr>
      </w:pPr>
      <w:r>
        <w:rPr>
          <w:spacing w:val="-3"/>
          <w:sz w:val="21"/>
        </w:rPr>
        <w:t>现金价值净额</w:t>
      </w:r>
    </w:p>
    <w:p>
      <w:pPr>
        <w:pStyle w:val="ListParagraph"/>
        <w:numPr>
          <w:ilvl w:val="1"/>
          <w:numId w:val="8"/>
        </w:numPr>
        <w:tabs>
          <w:tab w:pos="1216" w:val="left" w:leader="none"/>
        </w:tabs>
        <w:spacing w:line="268" w:lineRule="exact" w:before="0" w:after="0"/>
        <w:ind w:left="1215" w:right="0" w:hanging="523"/>
        <w:jc w:val="left"/>
        <w:rPr>
          <w:sz w:val="21"/>
        </w:rPr>
      </w:pPr>
      <w:r>
        <w:rPr>
          <w:spacing w:val="-1"/>
          <w:sz w:val="21"/>
        </w:rPr>
        <w:t>约定利率</w:t>
      </w:r>
    </w:p>
    <w:p>
      <w:pPr>
        <w:spacing w:after="0" w:line="268" w:lineRule="exact"/>
        <w:jc w:val="left"/>
        <w:rPr>
          <w:sz w:val="21"/>
        </w:rPr>
        <w:sectPr>
          <w:type w:val="continuous"/>
          <w:pgSz w:w="11910" w:h="16840"/>
          <w:pgMar w:top="620" w:bottom="280" w:left="780" w:right="660"/>
          <w:cols w:num="3" w:equalWidth="0">
            <w:col w:w="3726" w:space="40"/>
            <w:col w:w="3110" w:space="39"/>
            <w:col w:w="3555"/>
          </w:cols>
        </w:sectPr>
      </w:pPr>
    </w:p>
    <w:p>
      <w:pPr>
        <w:spacing w:line="393" w:lineRule="exact" w:before="0"/>
        <w:ind w:left="1982" w:right="1983" w:firstLine="0"/>
        <w:jc w:val="center"/>
        <w:rPr>
          <w:b/>
          <w:sz w:val="32"/>
        </w:rPr>
      </w:pPr>
      <w:r>
        <w:rPr>
          <w:b/>
          <w:w w:val="95"/>
          <w:sz w:val="32"/>
        </w:rPr>
        <w:t>君康人寿保险股份有限公司</w:t>
      </w:r>
    </w:p>
    <w:p>
      <w:pPr>
        <w:spacing w:before="205"/>
        <w:ind w:left="1983" w:right="1983" w:firstLine="0"/>
        <w:jc w:val="center"/>
        <w:rPr>
          <w:b/>
          <w:sz w:val="32"/>
        </w:rPr>
      </w:pPr>
      <w:r>
        <w:rPr>
          <w:b/>
          <w:w w:val="95"/>
          <w:sz w:val="32"/>
        </w:rPr>
        <w:t>君康附加投保人豁免保险费重大疾病保险条款</w:t>
      </w:r>
    </w:p>
    <w:p>
      <w:pPr>
        <w:pStyle w:val="BodyText"/>
        <w:ind w:left="0" w:firstLine="0"/>
        <w:rPr>
          <w:b/>
          <w:sz w:val="20"/>
        </w:rPr>
      </w:pPr>
    </w:p>
    <w:p>
      <w:pPr>
        <w:pStyle w:val="BodyText"/>
        <w:ind w:left="0" w:firstLine="0"/>
        <w:rPr>
          <w:b/>
          <w:sz w:val="20"/>
        </w:rPr>
      </w:pPr>
    </w:p>
    <w:p>
      <w:pPr>
        <w:pStyle w:val="BodyText"/>
        <w:spacing w:before="11"/>
        <w:ind w:left="0" w:firstLine="0"/>
        <w:rPr>
          <w:b/>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35"/>
        <w:gridCol w:w="7814"/>
      </w:tblGrid>
      <w:tr>
        <w:trPr>
          <w:trHeight w:val="473" w:hRule="atLeast"/>
        </w:trPr>
        <w:tc>
          <w:tcPr>
            <w:tcW w:w="625" w:type="dxa"/>
            <w:tcBorders>
              <w:bottom w:val="single" w:sz="4" w:space="0" w:color="000000"/>
            </w:tcBorders>
          </w:tcPr>
          <w:p>
            <w:pPr>
              <w:pStyle w:val="TableParagraph"/>
              <w:spacing w:line="319" w:lineRule="exact" w:before="0"/>
              <w:ind w:left="148"/>
              <w:rPr>
                <w:b/>
                <w:sz w:val="32"/>
              </w:rPr>
            </w:pPr>
            <w:r>
              <w:rPr>
                <w:b/>
                <w:w w:val="98"/>
                <w:sz w:val="32"/>
              </w:rPr>
              <w:t>1</w:t>
            </w:r>
          </w:p>
        </w:tc>
        <w:tc>
          <w:tcPr>
            <w:tcW w:w="9249" w:type="dxa"/>
            <w:gridSpan w:val="2"/>
            <w:tcBorders>
              <w:bottom w:val="single" w:sz="4" w:space="0" w:color="000000"/>
            </w:tcBorders>
          </w:tcPr>
          <w:p>
            <w:pPr>
              <w:pStyle w:val="TableParagraph"/>
              <w:spacing w:line="282" w:lineRule="exact" w:before="0"/>
              <w:ind w:left="198"/>
              <w:rPr>
                <w:b/>
                <w:sz w:val="24"/>
              </w:rPr>
            </w:pPr>
            <w:r>
              <w:rPr>
                <w:b/>
                <w:w w:val="95"/>
                <w:sz w:val="24"/>
              </w:rPr>
              <w:t>投保人与本公司的合同</w:t>
            </w:r>
          </w:p>
        </w:tc>
      </w:tr>
      <w:tr>
        <w:trPr>
          <w:trHeight w:val="1945" w:hRule="atLeast"/>
        </w:trPr>
        <w:tc>
          <w:tcPr>
            <w:tcW w:w="625" w:type="dxa"/>
            <w:tcBorders>
              <w:top w:val="single" w:sz="4" w:space="0" w:color="000000"/>
            </w:tcBorders>
          </w:tcPr>
          <w:p>
            <w:pPr>
              <w:pStyle w:val="TableParagraph"/>
              <w:spacing w:before="167"/>
              <w:ind w:left="110"/>
              <w:rPr>
                <w:b/>
                <w:sz w:val="21"/>
              </w:rPr>
            </w:pPr>
            <w:r>
              <w:rPr>
                <w:b/>
                <w:sz w:val="21"/>
              </w:rPr>
              <w:t>1.1</w:t>
            </w:r>
          </w:p>
        </w:tc>
        <w:tc>
          <w:tcPr>
            <w:tcW w:w="1435" w:type="dxa"/>
            <w:tcBorders>
              <w:top w:val="single" w:sz="4" w:space="0" w:color="000000"/>
            </w:tcBorders>
          </w:tcPr>
          <w:p>
            <w:pPr>
              <w:pStyle w:val="TableParagraph"/>
              <w:spacing w:before="167"/>
              <w:ind w:left="198"/>
              <w:rPr>
                <w:b/>
                <w:sz w:val="21"/>
              </w:rPr>
            </w:pPr>
            <w:r>
              <w:rPr>
                <w:b/>
                <w:sz w:val="21"/>
              </w:rPr>
              <w:t>合同构成</w:t>
            </w:r>
          </w:p>
        </w:tc>
        <w:tc>
          <w:tcPr>
            <w:tcW w:w="7814" w:type="dxa"/>
            <w:tcBorders>
              <w:top w:val="single" w:sz="4" w:space="0" w:color="000000"/>
            </w:tcBorders>
          </w:tcPr>
          <w:p>
            <w:pPr>
              <w:pStyle w:val="TableParagraph"/>
              <w:spacing w:line="300" w:lineRule="auto" w:before="150"/>
              <w:ind w:left="182" w:right="-15"/>
              <w:rPr>
                <w:sz w:val="21"/>
              </w:rPr>
            </w:pPr>
            <w:r>
              <w:rPr>
                <w:w w:val="100"/>
                <w:sz w:val="21"/>
              </w:rPr>
              <w:t>君康附加投保人豁免保险费重大疾病保险（</w:t>
            </w:r>
            <w:r>
              <w:rPr>
                <w:spacing w:val="-9"/>
                <w:w w:val="100"/>
                <w:sz w:val="21"/>
              </w:rPr>
              <w:t>以下简称为“本附加险合同”</w:t>
            </w:r>
            <w:r>
              <w:rPr>
                <w:w w:val="100"/>
                <w:sz w:val="21"/>
              </w:rPr>
              <w:t>）</w:t>
            </w:r>
            <w:r>
              <w:rPr>
                <w:spacing w:val="0"/>
                <w:w w:val="100"/>
                <w:sz w:val="21"/>
              </w:rPr>
              <w:t>是主保</w:t>
            </w:r>
            <w:r>
              <w:rPr>
                <w:w w:val="100"/>
                <w:sz w:val="21"/>
              </w:rPr>
              <w:t>险合同</w:t>
            </w:r>
            <w:r>
              <w:rPr>
                <w:spacing w:val="1"/>
                <w:w w:val="100"/>
                <w:sz w:val="21"/>
              </w:rPr>
              <w:t>（</w:t>
            </w:r>
            <w:r>
              <w:rPr>
                <w:spacing w:val="-10"/>
                <w:w w:val="100"/>
                <w:sz w:val="21"/>
              </w:rPr>
              <w:t>以下简称为“主险合同”</w:t>
            </w:r>
            <w:r>
              <w:rPr>
                <w:w w:val="100"/>
                <w:sz w:val="21"/>
              </w:rPr>
              <w:t>）的附加合同。本保险条款、保险单或者其他保</w:t>
            </w:r>
            <w:r>
              <w:rPr>
                <w:spacing w:val="-12"/>
                <w:sz w:val="21"/>
              </w:rPr>
              <w:t>险凭证、投保书、与本附加险合同有关的投保文件、合法有效的声明、批注、批单、</w:t>
            </w:r>
            <w:r>
              <w:rPr>
                <w:spacing w:val="-6"/>
                <w:sz w:val="21"/>
              </w:rPr>
              <w:t>其他经投保人与</w:t>
            </w:r>
            <w:r>
              <w:rPr>
                <w:b/>
                <w:sz w:val="21"/>
              </w:rPr>
              <w:t>本公司</w:t>
            </w:r>
            <w:r>
              <w:rPr>
                <w:spacing w:val="-3"/>
                <w:sz w:val="21"/>
              </w:rPr>
              <w:t>（</w:t>
            </w:r>
            <w:r>
              <w:rPr>
                <w:spacing w:val="-14"/>
                <w:sz w:val="21"/>
              </w:rPr>
              <w:t>见 </w:t>
            </w:r>
            <w:r>
              <w:rPr>
                <w:sz w:val="21"/>
              </w:rPr>
              <w:t>9.1）</w:t>
            </w:r>
            <w:r>
              <w:rPr>
                <w:spacing w:val="-3"/>
                <w:sz w:val="21"/>
              </w:rPr>
              <w:t>共同认可的与本附加险合同有关的书面协议都是投保人与本公司之间订立的本附加险合同的构成部分。</w:t>
            </w:r>
          </w:p>
        </w:tc>
      </w:tr>
      <w:tr>
        <w:trPr>
          <w:trHeight w:val="512" w:hRule="atLeast"/>
        </w:trPr>
        <w:tc>
          <w:tcPr>
            <w:tcW w:w="625" w:type="dxa"/>
          </w:tcPr>
          <w:p>
            <w:pPr>
              <w:pStyle w:val="TableParagraph"/>
              <w:spacing w:before="99"/>
              <w:ind w:left="110"/>
              <w:rPr>
                <w:b/>
                <w:sz w:val="21"/>
              </w:rPr>
            </w:pPr>
            <w:r>
              <w:rPr>
                <w:b/>
                <w:sz w:val="21"/>
              </w:rPr>
              <w:t>1.2</w:t>
            </w:r>
          </w:p>
        </w:tc>
        <w:tc>
          <w:tcPr>
            <w:tcW w:w="1435" w:type="dxa"/>
            <w:vMerge w:val="restart"/>
          </w:tcPr>
          <w:p>
            <w:pPr>
              <w:pStyle w:val="TableParagraph"/>
              <w:spacing w:line="326" w:lineRule="auto" w:before="99"/>
              <w:ind w:left="198" w:right="178"/>
              <w:rPr>
                <w:b/>
                <w:sz w:val="21"/>
              </w:rPr>
            </w:pPr>
            <w:r>
              <w:rPr>
                <w:b/>
                <w:sz w:val="21"/>
              </w:rPr>
              <w:t>合同成立与生效</w:t>
            </w:r>
          </w:p>
        </w:tc>
        <w:tc>
          <w:tcPr>
            <w:tcW w:w="7814" w:type="dxa"/>
          </w:tcPr>
          <w:p>
            <w:pPr>
              <w:pStyle w:val="TableParagraph"/>
              <w:spacing w:before="82"/>
              <w:ind w:left="182"/>
              <w:rPr>
                <w:sz w:val="21"/>
              </w:rPr>
            </w:pPr>
            <w:r>
              <w:rPr>
                <w:sz w:val="21"/>
              </w:rPr>
              <w:t>投保人提出保险申请，本公司同意承保，本附加险合同成立。</w:t>
            </w:r>
          </w:p>
        </w:tc>
      </w:tr>
      <w:tr>
        <w:trPr>
          <w:trHeight w:val="850" w:hRule="atLeast"/>
        </w:trPr>
        <w:tc>
          <w:tcPr>
            <w:tcW w:w="625" w:type="dxa"/>
          </w:tcPr>
          <w:p>
            <w:pPr>
              <w:pStyle w:val="TableParagraph"/>
              <w:spacing w:before="0"/>
              <w:ind w:left="0"/>
              <w:rPr>
                <w:rFonts w:ascii="Times New Roman"/>
                <w:sz w:val="20"/>
              </w:rPr>
            </w:pPr>
          </w:p>
        </w:tc>
        <w:tc>
          <w:tcPr>
            <w:tcW w:w="1435" w:type="dxa"/>
            <w:vMerge/>
            <w:tcBorders>
              <w:top w:val="nil"/>
            </w:tcBorders>
          </w:tcPr>
          <w:p>
            <w:pPr>
              <w:rPr>
                <w:sz w:val="2"/>
                <w:szCs w:val="2"/>
              </w:rPr>
            </w:pPr>
          </w:p>
        </w:tc>
        <w:tc>
          <w:tcPr>
            <w:tcW w:w="7814" w:type="dxa"/>
          </w:tcPr>
          <w:p>
            <w:pPr>
              <w:pStyle w:val="TableParagraph"/>
              <w:spacing w:line="300" w:lineRule="auto" w:before="74"/>
              <w:ind w:left="182" w:right="41"/>
              <w:rPr>
                <w:sz w:val="21"/>
              </w:rPr>
            </w:pPr>
            <w:r>
              <w:rPr>
                <w:sz w:val="21"/>
              </w:rPr>
              <w:t>本附加险合同的生效日、</w:t>
            </w:r>
            <w:r>
              <w:rPr>
                <w:b/>
                <w:sz w:val="21"/>
              </w:rPr>
              <w:t>保单年度</w:t>
            </w:r>
            <w:r>
              <w:rPr>
                <w:sz w:val="21"/>
              </w:rPr>
              <w:t>（见 9.2）和</w:t>
            </w:r>
            <w:r>
              <w:rPr>
                <w:b/>
                <w:sz w:val="21"/>
              </w:rPr>
              <w:t>保险费应交日</w:t>
            </w:r>
            <w:r>
              <w:rPr>
                <w:sz w:val="21"/>
              </w:rPr>
              <w:t>（见 9.3）与主险合同一致。</w:t>
            </w:r>
          </w:p>
        </w:tc>
      </w:tr>
      <w:tr>
        <w:trPr>
          <w:trHeight w:val="1388" w:hRule="atLeast"/>
        </w:trPr>
        <w:tc>
          <w:tcPr>
            <w:tcW w:w="625" w:type="dxa"/>
          </w:tcPr>
          <w:p>
            <w:pPr>
              <w:pStyle w:val="TableParagraph"/>
              <w:spacing w:before="111"/>
              <w:ind w:left="110"/>
              <w:rPr>
                <w:b/>
                <w:sz w:val="21"/>
              </w:rPr>
            </w:pPr>
            <w:r>
              <w:rPr>
                <w:b/>
                <w:sz w:val="21"/>
              </w:rPr>
              <w:t>1.3</w:t>
            </w:r>
          </w:p>
        </w:tc>
        <w:tc>
          <w:tcPr>
            <w:tcW w:w="1435" w:type="dxa"/>
          </w:tcPr>
          <w:p>
            <w:pPr>
              <w:pStyle w:val="TableParagraph"/>
              <w:spacing w:before="111"/>
              <w:ind w:left="198"/>
              <w:rPr>
                <w:b/>
                <w:sz w:val="21"/>
              </w:rPr>
            </w:pPr>
            <w:r>
              <w:rPr>
                <w:b/>
                <w:sz w:val="21"/>
              </w:rPr>
              <w:t>投保范围</w:t>
            </w:r>
          </w:p>
        </w:tc>
        <w:tc>
          <w:tcPr>
            <w:tcW w:w="7814" w:type="dxa"/>
          </w:tcPr>
          <w:p>
            <w:pPr>
              <w:pStyle w:val="TableParagraph"/>
              <w:spacing w:line="300" w:lineRule="auto" w:before="94"/>
              <w:ind w:left="182" w:right="99"/>
              <w:rPr>
                <w:sz w:val="21"/>
              </w:rPr>
            </w:pPr>
            <w:r>
              <w:rPr>
                <w:spacing w:val="-10"/>
                <w:sz w:val="21"/>
              </w:rPr>
              <w:t>投保人：凡年满 </w:t>
            </w:r>
            <w:r>
              <w:rPr>
                <w:sz w:val="21"/>
              </w:rPr>
              <w:t>18 </w:t>
            </w:r>
            <w:r>
              <w:rPr>
                <w:b/>
                <w:spacing w:val="-9"/>
                <w:sz w:val="21"/>
              </w:rPr>
              <w:t>周岁</w:t>
            </w:r>
            <w:r>
              <w:rPr>
                <w:spacing w:val="-3"/>
                <w:sz w:val="21"/>
              </w:rPr>
              <w:t>（</w:t>
            </w:r>
            <w:r>
              <w:rPr>
                <w:spacing w:val="-23"/>
                <w:sz w:val="21"/>
              </w:rPr>
              <w:t>见 </w:t>
            </w:r>
            <w:r>
              <w:rPr>
                <w:spacing w:val="-6"/>
                <w:sz w:val="21"/>
              </w:rPr>
              <w:t>9.4）</w:t>
            </w:r>
            <w:r>
              <w:rPr>
                <w:spacing w:val="-23"/>
                <w:sz w:val="21"/>
              </w:rPr>
              <w:t>至 </w:t>
            </w:r>
            <w:r>
              <w:rPr>
                <w:sz w:val="21"/>
              </w:rPr>
              <w:t>60</w:t>
            </w:r>
            <w:r>
              <w:rPr>
                <w:spacing w:val="-24"/>
                <w:sz w:val="21"/>
              </w:rPr>
              <w:t> 周岁</w:t>
            </w:r>
            <w:r>
              <w:rPr>
                <w:sz w:val="21"/>
              </w:rPr>
              <w:t>（含</w:t>
            </w:r>
            <w:r>
              <w:rPr>
                <w:spacing w:val="-64"/>
                <w:sz w:val="21"/>
              </w:rPr>
              <w:t>）</w:t>
            </w:r>
            <w:r>
              <w:rPr>
                <w:spacing w:val="-10"/>
                <w:sz w:val="21"/>
              </w:rPr>
              <w:t>，具有完全民事行为能力且对被</w:t>
            </w:r>
            <w:r>
              <w:rPr>
                <w:spacing w:val="-3"/>
                <w:sz w:val="21"/>
              </w:rPr>
              <w:t>保险人具有保险利益的人，均可作为本附加险合同的投保人。</w:t>
            </w:r>
          </w:p>
          <w:p>
            <w:pPr>
              <w:pStyle w:val="TableParagraph"/>
              <w:spacing w:before="171"/>
              <w:ind w:left="182"/>
              <w:rPr>
                <w:sz w:val="21"/>
              </w:rPr>
            </w:pPr>
            <w:r>
              <w:rPr>
                <w:sz w:val="21"/>
              </w:rPr>
              <w:t>本附加险合同的被保险人与投保人必须为同一人，且均为主险合同的投保人。</w:t>
            </w:r>
          </w:p>
        </w:tc>
      </w:tr>
      <w:tr>
        <w:trPr>
          <w:trHeight w:val="3132" w:hRule="atLeast"/>
        </w:trPr>
        <w:tc>
          <w:tcPr>
            <w:tcW w:w="625" w:type="dxa"/>
          </w:tcPr>
          <w:p>
            <w:pPr>
              <w:pStyle w:val="TableParagraph"/>
              <w:spacing w:before="129"/>
              <w:ind w:left="110"/>
              <w:rPr>
                <w:b/>
                <w:sz w:val="21"/>
              </w:rPr>
            </w:pPr>
            <w:r>
              <w:rPr>
                <w:b/>
                <w:sz w:val="21"/>
              </w:rPr>
              <w:t>1.4</w:t>
            </w:r>
          </w:p>
        </w:tc>
        <w:tc>
          <w:tcPr>
            <w:tcW w:w="1435" w:type="dxa"/>
          </w:tcPr>
          <w:p>
            <w:pPr>
              <w:pStyle w:val="TableParagraph"/>
              <w:spacing w:before="129"/>
              <w:ind w:left="198"/>
              <w:rPr>
                <w:b/>
                <w:sz w:val="21"/>
              </w:rPr>
            </w:pPr>
            <w:r>
              <w:rPr>
                <w:b/>
                <w:sz w:val="21"/>
              </w:rPr>
              <w:t>犹豫期</w:t>
            </w:r>
          </w:p>
        </w:tc>
        <w:tc>
          <w:tcPr>
            <w:tcW w:w="7814" w:type="dxa"/>
          </w:tcPr>
          <w:p>
            <w:pPr>
              <w:pStyle w:val="TableParagraph"/>
              <w:spacing w:line="300" w:lineRule="auto" w:before="112"/>
              <w:ind w:left="182" w:right="63"/>
              <w:jc w:val="both"/>
              <w:rPr>
                <w:sz w:val="21"/>
              </w:rPr>
            </w:pPr>
            <w:r>
              <w:rPr>
                <w:sz w:val="21"/>
              </w:rPr>
              <w:t>从投保人收到本附加险合同并书面签收或者按照本公司要求的其他方式对本附加</w:t>
            </w:r>
            <w:r>
              <w:rPr>
                <w:spacing w:val="-5"/>
                <w:sz w:val="21"/>
              </w:rPr>
              <w:t>险合同进行确认之日起的一段时期为犹豫期，该时期不低于十日，具体日数以保险</w:t>
            </w:r>
            <w:r>
              <w:rPr>
                <w:spacing w:val="-4"/>
                <w:sz w:val="21"/>
              </w:rPr>
              <w:t>单上所载的为准。在此期间，如投保人认为本附加险合同与投保人的需求不相符， </w:t>
            </w:r>
            <w:r>
              <w:rPr>
                <w:spacing w:val="-6"/>
                <w:sz w:val="21"/>
              </w:rPr>
              <w:t>可以解除本附加险合同，本公司将无息退还保险费</w:t>
            </w:r>
            <w:r>
              <w:rPr>
                <w:spacing w:val="-132"/>
                <w:sz w:val="21"/>
              </w:rPr>
              <w:t>。</w:t>
            </w:r>
            <w:r>
              <w:rPr>
                <w:sz w:val="21"/>
              </w:rPr>
              <w:t>（</w:t>
            </w:r>
            <w:r>
              <w:rPr>
                <w:b/>
                <w:spacing w:val="-6"/>
                <w:sz w:val="21"/>
              </w:rPr>
              <w:t>特殊群体</w:t>
            </w:r>
            <w:r>
              <w:rPr>
                <w:sz w:val="21"/>
              </w:rPr>
              <w:t>（</w:t>
            </w:r>
            <w:r>
              <w:rPr>
                <w:spacing w:val="-18"/>
                <w:sz w:val="21"/>
              </w:rPr>
              <w:t>见 </w:t>
            </w:r>
            <w:r>
              <w:rPr>
                <w:spacing w:val="-7"/>
                <w:sz w:val="21"/>
              </w:rPr>
              <w:t>9.5）</w:t>
            </w:r>
            <w:r>
              <w:rPr>
                <w:spacing w:val="-2"/>
                <w:sz w:val="21"/>
              </w:rPr>
              <w:t>客户另有</w:t>
            </w:r>
            <w:r>
              <w:rPr>
                <w:spacing w:val="-3"/>
                <w:sz w:val="21"/>
              </w:rPr>
              <w:t>约定的除外</w:t>
            </w:r>
            <w:r>
              <w:rPr>
                <w:sz w:val="21"/>
              </w:rPr>
              <w:t>）</w:t>
            </w:r>
          </w:p>
          <w:p>
            <w:pPr>
              <w:pStyle w:val="TableParagraph"/>
              <w:spacing w:line="300" w:lineRule="auto" w:before="171"/>
              <w:ind w:left="182" w:right="99"/>
              <w:jc w:val="both"/>
              <w:rPr>
                <w:rFonts w:ascii="黑体" w:eastAsia="黑体" w:hint="eastAsia"/>
                <w:sz w:val="21"/>
              </w:rPr>
            </w:pPr>
            <w:r>
              <w:rPr>
                <w:rFonts w:ascii="黑体" w:eastAsia="黑体" w:hint="eastAsia"/>
                <w:spacing w:val="-6"/>
                <w:sz w:val="21"/>
              </w:rPr>
              <w:t>犹豫期内解除合同时，投保人需要填写申请书，并提供本附加险合同及本公司要求</w:t>
            </w:r>
            <w:r>
              <w:rPr>
                <w:rFonts w:ascii="黑体" w:eastAsia="黑体" w:hint="eastAsia"/>
                <w:spacing w:val="-7"/>
                <w:sz w:val="21"/>
              </w:rPr>
              <w:t>的相关资料。自本公司收到投保人申请解除合同的书面申请之日起，本附加险合同</w:t>
            </w:r>
            <w:r>
              <w:rPr>
                <w:rFonts w:ascii="黑体" w:eastAsia="黑体" w:hint="eastAsia"/>
                <w:spacing w:val="-3"/>
                <w:sz w:val="21"/>
              </w:rPr>
              <w:t>即被解除，本公司自本附加险合同</w:t>
            </w:r>
            <w:r>
              <w:rPr>
                <w:rFonts w:ascii="黑体" w:eastAsia="黑体" w:hint="eastAsia"/>
                <w:sz w:val="21"/>
              </w:rPr>
              <w:t>Th</w:t>
            </w:r>
            <w:r>
              <w:rPr>
                <w:rFonts w:ascii="黑体" w:eastAsia="黑体" w:hint="eastAsia"/>
                <w:spacing w:val="-3"/>
                <w:sz w:val="21"/>
              </w:rPr>
              <w:t>效日起自始不承担保险责任。</w:t>
            </w:r>
          </w:p>
        </w:tc>
      </w:tr>
      <w:tr>
        <w:trPr>
          <w:trHeight w:val="660" w:hRule="atLeast"/>
        </w:trPr>
        <w:tc>
          <w:tcPr>
            <w:tcW w:w="625" w:type="dxa"/>
            <w:tcBorders>
              <w:bottom w:val="single" w:sz="4" w:space="0" w:color="000000"/>
            </w:tcBorders>
          </w:tcPr>
          <w:p>
            <w:pPr>
              <w:pStyle w:val="TableParagraph"/>
              <w:spacing w:before="87"/>
              <w:ind w:left="148"/>
              <w:rPr>
                <w:b/>
                <w:sz w:val="32"/>
              </w:rPr>
            </w:pPr>
            <w:r>
              <w:rPr>
                <w:b/>
                <w:w w:val="98"/>
                <w:sz w:val="32"/>
              </w:rPr>
              <w:t>2</w:t>
            </w:r>
          </w:p>
        </w:tc>
        <w:tc>
          <w:tcPr>
            <w:tcW w:w="9249" w:type="dxa"/>
            <w:gridSpan w:val="2"/>
            <w:tcBorders>
              <w:bottom w:val="single" w:sz="4" w:space="0" w:color="000000"/>
            </w:tcBorders>
          </w:tcPr>
          <w:p>
            <w:pPr>
              <w:pStyle w:val="TableParagraph"/>
              <w:spacing w:before="154"/>
              <w:ind w:left="198"/>
              <w:rPr>
                <w:b/>
                <w:sz w:val="24"/>
              </w:rPr>
            </w:pPr>
            <w:r>
              <w:rPr>
                <w:b/>
                <w:w w:val="95"/>
                <w:sz w:val="24"/>
              </w:rPr>
              <w:t>本公司提供的保障</w:t>
            </w:r>
          </w:p>
        </w:tc>
      </w:tr>
      <w:tr>
        <w:trPr>
          <w:trHeight w:val="3673" w:hRule="atLeast"/>
        </w:trPr>
        <w:tc>
          <w:tcPr>
            <w:tcW w:w="625" w:type="dxa"/>
            <w:tcBorders>
              <w:top w:val="single" w:sz="4" w:space="0" w:color="000000"/>
            </w:tcBorders>
          </w:tcPr>
          <w:p>
            <w:pPr>
              <w:pStyle w:val="TableParagraph"/>
              <w:spacing w:before="169"/>
              <w:ind w:left="110"/>
              <w:rPr>
                <w:b/>
                <w:sz w:val="21"/>
              </w:rPr>
            </w:pPr>
            <w:r>
              <w:rPr>
                <w:b/>
                <w:sz w:val="21"/>
              </w:rPr>
              <w:t>2.1</w:t>
            </w:r>
          </w:p>
        </w:tc>
        <w:tc>
          <w:tcPr>
            <w:tcW w:w="1435" w:type="dxa"/>
            <w:tcBorders>
              <w:top w:val="single" w:sz="4" w:space="0" w:color="000000"/>
            </w:tcBorders>
          </w:tcPr>
          <w:p>
            <w:pPr>
              <w:pStyle w:val="TableParagraph"/>
              <w:spacing w:before="169"/>
              <w:ind w:left="198"/>
              <w:rPr>
                <w:b/>
                <w:sz w:val="21"/>
              </w:rPr>
            </w:pPr>
            <w:r>
              <w:rPr>
                <w:b/>
                <w:sz w:val="21"/>
              </w:rPr>
              <w:t>保险责任</w:t>
            </w:r>
          </w:p>
        </w:tc>
        <w:tc>
          <w:tcPr>
            <w:tcW w:w="7814" w:type="dxa"/>
            <w:tcBorders>
              <w:top w:val="single" w:sz="4" w:space="0" w:color="000000"/>
            </w:tcBorders>
          </w:tcPr>
          <w:p>
            <w:pPr>
              <w:pStyle w:val="TableParagraph"/>
              <w:spacing w:line="436" w:lineRule="auto" w:before="153"/>
              <w:ind w:left="182" w:right="1743"/>
              <w:rPr>
                <w:sz w:val="21"/>
              </w:rPr>
            </w:pPr>
            <w:r>
              <w:rPr>
                <w:sz w:val="21"/>
              </w:rPr>
              <w:t>在本附加险合同有效期内，本公司对被保险人负下列保险责任： 一、轻症疾病豁免保险费</w:t>
            </w:r>
          </w:p>
          <w:p>
            <w:pPr>
              <w:pStyle w:val="TableParagraph"/>
              <w:spacing w:line="171" w:lineRule="exact" w:before="0"/>
              <w:ind w:left="602"/>
              <w:rPr>
                <w:sz w:val="21"/>
              </w:rPr>
            </w:pPr>
            <w:r>
              <w:rPr>
                <w:sz w:val="21"/>
              </w:rPr>
              <w:t>若被保险人于本附加险合同生效或者最后一次复效之日起九十日内（含第九十</w:t>
            </w:r>
          </w:p>
          <w:p>
            <w:pPr>
              <w:pStyle w:val="TableParagraph"/>
              <w:spacing w:line="300" w:lineRule="auto" w:before="68"/>
              <w:ind w:left="182" w:right="58"/>
              <w:jc w:val="both"/>
              <w:rPr>
                <w:sz w:val="21"/>
              </w:rPr>
            </w:pPr>
            <w:r>
              <w:rPr>
                <w:sz w:val="21"/>
              </w:rPr>
              <w:t>日</w:t>
            </w:r>
            <w:r>
              <w:rPr>
                <w:spacing w:val="-15"/>
                <w:sz w:val="21"/>
              </w:rPr>
              <w:t>）</w:t>
            </w:r>
            <w:r>
              <w:rPr>
                <w:sz w:val="21"/>
              </w:rPr>
              <w:t>因</w:t>
            </w:r>
            <w:r>
              <w:rPr>
                <w:b/>
                <w:spacing w:val="-3"/>
                <w:sz w:val="21"/>
              </w:rPr>
              <w:t>意外伤害</w:t>
            </w:r>
            <w:r>
              <w:rPr>
                <w:sz w:val="21"/>
              </w:rPr>
              <w:t>（</w:t>
            </w:r>
            <w:r>
              <w:rPr>
                <w:spacing w:val="-24"/>
                <w:sz w:val="21"/>
              </w:rPr>
              <w:t>见 </w:t>
            </w:r>
            <w:r>
              <w:rPr>
                <w:spacing w:val="-5"/>
                <w:sz w:val="21"/>
              </w:rPr>
              <w:t>9.6）</w:t>
            </w:r>
            <w:r>
              <w:rPr>
                <w:spacing w:val="-4"/>
                <w:sz w:val="21"/>
              </w:rPr>
              <w:t>以外的原因，经</w:t>
            </w:r>
            <w:r>
              <w:rPr>
                <w:b/>
                <w:spacing w:val="-6"/>
                <w:sz w:val="21"/>
              </w:rPr>
              <w:t>医院</w:t>
            </w:r>
            <w:r>
              <w:rPr>
                <w:spacing w:val="-3"/>
                <w:sz w:val="21"/>
              </w:rPr>
              <w:t>（</w:t>
            </w:r>
            <w:r>
              <w:rPr>
                <w:spacing w:val="-22"/>
                <w:sz w:val="21"/>
              </w:rPr>
              <w:t>见 </w:t>
            </w:r>
            <w:r>
              <w:rPr>
                <w:spacing w:val="-5"/>
                <w:sz w:val="21"/>
              </w:rPr>
              <w:t>9.7）</w:t>
            </w:r>
            <w:r>
              <w:rPr>
                <w:b/>
                <w:spacing w:val="-3"/>
                <w:sz w:val="21"/>
              </w:rPr>
              <w:t>专科医生</w:t>
            </w:r>
            <w:r>
              <w:rPr>
                <w:spacing w:val="-3"/>
                <w:sz w:val="21"/>
              </w:rPr>
              <w:t>（</w:t>
            </w:r>
            <w:r>
              <w:rPr>
                <w:spacing w:val="-22"/>
                <w:sz w:val="21"/>
              </w:rPr>
              <w:t>见 </w:t>
            </w:r>
            <w:r>
              <w:rPr>
                <w:spacing w:val="-5"/>
                <w:sz w:val="21"/>
              </w:rPr>
              <w:t>9.8）</w:t>
            </w:r>
            <w:r>
              <w:rPr>
                <w:spacing w:val="-2"/>
                <w:sz w:val="21"/>
              </w:rPr>
              <w:t>确诊</w:t>
            </w:r>
            <w:r>
              <w:rPr>
                <w:b/>
                <w:spacing w:val="-2"/>
                <w:sz w:val="21"/>
              </w:rPr>
              <w:t>初次罹患</w:t>
            </w:r>
            <w:r>
              <w:rPr>
                <w:spacing w:val="-3"/>
                <w:sz w:val="21"/>
              </w:rPr>
              <w:t>（</w:t>
            </w:r>
            <w:r>
              <w:rPr>
                <w:spacing w:val="-21"/>
                <w:sz w:val="21"/>
              </w:rPr>
              <w:t>见 </w:t>
            </w:r>
            <w:r>
              <w:rPr>
                <w:sz w:val="21"/>
              </w:rPr>
              <w:t>9.9）</w:t>
            </w:r>
            <w:r>
              <w:rPr>
                <w:spacing w:val="-3"/>
                <w:sz w:val="21"/>
              </w:rPr>
              <w:t>本附加险合同约定的</w:t>
            </w:r>
            <w:r>
              <w:rPr>
                <w:b/>
                <w:spacing w:val="-1"/>
                <w:sz w:val="21"/>
              </w:rPr>
              <w:t>轻症疾病</w:t>
            </w:r>
            <w:r>
              <w:rPr>
                <w:sz w:val="21"/>
              </w:rPr>
              <w:t>（</w:t>
            </w:r>
            <w:r>
              <w:rPr>
                <w:spacing w:val="-21"/>
                <w:sz w:val="21"/>
              </w:rPr>
              <w:t>见 </w:t>
            </w:r>
            <w:r>
              <w:rPr>
                <w:sz w:val="21"/>
              </w:rPr>
              <w:t>9.10）</w:t>
            </w:r>
            <w:r>
              <w:rPr>
                <w:spacing w:val="-3"/>
                <w:sz w:val="21"/>
              </w:rPr>
              <w:t>中的一种或者多种， </w:t>
            </w:r>
            <w:r>
              <w:rPr>
                <w:spacing w:val="-3"/>
                <w:w w:val="100"/>
                <w:sz w:val="21"/>
              </w:rPr>
              <w:t>本公司返还本附加险合同的累计已交保险费（</w:t>
            </w:r>
            <w:r>
              <w:rPr>
                <w:spacing w:val="-2"/>
                <w:w w:val="100"/>
                <w:sz w:val="21"/>
              </w:rPr>
              <w:t>无息</w:t>
            </w:r>
            <w:r>
              <w:rPr>
                <w:spacing w:val="-109"/>
                <w:w w:val="100"/>
                <w:sz w:val="21"/>
              </w:rPr>
              <w:t>）</w:t>
            </w:r>
            <w:r>
              <w:rPr>
                <w:spacing w:val="-3"/>
                <w:w w:val="100"/>
                <w:sz w:val="21"/>
              </w:rPr>
              <w:t>，本附加险合同终止。</w:t>
            </w:r>
          </w:p>
          <w:p>
            <w:pPr>
              <w:pStyle w:val="TableParagraph"/>
              <w:spacing w:line="300" w:lineRule="auto" w:before="16"/>
              <w:ind w:left="182" w:right="99" w:firstLine="420"/>
              <w:jc w:val="both"/>
              <w:rPr>
                <w:sz w:val="21"/>
              </w:rPr>
            </w:pPr>
            <w:r>
              <w:rPr>
                <w:spacing w:val="-7"/>
                <w:sz w:val="21"/>
              </w:rPr>
              <w:t>若被保险人因意外伤害，或者于本附加险合同生效或者最后一次复效之日起九</w:t>
            </w:r>
            <w:r>
              <w:rPr>
                <w:spacing w:val="-8"/>
                <w:sz w:val="21"/>
              </w:rPr>
              <w:t>十日后因意外伤害以外的原因，经医院专科医生确诊初次罹患本附加险合同约定的</w:t>
            </w:r>
            <w:r>
              <w:rPr>
                <w:spacing w:val="-9"/>
                <w:sz w:val="21"/>
              </w:rPr>
              <w:t>轻症疾病中的一种或者多种，本公司将豁免主险合同及其保险期间超过 </w:t>
            </w:r>
            <w:r>
              <w:rPr>
                <w:sz w:val="21"/>
              </w:rPr>
              <w:t>1</w:t>
            </w:r>
            <w:r>
              <w:rPr>
                <w:spacing w:val="-9"/>
                <w:sz w:val="21"/>
              </w:rPr>
              <w:t> 年的附加</w:t>
            </w:r>
          </w:p>
          <w:p>
            <w:pPr>
              <w:pStyle w:val="TableParagraph"/>
              <w:spacing w:line="255" w:lineRule="exact" w:before="16"/>
              <w:ind w:left="182"/>
              <w:jc w:val="both"/>
              <w:rPr>
                <w:sz w:val="21"/>
              </w:rPr>
            </w:pPr>
            <w:r>
              <w:rPr>
                <w:sz w:val="21"/>
              </w:rPr>
              <w:t>险合同自轻症疾病确诊之日以后的各期保险费,本附加险合同终止。</w:t>
            </w:r>
          </w:p>
        </w:tc>
      </w:tr>
    </w:tbl>
    <w:p>
      <w:pPr>
        <w:spacing w:after="0" w:line="255" w:lineRule="exact"/>
        <w:jc w:val="both"/>
        <w:rPr>
          <w:sz w:val="21"/>
        </w:rPr>
        <w:sectPr>
          <w:footerReference w:type="default" r:id="rId7"/>
          <w:pgSz w:w="11910" w:h="16840"/>
          <w:pgMar w:footer="377" w:header="0" w:top="1360" w:bottom="560" w:left="900" w:right="900"/>
          <w:pgNumType w:start="1"/>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330"/>
        <w:gridCol w:w="8123"/>
      </w:tblGrid>
      <w:tr>
        <w:trPr>
          <w:trHeight w:val="8102" w:hRule="atLeast"/>
        </w:trPr>
        <w:tc>
          <w:tcPr>
            <w:tcW w:w="715" w:type="dxa"/>
          </w:tcPr>
          <w:p>
            <w:pPr>
              <w:pStyle w:val="TableParagraph"/>
              <w:spacing w:before="0"/>
              <w:ind w:left="0"/>
              <w:rPr>
                <w:rFonts w:ascii="Times New Roman"/>
                <w:sz w:val="20"/>
              </w:rPr>
            </w:pPr>
          </w:p>
        </w:tc>
        <w:tc>
          <w:tcPr>
            <w:tcW w:w="1330" w:type="dxa"/>
          </w:tcPr>
          <w:p>
            <w:pPr>
              <w:pStyle w:val="TableParagraph"/>
              <w:spacing w:before="0"/>
              <w:ind w:left="0"/>
              <w:rPr>
                <w:rFonts w:ascii="Times New Roman"/>
                <w:sz w:val="20"/>
              </w:rPr>
            </w:pPr>
          </w:p>
        </w:tc>
        <w:tc>
          <w:tcPr>
            <w:tcW w:w="8123" w:type="dxa"/>
          </w:tcPr>
          <w:p>
            <w:pPr>
              <w:pStyle w:val="TableParagraph"/>
              <w:spacing w:line="205" w:lineRule="exact" w:before="0"/>
              <w:ind w:left="286"/>
              <w:rPr>
                <w:sz w:val="21"/>
              </w:rPr>
            </w:pPr>
            <w:r>
              <w:rPr>
                <w:sz w:val="21"/>
              </w:rPr>
              <w:t>二、重大疾病豁免保险费</w:t>
            </w:r>
          </w:p>
          <w:p>
            <w:pPr>
              <w:pStyle w:val="TableParagraph"/>
              <w:spacing w:line="273" w:lineRule="auto"/>
              <w:ind w:left="286" w:right="303" w:firstLine="420"/>
              <w:jc w:val="both"/>
              <w:rPr>
                <w:sz w:val="21"/>
              </w:rPr>
            </w:pPr>
            <w:r>
              <w:rPr>
                <w:spacing w:val="-5"/>
                <w:sz w:val="21"/>
              </w:rPr>
              <w:t>若被保险人于本附加险合同生效或者最后一次复效之日起九十日内</w:t>
            </w:r>
            <w:r>
              <w:rPr>
                <w:sz w:val="21"/>
              </w:rPr>
              <w:t>（</w:t>
            </w:r>
            <w:r>
              <w:rPr>
                <w:spacing w:val="-3"/>
                <w:sz w:val="21"/>
              </w:rPr>
              <w:t>含第九十</w:t>
            </w:r>
            <w:r>
              <w:rPr>
                <w:sz w:val="21"/>
              </w:rPr>
              <w:t>日</w:t>
            </w:r>
            <w:r>
              <w:rPr>
                <w:spacing w:val="-20"/>
                <w:sz w:val="21"/>
              </w:rPr>
              <w:t>）</w:t>
            </w:r>
            <w:r>
              <w:rPr>
                <w:spacing w:val="-5"/>
                <w:sz w:val="21"/>
              </w:rPr>
              <w:t>因意外伤害以外的原因，经医院专科医生确诊初次罹患本附加险合同约定的</w:t>
            </w:r>
            <w:r>
              <w:rPr>
                <w:b/>
                <w:sz w:val="21"/>
              </w:rPr>
              <w:t>重</w:t>
            </w:r>
            <w:r>
              <w:rPr>
                <w:b/>
                <w:spacing w:val="-11"/>
                <w:sz w:val="21"/>
              </w:rPr>
              <w:t>大疾病</w:t>
            </w:r>
            <w:r>
              <w:rPr>
                <w:sz w:val="21"/>
              </w:rPr>
              <w:t>（</w:t>
            </w:r>
            <w:r>
              <w:rPr>
                <w:spacing w:val="-7"/>
                <w:sz w:val="21"/>
              </w:rPr>
              <w:t>见 </w:t>
            </w:r>
            <w:r>
              <w:rPr>
                <w:spacing w:val="-8"/>
                <w:sz w:val="21"/>
              </w:rPr>
              <w:t>9.11）</w:t>
            </w:r>
            <w:r>
              <w:rPr>
                <w:spacing w:val="-7"/>
                <w:sz w:val="21"/>
              </w:rPr>
              <w:t>中的一种或者多种，本公司返还本附加险合同的累计已交保险费</w:t>
            </w:r>
          </w:p>
          <w:p>
            <w:pPr>
              <w:pStyle w:val="TableParagraph"/>
              <w:spacing w:before="7"/>
              <w:ind w:left="286"/>
              <w:rPr>
                <w:sz w:val="21"/>
              </w:rPr>
            </w:pPr>
            <w:r>
              <w:rPr>
                <w:w w:val="100"/>
                <w:sz w:val="21"/>
              </w:rPr>
              <w:t>（</w:t>
            </w:r>
            <w:r>
              <w:rPr>
                <w:spacing w:val="-2"/>
                <w:w w:val="100"/>
                <w:sz w:val="21"/>
              </w:rPr>
              <w:t>无息</w:t>
            </w:r>
            <w:r>
              <w:rPr>
                <w:spacing w:val="-106"/>
                <w:w w:val="100"/>
                <w:sz w:val="21"/>
              </w:rPr>
              <w:t>）</w:t>
            </w:r>
            <w:r>
              <w:rPr>
                <w:spacing w:val="-3"/>
                <w:w w:val="100"/>
                <w:sz w:val="21"/>
              </w:rPr>
              <w:t>，本附加险合同终止。</w:t>
            </w:r>
          </w:p>
          <w:p>
            <w:pPr>
              <w:pStyle w:val="TableParagraph"/>
              <w:spacing w:line="300" w:lineRule="auto" w:before="51"/>
              <w:ind w:left="286" w:right="303" w:firstLine="420"/>
              <w:jc w:val="both"/>
              <w:rPr>
                <w:sz w:val="21"/>
              </w:rPr>
            </w:pPr>
            <w:r>
              <w:rPr>
                <w:spacing w:val="-7"/>
                <w:sz w:val="21"/>
              </w:rPr>
              <w:t>若被保险人因意外伤害，或者于本附加险合同生效或者最后一次复效之日起九</w:t>
            </w:r>
            <w:r>
              <w:rPr>
                <w:spacing w:val="-8"/>
                <w:sz w:val="21"/>
              </w:rPr>
              <w:t>十日后因意外伤害以外的原因，经医院专科医生确诊初次罹患本附加险合同约定的</w:t>
            </w:r>
            <w:r>
              <w:rPr>
                <w:spacing w:val="-9"/>
                <w:sz w:val="21"/>
              </w:rPr>
              <w:t>重大疾病中的一种或者多种，本公司将豁免主险合同及其保险期间超过 </w:t>
            </w:r>
            <w:r>
              <w:rPr>
                <w:sz w:val="21"/>
              </w:rPr>
              <w:t>1</w:t>
            </w:r>
            <w:r>
              <w:rPr>
                <w:spacing w:val="-11"/>
                <w:sz w:val="21"/>
              </w:rPr>
              <w:t> 年的附加</w:t>
            </w:r>
            <w:r>
              <w:rPr>
                <w:spacing w:val="-3"/>
                <w:sz w:val="21"/>
              </w:rPr>
              <w:t>险合同自重大疾病确诊之日以后的各期保险费,本附加险合同终止。</w:t>
            </w:r>
          </w:p>
          <w:p>
            <w:pPr>
              <w:pStyle w:val="TableParagraph"/>
              <w:spacing w:before="157"/>
              <w:ind w:left="286"/>
              <w:rPr>
                <w:sz w:val="21"/>
              </w:rPr>
            </w:pPr>
            <w:r>
              <w:rPr>
                <w:sz w:val="21"/>
              </w:rPr>
              <w:t>三、身故或全残豁免保险费</w:t>
            </w:r>
          </w:p>
          <w:p>
            <w:pPr>
              <w:pStyle w:val="TableParagraph"/>
              <w:spacing w:line="273" w:lineRule="auto"/>
              <w:ind w:left="286" w:right="306" w:firstLine="420"/>
              <w:jc w:val="both"/>
              <w:rPr>
                <w:sz w:val="21"/>
              </w:rPr>
            </w:pPr>
            <w:r>
              <w:rPr>
                <w:spacing w:val="-5"/>
                <w:sz w:val="21"/>
              </w:rPr>
              <w:t>若被保险人于本附加险合同生效或者最后一次复效之日起九十日内</w:t>
            </w:r>
            <w:r>
              <w:rPr>
                <w:sz w:val="21"/>
              </w:rPr>
              <w:t>（</w:t>
            </w:r>
            <w:r>
              <w:rPr>
                <w:spacing w:val="-3"/>
                <w:sz w:val="21"/>
              </w:rPr>
              <w:t>含第九十</w:t>
            </w:r>
            <w:r>
              <w:rPr>
                <w:w w:val="100"/>
                <w:sz w:val="21"/>
              </w:rPr>
              <w:t>日）</w:t>
            </w:r>
            <w:r>
              <w:rPr>
                <w:spacing w:val="-3"/>
                <w:w w:val="100"/>
                <w:sz w:val="21"/>
              </w:rPr>
              <w:t>因意外伤害以外的原因导致身故或</w:t>
            </w:r>
            <w:r>
              <w:rPr>
                <w:b/>
                <w:w w:val="100"/>
                <w:sz w:val="21"/>
              </w:rPr>
              <w:t>全残</w:t>
            </w:r>
            <w:r>
              <w:rPr>
                <w:w w:val="100"/>
                <w:sz w:val="21"/>
              </w:rPr>
              <w:t>（见</w:t>
            </w:r>
            <w:r>
              <w:rPr>
                <w:sz w:val="21"/>
              </w:rPr>
              <w:t> </w:t>
            </w:r>
            <w:r>
              <w:rPr>
                <w:spacing w:val="-3"/>
                <w:w w:val="100"/>
                <w:sz w:val="21"/>
              </w:rPr>
              <w:t>9.</w:t>
            </w:r>
            <w:r>
              <w:rPr>
                <w:w w:val="100"/>
                <w:sz w:val="21"/>
              </w:rPr>
              <w:t>12</w:t>
            </w:r>
            <w:r>
              <w:rPr>
                <w:spacing w:val="-106"/>
                <w:w w:val="100"/>
                <w:sz w:val="21"/>
              </w:rPr>
              <w:t>）</w:t>
            </w:r>
            <w:r>
              <w:rPr>
                <w:spacing w:val="-3"/>
                <w:w w:val="100"/>
                <w:sz w:val="21"/>
              </w:rPr>
              <w:t>，本公司返还本附加险合同的</w:t>
            </w:r>
            <w:r>
              <w:rPr>
                <w:b/>
                <w:w w:val="100"/>
                <w:sz w:val="21"/>
              </w:rPr>
              <w:t>累计已交保险费</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w:t>
            </w:r>
            <w:r>
              <w:rPr>
                <w:spacing w:val="-1"/>
                <w:w w:val="100"/>
                <w:sz w:val="21"/>
              </w:rPr>
              <w:t>3</w:t>
            </w:r>
            <w:r>
              <w:rPr>
                <w:spacing w:val="-106"/>
                <w:w w:val="100"/>
                <w:sz w:val="21"/>
              </w:rPr>
              <w:t>）</w:t>
            </w:r>
            <w:r>
              <w:rPr>
                <w:spacing w:val="-3"/>
                <w:w w:val="100"/>
                <w:sz w:val="21"/>
              </w:rPr>
              <w:t>（</w:t>
            </w:r>
            <w:r>
              <w:rPr>
                <w:w w:val="100"/>
                <w:sz w:val="21"/>
              </w:rPr>
              <w:t>无息</w:t>
            </w:r>
            <w:r>
              <w:rPr>
                <w:spacing w:val="-108"/>
                <w:w w:val="100"/>
                <w:sz w:val="21"/>
              </w:rPr>
              <w:t>）</w:t>
            </w:r>
            <w:r>
              <w:rPr>
                <w:spacing w:val="-3"/>
                <w:w w:val="100"/>
                <w:sz w:val="21"/>
              </w:rPr>
              <w:t>，本附加险合同终止。</w:t>
            </w:r>
          </w:p>
          <w:p>
            <w:pPr>
              <w:pStyle w:val="TableParagraph"/>
              <w:spacing w:line="300" w:lineRule="auto" w:before="22"/>
              <w:ind w:left="286" w:right="303" w:firstLine="420"/>
              <w:jc w:val="both"/>
              <w:rPr>
                <w:sz w:val="21"/>
              </w:rPr>
            </w:pPr>
            <w:r>
              <w:rPr>
                <w:spacing w:val="-7"/>
                <w:sz w:val="21"/>
              </w:rPr>
              <w:t>若被保险人因意外伤害，或者于本附加险合同生效或者最后一次复效之日起九十日后因意外伤害以外的原因导致身故或全残，本公司将豁免主险合同及其保险期</w:t>
            </w:r>
            <w:r>
              <w:rPr>
                <w:spacing w:val="-5"/>
                <w:sz w:val="21"/>
              </w:rPr>
              <w:t>间超过 </w:t>
            </w:r>
            <w:r>
              <w:rPr>
                <w:sz w:val="21"/>
              </w:rPr>
              <w:t>1</w:t>
            </w:r>
            <w:r>
              <w:rPr>
                <w:spacing w:val="-3"/>
                <w:sz w:val="21"/>
              </w:rPr>
              <w:t> 年的附加险合同自被保险人身故或全残之日以后的各期保险费,本附加险合同终止。</w:t>
            </w:r>
          </w:p>
          <w:p>
            <w:pPr>
              <w:pStyle w:val="TableParagraph"/>
              <w:spacing w:line="300" w:lineRule="auto" w:before="172"/>
              <w:ind w:left="286" w:right="306" w:firstLine="420"/>
              <w:jc w:val="both"/>
              <w:rPr>
                <w:sz w:val="21"/>
              </w:rPr>
            </w:pPr>
            <w:r>
              <w:rPr>
                <w:spacing w:val="-5"/>
                <w:sz w:val="21"/>
              </w:rPr>
              <w:t>本公司视豁免的保险费为已交纳的保险费。豁免保险费期间，主险合同及所有</w:t>
            </w:r>
            <w:r>
              <w:rPr>
                <w:spacing w:val="-4"/>
                <w:sz w:val="21"/>
              </w:rPr>
              <w:t>获豁免保险费的附加险合同继续有效，但合同保险计划不得变更。</w:t>
            </w:r>
          </w:p>
          <w:p>
            <w:pPr>
              <w:pStyle w:val="TableParagraph"/>
              <w:spacing w:before="172"/>
              <w:ind w:left="286"/>
              <w:rPr>
                <w:rFonts w:ascii="黑体" w:eastAsia="黑体" w:hint="eastAsia"/>
                <w:sz w:val="21"/>
              </w:rPr>
            </w:pPr>
            <w:r>
              <w:rPr>
                <w:rFonts w:ascii="黑体" w:eastAsia="黑体" w:hint="eastAsia"/>
                <w:sz w:val="21"/>
              </w:rPr>
              <w:t>上述豁免的保险费不包括以下款项：</w:t>
            </w:r>
          </w:p>
          <w:p>
            <w:pPr>
              <w:pStyle w:val="TableParagraph"/>
              <w:spacing w:line="300" w:lineRule="auto" w:before="68"/>
              <w:ind w:left="812" w:right="304" w:hanging="527"/>
              <w:rPr>
                <w:rFonts w:ascii="黑体" w:eastAsia="黑体" w:hint="eastAsia"/>
                <w:sz w:val="21"/>
              </w:rPr>
            </w:pPr>
            <w:r>
              <w:rPr>
                <w:rFonts w:ascii="黑体" w:eastAsia="黑体" w:hint="eastAsia"/>
                <w:sz w:val="21"/>
              </w:rPr>
              <w:t>（1）被保险人罹患轻症疾病、重大疾病、身故或全残之日之前主险合同及其相关附加险合同所欠交的保险费和利息；</w:t>
            </w:r>
          </w:p>
          <w:p>
            <w:pPr>
              <w:pStyle w:val="TableParagraph"/>
              <w:spacing w:before="16"/>
              <w:ind w:left="286"/>
              <w:rPr>
                <w:rFonts w:ascii="黑体" w:eastAsia="黑体" w:hint="eastAsia"/>
                <w:sz w:val="21"/>
              </w:rPr>
            </w:pPr>
            <w:r>
              <w:rPr>
                <w:rFonts w:ascii="黑体" w:eastAsia="黑体" w:hint="eastAsia"/>
                <w:sz w:val="21"/>
              </w:rPr>
              <w:t>（2）续期保险费交费宽限期内应交未交的保险费。</w:t>
            </w:r>
          </w:p>
        </w:tc>
      </w:tr>
      <w:tr>
        <w:trPr>
          <w:trHeight w:val="5782" w:hRule="atLeast"/>
        </w:trPr>
        <w:tc>
          <w:tcPr>
            <w:tcW w:w="715" w:type="dxa"/>
          </w:tcPr>
          <w:p>
            <w:pPr>
              <w:pStyle w:val="TableParagraph"/>
              <w:spacing w:before="99"/>
              <w:rPr>
                <w:b/>
                <w:sz w:val="21"/>
              </w:rPr>
            </w:pPr>
            <w:r>
              <w:rPr>
                <w:b/>
                <w:sz w:val="21"/>
              </w:rPr>
              <w:t>2.2</w:t>
            </w:r>
          </w:p>
        </w:tc>
        <w:tc>
          <w:tcPr>
            <w:tcW w:w="1330" w:type="dxa"/>
          </w:tcPr>
          <w:p>
            <w:pPr>
              <w:pStyle w:val="TableParagraph"/>
              <w:spacing w:before="99"/>
              <w:ind w:left="198"/>
              <w:rPr>
                <w:rFonts w:ascii="黑体" w:eastAsia="黑体" w:hint="eastAsia"/>
                <w:b/>
                <w:sz w:val="21"/>
              </w:rPr>
            </w:pPr>
            <w:r>
              <w:rPr>
                <w:rFonts w:ascii="黑体" w:eastAsia="黑体" w:hint="eastAsia"/>
                <w:b/>
                <w:sz w:val="21"/>
              </w:rPr>
              <w:t>责任免除</w:t>
            </w:r>
          </w:p>
        </w:tc>
        <w:tc>
          <w:tcPr>
            <w:tcW w:w="8123" w:type="dxa"/>
          </w:tcPr>
          <w:p>
            <w:pPr>
              <w:pStyle w:val="TableParagraph"/>
              <w:spacing w:line="273" w:lineRule="auto" w:before="68"/>
              <w:ind w:left="286" w:right="306"/>
              <w:rPr>
                <w:rFonts w:ascii="黑体" w:eastAsia="黑体" w:hint="eastAsia"/>
                <w:sz w:val="21"/>
              </w:rPr>
            </w:pPr>
            <w:r>
              <w:rPr>
                <w:rFonts w:ascii="黑体" w:eastAsia="黑体" w:hint="eastAsia"/>
                <w:spacing w:val="-6"/>
                <w:sz w:val="21"/>
              </w:rPr>
              <w:t>因下列情形之一，造成被保险人发</w:t>
            </w:r>
            <w:r>
              <w:rPr>
                <w:rFonts w:ascii="黑体" w:eastAsia="黑体" w:hint="eastAsia"/>
                <w:sz w:val="21"/>
              </w:rPr>
              <w:t>Th</w:t>
            </w:r>
            <w:r>
              <w:rPr>
                <w:rFonts w:ascii="黑体" w:eastAsia="黑体" w:hint="eastAsia"/>
                <w:b/>
                <w:spacing w:val="-6"/>
                <w:sz w:val="21"/>
              </w:rPr>
              <w:t>保险事故</w:t>
            </w:r>
            <w:r>
              <w:rPr>
                <w:rFonts w:ascii="黑体" w:eastAsia="黑体" w:hint="eastAsia"/>
                <w:spacing w:val="-3"/>
                <w:sz w:val="21"/>
              </w:rPr>
              <w:t>（</w:t>
            </w:r>
            <w:r>
              <w:rPr>
                <w:rFonts w:ascii="黑体" w:eastAsia="黑体" w:hint="eastAsia"/>
                <w:spacing w:val="-11"/>
                <w:sz w:val="21"/>
              </w:rPr>
              <w:t>见 </w:t>
            </w:r>
            <w:r>
              <w:rPr>
                <w:rFonts w:ascii="黑体" w:eastAsia="黑体" w:hint="eastAsia"/>
                <w:spacing w:val="-6"/>
                <w:sz w:val="21"/>
              </w:rPr>
              <w:t>9.14）的，本公司不承担豁免保</w:t>
            </w:r>
            <w:r>
              <w:rPr>
                <w:rFonts w:ascii="黑体" w:eastAsia="黑体" w:hint="eastAsia"/>
                <w:spacing w:val="-2"/>
                <w:sz w:val="21"/>
              </w:rPr>
              <w:t>险费的责任：</w:t>
            </w:r>
          </w:p>
          <w:p>
            <w:pPr>
              <w:pStyle w:val="TableParagraph"/>
              <w:spacing w:before="7"/>
              <w:ind w:left="286"/>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28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28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5</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ind w:left="793" w:right="306" w:hanging="503"/>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0"/>
                <w:w w:val="100"/>
                <w:sz w:val="21"/>
              </w:rPr>
              <w:t>）</w:t>
            </w:r>
            <w:r>
              <w:rPr>
                <w:rFonts w:ascii="黑体" w:eastAsia="黑体" w:hint="eastAsia"/>
                <w:spacing w:val="-2"/>
                <w:w w:val="100"/>
                <w:sz w:val="21"/>
              </w:rPr>
              <w:t>被保险人</w:t>
            </w:r>
            <w:r>
              <w:rPr>
                <w:rFonts w:ascii="黑体" w:eastAsia="黑体" w:hint="eastAsia"/>
                <w:b/>
                <w:spacing w:val="-3"/>
                <w:w w:val="100"/>
                <w:sz w:val="21"/>
              </w:rPr>
              <w:t>酒后驾驶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8"/>
                <w:w w:val="100"/>
                <w:sz w:val="21"/>
              </w:rPr>
              <w:t>）</w:t>
            </w:r>
            <w:r>
              <w:rPr>
                <w:rFonts w:ascii="黑体" w:eastAsia="黑体" w:hint="eastAsia"/>
                <w:spacing w:val="-12"/>
                <w:w w:val="100"/>
                <w:sz w:val="21"/>
              </w:rPr>
              <w:t>、</w:t>
            </w:r>
            <w:r>
              <w:rPr>
                <w:rFonts w:ascii="黑体" w:eastAsia="黑体" w:hint="eastAsia"/>
                <w:b/>
                <w:spacing w:val="-2"/>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7</w:t>
            </w:r>
            <w:r>
              <w:rPr>
                <w:rFonts w:ascii="黑体" w:eastAsia="黑体" w:hint="eastAsia"/>
                <w:spacing w:val="-108"/>
                <w:w w:val="100"/>
                <w:sz w:val="21"/>
              </w:rPr>
              <w:t>）</w:t>
            </w:r>
            <w:r>
              <w:rPr>
                <w:rFonts w:ascii="黑体" w:eastAsia="黑体" w:hint="eastAsia"/>
                <w:spacing w:val="-4"/>
                <w:w w:val="100"/>
                <w:sz w:val="21"/>
              </w:rPr>
              <w:t>，或者驾驶</w:t>
            </w:r>
            <w:r>
              <w:rPr>
                <w:rFonts w:ascii="黑体" w:eastAsia="黑体" w:hint="eastAsia"/>
                <w:b/>
                <w:spacing w:val="-4"/>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8</w:t>
            </w:r>
            <w:r>
              <w:rPr>
                <w:rFonts w:ascii="黑体" w:eastAsia="黑体" w:hint="eastAsia"/>
                <w:spacing w:val="-3"/>
                <w:w w:val="100"/>
                <w:sz w:val="21"/>
              </w:rPr>
              <w:t>）</w:t>
            </w:r>
            <w:r>
              <w:rPr>
                <w:rFonts w:ascii="黑体" w:eastAsia="黑体" w:hint="eastAsia"/>
                <w:spacing w:val="-2"/>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.19</w:t>
            </w:r>
            <w:r>
              <w:rPr>
                <w:rFonts w:ascii="黑体" w:eastAsia="黑体" w:hint="eastAsia"/>
                <w:spacing w:val="-108"/>
                <w:w w:val="100"/>
                <w:sz w:val="21"/>
              </w:rPr>
              <w:t>）</w:t>
            </w:r>
            <w:r>
              <w:rPr>
                <w:rFonts w:ascii="黑体" w:eastAsia="黑体" w:hint="eastAsia"/>
                <w:w w:val="100"/>
                <w:sz w:val="21"/>
              </w:rPr>
              <w:t>；</w:t>
            </w:r>
          </w:p>
          <w:p>
            <w:pPr>
              <w:pStyle w:val="TableParagraph"/>
              <w:spacing w:before="7"/>
              <w:ind w:left="286"/>
              <w:rPr>
                <w:rFonts w:ascii="黑体" w:eastAsia="黑体" w:hint="eastAsia"/>
                <w:sz w:val="21"/>
              </w:rPr>
            </w:pPr>
            <w:r>
              <w:rPr>
                <w:rFonts w:ascii="黑体" w:eastAsia="黑体" w:hint="eastAsia"/>
                <w:w w:val="100"/>
                <w:sz w:val="21"/>
              </w:rPr>
              <w:t>（</w:t>
            </w:r>
            <w:r>
              <w:rPr>
                <w:rFonts w:ascii="黑体" w:eastAsia="黑体" w:hint="eastAsia"/>
                <w:spacing w:val="-3"/>
                <w:w w:val="100"/>
                <w:sz w:val="21"/>
              </w:rPr>
              <w:t>5</w:t>
            </w:r>
            <w:r>
              <w:rPr>
                <w:rFonts w:ascii="黑体" w:eastAsia="黑体" w:hint="eastAsia"/>
                <w:spacing w:val="-15"/>
                <w:w w:val="100"/>
                <w:sz w:val="21"/>
              </w:rPr>
              <w:t>）</w:t>
            </w:r>
            <w:r>
              <w:rPr>
                <w:rFonts w:ascii="黑体" w:eastAsia="黑体" w:hint="eastAsia"/>
                <w:spacing w:val="-3"/>
                <w:w w:val="100"/>
                <w:sz w:val="21"/>
              </w:rPr>
              <w:t>被保险人</w:t>
            </w:r>
            <w:r>
              <w:rPr>
                <w:rFonts w:ascii="黑体" w:eastAsia="黑体" w:hint="eastAsia"/>
                <w:b/>
                <w:spacing w:val="-2"/>
                <w:w w:val="100"/>
                <w:sz w:val="21"/>
              </w:rPr>
              <w:t>感染艾滋病病毒或者患艾滋病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1"/>
                <w:w w:val="100"/>
                <w:sz w:val="21"/>
              </w:rPr>
              <w:t>2</w:t>
            </w:r>
            <w:r>
              <w:rPr>
                <w:rFonts w:ascii="黑体" w:eastAsia="黑体" w:hint="eastAsia"/>
                <w:w w:val="100"/>
                <w:sz w:val="21"/>
              </w:rPr>
              <w:t>0</w:t>
            </w:r>
            <w:r>
              <w:rPr>
                <w:rFonts w:ascii="黑体" w:eastAsia="黑体" w:hint="eastAsia"/>
                <w:spacing w:val="-123"/>
                <w:w w:val="100"/>
                <w:sz w:val="21"/>
              </w:rPr>
              <w:t>）</w:t>
            </w:r>
            <w:r>
              <w:rPr>
                <w:rFonts w:ascii="黑体" w:eastAsia="黑体" w:hint="eastAsia"/>
                <w:w w:val="100"/>
                <w:sz w:val="21"/>
              </w:rPr>
              <w:t>（</w:t>
            </w:r>
            <w:r>
              <w:rPr>
                <w:rFonts w:ascii="黑体" w:eastAsia="黑体" w:hint="eastAsia"/>
                <w:spacing w:val="-3"/>
                <w:w w:val="100"/>
                <w:sz w:val="21"/>
              </w:rPr>
              <w:t>本附加险合同所列第</w:t>
            </w:r>
            <w:r>
              <w:rPr>
                <w:rFonts w:ascii="黑体" w:eastAsia="黑体" w:hint="eastAsia"/>
                <w:spacing w:val="-55"/>
                <w:sz w:val="21"/>
              </w:rPr>
              <w:t> </w:t>
            </w:r>
            <w:r>
              <w:rPr>
                <w:rFonts w:ascii="黑体" w:eastAsia="黑体" w:hint="eastAsia"/>
                <w:w w:val="100"/>
                <w:sz w:val="21"/>
              </w:rPr>
              <w:t>33、</w:t>
            </w:r>
          </w:p>
          <w:p>
            <w:pPr>
              <w:pStyle w:val="TableParagraph"/>
              <w:spacing w:before="36"/>
              <w:ind w:left="745"/>
              <w:rPr>
                <w:rFonts w:ascii="黑体" w:eastAsia="黑体" w:hint="eastAsia"/>
                <w:sz w:val="21"/>
              </w:rPr>
            </w:pPr>
            <w:r>
              <w:rPr>
                <w:rFonts w:ascii="黑体" w:eastAsia="黑体" w:hint="eastAsia"/>
                <w:w w:val="100"/>
                <w:sz w:val="21"/>
              </w:rPr>
              <w:t>47</w:t>
            </w:r>
            <w:r>
              <w:rPr>
                <w:rFonts w:ascii="黑体" w:eastAsia="黑体" w:hint="eastAsia"/>
                <w:spacing w:val="-52"/>
                <w:sz w:val="21"/>
              </w:rPr>
              <w:t> </w:t>
            </w:r>
            <w:r>
              <w:rPr>
                <w:rFonts w:ascii="黑体" w:eastAsia="黑体" w:hint="eastAsia"/>
                <w:spacing w:val="-3"/>
                <w:w w:val="100"/>
                <w:sz w:val="21"/>
              </w:rPr>
              <w:t>种重大疾病除外</w:t>
            </w:r>
            <w:r>
              <w:rPr>
                <w:rFonts w:ascii="黑体" w:eastAsia="黑体" w:hint="eastAsia"/>
                <w:spacing w:val="-109"/>
                <w:w w:val="100"/>
                <w:sz w:val="21"/>
              </w:rPr>
              <w:t>）</w:t>
            </w:r>
            <w:r>
              <w:rPr>
                <w:rFonts w:ascii="黑体" w:eastAsia="黑体" w:hint="eastAsia"/>
                <w:w w:val="100"/>
                <w:sz w:val="21"/>
              </w:rPr>
              <w:t>；</w:t>
            </w:r>
          </w:p>
          <w:p>
            <w:pPr>
              <w:pStyle w:val="TableParagraph"/>
              <w:spacing w:before="36"/>
              <w:ind w:left="286"/>
              <w:rPr>
                <w:rFonts w:ascii="黑体" w:eastAsia="黑体" w:hint="eastAsia"/>
                <w:sz w:val="21"/>
              </w:rPr>
            </w:pPr>
            <w:r>
              <w:rPr>
                <w:rFonts w:ascii="黑体" w:eastAsia="黑体" w:hint="eastAsia"/>
                <w:w w:val="100"/>
                <w:sz w:val="21"/>
              </w:rPr>
              <w:t>（6</w:t>
            </w:r>
            <w:r>
              <w:rPr>
                <w:rFonts w:ascii="黑体" w:eastAsia="黑体" w:hint="eastAsia"/>
                <w:spacing w:val="-3"/>
                <w:w w:val="100"/>
                <w:sz w:val="21"/>
              </w:rPr>
              <w:t>）战争、军事冲突、暴乱或者武装叛乱</w:t>
            </w:r>
            <w:r>
              <w:rPr>
                <w:rFonts w:ascii="黑体" w:eastAsia="黑体" w:hint="eastAsia"/>
                <w:w w:val="100"/>
                <w:sz w:val="21"/>
              </w:rPr>
              <w:t>（</w:t>
            </w:r>
            <w:r>
              <w:rPr>
                <w:rFonts w:ascii="黑体" w:eastAsia="黑体" w:hint="eastAsia"/>
                <w:spacing w:val="-3"/>
                <w:w w:val="100"/>
                <w:sz w:val="21"/>
              </w:rPr>
              <w:t>以上行为以政府宣告或者认定为准</w:t>
            </w:r>
            <w:r>
              <w:rPr>
                <w:rFonts w:ascii="黑体" w:eastAsia="黑体" w:hint="eastAsia"/>
                <w:spacing w:val="-109"/>
                <w:w w:val="100"/>
                <w:sz w:val="21"/>
              </w:rPr>
              <w:t>）</w:t>
            </w:r>
            <w:r>
              <w:rPr>
                <w:rFonts w:ascii="黑体" w:eastAsia="黑体" w:hint="eastAsia"/>
                <w:w w:val="100"/>
                <w:sz w:val="21"/>
              </w:rPr>
              <w:t>；</w:t>
            </w:r>
          </w:p>
          <w:p>
            <w:pPr>
              <w:pStyle w:val="TableParagraph"/>
              <w:spacing w:before="36"/>
              <w:ind w:left="286"/>
              <w:rPr>
                <w:rFonts w:ascii="黑体" w:eastAsia="黑体" w:hint="eastAsia"/>
                <w:sz w:val="21"/>
              </w:rPr>
            </w:pPr>
            <w:r>
              <w:rPr>
                <w:rFonts w:ascii="黑体" w:eastAsia="黑体" w:hint="eastAsia"/>
                <w:sz w:val="21"/>
              </w:rPr>
              <w:t>（7）核爆炸、核辐射或者核污染；</w:t>
            </w:r>
          </w:p>
          <w:p>
            <w:pPr>
              <w:pStyle w:val="TableParagraph"/>
              <w:spacing w:line="408" w:lineRule="auto" w:before="36"/>
              <w:ind w:left="286" w:right="373"/>
              <w:rPr>
                <w:rFonts w:ascii="黑体" w:eastAsia="黑体" w:hint="eastAsia"/>
                <w:sz w:val="21"/>
              </w:rPr>
            </w:pPr>
            <w:r>
              <w:rPr>
                <w:rFonts w:ascii="黑体" w:eastAsia="黑体" w:hint="eastAsia"/>
                <w:w w:val="100"/>
                <w:sz w:val="21"/>
              </w:rPr>
              <w:t>（8</w:t>
            </w:r>
            <w:r>
              <w:rPr>
                <w:rFonts w:ascii="黑体" w:eastAsia="黑体" w:hint="eastAsia"/>
                <w:spacing w:val="-2"/>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2</w:t>
            </w:r>
            <w:r>
              <w:rPr>
                <w:rFonts w:ascii="黑体" w:eastAsia="黑体" w:hint="eastAsia"/>
                <w:w w:val="100"/>
                <w:sz w:val="21"/>
              </w:rPr>
              <w:t>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1"/>
                <w:w w:val="100"/>
                <w:sz w:val="21"/>
              </w:rPr>
              <w:t>2</w:t>
            </w:r>
            <w:r>
              <w:rPr>
                <w:rFonts w:ascii="黑体" w:eastAsia="黑体" w:hint="eastAsia"/>
                <w:w w:val="100"/>
                <w:sz w:val="21"/>
              </w:rPr>
              <w:t>2</w:t>
            </w:r>
            <w:r>
              <w:rPr>
                <w:rFonts w:ascii="黑体" w:eastAsia="黑体" w:hint="eastAsia"/>
                <w:spacing w:val="-108"/>
                <w:w w:val="100"/>
                <w:sz w:val="21"/>
              </w:rPr>
              <w:t>）</w:t>
            </w:r>
            <w:r>
              <w:rPr>
                <w:rFonts w:ascii="黑体" w:eastAsia="黑体" w:hint="eastAsia"/>
                <w:w w:val="100"/>
                <w:sz w:val="21"/>
              </w:rPr>
              <w:t>。 </w:t>
            </w:r>
            <w:r>
              <w:rPr>
                <w:rFonts w:ascii="黑体" w:eastAsia="黑体" w:hint="eastAsia"/>
                <w:spacing w:val="-1"/>
                <w:sz w:val="21"/>
              </w:rPr>
              <w:t>发Th</w:t>
            </w:r>
            <w:r>
              <w:rPr>
                <w:rFonts w:ascii="黑体" w:eastAsia="黑体" w:hint="eastAsia"/>
                <w:spacing w:val="-3"/>
                <w:sz w:val="21"/>
              </w:rPr>
              <w:t>上述第</w:t>
            </w:r>
            <w:r>
              <w:rPr>
                <w:rFonts w:ascii="黑体" w:eastAsia="黑体" w:hint="eastAsia"/>
                <w:spacing w:val="-1"/>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保险事故的，本附加险合同效力即行终</w:t>
            </w:r>
          </w:p>
          <w:p>
            <w:pPr>
              <w:pStyle w:val="TableParagraph"/>
              <w:spacing w:line="165" w:lineRule="exact" w:before="0"/>
              <w:ind w:left="286"/>
              <w:rPr>
                <w:rFonts w:ascii="黑体" w:eastAsia="黑体" w:hint="eastAsia"/>
                <w:sz w:val="21"/>
              </w:rPr>
            </w:pPr>
            <w:r>
              <w:rPr>
                <w:rFonts w:ascii="黑体" w:eastAsia="黑体" w:hint="eastAsia"/>
                <w:sz w:val="21"/>
              </w:rPr>
              <w:t>止，如果投保人已交足两年以上保险费的，本公司向除投保人以外的</w:t>
            </w:r>
            <w:r>
              <w:rPr>
                <w:rFonts w:ascii="黑体" w:eastAsia="黑体" w:hint="eastAsia"/>
                <w:b/>
                <w:sz w:val="21"/>
              </w:rPr>
              <w:t>其他权利人</w:t>
            </w:r>
            <w:r>
              <w:rPr>
                <w:rFonts w:ascii="黑体" w:eastAsia="黑体" w:hint="eastAsia"/>
                <w:sz w:val="21"/>
              </w:rPr>
              <w:t>（见</w:t>
            </w:r>
          </w:p>
          <w:p>
            <w:pPr>
              <w:pStyle w:val="TableParagraph"/>
              <w:ind w:left="286"/>
              <w:rPr>
                <w:rFonts w:ascii="黑体" w:eastAsia="黑体" w:hint="eastAsia"/>
                <w:sz w:val="21"/>
              </w:rPr>
            </w:pPr>
            <w:r>
              <w:rPr>
                <w:rFonts w:ascii="黑体" w:eastAsia="黑体" w:hint="eastAsia"/>
                <w:sz w:val="21"/>
              </w:rPr>
              <w:t>9.23）退还本附加险合同的现金价值。</w:t>
            </w:r>
          </w:p>
          <w:p>
            <w:pPr>
              <w:pStyle w:val="TableParagraph"/>
              <w:spacing w:before="9"/>
              <w:ind w:left="0"/>
              <w:rPr>
                <w:b/>
                <w:sz w:val="14"/>
              </w:rPr>
            </w:pPr>
          </w:p>
          <w:p>
            <w:pPr>
              <w:pStyle w:val="TableParagraph"/>
              <w:spacing w:line="273" w:lineRule="auto" w:before="0"/>
              <w:ind w:left="286" w:right="262"/>
              <w:rPr>
                <w:rFonts w:ascii="黑体" w:eastAsia="黑体" w:hint="eastAsia"/>
                <w:sz w:val="21"/>
              </w:rPr>
            </w:pPr>
            <w:r>
              <w:rPr>
                <w:rFonts w:ascii="黑体" w:eastAsia="黑体" w:hint="eastAsia"/>
                <w:sz w:val="21"/>
              </w:rPr>
              <w:t>发Th上述其他情形导致被保险人发Th保险事故的，本附加险合同效力即行终止，本公司向投保人退还本附加险合同的现金价值。</w:t>
            </w:r>
          </w:p>
        </w:tc>
      </w:tr>
      <w:tr>
        <w:trPr>
          <w:trHeight w:val="339" w:hRule="atLeast"/>
        </w:trPr>
        <w:tc>
          <w:tcPr>
            <w:tcW w:w="715" w:type="dxa"/>
          </w:tcPr>
          <w:p>
            <w:pPr>
              <w:pStyle w:val="TableParagraph"/>
              <w:spacing w:line="261" w:lineRule="exact" w:before="58"/>
              <w:rPr>
                <w:b/>
                <w:sz w:val="21"/>
              </w:rPr>
            </w:pPr>
            <w:r>
              <w:rPr>
                <w:b/>
                <w:sz w:val="21"/>
              </w:rPr>
              <w:t>2.3</w:t>
            </w:r>
          </w:p>
        </w:tc>
        <w:tc>
          <w:tcPr>
            <w:tcW w:w="1330" w:type="dxa"/>
          </w:tcPr>
          <w:p>
            <w:pPr>
              <w:pStyle w:val="TableParagraph"/>
              <w:spacing w:line="261" w:lineRule="exact" w:before="58"/>
              <w:ind w:left="198"/>
              <w:rPr>
                <w:b/>
                <w:sz w:val="21"/>
              </w:rPr>
            </w:pPr>
            <w:r>
              <w:rPr>
                <w:b/>
                <w:sz w:val="21"/>
              </w:rPr>
              <w:t>保险期间</w:t>
            </w:r>
          </w:p>
        </w:tc>
        <w:tc>
          <w:tcPr>
            <w:tcW w:w="8123" w:type="dxa"/>
          </w:tcPr>
          <w:p>
            <w:pPr>
              <w:pStyle w:val="TableParagraph"/>
              <w:spacing w:line="261" w:lineRule="exact" w:before="58"/>
              <w:ind w:left="286"/>
              <w:rPr>
                <w:sz w:val="21"/>
              </w:rPr>
            </w:pPr>
            <w:r>
              <w:rPr>
                <w:sz w:val="21"/>
              </w:rPr>
              <w:t>本附加险合同的保险期间与主险合同一致，并在保险单上载明。</w:t>
            </w:r>
          </w:p>
        </w:tc>
      </w:tr>
    </w:tbl>
    <w:p>
      <w:pPr>
        <w:spacing w:after="0" w:line="261" w:lineRule="exact"/>
        <w:rPr>
          <w:sz w:val="21"/>
        </w:rPr>
        <w:sectPr>
          <w:pgSz w:w="11910" w:h="16840"/>
          <w:pgMar w:header="0" w:footer="377" w:top="1340" w:bottom="560" w:left="820" w:right="7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78"/>
        <w:gridCol w:w="7768"/>
      </w:tblGrid>
      <w:tr>
        <w:trPr>
          <w:trHeight w:val="473" w:hRule="atLeast"/>
        </w:trPr>
        <w:tc>
          <w:tcPr>
            <w:tcW w:w="625" w:type="dxa"/>
            <w:tcBorders>
              <w:bottom w:val="single" w:sz="4" w:space="0" w:color="000000"/>
            </w:tcBorders>
          </w:tcPr>
          <w:p>
            <w:pPr>
              <w:pStyle w:val="TableParagraph"/>
              <w:spacing w:line="313" w:lineRule="exact" w:before="0"/>
              <w:ind w:left="148"/>
              <w:rPr>
                <w:b/>
                <w:sz w:val="32"/>
              </w:rPr>
            </w:pPr>
            <w:r>
              <w:rPr>
                <w:b/>
                <w:w w:val="98"/>
                <w:sz w:val="32"/>
              </w:rPr>
              <w:t>3</w:t>
            </w:r>
          </w:p>
        </w:tc>
        <w:tc>
          <w:tcPr>
            <w:tcW w:w="9246" w:type="dxa"/>
            <w:gridSpan w:val="2"/>
            <w:tcBorders>
              <w:bottom w:val="single" w:sz="4" w:space="0" w:color="000000"/>
            </w:tcBorders>
          </w:tcPr>
          <w:p>
            <w:pPr>
              <w:pStyle w:val="TableParagraph"/>
              <w:spacing w:line="273" w:lineRule="exact" w:before="0"/>
              <w:ind w:left="198"/>
              <w:rPr>
                <w:b/>
                <w:sz w:val="24"/>
              </w:rPr>
            </w:pPr>
            <w:r>
              <w:rPr>
                <w:b/>
                <w:w w:val="95"/>
                <w:sz w:val="24"/>
              </w:rPr>
              <w:t>如何申请豁免保险费</w:t>
            </w:r>
          </w:p>
        </w:tc>
      </w:tr>
      <w:tr>
        <w:trPr>
          <w:trHeight w:val="1631" w:hRule="atLeast"/>
        </w:trPr>
        <w:tc>
          <w:tcPr>
            <w:tcW w:w="625" w:type="dxa"/>
            <w:tcBorders>
              <w:top w:val="single" w:sz="4" w:space="0" w:color="000000"/>
            </w:tcBorders>
          </w:tcPr>
          <w:p>
            <w:pPr>
              <w:pStyle w:val="TableParagraph"/>
              <w:spacing w:before="129"/>
              <w:ind w:left="110"/>
              <w:rPr>
                <w:b/>
                <w:sz w:val="21"/>
              </w:rPr>
            </w:pPr>
            <w:r>
              <w:rPr>
                <w:b/>
                <w:sz w:val="21"/>
              </w:rPr>
              <w:t>3.1</w:t>
            </w:r>
          </w:p>
        </w:tc>
        <w:tc>
          <w:tcPr>
            <w:tcW w:w="1478" w:type="dxa"/>
            <w:tcBorders>
              <w:top w:val="single" w:sz="4" w:space="0" w:color="000000"/>
            </w:tcBorders>
          </w:tcPr>
          <w:p>
            <w:pPr>
              <w:pStyle w:val="TableParagraph"/>
              <w:spacing w:before="129"/>
              <w:ind w:left="198"/>
              <w:rPr>
                <w:b/>
                <w:sz w:val="21"/>
              </w:rPr>
            </w:pPr>
            <w:r>
              <w:rPr>
                <w:b/>
                <w:sz w:val="21"/>
              </w:rPr>
              <w:t>受益人</w:t>
            </w:r>
          </w:p>
        </w:tc>
        <w:tc>
          <w:tcPr>
            <w:tcW w:w="7768" w:type="dxa"/>
            <w:tcBorders>
              <w:top w:val="single" w:sz="4" w:space="0" w:color="000000"/>
            </w:tcBorders>
          </w:tcPr>
          <w:p>
            <w:pPr>
              <w:pStyle w:val="TableParagraph"/>
              <w:spacing w:line="273" w:lineRule="auto" w:before="129"/>
              <w:ind w:left="139" w:right="96"/>
              <w:rPr>
                <w:sz w:val="21"/>
              </w:rPr>
            </w:pPr>
            <w:r>
              <w:rPr>
                <w:spacing w:val="-6"/>
                <w:sz w:val="21"/>
              </w:rPr>
              <w:t>除另有约定外，本附加险合同的受益人为被保险人本人。若被保险人身故，本附加</w:t>
            </w:r>
            <w:r>
              <w:rPr>
                <w:spacing w:val="-4"/>
                <w:sz w:val="21"/>
              </w:rPr>
              <w:t>险合同的受益人为主险合同的被保险人。</w:t>
            </w:r>
          </w:p>
          <w:p>
            <w:pPr>
              <w:pStyle w:val="TableParagraph"/>
              <w:spacing w:line="273" w:lineRule="auto" w:before="163"/>
              <w:ind w:left="139" w:right="97"/>
              <w:rPr>
                <w:rFonts w:ascii="黑体" w:eastAsia="黑体" w:hint="eastAsia"/>
                <w:sz w:val="21"/>
              </w:rPr>
            </w:pPr>
            <w:r>
              <w:rPr>
                <w:rFonts w:ascii="黑体" w:eastAsia="黑体" w:hint="eastAsia"/>
                <w:spacing w:val="-7"/>
                <w:sz w:val="21"/>
              </w:rPr>
              <w:t>受益人故意造成被保险人身故、伤残、疾病的，或者故意杀害被保险人未遂的，该</w:t>
            </w:r>
            <w:r>
              <w:rPr>
                <w:rFonts w:ascii="黑体" w:eastAsia="黑体" w:hint="eastAsia"/>
                <w:spacing w:val="-5"/>
                <w:sz w:val="21"/>
              </w:rPr>
              <w:t>受益人丧失受益权。</w:t>
            </w:r>
          </w:p>
        </w:tc>
      </w:tr>
      <w:tr>
        <w:trPr>
          <w:trHeight w:val="2496" w:hRule="atLeast"/>
        </w:trPr>
        <w:tc>
          <w:tcPr>
            <w:tcW w:w="625" w:type="dxa"/>
          </w:tcPr>
          <w:p>
            <w:pPr>
              <w:pStyle w:val="TableParagraph"/>
              <w:spacing w:before="58"/>
              <w:ind w:left="110"/>
              <w:rPr>
                <w:b/>
                <w:sz w:val="21"/>
              </w:rPr>
            </w:pPr>
            <w:r>
              <w:rPr>
                <w:b/>
                <w:sz w:val="21"/>
              </w:rPr>
              <w:t>3.2</w:t>
            </w:r>
          </w:p>
        </w:tc>
        <w:tc>
          <w:tcPr>
            <w:tcW w:w="1478" w:type="dxa"/>
          </w:tcPr>
          <w:p>
            <w:pPr>
              <w:pStyle w:val="TableParagraph"/>
              <w:spacing w:line="273" w:lineRule="auto" w:before="58"/>
              <w:ind w:left="198" w:right="221"/>
              <w:rPr>
                <w:b/>
                <w:sz w:val="21"/>
              </w:rPr>
            </w:pPr>
            <w:r>
              <w:rPr>
                <w:b/>
                <w:sz w:val="21"/>
              </w:rPr>
              <w:t>保险事故通知</w:t>
            </w:r>
          </w:p>
        </w:tc>
        <w:tc>
          <w:tcPr>
            <w:tcW w:w="7768" w:type="dxa"/>
          </w:tcPr>
          <w:p>
            <w:pPr>
              <w:pStyle w:val="TableParagraph"/>
              <w:spacing w:line="273" w:lineRule="auto" w:before="58"/>
              <w:ind w:left="139" w:right="96"/>
              <w:jc w:val="both"/>
              <w:rPr>
                <w:sz w:val="21"/>
              </w:rPr>
            </w:pPr>
            <w:r>
              <w:rPr>
                <w:spacing w:val="-7"/>
                <w:sz w:val="21"/>
              </w:rPr>
              <w:t>投保人、被保险人或者受益人应于自其知道或者应当知道保险事故发生之日起七日</w:t>
            </w:r>
            <w:r>
              <w:rPr>
                <w:spacing w:val="-9"/>
                <w:sz w:val="21"/>
              </w:rPr>
              <w:t>内通知本公司。否则投保人、被保险人或者受益人应承担由于通知迟延致使本公司增加的勘查、检验等各项费用，但因</w:t>
            </w:r>
            <w:r>
              <w:rPr>
                <w:b/>
                <w:spacing w:val="-5"/>
                <w:sz w:val="21"/>
              </w:rPr>
              <w:t>不可抗力</w:t>
            </w:r>
            <w:r>
              <w:rPr>
                <w:sz w:val="21"/>
              </w:rPr>
              <w:t>（</w:t>
            </w:r>
            <w:r>
              <w:rPr>
                <w:spacing w:val="-13"/>
                <w:sz w:val="21"/>
              </w:rPr>
              <w:t>见 </w:t>
            </w:r>
            <w:r>
              <w:rPr>
                <w:spacing w:val="-5"/>
                <w:sz w:val="21"/>
              </w:rPr>
              <w:t>9.24）</w:t>
            </w:r>
            <w:r>
              <w:rPr>
                <w:spacing w:val="-6"/>
                <w:sz w:val="21"/>
              </w:rPr>
              <w:t>导致的迟延除外。通知内</w:t>
            </w:r>
            <w:r>
              <w:rPr>
                <w:spacing w:val="-3"/>
                <w:sz w:val="21"/>
              </w:rPr>
              <w:t>容包括：事故情况、原因、伤亡情况以及本公司需要了解的其他情况。</w:t>
            </w:r>
          </w:p>
          <w:p>
            <w:pPr>
              <w:pStyle w:val="TableParagraph"/>
              <w:spacing w:line="273" w:lineRule="auto" w:before="164"/>
              <w:ind w:left="139" w:right="96"/>
              <w:jc w:val="both"/>
              <w:rPr>
                <w:rFonts w:ascii="黑体" w:eastAsia="黑体" w:hint="eastAsia"/>
                <w:sz w:val="21"/>
              </w:rPr>
            </w:pPr>
            <w:r>
              <w:rPr>
                <w:rFonts w:ascii="黑体" w:eastAsia="黑体" w:hint="eastAsia"/>
                <w:spacing w:val="-6"/>
                <w:sz w:val="21"/>
              </w:rPr>
              <w:t>投保人、被保险人或者受益人故意或者因重大过失未及时通知，致使保险事故的性</w:t>
            </w:r>
            <w:r>
              <w:rPr>
                <w:rFonts w:ascii="黑体" w:eastAsia="黑体" w:hint="eastAsia"/>
                <w:spacing w:val="-8"/>
                <w:sz w:val="21"/>
              </w:rPr>
              <w:t>质、原因等难以确定的，本公司对无法确定的部分，不承担豁免保险费的责任，但</w:t>
            </w:r>
            <w:r>
              <w:rPr>
                <w:rFonts w:ascii="黑体" w:eastAsia="黑体" w:hint="eastAsia"/>
                <w:spacing w:val="-3"/>
                <w:sz w:val="21"/>
              </w:rPr>
              <w:t>本公司通过其他途径已经及时知道或者应当及时知道保险事故发</w:t>
            </w:r>
            <w:r>
              <w:rPr>
                <w:rFonts w:ascii="黑体" w:eastAsia="黑体" w:hint="eastAsia"/>
                <w:sz w:val="21"/>
              </w:rPr>
              <w:t>Th</w:t>
            </w:r>
            <w:r>
              <w:rPr>
                <w:rFonts w:ascii="黑体" w:eastAsia="黑体" w:hint="eastAsia"/>
                <w:spacing w:val="-2"/>
                <w:sz w:val="21"/>
              </w:rPr>
              <w:t>的除外。</w:t>
            </w:r>
          </w:p>
        </w:tc>
      </w:tr>
      <w:tr>
        <w:trPr>
          <w:trHeight w:val="782" w:hRule="atLeast"/>
        </w:trPr>
        <w:tc>
          <w:tcPr>
            <w:tcW w:w="625" w:type="dxa"/>
          </w:tcPr>
          <w:p>
            <w:pPr>
              <w:pStyle w:val="TableParagraph"/>
              <w:spacing w:before="58"/>
              <w:ind w:left="110"/>
              <w:rPr>
                <w:b/>
                <w:sz w:val="21"/>
              </w:rPr>
            </w:pPr>
            <w:r>
              <w:rPr>
                <w:b/>
                <w:sz w:val="21"/>
              </w:rPr>
              <w:t>3.3</w:t>
            </w:r>
          </w:p>
        </w:tc>
        <w:tc>
          <w:tcPr>
            <w:tcW w:w="1478" w:type="dxa"/>
          </w:tcPr>
          <w:p>
            <w:pPr>
              <w:pStyle w:val="TableParagraph"/>
              <w:spacing w:line="273" w:lineRule="auto" w:before="58"/>
              <w:ind w:left="198" w:right="221"/>
              <w:rPr>
                <w:b/>
                <w:sz w:val="21"/>
              </w:rPr>
            </w:pPr>
            <w:r>
              <w:rPr>
                <w:b/>
                <w:sz w:val="21"/>
              </w:rPr>
              <w:t>豁免保险费申请</w:t>
            </w:r>
          </w:p>
        </w:tc>
        <w:tc>
          <w:tcPr>
            <w:tcW w:w="7768" w:type="dxa"/>
          </w:tcPr>
          <w:p>
            <w:pPr>
              <w:pStyle w:val="TableParagraph"/>
              <w:spacing w:before="58"/>
              <w:ind w:left="139"/>
              <w:rPr>
                <w:sz w:val="21"/>
              </w:rPr>
            </w:pPr>
            <w:r>
              <w:rPr>
                <w:sz w:val="21"/>
              </w:rPr>
              <w:t>在申请豁免保险费时，请按照下列方式办理：</w:t>
            </w:r>
          </w:p>
        </w:tc>
      </w:tr>
      <w:tr>
        <w:trPr>
          <w:trHeight w:val="2060" w:hRule="atLeast"/>
        </w:trPr>
        <w:tc>
          <w:tcPr>
            <w:tcW w:w="625" w:type="dxa"/>
          </w:tcPr>
          <w:p>
            <w:pPr>
              <w:pStyle w:val="TableParagraph"/>
              <w:spacing w:before="0"/>
              <w:ind w:left="0"/>
              <w:rPr>
                <w:rFonts w:ascii="Times New Roman"/>
                <w:sz w:val="20"/>
              </w:rPr>
            </w:pPr>
          </w:p>
        </w:tc>
        <w:tc>
          <w:tcPr>
            <w:tcW w:w="1478" w:type="dxa"/>
          </w:tcPr>
          <w:p>
            <w:pPr>
              <w:pStyle w:val="TableParagraph"/>
              <w:spacing w:line="273" w:lineRule="auto" w:before="60"/>
              <w:ind w:left="198" w:right="136"/>
              <w:rPr>
                <w:b/>
                <w:sz w:val="21"/>
              </w:rPr>
            </w:pPr>
            <w:r>
              <w:rPr>
                <w:b/>
                <w:sz w:val="21"/>
              </w:rPr>
              <w:t>轻症疾病豁</w:t>
            </w:r>
            <w:r>
              <w:rPr>
                <w:b/>
                <w:spacing w:val="-22"/>
                <w:sz w:val="21"/>
              </w:rPr>
              <w:t>免保险费、重</w:t>
            </w:r>
            <w:r>
              <w:rPr>
                <w:b/>
                <w:sz w:val="21"/>
              </w:rPr>
              <w:t>大疾病豁免</w:t>
            </w:r>
            <w:r>
              <w:rPr>
                <w:b/>
                <w:spacing w:val="-1"/>
                <w:sz w:val="21"/>
              </w:rPr>
              <w:t>保险费申请</w:t>
            </w:r>
          </w:p>
        </w:tc>
        <w:tc>
          <w:tcPr>
            <w:tcW w:w="7768" w:type="dxa"/>
          </w:tcPr>
          <w:p>
            <w:pPr>
              <w:pStyle w:val="TableParagraph"/>
              <w:spacing w:before="60"/>
              <w:ind w:left="139"/>
              <w:rPr>
                <w:sz w:val="21"/>
              </w:rPr>
            </w:pPr>
            <w:r>
              <w:rPr>
                <w:sz w:val="21"/>
              </w:rPr>
              <w:t>由被保险人作为申请人书面提出豁免保险费的申请，并提供下列证明和资料：</w:t>
            </w:r>
          </w:p>
          <w:p>
            <w:pPr>
              <w:pStyle w:val="TableParagraph"/>
              <w:numPr>
                <w:ilvl w:val="0"/>
                <w:numId w:val="9"/>
              </w:numPr>
              <w:tabs>
                <w:tab w:pos="860" w:val="left" w:leader="none"/>
              </w:tabs>
              <w:spacing w:line="240" w:lineRule="auto" w:before="37" w:after="0"/>
              <w:ind w:left="859" w:right="0" w:hanging="720"/>
              <w:jc w:val="left"/>
              <w:rPr>
                <w:sz w:val="21"/>
              </w:rPr>
            </w:pPr>
            <w:r>
              <w:rPr>
                <w:spacing w:val="-1"/>
                <w:sz w:val="21"/>
              </w:rPr>
              <w:t>保险合同；</w:t>
            </w:r>
          </w:p>
          <w:p>
            <w:pPr>
              <w:pStyle w:val="TableParagraph"/>
              <w:numPr>
                <w:ilvl w:val="0"/>
                <w:numId w:val="9"/>
              </w:numPr>
              <w:tabs>
                <w:tab w:pos="860" w:val="left" w:leader="none"/>
              </w:tabs>
              <w:spacing w:line="240" w:lineRule="auto" w:before="37" w:after="0"/>
              <w:ind w:left="859" w:right="0" w:hanging="720"/>
              <w:jc w:val="left"/>
              <w:rPr>
                <w:sz w:val="21"/>
              </w:rPr>
            </w:pPr>
            <w:r>
              <w:rPr>
                <w:spacing w:val="-2"/>
                <w:sz w:val="21"/>
              </w:rPr>
              <w:t>受益人的</w:t>
            </w:r>
            <w:r>
              <w:rPr>
                <w:b/>
                <w:sz w:val="21"/>
              </w:rPr>
              <w:t>法定身份证明</w:t>
            </w:r>
            <w:r>
              <w:rPr>
                <w:spacing w:val="-3"/>
                <w:sz w:val="21"/>
              </w:rPr>
              <w:t>（</w:t>
            </w:r>
            <w:r>
              <w:rPr>
                <w:spacing w:val="-22"/>
                <w:sz w:val="21"/>
              </w:rPr>
              <w:t>见 </w:t>
            </w:r>
            <w:r>
              <w:rPr>
                <w:sz w:val="21"/>
              </w:rPr>
              <w:t>9.25）；</w:t>
            </w:r>
          </w:p>
          <w:p>
            <w:pPr>
              <w:pStyle w:val="TableParagraph"/>
              <w:numPr>
                <w:ilvl w:val="0"/>
                <w:numId w:val="9"/>
              </w:numPr>
              <w:tabs>
                <w:tab w:pos="860" w:val="left" w:leader="none"/>
              </w:tabs>
              <w:spacing w:line="273" w:lineRule="auto" w:before="37" w:after="0"/>
              <w:ind w:left="859" w:right="104" w:hanging="720"/>
              <w:jc w:val="left"/>
              <w:rPr>
                <w:sz w:val="21"/>
              </w:rPr>
            </w:pPr>
            <w:r>
              <w:rPr>
                <w:sz w:val="21"/>
              </w:rPr>
              <w:t>由医院出具的附有病历、必要病理检验、血液检验及其它科学方法检验报</w:t>
            </w:r>
            <w:r>
              <w:rPr>
                <w:spacing w:val="-3"/>
                <w:sz w:val="21"/>
              </w:rPr>
              <w:t>告的疾病诊断书；</w:t>
            </w:r>
          </w:p>
          <w:p>
            <w:pPr>
              <w:pStyle w:val="TableParagraph"/>
              <w:numPr>
                <w:ilvl w:val="0"/>
                <w:numId w:val="9"/>
              </w:numPr>
              <w:tabs>
                <w:tab w:pos="860" w:val="left" w:leader="none"/>
              </w:tabs>
              <w:spacing w:line="240" w:lineRule="auto" w:before="7" w:after="0"/>
              <w:ind w:left="859" w:right="0" w:hanging="720"/>
              <w:jc w:val="left"/>
              <w:rPr>
                <w:sz w:val="21"/>
              </w:rPr>
            </w:pPr>
            <w:r>
              <w:rPr>
                <w:spacing w:val="-3"/>
                <w:sz w:val="21"/>
              </w:rPr>
              <w:t>与确认保险事故的性质、原因、经过等有关的其它证明和资料。</w:t>
            </w:r>
          </w:p>
        </w:tc>
      </w:tr>
      <w:tr>
        <w:trPr>
          <w:trHeight w:val="3231" w:hRule="atLeast"/>
        </w:trPr>
        <w:tc>
          <w:tcPr>
            <w:tcW w:w="625" w:type="dxa"/>
          </w:tcPr>
          <w:p>
            <w:pPr>
              <w:pStyle w:val="TableParagraph"/>
              <w:spacing w:before="0"/>
              <w:ind w:left="0"/>
              <w:rPr>
                <w:rFonts w:ascii="Times New Roman"/>
                <w:sz w:val="20"/>
              </w:rPr>
            </w:pPr>
          </w:p>
        </w:tc>
        <w:tc>
          <w:tcPr>
            <w:tcW w:w="1478" w:type="dxa"/>
          </w:tcPr>
          <w:p>
            <w:pPr>
              <w:pStyle w:val="TableParagraph"/>
              <w:spacing w:line="273" w:lineRule="auto" w:before="88"/>
              <w:ind w:left="198" w:right="221"/>
              <w:rPr>
                <w:b/>
                <w:sz w:val="21"/>
              </w:rPr>
            </w:pPr>
            <w:r>
              <w:rPr>
                <w:b/>
                <w:sz w:val="21"/>
              </w:rPr>
              <w:t>身故豁免保险费申请</w:t>
            </w:r>
          </w:p>
        </w:tc>
        <w:tc>
          <w:tcPr>
            <w:tcW w:w="7768" w:type="dxa"/>
          </w:tcPr>
          <w:p>
            <w:pPr>
              <w:pStyle w:val="TableParagraph"/>
              <w:spacing w:before="88"/>
              <w:ind w:left="139"/>
              <w:rPr>
                <w:sz w:val="21"/>
              </w:rPr>
            </w:pPr>
            <w:r>
              <w:rPr>
                <w:sz w:val="21"/>
              </w:rPr>
              <w:t>由受益人作为申请人书面提出豁免保险费的申请，并须提供下列证明和资料：</w:t>
            </w:r>
          </w:p>
          <w:p>
            <w:pPr>
              <w:pStyle w:val="TableParagraph"/>
              <w:numPr>
                <w:ilvl w:val="0"/>
                <w:numId w:val="10"/>
              </w:numPr>
              <w:tabs>
                <w:tab w:pos="860" w:val="left" w:leader="none"/>
              </w:tabs>
              <w:spacing w:line="240" w:lineRule="auto" w:before="37" w:after="0"/>
              <w:ind w:left="859" w:right="0" w:hanging="720"/>
              <w:jc w:val="left"/>
              <w:rPr>
                <w:sz w:val="21"/>
              </w:rPr>
            </w:pPr>
            <w:r>
              <w:rPr>
                <w:spacing w:val="-1"/>
                <w:sz w:val="21"/>
              </w:rPr>
              <w:t>保险合同；</w:t>
            </w:r>
          </w:p>
          <w:p>
            <w:pPr>
              <w:pStyle w:val="TableParagraph"/>
              <w:numPr>
                <w:ilvl w:val="0"/>
                <w:numId w:val="10"/>
              </w:numPr>
              <w:tabs>
                <w:tab w:pos="860" w:val="left" w:leader="none"/>
              </w:tabs>
              <w:spacing w:line="240" w:lineRule="auto" w:before="37" w:after="0"/>
              <w:ind w:left="859" w:right="0" w:hanging="720"/>
              <w:jc w:val="left"/>
              <w:rPr>
                <w:sz w:val="21"/>
              </w:rPr>
            </w:pPr>
            <w:r>
              <w:rPr>
                <w:spacing w:val="-3"/>
                <w:sz w:val="21"/>
              </w:rPr>
              <w:t>受益人的法定身份证明；</w:t>
            </w:r>
          </w:p>
          <w:p>
            <w:pPr>
              <w:pStyle w:val="TableParagraph"/>
              <w:numPr>
                <w:ilvl w:val="0"/>
                <w:numId w:val="10"/>
              </w:numPr>
              <w:tabs>
                <w:tab w:pos="860" w:val="left" w:leader="none"/>
              </w:tabs>
              <w:spacing w:line="273" w:lineRule="auto" w:before="37" w:after="0"/>
              <w:ind w:left="859" w:right="105" w:hanging="720"/>
              <w:jc w:val="left"/>
              <w:rPr>
                <w:sz w:val="21"/>
              </w:rPr>
            </w:pPr>
            <w:r>
              <w:rPr>
                <w:sz w:val="21"/>
              </w:rPr>
              <w:t>国务院卫生行政部门规定的医疗机构或者公安部门出具的被保险人死亡证</w:t>
            </w:r>
            <w:r>
              <w:rPr>
                <w:spacing w:val="-3"/>
                <w:sz w:val="21"/>
              </w:rPr>
              <w:t>明书或者验尸证明；</w:t>
            </w:r>
          </w:p>
          <w:p>
            <w:pPr>
              <w:pStyle w:val="TableParagraph"/>
              <w:numPr>
                <w:ilvl w:val="0"/>
                <w:numId w:val="10"/>
              </w:numPr>
              <w:tabs>
                <w:tab w:pos="860" w:val="left" w:leader="none"/>
              </w:tabs>
              <w:spacing w:line="240" w:lineRule="auto" w:before="7" w:after="0"/>
              <w:ind w:left="859" w:right="0" w:hanging="720"/>
              <w:jc w:val="left"/>
              <w:rPr>
                <w:sz w:val="21"/>
              </w:rPr>
            </w:pPr>
            <w:r>
              <w:rPr>
                <w:spacing w:val="-3"/>
                <w:sz w:val="21"/>
              </w:rPr>
              <w:t>如被保险人为宣告死亡，受益人须提供人民法院出具的宣告死亡判决书；</w:t>
            </w:r>
          </w:p>
          <w:p>
            <w:pPr>
              <w:pStyle w:val="TableParagraph"/>
              <w:numPr>
                <w:ilvl w:val="0"/>
                <w:numId w:val="10"/>
              </w:numPr>
              <w:tabs>
                <w:tab w:pos="860" w:val="left" w:leader="none"/>
              </w:tabs>
              <w:spacing w:line="240" w:lineRule="auto" w:before="36" w:after="0"/>
              <w:ind w:left="859" w:right="0" w:hanging="720"/>
              <w:jc w:val="left"/>
              <w:rPr>
                <w:sz w:val="21"/>
              </w:rPr>
            </w:pPr>
            <w:r>
              <w:rPr>
                <w:spacing w:val="-3"/>
                <w:sz w:val="21"/>
              </w:rPr>
              <w:t>公安部门出具的被保险人户籍注销证明；</w:t>
            </w:r>
          </w:p>
          <w:p>
            <w:pPr>
              <w:pStyle w:val="TableParagraph"/>
              <w:numPr>
                <w:ilvl w:val="0"/>
                <w:numId w:val="10"/>
              </w:numPr>
              <w:tabs>
                <w:tab w:pos="860" w:val="left" w:leader="none"/>
              </w:tabs>
              <w:spacing w:line="408" w:lineRule="auto" w:before="37" w:after="0"/>
              <w:ind w:left="139" w:right="901" w:firstLine="0"/>
              <w:jc w:val="left"/>
              <w:rPr>
                <w:sz w:val="21"/>
              </w:rPr>
            </w:pPr>
            <w:r>
              <w:rPr>
                <w:spacing w:val="-3"/>
                <w:sz w:val="21"/>
              </w:rPr>
              <w:t>与确认保险事故的性质、原因、经过等有关的其他证明和资料。如果被保险人身故，本公司有权要求司法鉴定机构对保险事故进行鉴定。</w:t>
            </w:r>
          </w:p>
        </w:tc>
      </w:tr>
      <w:tr>
        <w:trPr>
          <w:trHeight w:val="1980" w:hRule="atLeast"/>
        </w:trPr>
        <w:tc>
          <w:tcPr>
            <w:tcW w:w="625" w:type="dxa"/>
          </w:tcPr>
          <w:p>
            <w:pPr>
              <w:pStyle w:val="TableParagraph"/>
              <w:spacing w:before="0"/>
              <w:ind w:left="0"/>
              <w:rPr>
                <w:rFonts w:ascii="Times New Roman"/>
                <w:sz w:val="20"/>
              </w:rPr>
            </w:pPr>
          </w:p>
        </w:tc>
        <w:tc>
          <w:tcPr>
            <w:tcW w:w="1478" w:type="dxa"/>
          </w:tcPr>
          <w:p>
            <w:pPr>
              <w:pStyle w:val="TableParagraph"/>
              <w:spacing w:line="273" w:lineRule="auto" w:before="138"/>
              <w:ind w:left="198" w:right="221"/>
              <w:rPr>
                <w:b/>
                <w:sz w:val="21"/>
              </w:rPr>
            </w:pPr>
            <w:r>
              <w:rPr>
                <w:b/>
                <w:sz w:val="21"/>
              </w:rPr>
              <w:t>全残豁免保险费申请</w:t>
            </w:r>
          </w:p>
        </w:tc>
        <w:tc>
          <w:tcPr>
            <w:tcW w:w="7768" w:type="dxa"/>
          </w:tcPr>
          <w:p>
            <w:pPr>
              <w:pStyle w:val="TableParagraph"/>
              <w:spacing w:before="138"/>
              <w:ind w:left="139"/>
              <w:rPr>
                <w:sz w:val="21"/>
              </w:rPr>
            </w:pPr>
            <w:r>
              <w:rPr>
                <w:sz w:val="21"/>
              </w:rPr>
              <w:t>由被保险人作为申请人书面提出豁免保险费的申请，并须提供下列证明和资料：</w:t>
            </w:r>
          </w:p>
          <w:p>
            <w:pPr>
              <w:pStyle w:val="TableParagraph"/>
              <w:numPr>
                <w:ilvl w:val="0"/>
                <w:numId w:val="11"/>
              </w:numPr>
              <w:tabs>
                <w:tab w:pos="860" w:val="left" w:leader="none"/>
              </w:tabs>
              <w:spacing w:line="240" w:lineRule="auto" w:before="37" w:after="0"/>
              <w:ind w:left="859" w:right="0" w:hanging="720"/>
              <w:jc w:val="left"/>
              <w:rPr>
                <w:sz w:val="21"/>
              </w:rPr>
            </w:pPr>
            <w:r>
              <w:rPr>
                <w:spacing w:val="-1"/>
                <w:sz w:val="21"/>
              </w:rPr>
              <w:t>保险合同；</w:t>
            </w:r>
          </w:p>
          <w:p>
            <w:pPr>
              <w:pStyle w:val="TableParagraph"/>
              <w:numPr>
                <w:ilvl w:val="0"/>
                <w:numId w:val="11"/>
              </w:numPr>
              <w:tabs>
                <w:tab w:pos="860" w:val="left" w:leader="none"/>
              </w:tabs>
              <w:spacing w:line="240" w:lineRule="auto" w:before="37" w:after="0"/>
              <w:ind w:left="859" w:right="0" w:hanging="720"/>
              <w:jc w:val="left"/>
              <w:rPr>
                <w:sz w:val="21"/>
              </w:rPr>
            </w:pPr>
            <w:r>
              <w:rPr>
                <w:spacing w:val="-3"/>
                <w:sz w:val="21"/>
              </w:rPr>
              <w:t>受益人的法定身份证明；</w:t>
            </w:r>
          </w:p>
          <w:p>
            <w:pPr>
              <w:pStyle w:val="TableParagraph"/>
              <w:numPr>
                <w:ilvl w:val="0"/>
                <w:numId w:val="11"/>
              </w:numPr>
              <w:tabs>
                <w:tab w:pos="860" w:val="left" w:leader="none"/>
              </w:tabs>
              <w:spacing w:line="273" w:lineRule="auto" w:before="37" w:after="0"/>
              <w:ind w:left="859" w:right="100" w:hanging="720"/>
              <w:jc w:val="left"/>
              <w:rPr>
                <w:sz w:val="21"/>
              </w:rPr>
            </w:pPr>
            <w:r>
              <w:rPr>
                <w:sz w:val="21"/>
              </w:rPr>
              <w:t>国家有关机构认可或者具有合法资质的伤残鉴定机构出具的被保险人全残</w:t>
            </w:r>
            <w:r>
              <w:rPr>
                <w:spacing w:val="-1"/>
                <w:sz w:val="21"/>
              </w:rPr>
              <w:t>鉴定书；</w:t>
            </w:r>
          </w:p>
          <w:p>
            <w:pPr>
              <w:pStyle w:val="TableParagraph"/>
              <w:numPr>
                <w:ilvl w:val="0"/>
                <w:numId w:val="11"/>
              </w:numPr>
              <w:tabs>
                <w:tab w:pos="860" w:val="left" w:leader="none"/>
              </w:tabs>
              <w:spacing w:line="262" w:lineRule="exact" w:before="8" w:after="0"/>
              <w:ind w:left="859" w:right="0" w:hanging="720"/>
              <w:jc w:val="left"/>
              <w:rPr>
                <w:sz w:val="21"/>
              </w:rPr>
            </w:pPr>
            <w:r>
              <w:rPr>
                <w:spacing w:val="-3"/>
                <w:sz w:val="21"/>
              </w:rPr>
              <w:t>与确认保险事故的性质、原因、经过等有关的其它证明和资料。</w:t>
            </w:r>
          </w:p>
        </w:tc>
      </w:tr>
    </w:tbl>
    <w:p>
      <w:pPr>
        <w:spacing w:after="0" w:line="262" w:lineRule="exact"/>
        <w:jc w:val="left"/>
        <w:rPr>
          <w:sz w:val="21"/>
        </w:rPr>
        <w:sectPr>
          <w:pgSz w:w="11910" w:h="16840"/>
          <w:pgMar w:header="0" w:footer="377" w:top="14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35"/>
        <w:gridCol w:w="7814"/>
      </w:tblGrid>
      <w:tr>
        <w:trPr>
          <w:trHeight w:val="1594" w:hRule="atLeast"/>
        </w:trPr>
        <w:tc>
          <w:tcPr>
            <w:tcW w:w="625" w:type="dxa"/>
          </w:tcPr>
          <w:p>
            <w:pPr>
              <w:pStyle w:val="TableParagraph"/>
              <w:spacing w:before="0"/>
              <w:ind w:left="0"/>
              <w:rPr>
                <w:rFonts w:ascii="Times New Roman"/>
                <w:sz w:val="20"/>
              </w:rPr>
            </w:pPr>
          </w:p>
        </w:tc>
        <w:tc>
          <w:tcPr>
            <w:tcW w:w="1435" w:type="dxa"/>
          </w:tcPr>
          <w:p>
            <w:pPr>
              <w:pStyle w:val="TableParagraph"/>
              <w:spacing w:line="205" w:lineRule="exact" w:before="0"/>
              <w:ind w:left="198"/>
              <w:rPr>
                <w:b/>
                <w:sz w:val="21"/>
              </w:rPr>
            </w:pPr>
            <w:r>
              <w:rPr>
                <w:b/>
                <w:sz w:val="21"/>
              </w:rPr>
              <w:t>委托他人代</w:t>
            </w:r>
          </w:p>
          <w:p>
            <w:pPr>
              <w:pStyle w:val="TableParagraph"/>
              <w:spacing w:line="273" w:lineRule="auto"/>
              <w:ind w:left="198" w:right="178"/>
              <w:rPr>
                <w:b/>
                <w:sz w:val="21"/>
              </w:rPr>
            </w:pPr>
            <w:r>
              <w:rPr>
                <w:b/>
                <w:sz w:val="21"/>
              </w:rPr>
              <w:t>为申请豁免保险费</w:t>
            </w:r>
          </w:p>
        </w:tc>
        <w:tc>
          <w:tcPr>
            <w:tcW w:w="7814" w:type="dxa"/>
          </w:tcPr>
          <w:p>
            <w:pPr>
              <w:pStyle w:val="TableParagraph"/>
              <w:spacing w:line="205" w:lineRule="exact" w:before="0"/>
              <w:ind w:left="182" w:right="-15"/>
              <w:rPr>
                <w:sz w:val="21"/>
              </w:rPr>
            </w:pPr>
            <w:r>
              <w:rPr>
                <w:spacing w:val="-13"/>
                <w:sz w:val="21"/>
              </w:rPr>
              <w:t>如果委托他人代为申请，除上述证明和资料外，还须提供相关受益人的授权委托书、</w:t>
            </w:r>
          </w:p>
          <w:p>
            <w:pPr>
              <w:pStyle w:val="TableParagraph"/>
              <w:spacing w:line="273" w:lineRule="auto"/>
              <w:ind w:left="182" w:right="99"/>
              <w:jc w:val="both"/>
              <w:rPr>
                <w:sz w:val="21"/>
              </w:rPr>
            </w:pPr>
            <w:r>
              <w:rPr>
                <w:spacing w:val="-5"/>
                <w:sz w:val="21"/>
              </w:rPr>
              <w:t>受托人有效身份证件等相关证明文件。受益人为限制民事行为能力人或者无民事行</w:t>
            </w:r>
            <w:r>
              <w:rPr>
                <w:spacing w:val="-7"/>
                <w:sz w:val="21"/>
              </w:rPr>
              <w:t>为能力人时，由其合法监护人代其申请豁免保险费，其合法监护人还必须提供受益</w:t>
            </w:r>
            <w:r>
              <w:rPr>
                <w:sz w:val="21"/>
              </w:rPr>
              <w:t>人为限制民事行为能力人或者无民事行为能力人的证明和监护人具有合法监护权</w:t>
            </w:r>
            <w:r>
              <w:rPr>
                <w:spacing w:val="-1"/>
                <w:sz w:val="21"/>
              </w:rPr>
              <w:t>的证明。</w:t>
            </w:r>
          </w:p>
        </w:tc>
      </w:tr>
      <w:tr>
        <w:trPr>
          <w:trHeight w:val="815" w:hRule="atLeast"/>
        </w:trPr>
        <w:tc>
          <w:tcPr>
            <w:tcW w:w="625" w:type="dxa"/>
          </w:tcPr>
          <w:p>
            <w:pPr>
              <w:pStyle w:val="TableParagraph"/>
              <w:spacing w:before="0"/>
              <w:ind w:left="0"/>
              <w:rPr>
                <w:rFonts w:ascii="Times New Roman"/>
                <w:sz w:val="20"/>
              </w:rPr>
            </w:pPr>
          </w:p>
        </w:tc>
        <w:tc>
          <w:tcPr>
            <w:tcW w:w="1435" w:type="dxa"/>
          </w:tcPr>
          <w:p>
            <w:pPr>
              <w:pStyle w:val="TableParagraph"/>
              <w:spacing w:before="66"/>
              <w:ind w:left="198"/>
              <w:rPr>
                <w:b/>
                <w:sz w:val="21"/>
              </w:rPr>
            </w:pPr>
            <w:r>
              <w:rPr>
                <w:b/>
                <w:sz w:val="21"/>
              </w:rPr>
              <w:t>补充通知</w:t>
            </w:r>
          </w:p>
        </w:tc>
        <w:tc>
          <w:tcPr>
            <w:tcW w:w="7814" w:type="dxa"/>
          </w:tcPr>
          <w:p>
            <w:pPr>
              <w:pStyle w:val="TableParagraph"/>
              <w:spacing w:line="271" w:lineRule="auto" w:before="66"/>
              <w:ind w:left="182" w:right="99"/>
              <w:rPr>
                <w:sz w:val="21"/>
              </w:rPr>
            </w:pPr>
            <w:r>
              <w:rPr>
                <w:spacing w:val="-6"/>
                <w:sz w:val="21"/>
              </w:rPr>
              <w:t>以上证明和资料不完整的，本公司将及时一次性通知申请人补充提供有关的证明和资料。</w:t>
            </w:r>
          </w:p>
        </w:tc>
      </w:tr>
      <w:tr>
        <w:trPr>
          <w:trHeight w:val="1435" w:hRule="atLeast"/>
        </w:trPr>
        <w:tc>
          <w:tcPr>
            <w:tcW w:w="625" w:type="dxa"/>
          </w:tcPr>
          <w:p>
            <w:pPr>
              <w:pStyle w:val="TableParagraph"/>
              <w:spacing w:before="90"/>
              <w:ind w:left="110"/>
              <w:rPr>
                <w:b/>
                <w:sz w:val="21"/>
              </w:rPr>
            </w:pPr>
            <w:r>
              <w:rPr>
                <w:b/>
                <w:sz w:val="21"/>
              </w:rPr>
              <w:t>3.4</w:t>
            </w:r>
          </w:p>
        </w:tc>
        <w:tc>
          <w:tcPr>
            <w:tcW w:w="1435" w:type="dxa"/>
          </w:tcPr>
          <w:p>
            <w:pPr>
              <w:pStyle w:val="TableParagraph"/>
              <w:spacing w:line="273" w:lineRule="auto" w:before="90"/>
              <w:ind w:left="198" w:right="178"/>
              <w:rPr>
                <w:b/>
                <w:sz w:val="21"/>
              </w:rPr>
            </w:pPr>
            <w:r>
              <w:rPr>
                <w:b/>
                <w:sz w:val="21"/>
              </w:rPr>
              <w:t>保险费的豁免</w:t>
            </w:r>
          </w:p>
        </w:tc>
        <w:tc>
          <w:tcPr>
            <w:tcW w:w="7814" w:type="dxa"/>
          </w:tcPr>
          <w:p>
            <w:pPr>
              <w:pStyle w:val="TableParagraph"/>
              <w:spacing w:line="273" w:lineRule="auto" w:before="90"/>
              <w:ind w:left="182" w:right="99"/>
              <w:jc w:val="both"/>
              <w:rPr>
                <w:sz w:val="21"/>
              </w:rPr>
            </w:pPr>
            <w:r>
              <w:rPr>
                <w:spacing w:val="-5"/>
                <w:sz w:val="21"/>
              </w:rPr>
              <w:t>本公司在收到豁免保险费申请书及上述完整齐全的有关证明和资料后，会及时做出</w:t>
            </w:r>
            <w:r>
              <w:rPr>
                <w:spacing w:val="-8"/>
                <w:sz w:val="21"/>
              </w:rPr>
              <w:t>核定，对确定属于保险责任的，在与被保险人或者受益人达成豁免保险费的协议后</w:t>
            </w:r>
            <w:r>
              <w:rPr>
                <w:spacing w:val="-9"/>
                <w:sz w:val="21"/>
              </w:rPr>
              <w:t>十日内，履行豁免保险费责任。对不属于保险责任的，自做出核定之日起三日内向</w:t>
            </w:r>
            <w:r>
              <w:rPr>
                <w:spacing w:val="-3"/>
                <w:sz w:val="21"/>
              </w:rPr>
              <w:t>被保险人或者受益人发出拒绝豁免保险费通知书并说明理由。</w:t>
            </w:r>
          </w:p>
        </w:tc>
      </w:tr>
      <w:tr>
        <w:trPr>
          <w:trHeight w:val="1560" w:hRule="atLeast"/>
        </w:trPr>
        <w:tc>
          <w:tcPr>
            <w:tcW w:w="625" w:type="dxa"/>
          </w:tcPr>
          <w:p>
            <w:pPr>
              <w:pStyle w:val="TableParagraph"/>
              <w:spacing w:before="58"/>
              <w:ind w:left="110"/>
              <w:rPr>
                <w:b/>
                <w:sz w:val="21"/>
              </w:rPr>
            </w:pPr>
            <w:r>
              <w:rPr>
                <w:b/>
                <w:sz w:val="21"/>
              </w:rPr>
              <w:t>3.5</w:t>
            </w:r>
          </w:p>
        </w:tc>
        <w:tc>
          <w:tcPr>
            <w:tcW w:w="1435" w:type="dxa"/>
          </w:tcPr>
          <w:p>
            <w:pPr>
              <w:pStyle w:val="TableParagraph"/>
              <w:spacing w:line="273" w:lineRule="auto" w:before="58"/>
              <w:ind w:left="198" w:right="178"/>
              <w:rPr>
                <w:b/>
                <w:sz w:val="21"/>
              </w:rPr>
            </w:pPr>
            <w:r>
              <w:rPr>
                <w:b/>
                <w:sz w:val="21"/>
              </w:rPr>
              <w:t>豁免保险费申请时效</w:t>
            </w:r>
          </w:p>
        </w:tc>
        <w:tc>
          <w:tcPr>
            <w:tcW w:w="7814" w:type="dxa"/>
          </w:tcPr>
          <w:p>
            <w:pPr>
              <w:pStyle w:val="TableParagraph"/>
              <w:spacing w:line="273" w:lineRule="auto" w:before="58"/>
              <w:ind w:left="182" w:right="102"/>
              <w:rPr>
                <w:sz w:val="21"/>
              </w:rPr>
            </w:pPr>
            <w:r>
              <w:rPr>
                <w:sz w:val="21"/>
              </w:rPr>
              <w:t>被保险人或者受益人向本公司申请身故豁免保险费和全残豁免保险费的诉讼时效期间为五年，自其知道或者应当知道保险事故发生之日起计算。</w:t>
            </w:r>
          </w:p>
          <w:p>
            <w:pPr>
              <w:pStyle w:val="TableParagraph"/>
              <w:spacing w:line="273" w:lineRule="auto" w:before="163"/>
              <w:ind w:left="182" w:right="58"/>
              <w:rPr>
                <w:sz w:val="21"/>
              </w:rPr>
            </w:pPr>
            <w:r>
              <w:rPr>
                <w:sz w:val="21"/>
              </w:rPr>
              <w:t>被保险人或者受益人向本公司申请轻症疾病豁免保险费、重大疾病豁免保险费的诉讼时效期间为二年，自其知道或者应当知道保险事故发生之日起计算。</w:t>
            </w:r>
          </w:p>
        </w:tc>
      </w:tr>
      <w:tr>
        <w:trPr>
          <w:trHeight w:val="1921" w:hRule="atLeast"/>
        </w:trPr>
        <w:tc>
          <w:tcPr>
            <w:tcW w:w="625" w:type="dxa"/>
          </w:tcPr>
          <w:p>
            <w:pPr>
              <w:pStyle w:val="TableParagraph"/>
              <w:spacing w:before="58"/>
              <w:ind w:left="110"/>
              <w:rPr>
                <w:b/>
                <w:sz w:val="21"/>
              </w:rPr>
            </w:pPr>
            <w:r>
              <w:rPr>
                <w:b/>
                <w:sz w:val="21"/>
              </w:rPr>
              <w:t>3.6</w:t>
            </w:r>
          </w:p>
        </w:tc>
        <w:tc>
          <w:tcPr>
            <w:tcW w:w="1435" w:type="dxa"/>
          </w:tcPr>
          <w:p>
            <w:pPr>
              <w:pStyle w:val="TableParagraph"/>
              <w:spacing w:line="273" w:lineRule="auto" w:before="58"/>
              <w:ind w:left="198" w:right="178"/>
              <w:rPr>
                <w:b/>
                <w:sz w:val="21"/>
              </w:rPr>
            </w:pPr>
            <w:r>
              <w:rPr>
                <w:b/>
                <w:sz w:val="21"/>
              </w:rPr>
              <w:t>宣告死亡处理</w:t>
            </w:r>
          </w:p>
        </w:tc>
        <w:tc>
          <w:tcPr>
            <w:tcW w:w="7814" w:type="dxa"/>
          </w:tcPr>
          <w:p>
            <w:pPr>
              <w:pStyle w:val="TableParagraph"/>
              <w:spacing w:line="273" w:lineRule="auto" w:before="58"/>
              <w:ind w:left="182" w:right="99"/>
              <w:jc w:val="both"/>
              <w:rPr>
                <w:sz w:val="21"/>
              </w:rPr>
            </w:pPr>
            <w:r>
              <w:rPr>
                <w:spacing w:val="-5"/>
                <w:sz w:val="21"/>
              </w:rPr>
              <w:t>如果被保险人在本附加险合同有效期内下落不明，后经人民法院宣告死亡的，本公</w:t>
            </w:r>
            <w:r>
              <w:rPr>
                <w:spacing w:val="-3"/>
                <w:sz w:val="21"/>
              </w:rPr>
              <w:t>司以判决书生效之日为准，按本附加险合同的约定豁免保险费。</w:t>
            </w:r>
          </w:p>
          <w:p>
            <w:pPr>
              <w:pStyle w:val="TableParagraph"/>
              <w:spacing w:line="273" w:lineRule="auto" w:before="163"/>
              <w:ind w:left="182" w:right="99"/>
              <w:jc w:val="both"/>
              <w:rPr>
                <w:sz w:val="21"/>
              </w:rPr>
            </w:pPr>
            <w:r>
              <w:rPr>
                <w:spacing w:val="-6"/>
                <w:sz w:val="21"/>
              </w:rPr>
              <w:t>如果被保险人在宣告死亡后生还，受益人应于知道或应当知道被保险人生还后三十日内向本公司补交已豁免的保险费。补交已豁免的保险费后，本附加险合同的效力</w:t>
            </w:r>
            <w:r>
              <w:rPr>
                <w:spacing w:val="-4"/>
                <w:sz w:val="21"/>
              </w:rPr>
              <w:t>由投保人与本公司协商处理。</w:t>
            </w:r>
          </w:p>
        </w:tc>
      </w:tr>
      <w:tr>
        <w:trPr>
          <w:trHeight w:val="651" w:hRule="atLeast"/>
        </w:trPr>
        <w:tc>
          <w:tcPr>
            <w:tcW w:w="625" w:type="dxa"/>
            <w:tcBorders>
              <w:bottom w:val="single" w:sz="4" w:space="0" w:color="000000"/>
            </w:tcBorders>
          </w:tcPr>
          <w:p>
            <w:pPr>
              <w:pStyle w:val="TableParagraph"/>
              <w:spacing w:before="72"/>
              <w:ind w:left="148"/>
              <w:rPr>
                <w:b/>
                <w:sz w:val="32"/>
              </w:rPr>
            </w:pPr>
            <w:r>
              <w:rPr>
                <w:b/>
                <w:w w:val="98"/>
                <w:sz w:val="32"/>
              </w:rPr>
              <w:t>4</w:t>
            </w:r>
          </w:p>
        </w:tc>
        <w:tc>
          <w:tcPr>
            <w:tcW w:w="9249" w:type="dxa"/>
            <w:gridSpan w:val="2"/>
            <w:tcBorders>
              <w:bottom w:val="single" w:sz="4" w:space="0" w:color="000000"/>
            </w:tcBorders>
          </w:tcPr>
          <w:p>
            <w:pPr>
              <w:pStyle w:val="TableParagraph"/>
              <w:spacing w:before="139"/>
              <w:ind w:left="198"/>
              <w:rPr>
                <w:b/>
                <w:sz w:val="24"/>
              </w:rPr>
            </w:pPr>
            <w:r>
              <w:rPr>
                <w:b/>
                <w:w w:val="95"/>
                <w:sz w:val="24"/>
              </w:rPr>
              <w:t>如何交纳保险费</w:t>
            </w:r>
          </w:p>
        </w:tc>
      </w:tr>
      <w:tr>
        <w:trPr>
          <w:trHeight w:val="1688" w:hRule="atLeast"/>
        </w:trPr>
        <w:tc>
          <w:tcPr>
            <w:tcW w:w="625" w:type="dxa"/>
            <w:tcBorders>
              <w:top w:val="single" w:sz="4" w:space="0" w:color="000000"/>
            </w:tcBorders>
          </w:tcPr>
          <w:p>
            <w:pPr>
              <w:pStyle w:val="TableParagraph"/>
              <w:spacing w:before="164"/>
              <w:ind w:left="110"/>
              <w:rPr>
                <w:b/>
                <w:sz w:val="21"/>
              </w:rPr>
            </w:pPr>
            <w:r>
              <w:rPr>
                <w:b/>
                <w:sz w:val="21"/>
              </w:rPr>
              <w:t>4.1</w:t>
            </w:r>
          </w:p>
        </w:tc>
        <w:tc>
          <w:tcPr>
            <w:tcW w:w="1435" w:type="dxa"/>
            <w:tcBorders>
              <w:top w:val="single" w:sz="4" w:space="0" w:color="000000"/>
            </w:tcBorders>
          </w:tcPr>
          <w:p>
            <w:pPr>
              <w:pStyle w:val="TableParagraph"/>
              <w:spacing w:line="326" w:lineRule="auto" w:before="164"/>
              <w:ind w:left="198" w:right="178"/>
              <w:rPr>
                <w:b/>
                <w:sz w:val="21"/>
              </w:rPr>
            </w:pPr>
            <w:r>
              <w:rPr>
                <w:b/>
                <w:sz w:val="21"/>
              </w:rPr>
              <w:t>保险费的交纳</w:t>
            </w:r>
          </w:p>
        </w:tc>
        <w:tc>
          <w:tcPr>
            <w:tcW w:w="7814" w:type="dxa"/>
            <w:tcBorders>
              <w:top w:val="single" w:sz="4" w:space="0" w:color="000000"/>
            </w:tcBorders>
          </w:tcPr>
          <w:p>
            <w:pPr>
              <w:pStyle w:val="TableParagraph"/>
              <w:spacing w:before="132"/>
              <w:ind w:left="182" w:right="-15"/>
              <w:rPr>
                <w:sz w:val="21"/>
              </w:rPr>
            </w:pPr>
            <w:r>
              <w:rPr>
                <w:spacing w:val="-7"/>
                <w:sz w:val="21"/>
              </w:rPr>
              <w:t>本附加险合同的保险费采取期交方式，交费期间为 </w:t>
            </w:r>
            <w:r>
              <w:rPr>
                <w:sz w:val="21"/>
              </w:rPr>
              <w:t>2</w:t>
            </w:r>
            <w:r>
              <w:rPr>
                <w:spacing w:val="-26"/>
                <w:sz w:val="21"/>
              </w:rPr>
              <w:t> 年、</w:t>
            </w:r>
            <w:r>
              <w:rPr>
                <w:sz w:val="21"/>
              </w:rPr>
              <w:t>4</w:t>
            </w:r>
            <w:r>
              <w:rPr>
                <w:spacing w:val="-27"/>
                <w:sz w:val="21"/>
              </w:rPr>
              <w:t> 年、</w:t>
            </w:r>
            <w:r>
              <w:rPr>
                <w:sz w:val="21"/>
              </w:rPr>
              <w:t>9</w:t>
            </w:r>
            <w:r>
              <w:rPr>
                <w:spacing w:val="-27"/>
                <w:sz w:val="21"/>
              </w:rPr>
              <w:t> 年、</w:t>
            </w:r>
            <w:r>
              <w:rPr>
                <w:sz w:val="21"/>
              </w:rPr>
              <w:t>14</w:t>
            </w:r>
            <w:r>
              <w:rPr>
                <w:spacing w:val="-27"/>
                <w:sz w:val="21"/>
              </w:rPr>
              <w:t> 年、</w:t>
            </w:r>
            <w:r>
              <w:rPr>
                <w:sz w:val="21"/>
              </w:rPr>
              <w:t>19</w:t>
            </w:r>
            <w:r>
              <w:rPr>
                <w:spacing w:val="-16"/>
                <w:sz w:val="21"/>
              </w:rPr>
              <w:t> 年、</w:t>
            </w:r>
          </w:p>
          <w:p>
            <w:pPr>
              <w:pStyle w:val="TableParagraph"/>
              <w:spacing w:before="36"/>
              <w:ind w:left="182"/>
              <w:rPr>
                <w:sz w:val="21"/>
              </w:rPr>
            </w:pPr>
            <w:r>
              <w:rPr>
                <w:sz w:val="21"/>
              </w:rPr>
              <w:t>29 年交，按照本公司的相关规定，由投保人和本公司约定并在保险单上载明。</w:t>
            </w:r>
          </w:p>
          <w:p>
            <w:pPr>
              <w:pStyle w:val="TableParagraph"/>
              <w:spacing w:before="10"/>
              <w:ind w:left="0"/>
              <w:rPr>
                <w:b/>
                <w:sz w:val="15"/>
              </w:rPr>
            </w:pPr>
          </w:p>
          <w:p>
            <w:pPr>
              <w:pStyle w:val="TableParagraph"/>
              <w:spacing w:line="300" w:lineRule="auto" w:before="0"/>
              <w:ind w:left="182" w:right="99"/>
              <w:rPr>
                <w:sz w:val="21"/>
              </w:rPr>
            </w:pPr>
            <w:r>
              <w:rPr>
                <w:spacing w:val="-6"/>
                <w:sz w:val="21"/>
              </w:rPr>
              <w:t>在交纳首期保险费后，投保人应当在每个保险费应交日交纳其余各期的保险费。本</w:t>
            </w:r>
            <w:r>
              <w:rPr>
                <w:spacing w:val="-4"/>
                <w:sz w:val="21"/>
              </w:rPr>
              <w:t>附加险合同的保险费必须随主险合同保险费一同支付，不能单独交纳。</w:t>
            </w:r>
          </w:p>
        </w:tc>
      </w:tr>
      <w:tr>
        <w:trPr>
          <w:trHeight w:val="2296" w:hRule="atLeast"/>
        </w:trPr>
        <w:tc>
          <w:tcPr>
            <w:tcW w:w="625" w:type="dxa"/>
          </w:tcPr>
          <w:p>
            <w:pPr>
              <w:pStyle w:val="TableParagraph"/>
              <w:spacing w:before="98"/>
              <w:ind w:left="110"/>
              <w:rPr>
                <w:b/>
                <w:sz w:val="21"/>
              </w:rPr>
            </w:pPr>
            <w:r>
              <w:rPr>
                <w:b/>
                <w:sz w:val="21"/>
              </w:rPr>
              <w:t>4.2</w:t>
            </w:r>
          </w:p>
        </w:tc>
        <w:tc>
          <w:tcPr>
            <w:tcW w:w="1435" w:type="dxa"/>
          </w:tcPr>
          <w:p>
            <w:pPr>
              <w:pStyle w:val="TableParagraph"/>
              <w:spacing w:before="98"/>
              <w:ind w:left="198"/>
              <w:rPr>
                <w:b/>
                <w:sz w:val="21"/>
              </w:rPr>
            </w:pPr>
            <w:r>
              <w:rPr>
                <w:b/>
                <w:sz w:val="21"/>
              </w:rPr>
              <w:t>宽限期</w:t>
            </w:r>
          </w:p>
        </w:tc>
        <w:tc>
          <w:tcPr>
            <w:tcW w:w="7814" w:type="dxa"/>
          </w:tcPr>
          <w:p>
            <w:pPr>
              <w:pStyle w:val="TableParagraph"/>
              <w:spacing w:line="273" w:lineRule="auto" w:before="67"/>
              <w:ind w:left="182" w:right="99"/>
              <w:jc w:val="both"/>
              <w:rPr>
                <w:rFonts w:ascii="黑体" w:eastAsia="黑体" w:hint="eastAsia"/>
                <w:sz w:val="21"/>
              </w:rPr>
            </w:pPr>
            <w:r>
              <w:rPr>
                <w:spacing w:val="-6"/>
                <w:sz w:val="21"/>
              </w:rPr>
              <w:t>投保人支付首期保险费后，除本附加险合同另有约定外，如果投保人到期未交纳保</w:t>
            </w:r>
            <w:r>
              <w:rPr>
                <w:spacing w:val="-7"/>
                <w:sz w:val="21"/>
              </w:rPr>
              <w:t>险费，自保险费应交日的次日起六十日为宽限期。</w:t>
            </w:r>
            <w:r>
              <w:rPr>
                <w:rFonts w:ascii="黑体" w:eastAsia="黑体" w:hint="eastAsia"/>
                <w:spacing w:val="-2"/>
                <w:sz w:val="21"/>
              </w:rPr>
              <w:t>宽限期内发</w:t>
            </w:r>
            <w:r>
              <w:rPr>
                <w:rFonts w:ascii="黑体" w:eastAsia="黑体" w:hint="eastAsia"/>
                <w:sz w:val="21"/>
              </w:rPr>
              <w:t>Th</w:t>
            </w:r>
            <w:r>
              <w:rPr>
                <w:rFonts w:ascii="黑体" w:eastAsia="黑体" w:hint="eastAsia"/>
                <w:spacing w:val="-5"/>
                <w:sz w:val="21"/>
              </w:rPr>
              <w:t>的保险事故，在申请人补交主险合同及其相关附加险合同、本附加险合同当期应交保险费后，本公司</w:t>
            </w:r>
            <w:r>
              <w:rPr>
                <w:rFonts w:ascii="黑体" w:eastAsia="黑体" w:hint="eastAsia"/>
                <w:spacing w:val="-4"/>
                <w:sz w:val="21"/>
              </w:rPr>
              <w:t>仍会承担保险责任。</w:t>
            </w:r>
          </w:p>
          <w:p>
            <w:pPr>
              <w:pStyle w:val="TableParagraph"/>
              <w:spacing w:line="300" w:lineRule="auto" w:before="177"/>
              <w:ind w:left="182" w:right="99"/>
              <w:jc w:val="both"/>
              <w:rPr>
                <w:sz w:val="21"/>
              </w:rPr>
            </w:pPr>
            <w:r>
              <w:rPr>
                <w:spacing w:val="-5"/>
                <w:sz w:val="21"/>
              </w:rPr>
              <w:t>如果宽限期结束之后投保人仍未交纳保险费，则本附加险合同自宽限期满的次日零</w:t>
            </w:r>
            <w:r>
              <w:rPr>
                <w:spacing w:val="-3"/>
                <w:sz w:val="21"/>
              </w:rPr>
              <w:t>时起中止，但本附加险合同另有约定的除外。</w:t>
            </w:r>
          </w:p>
        </w:tc>
      </w:tr>
      <w:tr>
        <w:trPr>
          <w:trHeight w:val="659" w:hRule="atLeast"/>
        </w:trPr>
        <w:tc>
          <w:tcPr>
            <w:tcW w:w="625" w:type="dxa"/>
            <w:tcBorders>
              <w:bottom w:val="single" w:sz="4" w:space="0" w:color="000000"/>
            </w:tcBorders>
          </w:tcPr>
          <w:p>
            <w:pPr>
              <w:pStyle w:val="TableParagraph"/>
              <w:spacing w:before="81"/>
              <w:ind w:left="148"/>
              <w:rPr>
                <w:b/>
                <w:sz w:val="32"/>
              </w:rPr>
            </w:pPr>
            <w:r>
              <w:rPr>
                <w:b/>
                <w:w w:val="98"/>
                <w:sz w:val="32"/>
              </w:rPr>
              <w:t>5</w:t>
            </w:r>
          </w:p>
        </w:tc>
        <w:tc>
          <w:tcPr>
            <w:tcW w:w="9249" w:type="dxa"/>
            <w:gridSpan w:val="2"/>
            <w:tcBorders>
              <w:bottom w:val="single" w:sz="4" w:space="0" w:color="000000"/>
            </w:tcBorders>
          </w:tcPr>
          <w:p>
            <w:pPr>
              <w:pStyle w:val="TableParagraph"/>
              <w:spacing w:before="145"/>
              <w:ind w:left="198"/>
              <w:rPr>
                <w:b/>
                <w:sz w:val="24"/>
              </w:rPr>
            </w:pPr>
            <w:r>
              <w:rPr>
                <w:b/>
                <w:w w:val="95"/>
                <w:sz w:val="24"/>
              </w:rPr>
              <w:t>现金价值权益</w:t>
            </w:r>
          </w:p>
        </w:tc>
      </w:tr>
      <w:tr>
        <w:trPr>
          <w:trHeight w:val="1198" w:hRule="atLeast"/>
        </w:trPr>
        <w:tc>
          <w:tcPr>
            <w:tcW w:w="625" w:type="dxa"/>
            <w:tcBorders>
              <w:top w:val="single" w:sz="4" w:space="0" w:color="000000"/>
            </w:tcBorders>
          </w:tcPr>
          <w:p>
            <w:pPr>
              <w:pStyle w:val="TableParagraph"/>
              <w:spacing w:line="256" w:lineRule="exact" w:before="0"/>
              <w:ind w:left="110"/>
              <w:rPr>
                <w:b/>
                <w:sz w:val="21"/>
              </w:rPr>
            </w:pPr>
            <w:r>
              <w:rPr>
                <w:b/>
                <w:sz w:val="21"/>
              </w:rPr>
              <w:t>5.1</w:t>
            </w:r>
          </w:p>
        </w:tc>
        <w:tc>
          <w:tcPr>
            <w:tcW w:w="1435" w:type="dxa"/>
            <w:tcBorders>
              <w:top w:val="single" w:sz="4" w:space="0" w:color="000000"/>
            </w:tcBorders>
          </w:tcPr>
          <w:p>
            <w:pPr>
              <w:pStyle w:val="TableParagraph"/>
              <w:spacing w:line="256" w:lineRule="exact" w:before="0"/>
              <w:ind w:left="198"/>
              <w:rPr>
                <w:b/>
                <w:sz w:val="21"/>
              </w:rPr>
            </w:pPr>
            <w:r>
              <w:rPr>
                <w:b/>
                <w:sz w:val="21"/>
              </w:rPr>
              <w:t>现金价值</w:t>
            </w:r>
          </w:p>
        </w:tc>
        <w:tc>
          <w:tcPr>
            <w:tcW w:w="7814" w:type="dxa"/>
            <w:tcBorders>
              <w:top w:val="single" w:sz="4" w:space="0" w:color="000000"/>
            </w:tcBorders>
          </w:tcPr>
          <w:p>
            <w:pPr>
              <w:pStyle w:val="TableParagraph"/>
              <w:spacing w:line="256" w:lineRule="exact" w:before="0"/>
              <w:ind w:left="182"/>
              <w:rPr>
                <w:sz w:val="21"/>
              </w:rPr>
            </w:pPr>
            <w:r>
              <w:rPr>
                <w:sz w:val="21"/>
              </w:rPr>
              <w:t>指保险单所具有的价值，通常体现为解除保险合同时，根据精算原理计算的，由本</w:t>
            </w:r>
          </w:p>
          <w:p>
            <w:pPr>
              <w:pStyle w:val="TableParagraph"/>
              <w:ind w:left="182"/>
              <w:rPr>
                <w:sz w:val="21"/>
              </w:rPr>
            </w:pPr>
            <w:r>
              <w:rPr>
                <w:sz w:val="21"/>
              </w:rPr>
              <w:t>公司向投保人退还的那部分金额。本附加险合同保单年度末的现金价值会在保险单</w:t>
            </w:r>
          </w:p>
          <w:p>
            <w:pPr>
              <w:pStyle w:val="TableParagraph"/>
              <w:spacing w:line="310" w:lineRule="atLeast" w:before="2"/>
              <w:ind w:left="182" w:right="99"/>
              <w:rPr>
                <w:sz w:val="21"/>
              </w:rPr>
            </w:pPr>
            <w:r>
              <w:rPr>
                <w:spacing w:val="-8"/>
                <w:sz w:val="21"/>
              </w:rPr>
              <w:t>或者批注上载明。保单年度中现金价值的金额基于保单年度末现金价值的金额根据</w:t>
            </w:r>
            <w:r>
              <w:rPr>
                <w:spacing w:val="-5"/>
                <w:sz w:val="21"/>
              </w:rPr>
              <w:t>合理的方法计算而得，投保人可以向本公司咨询。</w:t>
            </w:r>
          </w:p>
        </w:tc>
      </w:tr>
    </w:tbl>
    <w:p>
      <w:pPr>
        <w:spacing w:after="0" w:line="310" w:lineRule="atLeast"/>
        <w:rPr>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1330"/>
        <w:gridCol w:w="7919"/>
      </w:tblGrid>
      <w:tr>
        <w:trPr>
          <w:trHeight w:val="3977" w:hRule="atLeast"/>
        </w:trPr>
        <w:tc>
          <w:tcPr>
            <w:tcW w:w="626" w:type="dxa"/>
          </w:tcPr>
          <w:p>
            <w:pPr>
              <w:pStyle w:val="TableParagraph"/>
              <w:spacing w:line="205" w:lineRule="exact" w:before="0"/>
              <w:ind w:left="110"/>
              <w:rPr>
                <w:b/>
                <w:sz w:val="21"/>
              </w:rPr>
            </w:pPr>
            <w:r>
              <w:rPr>
                <w:b/>
                <w:sz w:val="21"/>
              </w:rPr>
              <w:t>5.2</w:t>
            </w:r>
          </w:p>
        </w:tc>
        <w:tc>
          <w:tcPr>
            <w:tcW w:w="1330" w:type="dxa"/>
          </w:tcPr>
          <w:p>
            <w:pPr>
              <w:pStyle w:val="TableParagraph"/>
              <w:spacing w:line="205" w:lineRule="exact" w:before="0"/>
              <w:ind w:left="197"/>
              <w:rPr>
                <w:b/>
                <w:sz w:val="21"/>
              </w:rPr>
            </w:pPr>
            <w:r>
              <w:rPr>
                <w:b/>
                <w:sz w:val="21"/>
              </w:rPr>
              <w:t>保单贷款</w:t>
            </w:r>
          </w:p>
        </w:tc>
        <w:tc>
          <w:tcPr>
            <w:tcW w:w="7919" w:type="dxa"/>
          </w:tcPr>
          <w:p>
            <w:pPr>
              <w:pStyle w:val="TableParagraph"/>
              <w:spacing w:line="205" w:lineRule="exact" w:before="0"/>
              <w:ind w:left="286" w:right="-15"/>
              <w:rPr>
                <w:sz w:val="21"/>
              </w:rPr>
            </w:pPr>
            <w:r>
              <w:rPr>
                <w:spacing w:val="-12"/>
                <w:sz w:val="21"/>
              </w:rPr>
              <w:t>在本附加险合同有效期内，如果本附加险合同具有现金价值，经被保险人书面同意，</w:t>
            </w:r>
          </w:p>
          <w:p>
            <w:pPr>
              <w:pStyle w:val="TableParagraph"/>
              <w:spacing w:line="273" w:lineRule="auto"/>
              <w:ind w:left="286" w:right="-15"/>
              <w:rPr>
                <w:sz w:val="21"/>
              </w:rPr>
            </w:pPr>
            <w:r>
              <w:rPr>
                <w:spacing w:val="-6"/>
                <w:sz w:val="21"/>
              </w:rPr>
              <w:t>投保人可以向本公司申请贷款，经本公司同意后投保人可办理保单质押贷款。保单</w:t>
            </w:r>
            <w:r>
              <w:rPr>
                <w:spacing w:val="-4"/>
                <w:w w:val="100"/>
                <w:sz w:val="21"/>
              </w:rPr>
              <w:t>贷款的最高金额不超过本附加险合同当时所具有的</w:t>
            </w:r>
            <w:r>
              <w:rPr>
                <w:b/>
                <w:spacing w:val="-18"/>
                <w:w w:val="100"/>
                <w:sz w:val="21"/>
              </w:rPr>
              <w:t>现金价值净额</w:t>
            </w:r>
            <w:r>
              <w:rPr>
                <w:w w:val="100"/>
                <w:sz w:val="21"/>
              </w:rPr>
              <w:t>（</w:t>
            </w:r>
            <w:r>
              <w:rPr>
                <w:spacing w:val="27"/>
                <w:w w:val="100"/>
                <w:sz w:val="21"/>
              </w:rPr>
              <w:t>见</w:t>
            </w:r>
            <w:r>
              <w:rPr>
                <w:w w:val="100"/>
                <w:sz w:val="21"/>
              </w:rPr>
              <w:t>9.2</w:t>
            </w:r>
            <w:r>
              <w:rPr>
                <w:spacing w:val="-3"/>
                <w:w w:val="100"/>
                <w:sz w:val="21"/>
              </w:rPr>
              <w:t>6</w:t>
            </w:r>
            <w:r>
              <w:rPr>
                <w:spacing w:val="-106"/>
                <w:w w:val="100"/>
                <w:sz w:val="21"/>
              </w:rPr>
              <w:t>）</w:t>
            </w:r>
            <w:r>
              <w:rPr>
                <w:spacing w:val="27"/>
                <w:w w:val="100"/>
                <w:sz w:val="21"/>
              </w:rPr>
              <w:t>的</w:t>
            </w:r>
            <w:r>
              <w:rPr>
                <w:w w:val="100"/>
                <w:sz w:val="21"/>
              </w:rPr>
              <w:t>80％，</w:t>
            </w:r>
            <w:r>
              <w:rPr>
                <w:spacing w:val="-6"/>
                <w:sz w:val="21"/>
              </w:rPr>
              <w:t>具体额度需经本公司审批。每次贷款期限最长不超过六个月，贷款利率按投保人申</w:t>
            </w:r>
            <w:r>
              <w:rPr>
                <w:spacing w:val="-4"/>
                <w:sz w:val="21"/>
              </w:rPr>
              <w:t>请贷款当时本公司确定的</w:t>
            </w:r>
            <w:r>
              <w:rPr>
                <w:b/>
                <w:sz w:val="21"/>
              </w:rPr>
              <w:t>约定利率</w:t>
            </w:r>
            <w:r>
              <w:rPr>
                <w:spacing w:val="-3"/>
                <w:sz w:val="21"/>
              </w:rPr>
              <w:t>（</w:t>
            </w:r>
            <w:r>
              <w:rPr>
                <w:spacing w:val="-12"/>
                <w:sz w:val="21"/>
              </w:rPr>
              <w:t>见 </w:t>
            </w:r>
            <w:r>
              <w:rPr>
                <w:sz w:val="21"/>
              </w:rPr>
              <w:t>9.27）</w:t>
            </w:r>
            <w:r>
              <w:rPr>
                <w:spacing w:val="-3"/>
                <w:sz w:val="21"/>
              </w:rPr>
              <w:t>执行，并在贷款协议中载明。</w:t>
            </w:r>
          </w:p>
          <w:p>
            <w:pPr>
              <w:pStyle w:val="TableParagraph"/>
              <w:spacing w:line="273" w:lineRule="auto" w:before="163"/>
              <w:ind w:left="286" w:right="100"/>
              <w:jc w:val="both"/>
              <w:rPr>
                <w:sz w:val="21"/>
              </w:rPr>
            </w:pPr>
            <w:r>
              <w:rPr>
                <w:spacing w:val="-6"/>
                <w:sz w:val="21"/>
              </w:rPr>
              <w:t>保单贷款期满时，如果投保人未能全部偿还贷款本金及利息，且本附加险合同的现</w:t>
            </w:r>
            <w:r>
              <w:rPr>
                <w:spacing w:val="-7"/>
                <w:sz w:val="21"/>
              </w:rPr>
              <w:t>金价值净额大于零，未偿还的贷款本金及利息将构成新一期的保单贷款，贷款期限</w:t>
            </w:r>
            <w:r>
              <w:rPr>
                <w:spacing w:val="-5"/>
                <w:sz w:val="21"/>
              </w:rPr>
              <w:t>为六个月，并按本公司最近一次确定的约定利率计息。</w:t>
            </w:r>
          </w:p>
          <w:p>
            <w:pPr>
              <w:pStyle w:val="TableParagraph"/>
              <w:spacing w:before="163"/>
              <w:ind w:left="286"/>
              <w:rPr>
                <w:sz w:val="21"/>
              </w:rPr>
            </w:pPr>
            <w:r>
              <w:rPr>
                <w:sz w:val="21"/>
              </w:rPr>
              <w:t>当本附加险合同的现金价值净额小于或者等于零时，本附加险合同的效力中止。</w:t>
            </w:r>
          </w:p>
          <w:p>
            <w:pPr>
              <w:pStyle w:val="TableParagraph"/>
              <w:spacing w:before="10"/>
              <w:ind w:left="0"/>
              <w:rPr>
                <w:b/>
                <w:sz w:val="14"/>
              </w:rPr>
            </w:pPr>
          </w:p>
          <w:p>
            <w:pPr>
              <w:pStyle w:val="TableParagraph"/>
              <w:spacing w:line="273" w:lineRule="auto" w:before="0"/>
              <w:ind w:left="286" w:right="59"/>
              <w:rPr>
                <w:sz w:val="21"/>
              </w:rPr>
            </w:pPr>
            <w:r>
              <w:rPr>
                <w:sz w:val="21"/>
              </w:rPr>
              <w:t>保单贷款须填写保单贷款申请书及其他相关文件，并凭保险合同、最后一次交费凭证及投保人的法定身份证明办理。</w:t>
            </w:r>
          </w:p>
        </w:tc>
      </w:tr>
      <w:tr>
        <w:trPr>
          <w:trHeight w:val="651" w:hRule="atLeast"/>
        </w:trPr>
        <w:tc>
          <w:tcPr>
            <w:tcW w:w="626" w:type="dxa"/>
            <w:tcBorders>
              <w:bottom w:val="single" w:sz="4" w:space="0" w:color="000000"/>
            </w:tcBorders>
          </w:tcPr>
          <w:p>
            <w:pPr>
              <w:pStyle w:val="TableParagraph"/>
              <w:spacing w:before="72"/>
              <w:ind w:left="148"/>
              <w:rPr>
                <w:b/>
                <w:sz w:val="32"/>
              </w:rPr>
            </w:pPr>
            <w:r>
              <w:rPr>
                <w:b/>
                <w:w w:val="98"/>
                <w:sz w:val="32"/>
              </w:rPr>
              <w:t>6</w:t>
            </w:r>
          </w:p>
        </w:tc>
        <w:tc>
          <w:tcPr>
            <w:tcW w:w="9249" w:type="dxa"/>
            <w:gridSpan w:val="2"/>
            <w:tcBorders>
              <w:bottom w:val="single" w:sz="4" w:space="0" w:color="000000"/>
            </w:tcBorders>
          </w:tcPr>
          <w:p>
            <w:pPr>
              <w:pStyle w:val="TableParagraph"/>
              <w:spacing w:before="137"/>
              <w:ind w:left="197"/>
              <w:rPr>
                <w:b/>
                <w:sz w:val="24"/>
              </w:rPr>
            </w:pPr>
            <w:r>
              <w:rPr>
                <w:b/>
                <w:w w:val="95"/>
                <w:sz w:val="24"/>
              </w:rPr>
              <w:t>合同效力的中止及恢复</w:t>
            </w:r>
          </w:p>
        </w:tc>
      </w:tr>
      <w:tr>
        <w:trPr>
          <w:trHeight w:val="541" w:hRule="atLeast"/>
        </w:trPr>
        <w:tc>
          <w:tcPr>
            <w:tcW w:w="626" w:type="dxa"/>
            <w:tcBorders>
              <w:top w:val="single" w:sz="4" w:space="0" w:color="000000"/>
            </w:tcBorders>
          </w:tcPr>
          <w:p>
            <w:pPr>
              <w:pStyle w:val="TableParagraph"/>
              <w:spacing w:before="130"/>
              <w:ind w:left="110"/>
              <w:rPr>
                <w:b/>
                <w:sz w:val="21"/>
              </w:rPr>
            </w:pPr>
            <w:r>
              <w:rPr>
                <w:b/>
                <w:sz w:val="21"/>
              </w:rPr>
              <w:t>6.1</w:t>
            </w:r>
          </w:p>
        </w:tc>
        <w:tc>
          <w:tcPr>
            <w:tcW w:w="1330" w:type="dxa"/>
            <w:tcBorders>
              <w:top w:val="single" w:sz="4" w:space="0" w:color="000000"/>
            </w:tcBorders>
          </w:tcPr>
          <w:p>
            <w:pPr>
              <w:pStyle w:val="TableParagraph"/>
              <w:spacing w:before="130"/>
              <w:ind w:left="197"/>
              <w:rPr>
                <w:b/>
                <w:sz w:val="21"/>
              </w:rPr>
            </w:pPr>
            <w:r>
              <w:rPr>
                <w:b/>
                <w:sz w:val="21"/>
              </w:rPr>
              <w:t>效力中止</w:t>
            </w:r>
          </w:p>
        </w:tc>
        <w:tc>
          <w:tcPr>
            <w:tcW w:w="7919" w:type="dxa"/>
            <w:tcBorders>
              <w:top w:val="single" w:sz="4" w:space="0" w:color="000000"/>
            </w:tcBorders>
          </w:tcPr>
          <w:p>
            <w:pPr>
              <w:pStyle w:val="TableParagraph"/>
              <w:spacing w:before="130"/>
              <w:ind w:left="286"/>
              <w:rPr>
                <w:rFonts w:ascii="黑体" w:eastAsia="黑体" w:hint="eastAsia"/>
                <w:sz w:val="21"/>
              </w:rPr>
            </w:pPr>
            <w:r>
              <w:rPr>
                <w:rFonts w:ascii="黑体" w:eastAsia="黑体" w:hint="eastAsia"/>
                <w:sz w:val="21"/>
              </w:rPr>
              <w:t>在本附加险合同效力中止期间，本公司不负保险责任。</w:t>
            </w:r>
          </w:p>
        </w:tc>
      </w:tr>
      <w:tr>
        <w:trPr>
          <w:trHeight w:val="3484" w:hRule="atLeast"/>
        </w:trPr>
        <w:tc>
          <w:tcPr>
            <w:tcW w:w="626" w:type="dxa"/>
          </w:tcPr>
          <w:p>
            <w:pPr>
              <w:pStyle w:val="TableParagraph"/>
              <w:spacing w:before="61"/>
              <w:ind w:left="110"/>
              <w:rPr>
                <w:b/>
                <w:sz w:val="21"/>
              </w:rPr>
            </w:pPr>
            <w:r>
              <w:rPr>
                <w:b/>
                <w:sz w:val="21"/>
              </w:rPr>
              <w:t>6.2</w:t>
            </w:r>
          </w:p>
        </w:tc>
        <w:tc>
          <w:tcPr>
            <w:tcW w:w="1330" w:type="dxa"/>
          </w:tcPr>
          <w:p>
            <w:pPr>
              <w:pStyle w:val="TableParagraph"/>
              <w:spacing w:before="61"/>
              <w:ind w:left="197"/>
              <w:rPr>
                <w:b/>
                <w:sz w:val="21"/>
              </w:rPr>
            </w:pPr>
            <w:r>
              <w:rPr>
                <w:b/>
                <w:sz w:val="21"/>
              </w:rPr>
              <w:t>效力恢复</w:t>
            </w:r>
          </w:p>
        </w:tc>
        <w:tc>
          <w:tcPr>
            <w:tcW w:w="7919" w:type="dxa"/>
          </w:tcPr>
          <w:p>
            <w:pPr>
              <w:pStyle w:val="TableParagraph"/>
              <w:spacing w:before="61"/>
              <w:ind w:left="286"/>
              <w:rPr>
                <w:sz w:val="21"/>
              </w:rPr>
            </w:pPr>
            <w:r>
              <w:rPr>
                <w:sz w:val="21"/>
              </w:rPr>
              <w:t>本附加险合同效力中止后二年内，投保人可以申请恢复合同效力。</w:t>
            </w:r>
          </w:p>
          <w:p>
            <w:pPr>
              <w:pStyle w:val="TableParagraph"/>
              <w:spacing w:before="9"/>
              <w:ind w:left="0"/>
              <w:rPr>
                <w:b/>
                <w:sz w:val="14"/>
              </w:rPr>
            </w:pPr>
          </w:p>
          <w:p>
            <w:pPr>
              <w:pStyle w:val="TableParagraph"/>
              <w:spacing w:line="273" w:lineRule="auto" w:before="1"/>
              <w:ind w:left="286" w:right="64"/>
              <w:jc w:val="both"/>
              <w:rPr>
                <w:sz w:val="21"/>
              </w:rPr>
            </w:pPr>
            <w:r>
              <w:rPr>
                <w:sz w:val="21"/>
              </w:rPr>
              <w:t>因欠交保险费导致本附加险合同效力中止的，经本公司与投保人协商并达成协议， 在投保人补交保险费及累积利息次日零时起，本附加险合同效力恢复。累积利息按本附加险合同约定利率计算，但本附加险合同另有约定的除外。</w:t>
            </w:r>
          </w:p>
          <w:p>
            <w:pPr>
              <w:pStyle w:val="TableParagraph"/>
              <w:spacing w:line="273" w:lineRule="auto" w:before="164"/>
              <w:ind w:left="286" w:right="100"/>
              <w:jc w:val="both"/>
              <w:rPr>
                <w:sz w:val="21"/>
              </w:rPr>
            </w:pPr>
            <w:r>
              <w:rPr>
                <w:spacing w:val="-5"/>
                <w:sz w:val="21"/>
              </w:rPr>
              <w:t>因保单贷款导致本附加险合同效力中止的，经本公司与投保人协商并达成协议，在</w:t>
            </w:r>
            <w:r>
              <w:rPr>
                <w:spacing w:val="-7"/>
                <w:sz w:val="21"/>
              </w:rPr>
              <w:t>投保人偿还保单贷款、累积利息及其他未还款项次日零时起，本附加险合同效力恢</w:t>
            </w:r>
            <w:r>
              <w:rPr>
                <w:spacing w:val="-3"/>
                <w:sz w:val="21"/>
              </w:rPr>
              <w:t>复。累积利息按本附加险合同约定利率计算，但本附加险合同另有约定的除外。</w:t>
            </w:r>
          </w:p>
          <w:p>
            <w:pPr>
              <w:pStyle w:val="TableParagraph"/>
              <w:spacing w:line="273" w:lineRule="auto" w:before="163"/>
              <w:ind w:left="286" w:right="100"/>
              <w:jc w:val="both"/>
              <w:rPr>
                <w:sz w:val="21"/>
              </w:rPr>
            </w:pPr>
            <w:r>
              <w:rPr>
                <w:spacing w:val="-5"/>
                <w:sz w:val="21"/>
              </w:rPr>
              <w:t>自合同效力中止之日起满二年双方未达成协议的，本公司有权解除合同，并向投保</w:t>
            </w:r>
            <w:r>
              <w:rPr>
                <w:spacing w:val="-3"/>
                <w:sz w:val="21"/>
              </w:rPr>
              <w:t>人退还本附加险合同宽限期开始前一日的现金价值。</w:t>
            </w:r>
          </w:p>
        </w:tc>
      </w:tr>
      <w:tr>
        <w:trPr>
          <w:trHeight w:val="646" w:hRule="atLeast"/>
        </w:trPr>
        <w:tc>
          <w:tcPr>
            <w:tcW w:w="626" w:type="dxa"/>
            <w:tcBorders>
              <w:bottom w:val="single" w:sz="4" w:space="0" w:color="000000"/>
            </w:tcBorders>
          </w:tcPr>
          <w:p>
            <w:pPr>
              <w:pStyle w:val="TableParagraph"/>
              <w:spacing w:before="72"/>
              <w:ind w:left="148"/>
              <w:rPr>
                <w:b/>
                <w:sz w:val="32"/>
              </w:rPr>
            </w:pPr>
            <w:r>
              <w:rPr>
                <w:b/>
                <w:w w:val="98"/>
                <w:sz w:val="32"/>
              </w:rPr>
              <w:t>7</w:t>
            </w:r>
          </w:p>
        </w:tc>
        <w:tc>
          <w:tcPr>
            <w:tcW w:w="9249" w:type="dxa"/>
            <w:gridSpan w:val="2"/>
            <w:tcBorders>
              <w:bottom w:val="single" w:sz="4" w:space="0" w:color="000000"/>
            </w:tcBorders>
          </w:tcPr>
          <w:p>
            <w:pPr>
              <w:pStyle w:val="TableParagraph"/>
              <w:spacing w:before="137"/>
              <w:ind w:left="197"/>
              <w:rPr>
                <w:b/>
                <w:sz w:val="24"/>
              </w:rPr>
            </w:pPr>
            <w:r>
              <w:rPr>
                <w:b/>
                <w:w w:val="95"/>
                <w:sz w:val="24"/>
              </w:rPr>
              <w:t>如何解除保险合同</w:t>
            </w:r>
          </w:p>
        </w:tc>
      </w:tr>
      <w:tr>
        <w:trPr>
          <w:trHeight w:val="3373" w:hRule="atLeast"/>
        </w:trPr>
        <w:tc>
          <w:tcPr>
            <w:tcW w:w="626" w:type="dxa"/>
            <w:tcBorders>
              <w:top w:val="single" w:sz="4" w:space="0" w:color="000000"/>
            </w:tcBorders>
          </w:tcPr>
          <w:p>
            <w:pPr>
              <w:pStyle w:val="TableParagraph"/>
              <w:spacing w:before="132"/>
              <w:ind w:left="110"/>
              <w:rPr>
                <w:b/>
                <w:sz w:val="21"/>
              </w:rPr>
            </w:pPr>
            <w:r>
              <w:rPr>
                <w:b/>
                <w:sz w:val="21"/>
              </w:rPr>
              <w:t>7.1</w:t>
            </w:r>
          </w:p>
        </w:tc>
        <w:tc>
          <w:tcPr>
            <w:tcW w:w="1330" w:type="dxa"/>
            <w:tcBorders>
              <w:top w:val="single" w:sz="4" w:space="0" w:color="000000"/>
            </w:tcBorders>
          </w:tcPr>
          <w:p>
            <w:pPr>
              <w:pStyle w:val="TableParagraph"/>
              <w:spacing w:before="132"/>
              <w:ind w:left="197"/>
              <w:rPr>
                <w:b/>
                <w:sz w:val="21"/>
              </w:rPr>
            </w:pPr>
            <w:r>
              <w:rPr>
                <w:b/>
                <w:sz w:val="21"/>
              </w:rPr>
              <w:t>合同解除</w:t>
            </w:r>
          </w:p>
        </w:tc>
        <w:tc>
          <w:tcPr>
            <w:tcW w:w="7919" w:type="dxa"/>
            <w:tcBorders>
              <w:top w:val="single" w:sz="4" w:space="0" w:color="000000"/>
            </w:tcBorders>
          </w:tcPr>
          <w:p>
            <w:pPr>
              <w:pStyle w:val="TableParagraph"/>
              <w:spacing w:line="273" w:lineRule="auto" w:before="132"/>
              <w:ind w:left="286" w:right="100"/>
              <w:rPr>
                <w:sz w:val="21"/>
              </w:rPr>
            </w:pPr>
            <w:r>
              <w:rPr>
                <w:spacing w:val="-6"/>
                <w:sz w:val="21"/>
              </w:rPr>
              <w:t>投保人在犹豫期后，可以书面通知要求解除本附加险合同，并向本公司提供下列证</w:t>
            </w:r>
            <w:r>
              <w:rPr>
                <w:spacing w:val="-4"/>
                <w:sz w:val="21"/>
              </w:rPr>
              <w:t>明和资料：</w:t>
            </w:r>
          </w:p>
          <w:p>
            <w:pPr>
              <w:pStyle w:val="TableParagraph"/>
              <w:numPr>
                <w:ilvl w:val="0"/>
                <w:numId w:val="12"/>
              </w:numPr>
              <w:tabs>
                <w:tab w:pos="863" w:val="left" w:leader="none"/>
              </w:tabs>
              <w:spacing w:line="240" w:lineRule="auto" w:before="7" w:after="0"/>
              <w:ind w:left="862" w:right="0" w:hanging="576"/>
              <w:jc w:val="left"/>
              <w:rPr>
                <w:sz w:val="21"/>
              </w:rPr>
            </w:pPr>
            <w:r>
              <w:rPr>
                <w:spacing w:val="-1"/>
                <w:sz w:val="21"/>
              </w:rPr>
              <w:t>保险合同；</w:t>
            </w:r>
          </w:p>
          <w:p>
            <w:pPr>
              <w:pStyle w:val="TableParagraph"/>
              <w:numPr>
                <w:ilvl w:val="0"/>
                <w:numId w:val="12"/>
              </w:numPr>
              <w:tabs>
                <w:tab w:pos="863" w:val="left" w:leader="none"/>
              </w:tabs>
              <w:spacing w:line="240" w:lineRule="auto" w:before="37" w:after="0"/>
              <w:ind w:left="862" w:right="0" w:hanging="576"/>
              <w:jc w:val="left"/>
              <w:rPr>
                <w:sz w:val="21"/>
              </w:rPr>
            </w:pPr>
            <w:r>
              <w:rPr>
                <w:spacing w:val="-3"/>
                <w:sz w:val="21"/>
              </w:rPr>
              <w:t>解除合同申请书；</w:t>
            </w:r>
          </w:p>
          <w:p>
            <w:pPr>
              <w:pStyle w:val="TableParagraph"/>
              <w:numPr>
                <w:ilvl w:val="0"/>
                <w:numId w:val="12"/>
              </w:numPr>
              <w:tabs>
                <w:tab w:pos="863" w:val="left" w:leader="none"/>
              </w:tabs>
              <w:spacing w:line="240" w:lineRule="auto" w:before="37" w:after="0"/>
              <w:ind w:left="862" w:right="0" w:hanging="576"/>
              <w:jc w:val="left"/>
              <w:rPr>
                <w:sz w:val="21"/>
              </w:rPr>
            </w:pPr>
            <w:r>
              <w:rPr>
                <w:spacing w:val="-3"/>
                <w:sz w:val="21"/>
              </w:rPr>
              <w:t>投保人的法定身份证明；</w:t>
            </w:r>
          </w:p>
          <w:p>
            <w:pPr>
              <w:pStyle w:val="TableParagraph"/>
              <w:numPr>
                <w:ilvl w:val="0"/>
                <w:numId w:val="12"/>
              </w:numPr>
              <w:tabs>
                <w:tab w:pos="863" w:val="left" w:leader="none"/>
              </w:tabs>
              <w:spacing w:line="240" w:lineRule="auto" w:before="37" w:after="0"/>
              <w:ind w:left="862" w:right="0" w:hanging="576"/>
              <w:jc w:val="left"/>
              <w:rPr>
                <w:sz w:val="21"/>
              </w:rPr>
            </w:pPr>
            <w:r>
              <w:rPr>
                <w:spacing w:val="-3"/>
                <w:sz w:val="21"/>
              </w:rPr>
              <w:t>本公司要求的其他证明和资料。</w:t>
            </w:r>
          </w:p>
          <w:p>
            <w:pPr>
              <w:pStyle w:val="TableParagraph"/>
              <w:spacing w:before="9"/>
              <w:ind w:left="0"/>
              <w:rPr>
                <w:b/>
                <w:sz w:val="14"/>
              </w:rPr>
            </w:pPr>
          </w:p>
          <w:p>
            <w:pPr>
              <w:pStyle w:val="TableParagraph"/>
              <w:spacing w:line="273" w:lineRule="auto" w:before="1"/>
              <w:ind w:left="286" w:right="100"/>
              <w:rPr>
                <w:sz w:val="21"/>
              </w:rPr>
            </w:pPr>
            <w:r>
              <w:rPr>
                <w:spacing w:val="-6"/>
                <w:sz w:val="21"/>
              </w:rPr>
              <w:t>自本公司收到解除合同申请书之日起，本附加险合同终止。本公司在收到上述证明</w:t>
            </w:r>
            <w:r>
              <w:rPr>
                <w:spacing w:val="-3"/>
                <w:sz w:val="21"/>
              </w:rPr>
              <w:t>和资料之日起三十日内退还本附加险合同的现金价值。</w:t>
            </w:r>
          </w:p>
          <w:p>
            <w:pPr>
              <w:pStyle w:val="TableParagraph"/>
              <w:spacing w:before="164"/>
              <w:ind w:left="286"/>
              <w:rPr>
                <w:rFonts w:ascii="黑体" w:eastAsia="黑体" w:hint="eastAsia"/>
                <w:sz w:val="21"/>
              </w:rPr>
            </w:pPr>
            <w:r>
              <w:rPr>
                <w:rFonts w:ascii="黑体" w:eastAsia="黑体" w:hint="eastAsia"/>
                <w:sz w:val="21"/>
              </w:rPr>
              <w:t>投保人在犹豫期后解除合同会遭受一定的损失。</w:t>
            </w:r>
          </w:p>
        </w:tc>
      </w:tr>
      <w:tr>
        <w:trPr>
          <w:trHeight w:val="622" w:hRule="atLeast"/>
        </w:trPr>
        <w:tc>
          <w:tcPr>
            <w:tcW w:w="626" w:type="dxa"/>
            <w:tcBorders>
              <w:bottom w:val="single" w:sz="4" w:space="0" w:color="000000"/>
            </w:tcBorders>
          </w:tcPr>
          <w:p>
            <w:pPr>
              <w:pStyle w:val="TableParagraph"/>
              <w:spacing w:before="46"/>
              <w:ind w:left="148"/>
              <w:rPr>
                <w:b/>
                <w:sz w:val="32"/>
              </w:rPr>
            </w:pPr>
            <w:r>
              <w:rPr>
                <w:b/>
                <w:w w:val="98"/>
                <w:sz w:val="32"/>
              </w:rPr>
              <w:t>8</w:t>
            </w:r>
          </w:p>
        </w:tc>
        <w:tc>
          <w:tcPr>
            <w:tcW w:w="9249" w:type="dxa"/>
            <w:gridSpan w:val="2"/>
            <w:tcBorders>
              <w:bottom w:val="single" w:sz="4" w:space="0" w:color="000000"/>
            </w:tcBorders>
          </w:tcPr>
          <w:p>
            <w:pPr>
              <w:pStyle w:val="TableParagraph"/>
              <w:spacing w:before="111"/>
              <w:ind w:left="197"/>
              <w:rPr>
                <w:b/>
                <w:sz w:val="24"/>
              </w:rPr>
            </w:pPr>
            <w:r>
              <w:rPr>
                <w:b/>
                <w:w w:val="95"/>
                <w:sz w:val="24"/>
              </w:rPr>
              <w:t>其他需要关注的事项</w:t>
            </w:r>
          </w:p>
        </w:tc>
      </w:tr>
      <w:tr>
        <w:trPr>
          <w:trHeight w:val="723" w:hRule="atLeast"/>
        </w:trPr>
        <w:tc>
          <w:tcPr>
            <w:tcW w:w="626" w:type="dxa"/>
            <w:tcBorders>
              <w:top w:val="single" w:sz="4" w:space="0" w:color="000000"/>
            </w:tcBorders>
          </w:tcPr>
          <w:p>
            <w:pPr>
              <w:pStyle w:val="TableParagraph"/>
              <w:spacing w:before="130"/>
              <w:ind w:left="110"/>
              <w:rPr>
                <w:b/>
                <w:sz w:val="21"/>
              </w:rPr>
            </w:pPr>
            <w:r>
              <w:rPr>
                <w:b/>
                <w:sz w:val="21"/>
              </w:rPr>
              <w:t>8.1</w:t>
            </w:r>
          </w:p>
        </w:tc>
        <w:tc>
          <w:tcPr>
            <w:tcW w:w="1330" w:type="dxa"/>
            <w:tcBorders>
              <w:top w:val="single" w:sz="4" w:space="0" w:color="000000"/>
            </w:tcBorders>
          </w:tcPr>
          <w:p>
            <w:pPr>
              <w:pStyle w:val="TableParagraph"/>
              <w:spacing w:before="130"/>
              <w:ind w:left="197"/>
              <w:rPr>
                <w:b/>
                <w:sz w:val="21"/>
              </w:rPr>
            </w:pPr>
            <w:r>
              <w:rPr>
                <w:b/>
                <w:sz w:val="21"/>
              </w:rPr>
              <w:t>如实告知</w:t>
            </w:r>
          </w:p>
        </w:tc>
        <w:tc>
          <w:tcPr>
            <w:tcW w:w="7919" w:type="dxa"/>
            <w:tcBorders>
              <w:top w:val="single" w:sz="4" w:space="0" w:color="000000"/>
            </w:tcBorders>
          </w:tcPr>
          <w:p>
            <w:pPr>
              <w:pStyle w:val="TableParagraph"/>
              <w:spacing w:line="310" w:lineRule="atLeast" w:before="95"/>
              <w:ind w:left="286" w:right="60"/>
              <w:rPr>
                <w:sz w:val="21"/>
              </w:rPr>
            </w:pPr>
            <w:r>
              <w:rPr>
                <w:sz w:val="21"/>
              </w:rPr>
              <w:t>订立本附加险合同或者申请恢复本附加险合同效力时，本公司应向投保人明确说明本附加险合同的内容，并可以就投保人、被保险人的有关情况提出询问，投保人应</w:t>
            </w:r>
          </w:p>
        </w:tc>
      </w:tr>
    </w:tbl>
    <w:p>
      <w:pPr>
        <w:spacing w:after="0" w:line="310" w:lineRule="atLeast"/>
        <w:rPr>
          <w:sz w:val="21"/>
        </w:rPr>
        <w:sectPr>
          <w:pgSz w:w="11910" w:h="16840"/>
          <w:pgMar w:header="0" w:footer="377" w:top="1340" w:bottom="560" w:left="900" w:right="9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435"/>
        <w:gridCol w:w="7947"/>
      </w:tblGrid>
      <w:tr>
        <w:trPr>
          <w:trHeight w:val="4552" w:hRule="atLeast"/>
        </w:trPr>
        <w:tc>
          <w:tcPr>
            <w:tcW w:w="715" w:type="dxa"/>
          </w:tcPr>
          <w:p>
            <w:pPr>
              <w:pStyle w:val="TableParagraph"/>
              <w:spacing w:before="0"/>
              <w:ind w:left="0"/>
              <w:rPr>
                <w:rFonts w:ascii="Times New Roman"/>
                <w:sz w:val="20"/>
              </w:rPr>
            </w:pPr>
          </w:p>
        </w:tc>
        <w:tc>
          <w:tcPr>
            <w:tcW w:w="1435" w:type="dxa"/>
          </w:tcPr>
          <w:p>
            <w:pPr>
              <w:pStyle w:val="TableParagraph"/>
              <w:spacing w:before="0"/>
              <w:ind w:left="0"/>
              <w:rPr>
                <w:rFonts w:ascii="Times New Roman"/>
                <w:sz w:val="20"/>
              </w:rPr>
            </w:pPr>
          </w:p>
        </w:tc>
        <w:tc>
          <w:tcPr>
            <w:tcW w:w="7947" w:type="dxa"/>
          </w:tcPr>
          <w:p>
            <w:pPr>
              <w:pStyle w:val="TableParagraph"/>
              <w:spacing w:line="205" w:lineRule="exact" w:before="0"/>
              <w:ind w:left="181"/>
              <w:rPr>
                <w:sz w:val="21"/>
              </w:rPr>
            </w:pPr>
            <w:r>
              <w:rPr>
                <w:sz w:val="21"/>
              </w:rPr>
              <w:t>当如实告知。</w:t>
            </w:r>
          </w:p>
          <w:p>
            <w:pPr>
              <w:pStyle w:val="TableParagraph"/>
              <w:spacing w:before="9"/>
              <w:ind w:left="0"/>
              <w:rPr>
                <w:b/>
                <w:sz w:val="14"/>
              </w:rPr>
            </w:pPr>
          </w:p>
          <w:p>
            <w:pPr>
              <w:pStyle w:val="TableParagraph"/>
              <w:spacing w:line="273" w:lineRule="auto" w:before="1"/>
              <w:ind w:left="181" w:right="233"/>
              <w:jc w:val="both"/>
              <w:rPr>
                <w:rFonts w:ascii="黑体" w:eastAsia="黑体" w:hint="eastAsia"/>
                <w:sz w:val="21"/>
              </w:rPr>
            </w:pPr>
            <w:r>
              <w:rPr>
                <w:rFonts w:ascii="黑体" w:eastAsia="黑体" w:hint="eastAsia"/>
                <w:spacing w:val="-5"/>
                <w:sz w:val="21"/>
              </w:rPr>
              <w:t>投保人故意或者因重大过失未履行前款规定的如实告知义务，足以影响本公司决定</w:t>
            </w:r>
            <w:r>
              <w:rPr>
                <w:rFonts w:ascii="黑体" w:eastAsia="黑体" w:hint="eastAsia"/>
                <w:spacing w:val="-3"/>
                <w:sz w:val="21"/>
              </w:rPr>
              <w:t>是否同意承保或者提高保险费率的，本公司有权解除本附加险合同。</w:t>
            </w:r>
          </w:p>
          <w:p>
            <w:pPr>
              <w:pStyle w:val="TableParagraph"/>
              <w:spacing w:line="273" w:lineRule="auto" w:before="164"/>
              <w:ind w:left="181" w:right="232"/>
              <w:jc w:val="both"/>
              <w:rPr>
                <w:sz w:val="21"/>
              </w:rPr>
            </w:pPr>
            <w:r>
              <w:rPr>
                <w:spacing w:val="-6"/>
                <w:sz w:val="21"/>
              </w:rPr>
              <w:t>前款规定的合同解除权，自本公司知道有解除事由之日起，超过三十日不行使而消</w:t>
            </w:r>
            <w:r>
              <w:rPr>
                <w:spacing w:val="-7"/>
                <w:sz w:val="21"/>
              </w:rPr>
              <w:t>灭。自本附加险合同成立之日起超过二年的，本公司不得解除本附加险合同；发生</w:t>
            </w:r>
            <w:r>
              <w:rPr>
                <w:spacing w:val="-5"/>
                <w:sz w:val="21"/>
              </w:rPr>
              <w:t>保险事故的，本公司承担豁免保险费的责任。</w:t>
            </w:r>
          </w:p>
          <w:p>
            <w:pPr>
              <w:pStyle w:val="TableParagraph"/>
              <w:spacing w:line="273" w:lineRule="auto" w:before="164"/>
              <w:ind w:left="181" w:right="232"/>
              <w:jc w:val="both"/>
              <w:rPr>
                <w:rFonts w:ascii="黑体" w:eastAsia="黑体" w:hint="eastAsia"/>
                <w:sz w:val="21"/>
              </w:rPr>
            </w:pPr>
            <w:r>
              <w:rPr>
                <w:rFonts w:ascii="黑体" w:eastAsia="黑体" w:hint="eastAsia"/>
                <w:spacing w:val="-5"/>
                <w:sz w:val="21"/>
              </w:rPr>
              <w:t>投保人故意不履行如实告知义务的，本公司对于合同解除前发</w:t>
            </w:r>
            <w:r>
              <w:rPr>
                <w:rFonts w:ascii="黑体" w:eastAsia="黑体" w:hint="eastAsia"/>
                <w:sz w:val="21"/>
              </w:rPr>
              <w:t>Th</w:t>
            </w:r>
            <w:r>
              <w:rPr>
                <w:rFonts w:ascii="黑体" w:eastAsia="黑体" w:hint="eastAsia"/>
                <w:spacing w:val="-6"/>
                <w:sz w:val="21"/>
              </w:rPr>
              <w:t>的保险事故，不承</w:t>
            </w:r>
            <w:r>
              <w:rPr>
                <w:rFonts w:ascii="黑体" w:eastAsia="黑体" w:hint="eastAsia"/>
                <w:spacing w:val="-4"/>
                <w:sz w:val="21"/>
              </w:rPr>
              <w:t>担豁免保险费的责任，并不退还保险费。</w:t>
            </w:r>
          </w:p>
          <w:p>
            <w:pPr>
              <w:pStyle w:val="TableParagraph"/>
              <w:spacing w:line="273" w:lineRule="auto" w:before="164"/>
              <w:ind w:left="181" w:right="233"/>
              <w:jc w:val="both"/>
              <w:rPr>
                <w:rFonts w:ascii="黑体" w:eastAsia="黑体" w:hint="eastAsia"/>
                <w:sz w:val="21"/>
              </w:rPr>
            </w:pPr>
            <w:r>
              <w:rPr>
                <w:rFonts w:ascii="黑体" w:eastAsia="黑体" w:hint="eastAsia"/>
                <w:spacing w:val="-4"/>
                <w:sz w:val="21"/>
              </w:rPr>
              <w:t>投保人因重大过失未履行如实告知义务，对保险事故的发</w:t>
            </w:r>
            <w:r>
              <w:rPr>
                <w:rFonts w:ascii="黑体" w:eastAsia="黑体" w:hint="eastAsia"/>
                <w:sz w:val="21"/>
              </w:rPr>
              <w:t>Th</w:t>
            </w:r>
            <w:r>
              <w:rPr>
                <w:rFonts w:ascii="黑体" w:eastAsia="黑体" w:hint="eastAsia"/>
                <w:spacing w:val="-6"/>
                <w:sz w:val="21"/>
              </w:rPr>
              <w:t>有严重影响的，本公司</w:t>
            </w:r>
            <w:r>
              <w:rPr>
                <w:rFonts w:ascii="黑体" w:eastAsia="黑体" w:hint="eastAsia"/>
                <w:spacing w:val="-3"/>
                <w:sz w:val="21"/>
              </w:rPr>
              <w:t>对于合同解除前发</w:t>
            </w:r>
            <w:r>
              <w:rPr>
                <w:rFonts w:ascii="黑体" w:eastAsia="黑体" w:hint="eastAsia"/>
                <w:spacing w:val="-1"/>
                <w:sz w:val="21"/>
              </w:rPr>
              <w:t>Th</w:t>
            </w:r>
            <w:r>
              <w:rPr>
                <w:rFonts w:ascii="黑体" w:eastAsia="黑体" w:hint="eastAsia"/>
                <w:spacing w:val="-3"/>
                <w:sz w:val="21"/>
              </w:rPr>
              <w:t>的保险事故，不承担豁免保险费的责任，但退还保险费。</w:t>
            </w:r>
          </w:p>
          <w:p>
            <w:pPr>
              <w:pStyle w:val="TableParagraph"/>
              <w:spacing w:line="273" w:lineRule="auto" w:before="164"/>
              <w:ind w:left="181" w:right="232"/>
              <w:jc w:val="both"/>
              <w:rPr>
                <w:sz w:val="21"/>
              </w:rPr>
            </w:pPr>
            <w:r>
              <w:rPr>
                <w:spacing w:val="-5"/>
                <w:sz w:val="21"/>
              </w:rPr>
              <w:t>本公司在本附加险合同订立时已经知道投保人未如实告知的情况的，本公司不得解</w:t>
            </w:r>
            <w:r>
              <w:rPr>
                <w:spacing w:val="-3"/>
                <w:sz w:val="21"/>
              </w:rPr>
              <w:t>除本附加险合同；发生保险事故的，本公司承担豁免保险费的责任。</w:t>
            </w:r>
          </w:p>
        </w:tc>
      </w:tr>
      <w:tr>
        <w:trPr>
          <w:trHeight w:val="3589" w:hRule="atLeast"/>
        </w:trPr>
        <w:tc>
          <w:tcPr>
            <w:tcW w:w="715" w:type="dxa"/>
          </w:tcPr>
          <w:p>
            <w:pPr>
              <w:pStyle w:val="TableParagraph"/>
              <w:spacing w:before="58"/>
              <w:rPr>
                <w:b/>
                <w:sz w:val="21"/>
              </w:rPr>
            </w:pPr>
            <w:r>
              <w:rPr>
                <w:b/>
                <w:sz w:val="21"/>
              </w:rPr>
              <w:t>8.2</w:t>
            </w:r>
          </w:p>
        </w:tc>
        <w:tc>
          <w:tcPr>
            <w:tcW w:w="1435" w:type="dxa"/>
          </w:tcPr>
          <w:p>
            <w:pPr>
              <w:pStyle w:val="TableParagraph"/>
              <w:spacing w:line="273" w:lineRule="auto" w:before="58"/>
              <w:ind w:left="198" w:right="178"/>
              <w:rPr>
                <w:b/>
                <w:sz w:val="21"/>
              </w:rPr>
            </w:pPr>
            <w:r>
              <w:rPr>
                <w:b/>
                <w:sz w:val="21"/>
              </w:rPr>
              <w:t>年龄确定与错误处理</w:t>
            </w:r>
          </w:p>
        </w:tc>
        <w:tc>
          <w:tcPr>
            <w:tcW w:w="7947" w:type="dxa"/>
          </w:tcPr>
          <w:p>
            <w:pPr>
              <w:pStyle w:val="TableParagraph"/>
              <w:spacing w:line="273" w:lineRule="auto" w:before="58"/>
              <w:ind w:left="181" w:right="233"/>
              <w:rPr>
                <w:sz w:val="21"/>
              </w:rPr>
            </w:pPr>
            <w:r>
              <w:rPr>
                <w:spacing w:val="-6"/>
                <w:sz w:val="21"/>
              </w:rPr>
              <w:t>被保险人的投保年龄按周岁计算。投保人应在投保本保险时将被保险人的真实年龄</w:t>
            </w:r>
            <w:r>
              <w:rPr>
                <w:spacing w:val="-4"/>
                <w:sz w:val="21"/>
              </w:rPr>
              <w:t>在投保单上填明，如果发生错误，本公司按照下列规定办理：</w:t>
            </w:r>
          </w:p>
          <w:p>
            <w:pPr>
              <w:pStyle w:val="TableParagraph"/>
              <w:numPr>
                <w:ilvl w:val="0"/>
                <w:numId w:val="13"/>
              </w:numPr>
              <w:tabs>
                <w:tab w:pos="807" w:val="left" w:leader="none"/>
              </w:tabs>
              <w:spacing w:line="273" w:lineRule="auto" w:before="7" w:after="0"/>
              <w:ind w:left="806" w:right="232" w:hanging="625"/>
              <w:jc w:val="both"/>
              <w:rPr>
                <w:rFonts w:ascii="黑体" w:eastAsia="黑体" w:hint="eastAsia"/>
                <w:sz w:val="21"/>
              </w:rPr>
            </w:pPr>
            <w:r>
              <w:rPr>
                <w:rFonts w:ascii="黑体" w:eastAsia="黑体" w:hint="eastAsia"/>
                <w:spacing w:val="-5"/>
                <w:sz w:val="21"/>
              </w:rPr>
              <w:t>投保人申报的被保险人年龄不真实，并且其真实年龄不符合本附加险合同约</w:t>
            </w:r>
            <w:r>
              <w:rPr>
                <w:rFonts w:ascii="黑体" w:eastAsia="黑体" w:hint="eastAsia"/>
                <w:spacing w:val="-8"/>
                <w:sz w:val="21"/>
              </w:rPr>
              <w:t>定的年龄限制的，本公司有权在知道有解除事由之日起三十日内解除本附加险合同，并向投保人退还本附加险合同的现金价值，但自本附加险合同成立</w:t>
            </w:r>
            <w:r>
              <w:rPr>
                <w:rFonts w:ascii="黑体" w:eastAsia="黑体" w:hint="eastAsia"/>
                <w:spacing w:val="-3"/>
                <w:sz w:val="21"/>
              </w:rPr>
              <w:t>之日起超过二年的除外。</w:t>
            </w:r>
          </w:p>
          <w:p>
            <w:pPr>
              <w:pStyle w:val="TableParagraph"/>
              <w:numPr>
                <w:ilvl w:val="0"/>
                <w:numId w:val="13"/>
              </w:numPr>
              <w:tabs>
                <w:tab w:pos="807" w:val="left" w:leader="none"/>
              </w:tabs>
              <w:spacing w:line="273" w:lineRule="auto" w:before="8" w:after="0"/>
              <w:ind w:left="806" w:right="232" w:hanging="625"/>
              <w:jc w:val="both"/>
              <w:rPr>
                <w:rFonts w:ascii="黑体" w:eastAsia="黑体" w:hint="eastAsia"/>
                <w:sz w:val="21"/>
              </w:rPr>
            </w:pPr>
            <w:r>
              <w:rPr>
                <w:rFonts w:ascii="黑体" w:eastAsia="黑体" w:hint="eastAsia"/>
                <w:spacing w:val="-5"/>
                <w:sz w:val="21"/>
              </w:rPr>
              <w:t>投保人申报的被保险人年龄不真实，致使投保人支付的保险费少于应付保险</w:t>
            </w:r>
            <w:r>
              <w:rPr>
                <w:rFonts w:ascii="黑体" w:eastAsia="黑体" w:hint="eastAsia"/>
                <w:spacing w:val="-7"/>
                <w:sz w:val="21"/>
              </w:rPr>
              <w:t>费的，本公司有权更正并要求投保人补交保险费，或者在豁免保险费时按照</w:t>
            </w:r>
            <w:r>
              <w:rPr>
                <w:rFonts w:ascii="黑体" w:eastAsia="黑体" w:hint="eastAsia"/>
                <w:spacing w:val="-5"/>
                <w:sz w:val="21"/>
              </w:rPr>
              <w:t>实付保险费与应付保险费的比例支付。</w:t>
            </w:r>
          </w:p>
          <w:p>
            <w:pPr>
              <w:pStyle w:val="TableParagraph"/>
              <w:numPr>
                <w:ilvl w:val="0"/>
                <w:numId w:val="13"/>
              </w:numPr>
              <w:tabs>
                <w:tab w:pos="807" w:val="left" w:leader="none"/>
              </w:tabs>
              <w:spacing w:line="273" w:lineRule="auto" w:before="7" w:after="0"/>
              <w:ind w:left="806" w:right="232" w:hanging="625"/>
              <w:jc w:val="both"/>
              <w:rPr>
                <w:sz w:val="21"/>
              </w:rPr>
            </w:pPr>
            <w:r>
              <w:rPr>
                <w:spacing w:val="-5"/>
                <w:sz w:val="21"/>
              </w:rPr>
              <w:t>投保人申报的被保险人年龄不真实，致使投保人支付的保险费多于应付保险</w:t>
            </w:r>
            <w:r>
              <w:rPr>
                <w:spacing w:val="-4"/>
                <w:sz w:val="21"/>
              </w:rPr>
              <w:t>费的，本公司应将多收的保险费无息退还投保人。</w:t>
            </w:r>
          </w:p>
        </w:tc>
      </w:tr>
      <w:tr>
        <w:trPr>
          <w:trHeight w:val="1095" w:hRule="atLeast"/>
        </w:trPr>
        <w:tc>
          <w:tcPr>
            <w:tcW w:w="715" w:type="dxa"/>
          </w:tcPr>
          <w:p>
            <w:pPr>
              <w:pStyle w:val="TableParagraph"/>
              <w:spacing w:before="60"/>
              <w:rPr>
                <w:b/>
                <w:sz w:val="21"/>
              </w:rPr>
            </w:pPr>
            <w:r>
              <w:rPr>
                <w:b/>
                <w:sz w:val="21"/>
              </w:rPr>
              <w:t>8.3</w:t>
            </w:r>
          </w:p>
        </w:tc>
        <w:tc>
          <w:tcPr>
            <w:tcW w:w="1435" w:type="dxa"/>
          </w:tcPr>
          <w:p>
            <w:pPr>
              <w:pStyle w:val="TableParagraph"/>
              <w:spacing w:before="60"/>
              <w:ind w:left="198"/>
              <w:rPr>
                <w:b/>
                <w:sz w:val="21"/>
              </w:rPr>
            </w:pPr>
            <w:r>
              <w:rPr>
                <w:b/>
                <w:sz w:val="21"/>
              </w:rPr>
              <w:t>未还款项</w:t>
            </w:r>
          </w:p>
        </w:tc>
        <w:tc>
          <w:tcPr>
            <w:tcW w:w="7947" w:type="dxa"/>
          </w:tcPr>
          <w:p>
            <w:pPr>
              <w:pStyle w:val="TableParagraph"/>
              <w:spacing w:line="273" w:lineRule="auto" w:before="60"/>
              <w:ind w:left="181" w:right="232"/>
              <w:jc w:val="both"/>
              <w:rPr>
                <w:sz w:val="21"/>
              </w:rPr>
            </w:pPr>
            <w:r>
              <w:rPr>
                <w:spacing w:val="-6"/>
                <w:sz w:val="21"/>
              </w:rPr>
              <w:t>本公司在豁免保险费、退还现金价值或者返还保险费时，如果投保人有欠交的保险</w:t>
            </w:r>
            <w:r>
              <w:rPr>
                <w:spacing w:val="-8"/>
                <w:sz w:val="21"/>
              </w:rPr>
              <w:t>费或者其他未还清款项，本公司会在扣除上述欠款及应付利息后豁免或者给付。应</w:t>
            </w:r>
            <w:r>
              <w:rPr>
                <w:spacing w:val="-3"/>
                <w:sz w:val="21"/>
              </w:rPr>
              <w:t>付利息按本条款约定利率计算，但本附加险合同另有约定的除外。</w:t>
            </w:r>
          </w:p>
        </w:tc>
      </w:tr>
      <w:tr>
        <w:trPr>
          <w:trHeight w:val="1565" w:hRule="atLeast"/>
        </w:trPr>
        <w:tc>
          <w:tcPr>
            <w:tcW w:w="715" w:type="dxa"/>
          </w:tcPr>
          <w:p>
            <w:pPr>
              <w:pStyle w:val="TableParagraph"/>
              <w:spacing w:before="61"/>
              <w:rPr>
                <w:b/>
                <w:sz w:val="21"/>
              </w:rPr>
            </w:pPr>
            <w:r>
              <w:rPr>
                <w:b/>
                <w:sz w:val="21"/>
              </w:rPr>
              <w:t>8.4</w:t>
            </w:r>
          </w:p>
        </w:tc>
        <w:tc>
          <w:tcPr>
            <w:tcW w:w="1435" w:type="dxa"/>
          </w:tcPr>
          <w:p>
            <w:pPr>
              <w:pStyle w:val="TableParagraph"/>
              <w:spacing w:line="273" w:lineRule="auto" w:before="61"/>
              <w:ind w:left="198" w:right="178"/>
              <w:rPr>
                <w:b/>
                <w:sz w:val="21"/>
              </w:rPr>
            </w:pPr>
            <w:r>
              <w:rPr>
                <w:b/>
                <w:sz w:val="21"/>
              </w:rPr>
              <w:t>合同内容变更</w:t>
            </w:r>
          </w:p>
        </w:tc>
        <w:tc>
          <w:tcPr>
            <w:tcW w:w="7947" w:type="dxa"/>
          </w:tcPr>
          <w:p>
            <w:pPr>
              <w:pStyle w:val="TableParagraph"/>
              <w:spacing w:line="273" w:lineRule="auto" w:before="61"/>
              <w:ind w:left="181" w:right="232"/>
              <w:jc w:val="both"/>
              <w:rPr>
                <w:sz w:val="21"/>
              </w:rPr>
            </w:pPr>
            <w:r>
              <w:rPr>
                <w:spacing w:val="-5"/>
                <w:sz w:val="21"/>
              </w:rPr>
              <w:t>投保人和本公司可以协商变更本附加险合同的内容。变更本附加险合同的，应当由</w:t>
            </w:r>
            <w:r>
              <w:rPr>
                <w:spacing w:val="-6"/>
                <w:sz w:val="21"/>
              </w:rPr>
              <w:t>本公司在保险单或者其他保险凭证上批注或者附贴批单，或者由投保人与本公司订</w:t>
            </w:r>
            <w:r>
              <w:rPr>
                <w:spacing w:val="-4"/>
                <w:sz w:val="21"/>
              </w:rPr>
              <w:t>立书面的变更协议。</w:t>
            </w:r>
          </w:p>
          <w:p>
            <w:pPr>
              <w:pStyle w:val="TableParagraph"/>
              <w:spacing w:before="163"/>
              <w:ind w:left="181"/>
              <w:jc w:val="both"/>
              <w:rPr>
                <w:sz w:val="21"/>
              </w:rPr>
            </w:pPr>
            <w:r>
              <w:rPr>
                <w:sz w:val="21"/>
              </w:rPr>
              <w:t>若被保险人身故，则本公司不接受本附加险合同内容的任何变更申请。</w:t>
            </w:r>
          </w:p>
        </w:tc>
      </w:tr>
      <w:tr>
        <w:trPr>
          <w:trHeight w:val="1407" w:hRule="atLeast"/>
        </w:trPr>
        <w:tc>
          <w:tcPr>
            <w:tcW w:w="715" w:type="dxa"/>
          </w:tcPr>
          <w:p>
            <w:pPr>
              <w:pStyle w:val="TableParagraph"/>
              <w:spacing w:before="61"/>
              <w:rPr>
                <w:b/>
                <w:sz w:val="21"/>
              </w:rPr>
            </w:pPr>
            <w:r>
              <w:rPr>
                <w:b/>
                <w:sz w:val="21"/>
              </w:rPr>
              <w:t>8.5</w:t>
            </w:r>
          </w:p>
        </w:tc>
        <w:tc>
          <w:tcPr>
            <w:tcW w:w="1435" w:type="dxa"/>
          </w:tcPr>
          <w:p>
            <w:pPr>
              <w:pStyle w:val="TableParagraph"/>
              <w:spacing w:line="273" w:lineRule="auto" w:before="61"/>
              <w:ind w:left="198" w:right="178"/>
              <w:rPr>
                <w:b/>
                <w:sz w:val="21"/>
              </w:rPr>
            </w:pPr>
            <w:r>
              <w:rPr>
                <w:b/>
                <w:sz w:val="21"/>
              </w:rPr>
              <w:t>联系方式变更</w:t>
            </w:r>
          </w:p>
        </w:tc>
        <w:tc>
          <w:tcPr>
            <w:tcW w:w="7947" w:type="dxa"/>
          </w:tcPr>
          <w:p>
            <w:pPr>
              <w:pStyle w:val="TableParagraph"/>
              <w:spacing w:line="273" w:lineRule="auto" w:before="61"/>
              <w:ind w:left="181" w:right="197"/>
              <w:jc w:val="both"/>
              <w:rPr>
                <w:sz w:val="21"/>
              </w:rPr>
            </w:pPr>
            <w:r>
              <w:rPr>
                <w:spacing w:val="-6"/>
                <w:sz w:val="21"/>
              </w:rPr>
              <w:t>投保人住所、通讯地址或者电话等联系方式变更时，应及时以书面形式或者双方认</w:t>
            </w:r>
            <w:r>
              <w:rPr>
                <w:spacing w:val="-4"/>
                <w:sz w:val="21"/>
              </w:rPr>
              <w:t>可的其他形式通知本公司。投保人未以书面形式或者双方认可的其他形式通知的， </w:t>
            </w:r>
            <w:r>
              <w:rPr>
                <w:spacing w:val="-3"/>
                <w:sz w:val="21"/>
              </w:rPr>
              <w:t>本公司将按本附加险合同载明的最后住所或者通讯地址等联系方式发送有关通知， 并视为已送达给投保人。</w:t>
            </w:r>
          </w:p>
        </w:tc>
      </w:tr>
      <w:tr>
        <w:trPr>
          <w:trHeight w:val="1901" w:hRule="atLeast"/>
        </w:trPr>
        <w:tc>
          <w:tcPr>
            <w:tcW w:w="715" w:type="dxa"/>
          </w:tcPr>
          <w:p>
            <w:pPr>
              <w:pStyle w:val="TableParagraph"/>
              <w:spacing w:before="60"/>
              <w:rPr>
                <w:b/>
                <w:sz w:val="21"/>
              </w:rPr>
            </w:pPr>
            <w:r>
              <w:rPr>
                <w:b/>
                <w:sz w:val="21"/>
              </w:rPr>
              <w:t>8.6</w:t>
            </w:r>
          </w:p>
        </w:tc>
        <w:tc>
          <w:tcPr>
            <w:tcW w:w="1435" w:type="dxa"/>
          </w:tcPr>
          <w:p>
            <w:pPr>
              <w:pStyle w:val="TableParagraph"/>
              <w:spacing w:before="60"/>
              <w:ind w:left="198"/>
              <w:rPr>
                <w:b/>
                <w:sz w:val="21"/>
              </w:rPr>
            </w:pPr>
            <w:r>
              <w:rPr>
                <w:b/>
                <w:sz w:val="21"/>
              </w:rPr>
              <w:t>争议处理</w:t>
            </w:r>
          </w:p>
        </w:tc>
        <w:tc>
          <w:tcPr>
            <w:tcW w:w="7947" w:type="dxa"/>
          </w:tcPr>
          <w:p>
            <w:pPr>
              <w:pStyle w:val="TableParagraph"/>
              <w:spacing w:line="273" w:lineRule="auto" w:before="60"/>
              <w:ind w:left="181" w:right="242"/>
              <w:rPr>
                <w:sz w:val="21"/>
              </w:rPr>
            </w:pPr>
            <w:r>
              <w:rPr>
                <w:sz w:val="21"/>
              </w:rPr>
              <w:t>本附加险合同争议的解决方式，由当事人在合同中约定从下列两种方式中选择一种：</w:t>
            </w:r>
          </w:p>
          <w:p>
            <w:pPr>
              <w:pStyle w:val="TableParagraph"/>
              <w:numPr>
                <w:ilvl w:val="0"/>
                <w:numId w:val="14"/>
              </w:numPr>
              <w:tabs>
                <w:tab w:pos="903" w:val="left" w:leader="none"/>
                <w:tab w:pos="1953" w:val="left" w:leader="none"/>
              </w:tabs>
              <w:spacing w:line="273" w:lineRule="auto" w:before="8" w:after="0"/>
              <w:ind w:left="902" w:right="237" w:hanging="721"/>
              <w:jc w:val="left"/>
              <w:rPr>
                <w:sz w:val="21"/>
              </w:rPr>
            </w:pPr>
            <w:r>
              <w:rPr>
                <w:sz w:val="21"/>
              </w:rPr>
              <w:t>因履行本附加险合同发生的争议，由当事人协商解决，协商不成的，提交仲裁</w:t>
            </w:r>
            <w:r>
              <w:rPr>
                <w:sz w:val="21"/>
                <w:u w:val="single"/>
              </w:rPr>
              <w:t> </w:t>
              <w:tab/>
            </w:r>
            <w:r>
              <w:rPr>
                <w:sz w:val="21"/>
              </w:rPr>
              <w:t>委</w:t>
            </w:r>
            <w:r>
              <w:rPr>
                <w:spacing w:val="-3"/>
                <w:sz w:val="21"/>
              </w:rPr>
              <w:t>员</w:t>
            </w:r>
            <w:r>
              <w:rPr>
                <w:sz w:val="21"/>
              </w:rPr>
              <w:t>会</w:t>
            </w:r>
            <w:r>
              <w:rPr>
                <w:spacing w:val="-3"/>
                <w:sz w:val="21"/>
              </w:rPr>
              <w:t>仲</w:t>
            </w:r>
            <w:r>
              <w:rPr>
                <w:sz w:val="21"/>
              </w:rPr>
              <w:t>裁；</w:t>
            </w:r>
          </w:p>
          <w:p>
            <w:pPr>
              <w:pStyle w:val="TableParagraph"/>
              <w:numPr>
                <w:ilvl w:val="0"/>
                <w:numId w:val="14"/>
              </w:numPr>
              <w:tabs>
                <w:tab w:pos="903" w:val="left" w:leader="none"/>
              </w:tabs>
              <w:spacing w:line="312" w:lineRule="exact" w:before="3" w:after="0"/>
              <w:ind w:left="902" w:right="240" w:hanging="721"/>
              <w:jc w:val="left"/>
              <w:rPr>
                <w:sz w:val="21"/>
              </w:rPr>
            </w:pPr>
            <w:r>
              <w:rPr>
                <w:sz w:val="21"/>
              </w:rPr>
              <w:t>因履行本附加险合同发生的争议，由当事人协商解决，协商不成的，依法</w:t>
            </w:r>
            <w:r>
              <w:rPr>
                <w:spacing w:val="-3"/>
                <w:sz w:val="21"/>
              </w:rPr>
              <w:t>向人民法院提起诉讼。</w:t>
            </w:r>
          </w:p>
        </w:tc>
      </w:tr>
    </w:tbl>
    <w:p>
      <w:pPr>
        <w:spacing w:after="0" w:line="312" w:lineRule="exact"/>
        <w:jc w:val="left"/>
        <w:rPr>
          <w:sz w:val="21"/>
        </w:rPr>
        <w:sectPr>
          <w:pgSz w:w="11910" w:h="16840"/>
          <w:pgMar w:header="0" w:footer="377" w:top="1340" w:bottom="560" w:left="820" w:right="7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382"/>
        <w:gridCol w:w="7812"/>
      </w:tblGrid>
      <w:tr>
        <w:trPr>
          <w:trHeight w:val="2190" w:hRule="atLeast"/>
        </w:trPr>
        <w:tc>
          <w:tcPr>
            <w:tcW w:w="678" w:type="dxa"/>
          </w:tcPr>
          <w:p>
            <w:pPr>
              <w:pStyle w:val="TableParagraph"/>
              <w:spacing w:line="205" w:lineRule="exact" w:before="0"/>
              <w:ind w:left="110"/>
              <w:rPr>
                <w:b/>
                <w:sz w:val="21"/>
              </w:rPr>
            </w:pPr>
            <w:r>
              <w:rPr>
                <w:b/>
                <w:sz w:val="21"/>
              </w:rPr>
              <w:t>8.7</w:t>
            </w:r>
          </w:p>
        </w:tc>
        <w:tc>
          <w:tcPr>
            <w:tcW w:w="1382" w:type="dxa"/>
          </w:tcPr>
          <w:p>
            <w:pPr>
              <w:pStyle w:val="TableParagraph"/>
              <w:spacing w:line="205" w:lineRule="exact" w:before="0"/>
              <w:ind w:left="145"/>
              <w:rPr>
                <w:b/>
                <w:sz w:val="21"/>
              </w:rPr>
            </w:pPr>
            <w:r>
              <w:rPr>
                <w:b/>
                <w:sz w:val="21"/>
              </w:rPr>
              <w:t>合同效力的</w:t>
            </w:r>
          </w:p>
          <w:p>
            <w:pPr>
              <w:pStyle w:val="TableParagraph"/>
              <w:ind w:left="145"/>
              <w:rPr>
                <w:b/>
                <w:sz w:val="21"/>
              </w:rPr>
            </w:pPr>
            <w:r>
              <w:rPr>
                <w:b/>
                <w:sz w:val="21"/>
              </w:rPr>
              <w:t>终止</w:t>
            </w:r>
          </w:p>
        </w:tc>
        <w:tc>
          <w:tcPr>
            <w:tcW w:w="7812" w:type="dxa"/>
          </w:tcPr>
          <w:p>
            <w:pPr>
              <w:pStyle w:val="TableParagraph"/>
              <w:spacing w:line="205" w:lineRule="exact" w:before="0"/>
              <w:ind w:left="182"/>
              <w:rPr>
                <w:sz w:val="21"/>
              </w:rPr>
            </w:pPr>
            <w:r>
              <w:rPr>
                <w:sz w:val="21"/>
              </w:rPr>
              <w:t>除本附加险合同另有约定外，本附加险合同的效力在发生下列情况之一时自动终</w:t>
            </w:r>
          </w:p>
          <w:p>
            <w:pPr>
              <w:pStyle w:val="TableParagraph"/>
              <w:ind w:left="182"/>
              <w:rPr>
                <w:sz w:val="21"/>
              </w:rPr>
            </w:pPr>
            <w:r>
              <w:rPr>
                <w:sz w:val="21"/>
              </w:rPr>
              <w:t>止：</w:t>
            </w:r>
          </w:p>
          <w:p>
            <w:pPr>
              <w:pStyle w:val="TableParagraph"/>
              <w:ind w:left="182"/>
              <w:rPr>
                <w:sz w:val="21"/>
              </w:rPr>
            </w:pPr>
            <w:r>
              <w:rPr>
                <w:sz w:val="21"/>
              </w:rPr>
              <w:t>（1）本附加险合同的主险合同效力终止；</w:t>
            </w:r>
          </w:p>
          <w:p>
            <w:pPr>
              <w:pStyle w:val="TableParagraph"/>
              <w:ind w:left="182"/>
              <w:rPr>
                <w:sz w:val="21"/>
              </w:rPr>
            </w:pPr>
            <w:r>
              <w:rPr>
                <w:sz w:val="21"/>
              </w:rPr>
              <w:t>（2）本附加险合同约定的其他终止情况。</w:t>
            </w:r>
          </w:p>
          <w:p>
            <w:pPr>
              <w:pStyle w:val="TableParagraph"/>
              <w:spacing w:before="2"/>
              <w:ind w:left="0"/>
              <w:rPr>
                <w:b/>
                <w:sz w:val="21"/>
              </w:rPr>
            </w:pPr>
          </w:p>
          <w:p>
            <w:pPr>
              <w:pStyle w:val="TableParagraph"/>
              <w:spacing w:line="273" w:lineRule="auto" w:before="0"/>
              <w:ind w:left="182" w:right="101"/>
              <w:rPr>
                <w:sz w:val="21"/>
              </w:rPr>
            </w:pPr>
            <w:r>
              <w:rPr>
                <w:sz w:val="21"/>
              </w:rPr>
              <w:t>发生上述第（1）项情况导致本附加险合同效力终止的，本公司向投保人退还本附加险合同的现金价值。</w:t>
            </w:r>
          </w:p>
        </w:tc>
      </w:tr>
      <w:tr>
        <w:trPr>
          <w:trHeight w:val="621" w:hRule="atLeast"/>
        </w:trPr>
        <w:tc>
          <w:tcPr>
            <w:tcW w:w="678" w:type="dxa"/>
            <w:tcBorders>
              <w:bottom w:val="single" w:sz="4" w:space="0" w:color="000000"/>
            </w:tcBorders>
          </w:tcPr>
          <w:p>
            <w:pPr>
              <w:pStyle w:val="TableParagraph"/>
              <w:spacing w:before="74"/>
              <w:ind w:left="148"/>
              <w:rPr>
                <w:b/>
                <w:sz w:val="32"/>
              </w:rPr>
            </w:pPr>
            <w:r>
              <w:rPr>
                <w:b/>
                <w:w w:val="98"/>
                <w:sz w:val="32"/>
              </w:rPr>
              <w:t>9</w:t>
            </w:r>
          </w:p>
        </w:tc>
        <w:tc>
          <w:tcPr>
            <w:tcW w:w="1382" w:type="dxa"/>
            <w:tcBorders>
              <w:bottom w:val="single" w:sz="4" w:space="0" w:color="000000"/>
            </w:tcBorders>
          </w:tcPr>
          <w:p>
            <w:pPr>
              <w:pStyle w:val="TableParagraph"/>
              <w:spacing w:before="124"/>
              <w:ind w:left="145"/>
              <w:rPr>
                <w:b/>
                <w:sz w:val="24"/>
              </w:rPr>
            </w:pPr>
            <w:r>
              <w:rPr>
                <w:b/>
                <w:sz w:val="24"/>
              </w:rPr>
              <w:t>释义</w:t>
            </w:r>
          </w:p>
        </w:tc>
        <w:tc>
          <w:tcPr>
            <w:tcW w:w="7812" w:type="dxa"/>
            <w:tcBorders>
              <w:bottom w:val="single" w:sz="4" w:space="0" w:color="000000"/>
            </w:tcBorders>
          </w:tcPr>
          <w:p>
            <w:pPr>
              <w:pStyle w:val="TableParagraph"/>
              <w:spacing w:before="0"/>
              <w:ind w:left="0"/>
              <w:rPr>
                <w:rFonts w:ascii="Times New Roman"/>
                <w:sz w:val="20"/>
              </w:rPr>
            </w:pPr>
          </w:p>
        </w:tc>
      </w:tr>
      <w:tr>
        <w:trPr>
          <w:trHeight w:val="544" w:hRule="atLeast"/>
        </w:trPr>
        <w:tc>
          <w:tcPr>
            <w:tcW w:w="678" w:type="dxa"/>
            <w:tcBorders>
              <w:top w:val="single" w:sz="4" w:space="0" w:color="000000"/>
            </w:tcBorders>
          </w:tcPr>
          <w:p>
            <w:pPr>
              <w:pStyle w:val="TableParagraph"/>
              <w:spacing w:before="132"/>
              <w:ind w:left="110"/>
              <w:rPr>
                <w:b/>
                <w:sz w:val="21"/>
              </w:rPr>
            </w:pPr>
            <w:r>
              <w:rPr>
                <w:b/>
                <w:sz w:val="21"/>
              </w:rPr>
              <w:t>9.1</w:t>
            </w:r>
          </w:p>
        </w:tc>
        <w:tc>
          <w:tcPr>
            <w:tcW w:w="1382" w:type="dxa"/>
            <w:tcBorders>
              <w:top w:val="single" w:sz="4" w:space="0" w:color="000000"/>
            </w:tcBorders>
          </w:tcPr>
          <w:p>
            <w:pPr>
              <w:pStyle w:val="TableParagraph"/>
              <w:spacing w:before="132"/>
              <w:ind w:left="145"/>
              <w:rPr>
                <w:b/>
                <w:sz w:val="21"/>
              </w:rPr>
            </w:pPr>
            <w:r>
              <w:rPr>
                <w:b/>
                <w:sz w:val="21"/>
              </w:rPr>
              <w:t>本公司</w:t>
            </w:r>
          </w:p>
        </w:tc>
        <w:tc>
          <w:tcPr>
            <w:tcW w:w="7812" w:type="dxa"/>
            <w:tcBorders>
              <w:top w:val="single" w:sz="4" w:space="0" w:color="000000"/>
            </w:tcBorders>
          </w:tcPr>
          <w:p>
            <w:pPr>
              <w:pStyle w:val="TableParagraph"/>
              <w:spacing w:before="132"/>
              <w:ind w:left="182"/>
              <w:rPr>
                <w:sz w:val="21"/>
              </w:rPr>
            </w:pPr>
            <w:r>
              <w:rPr>
                <w:sz w:val="21"/>
              </w:rPr>
              <w:t>君康人寿保险股份有限公司。</w:t>
            </w:r>
          </w:p>
        </w:tc>
      </w:tr>
      <w:tr>
        <w:trPr>
          <w:trHeight w:val="783" w:hRule="atLeast"/>
        </w:trPr>
        <w:tc>
          <w:tcPr>
            <w:tcW w:w="678" w:type="dxa"/>
          </w:tcPr>
          <w:p>
            <w:pPr>
              <w:pStyle w:val="TableParagraph"/>
              <w:spacing w:before="61"/>
              <w:ind w:left="110"/>
              <w:rPr>
                <w:b/>
                <w:sz w:val="21"/>
              </w:rPr>
            </w:pPr>
            <w:r>
              <w:rPr>
                <w:b/>
                <w:sz w:val="21"/>
              </w:rPr>
              <w:t>9.2</w:t>
            </w:r>
          </w:p>
        </w:tc>
        <w:tc>
          <w:tcPr>
            <w:tcW w:w="1382" w:type="dxa"/>
          </w:tcPr>
          <w:p>
            <w:pPr>
              <w:pStyle w:val="TableParagraph"/>
              <w:spacing w:before="61"/>
              <w:ind w:left="145"/>
              <w:rPr>
                <w:b/>
                <w:sz w:val="21"/>
              </w:rPr>
            </w:pPr>
            <w:r>
              <w:rPr>
                <w:b/>
                <w:sz w:val="21"/>
              </w:rPr>
              <w:t>保单年度</w:t>
            </w:r>
          </w:p>
        </w:tc>
        <w:tc>
          <w:tcPr>
            <w:tcW w:w="7812" w:type="dxa"/>
          </w:tcPr>
          <w:p>
            <w:pPr>
              <w:pStyle w:val="TableParagraph"/>
              <w:spacing w:line="273" w:lineRule="auto" w:before="61"/>
              <w:ind w:left="182" w:right="105"/>
              <w:rPr>
                <w:sz w:val="21"/>
              </w:rPr>
            </w:pPr>
            <w:r>
              <w:rPr>
                <w:sz w:val="21"/>
              </w:rPr>
              <w:t>从保险合同生效日或者生效对应日的零时起至下一年度保险合同生效对应日的前一日二十四时止为一个保单年度。</w:t>
            </w:r>
          </w:p>
        </w:tc>
      </w:tr>
      <w:tr>
        <w:trPr>
          <w:trHeight w:val="781" w:hRule="atLeast"/>
        </w:trPr>
        <w:tc>
          <w:tcPr>
            <w:tcW w:w="678" w:type="dxa"/>
          </w:tcPr>
          <w:p>
            <w:pPr>
              <w:pStyle w:val="TableParagraph"/>
              <w:spacing w:before="60"/>
              <w:ind w:left="110"/>
              <w:rPr>
                <w:b/>
                <w:sz w:val="21"/>
              </w:rPr>
            </w:pPr>
            <w:r>
              <w:rPr>
                <w:b/>
                <w:sz w:val="21"/>
              </w:rPr>
              <w:t>9.3</w:t>
            </w:r>
          </w:p>
        </w:tc>
        <w:tc>
          <w:tcPr>
            <w:tcW w:w="1382" w:type="dxa"/>
          </w:tcPr>
          <w:p>
            <w:pPr>
              <w:pStyle w:val="TableParagraph"/>
              <w:spacing w:line="273" w:lineRule="auto" w:before="60"/>
              <w:ind w:left="145" w:right="178"/>
              <w:rPr>
                <w:b/>
                <w:sz w:val="21"/>
              </w:rPr>
            </w:pPr>
            <w:r>
              <w:rPr>
                <w:b/>
                <w:sz w:val="21"/>
              </w:rPr>
              <w:t>保险费应交日</w:t>
            </w:r>
          </w:p>
        </w:tc>
        <w:tc>
          <w:tcPr>
            <w:tcW w:w="7812" w:type="dxa"/>
          </w:tcPr>
          <w:p>
            <w:pPr>
              <w:pStyle w:val="TableParagraph"/>
              <w:spacing w:line="273" w:lineRule="auto" w:before="60"/>
              <w:ind w:left="182" w:right="56"/>
              <w:rPr>
                <w:sz w:val="21"/>
              </w:rPr>
            </w:pPr>
            <w:r>
              <w:rPr>
                <w:sz w:val="21"/>
              </w:rPr>
              <w:t>保险合同生效日在每年的对应日的前一日。如果当月无对应的同一日，以该月最后一日为对应日。</w:t>
            </w:r>
          </w:p>
        </w:tc>
      </w:tr>
      <w:tr>
        <w:trPr>
          <w:trHeight w:val="784" w:hRule="atLeast"/>
        </w:trPr>
        <w:tc>
          <w:tcPr>
            <w:tcW w:w="678" w:type="dxa"/>
          </w:tcPr>
          <w:p>
            <w:pPr>
              <w:pStyle w:val="TableParagraph"/>
              <w:spacing w:before="90"/>
              <w:ind w:left="110"/>
              <w:rPr>
                <w:b/>
                <w:sz w:val="21"/>
              </w:rPr>
            </w:pPr>
            <w:r>
              <w:rPr>
                <w:b/>
                <w:sz w:val="21"/>
              </w:rPr>
              <w:t>9.4</w:t>
            </w:r>
          </w:p>
        </w:tc>
        <w:tc>
          <w:tcPr>
            <w:tcW w:w="1382" w:type="dxa"/>
          </w:tcPr>
          <w:p>
            <w:pPr>
              <w:pStyle w:val="TableParagraph"/>
              <w:spacing w:before="90"/>
              <w:ind w:left="145"/>
              <w:rPr>
                <w:b/>
                <w:sz w:val="21"/>
              </w:rPr>
            </w:pPr>
            <w:r>
              <w:rPr>
                <w:b/>
                <w:sz w:val="21"/>
              </w:rPr>
              <w:t>周岁</w:t>
            </w:r>
          </w:p>
        </w:tc>
        <w:tc>
          <w:tcPr>
            <w:tcW w:w="7812" w:type="dxa"/>
          </w:tcPr>
          <w:p>
            <w:pPr>
              <w:pStyle w:val="TableParagraph"/>
              <w:spacing w:line="273" w:lineRule="auto" w:before="58"/>
              <w:ind w:left="182" w:right="56"/>
              <w:rPr>
                <w:sz w:val="21"/>
              </w:rPr>
            </w:pPr>
            <w:r>
              <w:rPr>
                <w:sz w:val="21"/>
              </w:rPr>
              <w:t>以法定有效身份证件中记载的出生日期为计算基础，自出生之日起为零周岁，每经过一年增加一岁，不足一年的不计。</w:t>
            </w:r>
          </w:p>
        </w:tc>
      </w:tr>
      <w:tr>
        <w:trPr>
          <w:trHeight w:val="789" w:hRule="atLeast"/>
        </w:trPr>
        <w:tc>
          <w:tcPr>
            <w:tcW w:w="678" w:type="dxa"/>
          </w:tcPr>
          <w:p>
            <w:pPr>
              <w:pStyle w:val="TableParagraph"/>
              <w:spacing w:before="94"/>
              <w:ind w:left="110"/>
              <w:rPr>
                <w:b/>
                <w:sz w:val="21"/>
              </w:rPr>
            </w:pPr>
            <w:r>
              <w:rPr>
                <w:b/>
                <w:sz w:val="21"/>
              </w:rPr>
              <w:t>9.5</w:t>
            </w:r>
          </w:p>
        </w:tc>
        <w:tc>
          <w:tcPr>
            <w:tcW w:w="1382" w:type="dxa"/>
          </w:tcPr>
          <w:p>
            <w:pPr>
              <w:pStyle w:val="TableParagraph"/>
              <w:spacing w:before="94"/>
              <w:ind w:left="145"/>
              <w:rPr>
                <w:b/>
                <w:sz w:val="21"/>
              </w:rPr>
            </w:pPr>
            <w:r>
              <w:rPr>
                <w:b/>
                <w:sz w:val="21"/>
              </w:rPr>
              <w:t>特殊群体</w:t>
            </w:r>
          </w:p>
        </w:tc>
        <w:tc>
          <w:tcPr>
            <w:tcW w:w="7812" w:type="dxa"/>
          </w:tcPr>
          <w:p>
            <w:pPr>
              <w:pStyle w:val="TableParagraph"/>
              <w:spacing w:line="273" w:lineRule="auto" w:before="63"/>
              <w:ind w:left="182" w:right="98"/>
              <w:rPr>
                <w:sz w:val="21"/>
              </w:rPr>
            </w:pPr>
            <w:r>
              <w:rPr>
                <w:spacing w:val="-6"/>
                <w:sz w:val="21"/>
              </w:rPr>
              <w:t>特殊群体主要针对部分年长、残疾、低收入者设定，本公司对特殊群体的认定以各</w:t>
            </w:r>
            <w:r>
              <w:rPr>
                <w:spacing w:val="-4"/>
                <w:sz w:val="21"/>
              </w:rPr>
              <w:t>地方保险监管机构的统一规范标准为依据。</w:t>
            </w:r>
          </w:p>
        </w:tc>
      </w:tr>
      <w:tr>
        <w:trPr>
          <w:trHeight w:val="747" w:hRule="atLeast"/>
        </w:trPr>
        <w:tc>
          <w:tcPr>
            <w:tcW w:w="678" w:type="dxa"/>
          </w:tcPr>
          <w:p>
            <w:pPr>
              <w:pStyle w:val="TableParagraph"/>
              <w:spacing w:before="63"/>
              <w:ind w:left="110"/>
              <w:rPr>
                <w:b/>
                <w:sz w:val="21"/>
              </w:rPr>
            </w:pPr>
            <w:r>
              <w:rPr>
                <w:b/>
                <w:sz w:val="21"/>
              </w:rPr>
              <w:t>9.6</w:t>
            </w:r>
          </w:p>
        </w:tc>
        <w:tc>
          <w:tcPr>
            <w:tcW w:w="1382" w:type="dxa"/>
          </w:tcPr>
          <w:p>
            <w:pPr>
              <w:pStyle w:val="TableParagraph"/>
              <w:spacing w:before="63"/>
              <w:ind w:left="145"/>
              <w:rPr>
                <w:b/>
                <w:sz w:val="21"/>
              </w:rPr>
            </w:pPr>
            <w:r>
              <w:rPr>
                <w:b/>
                <w:sz w:val="21"/>
              </w:rPr>
              <w:t>意外伤害</w:t>
            </w:r>
          </w:p>
        </w:tc>
        <w:tc>
          <w:tcPr>
            <w:tcW w:w="7812" w:type="dxa"/>
          </w:tcPr>
          <w:p>
            <w:pPr>
              <w:pStyle w:val="TableParagraph"/>
              <w:spacing w:line="273" w:lineRule="auto" w:before="63"/>
              <w:ind w:left="182" w:right="97"/>
              <w:rPr>
                <w:rFonts w:ascii="黑体" w:eastAsia="黑体" w:hint="eastAsia"/>
                <w:sz w:val="21"/>
              </w:rPr>
            </w:pPr>
            <w:r>
              <w:rPr>
                <w:spacing w:val="-6"/>
                <w:sz w:val="21"/>
              </w:rPr>
              <w:t>指以外来的、突发的、非本意的、非疾病的客观事件为直接且主要原因导致的身体</w:t>
            </w:r>
            <w:r>
              <w:rPr>
                <w:spacing w:val="-1"/>
                <w:sz w:val="21"/>
              </w:rPr>
              <w:t>伤害。</w:t>
            </w:r>
            <w:r>
              <w:rPr>
                <w:rFonts w:ascii="黑体" w:eastAsia="黑体" w:hint="eastAsia"/>
                <w:spacing w:val="-3"/>
                <w:sz w:val="21"/>
              </w:rPr>
              <w:t>猝死、自杀以及自伤均不属于意外伤害。</w:t>
            </w:r>
          </w:p>
        </w:tc>
      </w:tr>
      <w:tr>
        <w:trPr>
          <w:trHeight w:val="1406" w:hRule="atLeast"/>
        </w:trPr>
        <w:tc>
          <w:tcPr>
            <w:tcW w:w="678" w:type="dxa"/>
          </w:tcPr>
          <w:p>
            <w:pPr>
              <w:pStyle w:val="TableParagraph"/>
              <w:spacing w:before="52"/>
              <w:ind w:left="110"/>
              <w:rPr>
                <w:b/>
                <w:sz w:val="21"/>
              </w:rPr>
            </w:pPr>
            <w:r>
              <w:rPr>
                <w:b/>
                <w:sz w:val="21"/>
              </w:rPr>
              <w:t>9.7</w:t>
            </w:r>
          </w:p>
        </w:tc>
        <w:tc>
          <w:tcPr>
            <w:tcW w:w="1382" w:type="dxa"/>
          </w:tcPr>
          <w:p>
            <w:pPr>
              <w:pStyle w:val="TableParagraph"/>
              <w:spacing w:before="52"/>
              <w:ind w:left="145"/>
              <w:rPr>
                <w:b/>
                <w:sz w:val="21"/>
              </w:rPr>
            </w:pPr>
            <w:r>
              <w:rPr>
                <w:b/>
                <w:sz w:val="21"/>
              </w:rPr>
              <w:t>医院</w:t>
            </w:r>
          </w:p>
        </w:tc>
        <w:tc>
          <w:tcPr>
            <w:tcW w:w="7812" w:type="dxa"/>
          </w:tcPr>
          <w:p>
            <w:pPr>
              <w:pStyle w:val="TableParagraph"/>
              <w:spacing w:line="273" w:lineRule="auto" w:before="21"/>
              <w:ind w:left="182" w:right="97"/>
              <w:jc w:val="both"/>
              <w:rPr>
                <w:sz w:val="21"/>
              </w:rPr>
            </w:pPr>
            <w:r>
              <w:rPr>
                <w:spacing w:val="-5"/>
                <w:sz w:val="21"/>
              </w:rPr>
              <w:t>指经国家卫生部门审核的二级或者二级以上的综合性医院和专科医院，</w:t>
            </w:r>
            <w:r>
              <w:rPr>
                <w:rFonts w:ascii="黑体" w:eastAsia="黑体" w:hint="eastAsia"/>
                <w:spacing w:val="-3"/>
                <w:sz w:val="21"/>
              </w:rPr>
              <w:t>但不包括作</w:t>
            </w:r>
            <w:r>
              <w:rPr>
                <w:rFonts w:ascii="黑体" w:eastAsia="黑体" w:hint="eastAsia"/>
                <w:spacing w:val="-7"/>
                <w:sz w:val="21"/>
              </w:rPr>
              <w:t>为诊所、康复、联合病房、家庭病床、护理、修养或者戒酒、戒毒等医疗机构。</w:t>
            </w:r>
            <w:r>
              <w:rPr>
                <w:sz w:val="21"/>
              </w:rPr>
              <w:t>该</w:t>
            </w:r>
            <w:r>
              <w:rPr>
                <w:spacing w:val="-6"/>
                <w:sz w:val="21"/>
              </w:rPr>
              <w:t>医院必须具有系统的、充分的诊断设备，全套外科手术设备并提供二十四小时的医</w:t>
            </w:r>
            <w:r>
              <w:rPr>
                <w:spacing w:val="-4"/>
                <w:sz w:val="21"/>
              </w:rPr>
              <w:t>疗与护理服务。</w:t>
            </w:r>
          </w:p>
        </w:tc>
      </w:tr>
      <w:tr>
        <w:trPr>
          <w:trHeight w:val="1443" w:hRule="atLeast"/>
        </w:trPr>
        <w:tc>
          <w:tcPr>
            <w:tcW w:w="678" w:type="dxa"/>
          </w:tcPr>
          <w:p>
            <w:pPr>
              <w:pStyle w:val="TableParagraph"/>
              <w:spacing w:before="98"/>
              <w:ind w:left="110"/>
              <w:rPr>
                <w:b/>
                <w:sz w:val="21"/>
              </w:rPr>
            </w:pPr>
            <w:r>
              <w:rPr>
                <w:b/>
                <w:sz w:val="21"/>
              </w:rPr>
              <w:t>9.8</w:t>
            </w:r>
          </w:p>
        </w:tc>
        <w:tc>
          <w:tcPr>
            <w:tcW w:w="1382" w:type="dxa"/>
          </w:tcPr>
          <w:p>
            <w:pPr>
              <w:pStyle w:val="TableParagraph"/>
              <w:spacing w:before="98"/>
              <w:ind w:left="145"/>
              <w:rPr>
                <w:b/>
                <w:sz w:val="21"/>
              </w:rPr>
            </w:pPr>
            <w:r>
              <w:rPr>
                <w:b/>
                <w:sz w:val="21"/>
              </w:rPr>
              <w:t>专科医生</w:t>
            </w:r>
          </w:p>
        </w:tc>
        <w:tc>
          <w:tcPr>
            <w:tcW w:w="7812" w:type="dxa"/>
          </w:tcPr>
          <w:p>
            <w:pPr>
              <w:pStyle w:val="TableParagraph"/>
              <w:spacing w:line="273" w:lineRule="auto" w:before="98"/>
              <w:ind w:left="182" w:right="97"/>
              <w:jc w:val="both"/>
              <w:rPr>
                <w:sz w:val="21"/>
              </w:rPr>
            </w:pPr>
            <w:r>
              <w:rPr>
                <w:spacing w:val="-3"/>
                <w:w w:val="100"/>
                <w:sz w:val="21"/>
              </w:rPr>
              <w:t>专科医生应当同时满足以下四项资格条件</w:t>
            </w:r>
            <w:r>
              <w:rPr>
                <w:spacing w:val="-118"/>
                <w:w w:val="100"/>
                <w:sz w:val="21"/>
              </w:rPr>
              <w:t>：</w:t>
            </w:r>
            <w:r>
              <w:rPr>
                <w:w w:val="100"/>
                <w:sz w:val="21"/>
              </w:rPr>
              <w:t>（</w:t>
            </w:r>
            <w:r>
              <w:rPr>
                <w:spacing w:val="-3"/>
                <w:w w:val="100"/>
                <w:sz w:val="21"/>
              </w:rPr>
              <w:t>1</w:t>
            </w:r>
            <w:r>
              <w:rPr>
                <w:spacing w:val="-13"/>
                <w:w w:val="100"/>
                <w:sz w:val="21"/>
              </w:rPr>
              <w:t>）</w:t>
            </w:r>
            <w:r>
              <w:rPr>
                <w:spacing w:val="-4"/>
                <w:w w:val="100"/>
                <w:sz w:val="21"/>
              </w:rPr>
              <w:t>具有有效的中华人民共和国《医师</w:t>
            </w:r>
            <w:r>
              <w:rPr>
                <w:spacing w:val="-40"/>
                <w:w w:val="100"/>
                <w:sz w:val="21"/>
              </w:rPr>
              <w:t>资格证书》；</w:t>
            </w:r>
            <w:r>
              <w:rPr>
                <w:w w:val="100"/>
                <w:sz w:val="21"/>
              </w:rPr>
              <w:t>（2</w:t>
            </w:r>
            <w:r>
              <w:rPr>
                <w:spacing w:val="-13"/>
                <w:w w:val="100"/>
                <w:sz w:val="21"/>
              </w:rPr>
              <w:t>）</w:t>
            </w:r>
            <w:r>
              <w:rPr>
                <w:spacing w:val="-11"/>
                <w:w w:val="100"/>
                <w:sz w:val="21"/>
              </w:rPr>
              <w:t>具有有效的中华人民共和国《医师执业证书》，并按期到相关部门</w:t>
            </w:r>
            <w:r>
              <w:rPr>
                <w:spacing w:val="-30"/>
                <w:w w:val="100"/>
                <w:sz w:val="21"/>
              </w:rPr>
              <w:t>登记注册；</w:t>
            </w:r>
            <w:r>
              <w:rPr>
                <w:w w:val="100"/>
                <w:sz w:val="21"/>
              </w:rPr>
              <w:t>（3</w:t>
            </w:r>
            <w:r>
              <w:rPr>
                <w:spacing w:val="-15"/>
                <w:w w:val="100"/>
                <w:sz w:val="21"/>
              </w:rPr>
              <w:t>）</w:t>
            </w:r>
            <w:r>
              <w:rPr>
                <w:spacing w:val="-4"/>
                <w:w w:val="100"/>
                <w:sz w:val="21"/>
              </w:rPr>
              <w:t>具有有效的中华人民共和国主治医师或者主治医师以上职称的《医</w:t>
            </w:r>
            <w:r>
              <w:rPr>
                <w:spacing w:val="-34"/>
                <w:w w:val="100"/>
                <w:sz w:val="21"/>
              </w:rPr>
              <w:t>师职称证书》；</w:t>
            </w:r>
            <w:r>
              <w:rPr>
                <w:spacing w:val="-2"/>
                <w:w w:val="100"/>
                <w:sz w:val="21"/>
              </w:rPr>
              <w:t>（</w:t>
            </w:r>
            <w:r>
              <w:rPr>
                <w:w w:val="100"/>
                <w:sz w:val="21"/>
              </w:rPr>
              <w:t>4</w:t>
            </w:r>
            <w:r>
              <w:rPr>
                <w:spacing w:val="-3"/>
                <w:w w:val="100"/>
                <w:sz w:val="21"/>
              </w:rPr>
              <w:t>）在二级或者二级以上医院的相应科室从事临床工作三年以上。</w:t>
            </w:r>
          </w:p>
        </w:tc>
      </w:tr>
      <w:tr>
        <w:trPr>
          <w:trHeight w:val="1092" w:hRule="atLeast"/>
        </w:trPr>
        <w:tc>
          <w:tcPr>
            <w:tcW w:w="678" w:type="dxa"/>
          </w:tcPr>
          <w:p>
            <w:pPr>
              <w:pStyle w:val="TableParagraph"/>
              <w:spacing w:before="59"/>
              <w:ind w:left="110"/>
              <w:rPr>
                <w:b/>
                <w:sz w:val="21"/>
              </w:rPr>
            </w:pPr>
            <w:r>
              <w:rPr>
                <w:b/>
                <w:sz w:val="21"/>
              </w:rPr>
              <w:t>9.9</w:t>
            </w:r>
          </w:p>
        </w:tc>
        <w:tc>
          <w:tcPr>
            <w:tcW w:w="1382" w:type="dxa"/>
          </w:tcPr>
          <w:p>
            <w:pPr>
              <w:pStyle w:val="TableParagraph"/>
              <w:spacing w:before="59"/>
              <w:ind w:left="145"/>
              <w:rPr>
                <w:b/>
                <w:sz w:val="21"/>
              </w:rPr>
            </w:pPr>
            <w:r>
              <w:rPr>
                <w:b/>
                <w:sz w:val="21"/>
              </w:rPr>
              <w:t>初次罹患</w:t>
            </w:r>
          </w:p>
        </w:tc>
        <w:tc>
          <w:tcPr>
            <w:tcW w:w="7812" w:type="dxa"/>
          </w:tcPr>
          <w:p>
            <w:pPr>
              <w:pStyle w:val="TableParagraph"/>
              <w:spacing w:line="273" w:lineRule="auto" w:before="59"/>
              <w:ind w:left="182" w:right="97"/>
              <w:jc w:val="both"/>
              <w:rPr>
                <w:sz w:val="21"/>
              </w:rPr>
            </w:pPr>
            <w:r>
              <w:rPr>
                <w:spacing w:val="-5"/>
                <w:sz w:val="21"/>
              </w:rPr>
              <w:t>指被保险人在等待期后初次患有本附加险合同所指的重大疾病，不包括被保险人在本附加险合同生效前所患或者出现的疾病（或者其并发症</w:t>
            </w:r>
            <w:r>
              <w:rPr>
                <w:spacing w:val="-106"/>
                <w:sz w:val="21"/>
              </w:rPr>
              <w:t>）</w:t>
            </w:r>
            <w:r>
              <w:rPr>
                <w:sz w:val="21"/>
              </w:rPr>
              <w:t>、症状、体征、生理缺</w:t>
            </w:r>
            <w:r>
              <w:rPr>
                <w:spacing w:val="-3"/>
                <w:sz w:val="21"/>
              </w:rPr>
              <w:t>陷、残疾，但本公司在同意承保时或者复效时已知晓并书面认可的不在此限。</w:t>
            </w:r>
          </w:p>
        </w:tc>
      </w:tr>
      <w:tr>
        <w:trPr>
          <w:trHeight w:val="467" w:hRule="atLeast"/>
        </w:trPr>
        <w:tc>
          <w:tcPr>
            <w:tcW w:w="678" w:type="dxa"/>
          </w:tcPr>
          <w:p>
            <w:pPr>
              <w:pStyle w:val="TableParagraph"/>
              <w:spacing w:before="58"/>
              <w:ind w:left="110"/>
              <w:rPr>
                <w:b/>
                <w:sz w:val="21"/>
              </w:rPr>
            </w:pPr>
            <w:r>
              <w:rPr>
                <w:b/>
                <w:sz w:val="21"/>
              </w:rPr>
              <w:t>9.10</w:t>
            </w:r>
          </w:p>
        </w:tc>
        <w:tc>
          <w:tcPr>
            <w:tcW w:w="1382" w:type="dxa"/>
          </w:tcPr>
          <w:p>
            <w:pPr>
              <w:pStyle w:val="TableParagraph"/>
              <w:spacing w:before="58"/>
              <w:ind w:left="145"/>
              <w:rPr>
                <w:b/>
                <w:sz w:val="21"/>
              </w:rPr>
            </w:pPr>
            <w:r>
              <w:rPr>
                <w:b/>
                <w:sz w:val="21"/>
              </w:rPr>
              <w:t>轻症疾病</w:t>
            </w:r>
          </w:p>
        </w:tc>
        <w:tc>
          <w:tcPr>
            <w:tcW w:w="7812" w:type="dxa"/>
          </w:tcPr>
          <w:p>
            <w:pPr>
              <w:pStyle w:val="TableParagraph"/>
              <w:spacing w:before="0"/>
              <w:ind w:left="0"/>
              <w:rPr>
                <w:rFonts w:ascii="Times New Roman"/>
                <w:sz w:val="20"/>
              </w:rPr>
            </w:pPr>
          </w:p>
        </w:tc>
      </w:tr>
      <w:tr>
        <w:trPr>
          <w:trHeight w:val="2524" w:hRule="atLeast"/>
        </w:trPr>
        <w:tc>
          <w:tcPr>
            <w:tcW w:w="678" w:type="dxa"/>
          </w:tcPr>
          <w:p>
            <w:pPr>
              <w:pStyle w:val="TableParagraph"/>
              <w:spacing w:before="0"/>
              <w:ind w:left="0"/>
              <w:rPr>
                <w:rFonts w:ascii="Times New Roman"/>
                <w:sz w:val="20"/>
              </w:rPr>
            </w:pPr>
          </w:p>
        </w:tc>
        <w:tc>
          <w:tcPr>
            <w:tcW w:w="1382" w:type="dxa"/>
          </w:tcPr>
          <w:p>
            <w:pPr>
              <w:pStyle w:val="TableParagraph"/>
              <w:spacing w:line="273" w:lineRule="auto" w:before="58"/>
              <w:ind w:left="145" w:right="178"/>
              <w:jc w:val="both"/>
              <w:rPr>
                <w:b/>
                <w:sz w:val="21"/>
              </w:rPr>
            </w:pPr>
            <w:r>
              <w:rPr>
                <w:b/>
                <w:sz w:val="21"/>
              </w:rPr>
              <w:t>1.极早期恶性肿瘤或者恶性病变</w:t>
            </w:r>
          </w:p>
        </w:tc>
        <w:tc>
          <w:tcPr>
            <w:tcW w:w="7812" w:type="dxa"/>
          </w:tcPr>
          <w:p>
            <w:pPr>
              <w:pStyle w:val="TableParagraph"/>
              <w:spacing w:before="58"/>
              <w:ind w:left="182"/>
              <w:rPr>
                <w:sz w:val="21"/>
              </w:rPr>
            </w:pPr>
            <w:r>
              <w:rPr>
                <w:sz w:val="21"/>
              </w:rPr>
              <w:t>指经组织病理学检查被明确诊断为下列恶性病变，并且接受了相应的治疗。</w:t>
            </w:r>
          </w:p>
          <w:p>
            <w:pPr>
              <w:pStyle w:val="TableParagraph"/>
              <w:numPr>
                <w:ilvl w:val="0"/>
                <w:numId w:val="15"/>
              </w:numPr>
              <w:tabs>
                <w:tab w:pos="903" w:val="left" w:leader="none"/>
              </w:tabs>
              <w:spacing w:line="240" w:lineRule="auto" w:before="36" w:after="0"/>
              <w:ind w:left="902" w:right="0" w:hanging="720"/>
              <w:jc w:val="left"/>
              <w:rPr>
                <w:sz w:val="21"/>
              </w:rPr>
            </w:pPr>
            <w:r>
              <w:rPr>
                <w:spacing w:val="-1"/>
                <w:sz w:val="21"/>
              </w:rPr>
              <w:t>原位癌；</w:t>
            </w:r>
          </w:p>
          <w:p>
            <w:pPr>
              <w:pStyle w:val="TableParagraph"/>
              <w:numPr>
                <w:ilvl w:val="0"/>
                <w:numId w:val="15"/>
              </w:numPr>
              <w:tabs>
                <w:tab w:pos="903" w:val="left" w:leader="none"/>
              </w:tabs>
              <w:spacing w:line="240" w:lineRule="auto" w:before="36" w:after="0"/>
              <w:ind w:left="902" w:right="0" w:hanging="720"/>
              <w:jc w:val="left"/>
              <w:rPr>
                <w:sz w:val="21"/>
              </w:rPr>
            </w:pPr>
            <w:r>
              <w:rPr>
                <w:spacing w:val="-14"/>
                <w:sz w:val="21"/>
              </w:rPr>
              <w:t>相当于 </w:t>
            </w:r>
            <w:r>
              <w:rPr>
                <w:sz w:val="21"/>
              </w:rPr>
              <w:t>Binet</w:t>
            </w:r>
            <w:r>
              <w:rPr>
                <w:spacing w:val="-18"/>
                <w:sz w:val="21"/>
              </w:rPr>
              <w:t> 分期方案 </w:t>
            </w:r>
            <w:r>
              <w:rPr>
                <w:sz w:val="21"/>
              </w:rPr>
              <w:t>A</w:t>
            </w:r>
            <w:r>
              <w:rPr>
                <w:spacing w:val="-3"/>
                <w:sz w:val="21"/>
              </w:rPr>
              <w:t> 期程度的慢性淋巴细胞白血病；</w:t>
            </w:r>
          </w:p>
          <w:p>
            <w:pPr>
              <w:pStyle w:val="TableParagraph"/>
              <w:numPr>
                <w:ilvl w:val="0"/>
                <w:numId w:val="15"/>
              </w:numPr>
              <w:tabs>
                <w:tab w:pos="903" w:val="left" w:leader="none"/>
              </w:tabs>
              <w:spacing w:line="240" w:lineRule="auto" w:before="36" w:after="0"/>
              <w:ind w:left="902" w:right="0" w:hanging="720"/>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15"/>
              </w:numPr>
              <w:tabs>
                <w:tab w:pos="903" w:val="left" w:leader="none"/>
              </w:tabs>
              <w:spacing w:line="240" w:lineRule="auto" w:before="37" w:after="0"/>
              <w:ind w:left="902" w:right="0" w:hanging="720"/>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15"/>
              </w:numPr>
              <w:tabs>
                <w:tab w:pos="903" w:val="left" w:leader="none"/>
              </w:tabs>
              <w:spacing w:line="240" w:lineRule="auto" w:before="37" w:after="0"/>
              <w:ind w:left="902" w:right="0" w:hanging="720"/>
              <w:jc w:val="left"/>
              <w:rPr>
                <w:sz w:val="21"/>
              </w:rPr>
            </w:pPr>
            <w:r>
              <w:rPr>
                <w:sz w:val="21"/>
              </w:rPr>
              <w:t>TNM</w:t>
            </w:r>
            <w:r>
              <w:rPr>
                <w:spacing w:val="-20"/>
                <w:sz w:val="21"/>
              </w:rPr>
              <w:t> 分期为 </w:t>
            </w:r>
            <w:r>
              <w:rPr>
                <w:sz w:val="21"/>
              </w:rPr>
              <w:t>T1N0M0</w:t>
            </w:r>
            <w:r>
              <w:rPr>
                <w:spacing w:val="-8"/>
                <w:sz w:val="21"/>
              </w:rPr>
              <w:t> 期或者更轻分期的前列腺癌。</w:t>
            </w:r>
          </w:p>
          <w:p>
            <w:pPr>
              <w:pStyle w:val="TableParagraph"/>
              <w:spacing w:line="310" w:lineRule="atLeast" w:before="2"/>
              <w:ind w:left="182" w:right="108"/>
              <w:rPr>
                <w:rFonts w:ascii="黑体" w:eastAsia="黑体" w:hint="eastAsia"/>
                <w:sz w:val="21"/>
              </w:rPr>
            </w:pPr>
            <w:r>
              <w:rPr>
                <w:rFonts w:ascii="黑体" w:eastAsia="黑体" w:hint="eastAsia"/>
                <w:sz w:val="21"/>
              </w:rPr>
              <w:t>感染艾滋病毒或者患艾滋病期间所患极早期恶性肿瘤或者恶性病变不在保障范围之内。</w:t>
            </w:r>
          </w:p>
        </w:tc>
      </w:tr>
    </w:tbl>
    <w:p>
      <w:pPr>
        <w:spacing w:after="0" w:line="310" w:lineRule="atLeast"/>
        <w:rPr>
          <w:rFonts w:ascii="黑体" w:eastAsia="黑体" w:hint="eastAsia"/>
          <w:sz w:val="21"/>
        </w:rPr>
        <w:sectPr>
          <w:pgSz w:w="11910" w:h="16840"/>
          <w:pgMar w:header="0" w:footer="377" w:top="1340" w:bottom="560" w:left="90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943"/>
      </w:tblGrid>
      <w:tr>
        <w:trPr>
          <w:trHeight w:val="1899" w:hRule="atLeast"/>
        </w:trPr>
        <w:tc>
          <w:tcPr>
            <w:tcW w:w="1512" w:type="dxa"/>
          </w:tcPr>
          <w:p>
            <w:pPr>
              <w:pStyle w:val="TableParagraph"/>
              <w:spacing w:line="205" w:lineRule="exact" w:before="0"/>
              <w:rPr>
                <w:b/>
                <w:sz w:val="21"/>
              </w:rPr>
            </w:pPr>
            <w:r>
              <w:rPr>
                <w:b/>
                <w:sz w:val="21"/>
              </w:rPr>
              <w:t>2.不典型的</w:t>
            </w:r>
          </w:p>
          <w:p>
            <w:pPr>
              <w:pStyle w:val="TableParagraph"/>
              <w:spacing w:line="273" w:lineRule="auto"/>
              <w:ind w:right="255"/>
              <w:rPr>
                <w:b/>
                <w:sz w:val="21"/>
              </w:rPr>
            </w:pPr>
            <w:r>
              <w:rPr>
                <w:b/>
                <w:sz w:val="21"/>
              </w:rPr>
              <w:t>急性心肌梗塞</w:t>
            </w:r>
          </w:p>
        </w:tc>
        <w:tc>
          <w:tcPr>
            <w:tcW w:w="7943" w:type="dxa"/>
          </w:tcPr>
          <w:p>
            <w:pPr>
              <w:pStyle w:val="TableParagraph"/>
              <w:spacing w:line="205" w:lineRule="exact" w:before="0"/>
              <w:ind w:left="106"/>
              <w:rPr>
                <w:sz w:val="21"/>
              </w:rPr>
            </w:pPr>
            <w:r>
              <w:rPr>
                <w:sz w:val="21"/>
              </w:rPr>
              <w:t>指被临床诊断为急性心肌梗塞并接受了急性心肌梗塞治疗，且满足下列全部条件，</w:t>
            </w:r>
          </w:p>
          <w:p>
            <w:pPr>
              <w:pStyle w:val="TableParagraph"/>
              <w:ind w:left="106"/>
              <w:rPr>
                <w:sz w:val="21"/>
              </w:rPr>
            </w:pPr>
            <w:r>
              <w:rPr>
                <w:sz w:val="21"/>
              </w:rPr>
              <w:t>但未达到本附加险合同所指重大疾病“急性心肌梗塞”的标准：</w:t>
            </w:r>
          </w:p>
          <w:p>
            <w:pPr>
              <w:pStyle w:val="TableParagraph"/>
              <w:numPr>
                <w:ilvl w:val="0"/>
                <w:numId w:val="16"/>
              </w:numPr>
              <w:tabs>
                <w:tab w:pos="827" w:val="left" w:leader="none"/>
              </w:tabs>
              <w:spacing w:line="240" w:lineRule="auto" w:before="37" w:after="0"/>
              <w:ind w:left="826" w:right="0" w:hanging="720"/>
              <w:jc w:val="left"/>
              <w:rPr>
                <w:sz w:val="21"/>
              </w:rPr>
            </w:pPr>
            <w:r>
              <w:rPr>
                <w:spacing w:val="-3"/>
                <w:sz w:val="21"/>
              </w:rPr>
              <w:t>心肌酶或肌钙蛋白有诊断意义的升高；</w:t>
            </w:r>
          </w:p>
          <w:p>
            <w:pPr>
              <w:pStyle w:val="TableParagraph"/>
              <w:numPr>
                <w:ilvl w:val="0"/>
                <w:numId w:val="16"/>
              </w:numPr>
              <w:tabs>
                <w:tab w:pos="827" w:val="left" w:leader="none"/>
              </w:tabs>
              <w:spacing w:line="240" w:lineRule="auto" w:before="37" w:after="0"/>
              <w:ind w:left="826" w:right="0" w:hanging="720"/>
              <w:jc w:val="left"/>
              <w:rPr>
                <w:sz w:val="21"/>
              </w:rPr>
            </w:pPr>
            <w:r>
              <w:rPr>
                <w:spacing w:val="-9"/>
                <w:sz w:val="21"/>
              </w:rPr>
              <w:t>心电图有损伤性的 </w:t>
            </w:r>
            <w:r>
              <w:rPr>
                <w:sz w:val="21"/>
              </w:rPr>
              <w:t>ST</w:t>
            </w:r>
            <w:r>
              <w:rPr>
                <w:spacing w:val="-8"/>
                <w:sz w:val="21"/>
              </w:rPr>
              <w:t> 段改变但未出现病理 </w:t>
            </w:r>
            <w:r>
              <w:rPr>
                <w:sz w:val="21"/>
              </w:rPr>
              <w:t>Q 波;</w:t>
            </w:r>
          </w:p>
          <w:p>
            <w:pPr>
              <w:pStyle w:val="TableParagraph"/>
              <w:numPr>
                <w:ilvl w:val="0"/>
                <w:numId w:val="16"/>
              </w:numPr>
              <w:tabs>
                <w:tab w:pos="827" w:val="left" w:leader="none"/>
              </w:tabs>
              <w:spacing w:line="273" w:lineRule="auto" w:before="37" w:after="0"/>
              <w:ind w:left="826" w:right="313" w:hanging="720"/>
              <w:jc w:val="left"/>
              <w:rPr>
                <w:sz w:val="21"/>
              </w:rPr>
            </w:pPr>
            <w:r>
              <w:rPr>
                <w:sz w:val="21"/>
              </w:rPr>
              <w:t>若被保险人因同一原因导致其同时满足不典型的急性心肌梗塞和冠状动脉</w:t>
            </w:r>
            <w:r>
              <w:rPr>
                <w:spacing w:val="-1"/>
                <w:sz w:val="21"/>
              </w:rPr>
              <w:t>介入手术</w:t>
            </w:r>
            <w:r>
              <w:rPr>
                <w:spacing w:val="-3"/>
                <w:sz w:val="21"/>
              </w:rPr>
              <w:t>（非开胸手术）的，仅按其中一项给付。</w:t>
            </w:r>
          </w:p>
        </w:tc>
      </w:tr>
      <w:tr>
        <w:trPr>
          <w:trHeight w:val="3276" w:hRule="atLeast"/>
        </w:trPr>
        <w:tc>
          <w:tcPr>
            <w:tcW w:w="1512" w:type="dxa"/>
          </w:tcPr>
          <w:p>
            <w:pPr>
              <w:pStyle w:val="TableParagraph"/>
              <w:spacing w:line="273" w:lineRule="auto" w:before="58"/>
              <w:ind w:right="254"/>
              <w:rPr>
                <w:b/>
                <w:sz w:val="21"/>
              </w:rPr>
            </w:pPr>
            <w:r>
              <w:rPr>
                <w:b/>
                <w:sz w:val="21"/>
              </w:rPr>
              <w:t>3.轻微脑中风后遗症</w:t>
            </w:r>
          </w:p>
        </w:tc>
        <w:tc>
          <w:tcPr>
            <w:tcW w:w="7943" w:type="dxa"/>
          </w:tcPr>
          <w:p>
            <w:pPr>
              <w:pStyle w:val="TableParagraph"/>
              <w:spacing w:line="273" w:lineRule="auto" w:before="58"/>
              <w:ind w:left="106" w:right="199"/>
              <w:rPr>
                <w:sz w:val="21"/>
              </w:rPr>
            </w:pPr>
            <w:r>
              <w:rPr>
                <w:spacing w:val="-5"/>
                <w:sz w:val="21"/>
              </w:rPr>
              <w:t>指被保险人实际发生了脑血管的突发病变并出现神经系统功能障碍表现，头颅断层</w:t>
            </w:r>
            <w:r>
              <w:rPr>
                <w:spacing w:val="-17"/>
                <w:w w:val="100"/>
                <w:sz w:val="21"/>
              </w:rPr>
              <w:t>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spacing w:val="-1"/>
                <w:w w:val="100"/>
                <w:sz w:val="21"/>
              </w:rPr>
              <w:t>（</w:t>
            </w:r>
            <w:r>
              <w:rPr>
                <w:w w:val="100"/>
                <w:sz w:val="21"/>
              </w:rPr>
              <w:t>MRI</w:t>
            </w:r>
            <w:r>
              <w:rPr>
                <w:spacing w:val="-32"/>
                <w:w w:val="100"/>
                <w:sz w:val="21"/>
              </w:rPr>
              <w:t>）</w:t>
            </w:r>
            <w:r>
              <w:rPr>
                <w:spacing w:val="-5"/>
                <w:w w:val="100"/>
                <w:sz w:val="21"/>
              </w:rPr>
              <w:t>等影像学检查证实存在对应病灶，确诊为脑出血、</w:t>
            </w:r>
            <w:r>
              <w:rPr>
                <w:spacing w:val="-9"/>
                <w:sz w:val="21"/>
              </w:rPr>
              <w:t>脑栓塞或者脑梗塞，在确诊 </w:t>
            </w:r>
            <w:r>
              <w:rPr>
                <w:sz w:val="21"/>
              </w:rPr>
              <w:t>180</w:t>
            </w:r>
            <w:r>
              <w:rPr>
                <w:spacing w:val="-9"/>
                <w:sz w:val="21"/>
              </w:rPr>
              <w:t> 天后遗留神经系统功能障碍，但未达到本附加合同所指重大疾病“脑中风后遗症”的标准。遗留的神经系统功能障碍须满足下列一种</w:t>
            </w:r>
            <w:r>
              <w:rPr>
                <w:spacing w:val="-5"/>
                <w:sz w:val="21"/>
              </w:rPr>
              <w:t>或者一种以上障碍：</w:t>
            </w:r>
          </w:p>
          <w:p>
            <w:pPr>
              <w:pStyle w:val="TableParagraph"/>
              <w:numPr>
                <w:ilvl w:val="0"/>
                <w:numId w:val="17"/>
              </w:numPr>
              <w:tabs>
                <w:tab w:pos="739" w:val="left" w:leader="none"/>
              </w:tabs>
              <w:spacing w:line="240" w:lineRule="auto" w:before="7" w:after="0"/>
              <w:ind w:left="106" w:right="0" w:firstLine="0"/>
              <w:jc w:val="left"/>
              <w:rPr>
                <w:sz w:val="21"/>
              </w:rPr>
            </w:pPr>
            <w:r>
              <w:rPr>
                <w:spacing w:val="-3"/>
                <w:sz w:val="21"/>
              </w:rPr>
              <w:t>一肢或者一肢以上肢体机能部分丧失，其肢体肌力为Ⅲ级,或者小于Ⅲ级；</w:t>
            </w:r>
          </w:p>
          <w:p>
            <w:pPr>
              <w:pStyle w:val="TableParagraph"/>
              <w:numPr>
                <w:ilvl w:val="0"/>
                <w:numId w:val="17"/>
              </w:numPr>
              <w:tabs>
                <w:tab w:pos="722" w:val="left" w:leader="none"/>
              </w:tabs>
              <w:spacing w:line="273" w:lineRule="auto" w:before="37" w:after="0"/>
              <w:ind w:left="106" w:right="304" w:firstLine="0"/>
              <w:jc w:val="left"/>
              <w:rPr>
                <w:sz w:val="21"/>
              </w:rPr>
            </w:pPr>
            <w:r>
              <w:rPr>
                <w:spacing w:val="-5"/>
                <w:sz w:val="21"/>
              </w:rPr>
              <w:t>自主生活能力部分丧失，无法独立完成六项基本日常生活活动中的两项或者</w:t>
            </w:r>
            <w:r>
              <w:rPr>
                <w:spacing w:val="-4"/>
                <w:sz w:val="21"/>
              </w:rPr>
              <w:t>两项以上。</w:t>
            </w:r>
          </w:p>
          <w:p>
            <w:pPr>
              <w:pStyle w:val="TableParagraph"/>
              <w:spacing w:line="273" w:lineRule="auto" w:before="7"/>
              <w:ind w:left="106" w:right="268"/>
              <w:rPr>
                <w:rFonts w:ascii="黑体" w:eastAsia="黑体" w:hint="eastAsia"/>
                <w:sz w:val="21"/>
              </w:rPr>
            </w:pPr>
            <w:r>
              <w:rPr>
                <w:rFonts w:ascii="黑体" w:eastAsia="黑体" w:hint="eastAsia"/>
                <w:sz w:val="21"/>
              </w:rPr>
              <w:t>若被保险人因同一原因导致其满足轻微脑中风后遗症、微创颅脑手术和脑垂体瘤、脑囊肿、脑动脉瘤及脑血管瘤的，仅按其中一项给付。</w:t>
            </w:r>
          </w:p>
        </w:tc>
      </w:tr>
      <w:tr>
        <w:trPr>
          <w:trHeight w:val="2652" w:hRule="atLeast"/>
        </w:trPr>
        <w:tc>
          <w:tcPr>
            <w:tcW w:w="1512" w:type="dxa"/>
          </w:tcPr>
          <w:p>
            <w:pPr>
              <w:pStyle w:val="TableParagraph"/>
              <w:spacing w:line="273" w:lineRule="auto" w:before="58"/>
              <w:ind w:right="255"/>
              <w:rPr>
                <w:b/>
                <w:sz w:val="21"/>
              </w:rPr>
            </w:pPr>
            <w:r>
              <w:rPr>
                <w:b/>
                <w:sz w:val="21"/>
              </w:rPr>
              <w:t>4.微创冠状动脉搭桥术</w:t>
            </w:r>
          </w:p>
        </w:tc>
        <w:tc>
          <w:tcPr>
            <w:tcW w:w="7943" w:type="dxa"/>
          </w:tcPr>
          <w:p>
            <w:pPr>
              <w:pStyle w:val="TableParagraph"/>
              <w:spacing w:line="273" w:lineRule="auto" w:before="58"/>
              <w:ind w:left="106" w:right="304"/>
              <w:jc w:val="both"/>
              <w:rPr>
                <w:sz w:val="21"/>
              </w:rPr>
            </w:pPr>
            <w:r>
              <w:rPr>
                <w:w w:val="100"/>
                <w:sz w:val="21"/>
              </w:rPr>
              <w:t>指确实透过微型的胸壁锁孔（于肋骨之间开一个细小的切口</w:t>
            </w:r>
            <w:r>
              <w:rPr>
                <w:spacing w:val="-106"/>
                <w:w w:val="100"/>
                <w:sz w:val="21"/>
              </w:rPr>
              <w:t>）</w:t>
            </w:r>
            <w:r>
              <w:rPr>
                <w:w w:val="100"/>
                <w:sz w:val="21"/>
              </w:rPr>
              <w:t>，进行非体外循环下</w:t>
            </w:r>
            <w:r>
              <w:rPr>
                <w:spacing w:val="-6"/>
                <w:sz w:val="21"/>
              </w:rPr>
              <w:t>的冠状动脉搭桥手术，以矫正一条或以上冠状动脉狭窄或闭塞。微创进行直接的冠</w:t>
            </w:r>
            <w:r>
              <w:rPr>
                <w:spacing w:val="-7"/>
                <w:sz w:val="21"/>
              </w:rPr>
              <w:t>状动脉搭桥手术亦可称“锁孔”式冠状动脉手术。有关程序为医疗所需及由本公司</w:t>
            </w:r>
            <w:r>
              <w:rPr>
                <w:spacing w:val="-5"/>
                <w:sz w:val="21"/>
              </w:rPr>
              <w:t>认可医院的心脏专科医生进行。</w:t>
            </w:r>
          </w:p>
          <w:p>
            <w:pPr>
              <w:pStyle w:val="TableParagraph"/>
              <w:spacing w:line="273" w:lineRule="auto" w:before="7"/>
              <w:ind w:left="106" w:right="304"/>
              <w:jc w:val="both"/>
              <w:rPr>
                <w:rFonts w:ascii="黑体" w:hAnsi="黑体" w:eastAsia="黑体" w:hint="eastAsia"/>
                <w:sz w:val="21"/>
              </w:rPr>
            </w:pPr>
            <w:r>
              <w:rPr>
                <w:rFonts w:ascii="黑体" w:hAnsi="黑体" w:eastAsia="黑体" w:hint="eastAsia"/>
                <w:spacing w:val="-7"/>
                <w:sz w:val="21"/>
              </w:rPr>
              <w:t>被保险人已达到本附加险合同所指重大疾病“急性心肌梗塞”或“严重冠心病”标</w:t>
            </w:r>
            <w:r>
              <w:rPr>
                <w:rFonts w:ascii="黑体" w:hAnsi="黑体" w:eastAsia="黑体" w:hint="eastAsia"/>
                <w:spacing w:val="-9"/>
                <w:sz w:val="21"/>
              </w:rPr>
              <w:t>准的，本公司不承担豁免保险费的责任。本公司对“冠状动脉介入手术</w:t>
            </w:r>
            <w:r>
              <w:rPr>
                <w:rFonts w:ascii="黑体" w:hAnsi="黑体" w:eastAsia="黑体" w:hint="eastAsia"/>
                <w:spacing w:val="-3"/>
                <w:sz w:val="21"/>
              </w:rPr>
              <w:t>（</w:t>
            </w:r>
            <w:r>
              <w:rPr>
                <w:rFonts w:ascii="黑体" w:hAnsi="黑体" w:eastAsia="黑体" w:hint="eastAsia"/>
                <w:spacing w:val="-2"/>
                <w:sz w:val="21"/>
              </w:rPr>
              <w:t>非开胸手术</w:t>
            </w:r>
            <w:r>
              <w:rPr>
                <w:rFonts w:ascii="黑体" w:hAnsi="黑体" w:eastAsia="黑体" w:hint="eastAsia"/>
                <w:spacing w:val="-105"/>
                <w:sz w:val="21"/>
              </w:rPr>
              <w:t>）</w:t>
            </w:r>
            <w:r>
              <w:rPr>
                <w:rFonts w:ascii="黑体" w:hAnsi="黑体" w:eastAsia="黑体" w:hint="eastAsia"/>
                <w:spacing w:val="-16"/>
                <w:sz w:val="21"/>
              </w:rPr>
              <w:t>”、“微创冠状动脉搭桥术”和“激光心肌血运重建术”三项中的其中一项承担</w:t>
            </w:r>
            <w:r>
              <w:rPr>
                <w:rFonts w:ascii="黑体" w:hAnsi="黑体" w:eastAsia="黑体" w:hint="eastAsia"/>
                <w:spacing w:val="-7"/>
                <w:sz w:val="21"/>
              </w:rPr>
              <w:t>保险责任后，对其他两项轻症疾病保险责任同时终止。</w:t>
            </w:r>
          </w:p>
        </w:tc>
      </w:tr>
      <w:tr>
        <w:trPr>
          <w:trHeight w:val="2028" w:hRule="atLeast"/>
        </w:trPr>
        <w:tc>
          <w:tcPr>
            <w:tcW w:w="1512" w:type="dxa"/>
          </w:tcPr>
          <w:p>
            <w:pPr>
              <w:pStyle w:val="TableParagraph"/>
              <w:spacing w:line="273" w:lineRule="auto" w:before="58"/>
              <w:ind w:right="105"/>
              <w:rPr>
                <w:b/>
                <w:sz w:val="21"/>
              </w:rPr>
            </w:pPr>
            <w:r>
              <w:rPr>
                <w:b/>
                <w:sz w:val="21"/>
              </w:rPr>
              <w:t>5.冠状动脉</w:t>
            </w:r>
            <w:r>
              <w:rPr>
                <w:b/>
                <w:spacing w:val="-16"/>
                <w:sz w:val="21"/>
              </w:rPr>
              <w:t>介入手术</w:t>
            </w:r>
            <w:r>
              <w:rPr>
                <w:b/>
                <w:sz w:val="21"/>
              </w:rPr>
              <w:t>（非开胸手术）</w:t>
            </w:r>
          </w:p>
        </w:tc>
        <w:tc>
          <w:tcPr>
            <w:tcW w:w="7943" w:type="dxa"/>
          </w:tcPr>
          <w:p>
            <w:pPr>
              <w:pStyle w:val="TableParagraph"/>
              <w:spacing w:line="273" w:lineRule="auto" w:before="58"/>
              <w:ind w:left="106" w:right="268"/>
              <w:jc w:val="both"/>
              <w:rPr>
                <w:sz w:val="21"/>
              </w:rPr>
            </w:pPr>
            <w:r>
              <w:rPr>
                <w:sz w:val="21"/>
              </w:rPr>
              <w:t>为了治疗明显的冠状动脉狭窄性疾病，首次实际实施了冠状动脉球囊扩张成形术、冠状动脉支架植入术、冠状动脉粥肿斑块切除术或者激光冠状动脉成形术。</w:t>
            </w:r>
          </w:p>
          <w:p>
            <w:pPr>
              <w:pStyle w:val="TableParagraph"/>
              <w:spacing w:line="273" w:lineRule="auto" w:before="7"/>
              <w:ind w:left="106" w:right="304"/>
              <w:jc w:val="both"/>
              <w:rPr>
                <w:rFonts w:ascii="黑体" w:hAnsi="黑体" w:eastAsia="黑体" w:hint="eastAsia"/>
                <w:sz w:val="21"/>
              </w:rPr>
            </w:pPr>
            <w:r>
              <w:rPr>
                <w:rFonts w:ascii="黑体" w:hAnsi="黑体" w:eastAsia="黑体" w:hint="eastAsia"/>
                <w:spacing w:val="-7"/>
                <w:sz w:val="21"/>
              </w:rPr>
              <w:t>被保险人已达到本附加险合同所指重大疾病“急性心肌梗塞”或“严重冠心病”标</w:t>
            </w:r>
            <w:r>
              <w:rPr>
                <w:rFonts w:ascii="黑体" w:hAnsi="黑体" w:eastAsia="黑体" w:hint="eastAsia"/>
                <w:spacing w:val="-9"/>
                <w:sz w:val="21"/>
              </w:rPr>
              <w:t>准的，本公司不承担本项手术保险责任。本公司对“冠状动脉介入手术</w:t>
            </w:r>
            <w:r>
              <w:rPr>
                <w:rFonts w:ascii="黑体" w:hAnsi="黑体" w:eastAsia="黑体" w:hint="eastAsia"/>
                <w:spacing w:val="-3"/>
                <w:sz w:val="21"/>
              </w:rPr>
              <w:t>（</w:t>
            </w:r>
            <w:r>
              <w:rPr>
                <w:rFonts w:ascii="黑体" w:hAnsi="黑体" w:eastAsia="黑体" w:hint="eastAsia"/>
                <w:spacing w:val="-2"/>
                <w:sz w:val="21"/>
              </w:rPr>
              <w:t>非开胸手术</w:t>
            </w:r>
            <w:r>
              <w:rPr>
                <w:rFonts w:ascii="黑体" w:hAnsi="黑体" w:eastAsia="黑体" w:hint="eastAsia"/>
                <w:spacing w:val="-105"/>
                <w:sz w:val="21"/>
              </w:rPr>
              <w:t>）</w:t>
            </w:r>
            <w:r>
              <w:rPr>
                <w:rFonts w:ascii="黑体" w:hAnsi="黑体" w:eastAsia="黑体" w:hint="eastAsia"/>
                <w:spacing w:val="-16"/>
                <w:sz w:val="21"/>
              </w:rPr>
              <w:t>”、“微创冠状动脉搭桥术”和“激光心肌血运重建术”三项中的其中一项承担</w:t>
            </w:r>
            <w:r>
              <w:rPr>
                <w:rFonts w:ascii="黑体" w:hAnsi="黑体" w:eastAsia="黑体" w:hint="eastAsia"/>
                <w:spacing w:val="-7"/>
                <w:sz w:val="21"/>
              </w:rPr>
              <w:t>保险责任后，对其他两项轻症疾病保险责任同时终止。</w:t>
            </w:r>
          </w:p>
        </w:tc>
      </w:tr>
      <w:tr>
        <w:trPr>
          <w:trHeight w:val="2340" w:hRule="atLeast"/>
        </w:trPr>
        <w:tc>
          <w:tcPr>
            <w:tcW w:w="1512" w:type="dxa"/>
          </w:tcPr>
          <w:p>
            <w:pPr>
              <w:pStyle w:val="TableParagraph"/>
              <w:spacing w:line="273" w:lineRule="auto" w:before="59"/>
              <w:ind w:right="255"/>
              <w:rPr>
                <w:b/>
                <w:sz w:val="21"/>
              </w:rPr>
            </w:pPr>
            <w:r>
              <w:rPr>
                <w:b/>
                <w:sz w:val="21"/>
              </w:rPr>
              <w:t>6.激光心肌血运重建术</w:t>
            </w:r>
          </w:p>
        </w:tc>
        <w:tc>
          <w:tcPr>
            <w:tcW w:w="7943" w:type="dxa"/>
          </w:tcPr>
          <w:p>
            <w:pPr>
              <w:pStyle w:val="TableParagraph"/>
              <w:spacing w:line="273" w:lineRule="auto" w:before="59"/>
              <w:ind w:left="106" w:right="304"/>
              <w:jc w:val="both"/>
              <w:rPr>
                <w:sz w:val="21"/>
              </w:rPr>
            </w:pPr>
            <w:r>
              <w:rPr>
                <w:spacing w:val="-6"/>
                <w:sz w:val="21"/>
              </w:rPr>
              <w:t>指患有顽固性心绞痛，经持续药物治疗后无改善，冠状动脉搭桥手术及经皮血管成形手术已失败或者被认为不者被认为不适合。在本公司认可医院内实际进行了开胸</w:t>
            </w:r>
            <w:r>
              <w:rPr>
                <w:spacing w:val="-4"/>
                <w:sz w:val="21"/>
              </w:rPr>
              <w:t>手术下或者胸腔镜下的激光心肌血运重建术。</w:t>
            </w:r>
          </w:p>
          <w:p>
            <w:pPr>
              <w:pStyle w:val="TableParagraph"/>
              <w:spacing w:line="273" w:lineRule="auto" w:before="7"/>
              <w:ind w:left="106" w:right="304"/>
              <w:jc w:val="both"/>
              <w:rPr>
                <w:rFonts w:ascii="黑体" w:hAnsi="黑体" w:eastAsia="黑体" w:hint="eastAsia"/>
                <w:sz w:val="21"/>
              </w:rPr>
            </w:pPr>
            <w:r>
              <w:rPr>
                <w:rFonts w:ascii="黑体" w:hAnsi="黑体" w:eastAsia="黑体" w:hint="eastAsia"/>
                <w:spacing w:val="-7"/>
                <w:sz w:val="21"/>
              </w:rPr>
              <w:t>被保险人已达到本附加险合同所指重大疾病“急性心肌梗塞”或“严重冠心病”标</w:t>
            </w:r>
            <w:r>
              <w:rPr>
                <w:rFonts w:ascii="黑体" w:hAnsi="黑体" w:eastAsia="黑体" w:hint="eastAsia"/>
                <w:spacing w:val="-9"/>
                <w:sz w:val="21"/>
              </w:rPr>
              <w:t>准的，本公司不承担本项手术保险责任。本公司对“冠状动脉介入手术</w:t>
            </w:r>
            <w:r>
              <w:rPr>
                <w:rFonts w:ascii="黑体" w:hAnsi="黑体" w:eastAsia="黑体" w:hint="eastAsia"/>
                <w:spacing w:val="-3"/>
                <w:sz w:val="21"/>
              </w:rPr>
              <w:t>（</w:t>
            </w:r>
            <w:r>
              <w:rPr>
                <w:rFonts w:ascii="黑体" w:hAnsi="黑体" w:eastAsia="黑体" w:hint="eastAsia"/>
                <w:spacing w:val="-2"/>
                <w:sz w:val="21"/>
              </w:rPr>
              <w:t>非开胸手术</w:t>
            </w:r>
            <w:r>
              <w:rPr>
                <w:rFonts w:ascii="黑体" w:hAnsi="黑体" w:eastAsia="黑体" w:hint="eastAsia"/>
                <w:spacing w:val="-105"/>
                <w:sz w:val="21"/>
              </w:rPr>
              <w:t>）</w:t>
            </w:r>
            <w:r>
              <w:rPr>
                <w:rFonts w:ascii="黑体" w:hAnsi="黑体" w:eastAsia="黑体" w:hint="eastAsia"/>
                <w:spacing w:val="-16"/>
                <w:sz w:val="21"/>
              </w:rPr>
              <w:t>”、“微创冠状动脉搭桥术”和“激光心肌血运重建术”三项中的其中一项承担</w:t>
            </w:r>
            <w:r>
              <w:rPr>
                <w:rFonts w:ascii="黑体" w:hAnsi="黑体" w:eastAsia="黑体" w:hint="eastAsia"/>
                <w:spacing w:val="-7"/>
                <w:sz w:val="21"/>
              </w:rPr>
              <w:t>保险责任后，对其他两项轻症疾病保险责任同时终止。</w:t>
            </w:r>
          </w:p>
        </w:tc>
      </w:tr>
      <w:tr>
        <w:trPr>
          <w:trHeight w:val="1900" w:hRule="atLeast"/>
        </w:trPr>
        <w:tc>
          <w:tcPr>
            <w:tcW w:w="1512" w:type="dxa"/>
          </w:tcPr>
          <w:p>
            <w:pPr>
              <w:pStyle w:val="TableParagraph"/>
              <w:spacing w:line="273" w:lineRule="auto" w:before="58"/>
              <w:ind w:right="254"/>
              <w:rPr>
                <w:b/>
                <w:sz w:val="21"/>
              </w:rPr>
            </w:pPr>
            <w:r>
              <w:rPr>
                <w:b/>
                <w:sz w:val="21"/>
              </w:rPr>
              <w:t>7.慢性肾功能衰竭</w:t>
            </w:r>
          </w:p>
        </w:tc>
        <w:tc>
          <w:tcPr>
            <w:tcW w:w="7943" w:type="dxa"/>
          </w:tcPr>
          <w:p>
            <w:pPr>
              <w:pStyle w:val="TableParagraph"/>
              <w:spacing w:line="273" w:lineRule="auto" w:before="58"/>
              <w:ind w:left="106" w:right="304"/>
              <w:jc w:val="both"/>
              <w:rPr>
                <w:sz w:val="21"/>
              </w:rPr>
            </w:pPr>
            <w:r>
              <w:rPr>
                <w:spacing w:val="-5"/>
                <w:sz w:val="21"/>
              </w:rPr>
              <w:t>指被保险人因双肾功能慢性不可逆性损害达到肾功能衰竭期，但未达到本附加险合</w:t>
            </w:r>
            <w:r>
              <w:rPr>
                <w:w w:val="100"/>
                <w:sz w:val="21"/>
              </w:rPr>
              <w:t>同所指重大疾病“终末期肾病（或称慢性肾功能衰竭尿毒症期</w:t>
            </w:r>
            <w:r>
              <w:rPr>
                <w:spacing w:val="-104"/>
                <w:w w:val="100"/>
                <w:sz w:val="21"/>
              </w:rPr>
              <w:t>）</w:t>
            </w:r>
            <w:r>
              <w:rPr>
                <w:w w:val="100"/>
                <w:sz w:val="21"/>
              </w:rPr>
              <w:t>”的标准。诊断必</w:t>
            </w:r>
            <w:r>
              <w:rPr>
                <w:spacing w:val="-3"/>
                <w:sz w:val="21"/>
              </w:rPr>
              <w:t>须满足所有以下标准。</w:t>
            </w:r>
          </w:p>
          <w:p>
            <w:pPr>
              <w:pStyle w:val="TableParagraph"/>
              <w:spacing w:before="7"/>
              <w:ind w:left="106"/>
              <w:jc w:val="both"/>
              <w:rPr>
                <w:sz w:val="21"/>
              </w:rPr>
            </w:pPr>
            <w:r>
              <w:rPr>
                <w:sz w:val="21"/>
              </w:rPr>
              <w:t>（1） GFR &lt; 25%；</w:t>
            </w:r>
          </w:p>
          <w:p>
            <w:pPr>
              <w:pStyle w:val="TableParagraph"/>
              <w:numPr>
                <w:ilvl w:val="0"/>
                <w:numId w:val="18"/>
              </w:numPr>
              <w:tabs>
                <w:tab w:pos="739" w:val="left" w:leader="none"/>
              </w:tabs>
              <w:spacing w:line="240" w:lineRule="auto" w:before="36" w:after="0"/>
              <w:ind w:left="738" w:right="0" w:hanging="632"/>
              <w:jc w:val="both"/>
              <w:rPr>
                <w:sz w:val="21"/>
              </w:rPr>
            </w:pPr>
            <w:r>
              <w:rPr>
                <w:sz w:val="21"/>
              </w:rPr>
              <w:t>Scr&gt;</w:t>
            </w:r>
            <w:r>
              <w:rPr>
                <w:spacing w:val="-1"/>
                <w:sz w:val="21"/>
              </w:rPr>
              <w:t> </w:t>
            </w:r>
            <w:r>
              <w:rPr>
                <w:sz w:val="21"/>
              </w:rPr>
              <w:t>5mg/dl</w:t>
            </w:r>
            <w:r>
              <w:rPr>
                <w:spacing w:val="-19"/>
                <w:sz w:val="21"/>
              </w:rPr>
              <w:t> 或&gt;</w:t>
            </w:r>
            <w:r>
              <w:rPr>
                <w:sz w:val="21"/>
              </w:rPr>
              <w:t>442umol/L；</w:t>
            </w:r>
          </w:p>
          <w:p>
            <w:pPr>
              <w:pStyle w:val="TableParagraph"/>
              <w:numPr>
                <w:ilvl w:val="0"/>
                <w:numId w:val="18"/>
              </w:numPr>
              <w:tabs>
                <w:tab w:pos="739" w:val="left" w:leader="none"/>
              </w:tabs>
              <w:spacing w:line="261" w:lineRule="exact" w:before="36" w:after="0"/>
              <w:ind w:left="738" w:right="0" w:hanging="632"/>
              <w:jc w:val="both"/>
              <w:rPr>
                <w:sz w:val="21"/>
              </w:rPr>
            </w:pPr>
            <w:r>
              <w:rPr>
                <w:spacing w:val="-18"/>
                <w:sz w:val="21"/>
              </w:rPr>
              <w:t>持续 </w:t>
            </w:r>
            <w:r>
              <w:rPr>
                <w:sz w:val="21"/>
              </w:rPr>
              <w:t>180</w:t>
            </w:r>
            <w:r>
              <w:rPr>
                <w:spacing w:val="-18"/>
                <w:sz w:val="21"/>
              </w:rPr>
              <w:t> 天。</w:t>
            </w:r>
          </w:p>
        </w:tc>
      </w:tr>
    </w:tbl>
    <w:p>
      <w:pPr>
        <w:spacing w:after="0" w:line="261" w:lineRule="exact"/>
        <w:jc w:val="both"/>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7806"/>
      </w:tblGrid>
      <w:tr>
        <w:trPr>
          <w:trHeight w:val="661" w:hRule="atLeast"/>
        </w:trPr>
        <w:tc>
          <w:tcPr>
            <w:tcW w:w="1543" w:type="dxa"/>
          </w:tcPr>
          <w:p>
            <w:pPr>
              <w:pStyle w:val="TableParagraph"/>
              <w:spacing w:line="205" w:lineRule="exact" w:before="0"/>
              <w:rPr>
                <w:b/>
                <w:sz w:val="21"/>
              </w:rPr>
            </w:pPr>
            <w:r>
              <w:rPr>
                <w:b/>
                <w:sz w:val="21"/>
              </w:rPr>
              <w:t>8.肾脏切除</w:t>
            </w:r>
          </w:p>
        </w:tc>
        <w:tc>
          <w:tcPr>
            <w:tcW w:w="7806" w:type="dxa"/>
          </w:tcPr>
          <w:p>
            <w:pPr>
              <w:pStyle w:val="TableParagraph"/>
              <w:spacing w:line="205" w:lineRule="exact" w:before="0"/>
              <w:ind w:left="75"/>
              <w:rPr>
                <w:sz w:val="21"/>
              </w:rPr>
            </w:pPr>
            <w:r>
              <w:rPr>
                <w:sz w:val="21"/>
              </w:rPr>
              <w:t>因疾病或者意外伤害导致至少单侧肾切除。</w:t>
            </w:r>
          </w:p>
          <w:p>
            <w:pPr>
              <w:pStyle w:val="TableParagraph"/>
              <w:ind w:left="75"/>
              <w:rPr>
                <w:rFonts w:ascii="黑体" w:eastAsia="黑体" w:hint="eastAsia"/>
                <w:sz w:val="21"/>
              </w:rPr>
            </w:pPr>
            <w:r>
              <w:rPr>
                <w:rFonts w:ascii="黑体" w:eastAsia="黑体" w:hint="eastAsia"/>
                <w:sz w:val="21"/>
              </w:rPr>
              <w:t>因捐赠肾脏而所需的肾脏切除不在保障范围内。</w:t>
            </w:r>
          </w:p>
        </w:tc>
      </w:tr>
      <w:tr>
        <w:trPr>
          <w:trHeight w:val="1101" w:hRule="atLeast"/>
        </w:trPr>
        <w:tc>
          <w:tcPr>
            <w:tcW w:w="1543" w:type="dxa"/>
          </w:tcPr>
          <w:p>
            <w:pPr>
              <w:pStyle w:val="TableParagraph"/>
              <w:spacing w:line="273" w:lineRule="auto" w:before="68"/>
              <w:ind w:right="285"/>
              <w:rPr>
                <w:b/>
                <w:sz w:val="21"/>
              </w:rPr>
            </w:pPr>
            <w:r>
              <w:rPr>
                <w:b/>
                <w:sz w:val="21"/>
              </w:rPr>
              <w:t>9.单个肢体缺失</w:t>
            </w:r>
          </w:p>
        </w:tc>
        <w:tc>
          <w:tcPr>
            <w:tcW w:w="7806" w:type="dxa"/>
          </w:tcPr>
          <w:p>
            <w:pPr>
              <w:pStyle w:val="TableParagraph"/>
              <w:spacing w:line="273" w:lineRule="auto" w:before="68"/>
              <w:ind w:left="75" w:right="148"/>
              <w:rPr>
                <w:sz w:val="21"/>
              </w:rPr>
            </w:pPr>
            <w:r>
              <w:rPr>
                <w:sz w:val="21"/>
              </w:rPr>
              <w:t>指一个肢体自腕关节或踝关节近端（靠近躯干端）以上完全性断离，但未达到本附加险合同所指重大疾病“多个肢体缺失”的标准。</w:t>
            </w:r>
          </w:p>
          <w:p>
            <w:pPr>
              <w:pStyle w:val="TableParagraph"/>
              <w:spacing w:before="7"/>
              <w:ind w:left="75"/>
              <w:rPr>
                <w:rFonts w:ascii="黑体" w:hAnsi="黑体" w:eastAsia="黑体" w:hint="eastAsia"/>
                <w:sz w:val="21"/>
              </w:rPr>
            </w:pPr>
            <w:r>
              <w:rPr>
                <w:rFonts w:ascii="黑体" w:hAnsi="黑体" w:eastAsia="黑体" w:hint="eastAsia"/>
                <w:sz w:val="21"/>
              </w:rPr>
              <w:t>因“糖尿病导致单足切除”导致的单个肢体缺失不在本项保障范围内。</w:t>
            </w:r>
          </w:p>
        </w:tc>
      </w:tr>
      <w:tr>
        <w:trPr>
          <w:trHeight w:val="2964" w:hRule="atLeast"/>
        </w:trPr>
        <w:tc>
          <w:tcPr>
            <w:tcW w:w="1543" w:type="dxa"/>
          </w:tcPr>
          <w:p>
            <w:pPr>
              <w:pStyle w:val="TableParagraph"/>
              <w:spacing w:line="273" w:lineRule="auto" w:before="58"/>
              <w:ind w:right="179"/>
              <w:rPr>
                <w:b/>
                <w:sz w:val="21"/>
              </w:rPr>
            </w:pPr>
            <w:r>
              <w:rPr>
                <w:b/>
                <w:sz w:val="21"/>
              </w:rPr>
              <w:t>10.病毒性肝炎导致的肝硬化</w:t>
            </w:r>
          </w:p>
        </w:tc>
        <w:tc>
          <w:tcPr>
            <w:tcW w:w="7806" w:type="dxa"/>
          </w:tcPr>
          <w:p>
            <w:pPr>
              <w:pStyle w:val="TableParagraph"/>
              <w:spacing w:before="58"/>
              <w:ind w:left="75"/>
              <w:rPr>
                <w:sz w:val="21"/>
              </w:rPr>
            </w:pPr>
            <w:r>
              <w:rPr>
                <w:sz w:val="21"/>
              </w:rPr>
              <w:t>因肝炎病毒感染的肝脏慢性炎症并发展为肝硬化。理赔时须满足下列全部条件：</w:t>
            </w:r>
          </w:p>
          <w:p>
            <w:pPr>
              <w:pStyle w:val="TableParagraph"/>
              <w:numPr>
                <w:ilvl w:val="0"/>
                <w:numId w:val="19"/>
              </w:numPr>
              <w:tabs>
                <w:tab w:pos="708" w:val="left" w:leader="none"/>
              </w:tabs>
              <w:spacing w:line="240" w:lineRule="auto" w:before="36" w:after="0"/>
              <w:ind w:left="75" w:right="0" w:firstLine="0"/>
              <w:jc w:val="left"/>
              <w:rPr>
                <w:sz w:val="21"/>
              </w:rPr>
            </w:pPr>
            <w:r>
              <w:rPr>
                <w:spacing w:val="-3"/>
                <w:sz w:val="21"/>
              </w:rPr>
              <w:t>被保人有感染慢性肝炎病毒的血清学及实验室检查报告等临床证据；</w:t>
            </w:r>
          </w:p>
          <w:p>
            <w:pPr>
              <w:pStyle w:val="TableParagraph"/>
              <w:numPr>
                <w:ilvl w:val="0"/>
                <w:numId w:val="19"/>
              </w:numPr>
              <w:tabs>
                <w:tab w:pos="691" w:val="left" w:leader="none"/>
              </w:tabs>
              <w:spacing w:line="273" w:lineRule="auto" w:before="36" w:after="0"/>
              <w:ind w:left="75" w:right="198" w:firstLine="0"/>
              <w:jc w:val="left"/>
              <w:rPr>
                <w:sz w:val="21"/>
              </w:rPr>
            </w:pPr>
            <w:r>
              <w:rPr>
                <w:spacing w:val="-4"/>
                <w:sz w:val="21"/>
              </w:rPr>
              <w:t>必须由本公司认可医院的消化科专科医生基于肝脏组织病理学检查报告、临</w:t>
            </w:r>
            <w:r>
              <w:rPr>
                <w:spacing w:val="-3"/>
                <w:sz w:val="21"/>
              </w:rPr>
              <w:t>床表现及病史对肝炎病毒感染导致肝硬化作出明确诊断；</w:t>
            </w:r>
          </w:p>
          <w:p>
            <w:pPr>
              <w:pStyle w:val="TableParagraph"/>
              <w:numPr>
                <w:ilvl w:val="0"/>
                <w:numId w:val="19"/>
              </w:numPr>
              <w:tabs>
                <w:tab w:pos="672" w:val="left" w:leader="none"/>
              </w:tabs>
              <w:spacing w:line="273" w:lineRule="auto" w:before="7" w:after="0"/>
              <w:ind w:left="75" w:right="200" w:firstLine="0"/>
              <w:jc w:val="left"/>
              <w:rPr>
                <w:sz w:val="21"/>
              </w:rPr>
            </w:pPr>
            <w:r>
              <w:rPr>
                <w:spacing w:val="-7"/>
                <w:sz w:val="21"/>
              </w:rPr>
              <w:t>病理学检查报告证明肝脏病变按 </w:t>
            </w:r>
            <w:r>
              <w:rPr>
                <w:sz w:val="21"/>
              </w:rPr>
              <w:t>Metavir</w:t>
            </w:r>
            <w:r>
              <w:rPr>
                <w:spacing w:val="-9"/>
                <w:sz w:val="21"/>
              </w:rPr>
              <w:t> 分级表中属 </w:t>
            </w:r>
            <w:r>
              <w:rPr>
                <w:sz w:val="21"/>
              </w:rPr>
              <w:t>F4</w:t>
            </w:r>
            <w:r>
              <w:rPr>
                <w:spacing w:val="-11"/>
                <w:sz w:val="21"/>
              </w:rPr>
              <w:t> 阶段或 </w:t>
            </w:r>
            <w:r>
              <w:rPr>
                <w:sz w:val="21"/>
              </w:rPr>
              <w:t>Knodell</w:t>
            </w:r>
            <w:r>
              <w:rPr>
                <w:spacing w:val="-26"/>
                <w:sz w:val="21"/>
              </w:rPr>
              <w:t> 肝</w:t>
            </w:r>
            <w:r>
              <w:rPr>
                <w:spacing w:val="-16"/>
                <w:sz w:val="21"/>
              </w:rPr>
              <w:t>纤维化标准达到 </w:t>
            </w:r>
            <w:r>
              <w:rPr>
                <w:sz w:val="21"/>
              </w:rPr>
              <w:t>4</w:t>
            </w:r>
            <w:r>
              <w:rPr>
                <w:spacing w:val="0"/>
                <w:sz w:val="21"/>
              </w:rPr>
              <w:t> 分。</w:t>
            </w:r>
          </w:p>
          <w:p>
            <w:pPr>
              <w:pStyle w:val="TableParagraph"/>
              <w:spacing w:before="7"/>
              <w:ind w:left="75"/>
              <w:rPr>
                <w:rFonts w:ascii="黑体" w:eastAsia="黑体" w:hint="eastAsia"/>
                <w:sz w:val="21"/>
              </w:rPr>
            </w:pPr>
            <w:r>
              <w:rPr>
                <w:rFonts w:ascii="黑体" w:eastAsia="黑体" w:hint="eastAsia"/>
                <w:sz w:val="21"/>
              </w:rPr>
              <w:t>由酒精或药物滥用而引起的本疾病不在保障范围内。</w:t>
            </w:r>
          </w:p>
          <w:p>
            <w:pPr>
              <w:pStyle w:val="TableParagraph"/>
              <w:spacing w:line="273" w:lineRule="auto" w:before="36"/>
              <w:ind w:left="75" w:right="198"/>
              <w:rPr>
                <w:rFonts w:ascii="黑体" w:hAnsi="黑体" w:eastAsia="黑体" w:hint="eastAsia"/>
                <w:sz w:val="21"/>
              </w:rPr>
            </w:pPr>
            <w:r>
              <w:rPr>
                <w:rFonts w:ascii="黑体" w:hAnsi="黑体" w:eastAsia="黑体" w:hint="eastAsia"/>
                <w:spacing w:val="-7"/>
                <w:sz w:val="21"/>
              </w:rPr>
              <w:t>本公司对“病毒性肝炎导致的肝硬化”和“慢性肝功能衰竭”两项中的其中一项承</w:t>
            </w:r>
            <w:r>
              <w:rPr>
                <w:rFonts w:ascii="黑体" w:hAnsi="黑体" w:eastAsia="黑体" w:hint="eastAsia"/>
                <w:spacing w:val="-3"/>
                <w:sz w:val="21"/>
              </w:rPr>
              <w:t>担保险责任后，对另一项轻症疾病保险责任同时终止。</w:t>
            </w:r>
          </w:p>
        </w:tc>
      </w:tr>
      <w:tr>
        <w:trPr>
          <w:trHeight w:val="2664" w:hRule="atLeast"/>
        </w:trPr>
        <w:tc>
          <w:tcPr>
            <w:tcW w:w="1543" w:type="dxa"/>
          </w:tcPr>
          <w:p>
            <w:pPr>
              <w:pStyle w:val="TableParagraph"/>
              <w:spacing w:line="273" w:lineRule="auto" w:before="58"/>
              <w:ind w:right="73"/>
              <w:rPr>
                <w:b/>
                <w:sz w:val="21"/>
              </w:rPr>
            </w:pPr>
            <w:r>
              <w:rPr>
                <w:b/>
                <w:sz w:val="21"/>
              </w:rPr>
              <w:t>11.脑垂体  瘤、脑囊肿、脑动脉瘤及 脑血管瘤</w:t>
            </w:r>
          </w:p>
        </w:tc>
        <w:tc>
          <w:tcPr>
            <w:tcW w:w="7806" w:type="dxa"/>
          </w:tcPr>
          <w:p>
            <w:pPr>
              <w:pStyle w:val="TableParagraph"/>
              <w:spacing w:line="273" w:lineRule="auto" w:before="58"/>
              <w:ind w:left="75" w:right="198"/>
              <w:rPr>
                <w:sz w:val="21"/>
              </w:rPr>
            </w:pPr>
            <w:r>
              <w:rPr>
                <w:spacing w:val="-4"/>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5"/>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3"/>
                <w:w w:val="100"/>
                <w:sz w:val="21"/>
              </w:rPr>
              <w:t>）</w:t>
            </w:r>
            <w:r>
              <w:rPr>
                <w:spacing w:val="-3"/>
                <w:w w:val="100"/>
                <w:sz w:val="21"/>
              </w:rPr>
              <w:t>或者其他影像学检查被确诊为下列</w:t>
            </w:r>
            <w:r>
              <w:rPr>
                <w:spacing w:val="-3"/>
                <w:sz w:val="21"/>
              </w:rPr>
              <w:t>病变，并实际接受了手术或者放射治疗。</w:t>
            </w:r>
          </w:p>
          <w:p>
            <w:pPr>
              <w:pStyle w:val="TableParagraph"/>
              <w:numPr>
                <w:ilvl w:val="0"/>
                <w:numId w:val="20"/>
              </w:numPr>
              <w:tabs>
                <w:tab w:pos="708" w:val="left" w:leader="none"/>
              </w:tabs>
              <w:spacing w:line="240" w:lineRule="auto" w:before="7" w:after="0"/>
              <w:ind w:left="707" w:right="0" w:hanging="632"/>
              <w:jc w:val="left"/>
              <w:rPr>
                <w:sz w:val="21"/>
              </w:rPr>
            </w:pPr>
            <w:r>
              <w:rPr>
                <w:spacing w:val="-3"/>
                <w:sz w:val="21"/>
              </w:rPr>
              <w:t>脑垂体瘤；</w:t>
            </w:r>
          </w:p>
          <w:p>
            <w:pPr>
              <w:pStyle w:val="TableParagraph"/>
              <w:numPr>
                <w:ilvl w:val="0"/>
                <w:numId w:val="20"/>
              </w:numPr>
              <w:tabs>
                <w:tab w:pos="708" w:val="left" w:leader="none"/>
              </w:tabs>
              <w:spacing w:line="240" w:lineRule="auto" w:before="37" w:after="0"/>
              <w:ind w:left="707" w:right="0" w:hanging="632"/>
              <w:jc w:val="left"/>
              <w:rPr>
                <w:sz w:val="21"/>
              </w:rPr>
            </w:pPr>
            <w:r>
              <w:rPr>
                <w:spacing w:val="-2"/>
                <w:sz w:val="21"/>
              </w:rPr>
              <w:t>脑囊肿；</w:t>
            </w:r>
          </w:p>
          <w:p>
            <w:pPr>
              <w:pStyle w:val="TableParagraph"/>
              <w:numPr>
                <w:ilvl w:val="0"/>
                <w:numId w:val="20"/>
              </w:numPr>
              <w:tabs>
                <w:tab w:pos="708" w:val="left" w:leader="none"/>
              </w:tabs>
              <w:spacing w:line="240" w:lineRule="auto" w:before="37" w:after="0"/>
              <w:ind w:left="707" w:right="0" w:hanging="632"/>
              <w:jc w:val="left"/>
              <w:rPr>
                <w:sz w:val="21"/>
              </w:rPr>
            </w:pPr>
            <w:r>
              <w:rPr>
                <w:spacing w:val="-3"/>
                <w:sz w:val="21"/>
              </w:rPr>
              <w:t>脑动脉瘤、脑血管瘤。</w:t>
            </w:r>
          </w:p>
          <w:p>
            <w:pPr>
              <w:pStyle w:val="TableParagraph"/>
              <w:spacing w:line="273" w:lineRule="auto"/>
              <w:ind w:left="75" w:right="198"/>
              <w:jc w:val="both"/>
              <w:rPr>
                <w:rFonts w:ascii="黑体" w:hAnsi="黑体" w:eastAsia="黑体" w:hint="eastAsia"/>
                <w:sz w:val="21"/>
              </w:rPr>
            </w:pPr>
            <w:r>
              <w:rPr>
                <w:rFonts w:ascii="黑体" w:hAnsi="黑体" w:eastAsia="黑体" w:hint="eastAsia"/>
                <w:spacing w:val="-17"/>
                <w:sz w:val="21"/>
              </w:rPr>
              <w:t>本公司对“轻微脑中风后遗症”、“微创颅脑手术”和“脑垂体瘤、脑囊肿、脑动脉</w:t>
            </w:r>
            <w:r>
              <w:rPr>
                <w:rFonts w:ascii="黑体" w:hAnsi="黑体" w:eastAsia="黑体" w:hint="eastAsia"/>
                <w:spacing w:val="-10"/>
                <w:sz w:val="21"/>
              </w:rPr>
              <w:t>瘤及脑血管瘤”三项中的其中一项承担保险责任后，对其他两项轻症疾病保险责任</w:t>
            </w:r>
            <w:r>
              <w:rPr>
                <w:rFonts w:ascii="黑体" w:hAnsi="黑体" w:eastAsia="黑体" w:hint="eastAsia"/>
                <w:spacing w:val="-5"/>
                <w:sz w:val="21"/>
              </w:rPr>
              <w:t>同时终止。</w:t>
            </w:r>
          </w:p>
        </w:tc>
      </w:tr>
      <w:tr>
        <w:trPr>
          <w:trHeight w:val="2976" w:hRule="atLeast"/>
        </w:trPr>
        <w:tc>
          <w:tcPr>
            <w:tcW w:w="1543" w:type="dxa"/>
          </w:tcPr>
          <w:p>
            <w:pPr>
              <w:pStyle w:val="TableParagraph"/>
              <w:spacing w:line="273" w:lineRule="auto" w:before="70"/>
              <w:ind w:right="179"/>
              <w:rPr>
                <w:b/>
                <w:sz w:val="21"/>
              </w:rPr>
            </w:pPr>
            <w:r>
              <w:rPr>
                <w:b/>
                <w:sz w:val="21"/>
              </w:rPr>
              <w:t>12.慢性肝功能衰竭</w:t>
            </w:r>
          </w:p>
        </w:tc>
        <w:tc>
          <w:tcPr>
            <w:tcW w:w="7806" w:type="dxa"/>
          </w:tcPr>
          <w:p>
            <w:pPr>
              <w:pStyle w:val="TableParagraph"/>
              <w:spacing w:line="273" w:lineRule="auto" w:before="70"/>
              <w:ind w:left="75" w:right="198"/>
              <w:rPr>
                <w:sz w:val="21"/>
              </w:rPr>
            </w:pPr>
            <w:r>
              <w:rPr>
                <w:spacing w:val="-6"/>
                <w:sz w:val="21"/>
              </w:rPr>
              <w:t>指因慢性肝脏疾病导致肝功能衰竭，但未达到本附加险合同所指重大疾病“慢性肝</w:t>
            </w:r>
            <w:r>
              <w:rPr>
                <w:spacing w:val="-4"/>
                <w:sz w:val="21"/>
              </w:rPr>
              <w:t>功能衰竭失代偿期”的标准。须满足下列任意三个条件：</w:t>
            </w:r>
          </w:p>
          <w:p>
            <w:pPr>
              <w:pStyle w:val="TableParagraph"/>
              <w:numPr>
                <w:ilvl w:val="0"/>
                <w:numId w:val="21"/>
              </w:numPr>
              <w:tabs>
                <w:tab w:pos="708" w:val="left" w:leader="none"/>
              </w:tabs>
              <w:spacing w:line="240" w:lineRule="auto" w:before="7" w:after="0"/>
              <w:ind w:left="707" w:right="0" w:hanging="632"/>
              <w:jc w:val="left"/>
              <w:rPr>
                <w:sz w:val="21"/>
              </w:rPr>
            </w:pPr>
            <w:r>
              <w:rPr>
                <w:spacing w:val="-3"/>
                <w:sz w:val="21"/>
              </w:rPr>
              <w:t>持续性黄疸；</w:t>
            </w:r>
          </w:p>
          <w:p>
            <w:pPr>
              <w:pStyle w:val="TableParagraph"/>
              <w:numPr>
                <w:ilvl w:val="0"/>
                <w:numId w:val="21"/>
              </w:numPr>
              <w:tabs>
                <w:tab w:pos="708" w:val="left" w:leader="none"/>
              </w:tabs>
              <w:spacing w:line="240" w:lineRule="auto" w:before="37" w:after="0"/>
              <w:ind w:left="707" w:right="0" w:hanging="632"/>
              <w:jc w:val="left"/>
              <w:rPr>
                <w:sz w:val="21"/>
              </w:rPr>
            </w:pPr>
            <w:r>
              <w:rPr>
                <w:spacing w:val="-2"/>
                <w:sz w:val="21"/>
              </w:rPr>
              <w:t>腹水；</w:t>
            </w:r>
          </w:p>
          <w:p>
            <w:pPr>
              <w:pStyle w:val="TableParagraph"/>
              <w:numPr>
                <w:ilvl w:val="0"/>
                <w:numId w:val="21"/>
              </w:numPr>
              <w:tabs>
                <w:tab w:pos="708" w:val="left" w:leader="none"/>
              </w:tabs>
              <w:spacing w:line="240" w:lineRule="auto" w:before="37" w:after="0"/>
              <w:ind w:left="707" w:right="0" w:hanging="632"/>
              <w:jc w:val="left"/>
              <w:rPr>
                <w:sz w:val="21"/>
              </w:rPr>
            </w:pPr>
            <w:r>
              <w:rPr>
                <w:spacing w:val="-2"/>
                <w:sz w:val="21"/>
              </w:rPr>
              <w:t>肝性脑病</w:t>
            </w:r>
          </w:p>
          <w:p>
            <w:pPr>
              <w:pStyle w:val="TableParagraph"/>
              <w:numPr>
                <w:ilvl w:val="0"/>
                <w:numId w:val="21"/>
              </w:numPr>
              <w:tabs>
                <w:tab w:pos="708" w:val="left" w:leader="none"/>
              </w:tabs>
              <w:spacing w:line="240" w:lineRule="auto" w:before="37" w:after="0"/>
              <w:ind w:left="707" w:right="0" w:hanging="632"/>
              <w:jc w:val="left"/>
              <w:rPr>
                <w:sz w:val="21"/>
              </w:rPr>
            </w:pPr>
            <w:r>
              <w:rPr>
                <w:spacing w:val="-3"/>
                <w:sz w:val="21"/>
              </w:rPr>
              <w:t>充血性脾肿大伴脾功能亢进或食管胃底静脉曲张。</w:t>
            </w:r>
          </w:p>
          <w:p>
            <w:pPr>
              <w:pStyle w:val="TableParagraph"/>
              <w:ind w:left="75"/>
              <w:rPr>
                <w:rFonts w:ascii="黑体" w:eastAsia="黑体" w:hint="eastAsia"/>
                <w:sz w:val="21"/>
              </w:rPr>
            </w:pPr>
            <w:r>
              <w:rPr>
                <w:rFonts w:ascii="黑体" w:eastAsia="黑体" w:hint="eastAsia"/>
                <w:sz w:val="21"/>
              </w:rPr>
              <w:t>因酗酒或药物滥用导致的肝功能衰竭不在保障范围内。</w:t>
            </w:r>
          </w:p>
          <w:p>
            <w:pPr>
              <w:pStyle w:val="TableParagraph"/>
              <w:spacing w:line="273" w:lineRule="auto"/>
              <w:ind w:left="75" w:right="198"/>
              <w:rPr>
                <w:rFonts w:ascii="黑体" w:hAnsi="黑体" w:eastAsia="黑体" w:hint="eastAsia"/>
                <w:sz w:val="21"/>
              </w:rPr>
            </w:pPr>
            <w:r>
              <w:rPr>
                <w:rFonts w:ascii="黑体" w:hAnsi="黑体" w:eastAsia="黑体" w:hint="eastAsia"/>
                <w:spacing w:val="-7"/>
                <w:sz w:val="21"/>
              </w:rPr>
              <w:t>本公司对“病毒性肝炎导致的肝硬化”和“慢性肝功能衰竭”两项中的其中一项承</w:t>
            </w:r>
            <w:r>
              <w:rPr>
                <w:rFonts w:ascii="黑体" w:hAnsi="黑体" w:eastAsia="黑体" w:hint="eastAsia"/>
                <w:spacing w:val="-3"/>
                <w:sz w:val="21"/>
              </w:rPr>
              <w:t>担保险责任后，对另一项轻症疾病保险责任同时终止。</w:t>
            </w:r>
          </w:p>
        </w:tc>
      </w:tr>
      <w:tr>
        <w:trPr>
          <w:trHeight w:val="2211" w:hRule="atLeast"/>
        </w:trPr>
        <w:tc>
          <w:tcPr>
            <w:tcW w:w="1543" w:type="dxa"/>
          </w:tcPr>
          <w:p>
            <w:pPr>
              <w:pStyle w:val="TableParagraph"/>
              <w:spacing w:before="58"/>
              <w:rPr>
                <w:b/>
                <w:sz w:val="21"/>
              </w:rPr>
            </w:pPr>
            <w:r>
              <w:rPr>
                <w:b/>
                <w:sz w:val="21"/>
              </w:rPr>
              <w:t>13.单耳失聪</w:t>
            </w:r>
          </w:p>
        </w:tc>
        <w:tc>
          <w:tcPr>
            <w:tcW w:w="7806" w:type="dxa"/>
          </w:tcPr>
          <w:p>
            <w:pPr>
              <w:pStyle w:val="TableParagraph"/>
              <w:spacing w:line="273" w:lineRule="auto" w:before="58"/>
              <w:ind w:left="75" w:right="198"/>
              <w:rPr>
                <w:sz w:val="21"/>
              </w:rPr>
            </w:pPr>
            <w:r>
              <w:rPr>
                <w:spacing w:val="-5"/>
                <w:sz w:val="21"/>
              </w:rPr>
              <w:t>指因疾病或者意外伤害导致单耳听力永久不可逆性丧失，未达到重大疾病“双耳失</w:t>
            </w:r>
            <w:r>
              <w:rPr>
                <w:spacing w:val="-7"/>
                <w:sz w:val="21"/>
              </w:rPr>
              <w:t>聪”的给付标准，但满足以下条件：在 </w:t>
            </w:r>
            <w:r>
              <w:rPr>
                <w:sz w:val="21"/>
              </w:rPr>
              <w:t>500</w:t>
            </w:r>
            <w:r>
              <w:rPr>
                <w:spacing w:val="-13"/>
                <w:sz w:val="21"/>
              </w:rPr>
              <w:t> 赫兹、</w:t>
            </w:r>
            <w:r>
              <w:rPr>
                <w:sz w:val="21"/>
              </w:rPr>
              <w:t>1000</w:t>
            </w:r>
            <w:r>
              <w:rPr>
                <w:spacing w:val="-19"/>
                <w:sz w:val="21"/>
              </w:rPr>
              <w:t> 赫兹和 </w:t>
            </w:r>
            <w:r>
              <w:rPr>
                <w:sz w:val="21"/>
              </w:rPr>
              <w:t>2000</w:t>
            </w:r>
            <w:r>
              <w:rPr>
                <w:spacing w:val="-9"/>
                <w:sz w:val="21"/>
              </w:rPr>
              <w:t> 赫兹语音频率</w:t>
            </w:r>
          </w:p>
          <w:p>
            <w:pPr>
              <w:pStyle w:val="TableParagraph"/>
              <w:spacing w:line="273" w:lineRule="auto" w:before="7"/>
              <w:ind w:left="75" w:right="144"/>
              <w:rPr>
                <w:sz w:val="21"/>
              </w:rPr>
            </w:pPr>
            <w:r>
              <w:rPr>
                <w:sz w:val="21"/>
              </w:rPr>
              <w:t>下，平均听阈大于 90 分贝，且经纯音听力测试、声导抗检测或者听觉诱发电位检测等证实。</w:t>
            </w:r>
          </w:p>
          <w:p>
            <w:pPr>
              <w:pStyle w:val="TableParagraph"/>
              <w:spacing w:before="7"/>
              <w:ind w:left="75"/>
              <w:rPr>
                <w:rFonts w:ascii="黑体" w:eastAsia="黑体" w:hint="eastAsia"/>
                <w:sz w:val="21"/>
              </w:rPr>
            </w:pPr>
            <w:r>
              <w:rPr>
                <w:rFonts w:ascii="黑体" w:eastAsia="黑体" w:hint="eastAsia"/>
                <w:sz w:val="21"/>
              </w:rPr>
              <w:t>被保险人在 3 周岁之前因疾病导致的单耳失聪不在保障范围内。</w:t>
            </w:r>
          </w:p>
          <w:p>
            <w:pPr>
              <w:pStyle w:val="TableParagraph"/>
              <w:spacing w:line="310" w:lineRule="atLeast" w:before="1"/>
              <w:ind w:left="75" w:right="198"/>
              <w:rPr>
                <w:rFonts w:ascii="黑体" w:hAnsi="黑体" w:eastAsia="黑体" w:hint="eastAsia"/>
                <w:sz w:val="21"/>
              </w:rPr>
            </w:pPr>
            <w:r>
              <w:rPr>
                <w:rFonts w:ascii="黑体" w:hAnsi="黑体" w:eastAsia="黑体" w:hint="eastAsia"/>
                <w:spacing w:val="-17"/>
                <w:sz w:val="21"/>
              </w:rPr>
              <w:t>本公司对“单耳失聪”、“听力严重受损”和“人工耳蜗植入术”三项中的其中一项</w:t>
            </w:r>
            <w:r>
              <w:rPr>
                <w:rFonts w:ascii="黑体" w:hAnsi="黑体" w:eastAsia="黑体" w:hint="eastAsia"/>
                <w:spacing w:val="-7"/>
                <w:sz w:val="21"/>
              </w:rPr>
              <w:t>承担保险责任后，对其它两项轻症疾病保险责任同时终止。</w:t>
            </w:r>
          </w:p>
        </w:tc>
      </w:tr>
    </w:tbl>
    <w:p>
      <w:pPr>
        <w:spacing w:after="0" w:line="310" w:lineRule="atLeast"/>
        <w:rPr>
          <w:rFonts w:ascii="黑体" w:hAnsi="黑体" w:eastAsia="黑体" w:hint="eastAsia"/>
          <w:sz w:val="21"/>
        </w:rPr>
        <w:sectPr>
          <w:pgSz w:w="11910" w:h="16840"/>
          <w:pgMar w:header="0" w:footer="377" w:top="1340" w:bottom="560" w:left="152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2"/>
      </w:tblGrid>
      <w:tr>
        <w:trPr>
          <w:trHeight w:val="1881" w:hRule="atLeast"/>
        </w:trPr>
        <w:tc>
          <w:tcPr>
            <w:tcW w:w="1490" w:type="dxa"/>
          </w:tcPr>
          <w:p>
            <w:pPr>
              <w:pStyle w:val="TableParagraph"/>
              <w:spacing w:line="205" w:lineRule="exact" w:before="0"/>
              <w:rPr>
                <w:b/>
                <w:sz w:val="21"/>
              </w:rPr>
            </w:pPr>
            <w:r>
              <w:rPr>
                <w:b/>
                <w:sz w:val="21"/>
              </w:rPr>
              <w:t>14.人工耳蜗</w:t>
            </w:r>
          </w:p>
          <w:p>
            <w:pPr>
              <w:pStyle w:val="TableParagraph"/>
              <w:rPr>
                <w:b/>
                <w:sz w:val="21"/>
              </w:rPr>
            </w:pPr>
            <w:r>
              <w:rPr>
                <w:b/>
                <w:sz w:val="21"/>
              </w:rPr>
              <w:t>植入术</w:t>
            </w:r>
          </w:p>
        </w:tc>
        <w:tc>
          <w:tcPr>
            <w:tcW w:w="7962" w:type="dxa"/>
          </w:tcPr>
          <w:p>
            <w:pPr>
              <w:pStyle w:val="TableParagraph"/>
              <w:spacing w:line="205" w:lineRule="exact" w:before="0"/>
              <w:ind w:left="128"/>
              <w:rPr>
                <w:sz w:val="21"/>
              </w:rPr>
            </w:pPr>
            <w:r>
              <w:rPr>
                <w:sz w:val="21"/>
              </w:rPr>
              <w:t>指由于耳蜗的永久损害而实际实施了人工耳蜗植入手术。诊断须经专科医生确认在</w:t>
            </w:r>
          </w:p>
          <w:p>
            <w:pPr>
              <w:pStyle w:val="TableParagraph"/>
              <w:ind w:left="128"/>
              <w:rPr>
                <w:sz w:val="21"/>
              </w:rPr>
            </w:pPr>
            <w:r>
              <w:rPr>
                <w:sz w:val="21"/>
              </w:rPr>
              <w:t>医学上是必要的，且在植入手术之前已经符合下列全部条件：</w:t>
            </w:r>
          </w:p>
          <w:p>
            <w:pPr>
              <w:pStyle w:val="TableParagraph"/>
              <w:ind w:left="128"/>
              <w:rPr>
                <w:sz w:val="21"/>
              </w:rPr>
            </w:pPr>
            <w:r>
              <w:rPr>
                <w:sz w:val="21"/>
              </w:rPr>
              <w:t>1.双耳持续 12 个月以上重度感音神经性耳聋；</w:t>
            </w:r>
          </w:p>
          <w:p>
            <w:pPr>
              <w:pStyle w:val="TableParagraph"/>
              <w:ind w:left="128"/>
              <w:rPr>
                <w:sz w:val="21"/>
              </w:rPr>
            </w:pPr>
            <w:r>
              <w:rPr>
                <w:sz w:val="21"/>
              </w:rPr>
              <w:t>2.使用相应的听力辅助设备效果不佳。</w:t>
            </w:r>
          </w:p>
          <w:p>
            <w:pPr>
              <w:pStyle w:val="TableParagraph"/>
              <w:spacing w:line="273" w:lineRule="auto"/>
              <w:ind w:left="128" w:right="301"/>
              <w:rPr>
                <w:rFonts w:ascii="黑体" w:hAnsi="黑体" w:eastAsia="黑体" w:hint="eastAsia"/>
                <w:sz w:val="21"/>
              </w:rPr>
            </w:pPr>
            <w:r>
              <w:rPr>
                <w:rFonts w:ascii="黑体" w:hAnsi="黑体" w:eastAsia="黑体" w:hint="eastAsia"/>
                <w:spacing w:val="-17"/>
                <w:sz w:val="21"/>
              </w:rPr>
              <w:t>本公司对“单耳失聪”、“听力严重受损”和“人工耳蜗植入术”三项中的其中一项</w:t>
            </w:r>
            <w:r>
              <w:rPr>
                <w:rFonts w:ascii="黑体" w:hAnsi="黑体" w:eastAsia="黑体" w:hint="eastAsia"/>
                <w:spacing w:val="-7"/>
                <w:sz w:val="21"/>
              </w:rPr>
              <w:t>承担保险责任后，对其它两项轻症疾病保险责任同时终止。</w:t>
            </w:r>
          </w:p>
        </w:tc>
      </w:tr>
      <w:tr>
        <w:trPr>
          <w:trHeight w:val="2322" w:hRule="atLeast"/>
        </w:trPr>
        <w:tc>
          <w:tcPr>
            <w:tcW w:w="1490" w:type="dxa"/>
          </w:tcPr>
          <w:p>
            <w:pPr>
              <w:pStyle w:val="TableParagraph"/>
              <w:spacing w:line="273" w:lineRule="auto" w:before="40"/>
              <w:ind w:right="126"/>
              <w:rPr>
                <w:b/>
                <w:sz w:val="21"/>
              </w:rPr>
            </w:pPr>
            <w:r>
              <w:rPr>
                <w:b/>
                <w:sz w:val="21"/>
              </w:rPr>
              <w:t>15.听力严重受损</w:t>
            </w:r>
          </w:p>
        </w:tc>
        <w:tc>
          <w:tcPr>
            <w:tcW w:w="7962" w:type="dxa"/>
          </w:tcPr>
          <w:p>
            <w:pPr>
              <w:pStyle w:val="TableParagraph"/>
              <w:spacing w:before="40"/>
              <w:ind w:left="128"/>
              <w:rPr>
                <w:sz w:val="21"/>
              </w:rPr>
            </w:pPr>
            <w:r>
              <w:rPr>
                <w:sz w:val="21"/>
              </w:rPr>
              <w:t>指因疾病或意外伤害导致双耳听力永久不可逆性丧失，在 500 赫兹、1000 赫兹和</w:t>
            </w:r>
          </w:p>
          <w:p>
            <w:pPr>
              <w:pStyle w:val="TableParagraph"/>
              <w:spacing w:line="273" w:lineRule="auto" w:before="36"/>
              <w:ind w:left="128" w:right="301"/>
              <w:rPr>
                <w:sz w:val="21"/>
              </w:rPr>
            </w:pPr>
            <w:r>
              <w:rPr>
                <w:sz w:val="21"/>
              </w:rPr>
              <w:t>2000</w:t>
            </w:r>
            <w:r>
              <w:rPr>
                <w:spacing w:val="-9"/>
                <w:sz w:val="21"/>
              </w:rPr>
              <w:t> 赫兹语音频率下，平均听阈大于 </w:t>
            </w:r>
            <w:r>
              <w:rPr>
                <w:sz w:val="21"/>
              </w:rPr>
              <w:t>70</w:t>
            </w:r>
            <w:r>
              <w:rPr>
                <w:spacing w:val="-7"/>
                <w:sz w:val="21"/>
              </w:rPr>
              <w:t> 分贝，且经纯音听力测试、声导抗检测或</w:t>
            </w:r>
            <w:r>
              <w:rPr>
                <w:spacing w:val="-5"/>
                <w:sz w:val="21"/>
              </w:rPr>
              <w:t>听觉诱发电位检测等证实。</w:t>
            </w:r>
          </w:p>
          <w:p>
            <w:pPr>
              <w:pStyle w:val="TableParagraph"/>
              <w:spacing w:line="273" w:lineRule="auto" w:before="7"/>
              <w:ind w:left="128" w:right="260"/>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p>
            <w:pPr>
              <w:pStyle w:val="TableParagraph"/>
              <w:spacing w:line="273" w:lineRule="auto" w:before="8"/>
              <w:ind w:left="128" w:right="301"/>
              <w:rPr>
                <w:rFonts w:ascii="黑体" w:hAnsi="黑体" w:eastAsia="黑体" w:hint="eastAsia"/>
                <w:sz w:val="21"/>
              </w:rPr>
            </w:pPr>
            <w:r>
              <w:rPr>
                <w:rFonts w:ascii="黑体" w:hAnsi="黑体" w:eastAsia="黑体" w:hint="eastAsia"/>
                <w:spacing w:val="-17"/>
                <w:sz w:val="21"/>
              </w:rPr>
              <w:t>本公司对“单耳失聪”、“听力严重受损”和“人工耳蜗植入术”三项中的其中一项</w:t>
            </w:r>
            <w:r>
              <w:rPr>
                <w:rFonts w:ascii="黑体" w:hAnsi="黑体" w:eastAsia="黑体" w:hint="eastAsia"/>
                <w:spacing w:val="-7"/>
                <w:sz w:val="21"/>
              </w:rPr>
              <w:t>承担保险责任后，对其它两项轻症疾病保险责任同时终止。</w:t>
            </w:r>
          </w:p>
        </w:tc>
      </w:tr>
      <w:tr>
        <w:trPr>
          <w:trHeight w:val="2964" w:hRule="atLeast"/>
        </w:trPr>
        <w:tc>
          <w:tcPr>
            <w:tcW w:w="1490" w:type="dxa"/>
          </w:tcPr>
          <w:p>
            <w:pPr>
              <w:pStyle w:val="TableParagraph"/>
              <w:spacing w:line="273" w:lineRule="auto" w:before="58"/>
              <w:ind w:right="126"/>
              <w:rPr>
                <w:b/>
                <w:sz w:val="21"/>
              </w:rPr>
            </w:pPr>
            <w:r>
              <w:rPr>
                <w:b/>
                <w:sz w:val="21"/>
              </w:rPr>
              <w:t>16.视力严重受损</w:t>
            </w:r>
          </w:p>
        </w:tc>
        <w:tc>
          <w:tcPr>
            <w:tcW w:w="7962" w:type="dxa"/>
          </w:tcPr>
          <w:p>
            <w:pPr>
              <w:pStyle w:val="TableParagraph"/>
              <w:spacing w:line="273" w:lineRule="auto" w:before="58"/>
              <w:ind w:left="128" w:right="260"/>
              <w:rPr>
                <w:sz w:val="21"/>
              </w:rPr>
            </w:pPr>
            <w:r>
              <w:rPr>
                <w:sz w:val="21"/>
              </w:rPr>
              <w:t>指因疾病或者意外伤害导致双眼视力永久不可逆性丧失，虽然未达到重大疾病“双目失明”的给付标准，但满足下列条件之一：</w:t>
            </w:r>
          </w:p>
          <w:p>
            <w:pPr>
              <w:pStyle w:val="TableParagraph"/>
              <w:numPr>
                <w:ilvl w:val="0"/>
                <w:numId w:val="22"/>
              </w:numPr>
              <w:tabs>
                <w:tab w:pos="761" w:val="left" w:leader="none"/>
              </w:tabs>
              <w:spacing w:line="273" w:lineRule="auto" w:before="7" w:after="0"/>
              <w:ind w:left="128" w:right="301" w:firstLine="0"/>
              <w:jc w:val="left"/>
              <w:rPr>
                <w:sz w:val="21"/>
              </w:rPr>
            </w:pPr>
            <w:r>
              <w:rPr>
                <w:spacing w:val="-4"/>
                <w:sz w:val="21"/>
              </w:rPr>
              <w:t>双眼中较好眼矫正视力低于 </w:t>
            </w:r>
            <w:r>
              <w:rPr>
                <w:sz w:val="21"/>
              </w:rPr>
              <w:t>0.1（</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numPr>
                <w:ilvl w:val="0"/>
                <w:numId w:val="22"/>
              </w:numPr>
              <w:tabs>
                <w:tab w:pos="761" w:val="left" w:leader="none"/>
              </w:tabs>
              <w:spacing w:line="240" w:lineRule="auto" w:before="7" w:after="0"/>
              <w:ind w:left="128" w:right="0" w:firstLine="0"/>
              <w:jc w:val="left"/>
              <w:rPr>
                <w:sz w:val="21"/>
              </w:rPr>
            </w:pPr>
            <w:r>
              <w:rPr>
                <w:spacing w:val="-7"/>
                <w:sz w:val="21"/>
              </w:rPr>
              <w:t>双眼中较好眼视野半径小于 </w:t>
            </w:r>
            <w:r>
              <w:rPr>
                <w:sz w:val="21"/>
              </w:rPr>
              <w:t>20 度。</w:t>
            </w:r>
          </w:p>
          <w:p>
            <w:pPr>
              <w:pStyle w:val="TableParagraph"/>
              <w:spacing w:line="273" w:lineRule="auto" w:before="36"/>
              <w:ind w:left="128" w:right="260"/>
              <w:rPr>
                <w:rFonts w:ascii="黑体" w:eastAsia="黑体" w:hint="eastAsia"/>
                <w:sz w:val="21"/>
              </w:rPr>
            </w:pPr>
            <w:r>
              <w:rPr>
                <w:rFonts w:ascii="黑体" w:eastAsia="黑体" w:hint="eastAsia"/>
                <w:sz w:val="21"/>
              </w:rPr>
              <w:t>被保险人申请理赔时年龄必须在三周岁以上，并且提供理赔当时的视力丧失诊断及检查证据。</w:t>
            </w:r>
          </w:p>
          <w:p>
            <w:pPr>
              <w:pStyle w:val="TableParagraph"/>
              <w:spacing w:line="273" w:lineRule="auto" w:before="7"/>
              <w:ind w:left="128" w:right="303"/>
              <w:rPr>
                <w:rFonts w:ascii="黑体" w:hAnsi="黑体" w:eastAsia="黑体" w:hint="eastAsia"/>
                <w:sz w:val="21"/>
              </w:rPr>
            </w:pPr>
            <w:r>
              <w:rPr>
                <w:rFonts w:ascii="黑体" w:hAnsi="黑体" w:eastAsia="黑体" w:hint="eastAsia"/>
                <w:spacing w:val="-17"/>
                <w:sz w:val="21"/>
              </w:rPr>
              <w:t>本公司对“视力严重受损”、“单目失明”和“角膜移植”三项中的其中一项承担保</w:t>
            </w:r>
            <w:r>
              <w:rPr>
                <w:rFonts w:ascii="黑体" w:hAnsi="黑体" w:eastAsia="黑体" w:hint="eastAsia"/>
                <w:spacing w:val="-3"/>
                <w:sz w:val="21"/>
              </w:rPr>
              <w:t>险责任后，对其它两项轻症疾病保险责任同时终止。</w:t>
            </w:r>
          </w:p>
        </w:tc>
      </w:tr>
      <w:tr>
        <w:trPr>
          <w:trHeight w:val="1404" w:hRule="atLeast"/>
        </w:trPr>
        <w:tc>
          <w:tcPr>
            <w:tcW w:w="1490" w:type="dxa"/>
          </w:tcPr>
          <w:p>
            <w:pPr>
              <w:pStyle w:val="TableParagraph"/>
              <w:spacing w:before="58"/>
              <w:ind w:left="0" w:right="126"/>
              <w:jc w:val="right"/>
              <w:rPr>
                <w:b/>
                <w:sz w:val="21"/>
              </w:rPr>
            </w:pPr>
            <w:r>
              <w:rPr>
                <w:b/>
                <w:sz w:val="21"/>
              </w:rPr>
              <w:t>17.角膜移植</w:t>
            </w:r>
          </w:p>
        </w:tc>
        <w:tc>
          <w:tcPr>
            <w:tcW w:w="7962" w:type="dxa"/>
          </w:tcPr>
          <w:p>
            <w:pPr>
              <w:pStyle w:val="TableParagraph"/>
              <w:spacing w:before="58"/>
              <w:ind w:left="128"/>
              <w:rPr>
                <w:sz w:val="21"/>
              </w:rPr>
            </w:pPr>
            <w:r>
              <w:rPr>
                <w:sz w:val="21"/>
              </w:rPr>
              <w:t>指为增进视力或治疗某些角膜疾患，已经实施了异体的角膜移植手术。</w:t>
            </w:r>
          </w:p>
          <w:p>
            <w:pPr>
              <w:pStyle w:val="TableParagraph"/>
              <w:spacing w:before="36"/>
              <w:ind w:left="128"/>
              <w:rPr>
                <w:sz w:val="21"/>
              </w:rPr>
            </w:pPr>
            <w:r>
              <w:rPr>
                <w:sz w:val="21"/>
              </w:rPr>
              <w:t>此手术必须在本公司认可医院内由专科医生认为是医疗必须的情况下进行。</w:t>
            </w:r>
          </w:p>
          <w:p>
            <w:pPr>
              <w:pStyle w:val="TableParagraph"/>
              <w:spacing w:line="273" w:lineRule="auto" w:before="36"/>
              <w:ind w:left="128" w:right="303"/>
              <w:rPr>
                <w:rFonts w:ascii="黑体" w:hAnsi="黑体" w:eastAsia="黑体" w:hint="eastAsia"/>
                <w:sz w:val="21"/>
              </w:rPr>
            </w:pPr>
            <w:r>
              <w:rPr>
                <w:rFonts w:ascii="黑体" w:hAnsi="黑体" w:eastAsia="黑体" w:hint="eastAsia"/>
                <w:spacing w:val="-17"/>
                <w:sz w:val="21"/>
              </w:rPr>
              <w:t>本公司对“视力严重受损”、“单目失明”和“角膜移植”三项中的其中一项承担保</w:t>
            </w:r>
            <w:r>
              <w:rPr>
                <w:rFonts w:ascii="黑体" w:hAnsi="黑体" w:eastAsia="黑体" w:hint="eastAsia"/>
                <w:spacing w:val="-3"/>
                <w:sz w:val="21"/>
              </w:rPr>
              <w:t>险责任后，对其它两项轻症疾病保险责任同时终止。</w:t>
            </w:r>
          </w:p>
        </w:tc>
      </w:tr>
      <w:tr>
        <w:trPr>
          <w:trHeight w:val="3588" w:hRule="atLeast"/>
        </w:trPr>
        <w:tc>
          <w:tcPr>
            <w:tcW w:w="1490" w:type="dxa"/>
          </w:tcPr>
          <w:p>
            <w:pPr>
              <w:pStyle w:val="TableParagraph"/>
              <w:spacing w:before="58"/>
              <w:ind w:left="0" w:right="126"/>
              <w:jc w:val="right"/>
              <w:rPr>
                <w:b/>
                <w:sz w:val="21"/>
              </w:rPr>
            </w:pPr>
            <w:r>
              <w:rPr>
                <w:b/>
                <w:sz w:val="21"/>
              </w:rPr>
              <w:t>18.单目失明</w:t>
            </w:r>
          </w:p>
        </w:tc>
        <w:tc>
          <w:tcPr>
            <w:tcW w:w="7962" w:type="dxa"/>
          </w:tcPr>
          <w:p>
            <w:pPr>
              <w:pStyle w:val="TableParagraph"/>
              <w:spacing w:line="273" w:lineRule="auto" w:before="58"/>
              <w:ind w:left="128" w:right="261"/>
              <w:rPr>
                <w:sz w:val="21"/>
              </w:rPr>
            </w:pPr>
            <w:r>
              <w:rPr>
                <w:sz w:val="21"/>
              </w:rPr>
              <w:t>指因疾病或意外伤害导致单眼视力永久不可逆性丧失，患眼须满足下列至少一项条件：</w:t>
            </w:r>
          </w:p>
          <w:p>
            <w:pPr>
              <w:pStyle w:val="TableParagraph"/>
              <w:spacing w:before="7"/>
              <w:ind w:left="128"/>
              <w:rPr>
                <w:sz w:val="21"/>
              </w:rPr>
            </w:pPr>
            <w:r>
              <w:rPr>
                <w:sz w:val="21"/>
              </w:rPr>
              <w:t>（1）眼球缺失或摘除；</w:t>
            </w:r>
          </w:p>
          <w:p>
            <w:pPr>
              <w:pStyle w:val="TableParagraph"/>
              <w:ind w:left="128"/>
              <w:rPr>
                <w:sz w:val="21"/>
              </w:rPr>
            </w:pPr>
            <w:r>
              <w:rPr>
                <w:w w:val="100"/>
                <w:sz w:val="21"/>
              </w:rPr>
              <w:t>（2</w:t>
            </w:r>
            <w:r>
              <w:rPr>
                <w:spacing w:val="-68"/>
                <w:w w:val="100"/>
                <w:sz w:val="21"/>
              </w:rPr>
              <w:t>）</w:t>
            </w:r>
            <w:r>
              <w:rPr>
                <w:spacing w:val="-3"/>
                <w:w w:val="100"/>
                <w:sz w:val="21"/>
              </w:rPr>
              <w:t>矫正视力低于</w:t>
            </w:r>
            <w:r>
              <w:rPr>
                <w:spacing w:val="-52"/>
                <w:sz w:val="21"/>
              </w:rPr>
              <w:t> </w:t>
            </w:r>
            <w:r>
              <w:rPr>
                <w:spacing w:val="-3"/>
                <w:w w:val="100"/>
                <w:sz w:val="21"/>
              </w:rPr>
              <w:t>0</w:t>
            </w:r>
            <w:r>
              <w:rPr>
                <w:w w:val="100"/>
                <w:sz w:val="21"/>
              </w:rPr>
              <w:t>.0</w:t>
            </w:r>
            <w:r>
              <w:rPr>
                <w:spacing w:val="-68"/>
                <w:w w:val="100"/>
                <w:sz w:val="21"/>
              </w:rPr>
              <w:t>2</w:t>
            </w:r>
            <w:r>
              <w:rPr>
                <w:spacing w:val="-3"/>
                <w:w w:val="100"/>
                <w:sz w:val="21"/>
              </w:rPr>
              <w:t>（</w:t>
            </w:r>
            <w:r>
              <w:rPr>
                <w:spacing w:val="-10"/>
                <w:w w:val="100"/>
                <w:sz w:val="21"/>
              </w:rPr>
              <w:t>采用国际标准视力表，如果使用其它视力表应进行换算</w:t>
            </w:r>
            <w:r>
              <w:rPr>
                <w:spacing w:val="-106"/>
                <w:w w:val="100"/>
                <w:sz w:val="21"/>
              </w:rPr>
              <w:t>）</w:t>
            </w:r>
            <w:r>
              <w:rPr>
                <w:w w:val="100"/>
                <w:sz w:val="21"/>
              </w:rPr>
              <w:t>；</w:t>
            </w:r>
          </w:p>
          <w:p>
            <w:pPr>
              <w:pStyle w:val="TableParagraph"/>
              <w:ind w:left="128"/>
              <w:rPr>
                <w:sz w:val="21"/>
              </w:rPr>
            </w:pPr>
            <w:r>
              <w:rPr>
                <w:sz w:val="21"/>
              </w:rPr>
              <w:t>（3）视野半径小于 5 度。</w:t>
            </w:r>
          </w:p>
          <w:p>
            <w:pPr>
              <w:pStyle w:val="TableParagraph"/>
              <w:spacing w:line="273" w:lineRule="auto" w:before="36"/>
              <w:ind w:left="128" w:right="260"/>
              <w:rPr>
                <w:sz w:val="21"/>
              </w:rPr>
            </w:pPr>
            <w:r>
              <w:rPr>
                <w:sz w:val="21"/>
              </w:rPr>
              <w:t>诊断须在本公司认可的医院内由眼科专科医生确认，并且提供理赔当时的视力丧失诊断及检查证据。</w:t>
            </w:r>
          </w:p>
          <w:p>
            <w:pPr>
              <w:pStyle w:val="TableParagraph"/>
              <w:spacing w:line="273" w:lineRule="auto" w:before="7"/>
              <w:ind w:left="128" w:right="260"/>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p>
            <w:pPr>
              <w:pStyle w:val="TableParagraph"/>
              <w:spacing w:line="273" w:lineRule="auto" w:before="7"/>
              <w:ind w:left="128" w:right="303"/>
              <w:rPr>
                <w:rFonts w:ascii="黑体" w:hAnsi="黑体" w:eastAsia="黑体" w:hint="eastAsia"/>
                <w:sz w:val="21"/>
              </w:rPr>
            </w:pPr>
            <w:r>
              <w:rPr>
                <w:rFonts w:ascii="黑体" w:hAnsi="黑体" w:eastAsia="黑体" w:hint="eastAsia"/>
                <w:spacing w:val="-17"/>
                <w:sz w:val="21"/>
              </w:rPr>
              <w:t>本公司对“视力严重受损”、“单目失明”和“角膜移植”三项中的其中一项承担保</w:t>
            </w:r>
            <w:r>
              <w:rPr>
                <w:rFonts w:ascii="黑体" w:hAnsi="黑体" w:eastAsia="黑体" w:hint="eastAsia"/>
                <w:spacing w:val="-3"/>
                <w:sz w:val="21"/>
              </w:rPr>
              <w:t>险责任后，对其它两项轻症疾病保险责任同时终止。</w:t>
            </w:r>
          </w:p>
        </w:tc>
      </w:tr>
      <w:tr>
        <w:trPr>
          <w:trHeight w:val="1092" w:hRule="atLeast"/>
        </w:trPr>
        <w:tc>
          <w:tcPr>
            <w:tcW w:w="1490" w:type="dxa"/>
          </w:tcPr>
          <w:p>
            <w:pPr>
              <w:pStyle w:val="TableParagraph"/>
              <w:spacing w:before="58"/>
              <w:ind w:left="0" w:right="126"/>
              <w:jc w:val="right"/>
              <w:rPr>
                <w:b/>
                <w:sz w:val="21"/>
              </w:rPr>
            </w:pPr>
            <w:r>
              <w:rPr>
                <w:b/>
                <w:sz w:val="21"/>
              </w:rPr>
              <w:t>19.中度瘫痪</w:t>
            </w:r>
          </w:p>
        </w:tc>
        <w:tc>
          <w:tcPr>
            <w:tcW w:w="7962" w:type="dxa"/>
          </w:tcPr>
          <w:p>
            <w:pPr>
              <w:pStyle w:val="TableParagraph"/>
              <w:spacing w:line="273" w:lineRule="auto" w:before="58"/>
              <w:ind w:left="128" w:right="301"/>
              <w:rPr>
                <w:sz w:val="21"/>
              </w:rPr>
            </w:pPr>
            <w:r>
              <w:rPr>
                <w:spacing w:val="-5"/>
                <w:sz w:val="21"/>
              </w:rPr>
              <w:t>指因疾病或者意外伤害导致一肢或一肢以上肢体机能永久完全丧失，且未达到重大</w:t>
            </w:r>
            <w:r>
              <w:rPr>
                <w:spacing w:val="-9"/>
                <w:sz w:val="21"/>
              </w:rPr>
              <w:t>疾病“瘫痪”的给付标准。肢体机能永久完全丧失，指疾病确诊 </w:t>
            </w:r>
            <w:r>
              <w:rPr>
                <w:sz w:val="21"/>
              </w:rPr>
              <w:t>180</w:t>
            </w:r>
            <w:r>
              <w:rPr>
                <w:spacing w:val="-7"/>
                <w:sz w:val="21"/>
              </w:rPr>
              <w:t> 天后或意外伤</w:t>
            </w:r>
          </w:p>
          <w:p>
            <w:pPr>
              <w:pStyle w:val="TableParagraph"/>
              <w:spacing w:before="7"/>
              <w:ind w:left="128"/>
              <w:rPr>
                <w:sz w:val="21"/>
              </w:rPr>
            </w:pPr>
            <w:r>
              <w:rPr>
                <w:sz w:val="21"/>
              </w:rPr>
              <w:t>害发生 180 天后，每肢三大关节中的两大关节仍然完全僵硬，或不能随意识活动。</w:t>
            </w:r>
          </w:p>
        </w:tc>
      </w:tr>
      <w:tr>
        <w:trPr>
          <w:trHeight w:val="963" w:hRule="atLeast"/>
        </w:trPr>
        <w:tc>
          <w:tcPr>
            <w:tcW w:w="1490" w:type="dxa"/>
          </w:tcPr>
          <w:p>
            <w:pPr>
              <w:pStyle w:val="TableParagraph"/>
              <w:spacing w:line="273" w:lineRule="auto" w:before="59"/>
              <w:ind w:right="233"/>
              <w:rPr>
                <w:b/>
                <w:sz w:val="21"/>
              </w:rPr>
            </w:pPr>
            <w:r>
              <w:rPr>
                <w:b/>
                <w:sz w:val="21"/>
              </w:rPr>
              <w:t>20. 心脏瓣膜介入手术</w:t>
            </w:r>
          </w:p>
          <w:p>
            <w:pPr>
              <w:pStyle w:val="TableParagraph"/>
              <w:spacing w:line="261" w:lineRule="exact" w:before="8"/>
              <w:rPr>
                <w:b/>
                <w:sz w:val="21"/>
              </w:rPr>
            </w:pPr>
            <w:r>
              <w:rPr>
                <w:b/>
                <w:sz w:val="21"/>
              </w:rPr>
              <w:t>（非开胸手</w:t>
            </w:r>
          </w:p>
        </w:tc>
        <w:tc>
          <w:tcPr>
            <w:tcW w:w="7962" w:type="dxa"/>
          </w:tcPr>
          <w:p>
            <w:pPr>
              <w:pStyle w:val="TableParagraph"/>
              <w:spacing w:line="273" w:lineRule="auto" w:before="59"/>
              <w:ind w:left="128" w:right="301"/>
              <w:rPr>
                <w:sz w:val="21"/>
              </w:rPr>
            </w:pPr>
            <w:r>
              <w:rPr>
                <w:spacing w:val="-7"/>
                <w:sz w:val="21"/>
              </w:rPr>
              <w:t>为了治疗心脏瓣膜疾病，实际实施了非开胸的经胸壁打孔内镜手术或者经皮经导管</w:t>
            </w:r>
            <w:r>
              <w:rPr>
                <w:spacing w:val="-5"/>
                <w:sz w:val="21"/>
              </w:rPr>
              <w:t>介入手术进行的心脏瓣膜置换或者修复手术。</w:t>
            </w:r>
          </w:p>
        </w:tc>
      </w:tr>
    </w:tbl>
    <w:p>
      <w:pPr>
        <w:spacing w:after="0" w:line="273" w:lineRule="auto"/>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943"/>
      </w:tblGrid>
      <w:tr>
        <w:trPr>
          <w:trHeight w:val="261" w:hRule="atLeast"/>
        </w:trPr>
        <w:tc>
          <w:tcPr>
            <w:tcW w:w="1512" w:type="dxa"/>
          </w:tcPr>
          <w:p>
            <w:pPr>
              <w:pStyle w:val="TableParagraph"/>
              <w:spacing w:line="205" w:lineRule="exact" w:before="0"/>
              <w:rPr>
                <w:b/>
                <w:sz w:val="21"/>
              </w:rPr>
            </w:pPr>
            <w:r>
              <w:rPr>
                <w:b/>
                <w:sz w:val="21"/>
              </w:rPr>
              <w:t>术）</w:t>
            </w:r>
          </w:p>
        </w:tc>
        <w:tc>
          <w:tcPr>
            <w:tcW w:w="7943" w:type="dxa"/>
          </w:tcPr>
          <w:p>
            <w:pPr>
              <w:pStyle w:val="TableParagraph"/>
              <w:spacing w:before="0"/>
              <w:ind w:left="0"/>
              <w:rPr>
                <w:rFonts w:ascii="Times New Roman"/>
                <w:sz w:val="18"/>
              </w:rPr>
            </w:pPr>
          </w:p>
        </w:tc>
      </w:tr>
      <w:tr>
        <w:trPr>
          <w:trHeight w:val="2547" w:hRule="atLeast"/>
        </w:trPr>
        <w:tc>
          <w:tcPr>
            <w:tcW w:w="1512" w:type="dxa"/>
          </w:tcPr>
          <w:p>
            <w:pPr>
              <w:pStyle w:val="TableParagraph"/>
              <w:spacing w:line="256" w:lineRule="exact" w:before="0"/>
              <w:rPr>
                <w:b/>
                <w:sz w:val="21"/>
              </w:rPr>
            </w:pPr>
            <w:r>
              <w:rPr>
                <w:b/>
                <w:sz w:val="21"/>
              </w:rPr>
              <w:t>21.中度阿尔</w:t>
            </w:r>
          </w:p>
          <w:p>
            <w:pPr>
              <w:pStyle w:val="TableParagraph"/>
              <w:rPr>
                <w:b/>
                <w:sz w:val="21"/>
              </w:rPr>
            </w:pPr>
            <w:r>
              <w:rPr>
                <w:b/>
                <w:sz w:val="21"/>
              </w:rPr>
              <w:t>茨海默病</w:t>
            </w:r>
          </w:p>
        </w:tc>
        <w:tc>
          <w:tcPr>
            <w:tcW w:w="7943" w:type="dxa"/>
          </w:tcPr>
          <w:p>
            <w:pPr>
              <w:pStyle w:val="TableParagraph"/>
              <w:spacing w:line="256" w:lineRule="exact" w:before="0"/>
              <w:ind w:left="106"/>
              <w:rPr>
                <w:sz w:val="21"/>
              </w:rPr>
            </w:pPr>
            <w:r>
              <w:rPr>
                <w:sz w:val="21"/>
              </w:rPr>
              <w:t>指因大脑进行性、不可逆性改变导致智能严重衰退或丧失，临床表现为明显的认知</w:t>
            </w:r>
          </w:p>
          <w:p>
            <w:pPr>
              <w:pStyle w:val="TableParagraph"/>
              <w:spacing w:line="273" w:lineRule="auto"/>
              <w:ind w:left="106" w:right="199"/>
              <w:rPr>
                <w:sz w:val="21"/>
              </w:rPr>
            </w:pPr>
            <w:r>
              <w:rPr>
                <w:spacing w:val="-6"/>
                <w:sz w:val="21"/>
              </w:rPr>
              <w:t>能力障碍、行为异常和社交能力减退，其日常生活必须持续受到他人监护。须由头</w:t>
            </w:r>
            <w:r>
              <w:rPr>
                <w:spacing w:val="-4"/>
                <w:sz w:val="21"/>
              </w:rPr>
              <w:t>颅断层扫描</w:t>
            </w:r>
            <w:r>
              <w:rPr>
                <w:sz w:val="21"/>
              </w:rPr>
              <w:t>(CT</w:t>
            </w:r>
            <w:r>
              <w:rPr>
                <w:spacing w:val="-4"/>
                <w:sz w:val="21"/>
              </w:rPr>
              <w:t>)、核磁共振检查</w:t>
            </w:r>
            <w:r>
              <w:rPr>
                <w:spacing w:val="-3"/>
                <w:sz w:val="21"/>
              </w:rPr>
              <w:t>（MRI）</w:t>
            </w:r>
            <w:r>
              <w:rPr>
                <w:spacing w:val="-4"/>
                <w:sz w:val="21"/>
              </w:rPr>
              <w:t>或正电子发射断层扫描</w:t>
            </w:r>
            <w:r>
              <w:rPr>
                <w:spacing w:val="-3"/>
                <w:sz w:val="21"/>
              </w:rPr>
              <w:t>（PET）等影像学检</w:t>
            </w:r>
            <w:r>
              <w:rPr>
                <w:spacing w:val="-14"/>
                <w:sz w:val="21"/>
              </w:rPr>
              <w:t>查证实，且自主生活能力严重丧失，无法独立完成六项基本日常生活活动中的两项， </w:t>
            </w:r>
            <w:r>
              <w:rPr>
                <w:spacing w:val="-7"/>
                <w:sz w:val="21"/>
              </w:rPr>
              <w:t>但未达到重大疾病“严重阿尔茨海默病”的给付标准。</w:t>
            </w:r>
          </w:p>
          <w:p>
            <w:pPr>
              <w:pStyle w:val="TableParagraph"/>
              <w:spacing w:before="7"/>
              <w:ind w:left="106"/>
              <w:rPr>
                <w:sz w:val="21"/>
              </w:rPr>
            </w:pPr>
            <w:r>
              <w:rPr>
                <w:sz w:val="21"/>
              </w:rPr>
              <w:t>以下情况不在保障范围内：</w:t>
            </w:r>
          </w:p>
          <w:p>
            <w:pPr>
              <w:pStyle w:val="TableParagraph"/>
              <w:numPr>
                <w:ilvl w:val="0"/>
                <w:numId w:val="23"/>
              </w:numPr>
              <w:tabs>
                <w:tab w:pos="739" w:val="left" w:leader="none"/>
              </w:tabs>
              <w:spacing w:line="240" w:lineRule="auto" w:before="36" w:after="0"/>
              <w:ind w:left="738" w:right="0" w:hanging="632"/>
              <w:jc w:val="left"/>
              <w:rPr>
                <w:sz w:val="21"/>
              </w:rPr>
            </w:pPr>
            <w:r>
              <w:rPr>
                <w:spacing w:val="-3"/>
                <w:sz w:val="21"/>
              </w:rPr>
              <w:t>存在酒精滥用、药物滥用或获得性免疫缺陷综合征</w:t>
            </w:r>
            <w:r>
              <w:rPr>
                <w:sz w:val="21"/>
              </w:rPr>
              <w:t>（AIDS）</w:t>
            </w:r>
            <w:r>
              <w:rPr>
                <w:spacing w:val="-3"/>
                <w:sz w:val="21"/>
              </w:rPr>
              <w:t>情况下的痴呆；</w:t>
            </w:r>
          </w:p>
          <w:p>
            <w:pPr>
              <w:pStyle w:val="TableParagraph"/>
              <w:numPr>
                <w:ilvl w:val="0"/>
                <w:numId w:val="23"/>
              </w:numPr>
              <w:tabs>
                <w:tab w:pos="739" w:val="left" w:leader="none"/>
              </w:tabs>
              <w:spacing w:line="240" w:lineRule="auto" w:before="36" w:after="0"/>
              <w:ind w:left="738" w:right="0" w:hanging="632"/>
              <w:jc w:val="left"/>
              <w:rPr>
                <w:sz w:val="21"/>
              </w:rPr>
            </w:pPr>
            <w:r>
              <w:rPr>
                <w:spacing w:val="-3"/>
                <w:sz w:val="21"/>
              </w:rPr>
              <w:t>神经官能症和精神疾病。</w:t>
            </w:r>
          </w:p>
        </w:tc>
      </w:tr>
      <w:tr>
        <w:trPr>
          <w:trHeight w:val="2980" w:hRule="atLeast"/>
        </w:trPr>
        <w:tc>
          <w:tcPr>
            <w:tcW w:w="1512" w:type="dxa"/>
          </w:tcPr>
          <w:p>
            <w:pPr>
              <w:pStyle w:val="TableParagraph"/>
              <w:spacing w:before="32"/>
              <w:rPr>
                <w:b/>
                <w:sz w:val="21"/>
              </w:rPr>
            </w:pPr>
            <w:r>
              <w:rPr>
                <w:b/>
                <w:sz w:val="21"/>
              </w:rPr>
              <w:t>22.脑损伤</w:t>
            </w:r>
          </w:p>
        </w:tc>
        <w:tc>
          <w:tcPr>
            <w:tcW w:w="7943" w:type="dxa"/>
          </w:tcPr>
          <w:p>
            <w:pPr>
              <w:pStyle w:val="TableParagraph"/>
              <w:spacing w:line="273" w:lineRule="auto" w:before="32"/>
              <w:ind w:left="106" w:right="201"/>
              <w:rPr>
                <w:sz w:val="21"/>
              </w:rPr>
            </w:pPr>
            <w:r>
              <w:rPr>
                <w:spacing w:val="-6"/>
                <w:sz w:val="21"/>
              </w:rPr>
              <w:t>指因头部遭受机械性外力，引起脑重要部位损伤，导致神经系统的功能障碍。须由</w:t>
            </w:r>
            <w:r>
              <w:rPr>
                <w:w w:val="100"/>
                <w:sz w:val="21"/>
              </w:rPr>
              <w:t>头颅断层扫描</w:t>
            </w:r>
            <w:r>
              <w:rPr>
                <w:spacing w:val="2"/>
                <w:w w:val="100"/>
                <w:sz w:val="21"/>
              </w:rPr>
              <w:t>（</w:t>
            </w:r>
            <w:r>
              <w:rPr>
                <w:w w:val="100"/>
                <w:sz w:val="21"/>
              </w:rPr>
              <w:t>CT</w:t>
            </w:r>
            <w:r>
              <w:rPr>
                <w:spacing w:val="-104"/>
                <w:w w:val="100"/>
                <w:sz w:val="21"/>
              </w:rPr>
              <w:t>）</w:t>
            </w:r>
            <w:r>
              <w:rPr>
                <w:w w:val="100"/>
                <w:sz w:val="21"/>
              </w:rPr>
              <w:t>、核磁共振检查</w:t>
            </w:r>
            <w:r>
              <w:rPr>
                <w:spacing w:val="2"/>
                <w:w w:val="100"/>
                <w:sz w:val="21"/>
              </w:rPr>
              <w:t>（</w:t>
            </w:r>
            <w:r>
              <w:rPr>
                <w:spacing w:val="-3"/>
                <w:w w:val="100"/>
                <w:sz w:val="21"/>
              </w:rPr>
              <w:t>M</w:t>
            </w:r>
            <w:r>
              <w:rPr>
                <w:w w:val="100"/>
                <w:sz w:val="21"/>
              </w:rPr>
              <w:t>R</w:t>
            </w:r>
            <w:r>
              <w:rPr>
                <w:spacing w:val="-1"/>
                <w:w w:val="100"/>
                <w:sz w:val="21"/>
              </w:rPr>
              <w:t>I</w:t>
            </w:r>
            <w:r>
              <w:rPr>
                <w:spacing w:val="1"/>
                <w:w w:val="100"/>
                <w:sz w:val="21"/>
              </w:rPr>
              <w:t>）</w:t>
            </w:r>
            <w:r>
              <w:rPr>
                <w:w w:val="100"/>
                <w:sz w:val="21"/>
              </w:rPr>
              <w:t>或正电子发射断层扫描</w:t>
            </w:r>
            <w:r>
              <w:rPr>
                <w:spacing w:val="3"/>
                <w:w w:val="100"/>
                <w:sz w:val="21"/>
              </w:rPr>
              <w:t>（</w:t>
            </w:r>
            <w:r>
              <w:rPr>
                <w:w w:val="100"/>
                <w:sz w:val="21"/>
              </w:rPr>
              <w:t>PET）等影像</w:t>
            </w:r>
            <w:r>
              <w:rPr>
                <w:spacing w:val="-12"/>
                <w:sz w:val="21"/>
              </w:rPr>
              <w:t>学检查证实。头部外伤导致神经系统功能障碍，虽然未达到重大疾病“严重脑损伤” </w:t>
            </w:r>
            <w:r>
              <w:rPr>
                <w:spacing w:val="-6"/>
                <w:sz w:val="21"/>
              </w:rPr>
              <w:t>的给付标准，但是符合以下条件：</w:t>
            </w:r>
          </w:p>
          <w:p>
            <w:pPr>
              <w:pStyle w:val="TableParagraph"/>
              <w:spacing w:before="7"/>
              <w:ind w:left="106"/>
              <w:rPr>
                <w:sz w:val="21"/>
              </w:rPr>
            </w:pPr>
            <w:r>
              <w:rPr>
                <w:sz w:val="21"/>
              </w:rPr>
              <w:t>脑损伤 30 天后，仍遗留下列一种或一种以上障碍：</w:t>
            </w:r>
          </w:p>
          <w:p>
            <w:pPr>
              <w:pStyle w:val="TableParagraph"/>
              <w:spacing w:before="36"/>
              <w:ind w:left="106"/>
              <w:rPr>
                <w:sz w:val="21"/>
              </w:rPr>
            </w:pPr>
            <w:r>
              <w:rPr>
                <w:sz w:val="21"/>
              </w:rPr>
              <w:t>（1）一肢或一肢以上肢体机能完全丧失；</w:t>
            </w:r>
          </w:p>
          <w:p>
            <w:pPr>
              <w:pStyle w:val="TableParagraph"/>
              <w:spacing w:before="36"/>
              <w:ind w:left="106"/>
              <w:rPr>
                <w:sz w:val="21"/>
              </w:rPr>
            </w:pPr>
            <w:r>
              <w:rPr>
                <w:sz w:val="21"/>
              </w:rPr>
              <w:t>（2）语言能力或咀嚼吞咽能力完全丧失；</w:t>
            </w:r>
          </w:p>
          <w:p>
            <w:pPr>
              <w:pStyle w:val="TableParagraph"/>
              <w:spacing w:line="273" w:lineRule="auto" w:before="36"/>
              <w:ind w:left="106" w:right="309"/>
              <w:rPr>
                <w:sz w:val="21"/>
              </w:rPr>
            </w:pPr>
            <w:r>
              <w:rPr>
                <w:sz w:val="21"/>
              </w:rPr>
              <w:t>（3）自主生活能力完全丧失，无法独立完成六项基本日常生活活动中的一项或一项以上。</w:t>
            </w:r>
          </w:p>
        </w:tc>
      </w:tr>
      <w:tr>
        <w:trPr>
          <w:trHeight w:val="2070" w:hRule="atLeast"/>
        </w:trPr>
        <w:tc>
          <w:tcPr>
            <w:tcW w:w="1512" w:type="dxa"/>
          </w:tcPr>
          <w:p>
            <w:pPr>
              <w:pStyle w:val="TableParagraph"/>
              <w:spacing w:line="273" w:lineRule="auto" w:before="100"/>
              <w:ind w:right="148"/>
              <w:rPr>
                <w:b/>
                <w:sz w:val="21"/>
              </w:rPr>
            </w:pPr>
            <w:r>
              <w:rPr>
                <w:b/>
                <w:sz w:val="21"/>
              </w:rPr>
              <w:t>23.中度帕金森氏病</w:t>
            </w:r>
          </w:p>
        </w:tc>
        <w:tc>
          <w:tcPr>
            <w:tcW w:w="7943" w:type="dxa"/>
          </w:tcPr>
          <w:p>
            <w:pPr>
              <w:pStyle w:val="TableParagraph"/>
              <w:spacing w:line="273" w:lineRule="auto" w:before="100"/>
              <w:ind w:left="106" w:right="270"/>
              <w:rPr>
                <w:sz w:val="21"/>
              </w:rPr>
            </w:pPr>
            <w:r>
              <w:rPr>
                <w:spacing w:val="-6"/>
                <w:sz w:val="21"/>
              </w:rPr>
              <w:t>是一种中枢神经系统的退行性疾病，临床表现为震颤麻痹、共济失调等。须同时符</w:t>
            </w:r>
            <w:r>
              <w:rPr>
                <w:spacing w:val="-4"/>
                <w:sz w:val="21"/>
              </w:rPr>
              <w:t>合下列所有条件，但未达到本附加险合同所指重大疾病“严重帕金森病”的标准：</w:t>
            </w:r>
          </w:p>
          <w:p>
            <w:pPr>
              <w:pStyle w:val="TableParagraph"/>
              <w:spacing w:before="7"/>
              <w:ind w:left="106"/>
              <w:rPr>
                <w:sz w:val="21"/>
              </w:rPr>
            </w:pPr>
            <w:r>
              <w:rPr>
                <w:sz w:val="21"/>
              </w:rPr>
              <w:t>（1）无法通过药物控制；</w:t>
            </w:r>
          </w:p>
          <w:p>
            <w:pPr>
              <w:pStyle w:val="TableParagraph"/>
              <w:spacing w:before="36"/>
              <w:ind w:left="106"/>
              <w:rPr>
                <w:sz w:val="21"/>
              </w:rPr>
            </w:pPr>
            <w:r>
              <w:rPr>
                <w:sz w:val="21"/>
              </w:rPr>
              <w:t>（2）出现逐步退化客观征状；</w:t>
            </w:r>
          </w:p>
          <w:p>
            <w:pPr>
              <w:pStyle w:val="TableParagraph"/>
              <w:spacing w:before="36"/>
              <w:ind w:left="106"/>
              <w:rPr>
                <w:sz w:val="21"/>
              </w:rPr>
            </w:pPr>
            <w:r>
              <w:rPr>
                <w:sz w:val="21"/>
              </w:rPr>
              <w:t>（3）至少 180 天无法独立完成六项基本日常生活活动中的二项。</w:t>
            </w:r>
          </w:p>
          <w:p>
            <w:pPr>
              <w:pStyle w:val="TableParagraph"/>
              <w:spacing w:before="36"/>
              <w:ind w:left="106"/>
              <w:rPr>
                <w:rFonts w:ascii="黑体" w:eastAsia="黑体" w:hint="eastAsia"/>
                <w:sz w:val="21"/>
              </w:rPr>
            </w:pPr>
            <w:r>
              <w:rPr>
                <w:rFonts w:ascii="黑体" w:eastAsia="黑体" w:hint="eastAsia"/>
                <w:sz w:val="21"/>
              </w:rPr>
              <w:t>继发性帕金森综合征不在保障范围内。</w:t>
            </w:r>
          </w:p>
        </w:tc>
      </w:tr>
      <w:tr>
        <w:trPr>
          <w:trHeight w:val="1403" w:hRule="atLeast"/>
        </w:trPr>
        <w:tc>
          <w:tcPr>
            <w:tcW w:w="1512" w:type="dxa"/>
          </w:tcPr>
          <w:p>
            <w:pPr>
              <w:pStyle w:val="TableParagraph"/>
              <w:spacing w:line="273" w:lineRule="auto" w:before="58"/>
              <w:ind w:right="148"/>
              <w:rPr>
                <w:b/>
                <w:sz w:val="21"/>
              </w:rPr>
            </w:pPr>
            <w:r>
              <w:rPr>
                <w:b/>
                <w:sz w:val="21"/>
              </w:rPr>
              <w:t>24.全身较小面积Ⅲ度烧伤</w:t>
            </w:r>
          </w:p>
        </w:tc>
        <w:tc>
          <w:tcPr>
            <w:tcW w:w="7943" w:type="dxa"/>
          </w:tcPr>
          <w:p>
            <w:pPr>
              <w:pStyle w:val="TableParagraph"/>
              <w:spacing w:line="273" w:lineRule="auto" w:before="58"/>
              <w:ind w:left="106" w:right="250"/>
              <w:rPr>
                <w:sz w:val="21"/>
              </w:rPr>
            </w:pPr>
            <w:r>
              <w:rPr>
                <w:sz w:val="21"/>
              </w:rPr>
              <w:t>指烧伤程度为Ⅲ度，且Ⅲ度烧伤面积为全身体表面积的 10%或者 10%以上，但尚未达到 20%。体表面积根据《中国新九分法》计算。</w:t>
            </w:r>
          </w:p>
          <w:p>
            <w:pPr>
              <w:pStyle w:val="TableParagraph"/>
              <w:spacing w:line="273" w:lineRule="auto" w:before="7"/>
              <w:ind w:left="106" w:right="317"/>
              <w:rPr>
                <w:rFonts w:ascii="黑体" w:hAnsi="黑体" w:eastAsia="黑体" w:hint="eastAsia"/>
                <w:sz w:val="21"/>
              </w:rPr>
            </w:pPr>
            <w:r>
              <w:rPr>
                <w:rFonts w:ascii="黑体" w:hAnsi="黑体" w:eastAsia="黑体" w:hint="eastAsia"/>
                <w:spacing w:val="-8"/>
                <w:sz w:val="21"/>
              </w:rPr>
              <w:t>若被保险人因同一原因导致其同时满足“全身较小面积Ⅲ度烧伤”、“轻度面部烧</w:t>
            </w:r>
            <w:r>
              <w:rPr>
                <w:rFonts w:ascii="黑体" w:hAnsi="黑体" w:eastAsia="黑体" w:hint="eastAsia"/>
                <w:spacing w:val="-13"/>
                <w:w w:val="100"/>
                <w:sz w:val="21"/>
              </w:rPr>
              <w:t>伤”，的，仅按其中一项给付。</w:t>
            </w:r>
          </w:p>
        </w:tc>
      </w:tr>
      <w:tr>
        <w:trPr>
          <w:trHeight w:val="1092" w:hRule="atLeast"/>
        </w:trPr>
        <w:tc>
          <w:tcPr>
            <w:tcW w:w="1512" w:type="dxa"/>
          </w:tcPr>
          <w:p>
            <w:pPr>
              <w:pStyle w:val="TableParagraph"/>
              <w:spacing w:line="273" w:lineRule="auto" w:before="58"/>
              <w:ind w:right="148"/>
              <w:rPr>
                <w:b/>
                <w:sz w:val="21"/>
              </w:rPr>
            </w:pPr>
            <w:r>
              <w:rPr>
                <w:b/>
                <w:sz w:val="21"/>
              </w:rPr>
              <w:t>25.原发性肺动脉高压</w:t>
            </w:r>
          </w:p>
        </w:tc>
        <w:tc>
          <w:tcPr>
            <w:tcW w:w="7943" w:type="dxa"/>
          </w:tcPr>
          <w:p>
            <w:pPr>
              <w:pStyle w:val="TableParagraph"/>
              <w:spacing w:line="273" w:lineRule="auto" w:before="58"/>
              <w:ind w:left="106" w:right="304"/>
              <w:jc w:val="both"/>
              <w:rPr>
                <w:sz w:val="21"/>
              </w:rPr>
            </w:pPr>
            <w:r>
              <w:rPr>
                <w:spacing w:val="-5"/>
                <w:sz w:val="21"/>
              </w:rPr>
              <w:t>指由于原发性肺动脉高压进行性发展而导致右心室肥厚，已经造成永久不可逆性的</w:t>
            </w:r>
            <w:r>
              <w:rPr>
                <w:spacing w:val="-11"/>
                <w:sz w:val="21"/>
              </w:rPr>
              <w:t>体力活动能力受限，达到美国纽约心脏病学会心功能状态分级 </w:t>
            </w:r>
            <w:r>
              <w:rPr>
                <w:sz w:val="21"/>
              </w:rPr>
              <w:t>III</w:t>
            </w:r>
            <w:r>
              <w:rPr>
                <w:spacing w:val="-7"/>
                <w:sz w:val="21"/>
              </w:rPr>
              <w:t> 级及以上，但尚</w:t>
            </w:r>
            <w:r>
              <w:rPr>
                <w:spacing w:val="-15"/>
                <w:sz w:val="21"/>
              </w:rPr>
              <w:t>未达到 </w:t>
            </w:r>
            <w:r>
              <w:rPr>
                <w:sz w:val="21"/>
              </w:rPr>
              <w:t>IV</w:t>
            </w:r>
            <w:r>
              <w:rPr>
                <w:spacing w:val="-6"/>
                <w:sz w:val="21"/>
              </w:rPr>
              <w:t> 级，且静息状态下肺动脉平均压超过 </w:t>
            </w:r>
            <w:r>
              <w:rPr>
                <w:sz w:val="21"/>
              </w:rPr>
              <w:t>25mmHg</w:t>
            </w:r>
            <w:r>
              <w:rPr>
                <w:spacing w:val="-9"/>
                <w:sz w:val="21"/>
              </w:rPr>
              <w:t>，但尚未超过 </w:t>
            </w:r>
            <w:r>
              <w:rPr>
                <w:sz w:val="21"/>
              </w:rPr>
              <w:t>30mmHg。</w:t>
            </w:r>
          </w:p>
        </w:tc>
      </w:tr>
      <w:tr>
        <w:trPr>
          <w:trHeight w:val="1082" w:hRule="atLeast"/>
        </w:trPr>
        <w:tc>
          <w:tcPr>
            <w:tcW w:w="1512" w:type="dxa"/>
          </w:tcPr>
          <w:p>
            <w:pPr>
              <w:pStyle w:val="TableParagraph"/>
              <w:spacing w:line="273" w:lineRule="auto" w:before="58"/>
              <w:ind w:right="148"/>
              <w:rPr>
                <w:b/>
                <w:sz w:val="21"/>
              </w:rPr>
            </w:pPr>
            <w:r>
              <w:rPr>
                <w:b/>
                <w:sz w:val="21"/>
              </w:rPr>
              <w:t>26.早期运动神经元病</w:t>
            </w:r>
          </w:p>
        </w:tc>
        <w:tc>
          <w:tcPr>
            <w:tcW w:w="7943" w:type="dxa"/>
          </w:tcPr>
          <w:p>
            <w:pPr>
              <w:pStyle w:val="TableParagraph"/>
              <w:spacing w:line="273" w:lineRule="auto" w:before="58"/>
              <w:ind w:left="106" w:right="304"/>
              <w:jc w:val="both"/>
              <w:rPr>
                <w:sz w:val="21"/>
              </w:rPr>
            </w:pPr>
            <w:r>
              <w:rPr>
                <w:spacing w:val="-5"/>
                <w:sz w:val="21"/>
              </w:rPr>
              <w:t>指一组中枢神经系统运动神经元的进行性变性疾病，包括进行性脊肌萎缩症、进行</w:t>
            </w:r>
            <w:r>
              <w:rPr>
                <w:spacing w:val="-8"/>
                <w:sz w:val="21"/>
              </w:rPr>
              <w:t>性延髓麻痹症、原发性侧索硬化症、肌萎缩性侧索硬化症。须满足自主生活能力部</w:t>
            </w:r>
            <w:r>
              <w:rPr>
                <w:spacing w:val="-5"/>
                <w:sz w:val="21"/>
              </w:rPr>
              <w:t>分丧失，无法独立完成六项基本日常生活活动中的两项或者两项以上的条件。</w:t>
            </w:r>
          </w:p>
        </w:tc>
      </w:tr>
      <w:tr>
        <w:trPr>
          <w:trHeight w:val="1672" w:hRule="atLeast"/>
        </w:trPr>
        <w:tc>
          <w:tcPr>
            <w:tcW w:w="1512" w:type="dxa"/>
          </w:tcPr>
          <w:p>
            <w:pPr>
              <w:pStyle w:val="TableParagraph"/>
              <w:spacing w:line="273" w:lineRule="auto" w:before="49"/>
              <w:ind w:right="148"/>
              <w:rPr>
                <w:b/>
                <w:sz w:val="21"/>
              </w:rPr>
            </w:pPr>
            <w:r>
              <w:rPr>
                <w:b/>
                <w:sz w:val="21"/>
              </w:rPr>
              <w:t>27.可逆性再生障碍性贫血</w:t>
            </w:r>
          </w:p>
        </w:tc>
        <w:tc>
          <w:tcPr>
            <w:tcW w:w="7943" w:type="dxa"/>
          </w:tcPr>
          <w:p>
            <w:pPr>
              <w:pStyle w:val="TableParagraph"/>
              <w:spacing w:line="273" w:lineRule="auto" w:before="49"/>
              <w:ind w:left="106" w:right="268"/>
              <w:rPr>
                <w:sz w:val="21"/>
              </w:rPr>
            </w:pPr>
            <w:r>
              <w:rPr>
                <w:sz w:val="21"/>
              </w:rPr>
              <w:t>指因急性可逆性的骨髓造血功能衰竭而导致贫血、中性粒细胞减少和血小板减少， 必须由血液科医生的诊断，且病历资料显示接受了下列任一治疗：</w:t>
            </w:r>
          </w:p>
          <w:p>
            <w:pPr>
              <w:pStyle w:val="TableParagraph"/>
              <w:spacing w:before="7"/>
              <w:ind w:left="106"/>
              <w:rPr>
                <w:sz w:val="21"/>
              </w:rPr>
            </w:pPr>
            <w:r>
              <w:rPr>
                <w:sz w:val="21"/>
              </w:rPr>
              <w:t>（1）骨髓刺激疗法至少一个月；</w:t>
            </w:r>
          </w:p>
          <w:p>
            <w:pPr>
              <w:pStyle w:val="TableParagraph"/>
              <w:spacing w:before="36"/>
              <w:ind w:left="106"/>
              <w:rPr>
                <w:sz w:val="21"/>
              </w:rPr>
            </w:pPr>
            <w:r>
              <w:rPr>
                <w:sz w:val="21"/>
              </w:rPr>
              <w:t>（2）免疫抑制剂治疗至少一个月；</w:t>
            </w:r>
          </w:p>
          <w:p>
            <w:pPr>
              <w:pStyle w:val="TableParagraph"/>
              <w:spacing w:before="36"/>
              <w:ind w:left="106"/>
              <w:rPr>
                <w:sz w:val="21"/>
              </w:rPr>
            </w:pPr>
            <w:r>
              <w:rPr>
                <w:sz w:val="21"/>
              </w:rPr>
              <w:t>（3）接受了骨髓移植。</w:t>
            </w:r>
          </w:p>
        </w:tc>
      </w:tr>
      <w:tr>
        <w:trPr>
          <w:trHeight w:val="1034" w:hRule="atLeast"/>
        </w:trPr>
        <w:tc>
          <w:tcPr>
            <w:tcW w:w="1512" w:type="dxa"/>
          </w:tcPr>
          <w:p>
            <w:pPr>
              <w:pStyle w:val="TableParagraph"/>
              <w:spacing w:line="273" w:lineRule="auto" w:before="25"/>
              <w:ind w:right="105"/>
              <w:jc w:val="both"/>
              <w:rPr>
                <w:b/>
                <w:sz w:val="21"/>
              </w:rPr>
            </w:pPr>
            <w:r>
              <w:rPr>
                <w:b/>
                <w:sz w:val="21"/>
              </w:rPr>
              <w:t>28.主动脉内</w:t>
            </w:r>
            <w:r>
              <w:rPr>
                <w:b/>
                <w:spacing w:val="-32"/>
                <w:sz w:val="21"/>
              </w:rPr>
              <w:t>手术</w:t>
            </w:r>
            <w:r>
              <w:rPr>
                <w:b/>
                <w:sz w:val="21"/>
              </w:rPr>
              <w:t>（非开胸手术）</w:t>
            </w:r>
          </w:p>
        </w:tc>
        <w:tc>
          <w:tcPr>
            <w:tcW w:w="7943" w:type="dxa"/>
          </w:tcPr>
          <w:p>
            <w:pPr>
              <w:pStyle w:val="TableParagraph"/>
              <w:spacing w:line="273" w:lineRule="auto" w:before="25"/>
              <w:ind w:left="106" w:right="263"/>
              <w:rPr>
                <w:sz w:val="21"/>
              </w:rPr>
            </w:pPr>
            <w:r>
              <w:rPr>
                <w:sz w:val="21"/>
              </w:rPr>
              <w:t>为了治疗主动脉疾病实际实施了经皮经导管进行的动脉内手术。主动脉指胸主动脉和腹主动脉，不包括胸主动脉和腹主动脉的分支血管。</w:t>
            </w:r>
          </w:p>
        </w:tc>
      </w:tr>
      <w:tr>
        <w:trPr>
          <w:trHeight w:val="315" w:hRule="atLeast"/>
        </w:trPr>
        <w:tc>
          <w:tcPr>
            <w:tcW w:w="1512" w:type="dxa"/>
          </w:tcPr>
          <w:p>
            <w:pPr>
              <w:pStyle w:val="TableParagraph"/>
              <w:spacing w:line="261" w:lineRule="exact" w:before="34"/>
              <w:rPr>
                <w:b/>
                <w:sz w:val="21"/>
              </w:rPr>
            </w:pPr>
            <w:r>
              <w:rPr>
                <w:b/>
                <w:sz w:val="21"/>
              </w:rPr>
              <w:t>29.微创颅脑</w:t>
            </w:r>
          </w:p>
        </w:tc>
        <w:tc>
          <w:tcPr>
            <w:tcW w:w="7943" w:type="dxa"/>
          </w:tcPr>
          <w:p>
            <w:pPr>
              <w:pStyle w:val="TableParagraph"/>
              <w:spacing w:line="261" w:lineRule="exact" w:before="34"/>
              <w:ind w:left="106"/>
              <w:rPr>
                <w:sz w:val="21"/>
              </w:rPr>
            </w:pPr>
            <w:r>
              <w:rPr>
                <w:sz w:val="21"/>
              </w:rPr>
              <w:t>因疾病被保险人确已实施全麻下的颅骨钻孔手术或者经鼻蝶窦入颅手术。因外伤而</w:t>
            </w:r>
          </w:p>
        </w:tc>
      </w:tr>
    </w:tbl>
    <w:p>
      <w:pPr>
        <w:spacing w:after="0" w:line="261" w:lineRule="exac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892"/>
      </w:tblGrid>
      <w:tr>
        <w:trPr>
          <w:trHeight w:val="1431" w:hRule="atLeast"/>
        </w:trPr>
        <w:tc>
          <w:tcPr>
            <w:tcW w:w="1490" w:type="dxa"/>
          </w:tcPr>
          <w:p>
            <w:pPr>
              <w:pStyle w:val="TableParagraph"/>
              <w:spacing w:line="205" w:lineRule="exact" w:before="0"/>
              <w:rPr>
                <w:b/>
                <w:sz w:val="21"/>
              </w:rPr>
            </w:pPr>
            <w:r>
              <w:rPr>
                <w:b/>
                <w:sz w:val="21"/>
              </w:rPr>
              <w:t>手术</w:t>
            </w:r>
          </w:p>
        </w:tc>
        <w:tc>
          <w:tcPr>
            <w:tcW w:w="7892" w:type="dxa"/>
          </w:tcPr>
          <w:p>
            <w:pPr>
              <w:pStyle w:val="TableParagraph"/>
              <w:spacing w:line="205" w:lineRule="exact" w:before="0"/>
              <w:ind w:left="128"/>
              <w:rPr>
                <w:sz w:val="21"/>
              </w:rPr>
            </w:pPr>
            <w:r>
              <w:rPr>
                <w:sz w:val="21"/>
              </w:rPr>
              <w:t>实施的脑外科手术不在保障术不在保障范围内。</w:t>
            </w:r>
          </w:p>
          <w:p>
            <w:pPr>
              <w:pStyle w:val="TableParagraph"/>
              <w:spacing w:before="9"/>
              <w:ind w:left="0"/>
              <w:rPr>
                <w:b/>
                <w:sz w:val="14"/>
              </w:rPr>
            </w:pPr>
          </w:p>
          <w:p>
            <w:pPr>
              <w:pStyle w:val="TableParagraph"/>
              <w:spacing w:line="273" w:lineRule="auto" w:before="1"/>
              <w:ind w:left="128" w:right="231"/>
              <w:jc w:val="both"/>
              <w:rPr>
                <w:rFonts w:ascii="黑体" w:hAnsi="黑体" w:eastAsia="黑体" w:hint="eastAsia"/>
                <w:sz w:val="21"/>
              </w:rPr>
            </w:pPr>
            <w:r>
              <w:rPr>
                <w:rFonts w:ascii="黑体" w:hAnsi="黑体" w:eastAsia="黑体" w:hint="eastAsia"/>
                <w:spacing w:val="-17"/>
                <w:sz w:val="21"/>
              </w:rPr>
              <w:t>本公司对“轻微脑中风后遗症”、“微创颅脑手术”和“脑垂体瘤、脑囊肿、脑动脉</w:t>
            </w:r>
            <w:r>
              <w:rPr>
                <w:rFonts w:ascii="黑体" w:hAnsi="黑体" w:eastAsia="黑体" w:hint="eastAsia"/>
                <w:spacing w:val="-10"/>
                <w:sz w:val="21"/>
              </w:rPr>
              <w:t>瘤及脑血管瘤”三项中的其中一项承担保险责任后，对其他两项轻症疾病保险责任</w:t>
            </w:r>
            <w:r>
              <w:rPr>
                <w:rFonts w:ascii="黑体" w:hAnsi="黑体" w:eastAsia="黑体" w:hint="eastAsia"/>
                <w:spacing w:val="-5"/>
                <w:sz w:val="21"/>
              </w:rPr>
              <w:t>同时终止。</w:t>
            </w:r>
          </w:p>
        </w:tc>
      </w:tr>
      <w:tr>
        <w:trPr>
          <w:trHeight w:val="1404" w:hRule="atLeast"/>
        </w:trPr>
        <w:tc>
          <w:tcPr>
            <w:tcW w:w="1490" w:type="dxa"/>
          </w:tcPr>
          <w:p>
            <w:pPr>
              <w:pStyle w:val="TableParagraph"/>
              <w:spacing w:line="273" w:lineRule="auto" w:before="58"/>
              <w:ind w:right="126"/>
              <w:rPr>
                <w:b/>
                <w:sz w:val="21"/>
              </w:rPr>
            </w:pPr>
            <w:r>
              <w:rPr>
                <w:b/>
                <w:sz w:val="21"/>
              </w:rPr>
              <w:t>30.糖尿病导致单足截除</w:t>
            </w:r>
          </w:p>
        </w:tc>
        <w:tc>
          <w:tcPr>
            <w:tcW w:w="7892" w:type="dxa"/>
          </w:tcPr>
          <w:p>
            <w:pPr>
              <w:pStyle w:val="TableParagraph"/>
              <w:spacing w:line="273" w:lineRule="auto" w:before="58"/>
              <w:ind w:left="128" w:right="231"/>
              <w:jc w:val="both"/>
              <w:rPr>
                <w:sz w:val="21"/>
              </w:rPr>
            </w:pPr>
            <w:r>
              <w:rPr>
                <w:spacing w:val="-5"/>
                <w:sz w:val="21"/>
              </w:rPr>
              <w:t>因糖尿病引起的神经及血管病变累及足部，为了维持生命在本公司认可医院内已经</w:t>
            </w:r>
            <w:r>
              <w:rPr>
                <w:spacing w:val="-6"/>
                <w:sz w:val="21"/>
              </w:rPr>
              <w:t>进行了医疗必须的由足踝或以上位置的单足截除手术，且未达到本附加险合同重大</w:t>
            </w:r>
            <w:r>
              <w:rPr>
                <w:spacing w:val="-4"/>
                <w:sz w:val="21"/>
              </w:rPr>
              <w:t>疾病“糖尿病导致的双脚截除”的赔付标准。</w:t>
            </w:r>
          </w:p>
          <w:p>
            <w:pPr>
              <w:pStyle w:val="TableParagraph"/>
              <w:spacing w:before="7"/>
              <w:ind w:left="128"/>
              <w:jc w:val="both"/>
              <w:rPr>
                <w:rFonts w:ascii="黑体" w:eastAsia="黑体" w:hint="eastAsia"/>
                <w:sz w:val="21"/>
              </w:rPr>
            </w:pPr>
            <w:r>
              <w:rPr>
                <w:rFonts w:ascii="黑体" w:eastAsia="黑体" w:hint="eastAsia"/>
                <w:sz w:val="21"/>
              </w:rPr>
              <w:t>切除多只脚趾或因任何其他原因引起的截除术不在保障范围内。</w:t>
            </w:r>
          </w:p>
        </w:tc>
      </w:tr>
      <w:tr>
        <w:trPr>
          <w:trHeight w:val="1716" w:hRule="atLeast"/>
        </w:trPr>
        <w:tc>
          <w:tcPr>
            <w:tcW w:w="1490" w:type="dxa"/>
          </w:tcPr>
          <w:p>
            <w:pPr>
              <w:pStyle w:val="TableParagraph"/>
              <w:spacing w:line="273" w:lineRule="auto" w:before="58"/>
              <w:ind w:right="126"/>
              <w:rPr>
                <w:b/>
                <w:sz w:val="21"/>
              </w:rPr>
            </w:pPr>
            <w:r>
              <w:rPr>
                <w:b/>
                <w:sz w:val="21"/>
              </w:rPr>
              <w:t>31.中度类风湿性关节炎</w:t>
            </w:r>
          </w:p>
        </w:tc>
        <w:tc>
          <w:tcPr>
            <w:tcW w:w="7892" w:type="dxa"/>
          </w:tcPr>
          <w:p>
            <w:pPr>
              <w:pStyle w:val="TableParagraph"/>
              <w:spacing w:line="273" w:lineRule="auto" w:before="58"/>
              <w:ind w:left="128" w:right="231"/>
              <w:rPr>
                <w:sz w:val="21"/>
              </w:rPr>
            </w:pPr>
            <w:r>
              <w:rPr>
                <w:spacing w:val="-6"/>
                <w:sz w:val="21"/>
              </w:rPr>
              <w:t>根据美国风湿病学院的诊断标准，由风湿科专科医生明确诊断并符合下列所有理赔</w:t>
            </w:r>
            <w:r>
              <w:rPr>
                <w:spacing w:val="-4"/>
                <w:sz w:val="21"/>
              </w:rPr>
              <w:t>条件，但未达到本附加险合同所指重大疾病“严重类风湿性关节炎”的标准：</w:t>
            </w:r>
          </w:p>
          <w:p>
            <w:pPr>
              <w:pStyle w:val="TableParagraph"/>
              <w:spacing w:line="273" w:lineRule="auto" w:before="7"/>
              <w:ind w:left="128" w:right="178"/>
              <w:rPr>
                <w:sz w:val="21"/>
              </w:rPr>
            </w:pPr>
            <w:r>
              <w:rPr>
                <w:sz w:val="21"/>
              </w:rPr>
              <w:t>（1）关节广泛受损，并经临床证实出现最少 2 个下列关节位置严重变形：手部、手腕、肘部、膝部、髋部、踝部、颈椎或脚部；</w:t>
            </w:r>
          </w:p>
          <w:p>
            <w:pPr>
              <w:pStyle w:val="TableParagraph"/>
              <w:spacing w:before="7"/>
              <w:ind w:left="128"/>
              <w:rPr>
                <w:sz w:val="21"/>
              </w:rPr>
            </w:pPr>
            <w:r>
              <w:rPr>
                <w:sz w:val="21"/>
              </w:rPr>
              <w:t>（2）至少 180 天无法独立完成六项基本日常生活活动中的二项或二项以上。</w:t>
            </w:r>
          </w:p>
        </w:tc>
      </w:tr>
      <w:tr>
        <w:trPr>
          <w:trHeight w:val="1716" w:hRule="atLeast"/>
        </w:trPr>
        <w:tc>
          <w:tcPr>
            <w:tcW w:w="1490" w:type="dxa"/>
          </w:tcPr>
          <w:p>
            <w:pPr>
              <w:pStyle w:val="TableParagraph"/>
              <w:spacing w:line="273" w:lineRule="auto" w:before="58"/>
              <w:ind w:right="126"/>
              <w:rPr>
                <w:b/>
                <w:sz w:val="21"/>
              </w:rPr>
            </w:pPr>
            <w:r>
              <w:rPr>
                <w:b/>
                <w:sz w:val="21"/>
              </w:rPr>
              <w:t>32.中度重症肌无力</w:t>
            </w:r>
          </w:p>
        </w:tc>
        <w:tc>
          <w:tcPr>
            <w:tcW w:w="7892" w:type="dxa"/>
          </w:tcPr>
          <w:p>
            <w:pPr>
              <w:pStyle w:val="TableParagraph"/>
              <w:spacing w:line="273" w:lineRule="auto" w:before="58"/>
              <w:ind w:left="128" w:right="231"/>
              <w:jc w:val="both"/>
              <w:rPr>
                <w:sz w:val="21"/>
              </w:rPr>
            </w:pPr>
            <w:r>
              <w:rPr>
                <w:spacing w:val="-5"/>
                <w:sz w:val="21"/>
              </w:rPr>
              <w:t>是一种神经与肌肉接头部位传递障碍的自身免疫性疾病，临床特征是局部或全身横</w:t>
            </w:r>
            <w:r>
              <w:rPr>
                <w:spacing w:val="-7"/>
                <w:sz w:val="21"/>
              </w:rPr>
              <w:t>纹肌于活动时易于疲劳无力，颅神经眼外肌最易累及，也可涉及呼吸肌、下肢近端</w:t>
            </w:r>
            <w:r>
              <w:rPr>
                <w:spacing w:val="-8"/>
                <w:sz w:val="21"/>
              </w:rPr>
              <w:t>肌群以至全身肌肉。该病必须由本公司认可医院的专科医生明确诊断，且疾病确诊</w:t>
            </w:r>
          </w:p>
          <w:p>
            <w:pPr>
              <w:pStyle w:val="TableParagraph"/>
              <w:spacing w:line="273" w:lineRule="auto" w:before="7"/>
              <w:ind w:left="128" w:right="231"/>
              <w:jc w:val="both"/>
              <w:rPr>
                <w:sz w:val="21"/>
              </w:rPr>
            </w:pPr>
            <w:r>
              <w:rPr>
                <w:sz w:val="21"/>
              </w:rPr>
              <w:t>180</w:t>
            </w:r>
            <w:r>
              <w:rPr>
                <w:spacing w:val="-3"/>
                <w:sz w:val="21"/>
              </w:rPr>
              <w:t> 天后，仍然存在自主生活能力部分丧失，无法独立完成六项基本日常生活活动中的二项，但未达到本附加险合同所指重大疾病“重症肌无力”的标准。</w:t>
            </w:r>
          </w:p>
        </w:tc>
      </w:tr>
      <w:tr>
        <w:trPr>
          <w:trHeight w:val="2340" w:hRule="atLeast"/>
        </w:trPr>
        <w:tc>
          <w:tcPr>
            <w:tcW w:w="1490" w:type="dxa"/>
          </w:tcPr>
          <w:p>
            <w:pPr>
              <w:pStyle w:val="TableParagraph"/>
              <w:spacing w:line="273" w:lineRule="auto" w:before="58"/>
              <w:ind w:right="126"/>
              <w:rPr>
                <w:b/>
                <w:sz w:val="21"/>
              </w:rPr>
            </w:pPr>
            <w:r>
              <w:rPr>
                <w:b/>
                <w:sz w:val="21"/>
              </w:rPr>
              <w:t>33.中度溃疡性结肠炎</w:t>
            </w:r>
          </w:p>
        </w:tc>
        <w:tc>
          <w:tcPr>
            <w:tcW w:w="7892" w:type="dxa"/>
          </w:tcPr>
          <w:p>
            <w:pPr>
              <w:pStyle w:val="TableParagraph"/>
              <w:spacing w:line="273" w:lineRule="auto" w:before="58"/>
              <w:ind w:left="128" w:right="231"/>
              <w:jc w:val="both"/>
              <w:rPr>
                <w:sz w:val="21"/>
              </w:rPr>
            </w:pPr>
            <w:r>
              <w:rPr>
                <w:sz w:val="21"/>
              </w:rPr>
              <w:t>本附加险合同所保障的溃疡性结肠炎是指伴有致命性电解质紊乱的急性暴发性溃</w:t>
            </w:r>
            <w:r>
              <w:rPr>
                <w:spacing w:val="-6"/>
                <w:sz w:val="21"/>
              </w:rPr>
              <w:t>疡性结肠炎，病变累及全结肠，表现为严重的血便和系统性症状体征和肠破裂的风</w:t>
            </w:r>
            <w:r>
              <w:rPr>
                <w:spacing w:val="-8"/>
                <w:sz w:val="21"/>
              </w:rPr>
              <w:t>险，本疾病的确诊必须经由内窥镜检查证实该疾病侵犯全部结肠及直肠及活体切片检查证实为溃疡性结肠炎。且须经肠胃专科医生连续以系统性免疫抑制剂或免疫调</w:t>
            </w:r>
            <w:r>
              <w:rPr>
                <w:spacing w:val="-5"/>
                <w:sz w:val="21"/>
              </w:rPr>
              <w:t>节剂持续治疗最少 </w:t>
            </w:r>
            <w:r>
              <w:rPr>
                <w:sz w:val="21"/>
              </w:rPr>
              <w:t>90</w:t>
            </w:r>
            <w:r>
              <w:rPr>
                <w:spacing w:val="-3"/>
                <w:sz w:val="21"/>
              </w:rPr>
              <w:t> 天，但未达到本附加险合同所指重大疾病“严重溃疡性结肠炎”的标准，才符合本保障范围。</w:t>
            </w:r>
          </w:p>
          <w:p>
            <w:pPr>
              <w:pStyle w:val="TableParagraph"/>
              <w:spacing w:before="7"/>
              <w:ind w:left="128"/>
              <w:jc w:val="both"/>
              <w:rPr>
                <w:rFonts w:ascii="黑体" w:eastAsia="黑体" w:hint="eastAsia"/>
                <w:sz w:val="21"/>
              </w:rPr>
            </w:pPr>
            <w:r>
              <w:rPr>
                <w:rFonts w:ascii="黑体" w:eastAsia="黑体" w:hint="eastAsia"/>
                <w:sz w:val="21"/>
              </w:rPr>
              <w:t>其他种类的发炎性结肠炎,只发Th在直肠的溃疡性结肠炎均不在保障范围内。</w:t>
            </w:r>
          </w:p>
        </w:tc>
      </w:tr>
      <w:tr>
        <w:trPr>
          <w:trHeight w:val="3892" w:hRule="atLeast"/>
        </w:trPr>
        <w:tc>
          <w:tcPr>
            <w:tcW w:w="1490" w:type="dxa"/>
          </w:tcPr>
          <w:p>
            <w:pPr>
              <w:pStyle w:val="TableParagraph"/>
              <w:spacing w:line="273" w:lineRule="auto" w:before="58"/>
              <w:ind w:right="126"/>
              <w:rPr>
                <w:b/>
                <w:sz w:val="21"/>
              </w:rPr>
            </w:pPr>
            <w:r>
              <w:rPr>
                <w:b/>
                <w:sz w:val="21"/>
              </w:rPr>
              <w:t>34.早期系统性硬皮病</w:t>
            </w:r>
          </w:p>
        </w:tc>
        <w:tc>
          <w:tcPr>
            <w:tcW w:w="7892" w:type="dxa"/>
          </w:tcPr>
          <w:p>
            <w:pPr>
              <w:pStyle w:val="TableParagraph"/>
              <w:spacing w:line="273" w:lineRule="auto" w:before="58"/>
              <w:ind w:left="128" w:right="231"/>
              <w:jc w:val="both"/>
              <w:rPr>
                <w:sz w:val="21"/>
              </w:rPr>
            </w:pPr>
            <w:r>
              <w:rPr>
                <w:spacing w:val="-5"/>
                <w:sz w:val="21"/>
              </w:rPr>
              <w:t>指一种以局限性或弥漫性皮肤增厚和皮肤、血管、内脏器官异常纤维化为特征的结</w:t>
            </w:r>
            <w:r>
              <w:rPr>
                <w:spacing w:val="-8"/>
                <w:sz w:val="21"/>
              </w:rPr>
              <w:t>缔组织病。本病须经专科医生明确诊断，未达到本附加险合同所指重大疾病“严重</w:t>
            </w:r>
            <w:r>
              <w:rPr>
                <w:spacing w:val="-5"/>
                <w:sz w:val="21"/>
              </w:rPr>
              <w:t>系统性硬皮病”的标准，并须满足下列所有条件：</w:t>
            </w:r>
          </w:p>
          <w:p>
            <w:pPr>
              <w:pStyle w:val="TableParagraph"/>
              <w:numPr>
                <w:ilvl w:val="0"/>
                <w:numId w:val="24"/>
              </w:numPr>
              <w:tabs>
                <w:tab w:pos="768" w:val="left" w:leader="none"/>
              </w:tabs>
              <w:spacing w:line="273" w:lineRule="auto" w:before="7" w:after="0"/>
              <w:ind w:left="128" w:right="231" w:firstLine="0"/>
              <w:jc w:val="both"/>
              <w:rPr>
                <w:sz w:val="21"/>
              </w:rPr>
            </w:pPr>
            <w:r>
              <w:rPr>
                <w:sz w:val="21"/>
              </w:rPr>
              <w:t>必须是经由本公司认可医院的风湿学专科医生根据美国风湿病学会（ACR） 及欧洲抗风湿病联盟(EULAR</w:t>
            </w:r>
            <w:r>
              <w:rPr>
                <w:spacing w:val="8"/>
                <w:sz w:val="21"/>
              </w:rPr>
              <w:t>)在 </w:t>
            </w:r>
            <w:r>
              <w:rPr>
                <w:sz w:val="21"/>
              </w:rPr>
              <w:t>2013 年发布的系统性硬皮病诊断标准确认达到确</w:t>
            </w:r>
            <w:r>
              <w:rPr>
                <w:spacing w:val="-1"/>
                <w:sz w:val="21"/>
              </w:rPr>
              <w:t>诊标准</w:t>
            </w:r>
            <w:r>
              <w:rPr>
                <w:sz w:val="21"/>
              </w:rPr>
              <w:t>（</w:t>
            </w:r>
            <w:r>
              <w:rPr>
                <w:spacing w:val="-3"/>
                <w:sz w:val="21"/>
              </w:rPr>
              <w:t>总分值由每一个分类中的最高比重（</w:t>
            </w:r>
            <w:r>
              <w:rPr>
                <w:spacing w:val="-2"/>
                <w:sz w:val="21"/>
              </w:rPr>
              <w:t>分值</w:t>
            </w:r>
            <w:r>
              <w:rPr>
                <w:sz w:val="21"/>
              </w:rPr>
              <w:t>）</w:t>
            </w:r>
            <w:r>
              <w:rPr>
                <w:spacing w:val="-3"/>
                <w:sz w:val="21"/>
              </w:rPr>
              <w:t>相加而成，总分≥</w:t>
            </w:r>
            <w:r>
              <w:rPr>
                <w:sz w:val="21"/>
              </w:rPr>
              <w:t>9</w:t>
            </w:r>
            <w:r>
              <w:rPr>
                <w:spacing w:val="-3"/>
                <w:sz w:val="21"/>
              </w:rPr>
              <w:t> 分的患者被分类为系统性硬皮病</w:t>
            </w:r>
            <w:r>
              <w:rPr>
                <w:spacing w:val="-108"/>
                <w:sz w:val="21"/>
              </w:rPr>
              <w:t>）</w:t>
            </w:r>
            <w:r>
              <w:rPr>
                <w:sz w:val="21"/>
              </w:rPr>
              <w:t>。</w:t>
            </w:r>
          </w:p>
          <w:p>
            <w:pPr>
              <w:pStyle w:val="TableParagraph"/>
              <w:numPr>
                <w:ilvl w:val="0"/>
                <w:numId w:val="24"/>
              </w:numPr>
              <w:tabs>
                <w:tab w:pos="761" w:val="left" w:leader="none"/>
              </w:tabs>
              <w:spacing w:line="240" w:lineRule="auto" w:before="7" w:after="0"/>
              <w:ind w:left="760" w:right="0" w:hanging="632"/>
              <w:jc w:val="both"/>
              <w:rPr>
                <w:sz w:val="21"/>
              </w:rPr>
            </w:pPr>
            <w:r>
              <w:rPr>
                <w:spacing w:val="-3"/>
                <w:sz w:val="21"/>
              </w:rPr>
              <w:t>须提供明确的病理活检及自身抗体免疫血清学证据支持。</w:t>
            </w:r>
          </w:p>
          <w:p>
            <w:pPr>
              <w:pStyle w:val="TableParagraph"/>
              <w:spacing w:before="36"/>
              <w:ind w:left="128"/>
              <w:jc w:val="both"/>
              <w:rPr>
                <w:rFonts w:ascii="黑体" w:eastAsia="黑体" w:hint="eastAsia"/>
                <w:sz w:val="21"/>
              </w:rPr>
            </w:pPr>
            <w:r>
              <w:rPr>
                <w:rFonts w:ascii="黑体" w:eastAsia="黑体" w:hint="eastAsia"/>
                <w:sz w:val="21"/>
              </w:rPr>
              <w:t>以下情况不在保障范围内：</w:t>
            </w:r>
          </w:p>
          <w:p>
            <w:pPr>
              <w:pStyle w:val="TableParagraph"/>
              <w:numPr>
                <w:ilvl w:val="0"/>
                <w:numId w:val="25"/>
              </w:numPr>
              <w:tabs>
                <w:tab w:pos="761" w:val="left" w:leader="none"/>
              </w:tabs>
              <w:spacing w:line="240" w:lineRule="auto" w:before="36" w:after="0"/>
              <w:ind w:left="760" w:right="0" w:hanging="632"/>
              <w:jc w:val="both"/>
              <w:rPr>
                <w:rFonts w:ascii="黑体" w:eastAsia="黑体" w:hint="eastAsia"/>
                <w:sz w:val="21"/>
              </w:rPr>
            </w:pPr>
            <w:r>
              <w:rPr>
                <w:rFonts w:ascii="黑体" w:eastAsia="黑体" w:hint="eastAsia"/>
                <w:spacing w:val="-3"/>
                <w:sz w:val="21"/>
              </w:rPr>
              <w:t>局限性硬皮病</w:t>
            </w:r>
            <w:r>
              <w:rPr>
                <w:rFonts w:ascii="黑体" w:eastAsia="黑体" w:hint="eastAsia"/>
                <w:sz w:val="21"/>
              </w:rPr>
              <w:t>（</w:t>
            </w:r>
            <w:r>
              <w:rPr>
                <w:rFonts w:ascii="黑体" w:eastAsia="黑体" w:hint="eastAsia"/>
                <w:spacing w:val="-3"/>
                <w:sz w:val="21"/>
              </w:rPr>
              <w:t>带状硬皮病或斑状损害</w:t>
            </w:r>
            <w:r>
              <w:rPr>
                <w:rFonts w:ascii="黑体" w:eastAsia="黑体" w:hint="eastAsia"/>
                <w:sz w:val="21"/>
              </w:rPr>
              <w:t>）</w:t>
            </w:r>
          </w:p>
          <w:p>
            <w:pPr>
              <w:pStyle w:val="TableParagraph"/>
              <w:numPr>
                <w:ilvl w:val="0"/>
                <w:numId w:val="25"/>
              </w:numPr>
              <w:tabs>
                <w:tab w:pos="761" w:val="left" w:leader="none"/>
              </w:tabs>
              <w:spacing w:line="240" w:lineRule="auto" w:before="36" w:after="0"/>
              <w:ind w:left="760" w:right="0" w:hanging="632"/>
              <w:jc w:val="both"/>
              <w:rPr>
                <w:rFonts w:ascii="黑体" w:eastAsia="黑体" w:hint="eastAsia"/>
                <w:sz w:val="21"/>
              </w:rPr>
            </w:pPr>
            <w:r>
              <w:rPr>
                <w:rFonts w:ascii="黑体" w:eastAsia="黑体" w:hint="eastAsia"/>
                <w:spacing w:val="-3"/>
                <w:sz w:val="21"/>
              </w:rPr>
              <w:t>嗜酸性筋膜炎</w:t>
            </w:r>
          </w:p>
          <w:p>
            <w:pPr>
              <w:pStyle w:val="TableParagraph"/>
              <w:numPr>
                <w:ilvl w:val="0"/>
                <w:numId w:val="25"/>
              </w:numPr>
              <w:tabs>
                <w:tab w:pos="761" w:val="left" w:leader="none"/>
              </w:tabs>
              <w:spacing w:line="240" w:lineRule="auto" w:before="36" w:after="0"/>
              <w:ind w:left="760" w:right="0" w:hanging="632"/>
              <w:jc w:val="both"/>
              <w:rPr>
                <w:rFonts w:ascii="黑体" w:eastAsia="黑体" w:hint="eastAsia"/>
                <w:sz w:val="21"/>
              </w:rPr>
            </w:pPr>
            <w:r>
              <w:rPr>
                <w:rFonts w:ascii="黑体" w:eastAsia="黑体" w:hint="eastAsia"/>
                <w:sz w:val="21"/>
              </w:rPr>
              <w:t>CREST 综合征</w:t>
            </w:r>
          </w:p>
        </w:tc>
      </w:tr>
      <w:tr>
        <w:trPr>
          <w:trHeight w:val="1579" w:hRule="atLeast"/>
        </w:trPr>
        <w:tc>
          <w:tcPr>
            <w:tcW w:w="1490" w:type="dxa"/>
          </w:tcPr>
          <w:p>
            <w:pPr>
              <w:pStyle w:val="TableParagraph"/>
              <w:spacing w:line="273" w:lineRule="auto" w:before="50"/>
              <w:ind w:right="126"/>
              <w:rPr>
                <w:b/>
                <w:sz w:val="21"/>
              </w:rPr>
            </w:pPr>
            <w:r>
              <w:rPr>
                <w:b/>
                <w:sz w:val="21"/>
              </w:rPr>
              <w:t>35.早期象皮病</w:t>
            </w:r>
          </w:p>
        </w:tc>
        <w:tc>
          <w:tcPr>
            <w:tcW w:w="7892" w:type="dxa"/>
          </w:tcPr>
          <w:p>
            <w:pPr>
              <w:pStyle w:val="TableParagraph"/>
              <w:spacing w:line="273" w:lineRule="auto" w:before="50"/>
              <w:ind w:left="128" w:right="231"/>
              <w:jc w:val="both"/>
              <w:rPr>
                <w:sz w:val="21"/>
              </w:rPr>
            </w:pPr>
            <w:r>
              <w:rPr>
                <w:spacing w:val="-5"/>
                <w:sz w:val="21"/>
              </w:rPr>
              <w:t>指因丝虫感染导致淋巴管阻塞而造成身体组织出现严重淋巴水肿，但未达到本附加</w:t>
            </w:r>
            <w:r>
              <w:rPr>
                <w:spacing w:val="-7"/>
                <w:sz w:val="21"/>
              </w:rPr>
              <w:t>险合同所指重大疾病“象皮病”的标准。此病症须经本公司认可医院的专科医生根</w:t>
            </w:r>
            <w:r>
              <w:rPr>
                <w:spacing w:val="-5"/>
                <w:sz w:val="21"/>
              </w:rPr>
              <w:t>据临床表现和微丝蚴的化验结果确诊。</w:t>
            </w:r>
          </w:p>
          <w:p>
            <w:pPr>
              <w:pStyle w:val="TableParagraph"/>
              <w:spacing w:line="312" w:lineRule="exact" w:before="3"/>
              <w:ind w:left="128" w:right="197"/>
              <w:jc w:val="both"/>
              <w:rPr>
                <w:rFonts w:ascii="黑体" w:eastAsia="黑体" w:hint="eastAsia"/>
                <w:sz w:val="21"/>
              </w:rPr>
            </w:pPr>
            <w:r>
              <w:rPr>
                <w:rFonts w:ascii="黑体" w:eastAsia="黑体" w:hint="eastAsia"/>
                <w:spacing w:val="-6"/>
                <w:sz w:val="21"/>
              </w:rPr>
              <w:t>由性接触传染的疾病、创伤、手术后疤痕、充血性心力衰竭或先天性淋巴系统异常</w:t>
            </w:r>
            <w:r>
              <w:rPr>
                <w:rFonts w:ascii="黑体" w:eastAsia="黑体" w:hint="eastAsia"/>
                <w:spacing w:val="-4"/>
                <w:sz w:val="21"/>
              </w:rPr>
              <w:t>引起的淋巴水肿，以及急性淋巴管炎或其他原因引起的淋巴水肿不在保障范围内。</w:t>
            </w:r>
          </w:p>
        </w:tc>
      </w:tr>
    </w:tbl>
    <w:p>
      <w:pPr>
        <w:spacing w:after="0" w:line="312" w:lineRule="exact"/>
        <w:jc w:val="both"/>
        <w:rPr>
          <w:rFonts w:ascii="黑体" w:eastAsia="黑体" w:hint="eastAsia"/>
          <w:sz w:val="21"/>
        </w:rPr>
        <w:sectPr>
          <w:pgSz w:w="11910" w:h="16840"/>
          <w:pgMar w:header="0" w:footer="377" w:top="1340" w:bottom="56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4"/>
      </w:tblGrid>
      <w:tr>
        <w:trPr>
          <w:trHeight w:val="963" w:hRule="atLeast"/>
        </w:trPr>
        <w:tc>
          <w:tcPr>
            <w:tcW w:w="1490" w:type="dxa"/>
          </w:tcPr>
          <w:p>
            <w:pPr>
              <w:pStyle w:val="TableParagraph"/>
              <w:spacing w:line="205" w:lineRule="exact" w:before="0"/>
              <w:rPr>
                <w:b/>
                <w:sz w:val="21"/>
              </w:rPr>
            </w:pPr>
            <w:r>
              <w:rPr>
                <w:b/>
                <w:sz w:val="21"/>
              </w:rPr>
              <w:t>36.心包膜切</w:t>
            </w:r>
          </w:p>
          <w:p>
            <w:pPr>
              <w:pStyle w:val="TableParagraph"/>
              <w:rPr>
                <w:b/>
                <w:sz w:val="21"/>
              </w:rPr>
            </w:pPr>
            <w:r>
              <w:rPr>
                <w:b/>
                <w:sz w:val="21"/>
              </w:rPr>
              <w:t>除术</w:t>
            </w:r>
          </w:p>
        </w:tc>
        <w:tc>
          <w:tcPr>
            <w:tcW w:w="7964" w:type="dxa"/>
          </w:tcPr>
          <w:p>
            <w:pPr>
              <w:pStyle w:val="TableParagraph"/>
              <w:spacing w:line="205" w:lineRule="exact" w:before="0"/>
              <w:ind w:left="128"/>
              <w:rPr>
                <w:sz w:val="21"/>
              </w:rPr>
            </w:pPr>
            <w:r>
              <w:rPr>
                <w:sz w:val="21"/>
              </w:rPr>
              <w:t>指为治疗心包膜疾病，已经实施了心包膜切除术，但未达到本附加险合同所指重大</w:t>
            </w:r>
          </w:p>
          <w:p>
            <w:pPr>
              <w:pStyle w:val="TableParagraph"/>
              <w:spacing w:line="273" w:lineRule="auto"/>
              <w:ind w:left="128" w:right="303"/>
              <w:rPr>
                <w:sz w:val="21"/>
              </w:rPr>
            </w:pPr>
            <w:r>
              <w:rPr>
                <w:spacing w:val="-7"/>
                <w:sz w:val="21"/>
              </w:rPr>
              <w:t>疾病“严重慢性缩窄型心包炎”的标准。手术必须在心脏科医生认为是医学上必需</w:t>
            </w:r>
            <w:r>
              <w:rPr>
                <w:spacing w:val="-5"/>
                <w:sz w:val="21"/>
              </w:rPr>
              <w:t>的情况下进行。</w:t>
            </w:r>
          </w:p>
        </w:tc>
      </w:tr>
      <w:tr>
        <w:trPr>
          <w:trHeight w:val="1715" w:hRule="atLeast"/>
        </w:trPr>
        <w:tc>
          <w:tcPr>
            <w:tcW w:w="1490" w:type="dxa"/>
          </w:tcPr>
          <w:p>
            <w:pPr>
              <w:pStyle w:val="TableParagraph"/>
              <w:spacing w:line="273" w:lineRule="auto" w:before="58"/>
              <w:ind w:right="126"/>
              <w:rPr>
                <w:b/>
                <w:sz w:val="21"/>
              </w:rPr>
            </w:pPr>
            <w:r>
              <w:rPr>
                <w:b/>
                <w:sz w:val="21"/>
              </w:rPr>
              <w:t>37.肺功能衰竭</w:t>
            </w:r>
          </w:p>
        </w:tc>
        <w:tc>
          <w:tcPr>
            <w:tcW w:w="7964" w:type="dxa"/>
          </w:tcPr>
          <w:p>
            <w:pPr>
              <w:pStyle w:val="TableParagraph"/>
              <w:spacing w:line="273" w:lineRule="auto" w:before="58"/>
              <w:ind w:left="128" w:right="262"/>
              <w:rPr>
                <w:sz w:val="21"/>
              </w:rPr>
            </w:pPr>
            <w:r>
              <w:rPr>
                <w:sz w:val="21"/>
              </w:rPr>
              <w:t>指因慢性呼吸系统疾病导致呼吸功能衰竭，未达到本附加险合同所指重大疾病“慢性呼吸功能衰竭”的标准，且诊断必须满足以下所有条件：</w:t>
            </w:r>
          </w:p>
          <w:p>
            <w:pPr>
              <w:pStyle w:val="TableParagraph"/>
              <w:numPr>
                <w:ilvl w:val="0"/>
                <w:numId w:val="26"/>
              </w:numPr>
              <w:tabs>
                <w:tab w:pos="761" w:val="left" w:leader="none"/>
              </w:tabs>
              <w:spacing w:line="240" w:lineRule="auto" w:before="7" w:after="0"/>
              <w:ind w:left="760" w:right="0" w:hanging="632"/>
              <w:jc w:val="left"/>
              <w:rPr>
                <w:sz w:val="21"/>
              </w:rPr>
            </w:pPr>
            <w:r>
              <w:rPr>
                <w:spacing w:val="-3"/>
                <w:sz w:val="21"/>
              </w:rPr>
              <w:t>第一秒末用力呼吸量</w:t>
            </w:r>
            <w:r>
              <w:rPr>
                <w:sz w:val="21"/>
              </w:rPr>
              <w:t>（FEV1）</w:t>
            </w:r>
            <w:r>
              <w:rPr>
                <w:spacing w:val="-17"/>
                <w:sz w:val="21"/>
              </w:rPr>
              <w:t>小于 </w:t>
            </w:r>
            <w:r>
              <w:rPr>
                <w:sz w:val="21"/>
              </w:rPr>
              <w:t>1</w:t>
            </w:r>
            <w:r>
              <w:rPr>
                <w:spacing w:val="-18"/>
                <w:sz w:val="21"/>
              </w:rPr>
              <w:t> 升；</w:t>
            </w:r>
          </w:p>
          <w:p>
            <w:pPr>
              <w:pStyle w:val="TableParagraph"/>
              <w:numPr>
                <w:ilvl w:val="0"/>
                <w:numId w:val="26"/>
              </w:numPr>
              <w:tabs>
                <w:tab w:pos="761" w:val="left" w:leader="none"/>
              </w:tabs>
              <w:spacing w:line="240" w:lineRule="auto" w:before="37" w:after="0"/>
              <w:ind w:left="760" w:right="0" w:hanging="632"/>
              <w:jc w:val="left"/>
              <w:rPr>
                <w:sz w:val="21"/>
              </w:rPr>
            </w:pPr>
            <w:r>
              <w:rPr>
                <w:spacing w:val="-3"/>
                <w:sz w:val="21"/>
              </w:rPr>
              <w:t>残气容积占肺总量</w:t>
            </w:r>
            <w:r>
              <w:rPr>
                <w:sz w:val="21"/>
              </w:rPr>
              <w:t>（TLC）</w:t>
            </w:r>
            <w:r>
              <w:rPr>
                <w:spacing w:val="-21"/>
                <w:sz w:val="21"/>
              </w:rPr>
              <w:t>的 </w:t>
            </w:r>
            <w:r>
              <w:rPr>
                <w:sz w:val="21"/>
              </w:rPr>
              <w:t>50</w:t>
            </w:r>
            <w:r>
              <w:rPr>
                <w:spacing w:val="-1"/>
                <w:sz w:val="21"/>
              </w:rPr>
              <w:t>%以上；</w:t>
            </w:r>
          </w:p>
          <w:p>
            <w:pPr>
              <w:pStyle w:val="TableParagraph"/>
              <w:numPr>
                <w:ilvl w:val="0"/>
                <w:numId w:val="26"/>
              </w:numPr>
              <w:tabs>
                <w:tab w:pos="761" w:val="left" w:leader="none"/>
              </w:tabs>
              <w:spacing w:line="240" w:lineRule="auto" w:before="37" w:after="0"/>
              <w:ind w:left="760" w:right="0" w:hanging="632"/>
              <w:jc w:val="left"/>
              <w:rPr>
                <w:sz w:val="21"/>
              </w:rPr>
            </w:pPr>
            <w:r>
              <w:rPr>
                <w:sz w:val="21"/>
              </w:rPr>
              <w:t>PaO2&lt;60mmHg,</w:t>
            </w:r>
            <w:r>
              <w:rPr>
                <w:spacing w:val="-2"/>
                <w:sz w:val="21"/>
              </w:rPr>
              <w:t> </w:t>
            </w:r>
            <w:r>
              <w:rPr>
                <w:sz w:val="21"/>
              </w:rPr>
              <w:t>PaCO2&gt;50mmHg。</w:t>
            </w:r>
          </w:p>
        </w:tc>
      </w:tr>
      <w:tr>
        <w:trPr>
          <w:trHeight w:val="1404" w:hRule="atLeast"/>
        </w:trPr>
        <w:tc>
          <w:tcPr>
            <w:tcW w:w="1490" w:type="dxa"/>
          </w:tcPr>
          <w:p>
            <w:pPr>
              <w:pStyle w:val="TableParagraph"/>
              <w:spacing w:line="273" w:lineRule="auto" w:before="58"/>
              <w:ind w:right="126"/>
              <w:rPr>
                <w:b/>
                <w:sz w:val="21"/>
              </w:rPr>
            </w:pPr>
            <w:r>
              <w:rPr>
                <w:b/>
                <w:sz w:val="21"/>
              </w:rPr>
              <w:t>38.植入心脏起搏器</w:t>
            </w:r>
          </w:p>
        </w:tc>
        <w:tc>
          <w:tcPr>
            <w:tcW w:w="7964" w:type="dxa"/>
          </w:tcPr>
          <w:p>
            <w:pPr>
              <w:pStyle w:val="TableParagraph"/>
              <w:spacing w:line="273" w:lineRule="auto" w:before="58"/>
              <w:ind w:left="128" w:right="303"/>
              <w:jc w:val="both"/>
              <w:rPr>
                <w:sz w:val="21"/>
              </w:rPr>
            </w:pPr>
            <w:r>
              <w:rPr>
                <w:spacing w:val="-5"/>
                <w:sz w:val="21"/>
              </w:rPr>
              <w:t>因严重心律失常而确实已经实施永久性心脏起搏器的植入手术。理赔时须提供完整</w:t>
            </w:r>
            <w:r>
              <w:rPr>
                <w:spacing w:val="-8"/>
                <w:sz w:val="21"/>
              </w:rPr>
              <w:t>病历资料及手术记录，诊断及治疗均须在本公司认可医院专科医生认为是医疗必须</w:t>
            </w:r>
            <w:r>
              <w:rPr>
                <w:spacing w:val="-9"/>
                <w:sz w:val="21"/>
              </w:rPr>
              <w:t>的情况下进行。由于心脏再同步化治疗而实施的植入心脏起博器包括在本项保障范围内。</w:t>
            </w:r>
          </w:p>
        </w:tc>
      </w:tr>
      <w:tr>
        <w:trPr>
          <w:trHeight w:val="3565" w:hRule="atLeast"/>
        </w:trPr>
        <w:tc>
          <w:tcPr>
            <w:tcW w:w="1490" w:type="dxa"/>
          </w:tcPr>
          <w:p>
            <w:pPr>
              <w:pStyle w:val="TableParagraph"/>
              <w:spacing w:line="273" w:lineRule="auto" w:before="58"/>
              <w:ind w:right="126"/>
              <w:rPr>
                <w:b/>
                <w:sz w:val="21"/>
              </w:rPr>
            </w:pPr>
            <w:r>
              <w:rPr>
                <w:b/>
                <w:sz w:val="21"/>
              </w:rPr>
              <w:t>39.早期原发性心脏病</w:t>
            </w:r>
          </w:p>
        </w:tc>
        <w:tc>
          <w:tcPr>
            <w:tcW w:w="7964" w:type="dxa"/>
          </w:tcPr>
          <w:p>
            <w:pPr>
              <w:pStyle w:val="TableParagraph"/>
              <w:spacing w:line="273" w:lineRule="auto" w:before="58"/>
              <w:ind w:left="128" w:right="303"/>
              <w:rPr>
                <w:sz w:val="21"/>
              </w:rPr>
            </w:pPr>
            <w:r>
              <w:rPr>
                <w:spacing w:val="-6"/>
                <w:sz w:val="21"/>
              </w:rPr>
              <w:t>被诊断为原发性心肌病，并符合下列所有条件，但未达到本附加险合同所指重大疾</w:t>
            </w:r>
            <w:r>
              <w:rPr>
                <w:spacing w:val="-4"/>
                <w:sz w:val="21"/>
              </w:rPr>
              <w:t>病“严重原发性心肌病”的标准：</w:t>
            </w:r>
          </w:p>
          <w:p>
            <w:pPr>
              <w:pStyle w:val="TableParagraph"/>
              <w:numPr>
                <w:ilvl w:val="0"/>
                <w:numId w:val="27"/>
              </w:numPr>
              <w:tabs>
                <w:tab w:pos="744" w:val="left" w:leader="none"/>
              </w:tabs>
              <w:spacing w:line="273" w:lineRule="auto" w:before="7" w:after="0"/>
              <w:ind w:left="128" w:right="303" w:firstLine="0"/>
              <w:jc w:val="left"/>
              <w:rPr>
                <w:sz w:val="21"/>
              </w:rPr>
            </w:pPr>
            <w:r>
              <w:rPr>
                <w:spacing w:val="-5"/>
                <w:sz w:val="21"/>
              </w:rPr>
              <w:t>导致心室功能受损，其受损程度达到美国纽约心脏病学会心功能状态分级Ⅲ </w:t>
            </w:r>
            <w:r>
              <w:rPr>
                <w:spacing w:val="-5"/>
                <w:w w:val="100"/>
                <w:sz w:val="21"/>
              </w:rPr>
              <w:t>级（</w:t>
            </w:r>
            <w:r>
              <w:rPr>
                <w:spacing w:val="-3"/>
                <w:w w:val="100"/>
                <w:sz w:val="21"/>
              </w:rPr>
              <w:t>注</w:t>
            </w:r>
            <w:r>
              <w:rPr>
                <w:spacing w:val="-106"/>
                <w:w w:val="100"/>
                <w:sz w:val="21"/>
              </w:rPr>
              <w:t>）</w:t>
            </w:r>
            <w:r>
              <w:rPr>
                <w:spacing w:val="-3"/>
                <w:w w:val="100"/>
                <w:sz w:val="21"/>
              </w:rPr>
              <w:t>，或其同等级别。</w:t>
            </w:r>
          </w:p>
          <w:p>
            <w:pPr>
              <w:pStyle w:val="TableParagraph"/>
              <w:numPr>
                <w:ilvl w:val="0"/>
                <w:numId w:val="27"/>
              </w:numPr>
              <w:tabs>
                <w:tab w:pos="761" w:val="left" w:leader="none"/>
              </w:tabs>
              <w:spacing w:line="240" w:lineRule="auto" w:before="7" w:after="0"/>
              <w:ind w:left="760" w:right="0" w:hanging="632"/>
              <w:jc w:val="left"/>
              <w:rPr>
                <w:sz w:val="21"/>
              </w:rPr>
            </w:pPr>
            <w:r>
              <w:rPr>
                <w:spacing w:val="-3"/>
                <w:sz w:val="21"/>
              </w:rPr>
              <w:t>左室射血分数 </w:t>
            </w:r>
            <w:r>
              <w:rPr>
                <w:sz w:val="21"/>
              </w:rPr>
              <w:t>LVEF</w:t>
            </w:r>
            <w:r>
              <w:rPr>
                <w:spacing w:val="0"/>
                <w:sz w:val="21"/>
              </w:rPr>
              <w:t> </w:t>
            </w:r>
            <w:r>
              <w:rPr>
                <w:sz w:val="21"/>
              </w:rPr>
              <w:t>&lt;35%。</w:t>
            </w:r>
          </w:p>
          <w:p>
            <w:pPr>
              <w:pStyle w:val="TableParagraph"/>
              <w:numPr>
                <w:ilvl w:val="0"/>
                <w:numId w:val="27"/>
              </w:numPr>
              <w:tabs>
                <w:tab w:pos="744" w:val="left" w:leader="none"/>
              </w:tabs>
              <w:spacing w:line="273" w:lineRule="auto" w:before="36" w:after="0"/>
              <w:ind w:left="128" w:right="303" w:firstLine="0"/>
              <w:jc w:val="left"/>
              <w:rPr>
                <w:sz w:val="21"/>
              </w:rPr>
            </w:pPr>
            <w:r>
              <w:rPr>
                <w:spacing w:val="-4"/>
                <w:sz w:val="21"/>
              </w:rPr>
              <w:t>原发性心肌病的诊断必须由本公司认可医院的心脏专科医生确认，并提供心</w:t>
            </w:r>
            <w:r>
              <w:rPr>
                <w:spacing w:val="-3"/>
                <w:sz w:val="21"/>
              </w:rPr>
              <w:t>脏超声检查结果报告。</w:t>
            </w:r>
          </w:p>
          <w:p>
            <w:pPr>
              <w:pStyle w:val="TableParagraph"/>
              <w:spacing w:line="273" w:lineRule="auto" w:before="7"/>
              <w:ind w:left="128" w:right="303"/>
              <w:rPr>
                <w:sz w:val="21"/>
              </w:rPr>
            </w:pPr>
            <w:r>
              <w:rPr>
                <w:rFonts w:ascii="黑体" w:hAnsi="黑体" w:eastAsia="黑体" w:hint="eastAsia"/>
                <w:spacing w:val="-5"/>
                <w:sz w:val="21"/>
              </w:rPr>
              <w:t>本保障范围内的心肌病仅包括扩张型心肌病、肥厚型心肌病及限制型心肌病。继发</w:t>
            </w:r>
            <w:r>
              <w:rPr>
                <w:rFonts w:ascii="黑体" w:hAnsi="黑体" w:eastAsia="黑体" w:hint="eastAsia"/>
                <w:spacing w:val="-4"/>
                <w:sz w:val="21"/>
              </w:rPr>
              <w:t>于全身性疾病或其他器官系统疾病及酒精滥用造成的心肌病变不在保障范围内。 </w:t>
            </w:r>
            <w:r>
              <w:rPr>
                <w:spacing w:val="-7"/>
                <w:sz w:val="21"/>
              </w:rPr>
              <w:t>注：美国纽约心脏病学会心功能状态分级Ⅲ级是指体力活动明显受限，休息时无症</w:t>
            </w:r>
            <w:r>
              <w:rPr>
                <w:spacing w:val="-5"/>
                <w:sz w:val="21"/>
              </w:rPr>
              <w:t>状，轻于日常的活动即可引起充血性心力衰竭的症状。</w:t>
            </w:r>
          </w:p>
        </w:tc>
      </w:tr>
      <w:tr>
        <w:trPr>
          <w:trHeight w:val="1381" w:hRule="atLeast"/>
        </w:trPr>
        <w:tc>
          <w:tcPr>
            <w:tcW w:w="1490" w:type="dxa"/>
          </w:tcPr>
          <w:p>
            <w:pPr>
              <w:pStyle w:val="TableParagraph"/>
              <w:spacing w:line="273" w:lineRule="auto" w:before="36"/>
              <w:ind w:right="126"/>
              <w:rPr>
                <w:b/>
                <w:sz w:val="21"/>
              </w:rPr>
            </w:pPr>
            <w:r>
              <w:rPr>
                <w:b/>
                <w:sz w:val="21"/>
              </w:rPr>
              <w:t>40.轻度面部烧伤</w:t>
            </w:r>
          </w:p>
        </w:tc>
        <w:tc>
          <w:tcPr>
            <w:tcW w:w="7964" w:type="dxa"/>
          </w:tcPr>
          <w:p>
            <w:pPr>
              <w:pStyle w:val="TableParagraph"/>
              <w:spacing w:line="273" w:lineRule="auto" w:before="36"/>
              <w:ind w:left="128" w:right="249"/>
              <w:rPr>
                <w:sz w:val="21"/>
              </w:rPr>
            </w:pPr>
            <w:r>
              <w:rPr>
                <w:sz w:val="21"/>
              </w:rPr>
              <w:t>指烧伤程度为Ⅲ度，且Ⅲ度烧伤的面积达到面部表面积的 30％或者 30％以上，但未达到面部表面积的 80%。</w:t>
            </w:r>
          </w:p>
          <w:p>
            <w:pPr>
              <w:pStyle w:val="TableParagraph"/>
              <w:spacing w:line="273" w:lineRule="auto" w:before="8"/>
              <w:ind w:left="128" w:right="198"/>
              <w:rPr>
                <w:rFonts w:ascii="黑体" w:hAnsi="黑体" w:eastAsia="黑体" w:hint="eastAsia"/>
                <w:sz w:val="21"/>
              </w:rPr>
            </w:pPr>
            <w:r>
              <w:rPr>
                <w:rFonts w:ascii="黑体" w:hAnsi="黑体" w:eastAsia="黑体" w:hint="eastAsia"/>
                <w:spacing w:val="-12"/>
                <w:sz w:val="21"/>
              </w:rPr>
              <w:t>若被保险人因同一原因导致其同时满足“全身较小面积Ⅲ度烧伤”</w:t>
            </w:r>
            <w:r>
              <w:rPr>
                <w:rFonts w:ascii="黑体" w:hAnsi="黑体" w:eastAsia="黑体" w:hint="eastAsia"/>
                <w:spacing w:val="-23"/>
                <w:sz w:val="21"/>
              </w:rPr>
              <w:t>、“轻度面部烧伤” </w:t>
            </w:r>
            <w:r>
              <w:rPr>
                <w:rFonts w:ascii="黑体" w:hAnsi="黑体" w:eastAsia="黑体" w:hint="eastAsia"/>
                <w:spacing w:val="-8"/>
                <w:sz w:val="21"/>
              </w:rPr>
              <w:t>的，仅按其中一项给付。</w:t>
            </w:r>
          </w:p>
        </w:tc>
      </w:tr>
      <w:tr>
        <w:trPr>
          <w:trHeight w:val="2964" w:hRule="atLeast"/>
        </w:trPr>
        <w:tc>
          <w:tcPr>
            <w:tcW w:w="1490" w:type="dxa"/>
          </w:tcPr>
          <w:p>
            <w:pPr>
              <w:pStyle w:val="TableParagraph"/>
              <w:spacing w:line="273" w:lineRule="auto" w:before="58"/>
              <w:ind w:right="126"/>
              <w:rPr>
                <w:b/>
                <w:sz w:val="21"/>
              </w:rPr>
            </w:pPr>
            <w:r>
              <w:rPr>
                <w:b/>
                <w:sz w:val="21"/>
              </w:rPr>
              <w:t>41.特定周围动脉疾病的血管介入治疗</w:t>
            </w:r>
          </w:p>
        </w:tc>
        <w:tc>
          <w:tcPr>
            <w:tcW w:w="7964" w:type="dxa"/>
          </w:tcPr>
          <w:p>
            <w:pPr>
              <w:pStyle w:val="TableParagraph"/>
              <w:spacing w:before="58"/>
              <w:ind w:left="128"/>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numPr>
                <w:ilvl w:val="0"/>
                <w:numId w:val="28"/>
              </w:numPr>
              <w:tabs>
                <w:tab w:pos="761" w:val="left" w:leader="none"/>
              </w:tabs>
              <w:spacing w:line="240" w:lineRule="auto" w:before="21" w:after="0"/>
              <w:ind w:left="128" w:right="0" w:firstLine="0"/>
              <w:jc w:val="left"/>
              <w:rPr>
                <w:sz w:val="21"/>
              </w:rPr>
            </w:pPr>
            <w:r>
              <w:rPr>
                <w:spacing w:val="-3"/>
                <w:sz w:val="21"/>
              </w:rPr>
              <w:t>为下肢或者上肢供血的动脉；</w:t>
            </w:r>
          </w:p>
          <w:p>
            <w:pPr>
              <w:pStyle w:val="TableParagraph"/>
              <w:numPr>
                <w:ilvl w:val="0"/>
                <w:numId w:val="28"/>
              </w:numPr>
              <w:tabs>
                <w:tab w:pos="761" w:val="left" w:leader="none"/>
              </w:tabs>
              <w:spacing w:line="240" w:lineRule="auto" w:before="37" w:after="0"/>
              <w:ind w:left="128" w:right="0" w:firstLine="0"/>
              <w:jc w:val="left"/>
              <w:rPr>
                <w:sz w:val="21"/>
              </w:rPr>
            </w:pPr>
            <w:r>
              <w:rPr>
                <w:spacing w:val="-2"/>
                <w:sz w:val="21"/>
              </w:rPr>
              <w:t>肾动脉；</w:t>
            </w:r>
          </w:p>
          <w:p>
            <w:pPr>
              <w:pStyle w:val="TableParagraph"/>
              <w:numPr>
                <w:ilvl w:val="0"/>
                <w:numId w:val="28"/>
              </w:numPr>
              <w:tabs>
                <w:tab w:pos="761" w:val="left" w:leader="none"/>
              </w:tabs>
              <w:spacing w:line="273" w:lineRule="auto" w:before="37" w:after="0"/>
              <w:ind w:left="128" w:right="5730" w:firstLine="0"/>
              <w:jc w:val="left"/>
              <w:rPr>
                <w:sz w:val="21"/>
              </w:rPr>
            </w:pPr>
            <w:r>
              <w:rPr>
                <w:spacing w:val="-3"/>
                <w:sz w:val="21"/>
              </w:rPr>
              <w:t>肠系膜动脉。 须满足下列全部条件：</w:t>
            </w:r>
          </w:p>
          <w:p>
            <w:pPr>
              <w:pStyle w:val="TableParagraph"/>
              <w:numPr>
                <w:ilvl w:val="0"/>
                <w:numId w:val="29"/>
              </w:numPr>
              <w:tabs>
                <w:tab w:pos="761" w:val="left" w:leader="none"/>
              </w:tabs>
              <w:spacing w:line="240" w:lineRule="auto" w:before="8" w:after="0"/>
              <w:ind w:left="128" w:right="0" w:firstLine="0"/>
              <w:jc w:val="left"/>
              <w:rPr>
                <w:sz w:val="21"/>
              </w:rPr>
            </w:pPr>
            <w:r>
              <w:rPr>
                <w:spacing w:val="-4"/>
                <w:sz w:val="21"/>
              </w:rPr>
              <w:t>经血管造影术证实一条或者一条以上的上述动脉狭窄达到 </w:t>
            </w:r>
            <w:r>
              <w:rPr>
                <w:sz w:val="21"/>
              </w:rPr>
              <w:t>50</w:t>
            </w:r>
            <w:r>
              <w:rPr>
                <w:spacing w:val="-3"/>
                <w:sz w:val="21"/>
              </w:rPr>
              <w:t>%或者以上；</w:t>
            </w:r>
          </w:p>
          <w:p>
            <w:pPr>
              <w:pStyle w:val="TableParagraph"/>
              <w:numPr>
                <w:ilvl w:val="0"/>
                <w:numId w:val="29"/>
              </w:numPr>
              <w:tabs>
                <w:tab w:pos="768" w:val="left" w:leader="none"/>
              </w:tabs>
              <w:spacing w:line="273" w:lineRule="auto" w:before="37" w:after="0"/>
              <w:ind w:left="128" w:right="308" w:firstLine="0"/>
              <w:jc w:val="left"/>
              <w:rPr>
                <w:sz w:val="21"/>
              </w:rPr>
            </w:pPr>
            <w:r>
              <w:rPr>
                <w:sz w:val="21"/>
              </w:rPr>
              <w:t>对一条或者一条以上的上述动脉施行了血管介入治疗，如血管成形术及/或</w:t>
            </w:r>
            <w:r>
              <w:rPr>
                <w:spacing w:val="-3"/>
                <w:sz w:val="21"/>
              </w:rPr>
              <w:t>者进行植入支架或者动脉瘤清除手术。</w:t>
            </w:r>
          </w:p>
          <w:p>
            <w:pPr>
              <w:pStyle w:val="TableParagraph"/>
              <w:spacing w:before="7"/>
              <w:ind w:left="128"/>
              <w:rPr>
                <w:sz w:val="21"/>
              </w:rPr>
            </w:pPr>
            <w:r>
              <w:rPr>
                <w:sz w:val="21"/>
              </w:rPr>
              <w:t>上述动脉疾病的诊断以及相关治疗的必要性必须由血管疾病的专科医生确定。</w:t>
            </w:r>
          </w:p>
        </w:tc>
      </w:tr>
      <w:tr>
        <w:trPr>
          <w:trHeight w:val="1899" w:hRule="atLeast"/>
        </w:trPr>
        <w:tc>
          <w:tcPr>
            <w:tcW w:w="1490" w:type="dxa"/>
          </w:tcPr>
          <w:p>
            <w:pPr>
              <w:pStyle w:val="TableParagraph"/>
              <w:spacing w:line="273" w:lineRule="auto" w:before="58"/>
              <w:ind w:right="126"/>
              <w:rPr>
                <w:b/>
                <w:sz w:val="21"/>
              </w:rPr>
            </w:pPr>
            <w:r>
              <w:rPr>
                <w:b/>
                <w:sz w:val="21"/>
              </w:rPr>
              <w:t>42.于颈动脉进行血管成形术或内膜切除术</w:t>
            </w:r>
          </w:p>
        </w:tc>
        <w:tc>
          <w:tcPr>
            <w:tcW w:w="7964" w:type="dxa"/>
          </w:tcPr>
          <w:p>
            <w:pPr>
              <w:pStyle w:val="TableParagraph"/>
              <w:spacing w:line="273" w:lineRule="auto" w:before="58"/>
              <w:ind w:left="128" w:right="303"/>
              <w:jc w:val="both"/>
              <w:rPr>
                <w:sz w:val="21"/>
              </w:rPr>
            </w:pPr>
            <w:r>
              <w:rPr>
                <w:spacing w:val="-6"/>
                <w:sz w:val="21"/>
              </w:rPr>
              <w:t>指根据颈动脉造影检查结果，确诊一条或以上颈动脉存在严重狭窄性病变</w:t>
            </w:r>
            <w:r>
              <w:rPr>
                <w:spacing w:val="-3"/>
                <w:sz w:val="21"/>
              </w:rPr>
              <w:t>（</w:t>
            </w:r>
            <w:r>
              <w:rPr>
                <w:sz w:val="21"/>
              </w:rPr>
              <w:t>至少一</w:t>
            </w:r>
            <w:r>
              <w:rPr>
                <w:spacing w:val="-6"/>
                <w:sz w:val="21"/>
              </w:rPr>
              <w:t>支血管管腔直径减少 </w:t>
            </w:r>
            <w:r>
              <w:rPr>
                <w:sz w:val="21"/>
              </w:rPr>
              <w:t>50％以上</w:t>
            </w:r>
            <w:r>
              <w:rPr>
                <w:spacing w:val="-108"/>
                <w:sz w:val="21"/>
              </w:rPr>
              <w:t>）</w:t>
            </w:r>
            <w:r>
              <w:rPr>
                <w:spacing w:val="-3"/>
                <w:sz w:val="21"/>
              </w:rPr>
              <w:t>。本病须经国家机关认可的有合法资质的专科医生明确诊断，同时必须已经采取以下手术以减轻症状：</w:t>
            </w:r>
          </w:p>
          <w:p>
            <w:pPr>
              <w:pStyle w:val="TableParagraph"/>
              <w:spacing w:before="7"/>
              <w:ind w:left="128"/>
              <w:rPr>
                <w:sz w:val="21"/>
              </w:rPr>
            </w:pPr>
            <w:r>
              <w:rPr>
                <w:sz w:val="21"/>
              </w:rPr>
              <w:t>1.确实进行动脉内膜切除术；</w:t>
            </w:r>
          </w:p>
          <w:p>
            <w:pPr>
              <w:pStyle w:val="TableParagraph"/>
              <w:spacing w:line="310" w:lineRule="atLeast" w:before="1"/>
              <w:ind w:left="128" w:right="372"/>
              <w:jc w:val="both"/>
              <w:rPr>
                <w:sz w:val="21"/>
              </w:rPr>
            </w:pPr>
            <w:r>
              <w:rPr>
                <w:sz w:val="21"/>
              </w:rPr>
              <w:t>2.确实进行血管介入治疗，例如血管成形术及/或进行植入支架或动脉粥样瘤清除手术。</w:t>
            </w:r>
          </w:p>
        </w:tc>
      </w:tr>
    </w:tbl>
    <w:p>
      <w:pPr>
        <w:spacing w:after="0" w:line="310" w:lineRule="atLeast"/>
        <w:jc w:val="both"/>
        <w:rPr>
          <w:sz w:val="21"/>
        </w:rPr>
        <w:sectPr>
          <w:pgSz w:w="11910" w:h="16840"/>
          <w:pgMar w:header="0" w:footer="377" w:top="1340" w:bottom="560" w:left="15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34"/>
        <w:gridCol w:w="7965"/>
      </w:tblGrid>
      <w:tr>
        <w:trPr>
          <w:trHeight w:val="1576" w:hRule="atLeast"/>
        </w:trPr>
        <w:tc>
          <w:tcPr>
            <w:tcW w:w="768" w:type="dxa"/>
          </w:tcPr>
          <w:p>
            <w:pPr>
              <w:pStyle w:val="TableParagraph"/>
              <w:spacing w:before="0"/>
              <w:ind w:left="0"/>
              <w:rPr>
                <w:rFonts w:ascii="Times New Roman"/>
                <w:sz w:val="20"/>
              </w:rPr>
            </w:pPr>
          </w:p>
        </w:tc>
        <w:tc>
          <w:tcPr>
            <w:tcW w:w="1434" w:type="dxa"/>
          </w:tcPr>
          <w:p>
            <w:pPr>
              <w:pStyle w:val="TableParagraph"/>
              <w:spacing w:line="205" w:lineRule="exact" w:before="0"/>
              <w:ind w:left="145"/>
              <w:rPr>
                <w:b/>
                <w:sz w:val="21"/>
              </w:rPr>
            </w:pPr>
            <w:r>
              <w:rPr>
                <w:b/>
                <w:sz w:val="21"/>
              </w:rPr>
              <w:t>43.面部重建</w:t>
            </w:r>
          </w:p>
          <w:p>
            <w:pPr>
              <w:pStyle w:val="TableParagraph"/>
              <w:ind w:left="145"/>
              <w:rPr>
                <w:b/>
                <w:sz w:val="21"/>
              </w:rPr>
            </w:pPr>
            <w:r>
              <w:rPr>
                <w:b/>
                <w:sz w:val="21"/>
              </w:rPr>
              <w:t>手术</w:t>
            </w:r>
          </w:p>
        </w:tc>
        <w:tc>
          <w:tcPr>
            <w:tcW w:w="7965" w:type="dxa"/>
          </w:tcPr>
          <w:p>
            <w:pPr>
              <w:pStyle w:val="TableParagraph"/>
              <w:spacing w:line="205" w:lineRule="exact" w:before="0"/>
              <w:ind w:left="129"/>
              <w:rPr>
                <w:sz w:val="21"/>
              </w:rPr>
            </w:pPr>
            <w:r>
              <w:rPr>
                <w:sz w:val="21"/>
              </w:rPr>
              <w:t>确实进行整形或者重建手术（颈部以上的面部构造不完整、缺失或者受损而对其形</w:t>
            </w:r>
          </w:p>
          <w:p>
            <w:pPr>
              <w:pStyle w:val="TableParagraph"/>
              <w:spacing w:line="273" w:lineRule="auto"/>
              <w:ind w:left="129" w:right="308"/>
              <w:rPr>
                <w:sz w:val="21"/>
              </w:rPr>
            </w:pPr>
            <w:r>
              <w:rPr>
                <w:w w:val="100"/>
                <w:sz w:val="21"/>
              </w:rPr>
              <w:t>态及外观进行修复或者重建</w:t>
            </w:r>
            <w:r>
              <w:rPr>
                <w:spacing w:val="-106"/>
                <w:w w:val="100"/>
                <w:sz w:val="21"/>
              </w:rPr>
              <w:t>）</w:t>
            </w:r>
            <w:r>
              <w:rPr>
                <w:w w:val="100"/>
                <w:sz w:val="21"/>
              </w:rPr>
              <w:t>，同时必须由专科医生认为该面部毁容是需要接受住</w:t>
            </w:r>
            <w:r>
              <w:rPr>
                <w:spacing w:val="-3"/>
                <w:sz w:val="21"/>
              </w:rPr>
              <w:t>院治疗，及其后接受该手术，而对该面部毁容所进行的治疗亦是医疗所需。</w:t>
            </w:r>
          </w:p>
          <w:p>
            <w:pPr>
              <w:pStyle w:val="TableParagraph"/>
              <w:spacing w:line="273" w:lineRule="auto" w:before="7"/>
              <w:ind w:left="129" w:right="303"/>
              <w:rPr>
                <w:rFonts w:ascii="黑体" w:eastAsia="黑体" w:hint="eastAsia"/>
                <w:sz w:val="21"/>
              </w:rPr>
            </w:pPr>
            <w:r>
              <w:rPr>
                <w:rFonts w:ascii="黑体" w:eastAsia="黑体" w:hint="eastAsia"/>
                <w:spacing w:val="-6"/>
                <w:sz w:val="21"/>
              </w:rPr>
              <w:t>因纯粹整容原因、独立的牙齿修复、独立的鼻骨骨折或者独立的皮肤伤口所进行的</w:t>
            </w:r>
            <w:r>
              <w:rPr>
                <w:rFonts w:ascii="黑体" w:eastAsia="黑体" w:hint="eastAsia"/>
                <w:spacing w:val="-1"/>
                <w:sz w:val="21"/>
              </w:rPr>
              <w:t>手术均</w:t>
            </w:r>
            <w:r>
              <w:rPr>
                <w:rFonts w:ascii="Arial" w:eastAsia="Arial"/>
                <w:w w:val="115"/>
                <w:sz w:val="21"/>
              </w:rPr>
              <w:t>不</w:t>
            </w:r>
            <w:r>
              <w:rPr>
                <w:rFonts w:ascii="黑体" w:eastAsia="黑体" w:hint="eastAsia"/>
                <w:spacing w:val="-3"/>
                <w:sz w:val="21"/>
              </w:rPr>
              <w:t>受此保障。</w:t>
            </w:r>
          </w:p>
        </w:tc>
      </w:tr>
      <w:tr>
        <w:trPr>
          <w:trHeight w:val="1081" w:hRule="atLeast"/>
        </w:trPr>
        <w:tc>
          <w:tcPr>
            <w:tcW w:w="768" w:type="dxa"/>
          </w:tcPr>
          <w:p>
            <w:pPr>
              <w:pStyle w:val="TableParagraph"/>
              <w:spacing w:before="0"/>
              <w:ind w:left="0"/>
              <w:rPr>
                <w:rFonts w:ascii="Times New Roman"/>
                <w:sz w:val="20"/>
              </w:rPr>
            </w:pPr>
          </w:p>
        </w:tc>
        <w:tc>
          <w:tcPr>
            <w:tcW w:w="1434" w:type="dxa"/>
          </w:tcPr>
          <w:p>
            <w:pPr>
              <w:pStyle w:val="TableParagraph"/>
              <w:spacing w:before="48"/>
              <w:ind w:left="145"/>
              <w:rPr>
                <w:b/>
                <w:sz w:val="21"/>
              </w:rPr>
            </w:pPr>
            <w:r>
              <w:rPr>
                <w:b/>
                <w:sz w:val="21"/>
              </w:rPr>
              <w:t>44.肝叶切除</w:t>
            </w:r>
          </w:p>
        </w:tc>
        <w:tc>
          <w:tcPr>
            <w:tcW w:w="7965" w:type="dxa"/>
          </w:tcPr>
          <w:p>
            <w:pPr>
              <w:pStyle w:val="TableParagraph"/>
              <w:spacing w:before="48"/>
              <w:ind w:left="129"/>
              <w:rPr>
                <w:sz w:val="21"/>
              </w:rPr>
            </w:pPr>
            <w:r>
              <w:rPr>
                <w:sz w:val="21"/>
              </w:rPr>
              <w:t>因疾病或者意外伤害导致至少一整叶肝脏切除。</w:t>
            </w:r>
          </w:p>
          <w:p>
            <w:pPr>
              <w:pStyle w:val="TableParagraph"/>
              <w:spacing w:line="273" w:lineRule="auto"/>
              <w:ind w:left="129" w:right="313"/>
              <w:rPr>
                <w:rFonts w:ascii="黑体" w:eastAsia="黑体" w:hint="eastAsia"/>
                <w:sz w:val="21"/>
              </w:rPr>
            </w:pPr>
            <w:r>
              <w:rPr>
                <w:rFonts w:ascii="黑体" w:eastAsia="黑体" w:hint="eastAsia"/>
                <w:sz w:val="21"/>
              </w:rPr>
              <w:t>因酒精或者滥用药物引致的疾病或者紊乱及／或者因捐赠肝脏而所需的肝脏手术均不在保障范围内。</w:t>
            </w:r>
          </w:p>
        </w:tc>
      </w:tr>
      <w:tr>
        <w:trPr>
          <w:trHeight w:val="780"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58"/>
              <w:ind w:left="145" w:right="125"/>
              <w:rPr>
                <w:b/>
                <w:sz w:val="21"/>
              </w:rPr>
            </w:pPr>
            <w:r>
              <w:rPr>
                <w:b/>
                <w:sz w:val="21"/>
              </w:rPr>
              <w:t>45.单侧肺脏切除</w:t>
            </w:r>
          </w:p>
        </w:tc>
        <w:tc>
          <w:tcPr>
            <w:tcW w:w="7965" w:type="dxa"/>
          </w:tcPr>
          <w:p>
            <w:pPr>
              <w:pStyle w:val="TableParagraph"/>
              <w:spacing w:before="58"/>
              <w:ind w:left="129"/>
              <w:rPr>
                <w:sz w:val="21"/>
              </w:rPr>
            </w:pPr>
            <w:r>
              <w:rPr>
                <w:sz w:val="21"/>
              </w:rPr>
              <w:t>因疾病或意外事故实际实施的一侧肺脏切除术。</w:t>
            </w:r>
          </w:p>
          <w:p>
            <w:pPr>
              <w:pStyle w:val="TableParagraph"/>
              <w:spacing w:before="36"/>
              <w:ind w:left="129"/>
              <w:rPr>
                <w:rFonts w:ascii="黑体" w:eastAsia="黑体" w:hint="eastAsia"/>
                <w:sz w:val="21"/>
              </w:rPr>
            </w:pPr>
            <w:r>
              <w:rPr>
                <w:rFonts w:ascii="黑体" w:eastAsia="黑体" w:hint="eastAsia"/>
                <w:sz w:val="21"/>
              </w:rPr>
              <w:t>部分切除手术和肺脏捐献引起的手术不在保障范围内。</w:t>
            </w:r>
          </w:p>
        </w:tc>
      </w:tr>
      <w:tr>
        <w:trPr>
          <w:trHeight w:val="1043"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59"/>
              <w:ind w:left="145" w:right="125"/>
              <w:rPr>
                <w:b/>
                <w:sz w:val="21"/>
              </w:rPr>
            </w:pPr>
            <w:r>
              <w:rPr>
                <w:b/>
                <w:sz w:val="21"/>
              </w:rPr>
              <w:t>46.双侧卵巢或睾丸切除术</w:t>
            </w:r>
          </w:p>
        </w:tc>
        <w:tc>
          <w:tcPr>
            <w:tcW w:w="7965" w:type="dxa"/>
          </w:tcPr>
          <w:p>
            <w:pPr>
              <w:pStyle w:val="TableParagraph"/>
              <w:spacing w:line="273" w:lineRule="auto" w:before="59"/>
              <w:ind w:left="129" w:right="313"/>
              <w:rPr>
                <w:rFonts w:ascii="黑体" w:eastAsia="黑体" w:hint="eastAsia"/>
                <w:sz w:val="21"/>
              </w:rPr>
            </w:pPr>
            <w:r>
              <w:rPr>
                <w:sz w:val="21"/>
              </w:rPr>
              <w:t>指为治疗疾病实际接受了经腹部切开或腹腔镜进行的双侧卵巢或睾丸完全切除手术。</w:t>
            </w:r>
            <w:r>
              <w:rPr>
                <w:rFonts w:ascii="黑体" w:eastAsia="黑体" w:hint="eastAsia"/>
                <w:sz w:val="21"/>
              </w:rPr>
              <w:t>部分卵巢或睾丸切除不在保障范围。</w:t>
            </w:r>
          </w:p>
        </w:tc>
      </w:tr>
      <w:tr>
        <w:trPr>
          <w:trHeight w:val="717"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9"/>
              <w:ind w:left="145" w:right="125"/>
              <w:rPr>
                <w:b/>
                <w:sz w:val="21"/>
              </w:rPr>
            </w:pPr>
            <w:r>
              <w:rPr>
                <w:b/>
                <w:sz w:val="21"/>
              </w:rPr>
              <w:t>47.腔静脉过滤器植入术</w:t>
            </w:r>
          </w:p>
        </w:tc>
        <w:tc>
          <w:tcPr>
            <w:tcW w:w="7965" w:type="dxa"/>
          </w:tcPr>
          <w:p>
            <w:pPr>
              <w:pStyle w:val="TableParagraph"/>
              <w:spacing w:line="273" w:lineRule="auto" w:before="9"/>
              <w:ind w:left="129" w:right="303"/>
              <w:rPr>
                <w:sz w:val="21"/>
              </w:rPr>
            </w:pPr>
            <w:r>
              <w:rPr>
                <w:spacing w:val="-6"/>
                <w:sz w:val="21"/>
              </w:rPr>
              <w:t>指为治疗反复肺栓塞发作，抗凝血疗法无效，已经实施了腔静脉过滤器植入术。手</w:t>
            </w:r>
            <w:r>
              <w:rPr>
                <w:spacing w:val="-4"/>
                <w:sz w:val="21"/>
              </w:rPr>
              <w:t>术必须在专科医生认为是医学上必需的情况下进行。</w:t>
            </w:r>
          </w:p>
        </w:tc>
      </w:tr>
      <w:tr>
        <w:trPr>
          <w:trHeight w:val="1078"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45"/>
              <w:ind w:left="145" w:right="125"/>
              <w:rPr>
                <w:b/>
                <w:sz w:val="21"/>
              </w:rPr>
            </w:pPr>
            <w:r>
              <w:rPr>
                <w:b/>
                <w:sz w:val="21"/>
              </w:rPr>
              <w:t>48.硬脑膜下血肿手术</w:t>
            </w:r>
          </w:p>
        </w:tc>
        <w:tc>
          <w:tcPr>
            <w:tcW w:w="7965" w:type="dxa"/>
          </w:tcPr>
          <w:p>
            <w:pPr>
              <w:pStyle w:val="TableParagraph"/>
              <w:spacing w:before="45"/>
              <w:ind w:left="129"/>
              <w:rPr>
                <w:sz w:val="21"/>
              </w:rPr>
            </w:pPr>
            <w:r>
              <w:rPr>
                <w:sz w:val="21"/>
              </w:rPr>
              <w:t>为清除或引流因意外导致的血肿，需于头部进行开颅或钻孔手术。</w:t>
            </w:r>
          </w:p>
          <w:p>
            <w:pPr>
              <w:pStyle w:val="TableParagraph"/>
              <w:spacing w:line="273" w:lineRule="auto" w:before="36"/>
              <w:ind w:left="129" w:right="313"/>
              <w:rPr>
                <w:sz w:val="21"/>
              </w:rPr>
            </w:pPr>
            <w:r>
              <w:rPr>
                <w:sz w:val="21"/>
              </w:rPr>
              <w:t>开颅或钻孔手术必须在本公司认可医院内由专科医生认为是医疗必须的情况下进行。</w:t>
            </w:r>
          </w:p>
        </w:tc>
      </w:tr>
      <w:tr>
        <w:trPr>
          <w:trHeight w:val="1395"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58"/>
              <w:ind w:left="145" w:right="125"/>
              <w:rPr>
                <w:b/>
                <w:sz w:val="21"/>
              </w:rPr>
            </w:pPr>
            <w:r>
              <w:rPr>
                <w:b/>
                <w:sz w:val="21"/>
              </w:rPr>
              <w:t>49.严重阻塞性睡眠窒息症</w:t>
            </w:r>
          </w:p>
        </w:tc>
        <w:tc>
          <w:tcPr>
            <w:tcW w:w="7965" w:type="dxa"/>
          </w:tcPr>
          <w:p>
            <w:pPr>
              <w:pStyle w:val="TableParagraph"/>
              <w:spacing w:line="273" w:lineRule="auto" w:before="58"/>
              <w:ind w:left="129" w:right="303"/>
              <w:rPr>
                <w:sz w:val="21"/>
              </w:rPr>
            </w:pPr>
            <w:r>
              <w:rPr>
                <w:spacing w:val="-6"/>
                <w:sz w:val="21"/>
              </w:rPr>
              <w:t>须有相关医学范畴的注册专科医生，经多导睡眠监测仪监测明确诊断为严重阻塞性</w:t>
            </w:r>
            <w:r>
              <w:rPr>
                <w:spacing w:val="-4"/>
                <w:w w:val="100"/>
                <w:sz w:val="21"/>
              </w:rPr>
              <w:t>睡眠呼吸暂停综合征</w:t>
            </w:r>
            <w:r>
              <w:rPr>
                <w:w w:val="100"/>
                <w:sz w:val="21"/>
              </w:rPr>
              <w:t>（O</w:t>
            </w:r>
            <w:r>
              <w:rPr>
                <w:spacing w:val="-3"/>
                <w:w w:val="100"/>
                <w:sz w:val="21"/>
              </w:rPr>
              <w:t>SA</w:t>
            </w:r>
            <w:r>
              <w:rPr>
                <w:spacing w:val="-106"/>
                <w:w w:val="100"/>
                <w:sz w:val="21"/>
              </w:rPr>
              <w:t>）</w:t>
            </w:r>
            <w:r>
              <w:rPr>
                <w:spacing w:val="-3"/>
                <w:w w:val="100"/>
                <w:sz w:val="21"/>
              </w:rPr>
              <w:t>，并必须符合以下两项条件：</w:t>
            </w:r>
          </w:p>
          <w:p>
            <w:pPr>
              <w:pStyle w:val="TableParagraph"/>
              <w:numPr>
                <w:ilvl w:val="0"/>
                <w:numId w:val="30"/>
              </w:numPr>
              <w:tabs>
                <w:tab w:pos="762" w:val="left" w:leader="none"/>
              </w:tabs>
              <w:spacing w:line="240" w:lineRule="auto" w:before="7" w:after="0"/>
              <w:ind w:left="761" w:right="0" w:hanging="632"/>
              <w:jc w:val="left"/>
              <w:rPr>
                <w:sz w:val="21"/>
              </w:rPr>
            </w:pPr>
            <w:r>
              <w:rPr>
                <w:spacing w:val="-3"/>
                <w:sz w:val="21"/>
              </w:rPr>
              <w:t>被保险人必须现正介绍持续气道正压呼吸器</w:t>
            </w:r>
            <w:r>
              <w:rPr>
                <w:sz w:val="21"/>
              </w:rPr>
              <w:t>（CPAP）</w:t>
            </w:r>
            <w:r>
              <w:rPr>
                <w:spacing w:val="-3"/>
                <w:sz w:val="21"/>
              </w:rPr>
              <w:t>之夜间治疗；</w:t>
            </w:r>
          </w:p>
          <w:p>
            <w:pPr>
              <w:pStyle w:val="TableParagraph"/>
              <w:numPr>
                <w:ilvl w:val="0"/>
                <w:numId w:val="30"/>
              </w:numPr>
              <w:tabs>
                <w:tab w:pos="762" w:val="left" w:leader="none"/>
              </w:tabs>
              <w:spacing w:line="240" w:lineRule="auto" w:before="37" w:after="0"/>
              <w:ind w:left="761" w:right="0" w:hanging="632"/>
              <w:jc w:val="left"/>
              <w:rPr>
                <w:sz w:val="21"/>
              </w:rPr>
            </w:pPr>
            <w:r>
              <w:rPr>
                <w:spacing w:val="-6"/>
                <w:sz w:val="21"/>
              </w:rPr>
              <w:t>必须提供睡眠测试的文件证明，显示 </w:t>
            </w:r>
            <w:r>
              <w:rPr>
                <w:sz w:val="21"/>
              </w:rPr>
              <w:t>AHI</w:t>
            </w:r>
            <w:r>
              <w:rPr>
                <w:rFonts w:ascii="Arial" w:hAnsi="Arial" w:eastAsia="Arial"/>
                <w:sz w:val="21"/>
              </w:rPr>
              <w:t>˃</w:t>
            </w:r>
            <w:r>
              <w:rPr>
                <w:sz w:val="21"/>
              </w:rPr>
              <w:t>30</w:t>
            </w:r>
            <w:r>
              <w:rPr>
                <w:spacing w:val="-8"/>
                <w:sz w:val="21"/>
              </w:rPr>
              <w:t> 及夜间血氧饱和平均值</w:t>
            </w:r>
            <w:r>
              <w:rPr>
                <w:rFonts w:ascii="Arial" w:hAnsi="Arial" w:eastAsia="Arial"/>
                <w:sz w:val="21"/>
              </w:rPr>
              <w:t>˂</w:t>
            </w:r>
            <w:r>
              <w:rPr>
                <w:sz w:val="21"/>
              </w:rPr>
              <w:t>85。</w:t>
            </w:r>
          </w:p>
        </w:tc>
      </w:tr>
      <w:tr>
        <w:trPr>
          <w:trHeight w:val="1082"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34"/>
              <w:ind w:left="145" w:right="125"/>
              <w:rPr>
                <w:b/>
                <w:sz w:val="21"/>
              </w:rPr>
            </w:pPr>
            <w:r>
              <w:rPr>
                <w:b/>
                <w:sz w:val="21"/>
              </w:rPr>
              <w:t>50.因肾上腺皮脂腺瘤切除肾上腺</w:t>
            </w:r>
          </w:p>
        </w:tc>
        <w:tc>
          <w:tcPr>
            <w:tcW w:w="7965" w:type="dxa"/>
          </w:tcPr>
          <w:p>
            <w:pPr>
              <w:pStyle w:val="TableParagraph"/>
              <w:spacing w:line="273" w:lineRule="auto" w:before="34"/>
              <w:ind w:left="129" w:right="303"/>
              <w:jc w:val="both"/>
              <w:rPr>
                <w:sz w:val="21"/>
              </w:rPr>
            </w:pPr>
            <w:r>
              <w:rPr>
                <w:sz w:val="21"/>
              </w:rPr>
              <w:t>因肾上腺皮质腺瘤所导致的醛固酮分泌过多而产生的继发性恶性高血压而实际接</w:t>
            </w:r>
            <w:r>
              <w:rPr>
                <w:spacing w:val="-7"/>
                <w:sz w:val="21"/>
              </w:rPr>
              <w:t>受了肾上腺切除术治疗。诊断及治疗均须在本公司认可医院内由专科医生认为是医</w:t>
            </w:r>
            <w:r>
              <w:rPr>
                <w:spacing w:val="-5"/>
                <w:sz w:val="21"/>
              </w:rPr>
              <w:t>疗必须的情况下进行。</w:t>
            </w:r>
          </w:p>
        </w:tc>
      </w:tr>
      <w:tr>
        <w:trPr>
          <w:trHeight w:val="1117" w:hRule="atLeast"/>
        </w:trPr>
        <w:tc>
          <w:tcPr>
            <w:tcW w:w="768" w:type="dxa"/>
          </w:tcPr>
          <w:p>
            <w:pPr>
              <w:pStyle w:val="TableParagraph"/>
              <w:spacing w:before="104"/>
              <w:rPr>
                <w:b/>
                <w:sz w:val="21"/>
              </w:rPr>
            </w:pPr>
            <w:r>
              <w:rPr>
                <w:b/>
                <w:sz w:val="21"/>
              </w:rPr>
              <w:t>9.11</w:t>
            </w:r>
          </w:p>
        </w:tc>
        <w:tc>
          <w:tcPr>
            <w:tcW w:w="1434" w:type="dxa"/>
          </w:tcPr>
          <w:p>
            <w:pPr>
              <w:pStyle w:val="TableParagraph"/>
              <w:spacing w:before="104"/>
              <w:ind w:left="145"/>
              <w:rPr>
                <w:b/>
                <w:sz w:val="21"/>
              </w:rPr>
            </w:pPr>
            <w:r>
              <w:rPr>
                <w:b/>
                <w:sz w:val="21"/>
              </w:rPr>
              <w:t>重大疾病</w:t>
            </w:r>
          </w:p>
        </w:tc>
        <w:tc>
          <w:tcPr>
            <w:tcW w:w="7965" w:type="dxa"/>
          </w:tcPr>
          <w:p>
            <w:pPr>
              <w:pStyle w:val="TableParagraph"/>
              <w:spacing w:before="73"/>
              <w:ind w:left="129"/>
              <w:rPr>
                <w:sz w:val="21"/>
              </w:rPr>
            </w:pPr>
            <w:r>
              <w:rPr>
                <w:sz w:val="21"/>
              </w:rPr>
              <w:t>被保险人发生符合以下疾病定义所述条件的疾病，应当由专科医生明确诊断。</w:t>
            </w:r>
          </w:p>
          <w:p>
            <w:pPr>
              <w:pStyle w:val="TableParagraph"/>
              <w:spacing w:line="273" w:lineRule="auto"/>
              <w:ind w:left="129" w:right="302"/>
              <w:rPr>
                <w:sz w:val="21"/>
              </w:rPr>
            </w:pPr>
            <w:r>
              <w:rPr>
                <w:spacing w:val="-7"/>
                <w:sz w:val="21"/>
              </w:rPr>
              <w:t>其中，</w:t>
            </w:r>
            <w:r>
              <w:rPr>
                <w:spacing w:val="-16"/>
                <w:sz w:val="21"/>
              </w:rPr>
              <w:t>25</w:t>
            </w:r>
            <w:r>
              <w:rPr>
                <w:spacing w:val="-7"/>
                <w:sz w:val="21"/>
              </w:rPr>
              <w:t> 种重大疾病定义完全采用了中国保险行业协会制定的《重大疾病保险的疾</w:t>
            </w:r>
            <w:r>
              <w:rPr>
                <w:spacing w:val="-5"/>
                <w:sz w:val="21"/>
              </w:rPr>
              <w:t>病定义使用规范》中的疾病定义，其他为本公司增加的疾病。</w:t>
            </w:r>
          </w:p>
        </w:tc>
      </w:tr>
      <w:tr>
        <w:trPr>
          <w:trHeight w:val="3402" w:hRule="atLeast"/>
        </w:trPr>
        <w:tc>
          <w:tcPr>
            <w:tcW w:w="768" w:type="dxa"/>
          </w:tcPr>
          <w:p>
            <w:pPr>
              <w:pStyle w:val="TableParagraph"/>
              <w:spacing w:before="0"/>
              <w:ind w:left="0"/>
              <w:rPr>
                <w:rFonts w:ascii="Times New Roman"/>
                <w:sz w:val="20"/>
              </w:rPr>
            </w:pPr>
          </w:p>
        </w:tc>
        <w:tc>
          <w:tcPr>
            <w:tcW w:w="1434" w:type="dxa"/>
          </w:tcPr>
          <w:p>
            <w:pPr>
              <w:pStyle w:val="TableParagraph"/>
              <w:spacing w:before="70"/>
              <w:ind w:left="145"/>
              <w:rPr>
                <w:b/>
                <w:sz w:val="21"/>
              </w:rPr>
            </w:pPr>
            <w:r>
              <w:rPr>
                <w:b/>
                <w:sz w:val="21"/>
              </w:rPr>
              <w:t>1.恶性肿瘤</w:t>
            </w:r>
          </w:p>
        </w:tc>
        <w:tc>
          <w:tcPr>
            <w:tcW w:w="7965" w:type="dxa"/>
          </w:tcPr>
          <w:p>
            <w:pPr>
              <w:pStyle w:val="TableParagraph"/>
              <w:spacing w:line="273" w:lineRule="auto" w:before="70"/>
              <w:ind w:left="129" w:right="197"/>
              <w:rPr>
                <w:sz w:val="21"/>
              </w:rPr>
            </w:pPr>
            <w:r>
              <w:rPr>
                <w:spacing w:val="-10"/>
                <w:sz w:val="21"/>
              </w:rPr>
              <w:t>指恶性细胞不受控制的进行性增长和扩散，浸润和破坏周围正常组织，可以经血管、</w:t>
            </w:r>
            <w:r>
              <w:rPr>
                <w:spacing w:val="-7"/>
                <w:sz w:val="21"/>
              </w:rPr>
              <w:t>淋巴管和体腔扩散转移到身体其它部位的疾病。经病理学检查结果明确诊断，临床</w:t>
            </w:r>
            <w:r>
              <w:rPr>
                <w:spacing w:val="-9"/>
                <w:sz w:val="21"/>
              </w:rPr>
              <w:t>诊断属于世界卫生组织《疾病和有关健康问题的国际统计分类》</w:t>
            </w:r>
            <w:r>
              <w:rPr>
                <w:sz w:val="21"/>
              </w:rPr>
              <w:t>（ICD-10）</w:t>
            </w:r>
            <w:r>
              <w:rPr>
                <w:spacing w:val="-2"/>
                <w:sz w:val="21"/>
              </w:rPr>
              <w:t>的恶性 </w:t>
            </w:r>
            <w:r>
              <w:rPr>
                <w:spacing w:val="-3"/>
                <w:sz w:val="21"/>
              </w:rPr>
              <w:t>肿瘤范畴。</w:t>
            </w:r>
          </w:p>
          <w:p>
            <w:pPr>
              <w:pStyle w:val="TableParagraph"/>
              <w:spacing w:before="8"/>
              <w:ind w:left="129"/>
              <w:rPr>
                <w:rFonts w:ascii="黑体" w:eastAsia="黑体" w:hint="eastAsia"/>
                <w:sz w:val="21"/>
              </w:rPr>
            </w:pPr>
            <w:r>
              <w:rPr>
                <w:rFonts w:ascii="黑体" w:eastAsia="黑体" w:hint="eastAsia"/>
                <w:sz w:val="21"/>
              </w:rPr>
              <w:t>下列疾病不在保障范围内：</w:t>
            </w:r>
          </w:p>
          <w:p>
            <w:pPr>
              <w:pStyle w:val="TableParagraph"/>
              <w:numPr>
                <w:ilvl w:val="0"/>
                <w:numId w:val="31"/>
              </w:numPr>
              <w:tabs>
                <w:tab w:pos="548" w:val="left" w:leader="none"/>
              </w:tabs>
              <w:spacing w:line="274" w:lineRule="exact" w:before="15" w:after="0"/>
              <w:ind w:left="547" w:right="0" w:hanging="420"/>
              <w:jc w:val="left"/>
              <w:rPr>
                <w:rFonts w:ascii="黑体" w:eastAsia="黑体" w:hint="eastAsia"/>
                <w:sz w:val="21"/>
              </w:rPr>
            </w:pPr>
            <w:r>
              <w:rPr>
                <w:rFonts w:ascii="黑体" w:eastAsia="黑体" w:hint="eastAsia"/>
                <w:spacing w:val="-1"/>
                <w:sz w:val="21"/>
              </w:rPr>
              <w:t>原位癌；</w:t>
            </w:r>
          </w:p>
          <w:p>
            <w:pPr>
              <w:pStyle w:val="TableParagraph"/>
              <w:numPr>
                <w:ilvl w:val="0"/>
                <w:numId w:val="31"/>
              </w:numPr>
              <w:tabs>
                <w:tab w:pos="548" w:val="left" w:leader="none"/>
              </w:tabs>
              <w:spacing w:line="272" w:lineRule="exact" w:before="0" w:after="0"/>
              <w:ind w:left="547" w:right="0" w:hanging="420"/>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31"/>
              </w:numPr>
              <w:tabs>
                <w:tab w:pos="548" w:val="left" w:leader="none"/>
              </w:tabs>
              <w:spacing w:line="272" w:lineRule="exact" w:before="0" w:after="0"/>
              <w:ind w:left="547" w:right="0" w:hanging="42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31"/>
              </w:numPr>
              <w:tabs>
                <w:tab w:pos="548" w:val="left" w:leader="none"/>
              </w:tabs>
              <w:spacing w:line="272" w:lineRule="exact" w:before="0" w:after="0"/>
              <w:ind w:left="547" w:right="0" w:hanging="420"/>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31"/>
              </w:numPr>
              <w:tabs>
                <w:tab w:pos="548" w:val="left" w:leader="none"/>
              </w:tabs>
              <w:spacing w:line="273" w:lineRule="exact" w:before="0" w:after="0"/>
              <w:ind w:left="547" w:right="0" w:hanging="420"/>
              <w:jc w:val="left"/>
              <w:rPr>
                <w:rFonts w:ascii="黑体" w:eastAsia="黑体" w:hint="eastAsia"/>
                <w:sz w:val="21"/>
              </w:rPr>
            </w:pPr>
            <w:r>
              <w:rPr>
                <w:rFonts w:ascii="黑体" w:eastAsia="黑体" w:hint="eastAsia"/>
                <w:sz w:val="21"/>
              </w:rPr>
              <w:t>TNM</w:t>
            </w:r>
            <w:r>
              <w:rPr>
                <w:rFonts w:ascii="黑体" w:eastAsia="黑体" w:hint="eastAsia"/>
                <w:spacing w:val="-20"/>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31"/>
              </w:numPr>
              <w:tabs>
                <w:tab w:pos="552" w:val="left" w:leader="none"/>
              </w:tabs>
              <w:spacing w:line="240" w:lineRule="auto" w:before="19" w:after="0"/>
              <w:ind w:left="552" w:right="0" w:hanging="423"/>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213" w:hRule="atLeast"/>
        </w:trPr>
        <w:tc>
          <w:tcPr>
            <w:tcW w:w="768" w:type="dxa"/>
          </w:tcPr>
          <w:p>
            <w:pPr>
              <w:pStyle w:val="TableParagraph"/>
              <w:spacing w:before="0"/>
              <w:ind w:left="0"/>
              <w:rPr>
                <w:rFonts w:ascii="Times New Roman"/>
                <w:sz w:val="20"/>
              </w:rPr>
            </w:pPr>
          </w:p>
        </w:tc>
        <w:tc>
          <w:tcPr>
            <w:tcW w:w="1434" w:type="dxa"/>
          </w:tcPr>
          <w:p>
            <w:pPr>
              <w:pStyle w:val="TableParagraph"/>
              <w:spacing w:line="273" w:lineRule="auto" w:before="59"/>
              <w:ind w:left="145" w:right="230"/>
              <w:rPr>
                <w:b/>
                <w:sz w:val="21"/>
              </w:rPr>
            </w:pPr>
            <w:r>
              <w:rPr>
                <w:b/>
                <w:sz w:val="21"/>
              </w:rPr>
              <w:t>2.急性心肌梗塞</w:t>
            </w:r>
          </w:p>
        </w:tc>
        <w:tc>
          <w:tcPr>
            <w:tcW w:w="7965" w:type="dxa"/>
          </w:tcPr>
          <w:p>
            <w:pPr>
              <w:pStyle w:val="TableParagraph"/>
              <w:spacing w:line="273" w:lineRule="auto" w:before="59"/>
              <w:ind w:left="129" w:right="262"/>
              <w:rPr>
                <w:sz w:val="21"/>
              </w:rPr>
            </w:pPr>
            <w:r>
              <w:rPr>
                <w:sz w:val="21"/>
              </w:rPr>
              <w:t>指因冠状动脉阻塞导致的相应区域供血不足造成部分心肌坏死。须满足下列至少三项条件：</w:t>
            </w:r>
          </w:p>
          <w:p>
            <w:pPr>
              <w:pStyle w:val="TableParagraph"/>
              <w:spacing w:line="259" w:lineRule="exact" w:before="0"/>
              <w:ind w:left="129"/>
              <w:rPr>
                <w:sz w:val="21"/>
              </w:rPr>
            </w:pPr>
            <w:r>
              <w:rPr>
                <w:sz w:val="21"/>
              </w:rPr>
              <w:t>（1）典型临床表现，例如急性胸痛等；</w:t>
            </w:r>
          </w:p>
          <w:p>
            <w:pPr>
              <w:pStyle w:val="TableParagraph"/>
              <w:spacing w:line="259" w:lineRule="exact" w:before="0"/>
              <w:ind w:left="129"/>
              <w:rPr>
                <w:sz w:val="21"/>
              </w:rPr>
            </w:pPr>
            <w:r>
              <w:rPr>
                <w:sz w:val="21"/>
              </w:rPr>
              <w:t>（2）新近的心电图改变提示急性心肌梗塞；</w:t>
            </w:r>
          </w:p>
        </w:tc>
      </w:tr>
    </w:tbl>
    <w:p>
      <w:pPr>
        <w:spacing w:after="0" w:line="259" w:lineRule="exact"/>
        <w:rPr>
          <w:sz w:val="21"/>
        </w:rPr>
        <w:sectPr>
          <w:pgSz w:w="11910" w:h="16840"/>
          <w:pgMar w:header="0" w:footer="377" w:top="1340" w:bottom="560" w:left="8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943"/>
      </w:tblGrid>
      <w:tr>
        <w:trPr>
          <w:trHeight w:val="632" w:hRule="atLeast"/>
        </w:trPr>
        <w:tc>
          <w:tcPr>
            <w:tcW w:w="1512" w:type="dxa"/>
          </w:tcPr>
          <w:p>
            <w:pPr>
              <w:pStyle w:val="TableParagraph"/>
              <w:spacing w:before="0"/>
              <w:ind w:left="0"/>
              <w:rPr>
                <w:rFonts w:ascii="Times New Roman"/>
                <w:sz w:val="20"/>
              </w:rPr>
            </w:pPr>
          </w:p>
        </w:tc>
        <w:tc>
          <w:tcPr>
            <w:tcW w:w="7943" w:type="dxa"/>
          </w:tcPr>
          <w:p>
            <w:pPr>
              <w:pStyle w:val="TableParagraph"/>
              <w:spacing w:line="203" w:lineRule="exact" w:before="0"/>
              <w:ind w:left="106"/>
              <w:rPr>
                <w:sz w:val="21"/>
              </w:rPr>
            </w:pPr>
            <w:r>
              <w:rPr>
                <w:sz w:val="21"/>
              </w:rPr>
              <w:t>（3）心肌酶或肌钙蛋白有诊断意义的升高，或呈符合急性心肌梗塞的动态性变化；</w:t>
            </w:r>
          </w:p>
          <w:p>
            <w:pPr>
              <w:pStyle w:val="TableParagraph"/>
              <w:spacing w:before="18"/>
              <w:ind w:left="106"/>
              <w:rPr>
                <w:sz w:val="21"/>
              </w:rPr>
            </w:pPr>
            <w:r>
              <w:rPr>
                <w:sz w:val="21"/>
              </w:rPr>
              <w:t>（4）发病 90 天后，经检查证实左心室功能降低，如左心室射血分数低于 50%。</w:t>
            </w:r>
          </w:p>
        </w:tc>
      </w:tr>
      <w:tr>
        <w:trPr>
          <w:trHeight w:val="2260" w:hRule="atLeast"/>
        </w:trPr>
        <w:tc>
          <w:tcPr>
            <w:tcW w:w="1512" w:type="dxa"/>
          </w:tcPr>
          <w:p>
            <w:pPr>
              <w:pStyle w:val="TableParagraph"/>
              <w:spacing w:line="273" w:lineRule="auto" w:before="56"/>
              <w:ind w:right="254"/>
              <w:rPr>
                <w:b/>
                <w:sz w:val="21"/>
              </w:rPr>
            </w:pPr>
            <w:r>
              <w:rPr>
                <w:b/>
                <w:sz w:val="21"/>
              </w:rPr>
              <w:t>3.脑中风后遗症</w:t>
            </w:r>
          </w:p>
        </w:tc>
        <w:tc>
          <w:tcPr>
            <w:tcW w:w="7943" w:type="dxa"/>
          </w:tcPr>
          <w:p>
            <w:pPr>
              <w:pStyle w:val="TableParagraph"/>
              <w:spacing w:line="273" w:lineRule="auto" w:before="56"/>
              <w:ind w:left="106" w:right="304"/>
              <w:jc w:val="both"/>
              <w:rPr>
                <w:sz w:val="21"/>
              </w:rPr>
            </w:pPr>
            <w:r>
              <w:rPr>
                <w:spacing w:val="-5"/>
                <w:sz w:val="21"/>
              </w:rPr>
              <w:t>指因脑血管的突发病变引起脑血管出血、栓塞或梗塞，并导致神经系统永久性的功</w:t>
            </w:r>
            <w:r>
              <w:rPr>
                <w:spacing w:val="-9"/>
                <w:sz w:val="21"/>
              </w:rPr>
              <w:t>能障碍。神经系统永久性的功能障碍，指疾病确诊 </w:t>
            </w:r>
            <w:r>
              <w:rPr>
                <w:sz w:val="21"/>
              </w:rPr>
              <w:t>180</w:t>
            </w:r>
            <w:r>
              <w:rPr>
                <w:spacing w:val="-9"/>
                <w:sz w:val="21"/>
              </w:rPr>
              <w:t> 天后，仍遗留下列一种或一</w:t>
            </w:r>
            <w:r>
              <w:rPr>
                <w:spacing w:val="-5"/>
                <w:sz w:val="21"/>
              </w:rPr>
              <w:t>种以上障碍：</w:t>
            </w:r>
          </w:p>
          <w:p>
            <w:pPr>
              <w:pStyle w:val="TableParagraph"/>
              <w:spacing w:line="260" w:lineRule="exact" w:before="0"/>
              <w:ind w:left="106"/>
              <w:rPr>
                <w:sz w:val="21"/>
              </w:rPr>
            </w:pPr>
            <w:r>
              <w:rPr>
                <w:sz w:val="21"/>
              </w:rPr>
              <w:t>（1）一肢或一肢以上肢体机能完全丧失；</w:t>
            </w:r>
          </w:p>
          <w:p>
            <w:pPr>
              <w:pStyle w:val="TableParagraph"/>
              <w:spacing w:line="274" w:lineRule="exact" w:before="0"/>
              <w:ind w:left="106"/>
              <w:rPr>
                <w:sz w:val="21"/>
              </w:rPr>
            </w:pPr>
            <w:r>
              <w:rPr>
                <w:sz w:val="21"/>
              </w:rPr>
              <w:t>（2）语言能力或咀嚼吞咽能力完全丧失；</w:t>
            </w:r>
          </w:p>
          <w:p>
            <w:pPr>
              <w:pStyle w:val="TableParagraph"/>
              <w:spacing w:line="273" w:lineRule="auto" w:before="17"/>
              <w:ind w:left="610" w:right="374" w:hanging="505"/>
              <w:rPr>
                <w:sz w:val="21"/>
              </w:rPr>
            </w:pPr>
            <w:r>
              <w:rPr>
                <w:sz w:val="21"/>
              </w:rPr>
              <w:t>（3）自主生活能力完全丧失，无法独立完成六项基本日常生活活动中的三项或三项以上。</w:t>
            </w:r>
          </w:p>
        </w:tc>
      </w:tr>
      <w:tr>
        <w:trPr>
          <w:trHeight w:val="1404" w:hRule="atLeast"/>
        </w:trPr>
        <w:tc>
          <w:tcPr>
            <w:tcW w:w="1512" w:type="dxa"/>
          </w:tcPr>
          <w:p>
            <w:pPr>
              <w:pStyle w:val="TableParagraph"/>
              <w:spacing w:line="273" w:lineRule="auto" w:before="56"/>
              <w:ind w:right="255"/>
              <w:jc w:val="both"/>
              <w:rPr>
                <w:b/>
                <w:sz w:val="21"/>
              </w:rPr>
            </w:pPr>
            <w:r>
              <w:rPr>
                <w:b/>
                <w:sz w:val="21"/>
              </w:rPr>
              <w:t>4.重大器官移植术或造血干细胞移植术</w:t>
            </w:r>
          </w:p>
        </w:tc>
        <w:tc>
          <w:tcPr>
            <w:tcW w:w="7943" w:type="dxa"/>
          </w:tcPr>
          <w:p>
            <w:pPr>
              <w:pStyle w:val="TableParagraph"/>
              <w:spacing w:line="273" w:lineRule="auto" w:before="56"/>
              <w:ind w:left="106" w:right="304"/>
              <w:rPr>
                <w:sz w:val="21"/>
              </w:rPr>
            </w:pPr>
            <w:r>
              <w:rPr>
                <w:spacing w:val="-7"/>
                <w:sz w:val="21"/>
              </w:rPr>
              <w:t>重大器官移植术，指因相应器官功能衰竭，已经实施了肾脏、肝脏、心脏或肺脏的</w:t>
            </w:r>
            <w:r>
              <w:rPr>
                <w:spacing w:val="-5"/>
                <w:sz w:val="21"/>
              </w:rPr>
              <w:t>异体移植手术。</w:t>
            </w:r>
          </w:p>
          <w:p>
            <w:pPr>
              <w:pStyle w:val="TableParagraph"/>
              <w:spacing w:line="273" w:lineRule="auto" w:before="7"/>
              <w:ind w:left="106" w:right="201"/>
              <w:rPr>
                <w:sz w:val="21"/>
              </w:rPr>
            </w:pPr>
            <w:r>
              <w:rPr>
                <w:spacing w:val="-6"/>
                <w:sz w:val="21"/>
              </w:rPr>
              <w:t>造血干细胞移植术，指因造血功能损害或造血系统恶性肿瘤，已经实施了造血干细</w:t>
            </w:r>
            <w:r>
              <w:rPr>
                <w:spacing w:val="-48"/>
                <w:sz w:val="21"/>
              </w:rPr>
              <w:t>胞</w:t>
            </w:r>
            <w:r>
              <w:rPr>
                <w:sz w:val="21"/>
              </w:rPr>
              <w:t>（</w:t>
            </w:r>
            <w:r>
              <w:rPr>
                <w:spacing w:val="-8"/>
                <w:sz w:val="21"/>
              </w:rPr>
              <w:t>包括骨髓造血干细胞、外周血造血干细胞和脐血造血干细胞</w:t>
            </w:r>
            <w:r>
              <w:rPr>
                <w:spacing w:val="-48"/>
                <w:sz w:val="21"/>
              </w:rPr>
              <w:t>）</w:t>
            </w:r>
            <w:r>
              <w:rPr>
                <w:spacing w:val="-3"/>
                <w:sz w:val="21"/>
              </w:rPr>
              <w:t>的异体移植手术。</w:t>
            </w:r>
          </w:p>
        </w:tc>
      </w:tr>
      <w:tr>
        <w:trPr>
          <w:trHeight w:val="1413" w:hRule="atLeast"/>
        </w:trPr>
        <w:tc>
          <w:tcPr>
            <w:tcW w:w="1512" w:type="dxa"/>
          </w:tcPr>
          <w:p>
            <w:pPr>
              <w:pStyle w:val="TableParagraph"/>
              <w:spacing w:line="273" w:lineRule="auto" w:before="56"/>
              <w:ind w:right="105"/>
              <w:rPr>
                <w:b/>
                <w:sz w:val="21"/>
              </w:rPr>
            </w:pPr>
            <w:r>
              <w:rPr>
                <w:b/>
                <w:sz w:val="21"/>
              </w:rPr>
              <w:t>5.冠状动脉</w:t>
            </w:r>
            <w:r>
              <w:rPr>
                <w:b/>
                <w:spacing w:val="-21"/>
                <w:sz w:val="21"/>
              </w:rPr>
              <w:t>搭桥术</w:t>
            </w:r>
            <w:r>
              <w:rPr>
                <w:b/>
                <w:sz w:val="21"/>
              </w:rPr>
              <w:t>（或称冠状动脉旁路移植术）</w:t>
            </w:r>
          </w:p>
        </w:tc>
        <w:tc>
          <w:tcPr>
            <w:tcW w:w="7943" w:type="dxa"/>
          </w:tcPr>
          <w:p>
            <w:pPr>
              <w:pStyle w:val="TableParagraph"/>
              <w:spacing w:line="273" w:lineRule="auto" w:before="56"/>
              <w:ind w:left="106" w:right="199"/>
              <w:rPr>
                <w:rFonts w:ascii="黑体" w:eastAsia="黑体" w:hint="eastAsia"/>
                <w:sz w:val="21"/>
              </w:rPr>
            </w:pPr>
            <w:r>
              <w:rPr>
                <w:spacing w:val="-3"/>
                <w:sz w:val="21"/>
              </w:rPr>
              <w:t>指为治疗严重的冠心病，实际实施了开胸进行的冠状动脉血管旁路移植的手术。  </w:t>
            </w:r>
            <w:r>
              <w:rPr>
                <w:rFonts w:ascii="黑体" w:eastAsia="黑体" w:hint="eastAsia"/>
                <w:spacing w:val="-14"/>
                <w:sz w:val="21"/>
              </w:rPr>
              <w:t>冠状动脉支架植入术、心导管球囊扩张术、激光射频技术及其它非开胸的介入手术、</w:t>
            </w:r>
            <w:r>
              <w:rPr>
                <w:rFonts w:ascii="黑体" w:eastAsia="黑体" w:hint="eastAsia"/>
                <w:spacing w:val="-7"/>
                <w:sz w:val="21"/>
              </w:rPr>
              <w:t>腔镜手术不在保障范围内。</w:t>
            </w:r>
          </w:p>
        </w:tc>
      </w:tr>
      <w:tr>
        <w:trPr>
          <w:trHeight w:val="1399" w:hRule="atLeast"/>
        </w:trPr>
        <w:tc>
          <w:tcPr>
            <w:tcW w:w="1512" w:type="dxa"/>
          </w:tcPr>
          <w:p>
            <w:pPr>
              <w:pStyle w:val="TableParagraph"/>
              <w:spacing w:line="273" w:lineRule="auto" w:before="66"/>
              <w:ind w:right="105"/>
              <w:rPr>
                <w:b/>
                <w:sz w:val="21"/>
              </w:rPr>
            </w:pPr>
            <w:r>
              <w:rPr>
                <w:b/>
                <w:sz w:val="21"/>
              </w:rPr>
              <w:t>6.终末期肾 </w:t>
            </w:r>
            <w:r>
              <w:rPr>
                <w:b/>
                <w:spacing w:val="-63"/>
                <w:sz w:val="21"/>
              </w:rPr>
              <w:t>病</w:t>
            </w:r>
            <w:r>
              <w:rPr>
                <w:b/>
                <w:sz w:val="21"/>
              </w:rPr>
              <w:t>（或称慢性肾功能衰竭尿毒症期）</w:t>
            </w:r>
          </w:p>
        </w:tc>
        <w:tc>
          <w:tcPr>
            <w:tcW w:w="7943" w:type="dxa"/>
          </w:tcPr>
          <w:p>
            <w:pPr>
              <w:pStyle w:val="TableParagraph"/>
              <w:spacing w:line="273" w:lineRule="auto" w:before="66"/>
              <w:ind w:left="106" w:right="373"/>
              <w:rPr>
                <w:sz w:val="21"/>
              </w:rPr>
            </w:pPr>
            <w:r>
              <w:rPr>
                <w:spacing w:val="-4"/>
                <w:sz w:val="21"/>
              </w:rPr>
              <w:t>指双肾功能慢性不可逆性衰竭，达到尿毒症期，经诊断后已经进行了至少 </w:t>
            </w:r>
            <w:r>
              <w:rPr>
                <w:sz w:val="21"/>
              </w:rPr>
              <w:t>90</w:t>
            </w:r>
            <w:r>
              <w:rPr>
                <w:spacing w:val="-14"/>
                <w:sz w:val="21"/>
              </w:rPr>
              <w:t> 天的</w:t>
            </w:r>
            <w:r>
              <w:rPr>
                <w:spacing w:val="-7"/>
                <w:sz w:val="21"/>
              </w:rPr>
              <w:t>规律性透析治疗或实施了肾脏移植手术。</w:t>
            </w:r>
          </w:p>
        </w:tc>
      </w:tr>
      <w:tr>
        <w:trPr>
          <w:trHeight w:val="763" w:hRule="atLeast"/>
        </w:trPr>
        <w:tc>
          <w:tcPr>
            <w:tcW w:w="1512" w:type="dxa"/>
          </w:tcPr>
          <w:p>
            <w:pPr>
              <w:pStyle w:val="TableParagraph"/>
              <w:spacing w:line="271" w:lineRule="auto" w:before="42"/>
              <w:ind w:right="254"/>
              <w:rPr>
                <w:b/>
                <w:sz w:val="21"/>
              </w:rPr>
            </w:pPr>
            <w:r>
              <w:rPr>
                <w:b/>
                <w:sz w:val="21"/>
              </w:rPr>
              <w:t>7.多个肢体缺失</w:t>
            </w:r>
          </w:p>
        </w:tc>
        <w:tc>
          <w:tcPr>
            <w:tcW w:w="7943" w:type="dxa"/>
          </w:tcPr>
          <w:p>
            <w:pPr>
              <w:pStyle w:val="TableParagraph"/>
              <w:spacing w:line="271" w:lineRule="auto" w:before="42"/>
              <w:ind w:left="106" w:right="477"/>
              <w:rPr>
                <w:sz w:val="21"/>
              </w:rPr>
            </w:pPr>
            <w:r>
              <w:rPr>
                <w:sz w:val="21"/>
              </w:rPr>
              <w:t>指因疾病或意外伤害导致两个或两个以上肢体自腕关节或踝关节近端（靠近躯干端）以上完全性断离。</w:t>
            </w:r>
          </w:p>
        </w:tc>
      </w:tr>
      <w:tr>
        <w:trPr>
          <w:trHeight w:val="2029" w:hRule="atLeast"/>
        </w:trPr>
        <w:tc>
          <w:tcPr>
            <w:tcW w:w="1512" w:type="dxa"/>
          </w:tcPr>
          <w:p>
            <w:pPr>
              <w:pStyle w:val="TableParagraph"/>
              <w:spacing w:line="273" w:lineRule="auto" w:before="56"/>
              <w:ind w:right="255"/>
              <w:jc w:val="both"/>
              <w:rPr>
                <w:b/>
                <w:sz w:val="21"/>
              </w:rPr>
            </w:pPr>
            <w:r>
              <w:rPr>
                <w:b/>
                <w:sz w:val="21"/>
              </w:rPr>
              <w:t>8.急性或亚急性重症肝炎</w:t>
            </w:r>
          </w:p>
        </w:tc>
        <w:tc>
          <w:tcPr>
            <w:tcW w:w="7943" w:type="dxa"/>
          </w:tcPr>
          <w:p>
            <w:pPr>
              <w:pStyle w:val="TableParagraph"/>
              <w:spacing w:line="273" w:lineRule="auto" w:before="56"/>
              <w:ind w:left="106" w:right="26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32"/>
              </w:numPr>
              <w:tabs>
                <w:tab w:pos="827" w:val="left" w:leader="none"/>
              </w:tabs>
              <w:spacing w:line="240" w:lineRule="auto" w:before="7" w:after="0"/>
              <w:ind w:left="826" w:right="0" w:hanging="720"/>
              <w:jc w:val="left"/>
              <w:rPr>
                <w:sz w:val="21"/>
              </w:rPr>
            </w:pPr>
            <w:r>
              <w:rPr>
                <w:spacing w:val="-3"/>
                <w:sz w:val="21"/>
              </w:rPr>
              <w:t>重度黄疸或黄疸迅速加重；</w:t>
            </w:r>
          </w:p>
          <w:p>
            <w:pPr>
              <w:pStyle w:val="TableParagraph"/>
              <w:numPr>
                <w:ilvl w:val="0"/>
                <w:numId w:val="32"/>
              </w:numPr>
              <w:tabs>
                <w:tab w:pos="827" w:val="left" w:leader="none"/>
              </w:tabs>
              <w:spacing w:line="240" w:lineRule="auto" w:before="37" w:after="0"/>
              <w:ind w:left="826" w:right="0" w:hanging="720"/>
              <w:jc w:val="left"/>
              <w:rPr>
                <w:sz w:val="21"/>
              </w:rPr>
            </w:pPr>
            <w:r>
              <w:rPr>
                <w:spacing w:val="-1"/>
                <w:sz w:val="21"/>
              </w:rPr>
              <w:t>肝性脑病；</w:t>
            </w:r>
          </w:p>
          <w:p>
            <w:pPr>
              <w:pStyle w:val="TableParagraph"/>
              <w:numPr>
                <w:ilvl w:val="0"/>
                <w:numId w:val="32"/>
              </w:numPr>
              <w:tabs>
                <w:tab w:pos="827" w:val="left" w:leader="none"/>
              </w:tabs>
              <w:spacing w:line="240" w:lineRule="auto" w:before="37" w:after="0"/>
              <w:ind w:left="826" w:right="0" w:hanging="720"/>
              <w:jc w:val="left"/>
              <w:rPr>
                <w:sz w:val="21"/>
              </w:rPr>
            </w:pPr>
            <w:r>
              <w:rPr>
                <w:sz w:val="21"/>
              </w:rPr>
              <w:t>B</w:t>
            </w:r>
            <w:r>
              <w:rPr>
                <w:spacing w:val="-7"/>
                <w:sz w:val="21"/>
              </w:rPr>
              <w:t> 超或其它影像学检查显示肝脏体积急速萎缩；</w:t>
            </w:r>
          </w:p>
          <w:p>
            <w:pPr>
              <w:pStyle w:val="TableParagraph"/>
              <w:numPr>
                <w:ilvl w:val="0"/>
                <w:numId w:val="32"/>
              </w:numPr>
              <w:tabs>
                <w:tab w:pos="827" w:val="left" w:leader="none"/>
              </w:tabs>
              <w:spacing w:line="240" w:lineRule="auto" w:before="37" w:after="0"/>
              <w:ind w:left="826" w:right="0" w:hanging="720"/>
              <w:jc w:val="left"/>
              <w:rPr>
                <w:sz w:val="21"/>
              </w:rPr>
            </w:pPr>
            <w:r>
              <w:rPr>
                <w:spacing w:val="-3"/>
                <w:sz w:val="21"/>
              </w:rPr>
              <w:t>肝功能指标进行性恶化。</w:t>
            </w:r>
          </w:p>
        </w:tc>
      </w:tr>
      <w:tr>
        <w:trPr>
          <w:trHeight w:val="2029" w:hRule="atLeast"/>
        </w:trPr>
        <w:tc>
          <w:tcPr>
            <w:tcW w:w="1512" w:type="dxa"/>
          </w:tcPr>
          <w:p>
            <w:pPr>
              <w:pStyle w:val="TableParagraph"/>
              <w:spacing w:line="273" w:lineRule="auto" w:before="58"/>
              <w:ind w:right="254"/>
              <w:rPr>
                <w:b/>
                <w:sz w:val="21"/>
              </w:rPr>
            </w:pPr>
            <w:r>
              <w:rPr>
                <w:b/>
                <w:sz w:val="21"/>
              </w:rPr>
              <w:t>9.良性脑肿瘤</w:t>
            </w:r>
          </w:p>
        </w:tc>
        <w:tc>
          <w:tcPr>
            <w:tcW w:w="7943" w:type="dxa"/>
          </w:tcPr>
          <w:p>
            <w:pPr>
              <w:pStyle w:val="TableParagraph"/>
              <w:spacing w:line="273" w:lineRule="auto" w:before="58"/>
              <w:ind w:left="106" w:right="201"/>
              <w:jc w:val="both"/>
              <w:rPr>
                <w:sz w:val="21"/>
              </w:rPr>
            </w:pPr>
            <w:r>
              <w:rPr>
                <w:spacing w:val="-3"/>
                <w:sz w:val="21"/>
              </w:rPr>
              <w:t>指脑的良性肿瘤，已经引起颅内压增高，临床表现为视神经乳头水肿、精神症状、</w:t>
            </w:r>
            <w:r>
              <w:rPr>
                <w:spacing w:val="-17"/>
                <w:w w:val="100"/>
                <w:sz w:val="21"/>
              </w:rPr>
              <w:t>癫痫及运动感觉障碍等，并危及生命。须由头颅断层扫描</w:t>
            </w:r>
            <w:r>
              <w:rPr>
                <w:spacing w:val="-1"/>
                <w:w w:val="100"/>
                <w:sz w:val="21"/>
              </w:rPr>
              <w:t>（</w:t>
            </w:r>
            <w:r>
              <w:rPr>
                <w:spacing w:val="-3"/>
                <w:w w:val="100"/>
                <w:sz w:val="21"/>
              </w:rPr>
              <w:t>C</w:t>
            </w:r>
            <w:r>
              <w:rPr>
                <w:w w:val="100"/>
                <w:sz w:val="21"/>
              </w:rPr>
              <w:t>T</w:t>
            </w:r>
            <w:r>
              <w:rPr>
                <w:spacing w:val="-108"/>
                <w:w w:val="100"/>
                <w:sz w:val="21"/>
              </w:rPr>
              <w:t>）</w:t>
            </w:r>
            <w:r>
              <w:rPr>
                <w:spacing w:val="-22"/>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33"/>
              </w:numPr>
              <w:tabs>
                <w:tab w:pos="827" w:val="left" w:leader="none"/>
              </w:tabs>
              <w:spacing w:line="240" w:lineRule="auto" w:before="7" w:after="0"/>
              <w:ind w:left="826" w:right="0" w:hanging="720"/>
              <w:jc w:val="both"/>
              <w:rPr>
                <w:sz w:val="21"/>
              </w:rPr>
            </w:pPr>
            <w:r>
              <w:rPr>
                <w:spacing w:val="-3"/>
                <w:sz w:val="21"/>
              </w:rPr>
              <w:t>实际实施了开颅进行的脑肿瘤完全切除或部分切除的手术；</w:t>
            </w:r>
          </w:p>
          <w:p>
            <w:pPr>
              <w:pStyle w:val="TableParagraph"/>
              <w:numPr>
                <w:ilvl w:val="0"/>
                <w:numId w:val="33"/>
              </w:numPr>
              <w:tabs>
                <w:tab w:pos="827" w:val="left" w:leader="none"/>
              </w:tabs>
              <w:spacing w:line="240" w:lineRule="auto" w:before="36" w:after="0"/>
              <w:ind w:left="826" w:right="0" w:hanging="720"/>
              <w:jc w:val="both"/>
              <w:rPr>
                <w:sz w:val="21"/>
              </w:rPr>
            </w:pPr>
            <w:r>
              <w:rPr>
                <w:spacing w:val="-3"/>
                <w:sz w:val="21"/>
              </w:rPr>
              <w:t>实际实施了对脑肿瘤进行的放射治疗。</w:t>
            </w:r>
          </w:p>
          <w:p>
            <w:pPr>
              <w:pStyle w:val="TableParagraph"/>
              <w:spacing w:before="36"/>
              <w:ind w:left="106"/>
              <w:jc w:val="both"/>
              <w:rPr>
                <w:rFonts w:ascii="黑体" w:eastAsia="黑体" w:hint="eastAsia"/>
                <w:sz w:val="21"/>
              </w:rPr>
            </w:pPr>
            <w:r>
              <w:rPr>
                <w:rFonts w:ascii="黑体" w:eastAsia="黑体" w:hint="eastAsia"/>
                <w:sz w:val="21"/>
              </w:rPr>
              <w:t>脑垂体瘤、脑囊肿、脑血管性疾病不在保障范围内。</w:t>
            </w:r>
          </w:p>
        </w:tc>
      </w:tr>
      <w:tr>
        <w:trPr>
          <w:trHeight w:val="1899" w:hRule="atLeast"/>
        </w:trPr>
        <w:tc>
          <w:tcPr>
            <w:tcW w:w="1512" w:type="dxa"/>
          </w:tcPr>
          <w:p>
            <w:pPr>
              <w:pStyle w:val="TableParagraph"/>
              <w:spacing w:line="273" w:lineRule="auto" w:before="56"/>
              <w:ind w:right="148"/>
              <w:rPr>
                <w:b/>
                <w:sz w:val="21"/>
              </w:rPr>
            </w:pPr>
            <w:r>
              <w:rPr>
                <w:b/>
                <w:sz w:val="21"/>
              </w:rPr>
              <w:t>10.慢性肝功能衰竭失代偿期</w:t>
            </w:r>
          </w:p>
        </w:tc>
        <w:tc>
          <w:tcPr>
            <w:tcW w:w="7943" w:type="dxa"/>
          </w:tcPr>
          <w:p>
            <w:pPr>
              <w:pStyle w:val="TableParagraph"/>
              <w:spacing w:before="56"/>
              <w:ind w:left="106"/>
              <w:rPr>
                <w:sz w:val="21"/>
              </w:rPr>
            </w:pPr>
            <w:r>
              <w:rPr>
                <w:sz w:val="21"/>
              </w:rPr>
              <w:t>指因慢性肝脏疾病导致肝功能衰竭。须满足下列全部条件：</w:t>
            </w:r>
          </w:p>
          <w:p>
            <w:pPr>
              <w:pStyle w:val="TableParagraph"/>
              <w:numPr>
                <w:ilvl w:val="0"/>
                <w:numId w:val="34"/>
              </w:numPr>
              <w:tabs>
                <w:tab w:pos="827" w:val="left" w:leader="none"/>
              </w:tabs>
              <w:spacing w:line="240" w:lineRule="auto" w:before="36" w:after="0"/>
              <w:ind w:left="826" w:right="0" w:hanging="720"/>
              <w:jc w:val="left"/>
              <w:rPr>
                <w:sz w:val="21"/>
              </w:rPr>
            </w:pPr>
            <w:r>
              <w:rPr>
                <w:spacing w:val="-2"/>
                <w:sz w:val="21"/>
              </w:rPr>
              <w:t>持续性黄疸；</w:t>
            </w:r>
          </w:p>
          <w:p>
            <w:pPr>
              <w:pStyle w:val="TableParagraph"/>
              <w:numPr>
                <w:ilvl w:val="0"/>
                <w:numId w:val="34"/>
              </w:numPr>
              <w:tabs>
                <w:tab w:pos="827" w:val="left" w:leader="none"/>
              </w:tabs>
              <w:spacing w:line="240" w:lineRule="auto" w:before="36" w:after="0"/>
              <w:ind w:left="826" w:right="0" w:hanging="720"/>
              <w:jc w:val="left"/>
              <w:rPr>
                <w:sz w:val="21"/>
              </w:rPr>
            </w:pPr>
            <w:r>
              <w:rPr>
                <w:sz w:val="21"/>
              </w:rPr>
              <w:t>腹水；</w:t>
            </w:r>
          </w:p>
          <w:p>
            <w:pPr>
              <w:pStyle w:val="TableParagraph"/>
              <w:numPr>
                <w:ilvl w:val="0"/>
                <w:numId w:val="34"/>
              </w:numPr>
              <w:tabs>
                <w:tab w:pos="827" w:val="left" w:leader="none"/>
              </w:tabs>
              <w:spacing w:line="240" w:lineRule="auto" w:before="36" w:after="0"/>
              <w:ind w:left="826" w:right="0" w:hanging="720"/>
              <w:jc w:val="left"/>
              <w:rPr>
                <w:sz w:val="21"/>
              </w:rPr>
            </w:pPr>
            <w:r>
              <w:rPr>
                <w:spacing w:val="-1"/>
                <w:sz w:val="21"/>
              </w:rPr>
              <w:t>肝性脑病；</w:t>
            </w:r>
          </w:p>
          <w:p>
            <w:pPr>
              <w:pStyle w:val="TableParagraph"/>
              <w:numPr>
                <w:ilvl w:val="0"/>
                <w:numId w:val="34"/>
              </w:numPr>
              <w:tabs>
                <w:tab w:pos="827" w:val="left" w:leader="none"/>
              </w:tabs>
              <w:spacing w:line="240" w:lineRule="auto" w:before="37" w:after="0"/>
              <w:ind w:left="826" w:right="0" w:hanging="720"/>
              <w:jc w:val="left"/>
              <w:rPr>
                <w:sz w:val="21"/>
              </w:rPr>
            </w:pPr>
            <w:r>
              <w:rPr>
                <w:spacing w:val="-3"/>
                <w:sz w:val="21"/>
              </w:rPr>
              <w:t>充血性脾肿大伴脾功能亢进或食管胃底静脉曲张。</w:t>
            </w:r>
          </w:p>
          <w:p>
            <w:pPr>
              <w:pStyle w:val="TableParagraph"/>
              <w:spacing w:line="263" w:lineRule="exact"/>
              <w:ind w:left="106"/>
              <w:rPr>
                <w:rFonts w:ascii="黑体" w:eastAsia="黑体" w:hint="eastAsia"/>
                <w:sz w:val="21"/>
              </w:rPr>
            </w:pPr>
            <w:r>
              <w:rPr>
                <w:rFonts w:ascii="黑体" w:eastAsia="黑体" w:hint="eastAsia"/>
                <w:sz w:val="21"/>
              </w:rPr>
              <w:t>因酗酒或药物滥用导致的肝功能衰竭不在保障范围内。</w:t>
            </w:r>
          </w:p>
        </w:tc>
      </w:tr>
    </w:tbl>
    <w:p>
      <w:pPr>
        <w:spacing w:after="0" w:line="263" w:lineRule="exact"/>
        <w:rPr>
          <w:rFonts w:ascii="黑体" w:eastAsia="黑体" w:hint="eastAsia"/>
          <w:sz w:val="21"/>
        </w:rPr>
        <w:sectPr>
          <w:pgSz w:w="11910" w:h="16840"/>
          <w:pgMar w:header="0" w:footer="377" w:top="132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4"/>
      </w:tblGrid>
      <w:tr>
        <w:trPr>
          <w:trHeight w:val="1866" w:hRule="atLeast"/>
        </w:trPr>
        <w:tc>
          <w:tcPr>
            <w:tcW w:w="1490" w:type="dxa"/>
          </w:tcPr>
          <w:p>
            <w:pPr>
              <w:pStyle w:val="TableParagraph"/>
              <w:spacing w:line="205" w:lineRule="exact" w:before="0"/>
              <w:rPr>
                <w:b/>
                <w:sz w:val="21"/>
              </w:rPr>
            </w:pPr>
            <w:r>
              <w:rPr>
                <w:b/>
                <w:sz w:val="21"/>
              </w:rPr>
              <w:t>11.脑炎后遗</w:t>
            </w:r>
          </w:p>
          <w:p>
            <w:pPr>
              <w:pStyle w:val="TableParagraph"/>
              <w:spacing w:line="273" w:lineRule="auto"/>
              <w:ind w:right="233"/>
              <w:rPr>
                <w:b/>
                <w:sz w:val="21"/>
              </w:rPr>
            </w:pPr>
            <w:r>
              <w:rPr>
                <w:b/>
                <w:sz w:val="21"/>
              </w:rPr>
              <w:t>症或脑膜炎后遗症</w:t>
            </w:r>
          </w:p>
        </w:tc>
        <w:tc>
          <w:tcPr>
            <w:tcW w:w="7964" w:type="dxa"/>
          </w:tcPr>
          <w:p>
            <w:pPr>
              <w:pStyle w:val="TableParagraph"/>
              <w:spacing w:line="205" w:lineRule="exact" w:before="0"/>
              <w:ind w:left="128"/>
              <w:rPr>
                <w:sz w:val="21"/>
              </w:rPr>
            </w:pPr>
            <w:r>
              <w:rPr>
                <w:sz w:val="21"/>
              </w:rPr>
              <w:t>指因患脑炎或脑膜炎导致的神经系统永久性的功能障碍。神经系统永久性的功能障</w:t>
            </w:r>
          </w:p>
          <w:p>
            <w:pPr>
              <w:pStyle w:val="TableParagraph"/>
              <w:ind w:left="128"/>
              <w:rPr>
                <w:sz w:val="21"/>
              </w:rPr>
            </w:pPr>
            <w:r>
              <w:rPr>
                <w:sz w:val="21"/>
              </w:rPr>
              <w:t>碍，指疾病确诊 180 天后，仍遗留下列一种或一种以上障碍：</w:t>
            </w:r>
          </w:p>
          <w:p>
            <w:pPr>
              <w:pStyle w:val="TableParagraph"/>
              <w:numPr>
                <w:ilvl w:val="0"/>
                <w:numId w:val="35"/>
              </w:numPr>
              <w:tabs>
                <w:tab w:pos="849" w:val="left" w:leader="none"/>
              </w:tabs>
              <w:spacing w:line="240" w:lineRule="auto" w:before="37" w:after="0"/>
              <w:ind w:left="848" w:right="0" w:hanging="720"/>
              <w:jc w:val="left"/>
              <w:rPr>
                <w:sz w:val="21"/>
              </w:rPr>
            </w:pPr>
            <w:r>
              <w:rPr>
                <w:spacing w:val="-3"/>
                <w:sz w:val="21"/>
              </w:rPr>
              <w:t>一肢或一肢以上肢体机能完全丧失；</w:t>
            </w:r>
          </w:p>
          <w:p>
            <w:pPr>
              <w:pStyle w:val="TableParagraph"/>
              <w:numPr>
                <w:ilvl w:val="0"/>
                <w:numId w:val="35"/>
              </w:numPr>
              <w:tabs>
                <w:tab w:pos="849" w:val="left" w:leader="none"/>
              </w:tabs>
              <w:spacing w:line="240" w:lineRule="auto" w:before="37" w:after="0"/>
              <w:ind w:left="848" w:right="0" w:hanging="720"/>
              <w:jc w:val="left"/>
              <w:rPr>
                <w:sz w:val="21"/>
              </w:rPr>
            </w:pPr>
            <w:r>
              <w:rPr>
                <w:spacing w:val="-3"/>
                <w:sz w:val="21"/>
              </w:rPr>
              <w:t>语言能力或咀嚼吞咽能力完全丧失；</w:t>
            </w:r>
          </w:p>
          <w:p>
            <w:pPr>
              <w:pStyle w:val="TableParagraph"/>
              <w:numPr>
                <w:ilvl w:val="0"/>
                <w:numId w:val="35"/>
              </w:numPr>
              <w:tabs>
                <w:tab w:pos="849" w:val="left" w:leader="none"/>
              </w:tabs>
              <w:spacing w:line="273" w:lineRule="auto" w:before="37" w:after="0"/>
              <w:ind w:left="848" w:right="312" w:hanging="720"/>
              <w:jc w:val="left"/>
              <w:rPr>
                <w:sz w:val="21"/>
              </w:rPr>
            </w:pPr>
            <w:r>
              <w:rPr>
                <w:sz w:val="21"/>
              </w:rPr>
              <w:t>自主生活能力完全丧失，无法独立完成六项基本日常生活活动中的三项或</w:t>
            </w:r>
            <w:r>
              <w:rPr>
                <w:spacing w:val="-1"/>
                <w:sz w:val="21"/>
              </w:rPr>
              <w:t>三项以上。</w:t>
            </w:r>
          </w:p>
        </w:tc>
      </w:tr>
      <w:tr>
        <w:trPr>
          <w:trHeight w:val="1370" w:hRule="atLeast"/>
        </w:trPr>
        <w:tc>
          <w:tcPr>
            <w:tcW w:w="1490" w:type="dxa"/>
          </w:tcPr>
          <w:p>
            <w:pPr>
              <w:pStyle w:val="TableParagraph"/>
              <w:spacing w:before="25"/>
              <w:rPr>
                <w:b/>
                <w:sz w:val="21"/>
              </w:rPr>
            </w:pPr>
            <w:r>
              <w:rPr>
                <w:b/>
                <w:sz w:val="21"/>
              </w:rPr>
              <w:t>12.深度昏迷</w:t>
            </w:r>
          </w:p>
        </w:tc>
        <w:tc>
          <w:tcPr>
            <w:tcW w:w="7964" w:type="dxa"/>
          </w:tcPr>
          <w:p>
            <w:pPr>
              <w:pStyle w:val="TableParagraph"/>
              <w:spacing w:line="273" w:lineRule="auto" w:before="25"/>
              <w:ind w:left="128" w:right="305"/>
              <w:rPr>
                <w:sz w:val="21"/>
              </w:rPr>
            </w:pPr>
            <w:r>
              <w:rPr>
                <w:spacing w:val="-3"/>
                <w:sz w:val="21"/>
              </w:rPr>
              <w:t>指因疾病或意外伤害导致意识丧失,对外界刺激和体内需求均无反应,昏迷程度按 照格拉斯哥昏迷分级</w:t>
            </w:r>
            <w:r>
              <w:rPr>
                <w:sz w:val="21"/>
              </w:rPr>
              <w:t>（Glasgow</w:t>
            </w:r>
            <w:r>
              <w:rPr>
                <w:spacing w:val="-14"/>
                <w:sz w:val="21"/>
              </w:rPr>
              <w:t> </w:t>
            </w:r>
            <w:r>
              <w:rPr>
                <w:sz w:val="21"/>
              </w:rPr>
              <w:t>coma</w:t>
            </w:r>
            <w:r>
              <w:rPr>
                <w:spacing w:val="-14"/>
                <w:sz w:val="21"/>
              </w:rPr>
              <w:t> </w:t>
            </w:r>
            <w:r>
              <w:rPr>
                <w:sz w:val="21"/>
              </w:rPr>
              <w:t>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w:t>
            </w:r>
            <w:r>
              <w:rPr>
                <w:spacing w:val="-10"/>
                <w:sz w:val="21"/>
              </w:rPr>
              <w:t> 小时以上。</w:t>
            </w:r>
          </w:p>
          <w:p>
            <w:pPr>
              <w:pStyle w:val="TableParagraph"/>
              <w:spacing w:before="7"/>
              <w:ind w:left="128"/>
              <w:rPr>
                <w:rFonts w:ascii="黑体" w:eastAsia="黑体" w:hint="eastAsia"/>
                <w:sz w:val="21"/>
              </w:rPr>
            </w:pPr>
            <w:r>
              <w:rPr>
                <w:rFonts w:ascii="黑体" w:eastAsia="黑体" w:hint="eastAsia"/>
                <w:sz w:val="21"/>
              </w:rPr>
              <w:t>因酗酒或药物滥用导致的深度昏迷不在保障范围内。</w:t>
            </w:r>
          </w:p>
        </w:tc>
      </w:tr>
      <w:tr>
        <w:trPr>
          <w:trHeight w:val="1716" w:hRule="atLeast"/>
        </w:trPr>
        <w:tc>
          <w:tcPr>
            <w:tcW w:w="1490" w:type="dxa"/>
          </w:tcPr>
          <w:p>
            <w:pPr>
              <w:pStyle w:val="TableParagraph"/>
              <w:spacing w:before="59"/>
              <w:rPr>
                <w:b/>
                <w:sz w:val="21"/>
              </w:rPr>
            </w:pPr>
            <w:r>
              <w:rPr>
                <w:b/>
                <w:sz w:val="21"/>
              </w:rPr>
              <w:t>13.双耳失聪</w:t>
            </w:r>
          </w:p>
        </w:tc>
        <w:tc>
          <w:tcPr>
            <w:tcW w:w="7964" w:type="dxa"/>
          </w:tcPr>
          <w:p>
            <w:pPr>
              <w:pStyle w:val="TableParagraph"/>
              <w:spacing w:before="59"/>
              <w:ind w:left="128"/>
              <w:rPr>
                <w:sz w:val="21"/>
              </w:rPr>
            </w:pPr>
            <w:r>
              <w:rPr>
                <w:sz w:val="21"/>
              </w:rPr>
              <w:t>指因疾病或意外伤害导致双耳听力永久不可逆性丧失，在 500 赫兹、1000 赫兹和</w:t>
            </w:r>
          </w:p>
          <w:p>
            <w:pPr>
              <w:pStyle w:val="TableParagraph"/>
              <w:spacing w:line="273" w:lineRule="auto"/>
              <w:ind w:left="128" w:right="322"/>
              <w:rPr>
                <w:sz w:val="21"/>
              </w:rPr>
            </w:pPr>
            <w:r>
              <w:rPr>
                <w:sz w:val="21"/>
              </w:rPr>
              <w:t>2000</w:t>
            </w:r>
            <w:r>
              <w:rPr>
                <w:spacing w:val="-10"/>
                <w:sz w:val="21"/>
              </w:rPr>
              <w:t> 赫兹语音频率下，平均听阈大于 </w:t>
            </w:r>
            <w:r>
              <w:rPr>
                <w:sz w:val="21"/>
              </w:rPr>
              <w:t>90</w:t>
            </w:r>
            <w:r>
              <w:rPr>
                <w:spacing w:val="-8"/>
                <w:sz w:val="21"/>
              </w:rPr>
              <w:t> 分贝，且经纯音听力测试、声导抗检测或</w:t>
            </w:r>
            <w:r>
              <w:rPr>
                <w:spacing w:val="-5"/>
                <w:sz w:val="21"/>
              </w:rPr>
              <w:t>听觉诱发电位检测等证实。</w:t>
            </w:r>
          </w:p>
          <w:p>
            <w:pPr>
              <w:pStyle w:val="TableParagraph"/>
              <w:spacing w:line="273" w:lineRule="auto" w:before="7"/>
              <w:ind w:left="128" w:right="262"/>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2652" w:hRule="atLeast"/>
        </w:trPr>
        <w:tc>
          <w:tcPr>
            <w:tcW w:w="1490" w:type="dxa"/>
          </w:tcPr>
          <w:p>
            <w:pPr>
              <w:pStyle w:val="TableParagraph"/>
              <w:spacing w:before="58"/>
              <w:rPr>
                <w:b/>
                <w:sz w:val="21"/>
              </w:rPr>
            </w:pPr>
            <w:r>
              <w:rPr>
                <w:b/>
                <w:sz w:val="21"/>
              </w:rPr>
              <w:t>14.双目失明</w:t>
            </w:r>
          </w:p>
        </w:tc>
        <w:tc>
          <w:tcPr>
            <w:tcW w:w="7964" w:type="dxa"/>
          </w:tcPr>
          <w:p>
            <w:pPr>
              <w:pStyle w:val="TableParagraph"/>
              <w:spacing w:line="273" w:lineRule="auto" w:before="58"/>
              <w:ind w:left="128" w:right="262"/>
              <w:rPr>
                <w:sz w:val="21"/>
              </w:rPr>
            </w:pPr>
            <w:r>
              <w:rPr>
                <w:sz w:val="21"/>
              </w:rPr>
              <w:t>指因疾病或意外伤害导致双眼视力永久不可逆性丧失，双眼中较好眼须满足下列至少一项条件：</w:t>
            </w:r>
          </w:p>
          <w:p>
            <w:pPr>
              <w:pStyle w:val="TableParagraph"/>
              <w:numPr>
                <w:ilvl w:val="0"/>
                <w:numId w:val="36"/>
              </w:numPr>
              <w:tabs>
                <w:tab w:pos="849" w:val="left" w:leader="none"/>
              </w:tabs>
              <w:spacing w:line="240" w:lineRule="auto" w:before="7" w:after="0"/>
              <w:ind w:left="848" w:right="0" w:hanging="720"/>
              <w:jc w:val="left"/>
              <w:rPr>
                <w:sz w:val="21"/>
              </w:rPr>
            </w:pPr>
            <w:r>
              <w:rPr>
                <w:spacing w:val="-3"/>
                <w:sz w:val="21"/>
              </w:rPr>
              <w:t>眼球缺失或摘除；</w:t>
            </w:r>
          </w:p>
          <w:p>
            <w:pPr>
              <w:pStyle w:val="TableParagraph"/>
              <w:numPr>
                <w:ilvl w:val="0"/>
                <w:numId w:val="36"/>
              </w:numPr>
              <w:tabs>
                <w:tab w:pos="849" w:val="left" w:leader="none"/>
              </w:tabs>
              <w:spacing w:line="273" w:lineRule="auto" w:before="37" w:after="0"/>
              <w:ind w:left="848" w:right="303" w:hanging="720"/>
              <w:jc w:val="left"/>
              <w:rPr>
                <w:sz w:val="21"/>
              </w:rPr>
            </w:pPr>
            <w:r>
              <w:rPr>
                <w:spacing w:val="-2"/>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numPr>
                <w:ilvl w:val="0"/>
                <w:numId w:val="36"/>
              </w:numPr>
              <w:tabs>
                <w:tab w:pos="849" w:val="left" w:leader="none"/>
              </w:tabs>
              <w:spacing w:line="240" w:lineRule="auto" w:before="8" w:after="0"/>
              <w:ind w:left="848" w:right="0" w:hanging="720"/>
              <w:jc w:val="left"/>
              <w:rPr>
                <w:sz w:val="21"/>
              </w:rPr>
            </w:pPr>
            <w:r>
              <w:rPr>
                <w:spacing w:val="-9"/>
                <w:sz w:val="21"/>
              </w:rPr>
              <w:t>视野半径小于 </w:t>
            </w:r>
            <w:r>
              <w:rPr>
                <w:sz w:val="21"/>
              </w:rPr>
              <w:t>5</w:t>
            </w:r>
            <w:r>
              <w:rPr>
                <w:spacing w:val="-17"/>
                <w:sz w:val="21"/>
              </w:rPr>
              <w:t> 度。</w:t>
            </w:r>
          </w:p>
          <w:p>
            <w:pPr>
              <w:pStyle w:val="TableParagraph"/>
              <w:spacing w:line="273" w:lineRule="auto"/>
              <w:ind w:left="128" w:right="262"/>
              <w:rPr>
                <w:rFonts w:ascii="黑体" w:eastAsia="黑体" w:hint="eastAsia"/>
                <w:sz w:val="21"/>
              </w:rPr>
            </w:pPr>
            <w:r>
              <w:rPr>
                <w:rFonts w:ascii="黑体" w:eastAsia="黑体" w:hint="eastAsia"/>
                <w:sz w:val="21"/>
              </w:rPr>
              <w:t>被保险人申请理赔时年龄必须在三周岁以上，并且提供理赔当时的视力丧失诊断及检查证据。</w:t>
            </w:r>
          </w:p>
        </w:tc>
      </w:tr>
      <w:tr>
        <w:trPr>
          <w:trHeight w:val="1092" w:hRule="atLeast"/>
        </w:trPr>
        <w:tc>
          <w:tcPr>
            <w:tcW w:w="1490" w:type="dxa"/>
          </w:tcPr>
          <w:p>
            <w:pPr>
              <w:pStyle w:val="TableParagraph"/>
              <w:spacing w:before="58"/>
              <w:rPr>
                <w:b/>
                <w:sz w:val="21"/>
              </w:rPr>
            </w:pPr>
            <w:r>
              <w:rPr>
                <w:b/>
                <w:sz w:val="21"/>
              </w:rPr>
              <w:t>15.瘫痪</w:t>
            </w:r>
          </w:p>
        </w:tc>
        <w:tc>
          <w:tcPr>
            <w:tcW w:w="7964" w:type="dxa"/>
          </w:tcPr>
          <w:p>
            <w:pPr>
              <w:pStyle w:val="TableParagraph"/>
              <w:spacing w:line="273" w:lineRule="auto" w:before="58"/>
              <w:ind w:left="128" w:right="303"/>
              <w:jc w:val="both"/>
              <w:rPr>
                <w:sz w:val="21"/>
              </w:rPr>
            </w:pPr>
            <w:r>
              <w:rPr>
                <w:spacing w:val="-5"/>
                <w:sz w:val="21"/>
              </w:rPr>
              <w:t>指因疾病或意外伤害导致两肢或两肢以上肢体机能永久完全丧失。肢体机能永久完</w:t>
            </w:r>
            <w:r>
              <w:rPr>
                <w:spacing w:val="-11"/>
                <w:sz w:val="21"/>
              </w:rPr>
              <w:t>全丧失，指疾病确诊 </w:t>
            </w:r>
            <w:r>
              <w:rPr>
                <w:sz w:val="21"/>
              </w:rPr>
              <w:t>180</w:t>
            </w:r>
            <w:r>
              <w:rPr>
                <w:spacing w:val="-13"/>
                <w:sz w:val="21"/>
              </w:rPr>
              <w:t> 天后或意外伤害发生 </w:t>
            </w:r>
            <w:r>
              <w:rPr>
                <w:sz w:val="21"/>
              </w:rPr>
              <w:t>180</w:t>
            </w:r>
            <w:r>
              <w:rPr>
                <w:spacing w:val="-10"/>
                <w:sz w:val="21"/>
              </w:rPr>
              <w:t> 天后，每肢三大关节中的两大关</w:t>
            </w:r>
            <w:r>
              <w:rPr>
                <w:spacing w:val="-5"/>
                <w:sz w:val="21"/>
              </w:rPr>
              <w:t>节仍然完全僵硬，或不能随意识活动。</w:t>
            </w:r>
          </w:p>
        </w:tc>
      </w:tr>
      <w:tr>
        <w:trPr>
          <w:trHeight w:val="791" w:hRule="atLeast"/>
        </w:trPr>
        <w:tc>
          <w:tcPr>
            <w:tcW w:w="1490" w:type="dxa"/>
          </w:tcPr>
          <w:p>
            <w:pPr>
              <w:pStyle w:val="TableParagraph"/>
              <w:spacing w:line="273" w:lineRule="auto" w:before="58"/>
              <w:ind w:right="126"/>
              <w:rPr>
                <w:b/>
                <w:sz w:val="21"/>
              </w:rPr>
            </w:pPr>
            <w:r>
              <w:rPr>
                <w:b/>
                <w:sz w:val="21"/>
              </w:rPr>
              <w:t>16.心脏瓣膜手术</w:t>
            </w:r>
          </w:p>
        </w:tc>
        <w:tc>
          <w:tcPr>
            <w:tcW w:w="7964" w:type="dxa"/>
          </w:tcPr>
          <w:p>
            <w:pPr>
              <w:pStyle w:val="TableParagraph"/>
              <w:spacing w:before="58"/>
              <w:ind w:left="128"/>
              <w:rPr>
                <w:sz w:val="21"/>
              </w:rPr>
            </w:pPr>
            <w:r>
              <w:rPr>
                <w:sz w:val="21"/>
              </w:rPr>
              <w:t>指为治疗心脏瓣膜疾病，实际实施了开胸进行的心脏瓣膜置换或修复的手术。</w:t>
            </w:r>
          </w:p>
        </w:tc>
      </w:tr>
      <w:tr>
        <w:trPr>
          <w:trHeight w:val="2040" w:hRule="atLeast"/>
        </w:trPr>
        <w:tc>
          <w:tcPr>
            <w:tcW w:w="1490" w:type="dxa"/>
          </w:tcPr>
          <w:p>
            <w:pPr>
              <w:pStyle w:val="TableParagraph"/>
              <w:spacing w:line="273" w:lineRule="auto" w:before="70"/>
              <w:ind w:right="126"/>
              <w:rPr>
                <w:b/>
                <w:sz w:val="21"/>
              </w:rPr>
            </w:pPr>
            <w:r>
              <w:rPr>
                <w:b/>
                <w:sz w:val="21"/>
              </w:rPr>
              <w:t>17.严重阿尔茨海默病</w:t>
            </w:r>
          </w:p>
        </w:tc>
        <w:tc>
          <w:tcPr>
            <w:tcW w:w="7964" w:type="dxa"/>
          </w:tcPr>
          <w:p>
            <w:pPr>
              <w:pStyle w:val="TableParagraph"/>
              <w:spacing w:line="273" w:lineRule="auto" w:before="70"/>
              <w:ind w:left="128" w:right="303"/>
              <w:rPr>
                <w:sz w:val="21"/>
              </w:rPr>
            </w:pPr>
            <w:r>
              <w:rPr>
                <w:spacing w:val="-6"/>
                <w:sz w:val="21"/>
              </w:rPr>
              <w:t>指因大脑进行性、不可逆性改变导致智能严重衰退或丧失，临床表现为明显的认知</w:t>
            </w:r>
            <w:r>
              <w:rPr>
                <w:spacing w:val="-8"/>
                <w:sz w:val="21"/>
              </w:rPr>
              <w:t>能力障碍、行为异常和社交能力减退，其日常生活必须持续受到他人监护。须由头</w:t>
            </w:r>
            <w:r>
              <w:rPr>
                <w:spacing w:val="-6"/>
                <w:w w:val="100"/>
                <w:sz w:val="21"/>
              </w:rPr>
              <w:t>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w:t>
            </w:r>
            <w:r>
              <w:rPr>
                <w:spacing w:val="-7"/>
                <w:sz w:val="21"/>
              </w:rPr>
              <w:t>检查证实，且自主生活能力完全丧失，无法独立完成六项基本日常生活活动中的三</w:t>
            </w:r>
            <w:r>
              <w:rPr>
                <w:spacing w:val="-5"/>
                <w:sz w:val="21"/>
              </w:rPr>
              <w:t>项或三项以上。</w:t>
            </w:r>
          </w:p>
          <w:p>
            <w:pPr>
              <w:pStyle w:val="TableParagraph"/>
              <w:spacing w:before="7"/>
              <w:ind w:left="128"/>
              <w:rPr>
                <w:rFonts w:ascii="黑体" w:eastAsia="黑体" w:hint="eastAsia"/>
                <w:sz w:val="21"/>
              </w:rPr>
            </w:pPr>
            <w:r>
              <w:rPr>
                <w:rFonts w:ascii="黑体" w:eastAsia="黑体" w:hint="eastAsia"/>
                <w:sz w:val="21"/>
              </w:rPr>
              <w:t>神经官能症和精神疾病不在保障范围内。</w:t>
            </w:r>
          </w:p>
        </w:tc>
      </w:tr>
      <w:tr>
        <w:trPr>
          <w:trHeight w:val="1950" w:hRule="atLeast"/>
        </w:trPr>
        <w:tc>
          <w:tcPr>
            <w:tcW w:w="1490" w:type="dxa"/>
          </w:tcPr>
          <w:p>
            <w:pPr>
              <w:pStyle w:val="TableParagraph"/>
              <w:spacing w:line="273" w:lineRule="auto" w:before="58"/>
              <w:ind w:right="126"/>
              <w:rPr>
                <w:b/>
                <w:sz w:val="21"/>
              </w:rPr>
            </w:pPr>
            <w:r>
              <w:rPr>
                <w:b/>
                <w:sz w:val="21"/>
              </w:rPr>
              <w:t>18.严重脑损伤</w:t>
            </w:r>
          </w:p>
        </w:tc>
        <w:tc>
          <w:tcPr>
            <w:tcW w:w="7964" w:type="dxa"/>
          </w:tcPr>
          <w:p>
            <w:pPr>
              <w:pStyle w:val="TableParagraph"/>
              <w:spacing w:line="273" w:lineRule="auto" w:before="58"/>
              <w:ind w:left="128" w:right="198"/>
              <w:rPr>
                <w:sz w:val="21"/>
              </w:rPr>
            </w:pPr>
            <w:r>
              <w:rPr>
                <w:spacing w:val="-12"/>
                <w:sz w:val="21"/>
              </w:rPr>
              <w:t>指因头部遭受机械性外力，引起脑重要部位损伤，导致神经系统永久性的功能障碍。</w:t>
            </w:r>
            <w:r>
              <w:rPr>
                <w:spacing w:val="-6"/>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T）等</w:t>
            </w:r>
            <w:r>
              <w:rPr>
                <w:spacing w:val="-8"/>
                <w:sz w:val="21"/>
              </w:rPr>
              <w:t>影像学检查证实。神经系统永久性的功能障碍，指脑损伤 </w:t>
            </w:r>
            <w:r>
              <w:rPr>
                <w:sz w:val="21"/>
              </w:rPr>
              <w:t>180</w:t>
            </w:r>
            <w:r>
              <w:rPr>
                <w:spacing w:val="-9"/>
                <w:sz w:val="21"/>
              </w:rPr>
              <w:t> 天后，仍遗留下列一</w:t>
            </w:r>
            <w:r>
              <w:rPr>
                <w:spacing w:val="-5"/>
                <w:sz w:val="21"/>
              </w:rPr>
              <w:t>种或一种以上障碍：</w:t>
            </w:r>
          </w:p>
          <w:p>
            <w:pPr>
              <w:pStyle w:val="TableParagraph"/>
              <w:numPr>
                <w:ilvl w:val="0"/>
                <w:numId w:val="37"/>
              </w:numPr>
              <w:tabs>
                <w:tab w:pos="849" w:val="left" w:leader="none"/>
              </w:tabs>
              <w:spacing w:line="240" w:lineRule="auto" w:before="7" w:after="0"/>
              <w:ind w:left="848" w:right="0" w:hanging="720"/>
              <w:jc w:val="left"/>
              <w:rPr>
                <w:sz w:val="21"/>
              </w:rPr>
            </w:pPr>
            <w:r>
              <w:rPr>
                <w:spacing w:val="-3"/>
                <w:sz w:val="21"/>
              </w:rPr>
              <w:t>一肢或一肢以上肢体机能完全丧失；</w:t>
            </w:r>
          </w:p>
          <w:p>
            <w:pPr>
              <w:pStyle w:val="TableParagraph"/>
              <w:numPr>
                <w:ilvl w:val="0"/>
                <w:numId w:val="37"/>
              </w:numPr>
              <w:tabs>
                <w:tab w:pos="849" w:val="left" w:leader="none"/>
              </w:tabs>
              <w:spacing w:line="240" w:lineRule="auto" w:before="37" w:after="0"/>
              <w:ind w:left="848" w:right="0" w:hanging="720"/>
              <w:jc w:val="left"/>
              <w:rPr>
                <w:sz w:val="21"/>
              </w:rPr>
            </w:pPr>
            <w:r>
              <w:rPr>
                <w:spacing w:val="-3"/>
                <w:sz w:val="21"/>
              </w:rPr>
              <w:t>语言能力或咀嚼吞咽能力完全丧失；</w:t>
            </w:r>
          </w:p>
        </w:tc>
      </w:tr>
      <w:tr>
        <w:trPr>
          <w:trHeight w:val="685" w:hRule="atLeast"/>
        </w:trPr>
        <w:tc>
          <w:tcPr>
            <w:tcW w:w="1490" w:type="dxa"/>
          </w:tcPr>
          <w:p>
            <w:pPr>
              <w:pStyle w:val="TableParagraph"/>
              <w:spacing w:before="0"/>
              <w:ind w:left="0"/>
              <w:rPr>
                <w:rFonts w:ascii="Times New Roman"/>
                <w:sz w:val="20"/>
              </w:rPr>
            </w:pPr>
          </w:p>
        </w:tc>
        <w:tc>
          <w:tcPr>
            <w:tcW w:w="7964" w:type="dxa"/>
          </w:tcPr>
          <w:p>
            <w:pPr>
              <w:pStyle w:val="TableParagraph"/>
              <w:spacing w:line="256" w:lineRule="exact" w:before="0"/>
              <w:ind w:left="128"/>
              <w:rPr>
                <w:sz w:val="21"/>
              </w:rPr>
            </w:pPr>
            <w:r>
              <w:rPr>
                <w:sz w:val="21"/>
              </w:rPr>
              <w:t>（3）  自主生活能力完全丧失，无法独立完成六项基本日常生活活动中的三项或</w:t>
            </w:r>
          </w:p>
          <w:p>
            <w:pPr>
              <w:pStyle w:val="TableParagraph"/>
              <w:ind w:left="848"/>
              <w:rPr>
                <w:sz w:val="21"/>
              </w:rPr>
            </w:pPr>
            <w:r>
              <w:rPr>
                <w:sz w:val="21"/>
              </w:rPr>
              <w:t>三项以上。</w:t>
            </w:r>
          </w:p>
        </w:tc>
      </w:tr>
      <w:tr>
        <w:trPr>
          <w:trHeight w:val="322" w:hRule="atLeast"/>
        </w:trPr>
        <w:tc>
          <w:tcPr>
            <w:tcW w:w="1490" w:type="dxa"/>
          </w:tcPr>
          <w:p>
            <w:pPr>
              <w:pStyle w:val="TableParagraph"/>
              <w:spacing w:line="261" w:lineRule="exact" w:before="42"/>
              <w:rPr>
                <w:b/>
                <w:sz w:val="21"/>
              </w:rPr>
            </w:pPr>
            <w:r>
              <w:rPr>
                <w:b/>
                <w:sz w:val="21"/>
              </w:rPr>
              <w:t>19.严重帕金</w:t>
            </w:r>
          </w:p>
        </w:tc>
        <w:tc>
          <w:tcPr>
            <w:tcW w:w="7964" w:type="dxa"/>
          </w:tcPr>
          <w:p>
            <w:pPr>
              <w:pStyle w:val="TableParagraph"/>
              <w:spacing w:line="261" w:lineRule="exact" w:before="42"/>
              <w:ind w:left="128"/>
              <w:rPr>
                <w:sz w:val="21"/>
              </w:rPr>
            </w:pPr>
            <w:r>
              <w:rPr>
                <w:sz w:val="21"/>
              </w:rPr>
              <w:t>是一种中枢神经系统的退行性疾病，临床表现为震颤麻痹、共济失调等。须满足下</w:t>
            </w:r>
          </w:p>
        </w:tc>
      </w:tr>
    </w:tbl>
    <w:p>
      <w:pPr>
        <w:spacing w:after="0" w:line="261" w:lineRule="exac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1587" w:hRule="atLeast"/>
        </w:trPr>
        <w:tc>
          <w:tcPr>
            <w:tcW w:w="1515" w:type="dxa"/>
          </w:tcPr>
          <w:p>
            <w:pPr>
              <w:pStyle w:val="TableParagraph"/>
              <w:spacing w:line="205" w:lineRule="exact" w:before="0"/>
              <w:rPr>
                <w:b/>
                <w:sz w:val="21"/>
              </w:rPr>
            </w:pPr>
            <w:r>
              <w:rPr>
                <w:b/>
                <w:sz w:val="21"/>
              </w:rPr>
              <w:t>森病</w:t>
            </w:r>
          </w:p>
        </w:tc>
        <w:tc>
          <w:tcPr>
            <w:tcW w:w="7939" w:type="dxa"/>
          </w:tcPr>
          <w:p>
            <w:pPr>
              <w:pStyle w:val="TableParagraph"/>
              <w:spacing w:line="205" w:lineRule="exact" w:before="0"/>
              <w:ind w:left="103"/>
              <w:rPr>
                <w:sz w:val="21"/>
              </w:rPr>
            </w:pPr>
            <w:r>
              <w:rPr>
                <w:sz w:val="21"/>
              </w:rPr>
              <w:t>列全部条件：</w:t>
            </w:r>
          </w:p>
          <w:p>
            <w:pPr>
              <w:pStyle w:val="TableParagraph"/>
              <w:numPr>
                <w:ilvl w:val="0"/>
                <w:numId w:val="38"/>
              </w:numPr>
              <w:tabs>
                <w:tab w:pos="824" w:val="left" w:leader="none"/>
              </w:tabs>
              <w:spacing w:line="240" w:lineRule="auto" w:before="37" w:after="0"/>
              <w:ind w:left="823" w:right="0" w:hanging="720"/>
              <w:jc w:val="left"/>
              <w:rPr>
                <w:sz w:val="21"/>
              </w:rPr>
            </w:pPr>
            <w:r>
              <w:rPr>
                <w:spacing w:val="-3"/>
                <w:sz w:val="21"/>
              </w:rPr>
              <w:t>药物治疗无法控制病情；</w:t>
            </w:r>
          </w:p>
          <w:p>
            <w:pPr>
              <w:pStyle w:val="TableParagraph"/>
              <w:numPr>
                <w:ilvl w:val="0"/>
                <w:numId w:val="38"/>
              </w:numPr>
              <w:tabs>
                <w:tab w:pos="824" w:val="left" w:leader="none"/>
              </w:tabs>
              <w:spacing w:line="273" w:lineRule="auto" w:before="37" w:after="0"/>
              <w:ind w:left="823" w:right="312" w:hanging="720"/>
              <w:jc w:val="left"/>
              <w:rPr>
                <w:sz w:val="21"/>
              </w:rPr>
            </w:pPr>
            <w:r>
              <w:rPr>
                <w:sz w:val="21"/>
              </w:rPr>
              <w:t>自主生活能力完全丧失，无法独立完成六项基本日常生活活动中的三项或</w:t>
            </w:r>
            <w:r>
              <w:rPr>
                <w:spacing w:val="-1"/>
                <w:sz w:val="21"/>
              </w:rPr>
              <w:t>三项以上。</w:t>
            </w:r>
          </w:p>
          <w:p>
            <w:pPr>
              <w:pStyle w:val="TableParagraph"/>
              <w:spacing w:before="7"/>
              <w:ind w:left="103"/>
              <w:rPr>
                <w:rFonts w:ascii="黑体" w:eastAsia="黑体" w:hint="eastAsia"/>
                <w:sz w:val="21"/>
              </w:rPr>
            </w:pPr>
            <w:r>
              <w:rPr>
                <w:rFonts w:ascii="黑体" w:eastAsia="黑体" w:hint="eastAsia"/>
                <w:sz w:val="21"/>
              </w:rPr>
              <w:t>继发性帕金森综合征不在保障范围内。</w:t>
            </w:r>
          </w:p>
        </w:tc>
      </w:tr>
      <w:tr>
        <w:trPr>
          <w:trHeight w:val="780" w:hRule="atLeast"/>
        </w:trPr>
        <w:tc>
          <w:tcPr>
            <w:tcW w:w="1515" w:type="dxa"/>
          </w:tcPr>
          <w:p>
            <w:pPr>
              <w:pStyle w:val="TableParagraph"/>
              <w:spacing w:line="273" w:lineRule="auto" w:before="58"/>
              <w:ind w:right="151"/>
              <w:rPr>
                <w:b/>
                <w:sz w:val="21"/>
              </w:rPr>
            </w:pPr>
            <w:r>
              <w:rPr>
                <w:b/>
                <w:sz w:val="21"/>
              </w:rPr>
              <w:t>20.严重</w:t>
            </w:r>
            <w:r>
              <w:rPr>
                <w:rFonts w:ascii="宋体" w:hAnsi="宋体" w:eastAsia="宋体" w:hint="eastAsia"/>
                <w:b/>
                <w:sz w:val="21"/>
              </w:rPr>
              <w:t>Ⅲ</w:t>
            </w:r>
            <w:r>
              <w:rPr>
                <w:b/>
                <w:sz w:val="21"/>
              </w:rPr>
              <w:t>度烧伤</w:t>
            </w:r>
          </w:p>
        </w:tc>
        <w:tc>
          <w:tcPr>
            <w:tcW w:w="7939" w:type="dxa"/>
          </w:tcPr>
          <w:p>
            <w:pPr>
              <w:pStyle w:val="TableParagraph"/>
              <w:spacing w:line="273" w:lineRule="auto" w:before="58"/>
              <w:ind w:left="103" w:right="372"/>
              <w:rPr>
                <w:sz w:val="21"/>
              </w:rPr>
            </w:pPr>
            <w:r>
              <w:rPr>
                <w:spacing w:val="-5"/>
                <w:sz w:val="21"/>
              </w:rPr>
              <w:t>指烧伤程度为Ⅲ度，且Ⅲ度烧伤的面积达到全身体表面积的 </w:t>
            </w:r>
            <w:r>
              <w:rPr>
                <w:sz w:val="21"/>
              </w:rPr>
              <w:t>20</w:t>
            </w:r>
            <w:r>
              <w:rPr>
                <w:spacing w:val="-13"/>
                <w:sz w:val="21"/>
              </w:rPr>
              <w:t>％或 </w:t>
            </w:r>
            <w:r>
              <w:rPr>
                <w:sz w:val="21"/>
              </w:rPr>
              <w:t>20</w:t>
            </w:r>
            <w:r>
              <w:rPr>
                <w:spacing w:val="-3"/>
                <w:sz w:val="21"/>
              </w:rPr>
              <w:t>％以上。体表面积根据《中国新九分法》计算。</w:t>
            </w:r>
          </w:p>
        </w:tc>
      </w:tr>
      <w:tr>
        <w:trPr>
          <w:trHeight w:val="1092" w:hRule="atLeast"/>
        </w:trPr>
        <w:tc>
          <w:tcPr>
            <w:tcW w:w="1515" w:type="dxa"/>
          </w:tcPr>
          <w:p>
            <w:pPr>
              <w:pStyle w:val="TableParagraph"/>
              <w:spacing w:line="273" w:lineRule="auto" w:before="58"/>
              <w:ind w:right="151"/>
              <w:rPr>
                <w:b/>
                <w:sz w:val="21"/>
              </w:rPr>
            </w:pPr>
            <w:r>
              <w:rPr>
                <w:b/>
                <w:sz w:val="21"/>
              </w:rPr>
              <w:t>21.严重原发性肺动脉高压</w:t>
            </w:r>
          </w:p>
        </w:tc>
        <w:tc>
          <w:tcPr>
            <w:tcW w:w="7939" w:type="dxa"/>
          </w:tcPr>
          <w:p>
            <w:pPr>
              <w:pStyle w:val="TableParagraph"/>
              <w:spacing w:line="273" w:lineRule="auto" w:before="58"/>
              <w:ind w:left="103" w:right="197"/>
              <w:rPr>
                <w:sz w:val="21"/>
              </w:rPr>
            </w:pPr>
            <w:r>
              <w:rPr>
                <w:spacing w:val="-6"/>
                <w:sz w:val="21"/>
              </w:rPr>
              <w:t>指不明原因的肺动脉压力持续性增高，进行性发展而导致的慢性疾病，已经造成永</w:t>
            </w:r>
            <w:r>
              <w:rPr>
                <w:spacing w:val="-8"/>
                <w:sz w:val="21"/>
              </w:rPr>
              <w:t>久不可逆性的体力活动能力受限，达到美国纽约心脏病学会心功能状态分级 </w:t>
            </w:r>
            <w:r>
              <w:rPr>
                <w:sz w:val="21"/>
              </w:rPr>
              <w:t>IV</w:t>
            </w:r>
            <w:r>
              <w:rPr>
                <w:spacing w:val="-12"/>
                <w:sz w:val="21"/>
              </w:rPr>
              <w:t> 级， </w:t>
            </w:r>
            <w:r>
              <w:rPr>
                <w:spacing w:val="-9"/>
                <w:sz w:val="21"/>
              </w:rPr>
              <w:t>且静息状态下肺动脉平均压超过 </w:t>
            </w:r>
            <w:r>
              <w:rPr>
                <w:sz w:val="21"/>
              </w:rPr>
              <w:t>30mmHg。</w:t>
            </w:r>
          </w:p>
        </w:tc>
      </w:tr>
      <w:tr>
        <w:trPr>
          <w:trHeight w:val="1092" w:hRule="atLeast"/>
        </w:trPr>
        <w:tc>
          <w:tcPr>
            <w:tcW w:w="1515" w:type="dxa"/>
          </w:tcPr>
          <w:p>
            <w:pPr>
              <w:pStyle w:val="TableParagraph"/>
              <w:spacing w:line="273" w:lineRule="auto" w:before="59"/>
              <w:ind w:right="151"/>
              <w:rPr>
                <w:b/>
                <w:sz w:val="21"/>
              </w:rPr>
            </w:pPr>
            <w:r>
              <w:rPr>
                <w:b/>
                <w:sz w:val="21"/>
              </w:rPr>
              <w:t>22.严重运动神经元病</w:t>
            </w:r>
          </w:p>
        </w:tc>
        <w:tc>
          <w:tcPr>
            <w:tcW w:w="7939" w:type="dxa"/>
          </w:tcPr>
          <w:p>
            <w:pPr>
              <w:pStyle w:val="TableParagraph"/>
              <w:spacing w:line="273" w:lineRule="auto" w:before="59"/>
              <w:ind w:left="103" w:right="303"/>
              <w:jc w:val="both"/>
              <w:rPr>
                <w:sz w:val="21"/>
              </w:rPr>
            </w:pPr>
            <w:r>
              <w:rPr>
                <w:spacing w:val="-5"/>
                <w:sz w:val="21"/>
              </w:rPr>
              <w:t>是一组中枢神经系统运动神经元的进行性变性疾病，包括进行性脊肌萎缩症、进行</w:t>
            </w:r>
            <w:r>
              <w:rPr>
                <w:spacing w:val="-8"/>
                <w:sz w:val="21"/>
              </w:rPr>
              <w:t>性延髓麻痹症、原发性侧索硬化症、肌萎缩性侧索硬化症。须满足自主生活能力完</w:t>
            </w:r>
            <w:r>
              <w:rPr>
                <w:spacing w:val="-5"/>
                <w:sz w:val="21"/>
              </w:rPr>
              <w:t>全丧失，无法独立完成六项基本日常生活活动中的三项或三项以上的条件。</w:t>
            </w:r>
          </w:p>
        </w:tc>
      </w:tr>
      <w:tr>
        <w:trPr>
          <w:trHeight w:val="1716" w:hRule="atLeast"/>
        </w:trPr>
        <w:tc>
          <w:tcPr>
            <w:tcW w:w="1515" w:type="dxa"/>
          </w:tcPr>
          <w:p>
            <w:pPr>
              <w:pStyle w:val="TableParagraph"/>
              <w:spacing w:line="273" w:lineRule="auto" w:before="58"/>
              <w:ind w:right="151"/>
              <w:rPr>
                <w:b/>
                <w:sz w:val="21"/>
              </w:rPr>
            </w:pPr>
            <w:r>
              <w:rPr>
                <w:b/>
                <w:sz w:val="21"/>
              </w:rPr>
              <w:t>23.语言能力丧失</w:t>
            </w:r>
          </w:p>
        </w:tc>
        <w:tc>
          <w:tcPr>
            <w:tcW w:w="7939" w:type="dxa"/>
          </w:tcPr>
          <w:p>
            <w:pPr>
              <w:pStyle w:val="TableParagraph"/>
              <w:spacing w:line="273" w:lineRule="auto" w:before="58"/>
              <w:ind w:left="103" w:right="372"/>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3"/>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73" w:lineRule="auto"/>
              <w:ind w:left="103" w:right="262"/>
              <w:rPr>
                <w:rFonts w:ascii="黑体" w:eastAsia="黑体" w:hint="eastAsia"/>
                <w:sz w:val="21"/>
              </w:rPr>
            </w:pPr>
            <w:r>
              <w:rPr>
                <w:rFonts w:ascii="黑体" w:eastAsia="黑体" w:hint="eastAsia"/>
                <w:sz w:val="21"/>
              </w:rPr>
              <w:t>被保险人申请理赔时年龄必须在三周岁以上，并且提供理赔当时的语言能力丧失诊断及检查证据。</w:t>
            </w:r>
          </w:p>
        </w:tc>
      </w:tr>
      <w:tr>
        <w:trPr>
          <w:trHeight w:val="2375" w:hRule="atLeast"/>
        </w:trPr>
        <w:tc>
          <w:tcPr>
            <w:tcW w:w="1515" w:type="dxa"/>
          </w:tcPr>
          <w:p>
            <w:pPr>
              <w:pStyle w:val="TableParagraph"/>
              <w:spacing w:line="273" w:lineRule="auto" w:before="58"/>
              <w:ind w:right="151"/>
              <w:rPr>
                <w:b/>
                <w:sz w:val="21"/>
              </w:rPr>
            </w:pPr>
            <w:r>
              <w:rPr>
                <w:b/>
                <w:sz w:val="21"/>
              </w:rPr>
              <w:t>24.重型再生障碍性贫血</w:t>
            </w:r>
          </w:p>
        </w:tc>
        <w:tc>
          <w:tcPr>
            <w:tcW w:w="7939" w:type="dxa"/>
          </w:tcPr>
          <w:p>
            <w:pPr>
              <w:pStyle w:val="TableParagraph"/>
              <w:spacing w:line="273" w:lineRule="auto" w:before="58"/>
              <w:ind w:left="103" w:right="262"/>
              <w:rPr>
                <w:sz w:val="21"/>
              </w:rPr>
            </w:pPr>
            <w:r>
              <w:rPr>
                <w:sz w:val="21"/>
              </w:rPr>
              <w:t>指因骨髓造血功能慢性持续性衰竭导致的贫血、中性粒细胞减少及血小板减少。须满足下列全部条件：</w:t>
            </w:r>
          </w:p>
          <w:p>
            <w:pPr>
              <w:pStyle w:val="TableParagraph"/>
              <w:numPr>
                <w:ilvl w:val="0"/>
                <w:numId w:val="39"/>
              </w:numPr>
              <w:tabs>
                <w:tab w:pos="824" w:val="left" w:leader="none"/>
              </w:tabs>
              <w:spacing w:line="240" w:lineRule="auto" w:before="7" w:after="0"/>
              <w:ind w:left="823" w:right="0" w:hanging="720"/>
              <w:jc w:val="left"/>
              <w:rPr>
                <w:sz w:val="21"/>
              </w:rPr>
            </w:pPr>
            <w:r>
              <w:rPr>
                <w:spacing w:val="-3"/>
                <w:sz w:val="21"/>
              </w:rPr>
              <w:t>骨髓穿刺检查或骨髓活检结果支持诊断；</w:t>
            </w:r>
          </w:p>
          <w:p>
            <w:pPr>
              <w:pStyle w:val="TableParagraph"/>
              <w:numPr>
                <w:ilvl w:val="0"/>
                <w:numId w:val="39"/>
              </w:numPr>
              <w:tabs>
                <w:tab w:pos="824" w:val="left" w:leader="none"/>
              </w:tabs>
              <w:spacing w:line="240" w:lineRule="auto" w:before="37" w:after="0"/>
              <w:ind w:left="823" w:right="0" w:hanging="720"/>
              <w:jc w:val="left"/>
              <w:rPr>
                <w:sz w:val="21"/>
              </w:rPr>
            </w:pPr>
            <w:r>
              <w:rPr>
                <w:spacing w:val="-3"/>
                <w:sz w:val="21"/>
              </w:rPr>
              <w:t>外周血象须具备以下三项条件：</w:t>
            </w:r>
          </w:p>
          <w:p>
            <w:pPr>
              <w:pStyle w:val="TableParagraph"/>
              <w:ind w:left="823"/>
              <w:rPr>
                <w:sz w:val="21"/>
              </w:rPr>
            </w:pPr>
            <w:r>
              <w:rPr>
                <w:sz w:val="21"/>
              </w:rPr>
              <w:t>① 中性粒细胞绝对值≤0.5×10</w:t>
            </w:r>
            <w:r>
              <w:rPr>
                <w:position w:val="11"/>
                <w:sz w:val="11"/>
              </w:rPr>
              <w:t>9</w:t>
            </w:r>
            <w:r>
              <w:rPr>
                <w:sz w:val="21"/>
              </w:rPr>
              <w:t>/L；</w:t>
            </w:r>
          </w:p>
          <w:p>
            <w:pPr>
              <w:pStyle w:val="TableParagraph"/>
              <w:ind w:left="823"/>
              <w:rPr>
                <w:sz w:val="21"/>
              </w:rPr>
            </w:pPr>
            <w:r>
              <w:rPr>
                <w:sz w:val="21"/>
              </w:rPr>
              <w:t>② 网织红细胞＜1%；</w:t>
            </w:r>
          </w:p>
          <w:p>
            <w:pPr>
              <w:pStyle w:val="TableParagraph"/>
              <w:ind w:left="823"/>
              <w:rPr>
                <w:sz w:val="21"/>
              </w:rPr>
            </w:pPr>
            <w:r>
              <w:rPr>
                <w:sz w:val="21"/>
              </w:rPr>
              <w:t>③ 血小板绝对值≤20×10</w:t>
            </w:r>
            <w:r>
              <w:rPr>
                <w:position w:val="11"/>
                <w:sz w:val="11"/>
              </w:rPr>
              <w:t>9</w:t>
            </w:r>
            <w:r>
              <w:rPr>
                <w:sz w:val="21"/>
              </w:rPr>
              <w:t>/L。</w:t>
            </w:r>
          </w:p>
        </w:tc>
      </w:tr>
      <w:tr>
        <w:trPr>
          <w:trHeight w:val="1439" w:hRule="atLeast"/>
        </w:trPr>
        <w:tc>
          <w:tcPr>
            <w:tcW w:w="1515" w:type="dxa"/>
          </w:tcPr>
          <w:p>
            <w:pPr>
              <w:pStyle w:val="TableParagraph"/>
              <w:spacing w:line="273" w:lineRule="auto" w:before="93"/>
              <w:ind w:right="151"/>
              <w:rPr>
                <w:b/>
                <w:sz w:val="21"/>
              </w:rPr>
            </w:pPr>
            <w:r>
              <w:rPr>
                <w:b/>
                <w:sz w:val="21"/>
              </w:rPr>
              <w:t>25.主动脉手术</w:t>
            </w:r>
          </w:p>
        </w:tc>
        <w:tc>
          <w:tcPr>
            <w:tcW w:w="7939" w:type="dxa"/>
          </w:tcPr>
          <w:p>
            <w:pPr>
              <w:pStyle w:val="TableParagraph"/>
              <w:spacing w:line="273" w:lineRule="auto" w:before="93"/>
              <w:ind w:left="103" w:right="303"/>
              <w:jc w:val="both"/>
              <w:rPr>
                <w:sz w:val="21"/>
              </w:rPr>
            </w:pPr>
            <w:r>
              <w:rPr>
                <w:spacing w:val="-6"/>
                <w:sz w:val="21"/>
              </w:rPr>
              <w:t>指为治疗主动脉疾病，实际实施了开胸或开腹进行的切除、置换、修补病损主动脉</w:t>
            </w:r>
            <w:r>
              <w:rPr>
                <w:spacing w:val="-7"/>
                <w:sz w:val="21"/>
              </w:rPr>
              <w:t>血管的手术。主动脉指胸主动脉和腹主动脉，不包括胸主动脉和腹主动脉的分支血管。</w:t>
            </w:r>
          </w:p>
          <w:p>
            <w:pPr>
              <w:pStyle w:val="TableParagraph"/>
              <w:spacing w:before="7"/>
              <w:ind w:left="103"/>
              <w:jc w:val="both"/>
              <w:rPr>
                <w:rFonts w:ascii="黑体" w:eastAsia="黑体" w:hint="eastAsia"/>
                <w:sz w:val="21"/>
              </w:rPr>
            </w:pPr>
            <w:r>
              <w:rPr>
                <w:rFonts w:ascii="黑体" w:eastAsia="黑体" w:hint="eastAsia"/>
                <w:sz w:val="21"/>
              </w:rPr>
              <w:t>动脉内血管成形术不在保障范围内。</w:t>
            </w:r>
          </w:p>
        </w:tc>
      </w:tr>
      <w:tr>
        <w:trPr>
          <w:trHeight w:val="1716" w:hRule="atLeast"/>
        </w:trPr>
        <w:tc>
          <w:tcPr>
            <w:tcW w:w="1515" w:type="dxa"/>
          </w:tcPr>
          <w:p>
            <w:pPr>
              <w:pStyle w:val="TableParagraph"/>
              <w:spacing w:line="273" w:lineRule="auto" w:before="59"/>
              <w:ind w:right="151"/>
              <w:rPr>
                <w:b/>
                <w:sz w:val="21"/>
              </w:rPr>
            </w:pPr>
            <w:r>
              <w:rPr>
                <w:b/>
                <w:sz w:val="21"/>
              </w:rPr>
              <w:t>26.严重多发性硬化症</w:t>
            </w:r>
          </w:p>
        </w:tc>
        <w:tc>
          <w:tcPr>
            <w:tcW w:w="7939" w:type="dxa"/>
          </w:tcPr>
          <w:p>
            <w:pPr>
              <w:pStyle w:val="TableParagraph"/>
              <w:spacing w:line="273" w:lineRule="auto" w:before="59"/>
              <w:ind w:left="103" w:right="303"/>
              <w:jc w:val="both"/>
              <w:rPr>
                <w:sz w:val="21"/>
              </w:rPr>
            </w:pPr>
            <w:r>
              <w:rPr>
                <w:spacing w:val="-7"/>
                <w:sz w:val="21"/>
              </w:rPr>
              <w:t>指被保险人因脑及脊髓内的脱髓鞘病变而出现神经系统多灶性</w:t>
            </w:r>
            <w:r>
              <w:rPr>
                <w:spacing w:val="-3"/>
                <w:sz w:val="21"/>
              </w:rPr>
              <w:t>（</w:t>
            </w:r>
            <w:r>
              <w:rPr>
                <w:spacing w:val="-2"/>
                <w:sz w:val="21"/>
              </w:rPr>
              <w:t>多发性</w:t>
            </w:r>
            <w:r>
              <w:rPr>
                <w:spacing w:val="-85"/>
                <w:sz w:val="21"/>
              </w:rPr>
              <w:t>）</w:t>
            </w:r>
            <w:r>
              <w:rPr>
                <w:spacing w:val="-29"/>
                <w:sz w:val="21"/>
              </w:rPr>
              <w:t>多时相</w:t>
            </w:r>
            <w:r>
              <w:rPr>
                <w:spacing w:val="-3"/>
                <w:sz w:val="21"/>
              </w:rPr>
              <w:t>（</w:t>
            </w:r>
            <w:r>
              <w:rPr>
                <w:sz w:val="21"/>
              </w:rPr>
              <w:t>至</w:t>
            </w:r>
            <w:r>
              <w:rPr>
                <w:w w:val="100"/>
                <w:sz w:val="21"/>
              </w:rPr>
              <w:t>少</w:t>
            </w:r>
            <w:r>
              <w:rPr>
                <w:spacing w:val="-53"/>
                <w:sz w:val="21"/>
              </w:rPr>
              <w:t> </w:t>
            </w:r>
            <w:r>
              <w:rPr>
                <w:w w:val="100"/>
                <w:sz w:val="21"/>
              </w:rPr>
              <w:t>6</w:t>
            </w:r>
            <w:r>
              <w:rPr>
                <w:spacing w:val="-53"/>
                <w:sz w:val="21"/>
              </w:rPr>
              <w:t> </w:t>
            </w:r>
            <w:r>
              <w:rPr>
                <w:spacing w:val="-14"/>
                <w:w w:val="100"/>
                <w:sz w:val="21"/>
              </w:rPr>
              <w:t>个月以内有一次以上</w:t>
            </w:r>
            <w:r>
              <w:rPr>
                <w:spacing w:val="-3"/>
                <w:w w:val="100"/>
                <w:sz w:val="21"/>
              </w:rPr>
              <w:t>（</w:t>
            </w:r>
            <w:r>
              <w:rPr>
                <w:spacing w:val="-2"/>
                <w:w w:val="100"/>
                <w:sz w:val="21"/>
              </w:rPr>
              <w:t>不包含一次</w:t>
            </w:r>
            <w:r>
              <w:rPr>
                <w:spacing w:val="-92"/>
                <w:w w:val="100"/>
                <w:sz w:val="21"/>
              </w:rPr>
              <w:t>）</w:t>
            </w:r>
            <w:r>
              <w:rPr>
                <w:spacing w:val="-3"/>
                <w:w w:val="100"/>
                <w:sz w:val="21"/>
              </w:rPr>
              <w:t>的发作</w:t>
            </w:r>
            <w:r>
              <w:rPr>
                <w:spacing w:val="-92"/>
                <w:w w:val="100"/>
                <w:sz w:val="21"/>
              </w:rPr>
              <w:t>）</w:t>
            </w:r>
            <w:r>
              <w:rPr>
                <w:spacing w:val="-18"/>
                <w:w w:val="100"/>
                <w:sz w:val="21"/>
              </w:rPr>
              <w:t>的病变，须由计算机断层扫描</w:t>
            </w:r>
            <w:r>
              <w:rPr>
                <w:w w:val="100"/>
                <w:sz w:val="21"/>
              </w:rPr>
              <w:t>（</w:t>
            </w:r>
            <w:r>
              <w:rPr>
                <w:spacing w:val="-3"/>
                <w:w w:val="100"/>
                <w:sz w:val="21"/>
              </w:rPr>
              <w:t>C</w:t>
            </w:r>
            <w:r>
              <w:rPr>
                <w:w w:val="100"/>
                <w:sz w:val="21"/>
              </w:rPr>
              <w:t>T</w:t>
            </w:r>
            <w:r>
              <w:rPr>
                <w:spacing w:val="-106"/>
                <w:w w:val="100"/>
                <w:sz w:val="21"/>
              </w:rPr>
              <w:t>）、</w:t>
            </w:r>
            <w:r>
              <w:rPr>
                <w:spacing w:val="-3"/>
                <w:sz w:val="21"/>
              </w:rPr>
              <w:t>核磁共振检查（MRI）</w:t>
            </w:r>
            <w:r>
              <w:rPr>
                <w:spacing w:val="-4"/>
                <w:sz w:val="21"/>
              </w:rPr>
              <w:t>或正电子发射断层扫描（PET）等影像学检查证实，且已经造</w:t>
            </w:r>
            <w:r>
              <w:rPr>
                <w:spacing w:val="-6"/>
                <w:sz w:val="21"/>
              </w:rPr>
              <w:t>成自主生活能力完全丧失，无法独立完成六项基本日常生活活动中的三项或三项以</w:t>
            </w:r>
            <w:r>
              <w:rPr>
                <w:spacing w:val="-11"/>
                <w:sz w:val="21"/>
              </w:rPr>
              <w:t>上，持续至少 </w:t>
            </w:r>
            <w:r>
              <w:rPr>
                <w:sz w:val="21"/>
              </w:rPr>
              <w:t>180</w:t>
            </w:r>
            <w:r>
              <w:rPr>
                <w:spacing w:val="-19"/>
                <w:sz w:val="21"/>
              </w:rPr>
              <w:t> 天。</w:t>
            </w:r>
          </w:p>
        </w:tc>
      </w:tr>
      <w:tr>
        <w:trPr>
          <w:trHeight w:val="1404" w:hRule="atLeast"/>
        </w:trPr>
        <w:tc>
          <w:tcPr>
            <w:tcW w:w="1515" w:type="dxa"/>
          </w:tcPr>
          <w:p>
            <w:pPr>
              <w:pStyle w:val="TableParagraph"/>
              <w:spacing w:line="273" w:lineRule="auto" w:before="58"/>
              <w:ind w:right="101"/>
              <w:rPr>
                <w:b/>
                <w:sz w:val="21"/>
              </w:rPr>
            </w:pPr>
            <w:r>
              <w:rPr>
                <w:b/>
                <w:sz w:val="21"/>
              </w:rPr>
              <w:t>27.终末期肺病</w:t>
            </w:r>
          </w:p>
        </w:tc>
        <w:tc>
          <w:tcPr>
            <w:tcW w:w="7939" w:type="dxa"/>
          </w:tcPr>
          <w:p>
            <w:pPr>
              <w:pStyle w:val="TableParagraph"/>
              <w:spacing w:before="58"/>
              <w:ind w:left="103"/>
              <w:rPr>
                <w:sz w:val="21"/>
              </w:rPr>
            </w:pPr>
            <w:r>
              <w:rPr>
                <w:sz w:val="21"/>
              </w:rPr>
              <w:t>被保险人患有终末期肺病而出现慢性呼吸功能衰竭，须满足下列全部条件：</w:t>
            </w:r>
          </w:p>
          <w:p>
            <w:pPr>
              <w:pStyle w:val="TableParagraph"/>
              <w:numPr>
                <w:ilvl w:val="0"/>
                <w:numId w:val="40"/>
              </w:numPr>
              <w:tabs>
                <w:tab w:pos="840" w:val="left" w:leader="none"/>
                <w:tab w:pos="841" w:val="left" w:leader="none"/>
              </w:tabs>
              <w:spacing w:line="240" w:lineRule="auto" w:before="36" w:after="0"/>
              <w:ind w:left="840"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40"/>
              </w:numPr>
              <w:tabs>
                <w:tab w:pos="840" w:val="left" w:leader="none"/>
                <w:tab w:pos="841" w:val="left" w:leader="none"/>
              </w:tabs>
              <w:spacing w:line="240" w:lineRule="auto" w:before="36" w:after="0"/>
              <w:ind w:left="840" w:right="0" w:hanging="737"/>
              <w:jc w:val="left"/>
              <w:rPr>
                <w:sz w:val="21"/>
              </w:rPr>
            </w:pPr>
            <w:r>
              <w:rPr>
                <w:spacing w:val="-3"/>
                <w:sz w:val="21"/>
              </w:rPr>
              <w:t>病人缺氧必须广泛而持续地进行输氧治疗；</w:t>
            </w:r>
          </w:p>
          <w:p>
            <w:pPr>
              <w:pStyle w:val="TableParagraph"/>
              <w:numPr>
                <w:ilvl w:val="0"/>
                <w:numId w:val="40"/>
              </w:numPr>
              <w:tabs>
                <w:tab w:pos="840" w:val="left" w:leader="none"/>
                <w:tab w:pos="841" w:val="left" w:leader="none"/>
              </w:tabs>
              <w:spacing w:line="240" w:lineRule="auto" w:before="36" w:after="0"/>
              <w:ind w:left="840" w:right="0" w:hanging="737"/>
              <w:jc w:val="left"/>
              <w:rPr>
                <w:sz w:val="21"/>
              </w:rPr>
            </w:pPr>
            <w:r>
              <w:rPr>
                <w:spacing w:val="-7"/>
                <w:sz w:val="21"/>
              </w:rPr>
              <w:t>动脉血气分析氧分压低于 </w:t>
            </w:r>
            <w:r>
              <w:rPr>
                <w:sz w:val="21"/>
              </w:rPr>
              <w:t>55mmHg。</w:t>
            </w:r>
          </w:p>
        </w:tc>
      </w:tr>
      <w:tr>
        <w:trPr>
          <w:trHeight w:val="651" w:hRule="atLeast"/>
        </w:trPr>
        <w:tc>
          <w:tcPr>
            <w:tcW w:w="1515" w:type="dxa"/>
          </w:tcPr>
          <w:p>
            <w:pPr>
              <w:pStyle w:val="TableParagraph"/>
              <w:spacing w:before="59"/>
              <w:rPr>
                <w:b/>
                <w:sz w:val="21"/>
              </w:rPr>
            </w:pPr>
            <w:r>
              <w:rPr>
                <w:b/>
                <w:sz w:val="21"/>
              </w:rPr>
              <w:t>28.颅脑手术</w:t>
            </w:r>
          </w:p>
        </w:tc>
        <w:tc>
          <w:tcPr>
            <w:tcW w:w="7939" w:type="dxa"/>
          </w:tcPr>
          <w:p>
            <w:pPr>
              <w:pStyle w:val="TableParagraph"/>
              <w:spacing w:before="59"/>
              <w:ind w:left="103"/>
              <w:rPr>
                <w:sz w:val="21"/>
              </w:rPr>
            </w:pPr>
            <w:r>
              <w:rPr>
                <w:spacing w:val="-6"/>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p>
          <w:p>
            <w:pPr>
              <w:pStyle w:val="TableParagraph"/>
              <w:spacing w:line="261" w:lineRule="exact"/>
              <w:ind w:left="103"/>
              <w:rPr>
                <w:rFonts w:ascii="黑体" w:eastAsia="黑体" w:hint="eastAsia"/>
                <w:sz w:val="21"/>
              </w:rPr>
            </w:pPr>
            <w:r>
              <w:rPr>
                <w:rFonts w:ascii="黑体" w:eastAsia="黑体" w:hint="eastAsia"/>
                <w:sz w:val="21"/>
              </w:rPr>
              <w:t>因外伤而实施的脑外科手术不在保障范围之内。</w:t>
            </w:r>
          </w:p>
        </w:tc>
      </w:tr>
    </w:tbl>
    <w:p>
      <w:pPr>
        <w:spacing w:after="0" w:line="261" w:lineRule="exact"/>
        <w:rPr>
          <w:rFonts w:ascii="黑体" w:eastAsia="黑体" w:hint="eastAsia"/>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2224" w:hRule="atLeast"/>
        </w:trPr>
        <w:tc>
          <w:tcPr>
            <w:tcW w:w="1515" w:type="dxa"/>
          </w:tcPr>
          <w:p>
            <w:pPr>
              <w:pStyle w:val="TableParagraph"/>
              <w:spacing w:line="205" w:lineRule="exact" w:before="0"/>
              <w:rPr>
                <w:b/>
                <w:sz w:val="21"/>
              </w:rPr>
            </w:pPr>
            <w:r>
              <w:rPr>
                <w:b/>
                <w:sz w:val="21"/>
              </w:rPr>
              <w:t>29. 严重I 型</w:t>
            </w:r>
          </w:p>
          <w:p>
            <w:pPr>
              <w:pStyle w:val="TableParagraph"/>
              <w:rPr>
                <w:b/>
                <w:sz w:val="21"/>
              </w:rPr>
            </w:pPr>
            <w:r>
              <w:rPr>
                <w:b/>
                <w:sz w:val="21"/>
              </w:rPr>
              <w:t>糖尿病</w:t>
            </w:r>
          </w:p>
        </w:tc>
        <w:tc>
          <w:tcPr>
            <w:tcW w:w="7939" w:type="dxa"/>
          </w:tcPr>
          <w:p>
            <w:pPr>
              <w:pStyle w:val="TableParagraph"/>
              <w:spacing w:line="205" w:lineRule="exact" w:before="0"/>
              <w:ind w:left="103"/>
              <w:rPr>
                <w:sz w:val="21"/>
              </w:rPr>
            </w:pPr>
            <w:r>
              <w:rPr>
                <w:sz w:val="21"/>
              </w:rPr>
              <w:t>指因严重的胰岛素缺乏导致的一组糖、脂肪、蛋白质代谢异常综合症，且须依赖外</w:t>
            </w:r>
          </w:p>
          <w:p>
            <w:pPr>
              <w:pStyle w:val="TableParagraph"/>
              <w:spacing w:line="273" w:lineRule="auto"/>
              <w:ind w:left="103" w:right="267"/>
              <w:jc w:val="both"/>
              <w:rPr>
                <w:sz w:val="21"/>
              </w:rPr>
            </w:pPr>
            <w:r>
              <w:rPr>
                <w:spacing w:val="-7"/>
                <w:sz w:val="21"/>
              </w:rPr>
              <w:t>源性胰岛素进行机体的葡萄糖代谢和维持生命。本病须经血胰岛素测定、血 </w:t>
            </w:r>
            <w:r>
              <w:rPr>
                <w:sz w:val="21"/>
              </w:rPr>
              <w:t>C</w:t>
            </w:r>
            <w:r>
              <w:rPr>
                <w:spacing w:val="-14"/>
                <w:sz w:val="21"/>
              </w:rPr>
              <w:t> 肽测</w:t>
            </w:r>
            <w:r>
              <w:rPr>
                <w:spacing w:val="-16"/>
                <w:sz w:val="21"/>
              </w:rPr>
              <w:t>定或尿 </w:t>
            </w:r>
            <w:r>
              <w:rPr>
                <w:sz w:val="21"/>
              </w:rPr>
              <w:t>C</w:t>
            </w:r>
            <w:r>
              <w:rPr>
                <w:spacing w:val="-10"/>
                <w:sz w:val="21"/>
              </w:rPr>
              <w:t> 肽测定检查证实，且被保险人已经接受了持续的胰岛素治疗 </w:t>
            </w:r>
            <w:r>
              <w:rPr>
                <w:sz w:val="21"/>
              </w:rPr>
              <w:t>180</w:t>
            </w:r>
            <w:r>
              <w:rPr>
                <w:spacing w:val="-11"/>
                <w:sz w:val="21"/>
              </w:rPr>
              <w:t> 天以上， </w:t>
            </w:r>
            <w:r>
              <w:rPr>
                <w:spacing w:val="-6"/>
                <w:sz w:val="21"/>
              </w:rPr>
              <w:t>并须满足下列至少一项条件：</w:t>
            </w:r>
          </w:p>
          <w:p>
            <w:pPr>
              <w:pStyle w:val="TableParagraph"/>
              <w:numPr>
                <w:ilvl w:val="0"/>
                <w:numId w:val="41"/>
              </w:numPr>
              <w:tabs>
                <w:tab w:pos="524" w:val="left" w:leader="none"/>
              </w:tabs>
              <w:spacing w:line="240" w:lineRule="auto" w:before="7" w:after="0"/>
              <w:ind w:left="523" w:right="0" w:hanging="420"/>
              <w:jc w:val="both"/>
              <w:rPr>
                <w:sz w:val="21"/>
              </w:rPr>
            </w:pPr>
            <w:r>
              <w:rPr>
                <w:spacing w:val="-3"/>
                <w:sz w:val="21"/>
              </w:rPr>
              <w:t>并发增殖性视网膜病变；</w:t>
            </w:r>
          </w:p>
          <w:p>
            <w:pPr>
              <w:pStyle w:val="TableParagraph"/>
              <w:numPr>
                <w:ilvl w:val="0"/>
                <w:numId w:val="41"/>
              </w:numPr>
              <w:tabs>
                <w:tab w:pos="524" w:val="left" w:leader="none"/>
              </w:tabs>
              <w:spacing w:line="240" w:lineRule="auto" w:before="36" w:after="0"/>
              <w:ind w:left="523" w:right="0" w:hanging="420"/>
              <w:jc w:val="both"/>
              <w:rPr>
                <w:sz w:val="21"/>
              </w:rPr>
            </w:pPr>
            <w:r>
              <w:rPr>
                <w:spacing w:val="-3"/>
                <w:sz w:val="21"/>
              </w:rPr>
              <w:t>并发心脏病变，并须植入心脏起搏器进行治疗；</w:t>
            </w:r>
          </w:p>
          <w:p>
            <w:pPr>
              <w:pStyle w:val="TableParagraph"/>
              <w:numPr>
                <w:ilvl w:val="0"/>
                <w:numId w:val="41"/>
              </w:numPr>
              <w:tabs>
                <w:tab w:pos="524" w:val="left" w:leader="none"/>
              </w:tabs>
              <w:spacing w:line="240" w:lineRule="auto" w:before="36" w:after="0"/>
              <w:ind w:left="523" w:right="0" w:hanging="420"/>
              <w:jc w:val="both"/>
              <w:rPr>
                <w:sz w:val="21"/>
              </w:rPr>
            </w:pPr>
            <w:r>
              <w:rPr>
                <w:spacing w:val="-3"/>
                <w:sz w:val="21"/>
              </w:rPr>
              <w:t>至少一个脚趾发生坏疽并已实施手术切除。</w:t>
            </w:r>
          </w:p>
        </w:tc>
      </w:tr>
      <w:tr>
        <w:trPr>
          <w:trHeight w:val="2977" w:hRule="atLeast"/>
        </w:trPr>
        <w:tc>
          <w:tcPr>
            <w:tcW w:w="1515" w:type="dxa"/>
          </w:tcPr>
          <w:p>
            <w:pPr>
              <w:pStyle w:val="TableParagraph"/>
              <w:spacing w:line="273" w:lineRule="auto" w:before="72"/>
              <w:ind w:right="151"/>
              <w:rPr>
                <w:b/>
                <w:sz w:val="21"/>
              </w:rPr>
            </w:pPr>
            <w:r>
              <w:rPr>
                <w:b/>
                <w:sz w:val="21"/>
              </w:rPr>
              <w:t>30.严重类风湿性关节炎</w:t>
            </w:r>
          </w:p>
        </w:tc>
        <w:tc>
          <w:tcPr>
            <w:tcW w:w="7939" w:type="dxa"/>
          </w:tcPr>
          <w:p>
            <w:pPr>
              <w:pStyle w:val="TableParagraph"/>
              <w:spacing w:line="273" w:lineRule="auto" w:before="72"/>
              <w:ind w:left="103" w:right="303"/>
              <w:rPr>
                <w:sz w:val="21"/>
              </w:rPr>
            </w:pPr>
            <w:r>
              <w:rPr>
                <w:spacing w:val="-6"/>
                <w:sz w:val="21"/>
              </w:rPr>
              <w:t>指广泛分布的慢性进行性多关节病变，表现为关节严重变形，侵犯至少三个主要关</w:t>
            </w:r>
            <w:r>
              <w:rPr>
                <w:spacing w:val="-5"/>
                <w:sz w:val="21"/>
              </w:rPr>
              <w:t>节</w:t>
            </w:r>
            <w:r>
              <w:rPr>
                <w:sz w:val="21"/>
              </w:rPr>
              <w:t>（</w:t>
            </w:r>
            <w:r>
              <w:rPr>
                <w:spacing w:val="-8"/>
                <w:sz w:val="21"/>
              </w:rPr>
              <w:t>腕关节、肘关节、肩关节、踝关节、膝关节、髋关节</w:t>
            </w:r>
            <w:r>
              <w:rPr>
                <w:spacing w:val="-5"/>
                <w:sz w:val="21"/>
              </w:rPr>
              <w:t>）</w:t>
            </w:r>
            <w:r>
              <w:rPr>
                <w:spacing w:val="-4"/>
                <w:sz w:val="21"/>
              </w:rPr>
              <w:t>或关节组</w:t>
            </w:r>
            <w:r>
              <w:rPr>
                <w:spacing w:val="-3"/>
                <w:sz w:val="21"/>
              </w:rPr>
              <w:t>（</w:t>
            </w:r>
            <w:r>
              <w:rPr>
                <w:spacing w:val="-2"/>
                <w:sz w:val="21"/>
              </w:rPr>
              <w:t>如手的多个</w:t>
            </w:r>
            <w:r>
              <w:rPr>
                <w:spacing w:val="-3"/>
                <w:w w:val="100"/>
                <w:sz w:val="21"/>
              </w:rPr>
              <w:t>指间、掌指关节，足的多个足趾、跖趾关节等</w:t>
            </w:r>
            <w:r>
              <w:rPr>
                <w:spacing w:val="-106"/>
                <w:w w:val="100"/>
                <w:sz w:val="21"/>
              </w:rPr>
              <w:t>）</w:t>
            </w:r>
            <w:r>
              <w:rPr>
                <w:spacing w:val="-3"/>
                <w:w w:val="100"/>
                <w:sz w:val="21"/>
              </w:rPr>
              <w:t>，并已达到类风湿性关节炎功能分</w:t>
            </w:r>
            <w:r>
              <w:rPr>
                <w:spacing w:val="-23"/>
                <w:sz w:val="21"/>
              </w:rPr>
              <w:t>类 </w:t>
            </w:r>
            <w:r>
              <w:rPr>
                <w:sz w:val="21"/>
              </w:rPr>
              <w:t>IV</w:t>
            </w:r>
            <w:r>
              <w:rPr>
                <w:spacing w:val="-3"/>
                <w:sz w:val="21"/>
              </w:rPr>
              <w:t> 级的永久不可逆性关节功能障碍，且须满足下列全部条件：</w:t>
            </w:r>
          </w:p>
          <w:p>
            <w:pPr>
              <w:pStyle w:val="TableParagraph"/>
              <w:spacing w:before="8"/>
              <w:ind w:left="103"/>
              <w:rPr>
                <w:sz w:val="21"/>
              </w:rPr>
            </w:pPr>
            <w:r>
              <w:rPr>
                <w:sz w:val="21"/>
              </w:rPr>
              <w:t>晨僵；</w:t>
            </w:r>
          </w:p>
          <w:p>
            <w:pPr>
              <w:pStyle w:val="TableParagraph"/>
              <w:ind w:left="103"/>
              <w:rPr>
                <w:sz w:val="21"/>
              </w:rPr>
            </w:pPr>
            <w:r>
              <w:rPr>
                <w:sz w:val="21"/>
              </w:rPr>
              <w:t>（1）对称性关节炎；</w:t>
            </w:r>
          </w:p>
          <w:p>
            <w:pPr>
              <w:pStyle w:val="TableParagraph"/>
              <w:ind w:left="103"/>
              <w:rPr>
                <w:sz w:val="21"/>
              </w:rPr>
            </w:pPr>
            <w:r>
              <w:rPr>
                <w:sz w:val="21"/>
              </w:rPr>
              <w:t>（2）类风湿性皮下结节；</w:t>
            </w:r>
          </w:p>
          <w:p>
            <w:pPr>
              <w:pStyle w:val="TableParagraph"/>
              <w:ind w:left="103"/>
              <w:rPr>
                <w:sz w:val="21"/>
              </w:rPr>
            </w:pPr>
            <w:r>
              <w:rPr>
                <w:sz w:val="21"/>
              </w:rPr>
              <w:t>（3）类风湿因子滴度升高；</w:t>
            </w:r>
          </w:p>
          <w:p>
            <w:pPr>
              <w:pStyle w:val="TableParagraph"/>
              <w:ind w:left="103"/>
              <w:rPr>
                <w:sz w:val="21"/>
              </w:rPr>
            </w:pPr>
            <w:r>
              <w:rPr>
                <w:sz w:val="21"/>
              </w:rPr>
              <w:t>（4）X 线显示严重的关节（软骨和骨）破坏和关节畸形。</w:t>
            </w:r>
          </w:p>
        </w:tc>
      </w:tr>
      <w:tr>
        <w:trPr>
          <w:trHeight w:val="1248" w:hRule="atLeast"/>
        </w:trPr>
        <w:tc>
          <w:tcPr>
            <w:tcW w:w="1515" w:type="dxa"/>
          </w:tcPr>
          <w:p>
            <w:pPr>
              <w:pStyle w:val="TableParagraph"/>
              <w:spacing w:line="273" w:lineRule="auto" w:before="58"/>
              <w:ind w:right="151"/>
              <w:rPr>
                <w:b/>
                <w:sz w:val="21"/>
              </w:rPr>
            </w:pPr>
            <w:r>
              <w:rPr>
                <w:b/>
                <w:sz w:val="21"/>
              </w:rPr>
              <w:t>31.急性出血坏死性胰腺炎开腹手术</w:t>
            </w:r>
          </w:p>
        </w:tc>
        <w:tc>
          <w:tcPr>
            <w:tcW w:w="7939" w:type="dxa"/>
          </w:tcPr>
          <w:p>
            <w:pPr>
              <w:pStyle w:val="TableParagraph"/>
              <w:spacing w:line="273" w:lineRule="auto" w:before="58"/>
              <w:ind w:left="103" w:right="262"/>
              <w:rPr>
                <w:sz w:val="21"/>
              </w:rPr>
            </w:pPr>
            <w:r>
              <w:rPr>
                <w:sz w:val="21"/>
              </w:rPr>
              <w:t>指被保险人因为急性出血坏死性胰腺炎已经接受了外科开腹手术治疗，以进行坏死组织清除、坏死病灶切除或胰腺切除。</w:t>
            </w:r>
          </w:p>
          <w:p>
            <w:pPr>
              <w:pStyle w:val="TableParagraph"/>
              <w:spacing w:before="163"/>
              <w:ind w:left="103"/>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08" w:hRule="atLeast"/>
        </w:trPr>
        <w:tc>
          <w:tcPr>
            <w:tcW w:w="1515" w:type="dxa"/>
          </w:tcPr>
          <w:p>
            <w:pPr>
              <w:pStyle w:val="TableParagraph"/>
              <w:spacing w:line="273" w:lineRule="auto" w:before="59"/>
              <w:ind w:right="108"/>
              <w:jc w:val="both"/>
              <w:rPr>
                <w:b/>
                <w:sz w:val="21"/>
              </w:rPr>
            </w:pPr>
            <w:r>
              <w:rPr>
                <w:b/>
                <w:sz w:val="21"/>
              </w:rPr>
              <w:t>32.侵蚀性葡</w:t>
            </w:r>
            <w:r>
              <w:rPr>
                <w:b/>
                <w:spacing w:val="-32"/>
                <w:sz w:val="21"/>
              </w:rPr>
              <w:t>萄胎</w:t>
            </w:r>
            <w:r>
              <w:rPr>
                <w:b/>
                <w:sz w:val="21"/>
              </w:rPr>
              <w:t>（或称恶性葡萄胎）</w:t>
            </w:r>
          </w:p>
        </w:tc>
        <w:tc>
          <w:tcPr>
            <w:tcW w:w="7939" w:type="dxa"/>
          </w:tcPr>
          <w:p>
            <w:pPr>
              <w:pStyle w:val="TableParagraph"/>
              <w:spacing w:line="273" w:lineRule="auto" w:before="59"/>
              <w:ind w:left="103" w:right="476"/>
              <w:rPr>
                <w:sz w:val="21"/>
              </w:rPr>
            </w:pPr>
            <w:r>
              <w:rPr>
                <w:sz w:val="21"/>
              </w:rPr>
              <w:t>指异常增生的绒毛组织浸润性生长浸入子宫肌层或转移至其他器官或组织的葡萄胎，并已经进行化疗或手术治疗的。</w:t>
            </w:r>
          </w:p>
        </w:tc>
      </w:tr>
      <w:tr>
        <w:trPr>
          <w:trHeight w:val="2983" w:hRule="atLeast"/>
        </w:trPr>
        <w:tc>
          <w:tcPr>
            <w:tcW w:w="1515" w:type="dxa"/>
          </w:tcPr>
          <w:p>
            <w:pPr>
              <w:pStyle w:val="TableParagraph"/>
              <w:spacing w:line="273" w:lineRule="auto" w:before="75"/>
              <w:ind w:right="101"/>
              <w:jc w:val="both"/>
              <w:rPr>
                <w:b/>
                <w:sz w:val="21"/>
              </w:rPr>
            </w:pPr>
            <w:r>
              <w:rPr>
                <w:b/>
                <w:sz w:val="21"/>
              </w:rPr>
              <w:t>33.经输血导致 的感染艾滋 病病毒或者患艾滋病</w:t>
            </w:r>
          </w:p>
        </w:tc>
        <w:tc>
          <w:tcPr>
            <w:tcW w:w="7939" w:type="dxa"/>
          </w:tcPr>
          <w:p>
            <w:pPr>
              <w:pStyle w:val="TableParagraph"/>
              <w:spacing w:before="75"/>
              <w:ind w:left="103"/>
              <w:rPr>
                <w:sz w:val="21"/>
              </w:rPr>
            </w:pPr>
            <w:r>
              <w:rPr>
                <w:sz w:val="21"/>
              </w:rPr>
              <w:t>指被保险人感染艾滋病病毒或者患艾滋病且须满足下列全部条件：</w:t>
            </w:r>
          </w:p>
          <w:p>
            <w:pPr>
              <w:pStyle w:val="TableParagraph"/>
              <w:spacing w:before="36"/>
              <w:ind w:left="103"/>
              <w:rPr>
                <w:sz w:val="21"/>
              </w:rPr>
            </w:pPr>
            <w:r>
              <w:rPr>
                <w:sz w:val="21"/>
              </w:rPr>
              <w:t>（1）因输血而感染；</w:t>
            </w:r>
          </w:p>
          <w:p>
            <w:pPr>
              <w:pStyle w:val="TableParagraph"/>
              <w:spacing w:line="273" w:lineRule="auto" w:before="36"/>
              <w:ind w:left="629" w:right="144" w:hanging="527"/>
              <w:rPr>
                <w:sz w:val="21"/>
              </w:rPr>
            </w:pPr>
            <w:r>
              <w:rPr>
                <w:sz w:val="21"/>
              </w:rPr>
              <w:t>（2）提供输血治疗的输血中心或医院出具的该项输血感染属医疗责任事故的报告， 或法院终审判决为医疗责任；</w:t>
            </w:r>
          </w:p>
          <w:p>
            <w:pPr>
              <w:pStyle w:val="TableParagraph"/>
              <w:spacing w:before="7"/>
              <w:ind w:left="103"/>
              <w:rPr>
                <w:sz w:val="21"/>
              </w:rPr>
            </w:pPr>
            <w:r>
              <w:rPr>
                <w:sz w:val="21"/>
              </w:rPr>
              <w:t>（3）受感染的被保险人不是血友病患者。</w:t>
            </w:r>
          </w:p>
          <w:p>
            <w:pPr>
              <w:pStyle w:val="TableParagraph"/>
              <w:spacing w:line="273" w:lineRule="auto"/>
              <w:ind w:left="103" w:right="476"/>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3" w:lineRule="auto" w:before="8"/>
              <w:ind w:left="103" w:right="251"/>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2838" w:hRule="atLeast"/>
        </w:trPr>
        <w:tc>
          <w:tcPr>
            <w:tcW w:w="1515" w:type="dxa"/>
          </w:tcPr>
          <w:p>
            <w:pPr>
              <w:pStyle w:val="TableParagraph"/>
              <w:spacing w:line="273" w:lineRule="auto" w:before="61"/>
              <w:ind w:right="101"/>
              <w:jc w:val="both"/>
              <w:rPr>
                <w:b/>
                <w:sz w:val="21"/>
              </w:rPr>
            </w:pPr>
            <w:r>
              <w:rPr>
                <w:b/>
                <w:sz w:val="21"/>
              </w:rPr>
              <w:t>34.系统性红斑 狼疮并发重 度的肾功能损害</w:t>
            </w:r>
          </w:p>
        </w:tc>
        <w:tc>
          <w:tcPr>
            <w:tcW w:w="7939" w:type="dxa"/>
          </w:tcPr>
          <w:p>
            <w:pPr>
              <w:pStyle w:val="TableParagraph"/>
              <w:spacing w:line="273" w:lineRule="auto" w:before="61"/>
              <w:ind w:left="103" w:right="263"/>
              <w:rPr>
                <w:sz w:val="21"/>
              </w:rPr>
            </w:pPr>
            <w:r>
              <w:rPr>
                <w:sz w:val="21"/>
              </w:rPr>
              <w:t>指系统性红斑狼疮患者并发狼疮性肾炎而影响和损害肾脏功能。须满足下列全部条件：</w:t>
            </w:r>
          </w:p>
          <w:p>
            <w:pPr>
              <w:pStyle w:val="TableParagraph"/>
              <w:spacing w:before="7"/>
              <w:ind w:left="103"/>
              <w:rPr>
                <w:sz w:val="21"/>
              </w:rPr>
            </w:pPr>
            <w:r>
              <w:rPr>
                <w:sz w:val="21"/>
              </w:rPr>
              <w:t>临床表现须具备以下至少四项条件：</w:t>
            </w:r>
          </w:p>
          <w:p>
            <w:pPr>
              <w:pStyle w:val="TableParagraph"/>
              <w:spacing w:before="36"/>
              <w:ind w:left="103"/>
              <w:rPr>
                <w:sz w:val="21"/>
              </w:rPr>
            </w:pPr>
            <w:r>
              <w:rPr>
                <w:sz w:val="21"/>
              </w:rPr>
              <w:t>① 蝶形红斑或盘形红斑；</w:t>
            </w:r>
          </w:p>
          <w:p>
            <w:pPr>
              <w:pStyle w:val="TableParagraph"/>
              <w:spacing w:before="36"/>
              <w:ind w:left="103"/>
              <w:rPr>
                <w:sz w:val="21"/>
              </w:rPr>
            </w:pPr>
            <w:r>
              <w:rPr>
                <w:sz w:val="21"/>
              </w:rPr>
              <w:t>② 光敏感；</w:t>
            </w:r>
          </w:p>
          <w:p>
            <w:pPr>
              <w:pStyle w:val="TableParagraph"/>
              <w:spacing w:before="36"/>
              <w:ind w:left="103"/>
              <w:rPr>
                <w:sz w:val="21"/>
              </w:rPr>
            </w:pPr>
            <w:r>
              <w:rPr>
                <w:sz w:val="21"/>
              </w:rPr>
              <w:t>③ 口鼻腔黏膜溃疡；</w:t>
            </w:r>
          </w:p>
          <w:p>
            <w:pPr>
              <w:pStyle w:val="TableParagraph"/>
              <w:spacing w:before="36"/>
              <w:ind w:left="103"/>
              <w:rPr>
                <w:sz w:val="21"/>
              </w:rPr>
            </w:pPr>
            <w:r>
              <w:rPr>
                <w:sz w:val="21"/>
              </w:rPr>
              <w:t>④ 非畸形性关节炎或多关节痛；</w:t>
            </w:r>
          </w:p>
          <w:p>
            <w:pPr>
              <w:pStyle w:val="TableParagraph"/>
              <w:spacing w:before="36"/>
              <w:ind w:left="103"/>
              <w:rPr>
                <w:sz w:val="21"/>
              </w:rPr>
            </w:pPr>
            <w:r>
              <w:rPr>
                <w:sz w:val="21"/>
              </w:rPr>
              <w:t>⑤ 胸膜炎或心包炎；</w:t>
            </w:r>
          </w:p>
          <w:p>
            <w:pPr>
              <w:pStyle w:val="TableParagraph"/>
              <w:spacing w:line="261" w:lineRule="exact"/>
              <w:ind w:left="103"/>
              <w:rPr>
                <w:sz w:val="21"/>
              </w:rPr>
            </w:pPr>
            <w:r>
              <w:rPr>
                <w:w w:val="100"/>
                <w:sz w:val="21"/>
              </w:rPr>
              <w:t>⑥</w:t>
            </w:r>
            <w:r>
              <w:rPr>
                <w:sz w:val="21"/>
              </w:rPr>
              <w:t> </w:t>
            </w:r>
            <w:r>
              <w:rPr>
                <w:spacing w:val="-3"/>
                <w:w w:val="100"/>
                <w:sz w:val="21"/>
              </w:rPr>
              <w:t>神经系统损伤（癫痫或精神症状</w:t>
            </w:r>
            <w:r>
              <w:rPr>
                <w:spacing w:val="-108"/>
                <w:w w:val="100"/>
                <w:sz w:val="21"/>
              </w:rPr>
              <w:t>）</w:t>
            </w:r>
            <w:r>
              <w:rPr>
                <w:w w:val="100"/>
                <w:sz w:val="21"/>
              </w:rPr>
              <w:t>；</w:t>
            </w:r>
          </w:p>
        </w:tc>
      </w:tr>
    </w:tbl>
    <w:p>
      <w:pPr>
        <w:spacing w:after="0" w:line="261" w:lineRule="exac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69"/>
      </w:tblGrid>
      <w:tr>
        <w:trPr>
          <w:trHeight w:val="2544" w:hRule="atLeast"/>
        </w:trPr>
        <w:tc>
          <w:tcPr>
            <w:tcW w:w="1515" w:type="dxa"/>
          </w:tcPr>
          <w:p>
            <w:pPr>
              <w:pStyle w:val="TableParagraph"/>
              <w:spacing w:before="0"/>
              <w:ind w:left="0"/>
              <w:rPr>
                <w:rFonts w:ascii="Times New Roman"/>
                <w:sz w:val="20"/>
              </w:rPr>
            </w:pPr>
          </w:p>
        </w:tc>
        <w:tc>
          <w:tcPr>
            <w:tcW w:w="7869" w:type="dxa"/>
          </w:tcPr>
          <w:p>
            <w:pPr>
              <w:pStyle w:val="TableParagraph"/>
              <w:spacing w:line="205" w:lineRule="exact" w:before="0"/>
              <w:ind w:left="103"/>
              <w:rPr>
                <w:sz w:val="21"/>
              </w:rPr>
            </w:pPr>
            <w:r>
              <w:rPr>
                <w:spacing w:val="-1"/>
                <w:sz w:val="21"/>
              </w:rPr>
              <w:t>⑦ 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1"/>
                <w:sz w:val="21"/>
              </w:rPr>
              <w:t> 或溶血性贫血</w:t>
            </w:r>
            <w:r>
              <w:rPr>
                <w:spacing w:val="-106"/>
                <w:sz w:val="21"/>
              </w:rPr>
              <w:t>）</w:t>
            </w:r>
            <w:r>
              <w:rPr>
                <w:sz w:val="21"/>
              </w:rPr>
              <w:t>。</w:t>
            </w:r>
          </w:p>
          <w:p>
            <w:pPr>
              <w:pStyle w:val="TableParagraph"/>
              <w:ind w:left="103"/>
              <w:rPr>
                <w:sz w:val="21"/>
              </w:rPr>
            </w:pPr>
            <w:r>
              <w:rPr>
                <w:sz w:val="21"/>
              </w:rPr>
              <w:t>检查结果须具备以下至少两项条件：</w:t>
            </w:r>
          </w:p>
          <w:p>
            <w:pPr>
              <w:pStyle w:val="TableParagraph"/>
              <w:ind w:left="103"/>
              <w:rPr>
                <w:sz w:val="21"/>
              </w:rPr>
            </w:pPr>
            <w:r>
              <w:rPr>
                <w:sz w:val="21"/>
              </w:rPr>
              <w:t>① 抗 dsDNA 抗体阳性；</w:t>
            </w:r>
          </w:p>
          <w:p>
            <w:pPr>
              <w:pStyle w:val="TableParagraph"/>
              <w:ind w:left="103"/>
              <w:rPr>
                <w:sz w:val="21"/>
              </w:rPr>
            </w:pPr>
            <w:r>
              <w:rPr>
                <w:sz w:val="21"/>
              </w:rPr>
              <w:t>② 抗 Sm 抗体阳性；</w:t>
            </w:r>
          </w:p>
          <w:p>
            <w:pPr>
              <w:pStyle w:val="TableParagraph"/>
              <w:ind w:left="103"/>
              <w:rPr>
                <w:sz w:val="21"/>
              </w:rPr>
            </w:pPr>
            <w:r>
              <w:rPr>
                <w:sz w:val="21"/>
              </w:rPr>
              <w:t>③ 抗核抗体阳性；</w:t>
            </w:r>
          </w:p>
          <w:p>
            <w:pPr>
              <w:pStyle w:val="TableParagraph"/>
              <w:ind w:left="103"/>
              <w:rPr>
                <w:sz w:val="21"/>
              </w:rPr>
            </w:pPr>
            <w:r>
              <w:rPr>
                <w:sz w:val="21"/>
              </w:rPr>
              <w:t>④ 皮肤狼疮带试验（非病损部位）或肾活检阳性；</w:t>
            </w:r>
          </w:p>
          <w:p>
            <w:pPr>
              <w:pStyle w:val="TableParagraph"/>
              <w:ind w:left="103"/>
              <w:rPr>
                <w:sz w:val="21"/>
              </w:rPr>
            </w:pPr>
            <w:r>
              <w:rPr>
                <w:sz w:val="21"/>
              </w:rPr>
              <w:t>⑤ C3 低于正常值。</w:t>
            </w:r>
          </w:p>
          <w:p>
            <w:pPr>
              <w:pStyle w:val="TableParagraph"/>
              <w:ind w:left="103"/>
              <w:rPr>
                <w:sz w:val="21"/>
              </w:rPr>
            </w:pPr>
            <w:r>
              <w:rPr>
                <w:sz w:val="21"/>
              </w:rPr>
              <w:t>狼疮肾炎致使肾功能减弱，内生肌酐清除率低于每分钟 30ml。</w:t>
            </w:r>
          </w:p>
        </w:tc>
      </w:tr>
      <w:tr>
        <w:trPr>
          <w:trHeight w:val="2049" w:hRule="atLeast"/>
        </w:trPr>
        <w:tc>
          <w:tcPr>
            <w:tcW w:w="1515" w:type="dxa"/>
          </w:tcPr>
          <w:p>
            <w:pPr>
              <w:pStyle w:val="TableParagraph"/>
              <w:spacing w:line="273" w:lineRule="auto" w:before="79"/>
              <w:ind w:right="101"/>
              <w:rPr>
                <w:b/>
                <w:sz w:val="21"/>
              </w:rPr>
            </w:pPr>
            <w:r>
              <w:rPr>
                <w:b/>
                <w:sz w:val="21"/>
              </w:rPr>
              <w:t>35.重症肌无力</w:t>
            </w:r>
          </w:p>
        </w:tc>
        <w:tc>
          <w:tcPr>
            <w:tcW w:w="7869" w:type="dxa"/>
          </w:tcPr>
          <w:p>
            <w:pPr>
              <w:pStyle w:val="TableParagraph"/>
              <w:spacing w:line="273" w:lineRule="auto" w:before="79"/>
              <w:ind w:left="103" w:right="233"/>
              <w:jc w:val="both"/>
              <w:rPr>
                <w:sz w:val="21"/>
              </w:rPr>
            </w:pPr>
            <w:r>
              <w:rPr>
                <w:spacing w:val="-5"/>
                <w:sz w:val="21"/>
              </w:rPr>
              <w:t>指一种神经与肌肉接头部位传递障碍的自身免疫性疾病，临床特征是局部或全身横</w:t>
            </w:r>
            <w:r>
              <w:rPr>
                <w:spacing w:val="-7"/>
                <w:sz w:val="21"/>
              </w:rPr>
              <w:t>纹肌于活动时易于疲劳无力，颅神经眼外肌最易累及，也可涉及呼吸肌、下肢近端</w:t>
            </w:r>
            <w:r>
              <w:rPr>
                <w:spacing w:val="-5"/>
                <w:sz w:val="21"/>
              </w:rPr>
              <w:t>肌群以至全身肌肉。且须满足下列全部条件：</w:t>
            </w:r>
          </w:p>
          <w:p>
            <w:pPr>
              <w:pStyle w:val="TableParagraph"/>
              <w:numPr>
                <w:ilvl w:val="0"/>
                <w:numId w:val="42"/>
              </w:numPr>
              <w:tabs>
                <w:tab w:pos="524" w:val="left" w:leader="none"/>
              </w:tabs>
              <w:spacing w:line="240" w:lineRule="auto" w:before="7" w:after="0"/>
              <w:ind w:left="523" w:right="0" w:hanging="420"/>
              <w:jc w:val="left"/>
              <w:rPr>
                <w:sz w:val="21"/>
              </w:rPr>
            </w:pPr>
            <w:r>
              <w:rPr>
                <w:spacing w:val="-3"/>
                <w:sz w:val="21"/>
              </w:rPr>
              <w:t>经药物、胸腺手术治疗一年以上无法控制病情；</w:t>
            </w:r>
          </w:p>
          <w:p>
            <w:pPr>
              <w:pStyle w:val="TableParagraph"/>
              <w:numPr>
                <w:ilvl w:val="0"/>
                <w:numId w:val="42"/>
              </w:numPr>
              <w:tabs>
                <w:tab w:pos="524" w:val="left" w:leader="none"/>
              </w:tabs>
              <w:spacing w:line="273" w:lineRule="auto" w:before="36" w:after="0"/>
              <w:ind w:left="523" w:right="235" w:hanging="420"/>
              <w:jc w:val="left"/>
              <w:rPr>
                <w:sz w:val="21"/>
              </w:rPr>
            </w:pPr>
            <w:r>
              <w:rPr>
                <w:spacing w:val="-7"/>
                <w:sz w:val="21"/>
              </w:rPr>
              <w:t>自主生活能力完全丧失，无法独立完成六项基本日常生活活动中的三项或三项以上。</w:t>
            </w:r>
          </w:p>
        </w:tc>
      </w:tr>
      <w:tr>
        <w:trPr>
          <w:trHeight w:val="1715" w:hRule="atLeast"/>
        </w:trPr>
        <w:tc>
          <w:tcPr>
            <w:tcW w:w="1515" w:type="dxa"/>
          </w:tcPr>
          <w:p>
            <w:pPr>
              <w:pStyle w:val="TableParagraph"/>
              <w:spacing w:line="273" w:lineRule="auto" w:before="58"/>
              <w:ind w:right="101"/>
              <w:rPr>
                <w:b/>
                <w:sz w:val="21"/>
              </w:rPr>
            </w:pPr>
            <w:r>
              <w:rPr>
                <w:b/>
                <w:sz w:val="21"/>
              </w:rPr>
              <w:t>36.持续植物人状态</w:t>
            </w:r>
          </w:p>
        </w:tc>
        <w:tc>
          <w:tcPr>
            <w:tcW w:w="7869" w:type="dxa"/>
          </w:tcPr>
          <w:p>
            <w:pPr>
              <w:pStyle w:val="TableParagraph"/>
              <w:spacing w:line="273" w:lineRule="auto" w:before="58"/>
              <w:ind w:left="103" w:right="233"/>
              <w:jc w:val="both"/>
              <w:rPr>
                <w:sz w:val="21"/>
              </w:rPr>
            </w:pPr>
            <w:r>
              <w:rPr>
                <w:spacing w:val="-5"/>
                <w:sz w:val="21"/>
              </w:rPr>
              <w:t>指因疾病或意外伤害导致被保险人躯体反射和自主反射全部丧失的深昏迷，但呼吸</w:t>
            </w:r>
            <w:r>
              <w:rPr>
                <w:spacing w:val="-6"/>
                <w:sz w:val="21"/>
              </w:rPr>
              <w:t>和心跳是正常的，此时完全依赖支持疗法</w:t>
            </w:r>
            <w:r>
              <w:rPr>
                <w:sz w:val="21"/>
              </w:rPr>
              <w:t>（</w:t>
            </w:r>
            <w:r>
              <w:rPr>
                <w:spacing w:val="-5"/>
                <w:sz w:val="21"/>
              </w:rPr>
              <w:t>如流质食物、静脉注射营养液等</w:t>
            </w:r>
            <w:r>
              <w:rPr>
                <w:spacing w:val="-10"/>
                <w:sz w:val="21"/>
              </w:rPr>
              <w:t>）</w:t>
            </w:r>
            <w:r>
              <w:rPr>
                <w:sz w:val="21"/>
              </w:rPr>
              <w:t>维持</w:t>
            </w:r>
            <w:r>
              <w:rPr>
                <w:spacing w:val="-3"/>
                <w:sz w:val="21"/>
              </w:rPr>
              <w:t>生命的临床状态。且须满足下列全部条件：</w:t>
            </w:r>
          </w:p>
          <w:p>
            <w:pPr>
              <w:pStyle w:val="TableParagraph"/>
              <w:spacing w:before="7"/>
              <w:ind w:left="103"/>
              <w:jc w:val="both"/>
              <w:rPr>
                <w:sz w:val="21"/>
              </w:rPr>
            </w:pPr>
            <w:r>
              <w:rPr>
                <w:sz w:val="21"/>
              </w:rPr>
              <w:t>（1）诊断为植物人状态后并继续维持治疗 30 天以上；</w:t>
            </w:r>
          </w:p>
          <w:p>
            <w:pPr>
              <w:pStyle w:val="TableParagraph"/>
              <w:ind w:left="103"/>
              <w:jc w:val="both"/>
              <w:rPr>
                <w:sz w:val="21"/>
              </w:rPr>
            </w:pPr>
            <w:r>
              <w:rPr>
                <w:sz w:val="21"/>
              </w:rPr>
              <w:t>（2）</w:t>
            </w:r>
            <w:r>
              <w:rPr>
                <w:spacing w:val="-14"/>
                <w:sz w:val="21"/>
              </w:rPr>
              <w:t>治疗 </w:t>
            </w:r>
            <w:r>
              <w:rPr>
                <w:sz w:val="21"/>
              </w:rPr>
              <w:t>30</w:t>
            </w:r>
            <w:r>
              <w:rPr>
                <w:spacing w:val="-7"/>
                <w:sz w:val="21"/>
              </w:rPr>
              <w:t> 天前后的脑电图检查均为等电位</w:t>
            </w:r>
            <w:r>
              <w:rPr>
                <w:sz w:val="21"/>
              </w:rPr>
              <w:t>（</w:t>
            </w:r>
            <w:r>
              <w:rPr>
                <w:spacing w:val="-3"/>
                <w:sz w:val="21"/>
              </w:rPr>
              <w:t>完全平坦</w:t>
            </w:r>
            <w:r>
              <w:rPr>
                <w:spacing w:val="-106"/>
                <w:sz w:val="21"/>
              </w:rPr>
              <w:t>）</w:t>
            </w:r>
            <w:r>
              <w:rPr>
                <w:sz w:val="21"/>
              </w:rPr>
              <w:t>。</w:t>
            </w:r>
          </w:p>
        </w:tc>
      </w:tr>
      <w:tr>
        <w:trPr>
          <w:trHeight w:val="1092" w:hRule="atLeast"/>
        </w:trPr>
        <w:tc>
          <w:tcPr>
            <w:tcW w:w="1515" w:type="dxa"/>
          </w:tcPr>
          <w:p>
            <w:pPr>
              <w:pStyle w:val="TableParagraph"/>
              <w:spacing w:line="273" w:lineRule="auto" w:before="58"/>
              <w:ind w:right="101"/>
              <w:jc w:val="both"/>
              <w:rPr>
                <w:b/>
                <w:sz w:val="21"/>
              </w:rPr>
            </w:pPr>
            <w:r>
              <w:rPr>
                <w:b/>
                <w:sz w:val="21"/>
              </w:rPr>
              <w:t>37.糖尿病导致 的双脚截除</w:t>
            </w:r>
          </w:p>
        </w:tc>
        <w:tc>
          <w:tcPr>
            <w:tcW w:w="7869" w:type="dxa"/>
          </w:tcPr>
          <w:p>
            <w:pPr>
              <w:pStyle w:val="TableParagraph"/>
              <w:spacing w:line="273" w:lineRule="auto" w:before="58"/>
              <w:ind w:left="103" w:right="197"/>
              <w:jc w:val="both"/>
              <w:rPr>
                <w:rFonts w:ascii="黑体" w:eastAsia="黑体" w:hint="eastAsia"/>
                <w:sz w:val="21"/>
              </w:rPr>
            </w:pPr>
            <w:r>
              <w:rPr>
                <w:sz w:val="21"/>
              </w:rPr>
              <w:t>因糖尿病引起的神经及血管病变而经本公司认可的医院的内分泌科专科医生建议， 由足踝或以上位置截除双脚是维持生命的唯一方法。切除一只或多只脚趾或因任何</w:t>
            </w:r>
            <w:r>
              <w:rPr>
                <w:rFonts w:ascii="黑体" w:eastAsia="黑体" w:hint="eastAsia"/>
                <w:sz w:val="21"/>
              </w:rPr>
              <w:t>其他原因引起的截除术并不在保障范围内。</w:t>
            </w:r>
          </w:p>
        </w:tc>
      </w:tr>
      <w:tr>
        <w:trPr>
          <w:trHeight w:val="1083" w:hRule="atLeast"/>
        </w:trPr>
        <w:tc>
          <w:tcPr>
            <w:tcW w:w="1515" w:type="dxa"/>
          </w:tcPr>
          <w:p>
            <w:pPr>
              <w:pStyle w:val="TableParagraph"/>
              <w:spacing w:line="273" w:lineRule="auto" w:before="58"/>
              <w:ind w:right="101"/>
              <w:rPr>
                <w:b/>
                <w:sz w:val="21"/>
              </w:rPr>
            </w:pPr>
            <w:r>
              <w:rPr>
                <w:b/>
                <w:sz w:val="21"/>
              </w:rPr>
              <w:t>38.严重溃疡性结肠炎</w:t>
            </w:r>
          </w:p>
        </w:tc>
        <w:tc>
          <w:tcPr>
            <w:tcW w:w="7869" w:type="dxa"/>
          </w:tcPr>
          <w:p>
            <w:pPr>
              <w:pStyle w:val="TableParagraph"/>
              <w:spacing w:line="273" w:lineRule="auto" w:before="58"/>
              <w:ind w:left="103" w:right="233"/>
              <w:jc w:val="both"/>
              <w:rPr>
                <w:sz w:val="21"/>
              </w:rPr>
            </w:pPr>
            <w:r>
              <w:rPr>
                <w:spacing w:val="-5"/>
                <w:sz w:val="21"/>
              </w:rPr>
              <w:t>指伴有致命性电解质紊乱的急性暴发性溃疡性结肠炎，病变累及全结肠，表现为严</w:t>
            </w:r>
            <w:r>
              <w:rPr>
                <w:spacing w:val="-7"/>
                <w:sz w:val="21"/>
              </w:rPr>
              <w:t>重的血便和系统性症状体征，须根据组织病理学特点诊断，并且被保险人已经接受</w:t>
            </w:r>
            <w:r>
              <w:rPr>
                <w:spacing w:val="-5"/>
                <w:sz w:val="21"/>
              </w:rPr>
              <w:t>了全结肠切除和回肠造瘘术。</w:t>
            </w:r>
          </w:p>
        </w:tc>
      </w:tr>
      <w:tr>
        <w:trPr>
          <w:trHeight w:val="1096" w:hRule="atLeast"/>
        </w:trPr>
        <w:tc>
          <w:tcPr>
            <w:tcW w:w="1515" w:type="dxa"/>
          </w:tcPr>
          <w:p>
            <w:pPr>
              <w:pStyle w:val="TableParagraph"/>
              <w:spacing w:line="273" w:lineRule="auto" w:before="50"/>
              <w:ind w:right="101"/>
              <w:jc w:val="both"/>
              <w:rPr>
                <w:b/>
                <w:sz w:val="21"/>
              </w:rPr>
            </w:pPr>
            <w:r>
              <w:rPr>
                <w:b/>
                <w:sz w:val="21"/>
              </w:rPr>
              <w:t>39.溶血性链球 菌引起的坏疽</w:t>
            </w:r>
          </w:p>
        </w:tc>
        <w:tc>
          <w:tcPr>
            <w:tcW w:w="7869" w:type="dxa"/>
          </w:tcPr>
          <w:p>
            <w:pPr>
              <w:pStyle w:val="TableParagraph"/>
              <w:spacing w:line="273" w:lineRule="auto" w:before="50"/>
              <w:ind w:left="103" w:right="233"/>
              <w:jc w:val="both"/>
              <w:rPr>
                <w:sz w:val="21"/>
              </w:rPr>
            </w:pPr>
            <w:r>
              <w:rPr>
                <w:spacing w:val="-5"/>
                <w:sz w:val="21"/>
              </w:rPr>
              <w:t>指包围肢体或躯干的浅筋膜或深筋膜受到溶血性链球菌的感染，病情在短时间内急</w:t>
            </w:r>
            <w:r>
              <w:rPr>
                <w:spacing w:val="-8"/>
                <w:sz w:val="21"/>
              </w:rPr>
              <w:t>剧恶化，且已经立刻进行了手术及清创术。最后的诊断必须由微生物或病理学专家</w:t>
            </w:r>
            <w:r>
              <w:rPr>
                <w:spacing w:val="-5"/>
                <w:sz w:val="21"/>
              </w:rPr>
              <w:t>进行相关检查后证实。</w:t>
            </w:r>
          </w:p>
        </w:tc>
      </w:tr>
      <w:tr>
        <w:trPr>
          <w:trHeight w:val="1761" w:hRule="atLeast"/>
        </w:trPr>
        <w:tc>
          <w:tcPr>
            <w:tcW w:w="1515" w:type="dxa"/>
          </w:tcPr>
          <w:p>
            <w:pPr>
              <w:pStyle w:val="TableParagraph"/>
              <w:spacing w:line="273" w:lineRule="auto" w:before="72"/>
              <w:ind w:right="101"/>
              <w:rPr>
                <w:b/>
                <w:sz w:val="21"/>
              </w:rPr>
            </w:pPr>
            <w:r>
              <w:rPr>
                <w:b/>
                <w:sz w:val="21"/>
              </w:rPr>
              <w:t>40.坏死性筋膜炎</w:t>
            </w:r>
          </w:p>
        </w:tc>
        <w:tc>
          <w:tcPr>
            <w:tcW w:w="7869" w:type="dxa"/>
          </w:tcPr>
          <w:p>
            <w:pPr>
              <w:pStyle w:val="TableParagraph"/>
              <w:spacing w:before="93"/>
              <w:ind w:left="103"/>
              <w:rPr>
                <w:sz w:val="21"/>
              </w:rPr>
            </w:pPr>
            <w:r>
              <w:rPr>
                <w:sz w:val="21"/>
              </w:rPr>
              <w:t>坏死性筋膜炎的诊断须满足下列全部条件：</w:t>
            </w:r>
          </w:p>
          <w:p>
            <w:pPr>
              <w:pStyle w:val="TableParagraph"/>
              <w:numPr>
                <w:ilvl w:val="0"/>
                <w:numId w:val="43"/>
              </w:numPr>
              <w:tabs>
                <w:tab w:pos="824" w:val="left" w:leader="none"/>
              </w:tabs>
              <w:spacing w:line="240" w:lineRule="auto" w:before="37" w:after="0"/>
              <w:ind w:left="823" w:right="0" w:hanging="720"/>
              <w:jc w:val="left"/>
              <w:rPr>
                <w:sz w:val="21"/>
              </w:rPr>
            </w:pPr>
            <w:r>
              <w:rPr>
                <w:spacing w:val="-3"/>
                <w:sz w:val="21"/>
              </w:rPr>
              <w:t>符合坏死性筋膜炎的一般临床表现；</w:t>
            </w:r>
          </w:p>
          <w:p>
            <w:pPr>
              <w:pStyle w:val="TableParagraph"/>
              <w:numPr>
                <w:ilvl w:val="0"/>
                <w:numId w:val="43"/>
              </w:numPr>
              <w:tabs>
                <w:tab w:pos="824" w:val="left" w:leader="none"/>
              </w:tabs>
              <w:spacing w:line="240" w:lineRule="auto" w:before="37" w:after="0"/>
              <w:ind w:left="823" w:right="0" w:hanging="720"/>
              <w:jc w:val="left"/>
              <w:rPr>
                <w:sz w:val="21"/>
              </w:rPr>
            </w:pPr>
            <w:r>
              <w:rPr>
                <w:spacing w:val="-3"/>
                <w:sz w:val="21"/>
              </w:rPr>
              <w:t>细菌培养检出致病菌；</w:t>
            </w:r>
          </w:p>
          <w:p>
            <w:pPr>
              <w:pStyle w:val="TableParagraph"/>
              <w:numPr>
                <w:ilvl w:val="0"/>
                <w:numId w:val="43"/>
              </w:numPr>
              <w:tabs>
                <w:tab w:pos="824" w:val="left" w:leader="none"/>
              </w:tabs>
              <w:spacing w:line="273" w:lineRule="auto" w:before="37" w:after="0"/>
              <w:ind w:left="823" w:right="242" w:hanging="720"/>
              <w:jc w:val="left"/>
              <w:rPr>
                <w:sz w:val="21"/>
              </w:rPr>
            </w:pPr>
            <w:r>
              <w:rPr>
                <w:sz w:val="21"/>
              </w:rPr>
              <w:t>出现广泛性肌肉及软组织坏死，并导致身体受影响部位功能永久不可逆性丧失。</w:t>
            </w:r>
          </w:p>
        </w:tc>
      </w:tr>
      <w:tr>
        <w:trPr>
          <w:trHeight w:val="2079" w:hRule="atLeast"/>
        </w:trPr>
        <w:tc>
          <w:tcPr>
            <w:tcW w:w="1515" w:type="dxa"/>
          </w:tcPr>
          <w:p>
            <w:pPr>
              <w:pStyle w:val="TableParagraph"/>
              <w:spacing w:line="273" w:lineRule="auto" w:before="68"/>
              <w:ind w:right="101"/>
              <w:rPr>
                <w:b/>
                <w:sz w:val="21"/>
              </w:rPr>
            </w:pPr>
            <w:r>
              <w:rPr>
                <w:b/>
                <w:sz w:val="21"/>
              </w:rPr>
              <w:t>41.系统性硬皮病</w:t>
            </w:r>
          </w:p>
        </w:tc>
        <w:tc>
          <w:tcPr>
            <w:tcW w:w="7869" w:type="dxa"/>
          </w:tcPr>
          <w:p>
            <w:pPr>
              <w:pStyle w:val="TableParagraph"/>
              <w:spacing w:line="273" w:lineRule="auto" w:before="68"/>
              <w:ind w:left="103" w:right="303"/>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，指一种以局限性或弥漫性皮肤增厚和皮肤、血</w:t>
            </w:r>
            <w:r>
              <w:rPr>
                <w:spacing w:val="-3"/>
                <w:sz w:val="21"/>
              </w:rPr>
              <w:t>管、内脏器官异常纤维化为特征的结缔组织病。须满足下列至少一项条件：</w:t>
            </w:r>
          </w:p>
          <w:p>
            <w:pPr>
              <w:pStyle w:val="TableParagraph"/>
              <w:numPr>
                <w:ilvl w:val="0"/>
                <w:numId w:val="44"/>
              </w:numPr>
              <w:tabs>
                <w:tab w:pos="824" w:val="left" w:leader="none"/>
              </w:tabs>
              <w:spacing w:line="240" w:lineRule="auto" w:before="7" w:after="0"/>
              <w:ind w:left="823" w:right="0" w:hanging="720"/>
              <w:jc w:val="left"/>
              <w:rPr>
                <w:sz w:val="21"/>
              </w:rPr>
            </w:pPr>
            <w:r>
              <w:rPr>
                <w:spacing w:val="-3"/>
                <w:sz w:val="21"/>
              </w:rPr>
              <w:t>肺脏：肺部病变进而发展为肺间质纤维化和肺动脉高压；</w:t>
            </w:r>
          </w:p>
          <w:p>
            <w:pPr>
              <w:pStyle w:val="TableParagraph"/>
              <w:numPr>
                <w:ilvl w:val="0"/>
                <w:numId w:val="44"/>
              </w:numPr>
              <w:tabs>
                <w:tab w:pos="824" w:val="left" w:leader="none"/>
              </w:tabs>
              <w:spacing w:line="273" w:lineRule="auto" w:before="36" w:after="0"/>
              <w:ind w:left="823" w:right="235" w:hanging="720"/>
              <w:jc w:val="left"/>
              <w:rPr>
                <w:sz w:val="21"/>
              </w:rPr>
            </w:pPr>
            <w:r>
              <w:rPr>
                <w:spacing w:val="-9"/>
                <w:sz w:val="21"/>
              </w:rPr>
              <w:t>心脏：左室腔扩大至少达到正常值上限的 120</w:t>
            </w:r>
            <w:r>
              <w:rPr>
                <w:spacing w:val="-5"/>
                <w:sz w:val="21"/>
              </w:rPr>
              <w:t>％，且左室射血分数持续性低</w:t>
            </w:r>
            <w:r>
              <w:rPr>
                <w:spacing w:val="-29"/>
                <w:sz w:val="21"/>
              </w:rPr>
              <w:t>于 </w:t>
            </w:r>
            <w:r>
              <w:rPr>
                <w:sz w:val="21"/>
              </w:rPr>
              <w:t>40％；</w:t>
            </w:r>
          </w:p>
          <w:p>
            <w:pPr>
              <w:pStyle w:val="TableParagraph"/>
              <w:numPr>
                <w:ilvl w:val="0"/>
                <w:numId w:val="44"/>
              </w:numPr>
              <w:tabs>
                <w:tab w:pos="824" w:val="left" w:leader="none"/>
              </w:tabs>
              <w:spacing w:line="240" w:lineRule="auto" w:before="7" w:after="0"/>
              <w:ind w:left="823" w:right="0" w:hanging="720"/>
              <w:jc w:val="left"/>
              <w:rPr>
                <w:sz w:val="21"/>
              </w:rPr>
            </w:pPr>
            <w:r>
              <w:rPr>
                <w:spacing w:val="-3"/>
                <w:sz w:val="21"/>
              </w:rPr>
              <w:t>肾脏：肾脏受损导致双肾功能慢性不可逆衰竭，达到尿毒症期。</w:t>
            </w:r>
          </w:p>
        </w:tc>
      </w:tr>
      <w:tr>
        <w:trPr>
          <w:trHeight w:val="693" w:hRule="atLeast"/>
        </w:trPr>
        <w:tc>
          <w:tcPr>
            <w:tcW w:w="1515" w:type="dxa"/>
          </w:tcPr>
          <w:p>
            <w:pPr>
              <w:pStyle w:val="TableParagraph"/>
              <w:spacing w:line="310" w:lineRule="atLeast" w:before="65"/>
              <w:ind w:right="101"/>
              <w:rPr>
                <w:b/>
                <w:sz w:val="21"/>
              </w:rPr>
            </w:pPr>
            <w:r>
              <w:rPr>
                <w:b/>
                <w:sz w:val="21"/>
              </w:rPr>
              <w:t>42.严重克隆病</w:t>
            </w:r>
          </w:p>
        </w:tc>
        <w:tc>
          <w:tcPr>
            <w:tcW w:w="7869" w:type="dxa"/>
          </w:tcPr>
          <w:p>
            <w:pPr>
              <w:pStyle w:val="TableParagraph"/>
              <w:spacing w:line="310" w:lineRule="atLeast" w:before="65"/>
              <w:ind w:left="103" w:right="233"/>
              <w:rPr>
                <w:sz w:val="21"/>
              </w:rPr>
            </w:pPr>
            <w:r>
              <w:rPr>
                <w:spacing w:val="-6"/>
                <w:sz w:val="21"/>
              </w:rPr>
              <w:t>指一种慢性肉芽肿性肠炎，具有特征性的克隆病病理组织学变化，须由病理学检查</w:t>
            </w:r>
            <w:r>
              <w:rPr>
                <w:spacing w:val="-4"/>
                <w:sz w:val="21"/>
              </w:rPr>
              <w:t>结果证实，且已经造成瘘管形成并伴有肠梗阻或肠穿孔。</w:t>
            </w:r>
          </w:p>
        </w:tc>
      </w:tr>
    </w:tbl>
    <w:p>
      <w:pPr>
        <w:spacing w:after="0" w:line="310" w:lineRule="atLeast"/>
        <w:rPr>
          <w:sz w:val="21"/>
        </w:rPr>
        <w:sectPr>
          <w:pgSz w:w="11910" w:h="16840"/>
          <w:pgMar w:header="0" w:footer="377" w:top="1340" w:bottom="56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1279" w:hRule="atLeast"/>
        </w:trPr>
        <w:tc>
          <w:tcPr>
            <w:tcW w:w="1515" w:type="dxa"/>
          </w:tcPr>
          <w:p>
            <w:pPr>
              <w:pStyle w:val="TableParagraph"/>
              <w:spacing w:line="205" w:lineRule="exact" w:before="0"/>
              <w:rPr>
                <w:b/>
                <w:sz w:val="21"/>
              </w:rPr>
            </w:pPr>
            <w:r>
              <w:rPr>
                <w:b/>
                <w:sz w:val="21"/>
              </w:rPr>
              <w:t>43.进行性核</w:t>
            </w:r>
          </w:p>
          <w:p>
            <w:pPr>
              <w:pStyle w:val="TableParagraph"/>
              <w:rPr>
                <w:b/>
                <w:sz w:val="21"/>
              </w:rPr>
            </w:pPr>
            <w:r>
              <w:rPr>
                <w:b/>
                <w:sz w:val="21"/>
              </w:rPr>
              <w:t>上性麻痹</w:t>
            </w:r>
          </w:p>
        </w:tc>
        <w:tc>
          <w:tcPr>
            <w:tcW w:w="7939" w:type="dxa"/>
          </w:tcPr>
          <w:p>
            <w:pPr>
              <w:pStyle w:val="TableParagraph"/>
              <w:spacing w:line="205" w:lineRule="exact" w:before="0"/>
              <w:ind w:left="103"/>
              <w:rPr>
                <w:sz w:val="21"/>
              </w:rPr>
            </w:pPr>
            <w:r>
              <w:rPr>
                <w:sz w:val="21"/>
              </w:rPr>
              <w:t>指一种隐袭起病、逐渐加重的神经系统变性疾病，且满足如下临床特征：</w:t>
            </w:r>
          </w:p>
          <w:p>
            <w:pPr>
              <w:pStyle w:val="TableParagraph"/>
              <w:numPr>
                <w:ilvl w:val="0"/>
                <w:numId w:val="45"/>
              </w:numPr>
              <w:tabs>
                <w:tab w:pos="824" w:val="left" w:leader="none"/>
              </w:tabs>
              <w:spacing w:line="240" w:lineRule="auto" w:before="37" w:after="0"/>
              <w:ind w:left="823" w:right="0" w:hanging="720"/>
              <w:jc w:val="left"/>
              <w:rPr>
                <w:sz w:val="21"/>
              </w:rPr>
            </w:pPr>
            <w:r>
              <w:rPr>
                <w:spacing w:val="-2"/>
                <w:sz w:val="21"/>
              </w:rPr>
              <w:t>步态共济失调；</w:t>
            </w:r>
          </w:p>
          <w:p>
            <w:pPr>
              <w:pStyle w:val="TableParagraph"/>
              <w:numPr>
                <w:ilvl w:val="0"/>
                <w:numId w:val="45"/>
              </w:numPr>
              <w:tabs>
                <w:tab w:pos="824" w:val="left" w:leader="none"/>
              </w:tabs>
              <w:spacing w:line="240" w:lineRule="auto" w:before="37" w:after="0"/>
              <w:ind w:left="823" w:right="0" w:hanging="720"/>
              <w:jc w:val="left"/>
              <w:rPr>
                <w:sz w:val="21"/>
              </w:rPr>
            </w:pPr>
            <w:r>
              <w:rPr>
                <w:spacing w:val="-3"/>
                <w:sz w:val="21"/>
              </w:rPr>
              <w:t>对称性眼球垂直运动障碍；</w:t>
            </w:r>
          </w:p>
          <w:p>
            <w:pPr>
              <w:pStyle w:val="TableParagraph"/>
              <w:numPr>
                <w:ilvl w:val="0"/>
                <w:numId w:val="45"/>
              </w:numPr>
              <w:tabs>
                <w:tab w:pos="824" w:val="left" w:leader="none"/>
              </w:tabs>
              <w:spacing w:line="240" w:lineRule="auto" w:before="37" w:after="0"/>
              <w:ind w:left="823" w:right="0" w:hanging="720"/>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tc>
      </w:tr>
      <w:tr>
        <w:trPr>
          <w:trHeight w:val="2007" w:hRule="atLeast"/>
        </w:trPr>
        <w:tc>
          <w:tcPr>
            <w:tcW w:w="1515" w:type="dxa"/>
          </w:tcPr>
          <w:p>
            <w:pPr>
              <w:pStyle w:val="TableParagraph"/>
              <w:spacing w:line="273" w:lineRule="auto" w:before="62"/>
              <w:ind w:right="101"/>
              <w:jc w:val="both"/>
              <w:rPr>
                <w:b/>
                <w:sz w:val="21"/>
              </w:rPr>
            </w:pPr>
            <w:r>
              <w:rPr>
                <w:b/>
                <w:sz w:val="21"/>
              </w:rPr>
              <w:t>44.非阿尔茨海 默病所致严重痴呆</w:t>
            </w:r>
          </w:p>
        </w:tc>
        <w:tc>
          <w:tcPr>
            <w:tcW w:w="7939" w:type="dxa"/>
          </w:tcPr>
          <w:p>
            <w:pPr>
              <w:pStyle w:val="TableParagraph"/>
              <w:spacing w:line="273" w:lineRule="auto" w:before="62"/>
              <w:ind w:left="103" w:right="198"/>
              <w:rPr>
                <w:sz w:val="21"/>
              </w:rPr>
            </w:pPr>
            <w:r>
              <w:rPr>
                <w:spacing w:val="-3"/>
                <w:sz w:val="21"/>
              </w:rPr>
              <w:t>指因阿尔茨海默病以外的脑的器质性疾病造成脑功能衰竭导致永久不可逆性严重  </w:t>
            </w:r>
            <w:r>
              <w:rPr>
                <w:spacing w:val="-7"/>
                <w:sz w:val="21"/>
              </w:rPr>
              <w:t>痴呆，临床表现为明显的认知能力障碍、行为异常和社交能力减退。被保险人自主</w:t>
            </w:r>
            <w:r>
              <w:rPr>
                <w:spacing w:val="-8"/>
                <w:sz w:val="21"/>
              </w:rPr>
              <w:t>生活能力完全丧失，无法独立完成六项基本日常生活活动中的三项或三项以上，日</w:t>
            </w:r>
            <w:r>
              <w:rPr>
                <w:spacing w:val="-13"/>
                <w:sz w:val="21"/>
              </w:rPr>
              <w:t>常生活必须持续受到他人监护。导致痴呆的疾病必须明确诊断，并且由完整的临床、</w:t>
            </w:r>
            <w:r>
              <w:rPr>
                <w:spacing w:val="-6"/>
                <w:sz w:val="21"/>
              </w:rPr>
              <w:t>实验室和影像学检查结果证实。</w:t>
            </w:r>
          </w:p>
          <w:p>
            <w:pPr>
              <w:pStyle w:val="TableParagraph"/>
              <w:spacing w:before="7"/>
              <w:ind w:left="103"/>
              <w:rPr>
                <w:rFonts w:ascii="黑体" w:eastAsia="黑体" w:hint="eastAsia"/>
                <w:sz w:val="21"/>
              </w:rPr>
            </w:pPr>
            <w:r>
              <w:rPr>
                <w:rFonts w:ascii="黑体" w:eastAsia="黑体" w:hint="eastAsia"/>
                <w:sz w:val="21"/>
              </w:rPr>
              <w:t>神经官能症，精神疾病及酒精中毒所致脑损害不在保障范围内。</w:t>
            </w:r>
          </w:p>
        </w:tc>
      </w:tr>
      <w:tr>
        <w:trPr>
          <w:trHeight w:val="1083" w:hRule="atLeast"/>
        </w:trPr>
        <w:tc>
          <w:tcPr>
            <w:tcW w:w="1515" w:type="dxa"/>
          </w:tcPr>
          <w:p>
            <w:pPr>
              <w:pStyle w:val="TableParagraph"/>
              <w:spacing w:line="273" w:lineRule="auto" w:before="35"/>
              <w:ind w:right="101"/>
              <w:rPr>
                <w:b/>
                <w:sz w:val="21"/>
              </w:rPr>
            </w:pPr>
            <w:r>
              <w:rPr>
                <w:b/>
                <w:sz w:val="21"/>
              </w:rPr>
              <w:t>45.肺泡蛋白质沉积症</w:t>
            </w:r>
          </w:p>
        </w:tc>
        <w:tc>
          <w:tcPr>
            <w:tcW w:w="7939" w:type="dxa"/>
          </w:tcPr>
          <w:p>
            <w:pPr>
              <w:pStyle w:val="TableParagraph"/>
              <w:spacing w:line="273" w:lineRule="auto" w:before="35"/>
              <w:ind w:left="103" w:right="197"/>
              <w:rPr>
                <w:sz w:val="21"/>
              </w:rPr>
            </w:pPr>
            <w:r>
              <w:rPr>
                <w:spacing w:val="-7"/>
                <w:sz w:val="21"/>
              </w:rPr>
              <w:t>指肺泡和细支气管腔内充满不可溶性富磷脂蛋白的疾病，胸部 </w:t>
            </w:r>
            <w:r>
              <w:rPr>
                <w:sz w:val="21"/>
              </w:rPr>
              <w:t>X</w:t>
            </w:r>
            <w:r>
              <w:rPr>
                <w:spacing w:val="-8"/>
                <w:sz w:val="21"/>
              </w:rPr>
              <w:t> 线呈双肺弥漫性肺部磨玻璃影，病理学检查肺泡内充满有过碘酸雪夫</w:t>
            </w:r>
            <w:r>
              <w:rPr>
                <w:spacing w:val="-4"/>
                <w:sz w:val="21"/>
              </w:rPr>
              <w:t>（PAS）</w:t>
            </w:r>
            <w:r>
              <w:rPr>
                <w:spacing w:val="-3"/>
                <w:sz w:val="21"/>
              </w:rPr>
              <w:t>染色阳性的蛋白样物质， 并且接受了肺灌洗治疗。</w:t>
            </w:r>
          </w:p>
        </w:tc>
      </w:tr>
      <w:tr>
        <w:trPr>
          <w:trHeight w:val="1729" w:hRule="atLeast"/>
        </w:trPr>
        <w:tc>
          <w:tcPr>
            <w:tcW w:w="1515" w:type="dxa"/>
          </w:tcPr>
          <w:p>
            <w:pPr>
              <w:pStyle w:val="TableParagraph"/>
              <w:spacing w:line="271" w:lineRule="auto" w:before="74"/>
              <w:ind w:right="101"/>
              <w:jc w:val="both"/>
              <w:rPr>
                <w:b/>
                <w:sz w:val="21"/>
              </w:rPr>
            </w:pPr>
            <w:r>
              <w:rPr>
                <w:b/>
                <w:sz w:val="21"/>
              </w:rPr>
              <w:t>46.严重慢性复 发性胰腺炎</w:t>
            </w:r>
          </w:p>
        </w:tc>
        <w:tc>
          <w:tcPr>
            <w:tcW w:w="7939" w:type="dxa"/>
          </w:tcPr>
          <w:p>
            <w:pPr>
              <w:pStyle w:val="TableParagraph"/>
              <w:spacing w:line="271" w:lineRule="auto" w:before="74"/>
              <w:ind w:left="103" w:right="303"/>
              <w:rPr>
                <w:sz w:val="21"/>
              </w:rPr>
            </w:pPr>
            <w:r>
              <w:rPr>
                <w:spacing w:val="-5"/>
                <w:sz w:val="21"/>
              </w:rPr>
              <w:t>指有腹痛等典型症状的胰腺炎反复发作，导致胰腺进行性破坏，并导致胰腺功能紊</w:t>
            </w:r>
            <w:r>
              <w:rPr>
                <w:spacing w:val="-4"/>
                <w:sz w:val="21"/>
              </w:rPr>
              <w:t>乱而导致严重糖尿病以及营养不良、恶液质。</w:t>
            </w:r>
            <w:r>
              <w:rPr>
                <w:sz w:val="21"/>
              </w:rPr>
              <w:t>CT</w:t>
            </w:r>
            <w:r>
              <w:rPr>
                <w:spacing w:val="-3"/>
                <w:sz w:val="21"/>
              </w:rPr>
              <w:t> 检查证实胰腺存在广泛钙化，且必须接受酶替代以及胰岛素替代治疗六个月以上。诊断必须由消化科专科医生确 诊。</w:t>
            </w:r>
          </w:p>
          <w:p>
            <w:pPr>
              <w:pStyle w:val="TableParagraph"/>
              <w:spacing w:before="9"/>
              <w:ind w:left="103"/>
              <w:rPr>
                <w:rFonts w:ascii="黑体" w:eastAsia="黑体" w:hint="eastAsia"/>
                <w:sz w:val="21"/>
              </w:rPr>
            </w:pPr>
            <w:r>
              <w:rPr>
                <w:rFonts w:ascii="黑体" w:eastAsia="黑体" w:hint="eastAsia"/>
                <w:sz w:val="21"/>
              </w:rPr>
              <w:t>酒精导致的慢性复发性胰腺炎不在保障范围内。</w:t>
            </w:r>
          </w:p>
        </w:tc>
      </w:tr>
      <w:tr>
        <w:trPr>
          <w:trHeight w:val="3274" w:hRule="atLeast"/>
        </w:trPr>
        <w:tc>
          <w:tcPr>
            <w:tcW w:w="1515" w:type="dxa"/>
          </w:tcPr>
          <w:p>
            <w:pPr>
              <w:pStyle w:val="TableParagraph"/>
              <w:spacing w:line="273" w:lineRule="auto" w:before="58"/>
              <w:ind w:right="101"/>
              <w:jc w:val="both"/>
              <w:rPr>
                <w:b/>
                <w:sz w:val="21"/>
              </w:rPr>
            </w:pPr>
            <w:r>
              <w:rPr>
                <w:b/>
                <w:sz w:val="21"/>
              </w:rPr>
              <w:t>47.因职业关系 导致的感染 艾滋病病毒 或者患艾滋病</w:t>
            </w:r>
          </w:p>
        </w:tc>
        <w:tc>
          <w:tcPr>
            <w:tcW w:w="7939" w:type="dxa"/>
          </w:tcPr>
          <w:p>
            <w:pPr>
              <w:pStyle w:val="TableParagraph"/>
              <w:spacing w:line="273" w:lineRule="auto" w:before="58"/>
              <w:ind w:left="103" w:right="262"/>
              <w:rPr>
                <w:sz w:val="21"/>
              </w:rPr>
            </w:pPr>
            <w:r>
              <w:rPr>
                <w:sz w:val="21"/>
              </w:rPr>
              <w:t>被保险人在其常规职业工作过程中遭遇外伤，或职业需要处理血液或其他体液时感染上艾滋病病毒或者患上艾滋病。须满足下列全部条件：</w:t>
            </w:r>
          </w:p>
          <w:p>
            <w:pPr>
              <w:pStyle w:val="TableParagraph"/>
              <w:numPr>
                <w:ilvl w:val="0"/>
                <w:numId w:val="46"/>
              </w:numPr>
              <w:tabs>
                <w:tab w:pos="839" w:val="left" w:leader="none"/>
              </w:tabs>
              <w:spacing w:line="273" w:lineRule="auto" w:before="7" w:after="0"/>
              <w:ind w:left="838" w:right="372" w:hanging="735"/>
              <w:jc w:val="both"/>
              <w:rPr>
                <w:sz w:val="21"/>
              </w:rPr>
            </w:pPr>
            <w:r>
              <w:rPr>
                <w:spacing w:val="-3"/>
                <w:sz w:val="21"/>
              </w:rPr>
              <w:t>感染必须是在被保险人正在从事其职业工作中发生，该职业必须属于下列职业之一；医生和牙科医生、护士、实验室工作人员、医院护工、医生助理和牙医助理、救护车工作人员、助产士。</w:t>
            </w:r>
          </w:p>
          <w:p>
            <w:pPr>
              <w:pStyle w:val="TableParagraph"/>
              <w:spacing w:before="7"/>
              <w:ind w:left="838"/>
              <w:rPr>
                <w:rFonts w:ascii="黑体" w:eastAsia="黑体" w:hint="eastAsia"/>
                <w:sz w:val="21"/>
              </w:rPr>
            </w:pPr>
            <w:r>
              <w:rPr>
                <w:rFonts w:ascii="黑体" w:eastAsia="黑体" w:hint="eastAsia"/>
                <w:sz w:val="21"/>
              </w:rPr>
              <w:t>其他职业不在保障范围内。</w:t>
            </w:r>
          </w:p>
          <w:p>
            <w:pPr>
              <w:pStyle w:val="TableParagraph"/>
              <w:numPr>
                <w:ilvl w:val="0"/>
                <w:numId w:val="46"/>
              </w:numPr>
              <w:tabs>
                <w:tab w:pos="839" w:val="left" w:leader="none"/>
              </w:tabs>
              <w:spacing w:line="273" w:lineRule="auto" w:before="36" w:after="0"/>
              <w:ind w:left="838" w:right="305" w:hanging="735"/>
              <w:jc w:val="both"/>
              <w:rPr>
                <w:sz w:val="21"/>
              </w:rPr>
            </w:pPr>
            <w:r>
              <w:rPr>
                <w:spacing w:val="-2"/>
                <w:sz w:val="21"/>
              </w:rPr>
              <w:t>必须提供被保险人在所报事故发生后的 </w:t>
            </w:r>
            <w:r>
              <w:rPr>
                <w:sz w:val="21"/>
              </w:rPr>
              <w:t>5</w:t>
            </w:r>
            <w:r>
              <w:rPr>
                <w:spacing w:val="-6"/>
                <w:sz w:val="21"/>
              </w:rPr>
              <w:t> 天以内进行的检查报告，该报告</w:t>
            </w:r>
            <w:r>
              <w:rPr>
                <w:spacing w:val="-4"/>
                <w:sz w:val="21"/>
              </w:rPr>
              <w:t>必须显示被保险人血液 </w:t>
            </w:r>
            <w:r>
              <w:rPr>
                <w:sz w:val="21"/>
              </w:rPr>
              <w:t>HIV</w:t>
            </w:r>
            <w:r>
              <w:rPr>
                <w:spacing w:val="-2"/>
                <w:sz w:val="21"/>
              </w:rPr>
              <w:t> 病毒阴性和</w:t>
            </w:r>
            <w:r>
              <w:rPr>
                <w:spacing w:val="-3"/>
                <w:sz w:val="21"/>
              </w:rPr>
              <w:t>/</w:t>
            </w:r>
            <w:r>
              <w:rPr>
                <w:spacing w:val="0"/>
                <w:sz w:val="21"/>
              </w:rPr>
              <w:t>或 </w:t>
            </w:r>
            <w:r>
              <w:rPr>
                <w:sz w:val="21"/>
              </w:rPr>
              <w:t>HIV</w:t>
            </w:r>
            <w:r>
              <w:rPr>
                <w:spacing w:val="-1"/>
                <w:sz w:val="21"/>
              </w:rPr>
              <w:t> 抗体阴性；</w:t>
            </w:r>
          </w:p>
          <w:p>
            <w:pPr>
              <w:pStyle w:val="TableParagraph"/>
              <w:numPr>
                <w:ilvl w:val="0"/>
                <w:numId w:val="46"/>
              </w:numPr>
              <w:tabs>
                <w:tab w:pos="839" w:val="left" w:leader="none"/>
              </w:tabs>
              <w:spacing w:line="273" w:lineRule="auto" w:before="7" w:after="0"/>
              <w:ind w:left="838" w:right="428" w:hanging="735"/>
              <w:jc w:val="both"/>
              <w:rPr>
                <w:sz w:val="21"/>
              </w:rPr>
            </w:pPr>
            <w:r>
              <w:rPr>
                <w:spacing w:val="-3"/>
                <w:sz w:val="21"/>
              </w:rPr>
              <w:t>必须在事故发生后的 </w:t>
            </w:r>
            <w:r>
              <w:rPr>
                <w:sz w:val="21"/>
              </w:rPr>
              <w:t>6</w:t>
            </w:r>
            <w:r>
              <w:rPr>
                <w:spacing w:val="-3"/>
                <w:sz w:val="21"/>
              </w:rPr>
              <w:t> 个月内证实被保险人体内存在 </w:t>
            </w:r>
            <w:r>
              <w:rPr>
                <w:sz w:val="21"/>
              </w:rPr>
              <w:t>HIV</w:t>
            </w:r>
            <w:r>
              <w:rPr>
                <w:spacing w:val="-10"/>
                <w:sz w:val="21"/>
              </w:rPr>
              <w:t> 病毒或者 </w:t>
            </w:r>
            <w:r>
              <w:rPr>
                <w:sz w:val="21"/>
              </w:rPr>
              <w:t>HIV </w:t>
            </w:r>
            <w:r>
              <w:rPr>
                <w:spacing w:val="-2"/>
                <w:sz w:val="21"/>
              </w:rPr>
              <w:t>抗体，即血液 </w:t>
            </w:r>
            <w:r>
              <w:rPr>
                <w:sz w:val="21"/>
              </w:rPr>
              <w:t>HIV</w:t>
            </w:r>
            <w:r>
              <w:rPr>
                <w:spacing w:val="-2"/>
                <w:sz w:val="21"/>
              </w:rPr>
              <w:t> 病毒阳性和</w:t>
            </w:r>
            <w:r>
              <w:rPr>
                <w:spacing w:val="-3"/>
                <w:sz w:val="21"/>
              </w:rPr>
              <w:t>/</w:t>
            </w:r>
            <w:r>
              <w:rPr>
                <w:spacing w:val="0"/>
                <w:sz w:val="21"/>
              </w:rPr>
              <w:t>或 </w:t>
            </w:r>
            <w:r>
              <w:rPr>
                <w:sz w:val="21"/>
              </w:rPr>
              <w:t>HIV</w:t>
            </w:r>
            <w:r>
              <w:rPr>
                <w:spacing w:val="-1"/>
                <w:sz w:val="21"/>
              </w:rPr>
              <w:t> 抗体阳性。</w:t>
            </w:r>
          </w:p>
        </w:tc>
      </w:tr>
      <w:tr>
        <w:trPr>
          <w:trHeight w:val="2368" w:hRule="atLeast"/>
        </w:trPr>
        <w:tc>
          <w:tcPr>
            <w:tcW w:w="1515" w:type="dxa"/>
          </w:tcPr>
          <w:p>
            <w:pPr>
              <w:pStyle w:val="TableParagraph"/>
              <w:spacing w:line="273" w:lineRule="auto" w:before="56"/>
              <w:ind w:right="101"/>
              <w:rPr>
                <w:b/>
                <w:sz w:val="21"/>
              </w:rPr>
            </w:pPr>
            <w:r>
              <w:rPr>
                <w:b/>
                <w:sz w:val="21"/>
              </w:rPr>
              <w:t>48.原发性硬化性胆管炎</w:t>
            </w:r>
          </w:p>
        </w:tc>
        <w:tc>
          <w:tcPr>
            <w:tcW w:w="7939" w:type="dxa"/>
          </w:tcPr>
          <w:p>
            <w:pPr>
              <w:pStyle w:val="TableParagraph"/>
              <w:spacing w:line="273" w:lineRule="auto" w:before="56"/>
              <w:ind w:left="103" w:right="303"/>
              <w:rPr>
                <w:sz w:val="21"/>
              </w:rPr>
            </w:pPr>
            <w:r>
              <w:rPr>
                <w:spacing w:val="-7"/>
                <w:sz w:val="21"/>
              </w:rPr>
              <w:t>指一种胆汁淤积综合征，其特征是肝内、肝外胆道因纤维化性炎症逐渐狭窄，并最</w:t>
            </w:r>
            <w:r>
              <w:rPr>
                <w:spacing w:val="-5"/>
                <w:sz w:val="21"/>
              </w:rPr>
              <w:t>终导致完全阻塞而发展为肝硬化。本病须经内镜逆行胰胆管造影等影像学检查证 </w:t>
            </w:r>
            <w:r>
              <w:rPr>
                <w:spacing w:val="-4"/>
                <w:sz w:val="21"/>
              </w:rPr>
              <w:t>实，并须满足下列全部条件：</w:t>
            </w:r>
          </w:p>
          <w:p>
            <w:pPr>
              <w:pStyle w:val="TableParagraph"/>
              <w:numPr>
                <w:ilvl w:val="0"/>
                <w:numId w:val="47"/>
              </w:numPr>
              <w:tabs>
                <w:tab w:pos="838" w:val="left" w:leader="none"/>
                <w:tab w:pos="839" w:val="left" w:leader="none"/>
              </w:tabs>
              <w:spacing w:line="240" w:lineRule="auto" w:before="7" w:after="0"/>
              <w:ind w:left="838" w:right="0" w:hanging="735"/>
              <w:jc w:val="left"/>
              <w:rPr>
                <w:sz w:val="21"/>
              </w:rPr>
            </w:pPr>
            <w:r>
              <w:rPr>
                <w:spacing w:val="-5"/>
                <w:sz w:val="21"/>
              </w:rPr>
              <w:t>总胆红素和直接胆红素同时升高，血清 </w:t>
            </w:r>
            <w:r>
              <w:rPr>
                <w:sz w:val="21"/>
              </w:rPr>
              <w:t>ALP&gt;200U/L；</w:t>
            </w:r>
          </w:p>
          <w:p>
            <w:pPr>
              <w:pStyle w:val="TableParagraph"/>
              <w:numPr>
                <w:ilvl w:val="0"/>
                <w:numId w:val="47"/>
              </w:numPr>
              <w:tabs>
                <w:tab w:pos="838" w:val="left" w:leader="none"/>
                <w:tab w:pos="839" w:val="left" w:leader="none"/>
              </w:tabs>
              <w:spacing w:line="240" w:lineRule="auto" w:before="36" w:after="0"/>
              <w:ind w:left="838" w:right="0" w:hanging="735"/>
              <w:jc w:val="left"/>
              <w:rPr>
                <w:sz w:val="21"/>
              </w:rPr>
            </w:pPr>
            <w:r>
              <w:rPr>
                <w:spacing w:val="-3"/>
                <w:sz w:val="21"/>
              </w:rPr>
              <w:t>持续性黄疸病史；</w:t>
            </w:r>
          </w:p>
          <w:p>
            <w:pPr>
              <w:pStyle w:val="TableParagraph"/>
              <w:numPr>
                <w:ilvl w:val="0"/>
                <w:numId w:val="47"/>
              </w:numPr>
              <w:tabs>
                <w:tab w:pos="838" w:val="left" w:leader="none"/>
                <w:tab w:pos="839" w:val="left" w:leader="none"/>
              </w:tabs>
              <w:spacing w:line="240" w:lineRule="auto" w:before="36" w:after="0"/>
              <w:ind w:left="838" w:right="0" w:hanging="735"/>
              <w:jc w:val="left"/>
              <w:rPr>
                <w:sz w:val="21"/>
              </w:rPr>
            </w:pPr>
            <w:r>
              <w:rPr>
                <w:spacing w:val="-3"/>
                <w:sz w:val="21"/>
              </w:rPr>
              <w:t>出现胆汁性肝硬化或门脉高压。</w:t>
            </w:r>
          </w:p>
          <w:p>
            <w:pPr>
              <w:pStyle w:val="TableParagraph"/>
              <w:spacing w:before="36"/>
              <w:ind w:left="103"/>
              <w:rPr>
                <w:rFonts w:ascii="黑体" w:eastAsia="黑体" w:hint="eastAsia"/>
                <w:sz w:val="21"/>
              </w:rPr>
            </w:pPr>
            <w:r>
              <w:rPr>
                <w:rFonts w:ascii="黑体" w:eastAsia="黑体" w:hint="eastAsia"/>
                <w:sz w:val="21"/>
              </w:rPr>
              <w:t>因肿瘤或胆管损伤等继发性的硬化性胆管炎不在保障范围内。</w:t>
            </w:r>
          </w:p>
        </w:tc>
      </w:tr>
      <w:tr>
        <w:trPr>
          <w:trHeight w:val="1618" w:hRule="atLeast"/>
        </w:trPr>
        <w:tc>
          <w:tcPr>
            <w:tcW w:w="1515" w:type="dxa"/>
          </w:tcPr>
          <w:p>
            <w:pPr>
              <w:pStyle w:val="TableParagraph"/>
              <w:spacing w:line="273" w:lineRule="auto" w:before="88"/>
              <w:ind w:right="101"/>
              <w:rPr>
                <w:b/>
                <w:sz w:val="21"/>
              </w:rPr>
            </w:pPr>
            <w:r>
              <w:rPr>
                <w:b/>
                <w:sz w:val="21"/>
              </w:rPr>
              <w:t>49.肺淋巴管肌瘤病</w:t>
            </w:r>
          </w:p>
        </w:tc>
        <w:tc>
          <w:tcPr>
            <w:tcW w:w="7939" w:type="dxa"/>
          </w:tcPr>
          <w:p>
            <w:pPr>
              <w:pStyle w:val="TableParagraph"/>
              <w:spacing w:line="273" w:lineRule="auto" w:before="88"/>
              <w:ind w:left="103" w:right="303"/>
              <w:rPr>
                <w:sz w:val="21"/>
              </w:rPr>
            </w:pPr>
            <w:r>
              <w:rPr>
                <w:spacing w:val="-6"/>
                <w:sz w:val="21"/>
              </w:rPr>
              <w:t>肺淋巴管肌瘤病是一种弥漫性肺部疾病，主要病理改变为肺间质、支气管、血管和</w:t>
            </w:r>
            <w:r>
              <w:rPr>
                <w:spacing w:val="-4"/>
                <w:sz w:val="21"/>
              </w:rPr>
              <w:t>淋巴管内出现未成熟的平滑肌异常增生，同时需满足下列条件：</w:t>
            </w:r>
          </w:p>
          <w:p>
            <w:pPr>
              <w:pStyle w:val="TableParagraph"/>
              <w:numPr>
                <w:ilvl w:val="0"/>
                <w:numId w:val="48"/>
              </w:numPr>
              <w:tabs>
                <w:tab w:pos="838" w:val="left" w:leader="none"/>
                <w:tab w:pos="839" w:val="left" w:leader="none"/>
              </w:tabs>
              <w:spacing w:line="240" w:lineRule="auto" w:before="7" w:after="0"/>
              <w:ind w:left="838" w:right="0" w:hanging="735"/>
              <w:jc w:val="left"/>
              <w:rPr>
                <w:sz w:val="21"/>
              </w:rPr>
            </w:pPr>
            <w:r>
              <w:rPr>
                <w:spacing w:val="-3"/>
                <w:sz w:val="21"/>
              </w:rPr>
              <w:t>经组织病理学诊断；</w:t>
            </w:r>
          </w:p>
          <w:p>
            <w:pPr>
              <w:pStyle w:val="TableParagraph"/>
              <w:numPr>
                <w:ilvl w:val="0"/>
                <w:numId w:val="48"/>
              </w:numPr>
              <w:tabs>
                <w:tab w:pos="838" w:val="left" w:leader="none"/>
                <w:tab w:pos="839" w:val="left" w:leader="none"/>
              </w:tabs>
              <w:spacing w:line="240" w:lineRule="auto" w:before="37" w:after="0"/>
              <w:ind w:left="838" w:right="0" w:hanging="735"/>
              <w:jc w:val="left"/>
              <w:rPr>
                <w:sz w:val="21"/>
              </w:rPr>
            </w:pPr>
            <w:r>
              <w:rPr>
                <w:sz w:val="21"/>
              </w:rPr>
              <w:t>CT</w:t>
            </w:r>
            <w:r>
              <w:rPr>
                <w:spacing w:val="-8"/>
                <w:sz w:val="21"/>
              </w:rPr>
              <w:t> 显示双肺弥漫性囊性改变；</w:t>
            </w:r>
          </w:p>
          <w:p>
            <w:pPr>
              <w:pStyle w:val="TableParagraph"/>
              <w:numPr>
                <w:ilvl w:val="0"/>
                <w:numId w:val="48"/>
              </w:numPr>
              <w:tabs>
                <w:tab w:pos="840" w:val="left" w:leader="none"/>
                <w:tab w:pos="841" w:val="left" w:leader="none"/>
              </w:tabs>
              <w:spacing w:line="261" w:lineRule="exact" w:before="37" w:after="0"/>
              <w:ind w:left="840" w:right="0" w:hanging="737"/>
              <w:jc w:val="left"/>
              <w:rPr>
                <w:sz w:val="21"/>
              </w:rPr>
            </w:pPr>
            <w:r>
              <w:rPr>
                <w:spacing w:val="-3"/>
                <w:sz w:val="21"/>
              </w:rPr>
              <w:t>血气提示低氧血症。</w:t>
            </w:r>
          </w:p>
        </w:tc>
      </w:tr>
    </w:tbl>
    <w:p>
      <w:pPr>
        <w:spacing w:after="0" w:line="261" w:lineRule="exact"/>
        <w:jc w:val="lef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33"/>
      </w:tblGrid>
      <w:tr>
        <w:trPr>
          <w:trHeight w:val="980" w:hRule="atLeast"/>
        </w:trPr>
        <w:tc>
          <w:tcPr>
            <w:tcW w:w="1515" w:type="dxa"/>
          </w:tcPr>
          <w:p>
            <w:pPr>
              <w:pStyle w:val="TableParagraph"/>
              <w:spacing w:line="205" w:lineRule="exact" w:before="0"/>
              <w:rPr>
                <w:b/>
                <w:sz w:val="21"/>
              </w:rPr>
            </w:pPr>
            <w:r>
              <w:rPr>
                <w:b/>
                <w:sz w:val="21"/>
              </w:rPr>
              <w:t>50.象皮病</w:t>
            </w:r>
          </w:p>
        </w:tc>
        <w:tc>
          <w:tcPr>
            <w:tcW w:w="7833" w:type="dxa"/>
          </w:tcPr>
          <w:p>
            <w:pPr>
              <w:pStyle w:val="TableParagraph"/>
              <w:spacing w:line="205" w:lineRule="exact" w:before="0"/>
              <w:ind w:left="103"/>
              <w:rPr>
                <w:sz w:val="21"/>
              </w:rPr>
            </w:pPr>
            <w:r>
              <w:rPr>
                <w:sz w:val="21"/>
              </w:rPr>
              <w:t>指末期丝虫病，按国际淋巴学会分级为三度淋巴液肿，其临床表现为肢体非凹陷性</w:t>
            </w:r>
          </w:p>
          <w:p>
            <w:pPr>
              <w:pStyle w:val="TableParagraph"/>
              <w:spacing w:line="273" w:lineRule="auto"/>
              <w:ind w:left="103" w:right="197"/>
              <w:rPr>
                <w:sz w:val="21"/>
              </w:rPr>
            </w:pPr>
            <w:r>
              <w:rPr>
                <w:spacing w:val="-6"/>
                <w:sz w:val="21"/>
              </w:rPr>
              <w:t>水肿伴畸形增大、硬皮症和疣状增生。此病症须经相关专科医生根据临床表现和微</w:t>
            </w:r>
            <w:r>
              <w:rPr>
                <w:spacing w:val="-4"/>
                <w:sz w:val="21"/>
              </w:rPr>
              <w:t>丝蚴的化验结果确诊。</w:t>
            </w:r>
          </w:p>
        </w:tc>
      </w:tr>
      <w:tr>
        <w:trPr>
          <w:trHeight w:val="1119" w:hRule="atLeast"/>
        </w:trPr>
        <w:tc>
          <w:tcPr>
            <w:tcW w:w="1515" w:type="dxa"/>
          </w:tcPr>
          <w:p>
            <w:pPr>
              <w:pStyle w:val="TableParagraph"/>
              <w:spacing w:before="75"/>
              <w:rPr>
                <w:b/>
                <w:sz w:val="21"/>
              </w:rPr>
            </w:pPr>
            <w:r>
              <w:rPr>
                <w:b/>
                <w:sz w:val="21"/>
              </w:rPr>
              <w:t>51.胰腺移植</w:t>
            </w:r>
          </w:p>
        </w:tc>
        <w:tc>
          <w:tcPr>
            <w:tcW w:w="7833" w:type="dxa"/>
          </w:tcPr>
          <w:p>
            <w:pPr>
              <w:pStyle w:val="TableParagraph"/>
              <w:spacing w:line="273" w:lineRule="auto" w:before="75"/>
              <w:ind w:left="103" w:right="197"/>
              <w:rPr>
                <w:sz w:val="21"/>
              </w:rPr>
            </w:pPr>
            <w:r>
              <w:rPr>
                <w:spacing w:val="-6"/>
                <w:sz w:val="21"/>
              </w:rPr>
              <w:t>指因胰腺功能衰竭，已经实施了在全身麻醉下进行的胰腺的异体器官移植手术</w:t>
            </w:r>
            <w:r>
              <w:rPr>
                <w:spacing w:val="-3"/>
                <w:sz w:val="21"/>
              </w:rPr>
              <w:t>（</w:t>
            </w:r>
            <w:r>
              <w:rPr>
                <w:sz w:val="21"/>
              </w:rPr>
              <w:t>供</w:t>
            </w:r>
            <w:r>
              <w:rPr>
                <w:spacing w:val="-3"/>
                <w:sz w:val="21"/>
              </w:rPr>
              <w:t>体必须是人体器官</w:t>
            </w:r>
            <w:r>
              <w:rPr>
                <w:spacing w:val="-108"/>
                <w:sz w:val="21"/>
              </w:rPr>
              <w:t>）</w:t>
            </w:r>
            <w:r>
              <w:rPr>
                <w:sz w:val="21"/>
              </w:rPr>
              <w:t>。</w:t>
            </w:r>
          </w:p>
          <w:p>
            <w:pPr>
              <w:pStyle w:val="TableParagraph"/>
              <w:spacing w:before="7"/>
              <w:ind w:left="103"/>
              <w:rPr>
                <w:rFonts w:ascii="黑体" w:eastAsia="黑体" w:hint="eastAsia"/>
                <w:sz w:val="21"/>
              </w:rPr>
            </w:pPr>
            <w:r>
              <w:rPr>
                <w:rFonts w:ascii="黑体" w:eastAsia="黑体" w:hint="eastAsia"/>
                <w:sz w:val="21"/>
              </w:rPr>
              <w:t>单纯胰岛移植、部分胰腺组织或细胞的移植不在保障范围内。</w:t>
            </w:r>
          </w:p>
        </w:tc>
      </w:tr>
      <w:tr>
        <w:trPr>
          <w:trHeight w:val="1717" w:hRule="atLeast"/>
        </w:trPr>
        <w:tc>
          <w:tcPr>
            <w:tcW w:w="1515" w:type="dxa"/>
          </w:tcPr>
          <w:p>
            <w:pPr>
              <w:pStyle w:val="TableParagraph"/>
              <w:spacing w:line="273" w:lineRule="auto" w:before="69"/>
              <w:ind w:right="101"/>
              <w:rPr>
                <w:b/>
                <w:sz w:val="21"/>
              </w:rPr>
            </w:pPr>
            <w:r>
              <w:rPr>
                <w:b/>
                <w:sz w:val="21"/>
              </w:rPr>
              <w:t>52.严重川崎病</w:t>
            </w:r>
          </w:p>
        </w:tc>
        <w:tc>
          <w:tcPr>
            <w:tcW w:w="7833" w:type="dxa"/>
          </w:tcPr>
          <w:p>
            <w:pPr>
              <w:pStyle w:val="TableParagraph"/>
              <w:spacing w:line="273" w:lineRule="auto" w:before="69"/>
              <w:ind w:left="103" w:right="197"/>
              <w:jc w:val="both"/>
              <w:rPr>
                <w:sz w:val="21"/>
              </w:rPr>
            </w:pPr>
            <w:r>
              <w:rPr>
                <w:spacing w:val="-6"/>
                <w:sz w:val="21"/>
              </w:rPr>
              <w:t>是一种血管炎综合征，临床表现为急性发热，皮肤粘膜病损和淋巴结肿大。本病须</w:t>
            </w:r>
            <w:r>
              <w:rPr>
                <w:spacing w:val="-7"/>
                <w:sz w:val="21"/>
              </w:rPr>
              <w:t>经专科医生明确诊断，同时须由血管造影或超声心动图检查证实，满足下列至少一</w:t>
            </w:r>
            <w:r>
              <w:rPr>
                <w:spacing w:val="-5"/>
                <w:sz w:val="21"/>
              </w:rPr>
              <w:t>项条件：</w:t>
            </w:r>
          </w:p>
          <w:p>
            <w:pPr>
              <w:pStyle w:val="TableParagraph"/>
              <w:numPr>
                <w:ilvl w:val="0"/>
                <w:numId w:val="49"/>
              </w:numPr>
              <w:tabs>
                <w:tab w:pos="839" w:val="left" w:leader="none"/>
              </w:tabs>
              <w:spacing w:line="240" w:lineRule="auto" w:before="7" w:after="0"/>
              <w:ind w:left="838" w:right="0" w:hanging="735"/>
              <w:jc w:val="both"/>
              <w:rPr>
                <w:sz w:val="21"/>
              </w:rPr>
            </w:pPr>
            <w:r>
              <w:rPr>
                <w:spacing w:val="-5"/>
                <w:sz w:val="21"/>
              </w:rPr>
              <w:t>伴有冠状动脉瘤，且冠状动脉瘤于最初急性发病后持续至少 </w:t>
            </w:r>
            <w:r>
              <w:rPr>
                <w:sz w:val="21"/>
              </w:rPr>
              <w:t>180</w:t>
            </w:r>
            <w:r>
              <w:rPr>
                <w:spacing w:val="-15"/>
                <w:sz w:val="21"/>
              </w:rPr>
              <w:t> 天；</w:t>
            </w:r>
          </w:p>
          <w:p>
            <w:pPr>
              <w:pStyle w:val="TableParagraph"/>
              <w:numPr>
                <w:ilvl w:val="0"/>
                <w:numId w:val="49"/>
              </w:numPr>
              <w:tabs>
                <w:tab w:pos="841" w:val="left" w:leader="none"/>
              </w:tabs>
              <w:spacing w:line="240" w:lineRule="auto" w:before="37" w:after="0"/>
              <w:ind w:left="840" w:right="0" w:hanging="737"/>
              <w:jc w:val="both"/>
              <w:rPr>
                <w:sz w:val="21"/>
              </w:rPr>
            </w:pPr>
            <w:r>
              <w:rPr>
                <w:spacing w:val="-3"/>
                <w:sz w:val="21"/>
              </w:rPr>
              <w:t>伴有冠状动脉瘤，且实际接受了对冠状动脉瘤进行的手术治疗。</w:t>
            </w:r>
          </w:p>
        </w:tc>
      </w:tr>
      <w:tr>
        <w:trPr>
          <w:trHeight w:val="1696" w:hRule="atLeast"/>
        </w:trPr>
        <w:tc>
          <w:tcPr>
            <w:tcW w:w="1515" w:type="dxa"/>
          </w:tcPr>
          <w:p>
            <w:pPr>
              <w:pStyle w:val="TableParagraph"/>
              <w:spacing w:line="273" w:lineRule="auto" w:before="49"/>
              <w:ind w:right="101"/>
              <w:rPr>
                <w:b/>
                <w:sz w:val="21"/>
              </w:rPr>
            </w:pPr>
            <w:r>
              <w:rPr>
                <w:b/>
                <w:sz w:val="21"/>
              </w:rPr>
              <w:t>53.肾髓质囊性病</w:t>
            </w:r>
          </w:p>
        </w:tc>
        <w:tc>
          <w:tcPr>
            <w:tcW w:w="7833" w:type="dxa"/>
          </w:tcPr>
          <w:p>
            <w:pPr>
              <w:pStyle w:val="TableParagraph"/>
              <w:spacing w:before="49"/>
              <w:ind w:left="103"/>
              <w:rPr>
                <w:sz w:val="21"/>
              </w:rPr>
            </w:pPr>
            <w:r>
              <w:rPr>
                <w:sz w:val="21"/>
              </w:rPr>
              <w:t>肾髓质囊性病的诊断须同时符合下列要求：</w:t>
            </w:r>
          </w:p>
          <w:p>
            <w:pPr>
              <w:pStyle w:val="TableParagraph"/>
              <w:numPr>
                <w:ilvl w:val="0"/>
                <w:numId w:val="50"/>
              </w:numPr>
              <w:tabs>
                <w:tab w:pos="838" w:val="left" w:leader="none"/>
                <w:tab w:pos="839" w:val="left" w:leader="none"/>
              </w:tabs>
              <w:spacing w:line="240" w:lineRule="auto" w:before="37" w:after="0"/>
              <w:ind w:left="838" w:right="0" w:hanging="735"/>
              <w:jc w:val="left"/>
              <w:rPr>
                <w:sz w:val="21"/>
              </w:rPr>
            </w:pPr>
            <w:r>
              <w:rPr>
                <w:spacing w:val="-3"/>
                <w:sz w:val="21"/>
              </w:rPr>
              <w:t>肾髓质有囊肿、肾小管萎缩及间质纤维化等病理改变；</w:t>
            </w:r>
          </w:p>
          <w:p>
            <w:pPr>
              <w:pStyle w:val="TableParagraph"/>
              <w:numPr>
                <w:ilvl w:val="0"/>
                <w:numId w:val="50"/>
              </w:numPr>
              <w:tabs>
                <w:tab w:pos="838" w:val="left" w:leader="none"/>
                <w:tab w:pos="839" w:val="left" w:leader="none"/>
              </w:tabs>
              <w:spacing w:line="240" w:lineRule="auto" w:before="37" w:after="0"/>
              <w:ind w:left="838" w:right="0" w:hanging="735"/>
              <w:jc w:val="left"/>
              <w:rPr>
                <w:sz w:val="21"/>
              </w:rPr>
            </w:pPr>
            <w:r>
              <w:rPr>
                <w:spacing w:val="-3"/>
                <w:sz w:val="21"/>
              </w:rPr>
              <w:t>贫血、多尿及肾功能衰竭等临床表现；</w:t>
            </w:r>
          </w:p>
          <w:p>
            <w:pPr>
              <w:pStyle w:val="TableParagraph"/>
              <w:numPr>
                <w:ilvl w:val="0"/>
                <w:numId w:val="50"/>
              </w:numPr>
              <w:tabs>
                <w:tab w:pos="838" w:val="left" w:leader="none"/>
                <w:tab w:pos="839" w:val="left" w:leader="none"/>
              </w:tabs>
              <w:spacing w:line="240" w:lineRule="auto" w:before="37" w:after="0"/>
              <w:ind w:left="838" w:right="0" w:hanging="735"/>
              <w:jc w:val="left"/>
              <w:rPr>
                <w:sz w:val="21"/>
              </w:rPr>
            </w:pPr>
            <w:r>
              <w:rPr>
                <w:spacing w:val="-3"/>
                <w:sz w:val="21"/>
              </w:rPr>
              <w:t>诊断须由肾组织活检确定。</w:t>
            </w:r>
          </w:p>
          <w:p>
            <w:pPr>
              <w:pStyle w:val="TableParagraph"/>
              <w:ind w:left="103"/>
              <w:rPr>
                <w:rFonts w:ascii="黑体" w:eastAsia="黑体" w:hint="eastAsia"/>
                <w:sz w:val="21"/>
              </w:rPr>
            </w:pPr>
            <w:r>
              <w:rPr>
                <w:rFonts w:ascii="黑体" w:eastAsia="黑体" w:hint="eastAsia"/>
                <w:sz w:val="21"/>
              </w:rPr>
              <w:t>单独或良性肾囊肿则不在保障范围内。</w:t>
            </w:r>
          </w:p>
        </w:tc>
      </w:tr>
      <w:tr>
        <w:trPr>
          <w:trHeight w:val="1098" w:hRule="atLeast"/>
        </w:trPr>
        <w:tc>
          <w:tcPr>
            <w:tcW w:w="1515" w:type="dxa"/>
          </w:tcPr>
          <w:p>
            <w:pPr>
              <w:pStyle w:val="TableParagraph"/>
              <w:spacing w:line="273" w:lineRule="auto" w:before="49"/>
              <w:ind w:right="101"/>
              <w:jc w:val="both"/>
              <w:rPr>
                <w:b/>
                <w:sz w:val="21"/>
              </w:rPr>
            </w:pPr>
            <w:r>
              <w:rPr>
                <w:b/>
                <w:sz w:val="21"/>
              </w:rPr>
              <w:t>54.多处臂丛神 经根性撕脱</w:t>
            </w:r>
          </w:p>
        </w:tc>
        <w:tc>
          <w:tcPr>
            <w:tcW w:w="7833" w:type="dxa"/>
          </w:tcPr>
          <w:p>
            <w:pPr>
              <w:pStyle w:val="TableParagraph"/>
              <w:spacing w:line="273" w:lineRule="auto" w:before="49"/>
              <w:ind w:left="103" w:right="197"/>
              <w:jc w:val="both"/>
              <w:rPr>
                <w:sz w:val="21"/>
              </w:rPr>
            </w:pPr>
            <w:r>
              <w:rPr>
                <w:spacing w:val="-5"/>
                <w:sz w:val="21"/>
              </w:rPr>
              <w:t>由于疾病或意外导致至少两根臂丛神经根性撕脱，所造成的手臂感觉功能与运动功</w:t>
            </w:r>
            <w:r>
              <w:rPr>
                <w:spacing w:val="-7"/>
                <w:sz w:val="21"/>
              </w:rPr>
              <w:t>能完全永久性丧失。该病必须由本公司认可的医院的专科医生确诊，并且有完整的</w:t>
            </w:r>
            <w:r>
              <w:rPr>
                <w:spacing w:val="-5"/>
                <w:sz w:val="21"/>
              </w:rPr>
              <w:t>电生理检查结果证实。</w:t>
            </w:r>
          </w:p>
        </w:tc>
      </w:tr>
      <w:tr>
        <w:trPr>
          <w:trHeight w:val="1129" w:hRule="atLeast"/>
        </w:trPr>
        <w:tc>
          <w:tcPr>
            <w:tcW w:w="1515" w:type="dxa"/>
          </w:tcPr>
          <w:p>
            <w:pPr>
              <w:pStyle w:val="TableParagraph"/>
              <w:spacing w:line="273" w:lineRule="auto" w:before="74"/>
              <w:ind w:right="101"/>
              <w:rPr>
                <w:b/>
                <w:sz w:val="21"/>
              </w:rPr>
            </w:pPr>
            <w:r>
              <w:rPr>
                <w:b/>
                <w:sz w:val="21"/>
              </w:rPr>
              <w:t>55.埃博拉病毒感染</w:t>
            </w:r>
          </w:p>
        </w:tc>
        <w:tc>
          <w:tcPr>
            <w:tcW w:w="7833" w:type="dxa"/>
          </w:tcPr>
          <w:p>
            <w:pPr>
              <w:pStyle w:val="TableParagraph"/>
              <w:spacing w:before="74"/>
              <w:ind w:left="103"/>
              <w:rPr>
                <w:sz w:val="21"/>
              </w:rPr>
            </w:pPr>
            <w:r>
              <w:rPr>
                <w:sz w:val="21"/>
              </w:rPr>
              <w:t>指埃博拉病毒感染导致的烈性传染病，并须满足下列全部条件：</w:t>
            </w:r>
          </w:p>
          <w:p>
            <w:pPr>
              <w:pStyle w:val="TableParagraph"/>
              <w:numPr>
                <w:ilvl w:val="0"/>
                <w:numId w:val="51"/>
              </w:numPr>
              <w:tabs>
                <w:tab w:pos="838" w:val="left" w:leader="none"/>
                <w:tab w:pos="839" w:val="left" w:leader="none"/>
              </w:tabs>
              <w:spacing w:line="240" w:lineRule="auto" w:before="36" w:after="0"/>
              <w:ind w:left="838" w:right="0" w:hanging="735"/>
              <w:jc w:val="left"/>
              <w:rPr>
                <w:sz w:val="21"/>
              </w:rPr>
            </w:pPr>
            <w:r>
              <w:rPr>
                <w:spacing w:val="-3"/>
                <w:sz w:val="21"/>
              </w:rPr>
              <w:t>实验室检查证实埃博拉病毒的存在；</w:t>
            </w:r>
          </w:p>
          <w:p>
            <w:pPr>
              <w:pStyle w:val="TableParagraph"/>
              <w:numPr>
                <w:ilvl w:val="0"/>
                <w:numId w:val="51"/>
              </w:numPr>
              <w:tabs>
                <w:tab w:pos="840" w:val="left" w:leader="none"/>
                <w:tab w:pos="841" w:val="left" w:leader="none"/>
              </w:tabs>
              <w:spacing w:line="240" w:lineRule="auto" w:before="36" w:after="0"/>
              <w:ind w:left="840" w:right="0" w:hanging="737"/>
              <w:jc w:val="left"/>
              <w:rPr>
                <w:sz w:val="21"/>
              </w:rPr>
            </w:pPr>
            <w:r>
              <w:rPr>
                <w:spacing w:val="-2"/>
                <w:sz w:val="21"/>
              </w:rPr>
              <w:t>从发病开始有超过 </w:t>
            </w:r>
            <w:r>
              <w:rPr>
                <w:sz w:val="21"/>
              </w:rPr>
              <w:t>30</w:t>
            </w:r>
            <w:r>
              <w:rPr>
                <w:spacing w:val="-3"/>
                <w:sz w:val="21"/>
              </w:rPr>
              <w:t> 天的进行性感染症状。</w:t>
            </w:r>
          </w:p>
        </w:tc>
      </w:tr>
      <w:tr>
        <w:trPr>
          <w:trHeight w:val="2686" w:hRule="atLeast"/>
        </w:trPr>
        <w:tc>
          <w:tcPr>
            <w:tcW w:w="1515" w:type="dxa"/>
          </w:tcPr>
          <w:p>
            <w:pPr>
              <w:pStyle w:val="TableParagraph"/>
              <w:spacing w:line="273" w:lineRule="auto" w:before="80"/>
              <w:ind w:right="101"/>
              <w:rPr>
                <w:b/>
                <w:sz w:val="21"/>
              </w:rPr>
            </w:pPr>
            <w:r>
              <w:rPr>
                <w:b/>
                <w:sz w:val="21"/>
              </w:rPr>
              <w:t>56.失去一肢及一眼</w:t>
            </w:r>
          </w:p>
        </w:tc>
        <w:tc>
          <w:tcPr>
            <w:tcW w:w="7833" w:type="dxa"/>
          </w:tcPr>
          <w:p>
            <w:pPr>
              <w:pStyle w:val="TableParagraph"/>
              <w:spacing w:line="273" w:lineRule="auto" w:before="80"/>
              <w:ind w:left="103" w:right="149"/>
              <w:rPr>
                <w:sz w:val="21"/>
              </w:rPr>
            </w:pPr>
            <w:r>
              <w:rPr>
                <w:sz w:val="21"/>
              </w:rPr>
              <w:t>因疾病或意外伤害导致单眼视力丧失及任何一肢自腕关节或踝关节近端（靠近躯干端）以上完全性断离。</w:t>
            </w:r>
          </w:p>
          <w:p>
            <w:pPr>
              <w:pStyle w:val="TableParagraph"/>
              <w:spacing w:before="7"/>
              <w:ind w:left="103"/>
              <w:rPr>
                <w:sz w:val="21"/>
              </w:rPr>
            </w:pPr>
            <w:r>
              <w:rPr>
                <w:sz w:val="21"/>
              </w:rPr>
              <w:t>单眼视力丧失指单眼视力永久不可逆性丧失，患眼须满足下列至少一项条件：</w:t>
            </w:r>
          </w:p>
          <w:p>
            <w:pPr>
              <w:pStyle w:val="TableParagraph"/>
              <w:numPr>
                <w:ilvl w:val="0"/>
                <w:numId w:val="52"/>
              </w:numPr>
              <w:tabs>
                <w:tab w:pos="784" w:val="left" w:leader="none"/>
              </w:tabs>
              <w:spacing w:line="240" w:lineRule="auto" w:before="36" w:after="0"/>
              <w:ind w:left="783" w:right="0" w:hanging="680"/>
              <w:jc w:val="left"/>
              <w:rPr>
                <w:sz w:val="21"/>
              </w:rPr>
            </w:pPr>
            <w:r>
              <w:rPr>
                <w:spacing w:val="-3"/>
                <w:sz w:val="21"/>
              </w:rPr>
              <w:t>眼球缺失或摘除；</w:t>
            </w:r>
          </w:p>
          <w:p>
            <w:pPr>
              <w:pStyle w:val="TableParagraph"/>
              <w:numPr>
                <w:ilvl w:val="0"/>
                <w:numId w:val="52"/>
              </w:numPr>
              <w:tabs>
                <w:tab w:pos="784" w:val="left" w:leader="none"/>
              </w:tabs>
              <w:spacing w:line="273" w:lineRule="auto" w:before="36" w:after="0"/>
              <w:ind w:left="783" w:right="271" w:hanging="680"/>
              <w:jc w:val="left"/>
              <w:rPr>
                <w:sz w:val="21"/>
              </w:rPr>
            </w:pPr>
            <w:r>
              <w:rPr>
                <w:spacing w:val="-6"/>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numPr>
                <w:ilvl w:val="0"/>
                <w:numId w:val="52"/>
              </w:numPr>
              <w:tabs>
                <w:tab w:pos="784" w:val="left" w:leader="none"/>
              </w:tabs>
              <w:spacing w:line="240" w:lineRule="auto" w:before="7" w:after="0"/>
              <w:ind w:left="783" w:right="0" w:hanging="680"/>
              <w:jc w:val="left"/>
              <w:rPr>
                <w:sz w:val="21"/>
              </w:rPr>
            </w:pPr>
            <w:r>
              <w:rPr>
                <w:spacing w:val="-9"/>
                <w:sz w:val="21"/>
              </w:rPr>
              <w:t>视野半径小于 </w:t>
            </w:r>
            <w:r>
              <w:rPr>
                <w:sz w:val="21"/>
              </w:rPr>
              <w:t>5</w:t>
            </w:r>
            <w:r>
              <w:rPr>
                <w:spacing w:val="-1"/>
                <w:sz w:val="21"/>
              </w:rPr>
              <w:t> 度。</w:t>
            </w:r>
          </w:p>
          <w:p>
            <w:pPr>
              <w:pStyle w:val="TableParagraph"/>
              <w:ind w:left="103"/>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3784" w:hRule="atLeast"/>
        </w:trPr>
        <w:tc>
          <w:tcPr>
            <w:tcW w:w="1515" w:type="dxa"/>
          </w:tcPr>
          <w:p>
            <w:pPr>
              <w:pStyle w:val="TableParagraph"/>
              <w:spacing w:line="273" w:lineRule="auto" w:before="70"/>
              <w:ind w:right="101"/>
              <w:jc w:val="both"/>
              <w:rPr>
                <w:b/>
                <w:sz w:val="21"/>
              </w:rPr>
            </w:pPr>
            <w:r>
              <w:rPr>
                <w:b/>
                <w:sz w:val="21"/>
              </w:rPr>
              <w:t>57.特发性慢性 肾上腺皮质功能减退</w:t>
            </w:r>
          </w:p>
        </w:tc>
        <w:tc>
          <w:tcPr>
            <w:tcW w:w="7833" w:type="dxa"/>
          </w:tcPr>
          <w:p>
            <w:pPr>
              <w:pStyle w:val="TableParagraph"/>
              <w:spacing w:line="273" w:lineRule="auto" w:before="70"/>
              <w:ind w:left="103" w:right="143"/>
              <w:rPr>
                <w:sz w:val="21"/>
              </w:rPr>
            </w:pPr>
            <w:r>
              <w:rPr>
                <w:sz w:val="21"/>
              </w:rPr>
              <w:t>指自身免疫性肾上腺炎（既往称：特发性肾上腺皮质萎缩）导致肾上腺萎缩和慢性肾上腺皮质功能减退。须满足下列全部条件：</w:t>
            </w:r>
          </w:p>
          <w:p>
            <w:pPr>
              <w:pStyle w:val="TableParagraph"/>
              <w:numPr>
                <w:ilvl w:val="0"/>
                <w:numId w:val="53"/>
              </w:numPr>
              <w:tabs>
                <w:tab w:pos="784" w:val="left" w:leader="none"/>
              </w:tabs>
              <w:spacing w:line="240" w:lineRule="auto" w:before="7" w:after="0"/>
              <w:ind w:left="783" w:right="0" w:hanging="680"/>
              <w:jc w:val="left"/>
              <w:rPr>
                <w:sz w:val="21"/>
              </w:rPr>
            </w:pPr>
            <w:r>
              <w:rPr>
                <w:spacing w:val="-3"/>
                <w:sz w:val="21"/>
              </w:rPr>
              <w:t>明确诊断，符合所有以下诊断标准；</w:t>
            </w:r>
          </w:p>
          <w:p>
            <w:pPr>
              <w:pStyle w:val="TableParagraph"/>
              <w:spacing w:before="30"/>
              <w:ind w:left="783"/>
              <w:rPr>
                <w:sz w:val="21"/>
              </w:rPr>
            </w:pPr>
            <w:r>
              <w:rPr>
                <w:rFonts w:ascii="宋体" w:hAnsi="宋体" w:eastAsia="宋体" w:hint="eastAsia"/>
                <w:sz w:val="22"/>
              </w:rPr>
              <w:t>① </w:t>
            </w:r>
            <w:r>
              <w:rPr>
                <w:sz w:val="21"/>
              </w:rPr>
              <w:t>血浆促肾上腺皮质激素(ACTH)水平测定大于 100pg/ml；</w:t>
            </w:r>
          </w:p>
          <w:p>
            <w:pPr>
              <w:pStyle w:val="TableParagraph"/>
              <w:spacing w:line="268" w:lineRule="auto" w:before="24"/>
              <w:ind w:left="1143" w:right="166" w:hanging="360"/>
              <w:rPr>
                <w:sz w:val="21"/>
              </w:rPr>
            </w:pPr>
            <w:r>
              <w:rPr>
                <w:rFonts w:ascii="宋体" w:hAnsi="宋体" w:eastAsia="宋体" w:hint="eastAsia"/>
                <w:sz w:val="22"/>
              </w:rPr>
              <w:t>② </w:t>
            </w:r>
            <w:r>
              <w:rPr>
                <w:sz w:val="21"/>
              </w:rPr>
              <w:t>血浆和尿游离皮质醇及尿 17 羟皮质类固醇、17 酮皮质类固醇测定、血浆肾素活性、血管紧张素 II 和醛固酮测定，显示为原发性肾上腺皮质功能减退症；</w:t>
            </w:r>
          </w:p>
          <w:p>
            <w:pPr>
              <w:pStyle w:val="TableParagraph"/>
              <w:spacing w:line="266" w:lineRule="auto" w:before="5"/>
              <w:ind w:left="1143" w:right="382" w:hanging="360"/>
              <w:rPr>
                <w:sz w:val="21"/>
              </w:rPr>
            </w:pPr>
            <w:r>
              <w:rPr>
                <w:rFonts w:ascii="宋体" w:hAnsi="宋体" w:eastAsia="宋体" w:hint="eastAsia"/>
                <w:sz w:val="22"/>
              </w:rPr>
              <w:t>③ </w:t>
            </w:r>
            <w:r>
              <w:rPr>
                <w:sz w:val="21"/>
              </w:rPr>
              <w:t>促肾上腺皮质激素(ACTH)刺激试验显示为原发性肾上腺皮质功能减退症。</w:t>
            </w:r>
          </w:p>
          <w:p>
            <w:pPr>
              <w:pStyle w:val="TableParagraph"/>
              <w:numPr>
                <w:ilvl w:val="0"/>
                <w:numId w:val="53"/>
              </w:numPr>
              <w:tabs>
                <w:tab w:pos="784" w:val="left" w:leader="none"/>
              </w:tabs>
              <w:spacing w:line="240" w:lineRule="auto" w:before="14" w:after="0"/>
              <w:ind w:left="783" w:right="0" w:hanging="680"/>
              <w:jc w:val="left"/>
              <w:rPr>
                <w:sz w:val="21"/>
              </w:rPr>
            </w:pPr>
            <w:r>
              <w:rPr>
                <w:spacing w:val="-3"/>
                <w:sz w:val="21"/>
              </w:rPr>
              <w:t>已经采用皮质类固醇替代治疗 </w:t>
            </w:r>
            <w:r>
              <w:rPr>
                <w:sz w:val="21"/>
              </w:rPr>
              <w:t>180 天以上。</w:t>
            </w:r>
          </w:p>
          <w:p>
            <w:pPr>
              <w:pStyle w:val="TableParagraph"/>
              <w:spacing w:line="310" w:lineRule="atLeast" w:before="2"/>
              <w:ind w:left="103" w:right="143"/>
              <w:rPr>
                <w:rFonts w:ascii="黑体" w:eastAsia="黑体" w:hint="eastAsia"/>
                <w:sz w:val="21"/>
              </w:rPr>
            </w:pPr>
            <w:r>
              <w:rPr>
                <w:rFonts w:ascii="黑体" w:eastAsia="黑体" w:hint="eastAsia"/>
                <w:sz w:val="21"/>
              </w:rPr>
              <w:t>肾上腺结核、HIV 感染或艾滋病、感染、肿瘤所致的原发性肾上腺皮质功能减退和继发性肾上腺皮质功能减退不在保障范围内。</w:t>
            </w:r>
          </w:p>
        </w:tc>
      </w:tr>
    </w:tbl>
    <w:p>
      <w:pPr>
        <w:spacing w:after="0" w:line="310" w:lineRule="atLeast"/>
        <w:rPr>
          <w:rFonts w:ascii="黑体" w:eastAsia="黑体" w:hint="eastAsia"/>
          <w:sz w:val="21"/>
        </w:rPr>
        <w:sectPr>
          <w:pgSz w:w="11910" w:h="16840"/>
          <w:pgMar w:header="0" w:footer="377" w:top="1340" w:bottom="560" w:left="152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18"/>
      </w:tblGrid>
      <w:tr>
        <w:trPr>
          <w:trHeight w:val="1878" w:hRule="atLeast"/>
        </w:trPr>
        <w:tc>
          <w:tcPr>
            <w:tcW w:w="1515" w:type="dxa"/>
          </w:tcPr>
          <w:p>
            <w:pPr>
              <w:pStyle w:val="TableParagraph"/>
              <w:spacing w:line="205" w:lineRule="exact" w:before="0"/>
              <w:rPr>
                <w:b/>
                <w:sz w:val="21"/>
              </w:rPr>
            </w:pPr>
            <w:r>
              <w:rPr>
                <w:b/>
                <w:sz w:val="21"/>
              </w:rPr>
              <w:t>58.严重传染</w:t>
            </w:r>
          </w:p>
          <w:p>
            <w:pPr>
              <w:pStyle w:val="TableParagraph"/>
              <w:rPr>
                <w:b/>
                <w:sz w:val="21"/>
              </w:rPr>
            </w:pPr>
            <w:r>
              <w:rPr>
                <w:b/>
                <w:sz w:val="21"/>
              </w:rPr>
              <w:t>性心内膜炎</w:t>
            </w:r>
          </w:p>
        </w:tc>
        <w:tc>
          <w:tcPr>
            <w:tcW w:w="7918" w:type="dxa"/>
          </w:tcPr>
          <w:p>
            <w:pPr>
              <w:pStyle w:val="TableParagraph"/>
              <w:spacing w:line="205" w:lineRule="exact" w:before="0"/>
              <w:ind w:left="103"/>
              <w:rPr>
                <w:sz w:val="21"/>
              </w:rPr>
            </w:pPr>
            <w:r>
              <w:rPr>
                <w:sz w:val="21"/>
              </w:rPr>
              <w:t>是指由感染性微生物引致的心脏内膜炎症，并须符合下列所有准则：</w:t>
            </w:r>
          </w:p>
          <w:p>
            <w:pPr>
              <w:pStyle w:val="TableParagraph"/>
              <w:numPr>
                <w:ilvl w:val="0"/>
                <w:numId w:val="54"/>
              </w:numPr>
              <w:tabs>
                <w:tab w:pos="784" w:val="left" w:leader="none"/>
              </w:tabs>
              <w:spacing w:line="240" w:lineRule="auto" w:before="37" w:after="0"/>
              <w:ind w:left="783" w:right="0" w:hanging="680"/>
              <w:jc w:val="left"/>
              <w:rPr>
                <w:sz w:val="21"/>
              </w:rPr>
            </w:pPr>
            <w:r>
              <w:rPr>
                <w:spacing w:val="-3"/>
                <w:sz w:val="21"/>
              </w:rPr>
              <w:t>血液培植结果呈阳性反应，证明感染性微生物的存在；</w:t>
            </w:r>
          </w:p>
          <w:p>
            <w:pPr>
              <w:pStyle w:val="TableParagraph"/>
              <w:numPr>
                <w:ilvl w:val="0"/>
                <w:numId w:val="54"/>
              </w:numPr>
              <w:tabs>
                <w:tab w:pos="784" w:val="left" w:leader="none"/>
              </w:tabs>
              <w:spacing w:line="266" w:lineRule="auto" w:before="37" w:after="0"/>
              <w:ind w:left="783" w:right="282" w:hanging="680"/>
              <w:jc w:val="both"/>
              <w:rPr>
                <w:sz w:val="21"/>
              </w:rPr>
            </w:pPr>
            <w:r>
              <w:rPr>
                <w:spacing w:val="-3"/>
                <w:sz w:val="21"/>
              </w:rPr>
              <w:t>出现最少中度之心脏瓣膜功能</w:t>
            </w:r>
            <w:r>
              <w:rPr>
                <w:rFonts w:ascii="Arial" w:eastAsia="Arial"/>
                <w:spacing w:val="-3"/>
                <w:w w:val="115"/>
                <w:sz w:val="21"/>
              </w:rPr>
              <w:t>不</w:t>
            </w:r>
            <w:r>
              <w:rPr>
                <w:spacing w:val="-44"/>
                <w:sz w:val="21"/>
              </w:rPr>
              <w:t>全</w:t>
            </w:r>
            <w:r>
              <w:rPr>
                <w:spacing w:val="-3"/>
                <w:sz w:val="21"/>
              </w:rPr>
              <w:t>（即返流部份达百分之二十或以上</w:t>
            </w:r>
            <w:r>
              <w:rPr>
                <w:spacing w:val="-46"/>
                <w:sz w:val="21"/>
              </w:rPr>
              <w:t>）</w:t>
            </w:r>
            <w:r>
              <w:rPr>
                <w:spacing w:val="-34"/>
                <w:sz w:val="21"/>
              </w:rPr>
              <w:t>或中</w:t>
            </w:r>
            <w:r>
              <w:rPr>
                <w:spacing w:val="-3"/>
                <w:w w:val="100"/>
                <w:sz w:val="21"/>
              </w:rPr>
              <w:t>度之心脏瓣膜狭窄（即心脏瓣面积为正常值的百分之三十或以下</w:t>
            </w:r>
            <w:r>
              <w:rPr>
                <w:spacing w:val="-108"/>
                <w:w w:val="100"/>
                <w:sz w:val="21"/>
              </w:rPr>
              <w:t>）</w:t>
            </w:r>
            <w:r>
              <w:rPr>
                <w:spacing w:val="-2"/>
                <w:w w:val="100"/>
                <w:sz w:val="21"/>
              </w:rPr>
              <w:t>，导致传</w:t>
            </w:r>
            <w:r>
              <w:rPr>
                <w:spacing w:val="-3"/>
                <w:sz w:val="21"/>
              </w:rPr>
              <w:t>染性心内膜炎；</w:t>
            </w:r>
          </w:p>
          <w:p>
            <w:pPr>
              <w:pStyle w:val="TableParagraph"/>
              <w:numPr>
                <w:ilvl w:val="0"/>
                <w:numId w:val="54"/>
              </w:numPr>
              <w:tabs>
                <w:tab w:pos="784" w:val="left" w:leader="none"/>
              </w:tabs>
              <w:spacing w:line="240" w:lineRule="auto" w:before="14" w:after="0"/>
              <w:ind w:left="783" w:right="0" w:hanging="680"/>
              <w:jc w:val="left"/>
              <w:rPr>
                <w:sz w:val="21"/>
              </w:rPr>
            </w:pPr>
            <w:r>
              <w:rPr>
                <w:spacing w:val="-3"/>
                <w:sz w:val="21"/>
              </w:rPr>
              <w:t>传染性心内膜炎的诊断及瓣膜受损的严重程度必须由心脏病专科医生确定。</w:t>
            </w:r>
          </w:p>
        </w:tc>
      </w:tr>
      <w:tr>
        <w:trPr>
          <w:trHeight w:val="784" w:hRule="atLeast"/>
        </w:trPr>
        <w:tc>
          <w:tcPr>
            <w:tcW w:w="1515" w:type="dxa"/>
          </w:tcPr>
          <w:p>
            <w:pPr>
              <w:pStyle w:val="TableParagraph"/>
              <w:spacing w:line="273" w:lineRule="auto"/>
              <w:ind w:right="101"/>
              <w:rPr>
                <w:b/>
                <w:sz w:val="21"/>
              </w:rPr>
            </w:pPr>
            <w:r>
              <w:rPr>
                <w:b/>
                <w:sz w:val="21"/>
              </w:rPr>
              <w:t>59.嗜铬细胞瘤</w:t>
            </w:r>
          </w:p>
        </w:tc>
        <w:tc>
          <w:tcPr>
            <w:tcW w:w="7918" w:type="dxa"/>
          </w:tcPr>
          <w:p>
            <w:pPr>
              <w:pStyle w:val="TableParagraph"/>
              <w:spacing w:line="273" w:lineRule="auto"/>
              <w:ind w:left="103" w:right="242"/>
              <w:rPr>
                <w:sz w:val="21"/>
              </w:rPr>
            </w:pPr>
            <w:r>
              <w:rPr>
                <w:sz w:val="21"/>
              </w:rPr>
              <w:t>指肾上腺或嗜铬外组织出现神经内分泌肿瘤，并分泌过多的儿茶酚胺类，需要确实进</w:t>
            </w:r>
            <w:r>
              <w:rPr>
                <w:rFonts w:ascii="Arial" w:eastAsia="Arial"/>
                <w:w w:val="115"/>
                <w:sz w:val="21"/>
              </w:rPr>
              <w:t>行</w:t>
            </w:r>
            <w:r>
              <w:rPr>
                <w:sz w:val="21"/>
              </w:rPr>
              <w:t>手术以切除肿瘤。</w:t>
            </w:r>
          </w:p>
        </w:tc>
      </w:tr>
      <w:tr>
        <w:trPr>
          <w:trHeight w:val="2678" w:hRule="atLeast"/>
        </w:trPr>
        <w:tc>
          <w:tcPr>
            <w:tcW w:w="1515" w:type="dxa"/>
          </w:tcPr>
          <w:p>
            <w:pPr>
              <w:pStyle w:val="TableParagraph"/>
              <w:spacing w:line="273" w:lineRule="auto" w:before="85"/>
              <w:ind w:right="101"/>
              <w:rPr>
                <w:b/>
                <w:sz w:val="21"/>
              </w:rPr>
            </w:pPr>
            <w:r>
              <w:rPr>
                <w:b/>
                <w:sz w:val="21"/>
              </w:rPr>
              <w:t>60.严重自身免疫性肝炎</w:t>
            </w:r>
          </w:p>
        </w:tc>
        <w:tc>
          <w:tcPr>
            <w:tcW w:w="7918" w:type="dxa"/>
          </w:tcPr>
          <w:p>
            <w:pPr>
              <w:pStyle w:val="TableParagraph"/>
              <w:spacing w:line="273" w:lineRule="auto" w:before="85"/>
              <w:ind w:left="103" w:right="282"/>
              <w:jc w:val="both"/>
              <w:rPr>
                <w:sz w:val="21"/>
              </w:rPr>
            </w:pPr>
            <w:r>
              <w:rPr>
                <w:spacing w:val="-5"/>
                <w:sz w:val="21"/>
              </w:rPr>
              <w:t>自身免疫性肝炎是一种原因不明的慢性肝脏的坏死性炎性疾病，机体免疫机制被破</w:t>
            </w:r>
            <w:r>
              <w:rPr>
                <w:spacing w:val="-7"/>
                <w:sz w:val="21"/>
              </w:rPr>
              <w:t>坏，产生针对肝脏自身抗原的抗体导致自身免疫反应，从而破坏肝细胞造成肝脏炎</w:t>
            </w:r>
            <w:r>
              <w:rPr>
                <w:spacing w:val="-5"/>
                <w:sz w:val="21"/>
              </w:rPr>
              <w:t>症坏死。必须满足下列全部条件：</w:t>
            </w:r>
          </w:p>
          <w:p>
            <w:pPr>
              <w:pStyle w:val="TableParagraph"/>
              <w:numPr>
                <w:ilvl w:val="0"/>
                <w:numId w:val="55"/>
              </w:numPr>
              <w:tabs>
                <w:tab w:pos="784" w:val="left" w:leader="none"/>
              </w:tabs>
              <w:spacing w:line="240" w:lineRule="auto" w:before="7" w:after="0"/>
              <w:ind w:left="783" w:right="0" w:hanging="680"/>
              <w:jc w:val="left"/>
              <w:rPr>
                <w:sz w:val="21"/>
              </w:rPr>
            </w:pPr>
            <w:r>
              <w:rPr>
                <w:sz w:val="21"/>
              </w:rPr>
              <w:t>高γ</w:t>
            </w:r>
            <w:r>
              <w:rPr>
                <w:spacing w:val="-3"/>
                <w:sz w:val="21"/>
              </w:rPr>
              <w:t>球蛋白血症；</w:t>
            </w:r>
          </w:p>
          <w:p>
            <w:pPr>
              <w:pStyle w:val="TableParagraph"/>
              <w:numPr>
                <w:ilvl w:val="0"/>
                <w:numId w:val="55"/>
              </w:numPr>
              <w:tabs>
                <w:tab w:pos="784" w:val="left" w:leader="none"/>
              </w:tabs>
              <w:spacing w:line="273" w:lineRule="auto" w:before="36" w:after="0"/>
              <w:ind w:left="783" w:right="284" w:hanging="680"/>
              <w:jc w:val="left"/>
              <w:rPr>
                <w:sz w:val="21"/>
              </w:rPr>
            </w:pPr>
            <w:r>
              <w:rPr>
                <w:spacing w:val="-5"/>
                <w:sz w:val="21"/>
              </w:rPr>
              <w:t>血液中存在高水平的自身免疫抗体，如 </w:t>
            </w:r>
            <w:r>
              <w:rPr>
                <w:spacing w:val="-4"/>
                <w:sz w:val="21"/>
              </w:rPr>
              <w:t>ANA（</w:t>
            </w:r>
            <w:r>
              <w:rPr>
                <w:spacing w:val="-3"/>
                <w:sz w:val="21"/>
              </w:rPr>
              <w:t>抗核抗体</w:t>
            </w:r>
            <w:r>
              <w:rPr>
                <w:spacing w:val="-108"/>
                <w:sz w:val="21"/>
              </w:rPr>
              <w:t>）</w:t>
            </w:r>
            <w:r>
              <w:rPr>
                <w:spacing w:val="-7"/>
                <w:sz w:val="21"/>
              </w:rPr>
              <w:t>、</w:t>
            </w:r>
            <w:r>
              <w:rPr>
                <w:spacing w:val="-4"/>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numPr>
                <w:ilvl w:val="0"/>
                <w:numId w:val="55"/>
              </w:numPr>
              <w:tabs>
                <w:tab w:pos="784" w:val="left" w:leader="none"/>
              </w:tabs>
              <w:spacing w:line="240" w:lineRule="auto" w:before="7" w:after="0"/>
              <w:ind w:left="783" w:right="0" w:hanging="680"/>
              <w:jc w:val="both"/>
              <w:rPr>
                <w:sz w:val="21"/>
              </w:rPr>
            </w:pPr>
            <w:r>
              <w:rPr>
                <w:spacing w:val="-3"/>
                <w:sz w:val="21"/>
              </w:rPr>
              <w:t>肝脏活检证实免疫性肝炎；</w:t>
            </w:r>
          </w:p>
          <w:p>
            <w:pPr>
              <w:pStyle w:val="TableParagraph"/>
              <w:numPr>
                <w:ilvl w:val="0"/>
                <w:numId w:val="55"/>
              </w:numPr>
              <w:tabs>
                <w:tab w:pos="784" w:val="left" w:leader="none"/>
              </w:tabs>
              <w:spacing w:line="240" w:lineRule="auto" w:before="37" w:after="0"/>
              <w:ind w:left="783" w:right="0" w:hanging="680"/>
              <w:jc w:val="both"/>
              <w:rPr>
                <w:sz w:val="21"/>
              </w:rPr>
            </w:pPr>
            <w:r>
              <w:rPr>
                <w:spacing w:val="-3"/>
                <w:sz w:val="21"/>
              </w:rPr>
              <w:t>临床已经出现腹水、食道静脉曲张和脾肿大等肝硬化表现。</w:t>
            </w:r>
          </w:p>
        </w:tc>
      </w:tr>
      <w:tr>
        <w:trPr>
          <w:trHeight w:val="3570" w:hRule="atLeast"/>
        </w:trPr>
        <w:tc>
          <w:tcPr>
            <w:tcW w:w="1515" w:type="dxa"/>
          </w:tcPr>
          <w:p>
            <w:pPr>
              <w:pStyle w:val="TableParagraph"/>
              <w:spacing w:line="273" w:lineRule="auto" w:before="58"/>
              <w:ind w:right="101"/>
              <w:jc w:val="both"/>
              <w:rPr>
                <w:b/>
                <w:sz w:val="21"/>
              </w:rPr>
            </w:pPr>
            <w:r>
              <w:rPr>
                <w:b/>
                <w:sz w:val="21"/>
              </w:rPr>
              <w:t>61.疾病或外伤 所致智力障碍</w:t>
            </w:r>
          </w:p>
        </w:tc>
        <w:tc>
          <w:tcPr>
            <w:tcW w:w="7918" w:type="dxa"/>
          </w:tcPr>
          <w:p>
            <w:pPr>
              <w:pStyle w:val="TableParagraph"/>
              <w:spacing w:line="273" w:lineRule="auto" w:before="58"/>
              <w:ind w:left="103" w:right="282"/>
              <w:rPr>
                <w:sz w:val="21"/>
              </w:rPr>
            </w:pPr>
            <w:r>
              <w:rPr>
                <w:spacing w:val="-3"/>
                <w:sz w:val="21"/>
              </w:rPr>
              <w:t>因严重头部创伤或疾病造成被保险人智力低常</w:t>
            </w:r>
            <w:r>
              <w:rPr>
                <w:sz w:val="21"/>
              </w:rPr>
              <w:t>（</w:t>
            </w:r>
            <w:r>
              <w:rPr>
                <w:spacing w:val="-3"/>
                <w:sz w:val="21"/>
              </w:rPr>
              <w:t>智力低于常态</w:t>
            </w:r>
            <w:r>
              <w:rPr>
                <w:spacing w:val="-106"/>
                <w:sz w:val="21"/>
              </w:rPr>
              <w:t>）</w:t>
            </w:r>
            <w:r>
              <w:rPr>
                <w:spacing w:val="-3"/>
                <w:sz w:val="21"/>
              </w:rPr>
              <w:t>。智力低常分为轻</w:t>
            </w:r>
            <w:r>
              <w:rPr>
                <w:spacing w:val="-3"/>
                <w:w w:val="100"/>
                <w:sz w:val="21"/>
              </w:rPr>
              <w:t>度（IQ</w:t>
            </w:r>
            <w:r>
              <w:rPr>
                <w:w w:val="100"/>
                <w:sz w:val="21"/>
              </w:rPr>
              <w:t>50-</w:t>
            </w:r>
            <w:r>
              <w:rPr>
                <w:spacing w:val="-3"/>
                <w:w w:val="100"/>
                <w:sz w:val="21"/>
              </w:rPr>
              <w:t>7</w:t>
            </w:r>
            <w:r>
              <w:rPr>
                <w:w w:val="100"/>
                <w:sz w:val="21"/>
              </w:rPr>
              <w:t>0</w:t>
            </w:r>
            <w:r>
              <w:rPr>
                <w:spacing w:val="-106"/>
                <w:w w:val="100"/>
                <w:sz w:val="21"/>
              </w:rPr>
              <w:t>）</w:t>
            </w:r>
            <w:r>
              <w:rPr>
                <w:spacing w:val="-3"/>
                <w:w w:val="100"/>
                <w:sz w:val="21"/>
              </w:rPr>
              <w:t>、中度</w:t>
            </w:r>
            <w:r>
              <w:rPr>
                <w:spacing w:val="-1"/>
                <w:w w:val="100"/>
                <w:sz w:val="21"/>
              </w:rPr>
              <w:t>（</w:t>
            </w:r>
            <w:r>
              <w:rPr>
                <w:w w:val="100"/>
                <w:sz w:val="21"/>
              </w:rPr>
              <w:t>I</w:t>
            </w:r>
            <w:r>
              <w:rPr>
                <w:spacing w:val="-3"/>
                <w:w w:val="100"/>
                <w:sz w:val="21"/>
              </w:rPr>
              <w:t>Q3</w:t>
            </w:r>
            <w:r>
              <w:rPr>
                <w:spacing w:val="-1"/>
                <w:w w:val="100"/>
                <w:sz w:val="21"/>
              </w:rPr>
              <w:t>5</w:t>
            </w:r>
            <w:r>
              <w:rPr>
                <w:w w:val="100"/>
                <w:sz w:val="21"/>
              </w:rPr>
              <w:t>-50</w:t>
            </w:r>
            <w:r>
              <w:rPr>
                <w:spacing w:val="-108"/>
                <w:w w:val="100"/>
                <w:sz w:val="21"/>
              </w:rPr>
              <w:t>）</w:t>
            </w:r>
            <w:r>
              <w:rPr>
                <w:spacing w:val="-2"/>
                <w:w w:val="100"/>
                <w:sz w:val="21"/>
              </w:rPr>
              <w:t>、重度</w:t>
            </w:r>
            <w:r>
              <w:rPr>
                <w:w w:val="100"/>
                <w:sz w:val="21"/>
              </w:rPr>
              <w:t>（</w:t>
            </w:r>
            <w:r>
              <w:rPr>
                <w:spacing w:val="-3"/>
                <w:w w:val="100"/>
                <w:sz w:val="21"/>
              </w:rPr>
              <w:t>I</w:t>
            </w:r>
            <w:r>
              <w:rPr>
                <w:w w:val="100"/>
                <w:sz w:val="21"/>
              </w:rPr>
              <w:t>Q2</w:t>
            </w:r>
            <w:r>
              <w:rPr>
                <w:spacing w:val="-1"/>
                <w:w w:val="100"/>
                <w:sz w:val="21"/>
              </w:rPr>
              <w:t>0</w:t>
            </w:r>
            <w:r>
              <w:rPr>
                <w:spacing w:val="-3"/>
                <w:w w:val="100"/>
                <w:sz w:val="21"/>
              </w:rPr>
              <w:t>-</w:t>
            </w:r>
            <w:r>
              <w:rPr>
                <w:w w:val="100"/>
                <w:sz w:val="21"/>
              </w:rPr>
              <w:t>35</w:t>
            </w:r>
            <w:r>
              <w:rPr>
                <w:spacing w:val="-3"/>
                <w:w w:val="100"/>
                <w:sz w:val="21"/>
              </w:rPr>
              <w:t>）</w:t>
            </w:r>
            <w:r>
              <w:rPr>
                <w:spacing w:val="-1"/>
                <w:w w:val="100"/>
                <w:sz w:val="21"/>
              </w:rPr>
              <w:t>和极重度</w:t>
            </w:r>
            <w:r>
              <w:rPr>
                <w:spacing w:val="-2"/>
                <w:w w:val="100"/>
                <w:sz w:val="21"/>
              </w:rPr>
              <w:t>（</w:t>
            </w:r>
            <w:r>
              <w:rPr>
                <w:w w:val="100"/>
                <w:sz w:val="21"/>
              </w:rPr>
              <w:t>IQ&lt;</w:t>
            </w:r>
            <w:r>
              <w:rPr>
                <w:spacing w:val="-3"/>
                <w:w w:val="100"/>
                <w:sz w:val="21"/>
              </w:rPr>
              <w:t>2</w:t>
            </w:r>
            <w:r>
              <w:rPr>
                <w:spacing w:val="-1"/>
                <w:w w:val="100"/>
                <w:sz w:val="21"/>
              </w:rPr>
              <w:t>0</w:t>
            </w:r>
            <w:r>
              <w:rPr>
                <w:spacing w:val="-106"/>
                <w:w w:val="100"/>
                <w:sz w:val="21"/>
              </w:rPr>
              <w:t>）</w:t>
            </w:r>
            <w:r>
              <w:rPr>
                <w:spacing w:val="-3"/>
                <w:w w:val="100"/>
                <w:sz w:val="21"/>
              </w:rPr>
              <w:t>。智商的检</w:t>
            </w:r>
            <w:r>
              <w:rPr>
                <w:spacing w:val="-5"/>
                <w:sz w:val="21"/>
              </w:rPr>
              <w:t>测必须由本公司认可的专职心理测验工作者进行，心理测验工作者必须持有由心理</w:t>
            </w:r>
            <w:r>
              <w:rPr>
                <w:spacing w:val="-7"/>
                <w:sz w:val="21"/>
              </w:rPr>
              <w:t>测量专业委员会资格认定书。根据被保险人年龄采用对应的智力量表如韦克斯勒智</w:t>
            </w:r>
            <w:r>
              <w:rPr>
                <w:spacing w:val="-6"/>
                <w:sz w:val="21"/>
              </w:rPr>
              <w:t>力量表</w:t>
            </w:r>
            <w:r>
              <w:rPr>
                <w:sz w:val="21"/>
              </w:rPr>
              <w:t>（</w:t>
            </w:r>
            <w:r>
              <w:rPr>
                <w:spacing w:val="-3"/>
                <w:sz w:val="21"/>
              </w:rPr>
              <w:t>儿童智力量表或成人智力量表</w:t>
            </w:r>
            <w:r>
              <w:rPr>
                <w:spacing w:val="-108"/>
                <w:sz w:val="21"/>
              </w:rPr>
              <w:t>）</w:t>
            </w:r>
            <w:r>
              <w:rPr>
                <w:spacing w:val="-3"/>
                <w:sz w:val="21"/>
              </w:rPr>
              <w:t>。必须满足下列全部条件：</w:t>
            </w:r>
          </w:p>
          <w:p>
            <w:pPr>
              <w:pStyle w:val="TableParagraph"/>
              <w:spacing w:line="273" w:lineRule="auto" w:before="7"/>
              <w:ind w:left="103" w:right="352"/>
              <w:rPr>
                <w:sz w:val="21"/>
              </w:rPr>
            </w:pPr>
            <w:r>
              <w:rPr>
                <w:sz w:val="21"/>
              </w:rPr>
              <w:t>（1）造成被保险人智力低常（智力低于常态）的严重头部创伤或疾病（以入院日期为准）发生在被保险人 6 周岁以后；</w:t>
            </w:r>
          </w:p>
          <w:p>
            <w:pPr>
              <w:pStyle w:val="TableParagraph"/>
              <w:spacing w:before="7"/>
              <w:ind w:left="103"/>
              <w:rPr>
                <w:sz w:val="21"/>
              </w:rPr>
            </w:pPr>
            <w:r>
              <w:rPr>
                <w:sz w:val="21"/>
              </w:rPr>
              <w:t>（2）专科医师确诊被保险人由于严重头部创伤或疾病造成智力低常；</w:t>
            </w:r>
          </w:p>
          <w:p>
            <w:pPr>
              <w:pStyle w:val="TableParagraph"/>
              <w:spacing w:line="273" w:lineRule="auto" w:before="36"/>
              <w:ind w:left="103" w:right="352"/>
              <w:rPr>
                <w:sz w:val="21"/>
              </w:rPr>
            </w:pPr>
            <w:r>
              <w:rPr>
                <w:sz w:val="21"/>
              </w:rPr>
              <w:t>（3）</w:t>
            </w:r>
            <w:r>
              <w:rPr>
                <w:spacing w:val="-3"/>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7"/>
              <w:ind w:left="103"/>
              <w:rPr>
                <w:sz w:val="21"/>
              </w:rPr>
            </w:pPr>
            <w:r>
              <w:rPr>
                <w:sz w:val="21"/>
              </w:rPr>
              <w:t>（4）被保险人的智力低常自确认日起持续 180 天以上。</w:t>
            </w:r>
          </w:p>
        </w:tc>
      </w:tr>
      <w:tr>
        <w:trPr>
          <w:trHeight w:val="1097" w:hRule="atLeast"/>
        </w:trPr>
        <w:tc>
          <w:tcPr>
            <w:tcW w:w="1515" w:type="dxa"/>
          </w:tcPr>
          <w:p>
            <w:pPr>
              <w:pStyle w:val="TableParagraph"/>
              <w:spacing w:line="273" w:lineRule="auto" w:before="40"/>
              <w:ind w:right="101"/>
              <w:jc w:val="both"/>
              <w:rPr>
                <w:b/>
                <w:sz w:val="21"/>
              </w:rPr>
            </w:pPr>
            <w:r>
              <w:rPr>
                <w:b/>
                <w:sz w:val="21"/>
              </w:rPr>
              <w:t>62.自体造血干 细胞移植术</w:t>
            </w:r>
          </w:p>
        </w:tc>
        <w:tc>
          <w:tcPr>
            <w:tcW w:w="7918" w:type="dxa"/>
          </w:tcPr>
          <w:p>
            <w:pPr>
              <w:pStyle w:val="TableParagraph"/>
              <w:spacing w:line="273" w:lineRule="auto" w:before="40"/>
              <w:ind w:left="103" w:right="282"/>
              <w:jc w:val="both"/>
              <w:rPr>
                <w:sz w:val="21"/>
              </w:rPr>
            </w:pPr>
            <w:r>
              <w:rPr>
                <w:spacing w:val="-5"/>
                <w:sz w:val="21"/>
              </w:rPr>
              <w:t>为治疗造血功能损害或造血系统恶性肿瘤，已经实施了造血干细胞</w:t>
            </w:r>
            <w:r>
              <w:rPr>
                <w:spacing w:val="-3"/>
                <w:sz w:val="21"/>
              </w:rPr>
              <w:t>（包括骨髓造血</w:t>
            </w:r>
            <w:r>
              <w:rPr>
                <w:spacing w:val="-5"/>
                <w:sz w:val="21"/>
              </w:rPr>
              <w:t>干细胞、外周血造血干细胞和脐血造血干细胞</w:t>
            </w:r>
            <w:r>
              <w:rPr>
                <w:spacing w:val="-13"/>
                <w:sz w:val="21"/>
              </w:rPr>
              <w:t>）</w:t>
            </w:r>
            <w:r>
              <w:rPr>
                <w:spacing w:val="-5"/>
                <w:sz w:val="21"/>
              </w:rPr>
              <w:t>的自体移植手术。该治疗须由专科</w:t>
            </w:r>
            <w:r>
              <w:rPr>
                <w:spacing w:val="-4"/>
                <w:sz w:val="21"/>
              </w:rPr>
              <w:t>医生认为在临床上是必需的。</w:t>
            </w:r>
          </w:p>
        </w:tc>
      </w:tr>
      <w:tr>
        <w:trPr>
          <w:trHeight w:val="2055" w:hRule="atLeast"/>
        </w:trPr>
        <w:tc>
          <w:tcPr>
            <w:tcW w:w="1515" w:type="dxa"/>
          </w:tcPr>
          <w:p>
            <w:pPr>
              <w:pStyle w:val="TableParagraph"/>
              <w:spacing w:line="273" w:lineRule="auto" w:before="82"/>
              <w:ind w:right="101"/>
              <w:rPr>
                <w:b/>
                <w:sz w:val="21"/>
              </w:rPr>
            </w:pPr>
            <w:r>
              <w:rPr>
                <w:b/>
                <w:sz w:val="21"/>
              </w:rPr>
              <w:t>63.严重瑞氏综合征</w:t>
            </w:r>
          </w:p>
        </w:tc>
        <w:tc>
          <w:tcPr>
            <w:tcW w:w="7918" w:type="dxa"/>
          </w:tcPr>
          <w:p>
            <w:pPr>
              <w:pStyle w:val="TableParagraph"/>
              <w:spacing w:line="273" w:lineRule="auto" w:before="82"/>
              <w:ind w:left="103" w:right="246"/>
              <w:jc w:val="both"/>
              <w:rPr>
                <w:sz w:val="21"/>
              </w:rPr>
            </w:pPr>
            <w:r>
              <w:rPr>
                <w:spacing w:val="-6"/>
                <w:sz w:val="21"/>
              </w:rPr>
              <w:t>瑞氏综合征是线粒体功能障碍性疾病。导致脂肪代谢障碍，引起短链脂肪酸、血氨</w:t>
            </w:r>
            <w:r>
              <w:rPr>
                <w:spacing w:val="-4"/>
                <w:sz w:val="21"/>
              </w:rPr>
              <w:t>升高，造成脑水肿。主要临床表现为急性发热、反复呕吐、惊厥及意识障碍等等。</w:t>
            </w:r>
            <w:r>
              <w:rPr>
                <w:spacing w:val="-3"/>
                <w:sz w:val="21"/>
              </w:rPr>
              <w:t>瑞氏综合征需由三级医院的专科医生确诊，并须满足下列全部条件：</w:t>
            </w:r>
          </w:p>
          <w:p>
            <w:pPr>
              <w:pStyle w:val="TableParagraph"/>
              <w:numPr>
                <w:ilvl w:val="0"/>
                <w:numId w:val="56"/>
              </w:numPr>
              <w:tabs>
                <w:tab w:pos="839" w:val="left" w:leader="none"/>
              </w:tabs>
              <w:spacing w:line="240" w:lineRule="auto" w:before="8" w:after="0"/>
              <w:ind w:left="838" w:right="0" w:hanging="735"/>
              <w:jc w:val="both"/>
              <w:rPr>
                <w:sz w:val="21"/>
              </w:rPr>
            </w:pPr>
            <w:r>
              <w:rPr>
                <w:spacing w:val="-3"/>
                <w:sz w:val="21"/>
              </w:rPr>
              <w:t>有脑水肿和颅内压升高的脑脊液检查和影像学检查证据；</w:t>
            </w:r>
          </w:p>
          <w:p>
            <w:pPr>
              <w:pStyle w:val="TableParagraph"/>
              <w:numPr>
                <w:ilvl w:val="0"/>
                <w:numId w:val="56"/>
              </w:numPr>
              <w:tabs>
                <w:tab w:pos="839" w:val="left" w:leader="none"/>
              </w:tabs>
              <w:spacing w:line="240" w:lineRule="auto" w:before="37" w:after="0"/>
              <w:ind w:left="838" w:right="0" w:hanging="735"/>
              <w:jc w:val="both"/>
              <w:rPr>
                <w:sz w:val="21"/>
              </w:rPr>
            </w:pPr>
            <w:r>
              <w:rPr>
                <w:spacing w:val="-8"/>
                <w:sz w:val="21"/>
              </w:rPr>
              <w:t>血氨超过正常值的 </w:t>
            </w:r>
            <w:r>
              <w:rPr>
                <w:sz w:val="21"/>
              </w:rPr>
              <w:t>3</w:t>
            </w:r>
            <w:r>
              <w:rPr>
                <w:spacing w:val="-17"/>
                <w:sz w:val="21"/>
              </w:rPr>
              <w:t> 倍；</w:t>
            </w:r>
          </w:p>
          <w:p>
            <w:pPr>
              <w:pStyle w:val="TableParagraph"/>
              <w:numPr>
                <w:ilvl w:val="0"/>
                <w:numId w:val="56"/>
              </w:numPr>
              <w:tabs>
                <w:tab w:pos="839" w:val="left" w:leader="none"/>
              </w:tabs>
              <w:spacing w:line="240" w:lineRule="auto" w:before="37" w:after="0"/>
              <w:ind w:left="838" w:right="0" w:hanging="735"/>
              <w:jc w:val="both"/>
              <w:rPr>
                <w:sz w:val="21"/>
              </w:rPr>
            </w:pPr>
            <w:r>
              <w:rPr>
                <w:spacing w:val="-5"/>
                <w:sz w:val="21"/>
              </w:rPr>
              <w:t>临床出现昏迷，病程至少达到疾病分期第 </w:t>
            </w:r>
            <w:r>
              <w:rPr>
                <w:sz w:val="21"/>
              </w:rPr>
              <w:t>3</w:t>
            </w:r>
            <w:r>
              <w:rPr>
                <w:spacing w:val="-16"/>
                <w:sz w:val="21"/>
              </w:rPr>
              <w:t> 期。</w:t>
            </w:r>
          </w:p>
        </w:tc>
      </w:tr>
      <w:tr>
        <w:trPr>
          <w:trHeight w:val="1280" w:hRule="atLeast"/>
        </w:trPr>
        <w:tc>
          <w:tcPr>
            <w:tcW w:w="1515" w:type="dxa"/>
          </w:tcPr>
          <w:p>
            <w:pPr>
              <w:pStyle w:val="TableParagraph"/>
              <w:spacing w:line="273" w:lineRule="auto" w:before="63"/>
              <w:ind w:right="101"/>
              <w:rPr>
                <w:b/>
                <w:sz w:val="21"/>
              </w:rPr>
            </w:pPr>
            <w:r>
              <w:rPr>
                <w:b/>
                <w:sz w:val="21"/>
              </w:rPr>
              <w:t>64.严重肠道疾病并发症</w:t>
            </w:r>
          </w:p>
        </w:tc>
        <w:tc>
          <w:tcPr>
            <w:tcW w:w="7918" w:type="dxa"/>
          </w:tcPr>
          <w:p>
            <w:pPr>
              <w:pStyle w:val="TableParagraph"/>
              <w:spacing w:before="63"/>
              <w:ind w:left="103"/>
              <w:rPr>
                <w:sz w:val="21"/>
              </w:rPr>
            </w:pPr>
            <w:r>
              <w:rPr>
                <w:sz w:val="21"/>
              </w:rPr>
              <w:t>严重肠道疾病或外伤导致小肠损害并发症，并须满足下列全部条件：</w:t>
            </w:r>
          </w:p>
          <w:p>
            <w:pPr>
              <w:pStyle w:val="TableParagraph"/>
              <w:numPr>
                <w:ilvl w:val="0"/>
                <w:numId w:val="57"/>
              </w:numPr>
              <w:tabs>
                <w:tab w:pos="838" w:val="left" w:leader="none"/>
                <w:tab w:pos="839" w:val="left" w:leader="none"/>
              </w:tabs>
              <w:spacing w:line="240" w:lineRule="auto" w:before="36" w:after="0"/>
              <w:ind w:left="838" w:right="0" w:hanging="735"/>
              <w:jc w:val="left"/>
              <w:rPr>
                <w:sz w:val="21"/>
              </w:rPr>
            </w:pPr>
            <w:r>
              <w:rPr>
                <w:spacing w:val="-3"/>
                <w:sz w:val="21"/>
              </w:rPr>
              <w:t>至少切除了三分之二小肠；</w:t>
            </w:r>
          </w:p>
          <w:p>
            <w:pPr>
              <w:pStyle w:val="TableParagraph"/>
              <w:numPr>
                <w:ilvl w:val="0"/>
                <w:numId w:val="57"/>
              </w:numPr>
              <w:tabs>
                <w:tab w:pos="838" w:val="left" w:leader="none"/>
                <w:tab w:pos="839" w:val="left" w:leader="none"/>
              </w:tabs>
              <w:spacing w:line="240" w:lineRule="auto" w:before="36" w:after="0"/>
              <w:ind w:left="838" w:right="0" w:hanging="735"/>
              <w:jc w:val="left"/>
              <w:rPr>
                <w:sz w:val="21"/>
              </w:rPr>
            </w:pPr>
            <w:r>
              <w:rPr>
                <w:spacing w:val="-3"/>
                <w:sz w:val="21"/>
              </w:rPr>
              <w:t>完全肠外营养支持三个月以上。</w:t>
            </w:r>
          </w:p>
          <w:p>
            <w:pPr>
              <w:pStyle w:val="TableParagraph"/>
              <w:spacing w:line="261" w:lineRule="exact"/>
              <w:ind w:left="103"/>
              <w:rPr>
                <w:rFonts w:ascii="黑体" w:eastAsia="黑体" w:hint="eastAsia"/>
                <w:sz w:val="21"/>
              </w:rPr>
            </w:pPr>
            <w:r>
              <w:rPr>
                <w:rFonts w:ascii="黑体" w:eastAsia="黑体" w:hint="eastAsia"/>
                <w:sz w:val="21"/>
              </w:rPr>
              <w:t>本项保险责任仅在被保险人18周岁以前提供保障。</w:t>
            </w:r>
          </w:p>
        </w:tc>
      </w:tr>
    </w:tbl>
    <w:p>
      <w:pPr>
        <w:spacing w:after="0" w:line="261" w:lineRule="exact"/>
        <w:rPr>
          <w:rFonts w:ascii="黑体" w:eastAsia="黑体" w:hint="eastAsia"/>
          <w:sz w:val="21"/>
        </w:rPr>
        <w:sectPr>
          <w:pgSz w:w="11910" w:h="16840"/>
          <w:pgMar w:header="0" w:footer="377" w:top="1340" w:bottom="560" w:left="1520" w:right="7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69"/>
      </w:tblGrid>
      <w:tr>
        <w:trPr>
          <w:trHeight w:val="3069" w:hRule="atLeast"/>
        </w:trPr>
        <w:tc>
          <w:tcPr>
            <w:tcW w:w="1515" w:type="dxa"/>
          </w:tcPr>
          <w:p>
            <w:pPr>
              <w:pStyle w:val="TableParagraph"/>
              <w:spacing w:line="205" w:lineRule="exact" w:before="0"/>
              <w:rPr>
                <w:b/>
                <w:sz w:val="21"/>
              </w:rPr>
            </w:pPr>
            <w:r>
              <w:rPr>
                <w:b/>
                <w:sz w:val="21"/>
              </w:rPr>
              <w:t>65.重症骨髓</w:t>
            </w:r>
          </w:p>
          <w:p>
            <w:pPr>
              <w:pStyle w:val="TableParagraph"/>
              <w:spacing w:line="273" w:lineRule="auto"/>
              <w:ind w:right="111"/>
              <w:rPr>
                <w:b/>
                <w:sz w:val="21"/>
              </w:rPr>
            </w:pPr>
            <w:r>
              <w:rPr>
                <w:b/>
                <w:sz w:val="21"/>
              </w:rPr>
              <w:t>增 生异常综合征</w:t>
            </w:r>
          </w:p>
        </w:tc>
        <w:tc>
          <w:tcPr>
            <w:tcW w:w="7869" w:type="dxa"/>
          </w:tcPr>
          <w:p>
            <w:pPr>
              <w:pStyle w:val="TableParagraph"/>
              <w:spacing w:line="205" w:lineRule="exact" w:before="0"/>
              <w:ind w:left="103"/>
              <w:rPr>
                <w:sz w:val="21"/>
              </w:rPr>
            </w:pPr>
            <w:r>
              <w:rPr>
                <w:sz w:val="21"/>
              </w:rPr>
              <w:t>重症骨髓增生异常综合征（Myelodysplastic syndromes, MDS)是起源于造血干细</w:t>
            </w:r>
          </w:p>
          <w:p>
            <w:pPr>
              <w:pStyle w:val="TableParagraph"/>
              <w:spacing w:line="273" w:lineRule="auto"/>
              <w:ind w:left="103" w:right="233"/>
              <w:jc w:val="both"/>
              <w:rPr>
                <w:sz w:val="21"/>
              </w:rPr>
            </w:pPr>
            <w:r>
              <w:rPr>
                <w:spacing w:val="-6"/>
                <w:sz w:val="21"/>
              </w:rPr>
              <w:t>胞的一组异质性髓系克隆性疾病，特点是髓系细胞发育异常，表现为无效造血、难</w:t>
            </w:r>
            <w:r>
              <w:rPr>
                <w:spacing w:val="-8"/>
                <w:sz w:val="21"/>
              </w:rPr>
              <w:t>治性血细胞减少，本附加险合同所指的严重的骨髓异常增生综合征需满足下列所有条件：</w:t>
            </w:r>
          </w:p>
          <w:p>
            <w:pPr>
              <w:pStyle w:val="TableParagraph"/>
              <w:numPr>
                <w:ilvl w:val="0"/>
                <w:numId w:val="58"/>
              </w:numPr>
              <w:tabs>
                <w:tab w:pos="838" w:val="left" w:leader="none"/>
                <w:tab w:pos="839" w:val="left" w:leader="none"/>
              </w:tabs>
              <w:spacing w:line="273" w:lineRule="auto" w:before="7" w:after="0"/>
              <w:ind w:left="838" w:right="302" w:hanging="735"/>
              <w:jc w:val="left"/>
              <w:rPr>
                <w:sz w:val="21"/>
              </w:rPr>
            </w:pPr>
            <w:r>
              <w:rPr>
                <w:spacing w:val="-3"/>
                <w:sz w:val="21"/>
              </w:rPr>
              <w:t>由设有专门血液病专科的公立三级甲等医院血液病专科的主治级别以上的医师确诊；</w:t>
            </w:r>
          </w:p>
          <w:p>
            <w:pPr>
              <w:pStyle w:val="TableParagraph"/>
              <w:numPr>
                <w:ilvl w:val="0"/>
                <w:numId w:val="58"/>
              </w:numPr>
              <w:tabs>
                <w:tab w:pos="838" w:val="left" w:leader="none"/>
                <w:tab w:pos="839" w:val="left" w:leader="none"/>
              </w:tabs>
              <w:spacing w:line="240" w:lineRule="auto" w:before="7" w:after="0"/>
              <w:ind w:left="838" w:right="0" w:hanging="735"/>
              <w:jc w:val="left"/>
              <w:rPr>
                <w:sz w:val="21"/>
              </w:rPr>
            </w:pPr>
            <w:r>
              <w:rPr>
                <w:spacing w:val="-3"/>
                <w:sz w:val="21"/>
              </w:rPr>
              <w:t>骨髓涂片检查同时符合发育异常细胞比例</w:t>
            </w:r>
            <w:r>
              <w:rPr>
                <w:sz w:val="21"/>
              </w:rPr>
              <w:t>&gt;10</w:t>
            </w:r>
            <w:r>
              <w:rPr>
                <w:spacing w:val="-2"/>
                <w:sz w:val="21"/>
              </w:rPr>
              <w:t>%、原始细胞比例</w:t>
            </w:r>
            <w:r>
              <w:rPr>
                <w:sz w:val="21"/>
              </w:rPr>
              <w:t>&gt;15%；</w:t>
            </w:r>
          </w:p>
          <w:p>
            <w:pPr>
              <w:pStyle w:val="TableParagraph"/>
              <w:numPr>
                <w:ilvl w:val="0"/>
                <w:numId w:val="58"/>
              </w:numPr>
              <w:tabs>
                <w:tab w:pos="838" w:val="left" w:leader="none"/>
                <w:tab w:pos="839" w:val="left" w:leader="none"/>
              </w:tabs>
              <w:spacing w:line="273" w:lineRule="auto" w:before="37" w:after="0"/>
              <w:ind w:left="103" w:right="1666" w:firstLine="0"/>
              <w:jc w:val="left"/>
              <w:rPr>
                <w:rFonts w:ascii="黑体" w:eastAsia="黑体" w:hint="eastAsia"/>
                <w:sz w:val="21"/>
              </w:rPr>
            </w:pPr>
            <w:r>
              <w:rPr>
                <w:spacing w:val="-3"/>
                <w:sz w:val="21"/>
              </w:rPr>
              <w:t>已接受至少累计三十日的化疗或已接受骨髓移植治疗。  化疗日数的计算以被保险人实际服用、注射化疗药物的天数为准。</w:t>
            </w:r>
            <w:r>
              <w:rPr>
                <w:rFonts w:ascii="黑体" w:eastAsia="黑体" w:hint="eastAsia"/>
                <w:spacing w:val="-3"/>
                <w:sz w:val="21"/>
              </w:rPr>
              <w:t>疑似病例不在保障范围之内。</w:t>
            </w:r>
          </w:p>
        </w:tc>
      </w:tr>
      <w:tr>
        <w:trPr>
          <w:trHeight w:val="1339" w:hRule="atLeast"/>
        </w:trPr>
        <w:tc>
          <w:tcPr>
            <w:tcW w:w="1515" w:type="dxa"/>
          </w:tcPr>
          <w:p>
            <w:pPr>
              <w:pStyle w:val="TableParagraph"/>
              <w:spacing w:line="256" w:lineRule="exact" w:before="0"/>
              <w:rPr>
                <w:b/>
                <w:sz w:val="21"/>
              </w:rPr>
            </w:pPr>
            <w:r>
              <w:rPr>
                <w:b/>
                <w:sz w:val="21"/>
              </w:rPr>
              <w:t>66.严重慢性</w:t>
            </w:r>
          </w:p>
          <w:p>
            <w:pPr>
              <w:pStyle w:val="TableParagraph"/>
              <w:spacing w:line="273" w:lineRule="auto"/>
              <w:ind w:right="111"/>
              <w:rPr>
                <w:b/>
                <w:sz w:val="21"/>
              </w:rPr>
            </w:pPr>
            <w:r>
              <w:rPr>
                <w:b/>
                <w:sz w:val="21"/>
              </w:rPr>
              <w:t>缩 窄型心包炎</w:t>
            </w:r>
          </w:p>
        </w:tc>
        <w:tc>
          <w:tcPr>
            <w:tcW w:w="7869" w:type="dxa"/>
          </w:tcPr>
          <w:p>
            <w:pPr>
              <w:pStyle w:val="TableParagraph"/>
              <w:spacing w:line="256" w:lineRule="exact" w:before="0"/>
              <w:ind w:left="103"/>
              <w:rPr>
                <w:sz w:val="21"/>
              </w:rPr>
            </w:pPr>
            <w:r>
              <w:rPr>
                <w:sz w:val="21"/>
              </w:rPr>
              <w:t>由于慢性心包炎症导致心包脏层和壁层广泛瘢痕粘连、增厚和钙化，心包腔闭塞，</w:t>
            </w:r>
          </w:p>
          <w:p>
            <w:pPr>
              <w:pStyle w:val="TableParagraph"/>
              <w:spacing w:line="273" w:lineRule="auto"/>
              <w:ind w:left="103" w:right="233"/>
              <w:jc w:val="both"/>
              <w:rPr>
                <w:sz w:val="21"/>
              </w:rPr>
            </w:pPr>
            <w:r>
              <w:rPr>
                <w:spacing w:val="-7"/>
                <w:sz w:val="21"/>
              </w:rPr>
              <w:t>形成一个纤维瘢痕外壳，使心脏和大血管根部受压，妨碍心脏的舒张。必需经心脏科专科医生明确诊断为慢性缩窄性心包炎，并且已经造成永久不可逆性的体力活动能力受限，达到美国纽约心脏病学会心功能状态分级 </w:t>
            </w:r>
            <w:r>
              <w:rPr>
                <w:sz w:val="21"/>
              </w:rPr>
              <w:t>IV</w:t>
            </w:r>
            <w:r>
              <w:rPr>
                <w:spacing w:val="-7"/>
                <w:sz w:val="21"/>
              </w:rPr>
              <w:t> 级，并持续 </w:t>
            </w:r>
            <w:r>
              <w:rPr>
                <w:sz w:val="21"/>
              </w:rPr>
              <w:t>180</w:t>
            </w:r>
            <w:r>
              <w:rPr>
                <w:spacing w:val="-11"/>
                <w:sz w:val="21"/>
              </w:rPr>
              <w:t> 天以上。</w:t>
            </w:r>
          </w:p>
        </w:tc>
      </w:tr>
      <w:tr>
        <w:trPr>
          <w:trHeight w:val="2650" w:hRule="atLeast"/>
        </w:trPr>
        <w:tc>
          <w:tcPr>
            <w:tcW w:w="1515" w:type="dxa"/>
          </w:tcPr>
          <w:p>
            <w:pPr>
              <w:pStyle w:val="TableParagraph"/>
              <w:spacing w:line="273" w:lineRule="auto" w:before="72"/>
              <w:ind w:right="101"/>
              <w:rPr>
                <w:b/>
                <w:sz w:val="21"/>
              </w:rPr>
            </w:pPr>
            <w:r>
              <w:rPr>
                <w:b/>
                <w:sz w:val="21"/>
              </w:rPr>
              <w:t>67.重症手足口病</w:t>
            </w:r>
          </w:p>
        </w:tc>
        <w:tc>
          <w:tcPr>
            <w:tcW w:w="7869" w:type="dxa"/>
          </w:tcPr>
          <w:p>
            <w:pPr>
              <w:pStyle w:val="TableParagraph"/>
              <w:spacing w:line="273" w:lineRule="auto" w:before="72"/>
              <w:ind w:left="103" w:right="233"/>
              <w:jc w:val="both"/>
              <w:rPr>
                <w:sz w:val="21"/>
              </w:rPr>
            </w:pPr>
            <w:r>
              <w:rPr>
                <w:spacing w:val="-7"/>
                <w:sz w:val="21"/>
              </w:rPr>
              <w:t>由肠道病毒引起的急性传染病，主要症状表现为手、足、口腔等部位的斑丘疹、疱</w:t>
            </w:r>
            <w:r>
              <w:rPr>
                <w:spacing w:val="-8"/>
                <w:sz w:val="21"/>
              </w:rPr>
              <w:t>疹。经本公司认可的医疗机构的专科医生确诊为患有手足口病，并伴有下列三项中</w:t>
            </w:r>
            <w:r>
              <w:rPr>
                <w:spacing w:val="-5"/>
                <w:sz w:val="21"/>
              </w:rPr>
              <w:t>的任意一项并发症：</w:t>
            </w:r>
          </w:p>
          <w:p>
            <w:pPr>
              <w:pStyle w:val="TableParagraph"/>
              <w:numPr>
                <w:ilvl w:val="0"/>
                <w:numId w:val="59"/>
              </w:numPr>
              <w:tabs>
                <w:tab w:pos="838" w:val="left" w:leader="none"/>
                <w:tab w:pos="839" w:val="left" w:leader="none"/>
              </w:tabs>
              <w:spacing w:line="273" w:lineRule="auto" w:before="8" w:after="0"/>
              <w:ind w:left="838" w:right="302" w:hanging="735"/>
              <w:jc w:val="left"/>
              <w:rPr>
                <w:sz w:val="21"/>
              </w:rPr>
            </w:pPr>
            <w:r>
              <w:rPr>
                <w:spacing w:val="-3"/>
                <w:sz w:val="21"/>
              </w:rPr>
              <w:t>有脑膜炎或脑炎并发症，且导致意识障碍或瘫痪的临床表现及实验室检查证据；</w:t>
            </w:r>
          </w:p>
          <w:p>
            <w:pPr>
              <w:pStyle w:val="TableParagraph"/>
              <w:numPr>
                <w:ilvl w:val="0"/>
                <w:numId w:val="59"/>
              </w:numPr>
              <w:tabs>
                <w:tab w:pos="838" w:val="left" w:leader="none"/>
                <w:tab w:pos="839" w:val="left" w:leader="none"/>
              </w:tabs>
              <w:spacing w:line="240" w:lineRule="auto" w:before="8" w:after="0"/>
              <w:ind w:left="838" w:right="0" w:hanging="735"/>
              <w:jc w:val="left"/>
              <w:rPr>
                <w:sz w:val="21"/>
              </w:rPr>
            </w:pPr>
            <w:r>
              <w:rPr>
                <w:spacing w:val="-3"/>
                <w:sz w:val="21"/>
              </w:rPr>
              <w:t>有肺炎或肺水肿并发症，且导致呼吸衰竭的临床表现及实验室检查证据；</w:t>
            </w:r>
          </w:p>
          <w:p>
            <w:pPr>
              <w:pStyle w:val="TableParagraph"/>
              <w:numPr>
                <w:ilvl w:val="0"/>
                <w:numId w:val="59"/>
              </w:numPr>
              <w:tabs>
                <w:tab w:pos="838" w:val="left" w:leader="none"/>
                <w:tab w:pos="839" w:val="left" w:leader="none"/>
              </w:tabs>
              <w:spacing w:line="273" w:lineRule="auto" w:before="37" w:after="0"/>
              <w:ind w:left="840" w:right="302" w:hanging="737"/>
              <w:jc w:val="left"/>
              <w:rPr>
                <w:sz w:val="21"/>
              </w:rPr>
            </w:pPr>
            <w:r>
              <w:rPr>
                <w:spacing w:val="-3"/>
                <w:sz w:val="21"/>
              </w:rPr>
              <w:t>有心肌炎并发症，且导致心脏扩大或心力衰竭的临床表现及实验室检查证据。</w:t>
            </w:r>
          </w:p>
        </w:tc>
      </w:tr>
      <w:tr>
        <w:trPr>
          <w:trHeight w:val="1090" w:hRule="atLeast"/>
        </w:trPr>
        <w:tc>
          <w:tcPr>
            <w:tcW w:w="1515" w:type="dxa"/>
          </w:tcPr>
          <w:p>
            <w:pPr>
              <w:pStyle w:val="TableParagraph"/>
              <w:spacing w:line="273" w:lineRule="auto" w:before="43"/>
              <w:ind w:right="101"/>
              <w:jc w:val="both"/>
              <w:rPr>
                <w:b/>
                <w:sz w:val="21"/>
              </w:rPr>
            </w:pPr>
            <w:r>
              <w:rPr>
                <w:b/>
                <w:sz w:val="21"/>
              </w:rPr>
              <w:t>68.严重幼年型 类风湿性关节炎</w:t>
            </w:r>
          </w:p>
        </w:tc>
        <w:tc>
          <w:tcPr>
            <w:tcW w:w="7869" w:type="dxa"/>
          </w:tcPr>
          <w:p>
            <w:pPr>
              <w:pStyle w:val="TableParagraph"/>
              <w:spacing w:before="43"/>
              <w:ind w:left="103"/>
              <w:rPr>
                <w:sz w:val="21"/>
              </w:rPr>
            </w:pPr>
            <w:r>
              <w:rPr>
                <w:sz w:val="21"/>
              </w:rPr>
              <w:t>指为了治疗幼年型类风湿关节炎，实际实施了膝关节或髋关节置换手术。</w:t>
            </w:r>
          </w:p>
          <w:p>
            <w:pPr>
              <w:pStyle w:val="TableParagraph"/>
              <w:spacing w:line="273" w:lineRule="auto"/>
              <w:ind w:left="103" w:right="192"/>
              <w:rPr>
                <w:sz w:val="21"/>
              </w:rPr>
            </w:pPr>
            <w:r>
              <w:rPr>
                <w:sz w:val="21"/>
              </w:rPr>
              <w:t>幼年型类风湿关节炎是一种儿童期发病的慢性关节炎，其特点为在高热和系统性病征出现数月后发生关节炎。</w:t>
            </w:r>
          </w:p>
        </w:tc>
      </w:tr>
      <w:tr>
        <w:trPr>
          <w:trHeight w:val="1422" w:hRule="atLeast"/>
        </w:trPr>
        <w:tc>
          <w:tcPr>
            <w:tcW w:w="1515" w:type="dxa"/>
          </w:tcPr>
          <w:p>
            <w:pPr>
              <w:pStyle w:val="TableParagraph"/>
              <w:spacing w:line="273" w:lineRule="auto" w:before="73"/>
              <w:ind w:right="101"/>
              <w:jc w:val="both"/>
              <w:rPr>
                <w:b/>
                <w:sz w:val="21"/>
              </w:rPr>
            </w:pPr>
            <w:r>
              <w:rPr>
                <w:b/>
                <w:sz w:val="21"/>
              </w:rPr>
              <w:t>69.破裂脑动脉 瘤夹闭手术</w:t>
            </w:r>
          </w:p>
        </w:tc>
        <w:tc>
          <w:tcPr>
            <w:tcW w:w="7869" w:type="dxa"/>
          </w:tcPr>
          <w:p>
            <w:pPr>
              <w:pStyle w:val="TableParagraph"/>
              <w:spacing w:line="273" w:lineRule="auto" w:before="73"/>
              <w:ind w:left="103" w:right="192"/>
              <w:rPr>
                <w:sz w:val="21"/>
              </w:rPr>
            </w:pPr>
            <w:r>
              <w:rPr>
                <w:sz w:val="21"/>
              </w:rPr>
              <w:t>指因脑动脉瘤破裂造成蛛网膜下腔出血，被保险人已经实施了在全麻下进行的开颅动脉瘤夹闭手术。</w:t>
            </w:r>
          </w:p>
          <w:p>
            <w:pPr>
              <w:pStyle w:val="TableParagraph"/>
              <w:spacing w:line="273" w:lineRule="auto" w:before="7"/>
              <w:ind w:left="103" w:right="198"/>
              <w:rPr>
                <w:rFonts w:ascii="黑体" w:eastAsia="黑体" w:hint="eastAsia"/>
                <w:sz w:val="21"/>
              </w:rPr>
            </w:pPr>
            <w:r>
              <w:rPr>
                <w:rFonts w:ascii="黑体" w:eastAsia="黑体" w:hint="eastAsia"/>
                <w:sz w:val="21"/>
              </w:rPr>
              <w:t>脑动脉瘤（未破裂）预防性手术、颅骨打孔手术、动脉瘤栓塞手术、血管内手术及其他颅脑手术不在本保障范围内。</w:t>
            </w:r>
          </w:p>
        </w:tc>
      </w:tr>
      <w:tr>
        <w:trPr>
          <w:trHeight w:val="2010" w:hRule="atLeast"/>
        </w:trPr>
        <w:tc>
          <w:tcPr>
            <w:tcW w:w="1515" w:type="dxa"/>
          </w:tcPr>
          <w:p>
            <w:pPr>
              <w:pStyle w:val="TableParagraph"/>
              <w:spacing w:line="273" w:lineRule="auto" w:before="62"/>
              <w:ind w:right="101"/>
              <w:rPr>
                <w:b/>
                <w:sz w:val="21"/>
              </w:rPr>
            </w:pPr>
            <w:r>
              <w:rPr>
                <w:b/>
                <w:sz w:val="21"/>
              </w:rPr>
              <w:t>70.慢性呼吸功能衰竭</w:t>
            </w:r>
          </w:p>
        </w:tc>
        <w:tc>
          <w:tcPr>
            <w:tcW w:w="7869" w:type="dxa"/>
          </w:tcPr>
          <w:p>
            <w:pPr>
              <w:pStyle w:val="TableParagraph"/>
              <w:spacing w:line="273" w:lineRule="auto" w:before="62"/>
              <w:ind w:left="103" w:right="192"/>
              <w:rPr>
                <w:sz w:val="21"/>
              </w:rPr>
            </w:pPr>
            <w:r>
              <w:rPr>
                <w:sz w:val="21"/>
              </w:rPr>
              <w:t>慢性肺部疾病导致永久不可逆性的慢性呼吸功能衰竭。慢性呼吸功能衰竭必须明确诊断并满足下列全部条件：</w:t>
            </w:r>
          </w:p>
          <w:p>
            <w:pPr>
              <w:pStyle w:val="TableParagraph"/>
              <w:spacing w:before="7"/>
              <w:ind w:left="103"/>
              <w:rPr>
                <w:sz w:val="21"/>
              </w:rPr>
            </w:pPr>
            <w:r>
              <w:rPr>
                <w:sz w:val="21"/>
              </w:rPr>
              <w:t>（1）休息时出现呼吸困难；</w:t>
            </w:r>
          </w:p>
          <w:p>
            <w:pPr>
              <w:pStyle w:val="TableParagraph"/>
              <w:spacing w:before="36"/>
              <w:ind w:left="103"/>
              <w:rPr>
                <w:sz w:val="21"/>
              </w:rPr>
            </w:pPr>
            <w:r>
              <w:rPr>
                <w:sz w:val="21"/>
              </w:rPr>
              <w:t>（2）动脉血氧分压（</w:t>
            </w:r>
            <w:r>
              <w:rPr>
                <w:sz w:val="20"/>
              </w:rPr>
              <w:t>PaO2</w:t>
            </w:r>
            <w:r>
              <w:rPr>
                <w:sz w:val="21"/>
              </w:rPr>
              <w:t>）&lt; 50mmHg；</w:t>
            </w:r>
          </w:p>
          <w:p>
            <w:pPr>
              <w:pStyle w:val="TableParagraph"/>
              <w:spacing w:before="36"/>
              <w:ind w:left="103"/>
              <w:rPr>
                <w:sz w:val="21"/>
              </w:rPr>
            </w:pPr>
            <w:r>
              <w:rPr>
                <w:sz w:val="21"/>
              </w:rPr>
              <w:t>（3）动脉血氧饱和度（SaO2）&lt; 80%；</w:t>
            </w:r>
          </w:p>
          <w:p>
            <w:pPr>
              <w:pStyle w:val="TableParagraph"/>
              <w:spacing w:before="36"/>
              <w:ind w:left="103"/>
              <w:rPr>
                <w:sz w:val="21"/>
              </w:rPr>
            </w:pPr>
            <w:r>
              <w:rPr>
                <w:sz w:val="21"/>
              </w:rPr>
              <w:t>（4）因缺氧必须接受持续的输氧治疗。</w:t>
            </w:r>
          </w:p>
        </w:tc>
      </w:tr>
      <w:tr>
        <w:trPr>
          <w:trHeight w:val="1565" w:hRule="atLeast"/>
        </w:trPr>
        <w:tc>
          <w:tcPr>
            <w:tcW w:w="1515" w:type="dxa"/>
          </w:tcPr>
          <w:p>
            <w:pPr>
              <w:pStyle w:val="TableParagraph"/>
              <w:spacing w:line="273" w:lineRule="auto"/>
              <w:ind w:right="101"/>
              <w:rPr>
                <w:b/>
                <w:sz w:val="21"/>
              </w:rPr>
            </w:pPr>
            <w:r>
              <w:rPr>
                <w:b/>
                <w:sz w:val="21"/>
              </w:rPr>
              <w:t>71.严重脊髓灰质炎</w:t>
            </w:r>
          </w:p>
        </w:tc>
        <w:tc>
          <w:tcPr>
            <w:tcW w:w="7869" w:type="dxa"/>
          </w:tcPr>
          <w:p>
            <w:pPr>
              <w:pStyle w:val="TableParagraph"/>
              <w:spacing w:line="273" w:lineRule="auto"/>
              <w:ind w:left="103" w:right="192"/>
              <w:rPr>
                <w:sz w:val="21"/>
              </w:rPr>
            </w:pPr>
            <w:r>
              <w:rPr>
                <w:sz w:val="21"/>
              </w:rPr>
              <w:t>脊髓灰质炎是由于脊髓灰质炎病毒感染所致的瘫痪性疾病，临床表现为运动功能损害或呼吸无力。脊髓灰质炎必须明确诊断。</w:t>
            </w:r>
          </w:p>
          <w:p>
            <w:pPr>
              <w:pStyle w:val="TableParagraph"/>
              <w:spacing w:line="273" w:lineRule="auto" w:before="7"/>
              <w:ind w:left="103" w:right="233"/>
              <w:rPr>
                <w:sz w:val="21"/>
              </w:rPr>
            </w:pPr>
            <w:r>
              <w:rPr>
                <w:spacing w:val="-3"/>
                <w:sz w:val="21"/>
              </w:rPr>
              <w:t>本附加险合同仅对脊髓灰质炎造成的神经系统功能损害导致被保险人一肢或一肢 </w:t>
            </w:r>
            <w:r>
              <w:rPr>
                <w:spacing w:val="-5"/>
                <w:sz w:val="21"/>
              </w:rPr>
              <w:t>以上肢体机能永久完全丧失的情况予以赔付。肢体机能永久完全丧失，指疾病确诊</w:t>
            </w:r>
          </w:p>
          <w:p>
            <w:pPr>
              <w:pStyle w:val="TableParagraph"/>
              <w:spacing w:line="261" w:lineRule="exact" w:before="7"/>
              <w:ind w:left="103"/>
              <w:rPr>
                <w:sz w:val="21"/>
              </w:rPr>
            </w:pPr>
            <w:r>
              <w:rPr>
                <w:sz w:val="21"/>
              </w:rPr>
              <w:t>180 天后，每肢三大关节中的两大关节仍然完全僵硬，或不能随意识活动。</w:t>
            </w:r>
          </w:p>
        </w:tc>
      </w:tr>
    </w:tbl>
    <w:p>
      <w:pPr>
        <w:spacing w:after="0" w:line="261" w:lineRule="exact"/>
        <w:rPr>
          <w:sz w:val="21"/>
        </w:rPr>
        <w:sectPr>
          <w:pgSz w:w="11910" w:h="16840"/>
          <w:pgMar w:header="0" w:footer="377" w:top="1340" w:bottom="56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34"/>
      </w:tblGrid>
      <w:tr>
        <w:trPr>
          <w:trHeight w:val="1210" w:hRule="atLeast"/>
        </w:trPr>
        <w:tc>
          <w:tcPr>
            <w:tcW w:w="1515" w:type="dxa"/>
          </w:tcPr>
          <w:p>
            <w:pPr>
              <w:pStyle w:val="TableParagraph"/>
              <w:spacing w:line="205" w:lineRule="exact" w:before="0"/>
              <w:rPr>
                <w:b/>
                <w:sz w:val="21"/>
              </w:rPr>
            </w:pPr>
            <w:r>
              <w:rPr>
                <w:b/>
                <w:sz w:val="21"/>
              </w:rPr>
              <w:t>72.严重冠心</w:t>
            </w:r>
          </w:p>
          <w:p>
            <w:pPr>
              <w:pStyle w:val="TableParagraph"/>
              <w:rPr>
                <w:b/>
                <w:sz w:val="21"/>
              </w:rPr>
            </w:pPr>
            <w:r>
              <w:rPr>
                <w:b/>
                <w:w w:val="100"/>
                <w:sz w:val="21"/>
              </w:rPr>
              <w:t>病</w:t>
            </w:r>
          </w:p>
        </w:tc>
        <w:tc>
          <w:tcPr>
            <w:tcW w:w="7834" w:type="dxa"/>
          </w:tcPr>
          <w:p>
            <w:pPr>
              <w:pStyle w:val="TableParagraph"/>
              <w:spacing w:line="205" w:lineRule="exact" w:before="0"/>
              <w:ind w:left="103"/>
              <w:rPr>
                <w:sz w:val="21"/>
              </w:rPr>
            </w:pPr>
            <w:r>
              <w:rPr>
                <w:sz w:val="21"/>
              </w:rPr>
              <w:t>指经冠状动脉造影检查明确诊断为主要血管严重狭窄性病变，须满足下列至少一项</w:t>
            </w:r>
          </w:p>
          <w:p>
            <w:pPr>
              <w:pStyle w:val="TableParagraph"/>
              <w:ind w:left="103"/>
              <w:rPr>
                <w:sz w:val="21"/>
              </w:rPr>
            </w:pPr>
            <w:r>
              <w:rPr>
                <w:sz w:val="21"/>
              </w:rPr>
              <w:t>条件：</w:t>
            </w:r>
          </w:p>
          <w:p>
            <w:pPr>
              <w:pStyle w:val="TableParagraph"/>
              <w:spacing w:line="273" w:lineRule="auto"/>
              <w:ind w:left="103" w:right="200"/>
              <w:rPr>
                <w:sz w:val="21"/>
              </w:rPr>
            </w:pPr>
            <w:r>
              <w:rPr>
                <w:spacing w:val="-11"/>
                <w:sz w:val="21"/>
              </w:rPr>
              <w:t>（1）</w:t>
            </w:r>
            <w:r>
              <w:rPr>
                <w:spacing w:val="-6"/>
                <w:sz w:val="21"/>
              </w:rPr>
              <w:t>左冠状动脉主干和右冠状动脉中，一支血管管腔堵塞 </w:t>
            </w:r>
            <w:r>
              <w:rPr>
                <w:sz w:val="21"/>
              </w:rPr>
              <w:t>75</w:t>
            </w:r>
            <w:r>
              <w:rPr>
                <w:spacing w:val="-7"/>
                <w:sz w:val="21"/>
              </w:rPr>
              <w:t>%以上，另一支血管管</w:t>
            </w:r>
            <w:r>
              <w:rPr>
                <w:spacing w:val="-15"/>
                <w:sz w:val="21"/>
              </w:rPr>
              <w:t>腔堵塞 </w:t>
            </w:r>
            <w:r>
              <w:rPr>
                <w:sz w:val="21"/>
              </w:rPr>
              <w:t>60</w:t>
            </w:r>
            <w:r>
              <w:rPr>
                <w:spacing w:val="-1"/>
                <w:sz w:val="21"/>
              </w:rPr>
              <w:t>%以上；</w:t>
            </w:r>
          </w:p>
        </w:tc>
      </w:tr>
      <w:tr>
        <w:trPr>
          <w:trHeight w:val="1346" w:hRule="atLeast"/>
        </w:trPr>
        <w:tc>
          <w:tcPr>
            <w:tcW w:w="1515" w:type="dxa"/>
          </w:tcPr>
          <w:p>
            <w:pPr>
              <w:pStyle w:val="TableParagraph"/>
              <w:spacing w:before="0"/>
              <w:ind w:left="0"/>
              <w:rPr>
                <w:rFonts w:ascii="Times New Roman"/>
                <w:sz w:val="20"/>
              </w:rPr>
            </w:pPr>
          </w:p>
        </w:tc>
        <w:tc>
          <w:tcPr>
            <w:tcW w:w="7834" w:type="dxa"/>
          </w:tcPr>
          <w:p>
            <w:pPr>
              <w:pStyle w:val="TableParagraph"/>
              <w:spacing w:line="273" w:lineRule="auto" w:before="0"/>
              <w:ind w:left="103" w:right="200"/>
              <w:rPr>
                <w:sz w:val="21"/>
              </w:rPr>
            </w:pPr>
            <w:r>
              <w:rPr>
                <w:spacing w:val="-9"/>
                <w:sz w:val="21"/>
              </w:rPr>
              <w:t>（2）左前降支、左旋支和右冠状动脉中，至少一支血管管腔堵塞 </w:t>
            </w:r>
            <w:r>
              <w:rPr>
                <w:sz w:val="21"/>
              </w:rPr>
              <w:t>75</w:t>
            </w:r>
            <w:r>
              <w:rPr>
                <w:spacing w:val="-6"/>
                <w:sz w:val="21"/>
              </w:rPr>
              <w:t>%以上，其他两</w:t>
            </w:r>
            <w:r>
              <w:rPr>
                <w:spacing w:val="-9"/>
                <w:sz w:val="21"/>
              </w:rPr>
              <w:t>支血管管腔堵塞 </w:t>
            </w:r>
            <w:r>
              <w:rPr>
                <w:sz w:val="21"/>
              </w:rPr>
              <w:t>60</w:t>
            </w:r>
            <w:r>
              <w:rPr>
                <w:spacing w:val="-1"/>
                <w:sz w:val="21"/>
              </w:rPr>
              <w:t>%以上。</w:t>
            </w:r>
          </w:p>
          <w:p>
            <w:pPr>
              <w:pStyle w:val="TableParagraph"/>
              <w:spacing w:line="273" w:lineRule="auto" w:before="14"/>
              <w:ind w:left="103" w:right="198"/>
              <w:rPr>
                <w:rFonts w:ascii="黑体" w:eastAsia="黑体" w:hint="eastAsia"/>
                <w:sz w:val="21"/>
              </w:rPr>
            </w:pPr>
            <w:r>
              <w:rPr>
                <w:rFonts w:ascii="黑体" w:eastAsia="黑体" w:hint="eastAsia"/>
                <w:spacing w:val="-7"/>
                <w:sz w:val="21"/>
              </w:rPr>
              <w:t>左前降支的分支血管、左旋支的分支血管及右冠状动脉的分支血管的狭窄不作为本</w:t>
            </w:r>
            <w:r>
              <w:rPr>
                <w:rFonts w:ascii="黑体" w:eastAsia="黑体" w:hint="eastAsia"/>
                <w:spacing w:val="-5"/>
                <w:sz w:val="21"/>
              </w:rPr>
              <w:t>保障的衡量指标。</w:t>
            </w:r>
          </w:p>
        </w:tc>
      </w:tr>
      <w:tr>
        <w:trPr>
          <w:trHeight w:val="1116" w:hRule="atLeast"/>
        </w:trPr>
        <w:tc>
          <w:tcPr>
            <w:tcW w:w="1515" w:type="dxa"/>
          </w:tcPr>
          <w:p>
            <w:pPr>
              <w:pStyle w:val="TableParagraph"/>
              <w:spacing w:line="273" w:lineRule="auto" w:before="66"/>
              <w:ind w:right="101"/>
              <w:rPr>
                <w:b/>
                <w:sz w:val="21"/>
              </w:rPr>
            </w:pPr>
            <w:r>
              <w:rPr>
                <w:b/>
                <w:sz w:val="21"/>
              </w:rPr>
              <w:t>73.严重肺源性心脏病</w:t>
            </w:r>
          </w:p>
        </w:tc>
        <w:tc>
          <w:tcPr>
            <w:tcW w:w="7834" w:type="dxa"/>
          </w:tcPr>
          <w:p>
            <w:pPr>
              <w:pStyle w:val="TableParagraph"/>
              <w:spacing w:line="273" w:lineRule="auto" w:before="66"/>
              <w:ind w:left="103" w:right="198"/>
              <w:rPr>
                <w:sz w:val="21"/>
              </w:rPr>
            </w:pPr>
            <w:r>
              <w:rPr>
                <w:spacing w:val="-5"/>
                <w:sz w:val="21"/>
              </w:rPr>
              <w:t>指被保人因慢性肺部疾病导致慢性心功能损害造成永久不可逆性的心功能衰竭。心</w:t>
            </w:r>
            <w:r>
              <w:rPr>
                <w:spacing w:val="-6"/>
                <w:sz w:val="21"/>
              </w:rPr>
              <w:t>功能衰竭程度达到纽约心脏病学会的心功能分级标准之心功能 </w:t>
            </w:r>
            <w:r>
              <w:rPr>
                <w:sz w:val="21"/>
              </w:rPr>
              <w:t>IV</w:t>
            </w:r>
            <w:r>
              <w:rPr>
                <w:spacing w:val="-8"/>
                <w:sz w:val="21"/>
              </w:rPr>
              <w:t> 级。被保险人永</w:t>
            </w:r>
            <w:r>
              <w:rPr>
                <w:spacing w:val="-5"/>
                <w:sz w:val="21"/>
              </w:rPr>
              <w:t>久不可逆性的体力活动能力受限，不能从事任何体力活动。</w:t>
            </w:r>
          </w:p>
        </w:tc>
      </w:tr>
      <w:tr>
        <w:trPr>
          <w:trHeight w:val="1732" w:hRule="atLeast"/>
        </w:trPr>
        <w:tc>
          <w:tcPr>
            <w:tcW w:w="1515" w:type="dxa"/>
          </w:tcPr>
          <w:p>
            <w:pPr>
              <w:pStyle w:val="TableParagraph"/>
              <w:spacing w:line="273" w:lineRule="auto" w:before="75"/>
              <w:ind w:right="101"/>
              <w:rPr>
                <w:b/>
                <w:sz w:val="21"/>
              </w:rPr>
            </w:pPr>
            <w:r>
              <w:rPr>
                <w:b/>
                <w:sz w:val="21"/>
              </w:rPr>
              <w:t>74.艾森门格综合征</w:t>
            </w:r>
          </w:p>
        </w:tc>
        <w:tc>
          <w:tcPr>
            <w:tcW w:w="7834" w:type="dxa"/>
          </w:tcPr>
          <w:p>
            <w:pPr>
              <w:pStyle w:val="TableParagraph"/>
              <w:spacing w:line="273" w:lineRule="auto" w:before="75"/>
              <w:ind w:left="103" w:right="157"/>
              <w:rPr>
                <w:sz w:val="21"/>
              </w:rPr>
            </w:pPr>
            <w:r>
              <w:rPr>
                <w:sz w:val="21"/>
              </w:rPr>
              <w:t>因心脏病导致的严重肺动脉高压及右向左分流。诊断必须由心脏专科医生经超声心动图和心导管检查证实及需符合以下所有标准：</w:t>
            </w:r>
          </w:p>
          <w:p>
            <w:pPr>
              <w:pStyle w:val="TableParagraph"/>
              <w:spacing w:before="7"/>
              <w:ind w:left="103"/>
              <w:rPr>
                <w:sz w:val="21"/>
              </w:rPr>
            </w:pPr>
            <w:r>
              <w:rPr>
                <w:sz w:val="21"/>
              </w:rPr>
              <w:t>1.平均肺动脉压高于 40mmHg；</w:t>
            </w:r>
          </w:p>
          <w:p>
            <w:pPr>
              <w:pStyle w:val="TableParagraph"/>
              <w:ind w:left="103"/>
              <w:rPr>
                <w:sz w:val="21"/>
              </w:rPr>
            </w:pPr>
            <w:r>
              <w:rPr>
                <w:w w:val="100"/>
                <w:sz w:val="21"/>
              </w:rPr>
              <w:t>2.</w:t>
            </w:r>
            <w:r>
              <w:rPr>
                <w:spacing w:val="-3"/>
                <w:w w:val="100"/>
                <w:sz w:val="21"/>
              </w:rPr>
              <w:t>肺血管阻力高于</w:t>
            </w:r>
            <w:r>
              <w:rPr>
                <w:spacing w:val="-52"/>
                <w:sz w:val="21"/>
              </w:rPr>
              <w:t> </w:t>
            </w:r>
            <w:r>
              <w:rPr>
                <w:spacing w:val="-3"/>
                <w:w w:val="100"/>
                <w:sz w:val="21"/>
              </w:rPr>
              <w:t>3</w:t>
            </w:r>
            <w:r>
              <w:rPr>
                <w:w w:val="100"/>
                <w:sz w:val="21"/>
              </w:rPr>
              <w:t>mm/</w:t>
            </w:r>
            <w:r>
              <w:rPr>
                <w:spacing w:val="-3"/>
                <w:w w:val="100"/>
                <w:sz w:val="21"/>
              </w:rPr>
              <w:t>L/</w:t>
            </w:r>
            <w:r>
              <w:rPr>
                <w:w w:val="100"/>
                <w:sz w:val="21"/>
              </w:rPr>
              <w:t>mi</w:t>
            </w:r>
            <w:r>
              <w:rPr>
                <w:spacing w:val="-1"/>
                <w:w w:val="100"/>
                <w:sz w:val="21"/>
              </w:rPr>
              <w:t>n</w:t>
            </w:r>
            <w:r>
              <w:rPr>
                <w:w w:val="100"/>
                <w:sz w:val="21"/>
              </w:rPr>
              <w:t>（</w:t>
            </w:r>
            <w:r>
              <w:rPr>
                <w:spacing w:val="-3"/>
                <w:w w:val="100"/>
                <w:sz w:val="21"/>
              </w:rPr>
              <w:t>W</w:t>
            </w:r>
            <w:r>
              <w:rPr>
                <w:w w:val="100"/>
                <w:sz w:val="21"/>
              </w:rPr>
              <w:t>ood</w:t>
            </w:r>
            <w:r>
              <w:rPr>
                <w:spacing w:val="-55"/>
                <w:sz w:val="21"/>
              </w:rPr>
              <w:t> </w:t>
            </w:r>
            <w:r>
              <w:rPr>
                <w:spacing w:val="-2"/>
                <w:w w:val="100"/>
                <w:sz w:val="21"/>
              </w:rPr>
              <w:t>单位</w:t>
            </w:r>
            <w:r>
              <w:rPr>
                <w:spacing w:val="-106"/>
                <w:w w:val="100"/>
                <w:sz w:val="21"/>
              </w:rPr>
              <w:t>）</w:t>
            </w:r>
            <w:r>
              <w:rPr>
                <w:w w:val="100"/>
                <w:sz w:val="21"/>
              </w:rPr>
              <w:t>；</w:t>
            </w:r>
          </w:p>
          <w:p>
            <w:pPr>
              <w:pStyle w:val="TableParagraph"/>
              <w:ind w:left="103"/>
              <w:rPr>
                <w:sz w:val="21"/>
              </w:rPr>
            </w:pPr>
            <w:r>
              <w:rPr>
                <w:sz w:val="21"/>
              </w:rPr>
              <w:t>3.正常肺微血管楔压低于 15mmHg。</w:t>
            </w:r>
          </w:p>
        </w:tc>
      </w:tr>
      <w:tr>
        <w:trPr>
          <w:trHeight w:val="2324" w:hRule="atLeast"/>
        </w:trPr>
        <w:tc>
          <w:tcPr>
            <w:tcW w:w="1515" w:type="dxa"/>
          </w:tcPr>
          <w:p>
            <w:pPr>
              <w:pStyle w:val="TableParagraph"/>
              <w:spacing w:before="58"/>
              <w:rPr>
                <w:b/>
                <w:sz w:val="21"/>
              </w:rPr>
            </w:pPr>
            <w:r>
              <w:rPr>
                <w:b/>
                <w:sz w:val="21"/>
              </w:rPr>
              <w:t>75.严重哮喘</w:t>
            </w:r>
          </w:p>
        </w:tc>
        <w:tc>
          <w:tcPr>
            <w:tcW w:w="7834" w:type="dxa"/>
          </w:tcPr>
          <w:p>
            <w:pPr>
              <w:pStyle w:val="TableParagraph"/>
              <w:spacing w:line="273" w:lineRule="auto" w:before="58"/>
              <w:ind w:left="103" w:right="157"/>
              <w:rPr>
                <w:sz w:val="21"/>
              </w:rPr>
            </w:pPr>
            <w:r>
              <w:rPr>
                <w:sz w:val="21"/>
              </w:rPr>
              <w:t>指一种反复发作的严重支气管阻塞性疾病，经本公司认可的专科医生确诊，且必须同时符合下列标准：</w:t>
            </w:r>
          </w:p>
          <w:p>
            <w:pPr>
              <w:pStyle w:val="TableParagraph"/>
              <w:spacing w:before="7"/>
              <w:ind w:left="103"/>
              <w:rPr>
                <w:sz w:val="21"/>
              </w:rPr>
            </w:pPr>
            <w:r>
              <w:rPr>
                <w:sz w:val="21"/>
              </w:rPr>
              <w:t>（1）过去两年中曾因哮喘持续状态住院治疗，并提供完整住院记录；</w:t>
            </w:r>
          </w:p>
          <w:p>
            <w:pPr>
              <w:pStyle w:val="TableParagraph"/>
              <w:ind w:left="103"/>
              <w:rPr>
                <w:sz w:val="21"/>
              </w:rPr>
            </w:pPr>
            <w:r>
              <w:rPr>
                <w:sz w:val="21"/>
              </w:rPr>
              <w:t>（2）因慢性过度换气导致胸廓畸形；</w:t>
            </w:r>
          </w:p>
          <w:p>
            <w:pPr>
              <w:pStyle w:val="TableParagraph"/>
              <w:ind w:left="103"/>
              <w:rPr>
                <w:sz w:val="21"/>
              </w:rPr>
            </w:pPr>
            <w:r>
              <w:rPr>
                <w:sz w:val="21"/>
              </w:rPr>
              <w:t>（3）在家中需要医生处方的氧气治疗法；</w:t>
            </w:r>
          </w:p>
          <w:p>
            <w:pPr>
              <w:pStyle w:val="TableParagraph"/>
              <w:spacing w:before="36"/>
              <w:ind w:left="103"/>
              <w:rPr>
                <w:sz w:val="21"/>
              </w:rPr>
            </w:pPr>
            <w:r>
              <w:rPr>
                <w:sz w:val="21"/>
              </w:rPr>
              <w:t>（4）持续日常服用口服类固醇激素治疗持续至少六个月。</w:t>
            </w:r>
          </w:p>
          <w:p>
            <w:pPr>
              <w:pStyle w:val="TableParagraph"/>
              <w:spacing w:before="36"/>
              <w:ind w:left="103"/>
              <w:rPr>
                <w:rFonts w:ascii="黑体" w:eastAsia="黑体" w:hint="eastAsia"/>
                <w:sz w:val="21"/>
              </w:rPr>
            </w:pPr>
            <w:r>
              <w:rPr>
                <w:rFonts w:ascii="黑体" w:eastAsia="黑体" w:hint="eastAsia"/>
                <w:sz w:val="21"/>
              </w:rPr>
              <w:t>被保险人申请理赔时年龄必须在年满二十五周岁之前。</w:t>
            </w:r>
          </w:p>
        </w:tc>
      </w:tr>
      <w:tr>
        <w:trPr>
          <w:trHeight w:val="1395" w:hRule="atLeast"/>
        </w:trPr>
        <w:tc>
          <w:tcPr>
            <w:tcW w:w="1515" w:type="dxa"/>
          </w:tcPr>
          <w:p>
            <w:pPr>
              <w:pStyle w:val="TableParagraph"/>
              <w:spacing w:before="43"/>
              <w:rPr>
                <w:b/>
                <w:sz w:val="21"/>
              </w:rPr>
            </w:pPr>
            <w:r>
              <w:rPr>
                <w:b/>
                <w:sz w:val="21"/>
              </w:rPr>
              <w:t>76.疯牛病</w:t>
            </w:r>
          </w:p>
        </w:tc>
        <w:tc>
          <w:tcPr>
            <w:tcW w:w="7834" w:type="dxa"/>
          </w:tcPr>
          <w:p>
            <w:pPr>
              <w:pStyle w:val="TableParagraph"/>
              <w:spacing w:line="273" w:lineRule="auto" w:before="43"/>
              <w:ind w:left="103" w:right="198"/>
              <w:rPr>
                <w:rFonts w:ascii="黑体" w:eastAsia="黑体" w:hint="eastAsia"/>
                <w:sz w:val="21"/>
              </w:rPr>
            </w:pPr>
            <w:r>
              <w:rPr>
                <w:spacing w:val="-6"/>
                <w:sz w:val="21"/>
              </w:rPr>
              <w:t>是一种传染性海绵状脑病，临床表现为快速进行性痴呆、肌阵挛和特征性脑电图变</w:t>
            </w:r>
            <w:r>
              <w:rPr>
                <w:spacing w:val="-8"/>
                <w:sz w:val="21"/>
              </w:rPr>
              <w:t>化。本病须经三级医院的专科医生根据 </w:t>
            </w:r>
            <w:r>
              <w:rPr>
                <w:sz w:val="21"/>
              </w:rPr>
              <w:t>WHO</w:t>
            </w:r>
            <w:r>
              <w:rPr>
                <w:spacing w:val="-10"/>
                <w:sz w:val="21"/>
              </w:rPr>
              <w:t> 诊断标准明确诊断，并且被保险人自主</w:t>
            </w:r>
            <w:r>
              <w:rPr>
                <w:spacing w:val="-5"/>
                <w:sz w:val="21"/>
              </w:rPr>
              <w:t>生活能力完全丧失，无法独立完成六项基本日常生活活动中的三项或三项以上。 </w:t>
            </w:r>
            <w:r>
              <w:rPr>
                <w:rFonts w:ascii="黑体" w:eastAsia="黑体" w:hint="eastAsia"/>
                <w:spacing w:val="-4"/>
                <w:sz w:val="21"/>
              </w:rPr>
              <w:t>疑似病例不在本保障范围内。</w:t>
            </w:r>
          </w:p>
        </w:tc>
      </w:tr>
      <w:tr>
        <w:trPr>
          <w:trHeight w:val="2311" w:hRule="atLeast"/>
        </w:trPr>
        <w:tc>
          <w:tcPr>
            <w:tcW w:w="1515" w:type="dxa"/>
          </w:tcPr>
          <w:p>
            <w:pPr>
              <w:pStyle w:val="TableParagraph"/>
              <w:spacing w:line="273" w:lineRule="auto" w:before="66"/>
              <w:ind w:right="101"/>
              <w:rPr>
                <w:b/>
                <w:sz w:val="21"/>
              </w:rPr>
            </w:pPr>
            <w:r>
              <w:rPr>
                <w:b/>
                <w:sz w:val="21"/>
              </w:rPr>
              <w:t>77.肌营养不良症</w:t>
            </w:r>
          </w:p>
        </w:tc>
        <w:tc>
          <w:tcPr>
            <w:tcW w:w="7834" w:type="dxa"/>
          </w:tcPr>
          <w:p>
            <w:pPr>
              <w:pStyle w:val="TableParagraph"/>
              <w:spacing w:line="273" w:lineRule="auto" w:before="66"/>
              <w:ind w:left="103" w:right="198"/>
              <w:rPr>
                <w:sz w:val="21"/>
              </w:rPr>
            </w:pPr>
            <w:r>
              <w:rPr>
                <w:spacing w:val="-6"/>
                <w:sz w:val="21"/>
              </w:rPr>
              <w:t>指一组遗传性肌肉变性病变，临床特征为与神经系统无关的骨骼肌肉对称地进行性</w:t>
            </w:r>
            <w:r>
              <w:rPr>
                <w:spacing w:val="-4"/>
                <w:sz w:val="21"/>
              </w:rPr>
              <w:t>无力和萎缩。其诊断需满足下列全部条件：</w:t>
            </w:r>
          </w:p>
          <w:p>
            <w:pPr>
              <w:pStyle w:val="TableParagraph"/>
              <w:numPr>
                <w:ilvl w:val="0"/>
                <w:numId w:val="60"/>
              </w:numPr>
              <w:tabs>
                <w:tab w:pos="824" w:val="left" w:leader="none"/>
              </w:tabs>
              <w:spacing w:line="240" w:lineRule="auto" w:before="8" w:after="0"/>
              <w:ind w:left="823" w:right="0" w:hanging="720"/>
              <w:jc w:val="left"/>
              <w:rPr>
                <w:sz w:val="21"/>
              </w:rPr>
            </w:pPr>
            <w:r>
              <w:rPr>
                <w:spacing w:val="-3"/>
                <w:sz w:val="21"/>
              </w:rPr>
              <w:t>肌电图显示典型肌营养不良症的阳性改变；</w:t>
            </w:r>
          </w:p>
          <w:p>
            <w:pPr>
              <w:pStyle w:val="TableParagraph"/>
              <w:numPr>
                <w:ilvl w:val="0"/>
                <w:numId w:val="60"/>
              </w:numPr>
              <w:tabs>
                <w:tab w:pos="824" w:val="left" w:leader="none"/>
              </w:tabs>
              <w:spacing w:line="273" w:lineRule="auto" w:before="36" w:after="0"/>
              <w:ind w:left="823" w:right="387" w:hanging="720"/>
              <w:jc w:val="left"/>
              <w:rPr>
                <w:sz w:val="21"/>
              </w:rPr>
            </w:pPr>
            <w:r>
              <w:rPr>
                <w:spacing w:val="-3"/>
                <w:sz w:val="21"/>
              </w:rPr>
              <w:t>肌肉活检的病理学诊断符合肌营养不良症的肌肉细胞变性</w:t>
            </w:r>
            <w:r>
              <w:rPr>
                <w:sz w:val="21"/>
              </w:rPr>
              <w:t>\</w:t>
            </w:r>
            <w:r>
              <w:rPr>
                <w:spacing w:val="-3"/>
                <w:sz w:val="21"/>
              </w:rPr>
              <w:t>坏死等阳性改变；</w:t>
            </w:r>
          </w:p>
          <w:p>
            <w:pPr>
              <w:pStyle w:val="TableParagraph"/>
              <w:numPr>
                <w:ilvl w:val="0"/>
                <w:numId w:val="60"/>
              </w:numPr>
              <w:tabs>
                <w:tab w:pos="824" w:val="left" w:leader="none"/>
              </w:tabs>
              <w:spacing w:line="273" w:lineRule="auto" w:before="7" w:after="0"/>
              <w:ind w:left="823" w:right="282" w:hanging="720"/>
              <w:jc w:val="left"/>
              <w:rPr>
                <w:sz w:val="21"/>
              </w:rPr>
            </w:pPr>
            <w:r>
              <w:rPr>
                <w:spacing w:val="-3"/>
                <w:sz w:val="21"/>
              </w:rPr>
              <w:t>已导致被保险人持续超过三个月无法独立完成六项基本日常生活活动中的三项或三项以上。</w:t>
            </w:r>
          </w:p>
        </w:tc>
      </w:tr>
      <w:tr>
        <w:trPr>
          <w:trHeight w:val="1967" w:hRule="atLeast"/>
        </w:trPr>
        <w:tc>
          <w:tcPr>
            <w:tcW w:w="1515" w:type="dxa"/>
          </w:tcPr>
          <w:p>
            <w:pPr>
              <w:pStyle w:val="TableParagraph"/>
              <w:spacing w:line="273" w:lineRule="auto" w:before="22"/>
              <w:ind w:right="101"/>
              <w:rPr>
                <w:b/>
                <w:sz w:val="21"/>
              </w:rPr>
            </w:pPr>
            <w:r>
              <w:rPr>
                <w:b/>
                <w:sz w:val="21"/>
              </w:rPr>
              <w:t>78.严重心肌炎</w:t>
            </w:r>
          </w:p>
        </w:tc>
        <w:tc>
          <w:tcPr>
            <w:tcW w:w="7834" w:type="dxa"/>
          </w:tcPr>
          <w:p>
            <w:pPr>
              <w:pStyle w:val="TableParagraph"/>
              <w:spacing w:line="273" w:lineRule="auto" w:before="22"/>
              <w:ind w:left="103" w:right="371"/>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103" w:right="198"/>
              <w:rPr>
                <w:sz w:val="21"/>
              </w:rPr>
            </w:pPr>
            <w:r>
              <w:rPr>
                <w:spacing w:val="-7"/>
                <w:sz w:val="21"/>
              </w:rPr>
              <w:t>（1）</w:t>
            </w:r>
            <w:r>
              <w:rPr>
                <w:spacing w:val="-5"/>
                <w:sz w:val="21"/>
              </w:rPr>
              <w:t>心功能衰竭程度达到纽约心脏病学会的心功能分级标准之心功能 </w:t>
            </w:r>
            <w:r>
              <w:rPr>
                <w:sz w:val="21"/>
              </w:rPr>
              <w:t>IV</w:t>
            </w:r>
            <w:r>
              <w:rPr>
                <w:spacing w:val="-12"/>
                <w:sz w:val="21"/>
              </w:rPr>
              <w:t> 级，或左</w:t>
            </w:r>
            <w:r>
              <w:rPr>
                <w:spacing w:val="-11"/>
                <w:sz w:val="21"/>
              </w:rPr>
              <w:t>室射血分数低于 </w:t>
            </w:r>
            <w:r>
              <w:rPr>
                <w:sz w:val="21"/>
              </w:rPr>
              <w:t>30%；</w:t>
            </w:r>
          </w:p>
          <w:p>
            <w:pPr>
              <w:pStyle w:val="TableParagraph"/>
              <w:spacing w:before="7"/>
              <w:ind w:left="103"/>
              <w:rPr>
                <w:sz w:val="21"/>
              </w:rPr>
            </w:pPr>
            <w:r>
              <w:rPr>
                <w:sz w:val="21"/>
              </w:rPr>
              <w:t>（2）持续不间断 180 天以上；</w:t>
            </w:r>
          </w:p>
          <w:p>
            <w:pPr>
              <w:pStyle w:val="TableParagraph"/>
              <w:ind w:left="103"/>
              <w:rPr>
                <w:sz w:val="21"/>
              </w:rPr>
            </w:pPr>
            <w:r>
              <w:rPr>
                <w:sz w:val="21"/>
              </w:rPr>
              <w:t>（3）被保险人永久不可逆性的体力活动能力受限，不能从事任何体力活动。</w:t>
            </w:r>
          </w:p>
        </w:tc>
      </w:tr>
      <w:tr>
        <w:trPr>
          <w:trHeight w:val="938" w:hRule="atLeast"/>
        </w:trPr>
        <w:tc>
          <w:tcPr>
            <w:tcW w:w="1515" w:type="dxa"/>
          </w:tcPr>
          <w:p>
            <w:pPr>
              <w:pStyle w:val="TableParagraph"/>
              <w:spacing w:line="273" w:lineRule="auto" w:before="33"/>
              <w:ind w:right="101"/>
              <w:rPr>
                <w:b/>
                <w:sz w:val="21"/>
              </w:rPr>
            </w:pPr>
            <w:r>
              <w:rPr>
                <w:b/>
                <w:sz w:val="21"/>
              </w:rPr>
              <w:t>79.肝豆状核变性</w:t>
            </w:r>
          </w:p>
        </w:tc>
        <w:tc>
          <w:tcPr>
            <w:tcW w:w="7834" w:type="dxa"/>
          </w:tcPr>
          <w:p>
            <w:pPr>
              <w:pStyle w:val="TableParagraph"/>
              <w:spacing w:line="273" w:lineRule="auto" w:before="33"/>
              <w:ind w:left="103" w:right="157"/>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line="261" w:lineRule="exact" w:before="7"/>
              <w:ind w:left="103"/>
              <w:rPr>
                <w:sz w:val="21"/>
              </w:rPr>
            </w:pPr>
            <w:r>
              <w:rPr>
                <w:sz w:val="21"/>
              </w:rPr>
              <w:t>（1）典型症状；</w:t>
            </w:r>
          </w:p>
        </w:tc>
      </w:tr>
    </w:tbl>
    <w:p>
      <w:pPr>
        <w:spacing w:after="0" w:line="261" w:lineRule="exact"/>
        <w:rPr>
          <w:sz w:val="21"/>
        </w:rPr>
        <w:sectPr>
          <w:pgSz w:w="11910" w:h="16840"/>
          <w:pgMar w:header="0" w:footer="377" w:top="1340" w:bottom="560" w:left="152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7901"/>
      </w:tblGrid>
      <w:tr>
        <w:trPr>
          <w:trHeight w:val="885" w:hRule="atLeast"/>
        </w:trPr>
        <w:tc>
          <w:tcPr>
            <w:tcW w:w="1552" w:type="dxa"/>
          </w:tcPr>
          <w:p>
            <w:pPr>
              <w:pStyle w:val="TableParagraph"/>
              <w:spacing w:before="0"/>
              <w:ind w:left="0"/>
              <w:rPr>
                <w:rFonts w:ascii="Times New Roman"/>
                <w:sz w:val="20"/>
              </w:rPr>
            </w:pPr>
          </w:p>
        </w:tc>
        <w:tc>
          <w:tcPr>
            <w:tcW w:w="7901" w:type="dxa"/>
          </w:tcPr>
          <w:p>
            <w:pPr>
              <w:pStyle w:val="TableParagraph"/>
              <w:spacing w:line="205" w:lineRule="exact" w:before="0"/>
              <w:ind w:left="66"/>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ind w:left="66"/>
              <w:rPr>
                <w:sz w:val="21"/>
              </w:rPr>
            </w:pPr>
            <w:r>
              <w:rPr>
                <w:sz w:val="21"/>
              </w:rPr>
              <w:t>（3）血清铜和血清铜蓝蛋白降低，尿铜增加；</w:t>
            </w:r>
          </w:p>
          <w:p>
            <w:pPr>
              <w:pStyle w:val="TableParagraph"/>
              <w:ind w:left="66"/>
              <w:rPr>
                <w:sz w:val="21"/>
              </w:rPr>
            </w:pPr>
            <w:r>
              <w:rPr>
                <w:sz w:val="21"/>
              </w:rPr>
              <w:t>（4）经肝脏活检确诊。</w:t>
            </w:r>
          </w:p>
        </w:tc>
      </w:tr>
      <w:tr>
        <w:trPr>
          <w:trHeight w:val="1624" w:hRule="atLeast"/>
        </w:trPr>
        <w:tc>
          <w:tcPr>
            <w:tcW w:w="1552" w:type="dxa"/>
          </w:tcPr>
          <w:p>
            <w:pPr>
              <w:pStyle w:val="TableParagraph"/>
              <w:spacing w:line="256" w:lineRule="exact" w:before="0"/>
              <w:rPr>
                <w:b/>
                <w:sz w:val="21"/>
              </w:rPr>
            </w:pPr>
            <w:r>
              <w:rPr>
                <w:b/>
                <w:sz w:val="21"/>
              </w:rPr>
              <w:t>80. 严重的 </w:t>
            </w:r>
          </w:p>
          <w:p>
            <w:pPr>
              <w:pStyle w:val="TableParagraph"/>
              <w:spacing w:line="273" w:lineRule="auto"/>
              <w:ind w:right="76"/>
              <w:rPr>
                <w:b/>
                <w:sz w:val="21"/>
              </w:rPr>
            </w:pPr>
            <w:r>
              <w:rPr>
                <w:b/>
                <w:sz w:val="21"/>
              </w:rPr>
              <w:t>III 度房室传导阻滞</w:t>
            </w:r>
          </w:p>
        </w:tc>
        <w:tc>
          <w:tcPr>
            <w:tcW w:w="7901" w:type="dxa"/>
          </w:tcPr>
          <w:p>
            <w:pPr>
              <w:pStyle w:val="TableParagraph"/>
              <w:spacing w:line="256" w:lineRule="exact" w:before="0"/>
              <w:ind w:left="66"/>
              <w:rPr>
                <w:sz w:val="21"/>
              </w:rPr>
            </w:pPr>
            <w:r>
              <w:rPr>
                <w:sz w:val="21"/>
              </w:rPr>
              <w:t>指心房激动在房室交界区、房室束及其分支内发生阻滞，不能正常地传到心室的心</w:t>
            </w:r>
          </w:p>
          <w:p>
            <w:pPr>
              <w:pStyle w:val="TableParagraph"/>
              <w:ind w:left="66"/>
              <w:rPr>
                <w:sz w:val="21"/>
              </w:rPr>
            </w:pPr>
            <w:r>
              <w:rPr>
                <w:sz w:val="21"/>
              </w:rPr>
              <w:t>脏传导性疾病，须满足下列所有条件：</w:t>
            </w:r>
          </w:p>
          <w:p>
            <w:pPr>
              <w:pStyle w:val="TableParagraph"/>
              <w:ind w:left="66"/>
              <w:rPr>
                <w:sz w:val="21"/>
              </w:rPr>
            </w:pPr>
            <w:r>
              <w:rPr>
                <w:sz w:val="21"/>
              </w:rPr>
              <w:t>（1）心电图显示房室搏动彼此独立，心室率&lt;50 次/分钟；</w:t>
            </w:r>
          </w:p>
          <w:p>
            <w:pPr>
              <w:pStyle w:val="TableParagraph"/>
              <w:ind w:left="66"/>
              <w:rPr>
                <w:sz w:val="21"/>
              </w:rPr>
            </w:pPr>
            <w:r>
              <w:rPr>
                <w:sz w:val="21"/>
              </w:rPr>
              <w:t>（2）出现阿-斯综合征或心力衰竭的表现；</w:t>
            </w:r>
          </w:p>
          <w:p>
            <w:pPr>
              <w:pStyle w:val="TableParagraph"/>
              <w:ind w:left="66"/>
              <w:rPr>
                <w:sz w:val="21"/>
              </w:rPr>
            </w:pPr>
            <w:r>
              <w:rPr>
                <w:sz w:val="21"/>
              </w:rPr>
              <w:t>（3）必须持续性依赖心脏起搏器维持心脏正常功能，且已经放置心脏起搏器。</w:t>
            </w:r>
          </w:p>
        </w:tc>
      </w:tr>
      <w:tr>
        <w:trPr>
          <w:trHeight w:val="1691" w:hRule="atLeast"/>
        </w:trPr>
        <w:tc>
          <w:tcPr>
            <w:tcW w:w="1552" w:type="dxa"/>
          </w:tcPr>
          <w:p>
            <w:pPr>
              <w:pStyle w:val="TableParagraph"/>
              <w:spacing w:before="45"/>
              <w:ind w:left="0" w:right="188"/>
              <w:jc w:val="right"/>
              <w:rPr>
                <w:b/>
                <w:sz w:val="21"/>
              </w:rPr>
            </w:pPr>
            <w:r>
              <w:rPr>
                <w:b/>
                <w:sz w:val="21"/>
              </w:rPr>
              <w:t>81.严重癫痫</w:t>
            </w:r>
          </w:p>
        </w:tc>
        <w:tc>
          <w:tcPr>
            <w:tcW w:w="7901" w:type="dxa"/>
          </w:tcPr>
          <w:p>
            <w:pPr>
              <w:pStyle w:val="TableParagraph"/>
              <w:spacing w:line="273" w:lineRule="auto" w:before="45"/>
              <w:ind w:left="66" w:right="302"/>
              <w:jc w:val="both"/>
              <w:rPr>
                <w:sz w:val="21"/>
              </w:rPr>
            </w:pPr>
            <w:r>
              <w:rPr>
                <w:spacing w:val="-4"/>
                <w:sz w:val="21"/>
              </w:rPr>
              <w:t>本病的诊断须由神经科或儿科专科医生根据典型临床症状和脑电图及 </w:t>
            </w:r>
            <w:r>
              <w:rPr>
                <w:sz w:val="21"/>
              </w:rPr>
              <w:t>MRI</w:t>
            </w:r>
            <w:r>
              <w:rPr>
                <w:spacing w:val="-44"/>
                <w:sz w:val="21"/>
              </w:rPr>
              <w:t>、</w:t>
            </w:r>
            <w:r>
              <w:rPr>
                <w:sz w:val="21"/>
              </w:rPr>
              <w:t>PET</w:t>
            </w:r>
            <w:r>
              <w:rPr>
                <w:spacing w:val="-44"/>
                <w:sz w:val="21"/>
              </w:rPr>
              <w:t>、</w:t>
            </w:r>
            <w:r>
              <w:rPr>
                <w:spacing w:val="-3"/>
                <w:sz w:val="21"/>
              </w:rPr>
              <w:t>CT </w:t>
            </w:r>
            <w:r>
              <w:rPr>
                <w:spacing w:val="-9"/>
                <w:sz w:val="21"/>
              </w:rPr>
              <w:t>等影相学检查做出。理赔时必须提供 </w:t>
            </w:r>
            <w:r>
              <w:rPr>
                <w:sz w:val="21"/>
              </w:rPr>
              <w:t>6</w:t>
            </w:r>
            <w:r>
              <w:rPr>
                <w:spacing w:val="-7"/>
                <w:sz w:val="21"/>
              </w:rPr>
              <w:t> 个月以上的相关病历记录证明被保险人存在经抗癫痫药物治疗无效而反复发作的强直阵挛性发作或癫痫大发作，且已行神经外</w:t>
            </w:r>
            <w:r>
              <w:rPr>
                <w:spacing w:val="-5"/>
                <w:sz w:val="21"/>
              </w:rPr>
              <w:t>科手术以治疗反复发作的癫痫。</w:t>
            </w:r>
          </w:p>
          <w:p>
            <w:pPr>
              <w:pStyle w:val="TableParagraph"/>
              <w:spacing w:before="7"/>
              <w:ind w:left="66"/>
              <w:jc w:val="both"/>
              <w:rPr>
                <w:rFonts w:ascii="黑体" w:eastAsia="黑体" w:hint="eastAsia"/>
                <w:sz w:val="21"/>
              </w:rPr>
            </w:pPr>
            <w:r>
              <w:rPr>
                <w:rFonts w:ascii="黑体" w:eastAsia="黑体" w:hint="eastAsia"/>
                <w:sz w:val="21"/>
              </w:rPr>
              <w:t>发热性惊厥以及没有全身性发作的失神发作（癫痫小发作）不在本保障范围内。</w:t>
            </w:r>
          </w:p>
        </w:tc>
      </w:tr>
      <w:tr>
        <w:trPr>
          <w:trHeight w:val="1390" w:hRule="atLeast"/>
        </w:trPr>
        <w:tc>
          <w:tcPr>
            <w:tcW w:w="1552" w:type="dxa"/>
          </w:tcPr>
          <w:p>
            <w:pPr>
              <w:pStyle w:val="TableParagraph"/>
              <w:spacing w:line="273" w:lineRule="auto" w:before="46"/>
              <w:ind w:right="138"/>
              <w:rPr>
                <w:b/>
                <w:sz w:val="21"/>
              </w:rPr>
            </w:pPr>
            <w:r>
              <w:rPr>
                <w:b/>
                <w:sz w:val="21"/>
              </w:rPr>
              <w:t>82.骨生长不全症</w:t>
            </w:r>
          </w:p>
        </w:tc>
        <w:tc>
          <w:tcPr>
            <w:tcW w:w="7901" w:type="dxa"/>
          </w:tcPr>
          <w:p>
            <w:pPr>
              <w:pStyle w:val="TableParagraph"/>
              <w:spacing w:line="273" w:lineRule="auto" w:before="46"/>
              <w:ind w:left="66" w:right="199"/>
              <w:rPr>
                <w:sz w:val="21"/>
              </w:rPr>
            </w:pPr>
            <w:r>
              <w:rPr>
                <w:spacing w:val="-4"/>
                <w:sz w:val="21"/>
              </w:rPr>
              <w:t>指一种胶原病，特征为骨易碎，骨质疏松和易骨折。该病有 </w:t>
            </w:r>
            <w:r>
              <w:rPr>
                <w:sz w:val="21"/>
              </w:rPr>
              <w:t>4</w:t>
            </w:r>
            <w:r>
              <w:rPr>
                <w:spacing w:val="-5"/>
                <w:sz w:val="21"/>
              </w:rPr>
              <w:t> 种类型：</w:t>
            </w:r>
            <w:r>
              <w:rPr>
                <w:sz w:val="21"/>
              </w:rPr>
              <w:t>I</w:t>
            </w:r>
            <w:r>
              <w:rPr>
                <w:spacing w:val="11"/>
                <w:sz w:val="21"/>
              </w:rPr>
              <w:t> 型、</w:t>
            </w:r>
            <w:r>
              <w:rPr>
                <w:sz w:val="21"/>
              </w:rPr>
              <w:t>II </w:t>
            </w:r>
            <w:r>
              <w:rPr>
                <w:spacing w:val="-15"/>
                <w:sz w:val="21"/>
              </w:rPr>
              <w:t>型、</w:t>
            </w:r>
            <w:r>
              <w:rPr>
                <w:sz w:val="21"/>
              </w:rPr>
              <w:t>III</w:t>
            </w:r>
            <w:r>
              <w:rPr>
                <w:spacing w:val="-26"/>
                <w:sz w:val="21"/>
              </w:rPr>
              <w:t> 型、</w:t>
            </w:r>
            <w:r>
              <w:rPr>
                <w:sz w:val="21"/>
              </w:rPr>
              <w:t>IV</w:t>
            </w:r>
            <w:r>
              <w:rPr>
                <w:spacing w:val="-20"/>
                <w:sz w:val="21"/>
              </w:rPr>
              <w:t> 型。只保障 </w:t>
            </w:r>
            <w:r>
              <w:rPr>
                <w:sz w:val="21"/>
              </w:rPr>
              <w:t>III</w:t>
            </w:r>
            <w:r>
              <w:rPr>
                <w:spacing w:val="-12"/>
                <w:sz w:val="21"/>
              </w:rPr>
              <w:t> 型成骨不全的情形。其主要临床特点有：发展迟缓、</w:t>
            </w:r>
            <w:r>
              <w:rPr>
                <w:spacing w:val="-6"/>
                <w:sz w:val="21"/>
              </w:rPr>
              <w:t>多发性骨折、进行性脊柱后侧凸及听力损害。</w:t>
            </w:r>
            <w:r>
              <w:rPr>
                <w:sz w:val="21"/>
              </w:rPr>
              <w:t>III</w:t>
            </w:r>
            <w:r>
              <w:rPr>
                <w:spacing w:val="-8"/>
                <w:sz w:val="21"/>
              </w:rPr>
              <w:t> 型成骨不全的诊断必须根据身体</w:t>
            </w:r>
            <w:r>
              <w:rPr>
                <w:spacing w:val="-5"/>
                <w:sz w:val="21"/>
              </w:rPr>
              <w:t>检查，家族史，</w:t>
            </w:r>
            <w:r>
              <w:rPr>
                <w:sz w:val="21"/>
              </w:rPr>
              <w:t>X</w:t>
            </w:r>
            <w:r>
              <w:rPr>
                <w:spacing w:val="-7"/>
                <w:sz w:val="21"/>
              </w:rPr>
              <w:t> 线检查和皮肤活检报告资料确诊。</w:t>
            </w:r>
          </w:p>
        </w:tc>
      </w:tr>
      <w:tr>
        <w:trPr>
          <w:trHeight w:val="810" w:hRule="atLeast"/>
        </w:trPr>
        <w:tc>
          <w:tcPr>
            <w:tcW w:w="1552" w:type="dxa"/>
          </w:tcPr>
          <w:p>
            <w:pPr>
              <w:pStyle w:val="TableParagraph"/>
              <w:spacing w:before="57"/>
              <w:ind w:left="0" w:right="188"/>
              <w:jc w:val="right"/>
              <w:rPr>
                <w:b/>
                <w:sz w:val="21"/>
              </w:rPr>
            </w:pPr>
            <w:r>
              <w:rPr>
                <w:b/>
                <w:sz w:val="21"/>
              </w:rPr>
              <w:t>83.小肠移植</w:t>
            </w:r>
          </w:p>
        </w:tc>
        <w:tc>
          <w:tcPr>
            <w:tcW w:w="7901" w:type="dxa"/>
          </w:tcPr>
          <w:p>
            <w:pPr>
              <w:pStyle w:val="TableParagraph"/>
              <w:spacing w:line="273" w:lineRule="auto" w:before="57"/>
              <w:ind w:left="66" w:right="268"/>
              <w:rPr>
                <w:sz w:val="21"/>
              </w:rPr>
            </w:pPr>
            <w:r>
              <w:rPr>
                <w:sz w:val="21"/>
              </w:rPr>
              <w:t>指因肠道疾病或外伤，已经实施了在全身麻醉下进行的小肠的异体器官移植手术。此手术必须由专科医生认为是医学上必需的情况下进行。</w:t>
            </w:r>
          </w:p>
        </w:tc>
      </w:tr>
      <w:tr>
        <w:trPr>
          <w:trHeight w:val="1436" w:hRule="atLeast"/>
        </w:trPr>
        <w:tc>
          <w:tcPr>
            <w:tcW w:w="1552" w:type="dxa"/>
          </w:tcPr>
          <w:p>
            <w:pPr>
              <w:pStyle w:val="TableParagraph"/>
              <w:spacing w:line="273" w:lineRule="auto" w:before="90"/>
              <w:ind w:right="138"/>
              <w:rPr>
                <w:b/>
                <w:sz w:val="21"/>
              </w:rPr>
            </w:pPr>
            <w:r>
              <w:rPr>
                <w:b/>
                <w:sz w:val="21"/>
              </w:rPr>
              <w:t>84.细菌性脑脊髓膜炎</w:t>
            </w:r>
          </w:p>
        </w:tc>
        <w:tc>
          <w:tcPr>
            <w:tcW w:w="7901" w:type="dxa"/>
          </w:tcPr>
          <w:p>
            <w:pPr>
              <w:pStyle w:val="TableParagraph"/>
              <w:spacing w:line="273" w:lineRule="auto" w:before="90"/>
              <w:ind w:left="66" w:right="307"/>
              <w:rPr>
                <w:sz w:val="21"/>
              </w:rPr>
            </w:pPr>
            <w:r>
              <w:rPr>
                <w:spacing w:val="-8"/>
                <w:sz w:val="21"/>
              </w:rPr>
              <w:t>指因脑膜炎双球菌感染引起脑脊髓膜化脓性病变，且导致永久性神经损害，持续 </w:t>
            </w:r>
            <w:r>
              <w:rPr>
                <w:spacing w:val="-3"/>
                <w:sz w:val="21"/>
              </w:rPr>
              <w:t>90 天以上，并且脑脊液检查显示脑膜炎双球菌阳性。</w:t>
            </w:r>
          </w:p>
          <w:p>
            <w:pPr>
              <w:pStyle w:val="TableParagraph"/>
              <w:spacing w:line="273" w:lineRule="auto" w:before="7"/>
              <w:ind w:left="66" w:right="197"/>
              <w:rPr>
                <w:sz w:val="21"/>
              </w:rPr>
            </w:pPr>
            <w:r>
              <w:rPr>
                <w:spacing w:val="-9"/>
                <w:sz w:val="21"/>
              </w:rPr>
              <w:t>永久性神经损害是指由细菌性脑脊髓膜炎引起的耳聋、失明、动眼神经麻痹、瘫痪、</w:t>
            </w:r>
            <w:r>
              <w:rPr>
                <w:spacing w:val="-7"/>
                <w:sz w:val="21"/>
              </w:rPr>
              <w:t>脑积水、智力或性情中度以上的损害，且上述症状持续 </w:t>
            </w:r>
            <w:r>
              <w:rPr>
                <w:sz w:val="21"/>
              </w:rPr>
              <w:t>90</w:t>
            </w:r>
            <w:r>
              <w:rPr>
                <w:spacing w:val="-1"/>
                <w:sz w:val="21"/>
              </w:rPr>
              <w:t> 天以上仍无改善迹象。</w:t>
            </w:r>
          </w:p>
        </w:tc>
      </w:tr>
      <w:tr>
        <w:trPr>
          <w:trHeight w:val="2653" w:hRule="atLeast"/>
        </w:trPr>
        <w:tc>
          <w:tcPr>
            <w:tcW w:w="1552" w:type="dxa"/>
          </w:tcPr>
          <w:p>
            <w:pPr>
              <w:pStyle w:val="TableParagraph"/>
              <w:spacing w:line="273" w:lineRule="auto" w:before="60"/>
              <w:ind w:right="138"/>
              <w:jc w:val="both"/>
              <w:rPr>
                <w:b/>
                <w:sz w:val="21"/>
              </w:rPr>
            </w:pPr>
            <w:r>
              <w:rPr>
                <w:b/>
                <w:spacing w:val="2"/>
                <w:sz w:val="21"/>
              </w:rPr>
              <w:t>85</w:t>
            </w:r>
            <w:r>
              <w:rPr>
                <w:b/>
                <w:spacing w:val="5"/>
                <w:sz w:val="21"/>
              </w:rPr>
              <w:t>.器官移植</w:t>
            </w:r>
            <w:r>
              <w:rPr>
                <w:b/>
                <w:spacing w:val="-12"/>
                <w:sz w:val="21"/>
              </w:rPr>
              <w:t>导 致 的 </w:t>
            </w:r>
            <w:r>
              <w:rPr>
                <w:b/>
                <w:sz w:val="21"/>
              </w:rPr>
              <w:t>HIV 感染</w:t>
            </w:r>
          </w:p>
        </w:tc>
        <w:tc>
          <w:tcPr>
            <w:tcW w:w="7901" w:type="dxa"/>
          </w:tcPr>
          <w:p>
            <w:pPr>
              <w:pStyle w:val="TableParagraph"/>
              <w:spacing w:before="60"/>
              <w:ind w:left="66"/>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numPr>
                <w:ilvl w:val="0"/>
                <w:numId w:val="61"/>
              </w:numPr>
              <w:tabs>
                <w:tab w:pos="787" w:val="left" w:leader="none"/>
              </w:tabs>
              <w:spacing w:line="273" w:lineRule="auto" w:before="37" w:after="0"/>
              <w:ind w:left="786" w:right="386" w:hanging="720"/>
              <w:jc w:val="left"/>
              <w:rPr>
                <w:sz w:val="21"/>
              </w:rPr>
            </w:pPr>
            <w:r>
              <w:rPr>
                <w:spacing w:val="-3"/>
                <w:sz w:val="21"/>
              </w:rPr>
              <w:t>在保障起始日或复效日之后，被保险人因治疗必需而实施器官移植，并且因器官移植而感染人类免疫缺陷病毒；</w:t>
            </w:r>
          </w:p>
          <w:p>
            <w:pPr>
              <w:pStyle w:val="TableParagraph"/>
              <w:numPr>
                <w:ilvl w:val="0"/>
                <w:numId w:val="61"/>
              </w:numPr>
              <w:tabs>
                <w:tab w:pos="787" w:val="left" w:leader="none"/>
              </w:tabs>
              <w:spacing w:line="273" w:lineRule="auto" w:before="7" w:after="0"/>
              <w:ind w:left="786" w:right="386" w:hanging="720"/>
              <w:jc w:val="left"/>
              <w:rPr>
                <w:sz w:val="21"/>
              </w:rPr>
            </w:pPr>
            <w:r>
              <w:rPr>
                <w:spacing w:val="-3"/>
                <w:sz w:val="21"/>
              </w:rPr>
              <w:t>提供器官移植治疗的器官移植中心或医院出具该项器官移植感染，属于医疗责任事故的报告，或者法院终审裁定为医疗责任并且不准上诉；</w:t>
            </w:r>
          </w:p>
          <w:p>
            <w:pPr>
              <w:pStyle w:val="TableParagraph"/>
              <w:numPr>
                <w:ilvl w:val="0"/>
                <w:numId w:val="61"/>
              </w:numPr>
              <w:tabs>
                <w:tab w:pos="787" w:val="left" w:leader="none"/>
              </w:tabs>
              <w:spacing w:line="240" w:lineRule="auto" w:before="7" w:after="0"/>
              <w:ind w:left="786" w:right="0" w:hanging="720"/>
              <w:jc w:val="left"/>
              <w:rPr>
                <w:sz w:val="21"/>
              </w:rPr>
            </w:pPr>
            <w:r>
              <w:rPr>
                <w:spacing w:val="-3"/>
                <w:sz w:val="21"/>
              </w:rPr>
              <w:t>提供器官移植治疗的器官移植中心或医院必须拥有合法经营执照；</w:t>
            </w:r>
          </w:p>
          <w:p>
            <w:pPr>
              <w:pStyle w:val="TableParagraph"/>
              <w:spacing w:line="273" w:lineRule="auto"/>
              <w:ind w:left="66" w:right="302"/>
              <w:rPr>
                <w:rFonts w:ascii="黑体" w:eastAsia="黑体" w:hint="eastAsia"/>
                <w:sz w:val="21"/>
              </w:rPr>
            </w:pPr>
            <w:r>
              <w:rPr>
                <w:rFonts w:ascii="黑体" w:eastAsia="黑体" w:hint="eastAsia"/>
                <w:spacing w:val="-5"/>
                <w:sz w:val="21"/>
              </w:rPr>
              <w:t>任何因其他传播方式</w:t>
            </w:r>
            <w:r>
              <w:rPr>
                <w:rFonts w:ascii="黑体" w:eastAsia="黑体" w:hint="eastAsia"/>
                <w:sz w:val="21"/>
              </w:rPr>
              <w:t>（</w:t>
            </w:r>
            <w:r>
              <w:rPr>
                <w:rFonts w:ascii="黑体" w:eastAsia="黑体" w:hint="eastAsia"/>
                <w:spacing w:val="-5"/>
                <w:sz w:val="21"/>
              </w:rPr>
              <w:t>包括：性传播或静脉注射毒品</w:t>
            </w:r>
            <w:r>
              <w:rPr>
                <w:rFonts w:ascii="黑体" w:eastAsia="黑体" w:hint="eastAsia"/>
                <w:spacing w:val="-13"/>
                <w:sz w:val="21"/>
              </w:rPr>
              <w:t>）</w:t>
            </w:r>
            <w:r>
              <w:rPr>
                <w:rFonts w:ascii="黑体" w:eastAsia="黑体" w:hint="eastAsia"/>
                <w:spacing w:val="-10"/>
                <w:sz w:val="21"/>
              </w:rPr>
              <w:t>导致的 </w:t>
            </w:r>
            <w:r>
              <w:rPr>
                <w:rFonts w:ascii="黑体" w:eastAsia="黑体" w:hint="eastAsia"/>
                <w:sz w:val="21"/>
              </w:rPr>
              <w:t>HIV</w:t>
            </w:r>
            <w:r>
              <w:rPr>
                <w:rFonts w:ascii="黑体" w:eastAsia="黑体" w:hint="eastAsia"/>
                <w:spacing w:val="-8"/>
                <w:sz w:val="21"/>
              </w:rPr>
              <w:t> 感染不在保障范围内。</w:t>
            </w:r>
          </w:p>
        </w:tc>
      </w:tr>
      <w:tr>
        <w:trPr>
          <w:trHeight w:val="1400" w:hRule="atLeast"/>
        </w:trPr>
        <w:tc>
          <w:tcPr>
            <w:tcW w:w="1552" w:type="dxa"/>
          </w:tcPr>
          <w:p>
            <w:pPr>
              <w:pStyle w:val="TableParagraph"/>
              <w:spacing w:line="273" w:lineRule="auto" w:before="58"/>
              <w:ind w:right="147"/>
              <w:rPr>
                <w:b/>
                <w:sz w:val="21"/>
              </w:rPr>
            </w:pPr>
            <w:r>
              <w:rPr>
                <w:b/>
                <w:sz w:val="21"/>
              </w:rPr>
              <w:t>86.主动脉夹层瘤</w:t>
            </w:r>
          </w:p>
        </w:tc>
        <w:tc>
          <w:tcPr>
            <w:tcW w:w="7901" w:type="dxa"/>
          </w:tcPr>
          <w:p>
            <w:pPr>
              <w:pStyle w:val="TableParagraph"/>
              <w:spacing w:line="273" w:lineRule="auto" w:before="58"/>
              <w:ind w:left="66" w:right="266"/>
              <w:jc w:val="both"/>
              <w:rPr>
                <w:sz w:val="21"/>
              </w:rPr>
            </w:pPr>
            <w:r>
              <w:rPr>
                <w:spacing w:val="-5"/>
                <w:sz w:val="21"/>
              </w:rPr>
              <w:t>是指主动脉壁在受到某些病理因素的破坏后，高速、高压的主动脉血流将其内膜撕</w:t>
            </w:r>
            <w:r>
              <w:rPr>
                <w:spacing w:val="-4"/>
                <w:sz w:val="21"/>
              </w:rPr>
              <w:t>裂，以致主动脉腔内的血流通过主动脉内膜的破裂口进入主动脉内壁而形成血肿。</w:t>
            </w:r>
            <w:r>
              <w:rPr>
                <w:spacing w:val="-3"/>
                <w:w w:val="100"/>
                <w:sz w:val="21"/>
              </w:rPr>
              <w:t>被保险人需通过断层扫描</w:t>
            </w: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106"/>
                <w:w w:val="100"/>
                <w:sz w:val="21"/>
              </w:rPr>
              <w:t>）</w:t>
            </w:r>
            <w:r>
              <w:rPr>
                <w:spacing w:val="-3"/>
                <w:w w:val="100"/>
                <w:sz w:val="21"/>
              </w:rPr>
              <w:t>、磁共振血管检验法（M</w:t>
            </w:r>
            <w:r>
              <w:rPr>
                <w:w w:val="100"/>
                <w:sz w:val="21"/>
              </w:rPr>
              <w:t>R</w:t>
            </w:r>
            <w:r>
              <w:rPr>
                <w:spacing w:val="-1"/>
                <w:w w:val="100"/>
                <w:sz w:val="21"/>
              </w:rPr>
              <w:t>A</w:t>
            </w:r>
            <w:r>
              <w:rPr>
                <w:w w:val="100"/>
                <w:sz w:val="21"/>
              </w:rPr>
              <w:t>）</w:t>
            </w:r>
            <w:r>
              <w:rPr>
                <w:spacing w:val="-3"/>
                <w:sz w:val="21"/>
              </w:rPr>
              <w:t>或血管扫描等检查， 并且实施了胸腹切开的直视主动脉手术。</w:t>
            </w:r>
          </w:p>
        </w:tc>
      </w:tr>
      <w:tr>
        <w:trPr>
          <w:trHeight w:val="1107" w:hRule="atLeast"/>
        </w:trPr>
        <w:tc>
          <w:tcPr>
            <w:tcW w:w="1552" w:type="dxa"/>
          </w:tcPr>
          <w:p>
            <w:pPr>
              <w:pStyle w:val="TableParagraph"/>
              <w:spacing w:line="273" w:lineRule="auto" w:before="55"/>
              <w:ind w:right="138"/>
              <w:rPr>
                <w:b/>
                <w:sz w:val="21"/>
              </w:rPr>
            </w:pPr>
            <w:r>
              <w:rPr>
                <w:b/>
                <w:sz w:val="21"/>
              </w:rPr>
              <w:t>87.胆道重建术</w:t>
            </w:r>
          </w:p>
        </w:tc>
        <w:tc>
          <w:tcPr>
            <w:tcW w:w="7901" w:type="dxa"/>
          </w:tcPr>
          <w:p>
            <w:pPr>
              <w:pStyle w:val="TableParagraph"/>
              <w:spacing w:line="273" w:lineRule="auto" w:before="55"/>
              <w:ind w:left="66" w:right="302"/>
              <w:jc w:val="both"/>
              <w:rPr>
                <w:sz w:val="21"/>
              </w:rPr>
            </w:pPr>
            <w:r>
              <w:rPr>
                <w:spacing w:val="-5"/>
                <w:sz w:val="21"/>
              </w:rPr>
              <w:t>因疾病或胆道损伤导致实际接受涉及胆总管小肠吻合术的胆道重建手术。诊断及治疗均须在本公司认可的医院内由专科医生认为是医疗必须的情况下进行。因胆道闭</w:t>
            </w:r>
            <w:r>
              <w:rPr>
                <w:spacing w:val="-3"/>
                <w:sz w:val="21"/>
              </w:rPr>
              <w:t>锁等先天性疾病而导致进行的胆道手术并不在本附加险合同的保障范围內。</w:t>
            </w:r>
          </w:p>
        </w:tc>
      </w:tr>
      <w:tr>
        <w:trPr>
          <w:trHeight w:val="1295" w:hRule="atLeast"/>
        </w:trPr>
        <w:tc>
          <w:tcPr>
            <w:tcW w:w="1552" w:type="dxa"/>
          </w:tcPr>
          <w:p>
            <w:pPr>
              <w:pStyle w:val="TableParagraph"/>
              <w:spacing w:line="273" w:lineRule="auto" w:before="78"/>
              <w:ind w:right="138"/>
              <w:rPr>
                <w:b/>
                <w:sz w:val="21"/>
              </w:rPr>
            </w:pPr>
            <w:r>
              <w:rPr>
                <w:b/>
                <w:sz w:val="21"/>
              </w:rPr>
              <w:t>88.原发性骨髓纤维化</w:t>
            </w:r>
          </w:p>
        </w:tc>
        <w:tc>
          <w:tcPr>
            <w:tcW w:w="7901" w:type="dxa"/>
          </w:tcPr>
          <w:p>
            <w:pPr>
              <w:pStyle w:val="TableParagraph"/>
              <w:spacing w:line="310" w:lineRule="atLeast" w:before="43"/>
              <w:ind w:left="66" w:right="302"/>
              <w:jc w:val="both"/>
              <w:rPr>
                <w:sz w:val="21"/>
              </w:rPr>
            </w:pPr>
            <w:r>
              <w:rPr>
                <w:spacing w:val="-5"/>
                <w:sz w:val="21"/>
              </w:rPr>
              <w:t>原发性骨髓纤维化为原因不明的骨髓中成纤维细胞增殖，伴有髓外造血，表现为进</w:t>
            </w:r>
            <w:r>
              <w:rPr>
                <w:spacing w:val="-8"/>
                <w:sz w:val="21"/>
              </w:rPr>
              <w:t>行性贫血、脾肿大等症状。本病必须根据骨髓的活组织检查和周围血象检查由血液</w:t>
            </w:r>
            <w:r>
              <w:rPr>
                <w:spacing w:val="-6"/>
                <w:sz w:val="21"/>
              </w:rPr>
              <w:t>科专科医生明确诊断，并至少符合下列条件中的三项，且符合条件的状态持续 </w:t>
            </w:r>
            <w:r>
              <w:rPr>
                <w:sz w:val="21"/>
              </w:rPr>
              <w:t>180 </w:t>
            </w:r>
            <w:r>
              <w:rPr>
                <w:spacing w:val="-3"/>
                <w:sz w:val="21"/>
              </w:rPr>
              <w:t>天及以上，并已经实际接受了针对此症的治疗：</w:t>
            </w:r>
          </w:p>
        </w:tc>
      </w:tr>
    </w:tbl>
    <w:p>
      <w:pPr>
        <w:spacing w:after="0" w:line="310" w:lineRule="atLeast"/>
        <w:jc w:val="both"/>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1197" w:hRule="atLeast"/>
        </w:trPr>
        <w:tc>
          <w:tcPr>
            <w:tcW w:w="1515" w:type="dxa"/>
          </w:tcPr>
          <w:p>
            <w:pPr>
              <w:pStyle w:val="TableParagraph"/>
              <w:spacing w:before="0"/>
              <w:ind w:left="0"/>
              <w:rPr>
                <w:rFonts w:ascii="Times New Roman"/>
                <w:sz w:val="20"/>
              </w:rPr>
            </w:pPr>
          </w:p>
        </w:tc>
        <w:tc>
          <w:tcPr>
            <w:tcW w:w="7939" w:type="dxa"/>
          </w:tcPr>
          <w:p>
            <w:pPr>
              <w:pStyle w:val="TableParagraph"/>
              <w:spacing w:line="205" w:lineRule="exact" w:before="0"/>
              <w:ind w:left="103"/>
              <w:rPr>
                <w:sz w:val="21"/>
              </w:rPr>
            </w:pPr>
            <w:r>
              <w:rPr>
                <w:sz w:val="21"/>
              </w:rPr>
              <w:t>（1）血红蛋白＜100g/L；</w:t>
            </w:r>
          </w:p>
          <w:p>
            <w:pPr>
              <w:pStyle w:val="TableParagraph"/>
              <w:ind w:left="103"/>
              <w:rPr>
                <w:sz w:val="21"/>
              </w:rPr>
            </w:pPr>
            <w:r>
              <w:rPr>
                <w:sz w:val="21"/>
              </w:rPr>
              <w:t>（2）白细胞计数＞0.5×10</w:t>
            </w:r>
            <w:r>
              <w:rPr>
                <w:position w:val="11"/>
                <w:sz w:val="11"/>
              </w:rPr>
              <w:t>9</w:t>
            </w:r>
            <w:r>
              <w:rPr>
                <w:sz w:val="21"/>
              </w:rPr>
              <w:t>/L；</w:t>
            </w:r>
          </w:p>
          <w:p>
            <w:pPr>
              <w:pStyle w:val="TableParagraph"/>
              <w:ind w:left="103"/>
              <w:rPr>
                <w:sz w:val="21"/>
              </w:rPr>
            </w:pPr>
            <w:r>
              <w:rPr>
                <w:sz w:val="21"/>
              </w:rPr>
              <w:t>（3）外周血原始细胞≥1%；</w:t>
            </w:r>
          </w:p>
          <w:p>
            <w:pPr>
              <w:pStyle w:val="TableParagraph"/>
              <w:ind w:left="103"/>
              <w:rPr>
                <w:sz w:val="21"/>
              </w:rPr>
            </w:pPr>
            <w:r>
              <w:rPr>
                <w:sz w:val="21"/>
              </w:rPr>
              <w:t>（4）血小板计数＜100×10</w:t>
            </w:r>
            <w:r>
              <w:rPr>
                <w:position w:val="11"/>
                <w:sz w:val="11"/>
              </w:rPr>
              <w:t>9</w:t>
            </w:r>
            <w:r>
              <w:rPr>
                <w:sz w:val="21"/>
              </w:rPr>
              <w:t>/L。</w:t>
            </w:r>
          </w:p>
        </w:tc>
      </w:tr>
      <w:tr>
        <w:trPr>
          <w:trHeight w:val="368" w:hRule="atLeast"/>
        </w:trPr>
        <w:tc>
          <w:tcPr>
            <w:tcW w:w="1515" w:type="dxa"/>
          </w:tcPr>
          <w:p>
            <w:pPr>
              <w:pStyle w:val="TableParagraph"/>
              <w:spacing w:before="0"/>
              <w:ind w:left="0"/>
              <w:rPr>
                <w:rFonts w:ascii="Times New Roman"/>
                <w:sz w:val="20"/>
              </w:rPr>
            </w:pPr>
          </w:p>
        </w:tc>
        <w:tc>
          <w:tcPr>
            <w:tcW w:w="7939" w:type="dxa"/>
          </w:tcPr>
          <w:p>
            <w:pPr>
              <w:pStyle w:val="TableParagraph"/>
              <w:spacing w:line="256" w:lineRule="exact" w:before="0"/>
              <w:ind w:left="103"/>
              <w:rPr>
                <w:rFonts w:ascii="黑体" w:eastAsia="黑体" w:hint="eastAsia"/>
                <w:sz w:val="21"/>
              </w:rPr>
            </w:pPr>
            <w:r>
              <w:rPr>
                <w:rFonts w:ascii="黑体" w:eastAsia="黑体" w:hint="eastAsia"/>
                <w:sz w:val="21"/>
              </w:rPr>
              <w:t>任何其它病因导致的继发性骨髓纤维化不在保障范围内。</w:t>
            </w:r>
          </w:p>
        </w:tc>
      </w:tr>
      <w:tr>
        <w:trPr>
          <w:trHeight w:val="3545" w:hRule="atLeast"/>
        </w:trPr>
        <w:tc>
          <w:tcPr>
            <w:tcW w:w="1515" w:type="dxa"/>
          </w:tcPr>
          <w:p>
            <w:pPr>
              <w:pStyle w:val="TableParagraph"/>
              <w:rPr>
                <w:b/>
                <w:sz w:val="21"/>
              </w:rPr>
            </w:pPr>
            <w:r>
              <w:rPr>
                <w:b/>
                <w:sz w:val="21"/>
              </w:rPr>
              <w:t>89.肌萎缩性</w:t>
            </w:r>
          </w:p>
          <w:p>
            <w:pPr>
              <w:pStyle w:val="TableParagraph"/>
              <w:spacing w:line="273" w:lineRule="auto"/>
              <w:ind w:right="108"/>
              <w:rPr>
                <w:b/>
                <w:sz w:val="21"/>
              </w:rPr>
            </w:pPr>
            <w:r>
              <w:rPr>
                <w:b/>
                <w:sz w:val="21"/>
              </w:rPr>
              <w:t>（脊髓</w:t>
            </w:r>
            <w:r>
              <w:rPr>
                <w:b/>
                <w:spacing w:val="-63"/>
                <w:sz w:val="21"/>
              </w:rPr>
              <w:t>）</w:t>
            </w:r>
            <w:r>
              <w:rPr>
                <w:b/>
                <w:sz w:val="21"/>
              </w:rPr>
              <w:t>侧索硬化症</w:t>
            </w:r>
          </w:p>
        </w:tc>
        <w:tc>
          <w:tcPr>
            <w:tcW w:w="7939" w:type="dxa"/>
          </w:tcPr>
          <w:p>
            <w:pPr>
              <w:pStyle w:val="TableParagraph"/>
              <w:spacing w:line="273" w:lineRule="auto"/>
              <w:ind w:left="103" w:right="303"/>
              <w:jc w:val="both"/>
              <w:rPr>
                <w:sz w:val="21"/>
              </w:rPr>
            </w:pPr>
            <w:r>
              <w:rPr>
                <w:spacing w:val="-6"/>
                <w:sz w:val="21"/>
              </w:rPr>
              <w:t>是指持续的神经变性累及脊髓神经及脑干运动神经元，出现肌肉无力、挛缩、肌束</w:t>
            </w:r>
            <w:r>
              <w:rPr>
                <w:spacing w:val="-7"/>
                <w:sz w:val="21"/>
              </w:rPr>
              <w:t>颤动及萎缩症状和体征。须经神经专科医师做出明确诊断，且疾病进行性发展已导</w:t>
            </w:r>
            <w:r>
              <w:rPr>
                <w:spacing w:val="-5"/>
                <w:sz w:val="21"/>
              </w:rPr>
              <w:t>致不可逆转的永久性神经系统功能障碍。</w:t>
            </w:r>
          </w:p>
          <w:p>
            <w:pPr>
              <w:pStyle w:val="TableParagraph"/>
              <w:spacing w:before="7"/>
              <w:ind w:left="103"/>
              <w:jc w:val="both"/>
              <w:rPr>
                <w:sz w:val="21"/>
              </w:rPr>
            </w:pPr>
            <w:r>
              <w:rPr>
                <w:sz w:val="21"/>
              </w:rPr>
              <w:t>永久性神经系统功能障碍是指以下六项条件中的一项或一项以上：</w:t>
            </w:r>
          </w:p>
          <w:p>
            <w:pPr>
              <w:pStyle w:val="TableParagraph"/>
              <w:spacing w:before="36"/>
              <w:ind w:left="103"/>
              <w:jc w:val="both"/>
              <w:rPr>
                <w:sz w:val="21"/>
              </w:rPr>
            </w:pPr>
            <w:r>
              <w:rPr>
                <w:sz w:val="21"/>
              </w:rPr>
              <w:t>（1）一上肢或双上肢手腕以上部分的完全及永久瘫痪；</w:t>
            </w:r>
          </w:p>
          <w:p>
            <w:pPr>
              <w:pStyle w:val="TableParagraph"/>
              <w:spacing w:before="36"/>
              <w:ind w:left="103"/>
              <w:jc w:val="both"/>
              <w:rPr>
                <w:sz w:val="21"/>
              </w:rPr>
            </w:pPr>
            <w:r>
              <w:rPr>
                <w:sz w:val="21"/>
              </w:rPr>
              <w:t>（2）一下肢或双下肢足踝以上部分的完全及永久瘫痪；</w:t>
            </w:r>
          </w:p>
          <w:p>
            <w:pPr>
              <w:pStyle w:val="TableParagraph"/>
              <w:ind w:left="103"/>
              <w:jc w:val="both"/>
              <w:rPr>
                <w:sz w:val="21"/>
              </w:rPr>
            </w:pPr>
            <w:r>
              <w:rPr>
                <w:sz w:val="21"/>
              </w:rPr>
              <w:t>（3）四肢机能完全及永久丧失；</w:t>
            </w:r>
          </w:p>
          <w:p>
            <w:pPr>
              <w:pStyle w:val="TableParagraph"/>
              <w:ind w:left="103"/>
              <w:jc w:val="both"/>
              <w:rPr>
                <w:sz w:val="21"/>
              </w:rPr>
            </w:pPr>
            <w:r>
              <w:rPr>
                <w:sz w:val="21"/>
              </w:rPr>
              <w:t>（4）完全及永久丧失语言能力；</w:t>
            </w:r>
          </w:p>
          <w:p>
            <w:pPr>
              <w:pStyle w:val="TableParagraph"/>
              <w:ind w:left="103"/>
              <w:jc w:val="both"/>
              <w:rPr>
                <w:sz w:val="21"/>
              </w:rPr>
            </w:pPr>
            <w:r>
              <w:rPr>
                <w:w w:val="100"/>
                <w:sz w:val="21"/>
              </w:rPr>
              <w:t>（5</w:t>
            </w:r>
            <w:r>
              <w:rPr>
                <w:spacing w:val="-3"/>
                <w:w w:val="100"/>
                <w:sz w:val="21"/>
              </w:rPr>
              <w:t>）完全及永久丧失吞咽能力（吞咽困难</w:t>
            </w:r>
            <w:r>
              <w:rPr>
                <w:spacing w:val="-106"/>
                <w:w w:val="100"/>
                <w:sz w:val="21"/>
              </w:rPr>
              <w:t>）</w:t>
            </w:r>
            <w:r>
              <w:rPr>
                <w:spacing w:val="-3"/>
                <w:w w:val="100"/>
                <w:sz w:val="21"/>
              </w:rPr>
              <w:t>，必须永久使用喂饲管；</w:t>
            </w:r>
          </w:p>
          <w:p>
            <w:pPr>
              <w:pStyle w:val="TableParagraph"/>
              <w:spacing w:line="273" w:lineRule="auto"/>
              <w:ind w:left="103" w:right="372"/>
              <w:rPr>
                <w:sz w:val="21"/>
              </w:rPr>
            </w:pPr>
            <w:r>
              <w:rPr>
                <w:sz w:val="21"/>
              </w:rPr>
              <w:t>（6）无法独立进行六项日常生活活动即穿衣、移动、行动、卫生、进食、洗澡中三项或三项以上，且上述日常生活活动经过三个月的持续治疗后仍无法完成。</w:t>
            </w:r>
          </w:p>
        </w:tc>
      </w:tr>
      <w:tr>
        <w:trPr>
          <w:trHeight w:val="2003" w:hRule="atLeast"/>
        </w:trPr>
        <w:tc>
          <w:tcPr>
            <w:tcW w:w="1515" w:type="dxa"/>
          </w:tcPr>
          <w:p>
            <w:pPr>
              <w:pStyle w:val="TableParagraph"/>
              <w:spacing w:line="273" w:lineRule="auto"/>
              <w:ind w:right="101"/>
              <w:jc w:val="both"/>
              <w:rPr>
                <w:b/>
                <w:sz w:val="21"/>
              </w:rPr>
            </w:pPr>
            <w:r>
              <w:rPr>
                <w:b/>
                <w:sz w:val="21"/>
              </w:rPr>
              <w:t>90.湿性年龄相 关性黄斑变性</w:t>
            </w:r>
          </w:p>
        </w:tc>
        <w:tc>
          <w:tcPr>
            <w:tcW w:w="7939" w:type="dxa"/>
          </w:tcPr>
          <w:p>
            <w:pPr>
              <w:pStyle w:val="TableParagraph"/>
              <w:spacing w:line="273" w:lineRule="auto"/>
              <w:ind w:left="103" w:right="197"/>
              <w:rPr>
                <w:sz w:val="21"/>
              </w:rPr>
            </w:pPr>
            <w:r>
              <w:rPr>
                <w:spacing w:val="-6"/>
                <w:sz w:val="21"/>
              </w:rPr>
              <w:t>又称为新生血管性年龄相关性黄斑变性或“渗出性”年龄相关性黄斑变性，发生脉</w:t>
            </w:r>
            <w:r>
              <w:rPr>
                <w:spacing w:val="-4"/>
                <w:sz w:val="21"/>
              </w:rPr>
              <w:t>络膜新生血管</w:t>
            </w:r>
            <w:r>
              <w:rPr>
                <w:sz w:val="21"/>
              </w:rPr>
              <w:t>（CNV）</w:t>
            </w:r>
            <w:r>
              <w:rPr>
                <w:spacing w:val="-3"/>
                <w:sz w:val="21"/>
              </w:rPr>
              <w:t>异常生长穿透玻璃膜进入视网膜，新生血管渗漏，渗出、出 </w:t>
            </w:r>
            <w:r>
              <w:rPr>
                <w:spacing w:val="-7"/>
                <w:sz w:val="21"/>
              </w:rPr>
              <w:t>血及已经出现瘢痕组织。该病必须由荧光素眼底血管造影检查提示黄斑区新生血管</w:t>
            </w:r>
            <w:r>
              <w:rPr>
                <w:spacing w:val="-5"/>
                <w:sz w:val="21"/>
              </w:rPr>
              <w:t>及瘢痕组织形成，并且必须由医院的眼科专科医生确诊为湿性年龄相关性黄斑变  </w:t>
            </w:r>
            <w:r>
              <w:rPr>
                <w:spacing w:val="-10"/>
                <w:sz w:val="21"/>
              </w:rPr>
              <w:t>性。被保险人申请理赔时须提供近</w:t>
            </w:r>
            <w:r>
              <w:rPr>
                <w:sz w:val="21"/>
              </w:rPr>
              <w:t>3</w:t>
            </w:r>
            <w:r>
              <w:rPr>
                <w:spacing w:val="-8"/>
                <w:sz w:val="21"/>
              </w:rPr>
              <w:t> 个月内视力改变显示病情恶化的相关检查报告、</w:t>
            </w:r>
            <w:r>
              <w:rPr>
                <w:spacing w:val="-5"/>
                <w:sz w:val="21"/>
              </w:rPr>
              <w:t>诊断证明及病历报告。</w:t>
            </w:r>
          </w:p>
        </w:tc>
      </w:tr>
      <w:tr>
        <w:trPr>
          <w:trHeight w:val="1010" w:hRule="atLeast"/>
        </w:trPr>
        <w:tc>
          <w:tcPr>
            <w:tcW w:w="1515" w:type="dxa"/>
          </w:tcPr>
          <w:p>
            <w:pPr>
              <w:pStyle w:val="TableParagraph"/>
              <w:spacing w:line="273" w:lineRule="auto" w:before="55"/>
              <w:ind w:right="101"/>
              <w:jc w:val="both"/>
              <w:rPr>
                <w:b/>
                <w:sz w:val="21"/>
              </w:rPr>
            </w:pPr>
            <w:r>
              <w:rPr>
                <w:b/>
                <w:sz w:val="21"/>
              </w:rPr>
              <w:t>91.进行性多灶 性白质脑病</w:t>
            </w:r>
          </w:p>
        </w:tc>
        <w:tc>
          <w:tcPr>
            <w:tcW w:w="7939" w:type="dxa"/>
          </w:tcPr>
          <w:p>
            <w:pPr>
              <w:pStyle w:val="TableParagraph"/>
              <w:spacing w:line="273" w:lineRule="auto" w:before="55"/>
              <w:ind w:left="103" w:right="303"/>
              <w:rPr>
                <w:sz w:val="21"/>
              </w:rPr>
            </w:pPr>
            <w:r>
              <w:rPr>
                <w:spacing w:val="-6"/>
                <w:sz w:val="21"/>
              </w:rPr>
              <w:t>是一种亚急性脱髓鞘性脑病，常常发现于免疫缺陷的病人。必须根据脑组织活检确诊。</w:t>
            </w:r>
          </w:p>
        </w:tc>
      </w:tr>
      <w:tr>
        <w:trPr>
          <w:trHeight w:val="964" w:hRule="atLeast"/>
        </w:trPr>
        <w:tc>
          <w:tcPr>
            <w:tcW w:w="1515" w:type="dxa"/>
          </w:tcPr>
          <w:p>
            <w:pPr>
              <w:pStyle w:val="TableParagraph"/>
              <w:spacing w:line="256" w:lineRule="exact" w:before="0"/>
              <w:rPr>
                <w:b/>
                <w:sz w:val="21"/>
              </w:rPr>
            </w:pPr>
            <w:r>
              <w:rPr>
                <w:b/>
                <w:sz w:val="21"/>
              </w:rPr>
              <w:t>92.严重登革</w:t>
            </w:r>
          </w:p>
          <w:p>
            <w:pPr>
              <w:pStyle w:val="TableParagraph"/>
              <w:spacing w:line="273" w:lineRule="auto"/>
              <w:ind w:right="108"/>
              <w:rPr>
                <w:b/>
                <w:sz w:val="21"/>
              </w:rPr>
            </w:pPr>
            <w:r>
              <w:rPr>
                <w:b/>
                <w:spacing w:val="-63"/>
                <w:sz w:val="21"/>
              </w:rPr>
              <w:t>热</w:t>
            </w:r>
            <w:r>
              <w:rPr>
                <w:b/>
                <w:sz w:val="21"/>
              </w:rPr>
              <w:t>（出血性登革热）</w:t>
            </w:r>
          </w:p>
        </w:tc>
        <w:tc>
          <w:tcPr>
            <w:tcW w:w="7939" w:type="dxa"/>
          </w:tcPr>
          <w:p>
            <w:pPr>
              <w:pStyle w:val="TableParagraph"/>
              <w:spacing w:line="256" w:lineRule="exact" w:before="0"/>
              <w:ind w:left="103"/>
              <w:rPr>
                <w:sz w:val="21"/>
              </w:rPr>
            </w:pPr>
            <w:r>
              <w:rPr>
                <w:sz w:val="21"/>
              </w:rPr>
              <w:t>出现全部四种症状，包括发高烧、出血现象、肝肿大和循环衰竭（登革热休克综合</w:t>
            </w:r>
          </w:p>
          <w:p>
            <w:pPr>
              <w:pStyle w:val="TableParagraph"/>
              <w:spacing w:line="273" w:lineRule="auto"/>
              <w:ind w:left="103" w:right="305"/>
              <w:rPr>
                <w:sz w:val="21"/>
              </w:rPr>
            </w:pPr>
            <w:r>
              <w:rPr>
                <w:spacing w:val="-11"/>
                <w:sz w:val="21"/>
              </w:rPr>
              <w:t>症即符合 </w:t>
            </w:r>
            <w:r>
              <w:rPr>
                <w:sz w:val="21"/>
              </w:rPr>
              <w:t>WHO</w:t>
            </w:r>
            <w:r>
              <w:rPr>
                <w:spacing w:val="-19"/>
                <w:sz w:val="21"/>
              </w:rPr>
              <w:t> 登革热第 </w:t>
            </w:r>
            <w:r>
              <w:rPr>
                <w:sz w:val="21"/>
              </w:rPr>
              <w:t>III</w:t>
            </w:r>
            <w:r>
              <w:rPr>
                <w:spacing w:val="-21"/>
                <w:sz w:val="21"/>
              </w:rPr>
              <w:t> 级及第 </w:t>
            </w:r>
            <w:r>
              <w:rPr>
                <w:sz w:val="21"/>
              </w:rPr>
              <w:t>IV</w:t>
            </w:r>
            <w:r>
              <w:rPr>
                <w:spacing w:val="-25"/>
                <w:sz w:val="21"/>
              </w:rPr>
              <w:t> 级</w:t>
            </w:r>
            <w:r>
              <w:rPr>
                <w:spacing w:val="-108"/>
                <w:sz w:val="21"/>
              </w:rPr>
              <w:t>）</w:t>
            </w:r>
            <w:r>
              <w:rPr>
                <w:spacing w:val="-8"/>
                <w:sz w:val="21"/>
              </w:rPr>
              <w:t>。出血性登革热的诊断必须由本公司认可</w:t>
            </w:r>
            <w:r>
              <w:rPr>
                <w:spacing w:val="-5"/>
                <w:sz w:val="21"/>
              </w:rPr>
              <w:t>医院的专科医生证实。</w:t>
            </w:r>
          </w:p>
        </w:tc>
      </w:tr>
      <w:tr>
        <w:trPr>
          <w:trHeight w:val="397" w:hRule="atLeast"/>
        </w:trPr>
        <w:tc>
          <w:tcPr>
            <w:tcW w:w="1515" w:type="dxa"/>
          </w:tcPr>
          <w:p>
            <w:pPr>
              <w:pStyle w:val="TableParagraph"/>
              <w:spacing w:before="0"/>
              <w:ind w:left="0"/>
              <w:rPr>
                <w:rFonts w:ascii="Times New Roman"/>
                <w:sz w:val="20"/>
              </w:rPr>
            </w:pPr>
          </w:p>
        </w:tc>
        <w:tc>
          <w:tcPr>
            <w:tcW w:w="7939" w:type="dxa"/>
          </w:tcPr>
          <w:p>
            <w:pPr>
              <w:pStyle w:val="TableParagraph"/>
              <w:spacing w:before="9"/>
              <w:ind w:left="103"/>
              <w:rPr>
                <w:rFonts w:ascii="黑体" w:eastAsia="黑体" w:hint="eastAsia"/>
                <w:sz w:val="21"/>
              </w:rPr>
            </w:pPr>
            <w:r>
              <w:rPr>
                <w:rFonts w:ascii="黑体" w:eastAsia="黑体" w:hint="eastAsia"/>
                <w:sz w:val="21"/>
              </w:rPr>
              <w:t>非出血性登革热并不在保障范围内。</w:t>
            </w:r>
          </w:p>
        </w:tc>
      </w:tr>
      <w:tr>
        <w:trPr>
          <w:trHeight w:val="2346" w:hRule="atLeast"/>
        </w:trPr>
        <w:tc>
          <w:tcPr>
            <w:tcW w:w="1515" w:type="dxa"/>
          </w:tcPr>
          <w:p>
            <w:pPr>
              <w:pStyle w:val="TableParagraph"/>
              <w:spacing w:line="273" w:lineRule="auto"/>
              <w:ind w:right="101"/>
              <w:rPr>
                <w:b/>
                <w:sz w:val="21"/>
              </w:rPr>
            </w:pPr>
            <w:r>
              <w:rPr>
                <w:b/>
                <w:sz w:val="21"/>
              </w:rPr>
              <w:t>93.范可尼综合征</w:t>
            </w:r>
          </w:p>
        </w:tc>
        <w:tc>
          <w:tcPr>
            <w:tcW w:w="7939" w:type="dxa"/>
          </w:tcPr>
          <w:p>
            <w:pPr>
              <w:pStyle w:val="TableParagraph"/>
              <w:spacing w:line="273" w:lineRule="auto"/>
              <w:ind w:left="103" w:right="303"/>
              <w:rPr>
                <w:sz w:val="21"/>
              </w:rPr>
            </w:pPr>
            <w:r>
              <w:rPr>
                <w:spacing w:val="-12"/>
                <w:sz w:val="21"/>
              </w:rPr>
              <w:t>也称 </w:t>
            </w:r>
            <w:r>
              <w:rPr>
                <w:sz w:val="21"/>
              </w:rPr>
              <w:t>Fanconi</w:t>
            </w:r>
            <w:r>
              <w:rPr>
                <w:spacing w:val="-11"/>
                <w:sz w:val="21"/>
              </w:rPr>
              <w:t> 综合征，指近端肾小管的功能异常引起的一组症候群。须经专科医生</w:t>
            </w:r>
            <w:r>
              <w:rPr>
                <w:spacing w:val="-3"/>
                <w:sz w:val="21"/>
              </w:rPr>
              <w:t>诊断，且须满足下列至少三项条件：</w:t>
            </w:r>
          </w:p>
          <w:p>
            <w:pPr>
              <w:pStyle w:val="TableParagraph"/>
              <w:spacing w:before="7"/>
              <w:ind w:left="103"/>
              <w:rPr>
                <w:sz w:val="21"/>
              </w:rPr>
            </w:pPr>
            <w:r>
              <w:rPr>
                <w:sz w:val="21"/>
              </w:rPr>
              <w:t>(1)尿液检查出现肾性糖尿、全氨基酸糖尿或磷酸盐尿；</w:t>
            </w:r>
          </w:p>
          <w:p>
            <w:pPr>
              <w:pStyle w:val="TableParagraph"/>
              <w:spacing w:before="36"/>
              <w:ind w:left="103"/>
              <w:rPr>
                <w:sz w:val="21"/>
              </w:rPr>
            </w:pPr>
            <w:r>
              <w:rPr>
                <w:sz w:val="21"/>
              </w:rPr>
              <w:t>(2)血液检查出现低磷血症、低尿酸血症或近端肾小管酸中毒；</w:t>
            </w:r>
          </w:p>
          <w:p>
            <w:pPr>
              <w:pStyle w:val="TableParagraph"/>
              <w:spacing w:before="36"/>
              <w:ind w:left="103"/>
              <w:rPr>
                <w:sz w:val="21"/>
              </w:rPr>
            </w:pPr>
            <w:r>
              <w:rPr>
                <w:sz w:val="21"/>
              </w:rPr>
              <w:t>(3)出现骨质疏松、骨骼畸形或尿路结石。</w:t>
            </w:r>
          </w:p>
          <w:p>
            <w:pPr>
              <w:pStyle w:val="TableParagraph"/>
              <w:spacing w:before="36"/>
              <w:ind w:left="103"/>
              <w:rPr>
                <w:sz w:val="21"/>
              </w:rPr>
            </w:pPr>
            <w:r>
              <w:rPr>
                <w:sz w:val="21"/>
              </w:rPr>
              <w:t>(4)通过骨髓片、白细胞、直肠黏膜中的结晶分析或裂隙灯检查角膜有胱氨酸结晶。</w:t>
            </w:r>
          </w:p>
          <w:p>
            <w:pPr>
              <w:pStyle w:val="TableParagraph"/>
              <w:spacing w:before="36"/>
              <w:ind w:left="103"/>
              <w:rPr>
                <w:rFonts w:ascii="黑体" w:eastAsia="黑体" w:hint="eastAsia"/>
                <w:sz w:val="21"/>
              </w:rPr>
            </w:pPr>
            <w:r>
              <w:rPr>
                <w:rFonts w:ascii="黑体" w:eastAsia="黑体" w:hint="eastAsia"/>
                <w:sz w:val="21"/>
              </w:rPr>
              <w:t>保险人在三周岁之前罹患该疾病，本公司不承担保险责任。</w:t>
            </w:r>
          </w:p>
        </w:tc>
      </w:tr>
      <w:tr>
        <w:trPr>
          <w:trHeight w:val="1615" w:hRule="atLeast"/>
        </w:trPr>
        <w:tc>
          <w:tcPr>
            <w:tcW w:w="1515" w:type="dxa"/>
          </w:tcPr>
          <w:p>
            <w:pPr>
              <w:pStyle w:val="TableParagraph"/>
              <w:spacing w:line="273" w:lineRule="auto" w:before="86"/>
              <w:ind w:right="101"/>
              <w:jc w:val="both"/>
              <w:rPr>
                <w:b/>
                <w:sz w:val="21"/>
              </w:rPr>
            </w:pPr>
            <w:r>
              <w:rPr>
                <w:b/>
                <w:sz w:val="21"/>
              </w:rPr>
              <w:t>94.肾上腺脑白 质营养不良</w:t>
            </w:r>
          </w:p>
        </w:tc>
        <w:tc>
          <w:tcPr>
            <w:tcW w:w="7939" w:type="dxa"/>
          </w:tcPr>
          <w:p>
            <w:pPr>
              <w:pStyle w:val="TableParagraph"/>
              <w:spacing w:line="273" w:lineRule="auto" w:before="86"/>
              <w:ind w:left="103" w:right="303"/>
              <w:jc w:val="both"/>
              <w:rPr>
                <w:sz w:val="21"/>
              </w:rPr>
            </w:pPr>
            <w:r>
              <w:rPr>
                <w:spacing w:val="-6"/>
                <w:sz w:val="21"/>
              </w:rPr>
              <w:t>指一种最常见的过氧化物酶体病，主要累及肾上腺和脑白质，主要表现为进行性的</w:t>
            </w:r>
            <w:r>
              <w:rPr>
                <w:spacing w:val="-7"/>
                <w:sz w:val="21"/>
              </w:rPr>
              <w:t>精神运动障碍，视力及听力下降和</w:t>
            </w:r>
            <w:r>
              <w:rPr>
                <w:spacing w:val="-3"/>
                <w:sz w:val="21"/>
              </w:rPr>
              <w:t>（</w:t>
            </w:r>
            <w:r>
              <w:rPr>
                <w:sz w:val="21"/>
              </w:rPr>
              <w:t>或</w:t>
            </w:r>
            <w:r>
              <w:rPr>
                <w:spacing w:val="-10"/>
                <w:sz w:val="21"/>
              </w:rPr>
              <w:t>）</w:t>
            </w:r>
            <w:r>
              <w:rPr>
                <w:spacing w:val="-4"/>
                <w:sz w:val="21"/>
              </w:rPr>
              <w:t>肾上腺皮质功能低下等。须经专科医生诊</w:t>
            </w:r>
            <w:r>
              <w:rPr>
                <w:spacing w:val="-7"/>
                <w:sz w:val="21"/>
              </w:rPr>
              <w:t>断，且已经造成自主生活能力完全丧失，无法独立完成六项基本日常生活活动中的</w:t>
            </w:r>
            <w:r>
              <w:rPr>
                <w:spacing w:val="-8"/>
                <w:sz w:val="21"/>
              </w:rPr>
              <w:t>三项或三项以上，持续至少 </w:t>
            </w:r>
            <w:r>
              <w:rPr>
                <w:sz w:val="21"/>
              </w:rPr>
              <w:t>180</w:t>
            </w:r>
            <w:r>
              <w:rPr>
                <w:spacing w:val="-16"/>
                <w:sz w:val="21"/>
              </w:rPr>
              <w:t> 天。</w:t>
            </w:r>
          </w:p>
          <w:p>
            <w:pPr>
              <w:pStyle w:val="TableParagraph"/>
              <w:spacing w:line="261" w:lineRule="exact" w:before="8"/>
              <w:ind w:left="103"/>
              <w:jc w:val="both"/>
              <w:rPr>
                <w:rFonts w:ascii="黑体" w:eastAsia="黑体" w:hint="eastAsia"/>
                <w:sz w:val="21"/>
              </w:rPr>
            </w:pPr>
            <w:r>
              <w:rPr>
                <w:rFonts w:ascii="黑体" w:eastAsia="黑体" w:hint="eastAsia"/>
                <w:sz w:val="21"/>
              </w:rPr>
              <w:t>保险人在三周岁之前罹患该疾病，本公司不承担保险责任。</w:t>
            </w:r>
          </w:p>
        </w:tc>
      </w:tr>
    </w:tbl>
    <w:p>
      <w:pPr>
        <w:spacing w:after="0" w:line="261" w:lineRule="exact"/>
        <w:jc w:val="both"/>
        <w:rPr>
          <w:rFonts w:ascii="黑体" w:eastAsia="黑体" w:hint="eastAsia"/>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2"/>
        <w:gridCol w:w="7911"/>
      </w:tblGrid>
      <w:tr>
        <w:trPr>
          <w:trHeight w:val="932" w:hRule="atLeast"/>
        </w:trPr>
        <w:tc>
          <w:tcPr>
            <w:tcW w:w="1542" w:type="dxa"/>
          </w:tcPr>
          <w:p>
            <w:pPr>
              <w:pStyle w:val="TableParagraph"/>
              <w:spacing w:line="205" w:lineRule="exact" w:before="0"/>
              <w:rPr>
                <w:b/>
                <w:sz w:val="21"/>
              </w:rPr>
            </w:pPr>
            <w:r>
              <w:rPr>
                <w:b/>
                <w:sz w:val="21"/>
              </w:rPr>
              <w:t>95.婴儿进行</w:t>
            </w:r>
          </w:p>
          <w:p>
            <w:pPr>
              <w:pStyle w:val="TableParagraph"/>
              <w:spacing w:line="273" w:lineRule="auto"/>
              <w:ind w:right="138"/>
              <w:rPr>
                <w:b/>
                <w:sz w:val="21"/>
              </w:rPr>
            </w:pPr>
            <w:r>
              <w:rPr>
                <w:b/>
                <w:sz w:val="21"/>
              </w:rPr>
              <w:t>性 脊肌萎缩症</w:t>
            </w:r>
          </w:p>
        </w:tc>
        <w:tc>
          <w:tcPr>
            <w:tcW w:w="7911" w:type="dxa"/>
          </w:tcPr>
          <w:p>
            <w:pPr>
              <w:pStyle w:val="TableParagraph"/>
              <w:spacing w:line="205" w:lineRule="exact" w:before="0"/>
              <w:ind w:left="76"/>
              <w:rPr>
                <w:sz w:val="21"/>
              </w:rPr>
            </w:pPr>
            <w:r>
              <w:rPr>
                <w:sz w:val="21"/>
              </w:rPr>
              <w:t>该病是累及脊髓前角细胞及延髓运动核的神经元退行性变性病。在出生后两年内出</w:t>
            </w:r>
          </w:p>
          <w:p>
            <w:pPr>
              <w:pStyle w:val="TableParagraph"/>
              <w:ind w:left="76"/>
              <w:rPr>
                <w:sz w:val="21"/>
              </w:rPr>
            </w:pPr>
            <w:r>
              <w:rPr>
                <w:sz w:val="21"/>
              </w:rPr>
              <w:t>现的脊髓和脑干颅神经前角细胞进行性机能障碍，伴随肌肉无力和延髓机能障碍。</w:t>
            </w:r>
          </w:p>
        </w:tc>
      </w:tr>
      <w:tr>
        <w:trPr>
          <w:trHeight w:val="1058" w:hRule="atLeast"/>
        </w:trPr>
        <w:tc>
          <w:tcPr>
            <w:tcW w:w="1542" w:type="dxa"/>
          </w:tcPr>
          <w:p>
            <w:pPr>
              <w:pStyle w:val="TableParagraph"/>
              <w:spacing w:before="27"/>
              <w:rPr>
                <w:b/>
                <w:sz w:val="21"/>
              </w:rPr>
            </w:pPr>
            <w:r>
              <w:rPr>
                <w:b/>
                <w:sz w:val="21"/>
              </w:rPr>
              <w:t>96.脊柱裂</w:t>
            </w:r>
          </w:p>
        </w:tc>
        <w:tc>
          <w:tcPr>
            <w:tcW w:w="7911" w:type="dxa"/>
          </w:tcPr>
          <w:p>
            <w:pPr>
              <w:pStyle w:val="TableParagraph"/>
              <w:spacing w:line="273" w:lineRule="auto" w:before="27"/>
              <w:ind w:left="76" w:right="302"/>
              <w:jc w:val="both"/>
              <w:rPr>
                <w:sz w:val="21"/>
              </w:rPr>
            </w:pPr>
            <w:r>
              <w:rPr>
                <w:spacing w:val="-6"/>
                <w:sz w:val="21"/>
              </w:rPr>
              <w:t>指脊椎或颅骨不完全闭合，导致脊髓脊膜突出，脑</w:t>
            </w:r>
            <w:r>
              <w:rPr>
                <w:sz w:val="21"/>
              </w:rPr>
              <w:t>（脊</w:t>
            </w:r>
            <w:r>
              <w:rPr>
                <w:spacing w:val="-10"/>
                <w:sz w:val="21"/>
              </w:rPr>
              <w:t>）</w:t>
            </w:r>
            <w:r>
              <w:rPr>
                <w:spacing w:val="-4"/>
                <w:sz w:val="21"/>
              </w:rPr>
              <w:t>膜突出或脑膨出，合并大</w:t>
            </w:r>
            <w:r>
              <w:rPr>
                <w:spacing w:val="-12"/>
                <w:sz w:val="21"/>
              </w:rPr>
              <w:t>小便失禁，部分或完全性下肢瘫痪或畸形等神经学上的异常，但不包括由 </w:t>
            </w:r>
            <w:r>
              <w:rPr>
                <w:sz w:val="21"/>
              </w:rPr>
              <w:t>X</w:t>
            </w:r>
            <w:r>
              <w:rPr>
                <w:spacing w:val="5"/>
                <w:sz w:val="21"/>
              </w:rPr>
              <w:t> 线摄片</w:t>
            </w:r>
            <w:r>
              <w:rPr>
                <w:spacing w:val="-3"/>
                <w:sz w:val="21"/>
              </w:rPr>
              <w:t>发现的没有合并脊椎脊膜突出或脑</w:t>
            </w:r>
            <w:r>
              <w:rPr>
                <w:sz w:val="21"/>
              </w:rPr>
              <w:t>（脊</w:t>
            </w:r>
            <w:r>
              <w:rPr>
                <w:spacing w:val="-3"/>
                <w:sz w:val="21"/>
              </w:rPr>
              <w:t>）膜突出的隐形脊椎裂。</w:t>
            </w:r>
          </w:p>
        </w:tc>
      </w:tr>
      <w:tr>
        <w:trPr>
          <w:trHeight w:val="2314" w:hRule="atLeast"/>
        </w:trPr>
        <w:tc>
          <w:tcPr>
            <w:tcW w:w="1542" w:type="dxa"/>
          </w:tcPr>
          <w:p>
            <w:pPr>
              <w:pStyle w:val="TableParagraph"/>
              <w:spacing w:line="273" w:lineRule="auto" w:before="56"/>
              <w:ind w:right="128"/>
              <w:rPr>
                <w:b/>
                <w:sz w:val="21"/>
              </w:rPr>
            </w:pPr>
            <w:r>
              <w:rPr>
                <w:b/>
                <w:sz w:val="21"/>
              </w:rPr>
              <w:t>97.脊髓小脑变性症</w:t>
            </w:r>
          </w:p>
        </w:tc>
        <w:tc>
          <w:tcPr>
            <w:tcW w:w="7911" w:type="dxa"/>
          </w:tcPr>
          <w:p>
            <w:pPr>
              <w:pStyle w:val="TableParagraph"/>
              <w:spacing w:line="273" w:lineRule="auto" w:before="56"/>
              <w:ind w:left="76" w:right="261"/>
              <w:rPr>
                <w:sz w:val="21"/>
              </w:rPr>
            </w:pPr>
            <w:r>
              <w:rPr>
                <w:sz w:val="21"/>
              </w:rPr>
              <w:t>脊髓小脑变性症为一组以小脑萎缩和共济失调为主要临床特点的疾病。必须符合所有以下条件：</w:t>
            </w:r>
          </w:p>
          <w:p>
            <w:pPr>
              <w:pStyle w:val="TableParagraph"/>
              <w:spacing w:before="7"/>
              <w:ind w:left="76"/>
              <w:rPr>
                <w:sz w:val="21"/>
              </w:rPr>
            </w:pPr>
            <w:r>
              <w:rPr>
                <w:sz w:val="21"/>
              </w:rPr>
              <w:t>（1）脊髓小脑变性症必须由三甲医院诊断，并有以下证据支持</w:t>
            </w:r>
          </w:p>
          <w:p>
            <w:pPr>
              <w:pStyle w:val="TableParagraph"/>
              <w:numPr>
                <w:ilvl w:val="0"/>
                <w:numId w:val="62"/>
              </w:numPr>
              <w:tabs>
                <w:tab w:pos="920" w:val="left" w:leader="none"/>
              </w:tabs>
              <w:spacing w:line="240" w:lineRule="auto" w:before="36" w:after="0"/>
              <w:ind w:left="919" w:right="0" w:hanging="317"/>
              <w:jc w:val="left"/>
              <w:rPr>
                <w:sz w:val="21"/>
              </w:rPr>
            </w:pPr>
            <w:r>
              <w:rPr>
                <w:spacing w:val="-3"/>
                <w:sz w:val="21"/>
              </w:rPr>
              <w:t>影像学检查证实存在小脑萎缩；</w:t>
            </w:r>
          </w:p>
          <w:p>
            <w:pPr>
              <w:pStyle w:val="TableParagraph"/>
              <w:numPr>
                <w:ilvl w:val="0"/>
                <w:numId w:val="62"/>
              </w:numPr>
              <w:tabs>
                <w:tab w:pos="920" w:val="left" w:leader="none"/>
              </w:tabs>
              <w:spacing w:line="240" w:lineRule="auto" w:before="37" w:after="0"/>
              <w:ind w:left="919" w:right="0" w:hanging="317"/>
              <w:jc w:val="left"/>
              <w:rPr>
                <w:sz w:val="21"/>
              </w:rPr>
            </w:pPr>
            <w:r>
              <w:rPr>
                <w:spacing w:val="-3"/>
                <w:sz w:val="21"/>
              </w:rPr>
              <w:t>临床表现存在共济失调、语言障碍和肌张力异常；</w:t>
            </w:r>
          </w:p>
          <w:p>
            <w:pPr>
              <w:pStyle w:val="TableParagraph"/>
              <w:spacing w:line="273" w:lineRule="auto"/>
              <w:ind w:left="76" w:right="372"/>
              <w:rPr>
                <w:sz w:val="21"/>
              </w:rPr>
            </w:pPr>
            <w:r>
              <w:rPr>
                <w:sz w:val="21"/>
              </w:rPr>
              <w:t>（2）被保险人运动功能严重障碍，自主生活能力完全丧失，无法独立完成六项基本日常生活活动中的三项或三项以上。</w:t>
            </w:r>
          </w:p>
        </w:tc>
      </w:tr>
      <w:tr>
        <w:trPr>
          <w:trHeight w:val="1983" w:hRule="atLeast"/>
        </w:trPr>
        <w:tc>
          <w:tcPr>
            <w:tcW w:w="1542" w:type="dxa"/>
          </w:tcPr>
          <w:p>
            <w:pPr>
              <w:pStyle w:val="TableParagraph"/>
              <w:spacing w:line="273" w:lineRule="auto" w:before="34"/>
              <w:ind w:right="128"/>
              <w:rPr>
                <w:b/>
                <w:sz w:val="21"/>
              </w:rPr>
            </w:pPr>
            <w:r>
              <w:rPr>
                <w:b/>
                <w:sz w:val="21"/>
              </w:rPr>
              <w:t>98.严重的原发性心肌病</w:t>
            </w:r>
          </w:p>
        </w:tc>
        <w:tc>
          <w:tcPr>
            <w:tcW w:w="7911" w:type="dxa"/>
          </w:tcPr>
          <w:p>
            <w:pPr>
              <w:pStyle w:val="TableParagraph"/>
              <w:spacing w:line="273" w:lineRule="auto" w:before="34"/>
              <w:ind w:left="76" w:right="302"/>
              <w:jc w:val="both"/>
              <w:rPr>
                <w:sz w:val="21"/>
              </w:rPr>
            </w:pPr>
            <w:r>
              <w:rPr>
                <w:spacing w:val="-6"/>
                <w:sz w:val="21"/>
              </w:rPr>
              <w:t>指不明原因引起的一类心肌病变，包括原发性扩张型心肌病、原发性肥厚型心肌病</w:t>
            </w:r>
            <w:r>
              <w:rPr>
                <w:spacing w:val="-7"/>
                <w:sz w:val="21"/>
              </w:rPr>
              <w:t>及原发性限制型心肌病三种，病变必须已造成事实上心室功能障碍而出现明显的心</w:t>
            </w:r>
            <w:r>
              <w:rPr>
                <w:spacing w:val="-10"/>
                <w:sz w:val="21"/>
              </w:rPr>
              <w:t>功能衰竭</w:t>
            </w:r>
            <w:r>
              <w:rPr>
                <w:sz w:val="21"/>
              </w:rPr>
              <w:t>（</w:t>
            </w:r>
            <w:r>
              <w:rPr>
                <w:spacing w:val="-4"/>
                <w:sz w:val="21"/>
              </w:rPr>
              <w:t>指按照美国纽约心脏病学会提出的新功能状态分级的标准判定，心功能</w:t>
            </w:r>
            <w:r>
              <w:rPr>
                <w:spacing w:val="-12"/>
                <w:sz w:val="21"/>
              </w:rPr>
              <w:t>状态已达 </w:t>
            </w:r>
            <w:r>
              <w:rPr>
                <w:sz w:val="21"/>
              </w:rPr>
              <w:t>IV</w:t>
            </w:r>
            <w:r>
              <w:rPr>
                <w:spacing w:val="-23"/>
                <w:sz w:val="21"/>
              </w:rPr>
              <w:t> 级</w:t>
            </w:r>
            <w:r>
              <w:rPr>
                <w:spacing w:val="-99"/>
                <w:sz w:val="21"/>
              </w:rPr>
              <w:t>）</w:t>
            </w:r>
            <w:r>
              <w:rPr>
                <w:spacing w:val="-16"/>
                <w:sz w:val="21"/>
              </w:rPr>
              <w:t>，且有相关住院医疗记录显示 </w:t>
            </w:r>
            <w:r>
              <w:rPr>
                <w:sz w:val="21"/>
              </w:rPr>
              <w:t>IV</w:t>
            </w:r>
            <w:r>
              <w:rPr>
                <w:spacing w:val="-12"/>
                <w:sz w:val="21"/>
              </w:rPr>
              <w:t> 级心功能衰竭状态已持续至少 </w:t>
            </w:r>
            <w:r>
              <w:rPr>
                <w:sz w:val="21"/>
              </w:rPr>
              <w:t>180 </w:t>
            </w:r>
            <w:r>
              <w:rPr>
                <w:spacing w:val="-3"/>
                <w:sz w:val="21"/>
              </w:rPr>
              <w:t>日。本病须经专科医生明确诊断。</w:t>
            </w:r>
          </w:p>
          <w:p>
            <w:pPr>
              <w:pStyle w:val="TableParagraph"/>
              <w:spacing w:before="7"/>
              <w:ind w:left="76"/>
              <w:jc w:val="both"/>
              <w:rPr>
                <w:rFonts w:ascii="黑体" w:eastAsia="黑体" w:hint="eastAsia"/>
                <w:sz w:val="21"/>
              </w:rPr>
            </w:pPr>
            <w:r>
              <w:rPr>
                <w:rFonts w:ascii="黑体" w:eastAsia="黑体" w:hint="eastAsia"/>
                <w:sz w:val="21"/>
              </w:rPr>
              <w:t>继发于全身性疾病或其他器官系统疾病造成的心肌病变不在保障范围内。</w:t>
            </w:r>
          </w:p>
        </w:tc>
      </w:tr>
      <w:tr>
        <w:trPr>
          <w:trHeight w:val="760" w:hRule="atLeast"/>
        </w:trPr>
        <w:tc>
          <w:tcPr>
            <w:tcW w:w="1542" w:type="dxa"/>
          </w:tcPr>
          <w:p>
            <w:pPr>
              <w:pStyle w:val="TableParagraph"/>
              <w:spacing w:line="273" w:lineRule="auto" w:before="38"/>
              <w:ind w:right="128"/>
              <w:rPr>
                <w:b/>
                <w:sz w:val="21"/>
              </w:rPr>
            </w:pPr>
            <w:r>
              <w:rPr>
                <w:b/>
                <w:sz w:val="21"/>
              </w:rPr>
              <w:t>99.永久性脑脊液分流术</w:t>
            </w:r>
          </w:p>
        </w:tc>
        <w:tc>
          <w:tcPr>
            <w:tcW w:w="7911" w:type="dxa"/>
          </w:tcPr>
          <w:p>
            <w:pPr>
              <w:pStyle w:val="TableParagraph"/>
              <w:spacing w:line="273" w:lineRule="auto" w:before="38"/>
              <w:ind w:left="76" w:right="302"/>
              <w:rPr>
                <w:sz w:val="21"/>
              </w:rPr>
            </w:pPr>
            <w:r>
              <w:rPr>
                <w:spacing w:val="-6"/>
                <w:sz w:val="21"/>
              </w:rPr>
              <w:t>指因先天性脑积水</w:t>
            </w:r>
            <w:r>
              <w:rPr>
                <w:sz w:val="21"/>
              </w:rPr>
              <w:t>（</w:t>
            </w:r>
            <w:r>
              <w:rPr>
                <w:spacing w:val="-4"/>
                <w:sz w:val="21"/>
              </w:rPr>
              <w:t>即先天性的脑脊液循环或吸收功能障碍，使脑脊液大量积滞而</w:t>
            </w:r>
            <w:r>
              <w:rPr>
                <w:spacing w:val="-3"/>
                <w:w w:val="100"/>
                <w:sz w:val="21"/>
              </w:rPr>
              <w:t>导致脑室或蛛网膜下腔扩大</w:t>
            </w:r>
            <w:r>
              <w:rPr>
                <w:spacing w:val="-106"/>
                <w:w w:val="100"/>
                <w:sz w:val="21"/>
              </w:rPr>
              <w:t>）</w:t>
            </w:r>
            <w:r>
              <w:rPr>
                <w:spacing w:val="-3"/>
                <w:w w:val="100"/>
                <w:sz w:val="21"/>
              </w:rPr>
              <w:t>，而接受的永久性脑脊液分流手术。</w:t>
            </w:r>
          </w:p>
        </w:tc>
      </w:tr>
      <w:tr>
        <w:trPr>
          <w:trHeight w:val="739" w:hRule="atLeast"/>
        </w:trPr>
        <w:tc>
          <w:tcPr>
            <w:tcW w:w="1542" w:type="dxa"/>
          </w:tcPr>
          <w:p>
            <w:pPr>
              <w:pStyle w:val="TableParagraph"/>
              <w:spacing w:line="273" w:lineRule="auto" w:before="58"/>
              <w:ind w:right="89"/>
              <w:rPr>
                <w:b/>
                <w:sz w:val="21"/>
              </w:rPr>
            </w:pPr>
            <w:r>
              <w:rPr>
                <w:b/>
                <w:sz w:val="21"/>
              </w:rPr>
              <w:t>100. 严重面部烧伤</w:t>
            </w:r>
          </w:p>
        </w:tc>
        <w:tc>
          <w:tcPr>
            <w:tcW w:w="7911" w:type="dxa"/>
          </w:tcPr>
          <w:p>
            <w:pPr>
              <w:pStyle w:val="TableParagraph"/>
              <w:spacing w:before="58"/>
              <w:ind w:left="76"/>
              <w:rPr>
                <w:sz w:val="21"/>
              </w:rPr>
            </w:pPr>
            <w:r>
              <w:rPr>
                <w:sz w:val="21"/>
              </w:rPr>
              <w:t>指烧伤程度为Ⅲ度，且Ⅲ度烧伤的面积达到面部表面积的 80％或 80％以上。</w:t>
            </w:r>
          </w:p>
        </w:tc>
      </w:tr>
      <w:tr>
        <w:trPr>
          <w:trHeight w:val="6563" w:hRule="atLeast"/>
        </w:trPr>
        <w:tc>
          <w:tcPr>
            <w:tcW w:w="1542" w:type="dxa"/>
          </w:tcPr>
          <w:p>
            <w:pPr>
              <w:pStyle w:val="TableParagraph"/>
              <w:spacing w:line="273" w:lineRule="auto" w:before="39"/>
              <w:ind w:right="72"/>
              <w:rPr>
                <w:b/>
                <w:sz w:val="21"/>
              </w:rPr>
            </w:pPr>
            <w:r>
              <w:rPr>
                <w:b/>
                <w:sz w:val="21"/>
              </w:rPr>
              <w:t>重大疾病定 义中所用到 的术语定义：</w:t>
            </w:r>
          </w:p>
        </w:tc>
        <w:tc>
          <w:tcPr>
            <w:tcW w:w="7911" w:type="dxa"/>
          </w:tcPr>
          <w:p>
            <w:pPr>
              <w:pStyle w:val="TableParagraph"/>
              <w:spacing w:line="274" w:lineRule="exact" w:before="18"/>
              <w:ind w:left="73"/>
              <w:rPr>
                <w:sz w:val="21"/>
              </w:rPr>
            </w:pPr>
            <w:r>
              <w:rPr>
                <w:sz w:val="21"/>
              </w:rPr>
              <w:t>1.六项基本日常生活活动</w:t>
            </w:r>
          </w:p>
          <w:p>
            <w:pPr>
              <w:pStyle w:val="TableParagraph"/>
              <w:spacing w:line="237" w:lineRule="auto" w:before="2"/>
              <w:ind w:left="282" w:right="200"/>
              <w:jc w:val="both"/>
              <w:rPr>
                <w:sz w:val="21"/>
              </w:rPr>
            </w:pPr>
            <w:r>
              <w:rPr>
                <w:spacing w:val="-12"/>
                <w:w w:val="100"/>
                <w:sz w:val="21"/>
              </w:rPr>
              <w:t>六项基本日常生活活动是指：</w:t>
            </w:r>
            <w:r>
              <w:rPr>
                <w:w w:val="100"/>
                <w:sz w:val="21"/>
              </w:rPr>
              <w:t>（</w:t>
            </w:r>
            <w:r>
              <w:rPr>
                <w:spacing w:val="-3"/>
                <w:w w:val="100"/>
                <w:sz w:val="21"/>
              </w:rPr>
              <w:t>1</w:t>
            </w:r>
            <w:r>
              <w:rPr>
                <w:spacing w:val="-5"/>
                <w:w w:val="100"/>
                <w:sz w:val="21"/>
              </w:rPr>
              <w:t>）</w:t>
            </w:r>
            <w:r>
              <w:rPr>
                <w:spacing w:val="-12"/>
                <w:w w:val="100"/>
                <w:sz w:val="21"/>
              </w:rPr>
              <w:t>穿衣：自己能够穿衣及脱衣；</w:t>
            </w:r>
            <w:r>
              <w:rPr>
                <w:spacing w:val="-3"/>
                <w:w w:val="100"/>
                <w:sz w:val="21"/>
              </w:rPr>
              <w:t>（2</w:t>
            </w:r>
            <w:r>
              <w:rPr>
                <w:spacing w:val="-5"/>
                <w:w w:val="100"/>
                <w:sz w:val="21"/>
              </w:rPr>
              <w:t>）</w:t>
            </w:r>
            <w:r>
              <w:rPr>
                <w:spacing w:val="-3"/>
                <w:w w:val="100"/>
                <w:sz w:val="21"/>
              </w:rPr>
              <w:t>移动：自己</w:t>
            </w:r>
            <w:r>
              <w:rPr>
                <w:spacing w:val="-13"/>
                <w:w w:val="100"/>
                <w:sz w:val="21"/>
              </w:rPr>
              <w:t>从一个房间到另一个房间；</w:t>
            </w:r>
            <w:r>
              <w:rPr>
                <w:w w:val="100"/>
                <w:sz w:val="21"/>
              </w:rPr>
              <w:t>（</w:t>
            </w:r>
            <w:r>
              <w:rPr>
                <w:spacing w:val="-3"/>
                <w:w w:val="100"/>
                <w:sz w:val="21"/>
              </w:rPr>
              <w:t>3</w:t>
            </w:r>
            <w:r>
              <w:rPr>
                <w:spacing w:val="-5"/>
                <w:w w:val="100"/>
                <w:sz w:val="21"/>
              </w:rPr>
              <w:t>）</w:t>
            </w:r>
            <w:r>
              <w:rPr>
                <w:spacing w:val="-12"/>
                <w:w w:val="100"/>
                <w:sz w:val="21"/>
              </w:rPr>
              <w:t>行动：自己上下床或者上下轮椅；</w:t>
            </w:r>
            <w:r>
              <w:rPr>
                <w:spacing w:val="-2"/>
                <w:w w:val="100"/>
                <w:sz w:val="21"/>
              </w:rPr>
              <w:t>（</w:t>
            </w:r>
            <w:r>
              <w:rPr>
                <w:spacing w:val="-3"/>
                <w:w w:val="100"/>
                <w:sz w:val="21"/>
              </w:rPr>
              <w:t>4</w:t>
            </w:r>
            <w:r>
              <w:rPr>
                <w:spacing w:val="-5"/>
                <w:w w:val="100"/>
                <w:sz w:val="21"/>
              </w:rPr>
              <w:t>）</w:t>
            </w:r>
            <w:r>
              <w:rPr>
                <w:spacing w:val="-3"/>
                <w:w w:val="100"/>
                <w:sz w:val="21"/>
              </w:rPr>
              <w:t>如厕：自</w:t>
            </w:r>
            <w:r>
              <w:rPr>
                <w:spacing w:val="-12"/>
                <w:w w:val="100"/>
                <w:sz w:val="21"/>
              </w:rPr>
              <w:t>己控制进行大小便；</w:t>
            </w:r>
            <w:r>
              <w:rPr>
                <w:spacing w:val="3"/>
                <w:w w:val="100"/>
                <w:sz w:val="21"/>
              </w:rPr>
              <w:t>（</w:t>
            </w:r>
            <w:r>
              <w:rPr>
                <w:w w:val="100"/>
                <w:sz w:val="21"/>
              </w:rPr>
              <w:t>5）进食：自己从已准备好的碗或者碟中取食物放入口中；</w:t>
            </w:r>
          </w:p>
          <w:p>
            <w:pPr>
              <w:pStyle w:val="TableParagraph"/>
              <w:spacing w:line="269" w:lineRule="exact" w:before="0"/>
              <w:ind w:left="282"/>
              <w:rPr>
                <w:sz w:val="21"/>
              </w:rPr>
            </w:pPr>
            <w:r>
              <w:rPr>
                <w:sz w:val="21"/>
              </w:rPr>
              <w:t>（6）洗澡：自己进行淋浴或者盆浴。</w:t>
            </w:r>
          </w:p>
          <w:p>
            <w:pPr>
              <w:pStyle w:val="TableParagraph"/>
              <w:spacing w:line="272" w:lineRule="exact" w:before="0"/>
              <w:ind w:left="73"/>
              <w:rPr>
                <w:sz w:val="21"/>
              </w:rPr>
            </w:pPr>
            <w:r>
              <w:rPr>
                <w:sz w:val="21"/>
              </w:rPr>
              <w:t>2.肢体机能完全丧失</w:t>
            </w:r>
          </w:p>
          <w:p>
            <w:pPr>
              <w:pStyle w:val="TableParagraph"/>
              <w:spacing w:line="237" w:lineRule="auto" w:before="2"/>
              <w:ind w:left="282" w:right="263"/>
              <w:rPr>
                <w:sz w:val="21"/>
              </w:rPr>
            </w:pPr>
            <w:r>
              <w:rPr>
                <w:sz w:val="21"/>
              </w:rPr>
              <w:t>指肢体的三大关节中的两大关节僵硬，或者不能随意识活动。肢体是指包括肩关节的整个上肢或者包括髋关节的整个下肢。</w:t>
            </w:r>
          </w:p>
          <w:p>
            <w:pPr>
              <w:pStyle w:val="TableParagraph"/>
              <w:spacing w:line="272" w:lineRule="exact" w:before="0"/>
              <w:ind w:left="73"/>
              <w:rPr>
                <w:sz w:val="21"/>
              </w:rPr>
            </w:pPr>
            <w:r>
              <w:rPr>
                <w:sz w:val="21"/>
              </w:rPr>
              <w:t>3.语言能力或者咀嚼吞咽能力完全丧失</w:t>
            </w:r>
          </w:p>
          <w:p>
            <w:pPr>
              <w:pStyle w:val="TableParagraph"/>
              <w:spacing w:line="272" w:lineRule="exact" w:before="0"/>
              <w:ind w:left="282"/>
              <w:rPr>
                <w:sz w:val="21"/>
              </w:rPr>
            </w:pPr>
            <w:r>
              <w:rPr>
                <w:sz w:val="21"/>
              </w:rPr>
              <w:t>语言能力完全丧失，指无法发出 4 种语音（包括口唇音、齿舌音、口盖音和喉头</w:t>
            </w:r>
          </w:p>
          <w:p>
            <w:pPr>
              <w:pStyle w:val="TableParagraph"/>
              <w:spacing w:line="237" w:lineRule="auto" w:before="2"/>
              <w:ind w:left="282" w:right="199"/>
              <w:rPr>
                <w:sz w:val="21"/>
              </w:rPr>
            </w:pPr>
            <w:r>
              <w:rPr>
                <w:sz w:val="21"/>
              </w:rPr>
              <w:t>音</w:t>
            </w:r>
            <w:r>
              <w:rPr>
                <w:spacing w:val="-48"/>
                <w:sz w:val="21"/>
              </w:rPr>
              <w:t>）</w:t>
            </w:r>
            <w:r>
              <w:rPr>
                <w:spacing w:val="-9"/>
                <w:sz w:val="21"/>
              </w:rPr>
              <w:t>中的任何 </w:t>
            </w:r>
            <w:r>
              <w:rPr>
                <w:sz w:val="21"/>
              </w:rPr>
              <w:t>3</w:t>
            </w:r>
            <w:r>
              <w:rPr>
                <w:spacing w:val="-14"/>
                <w:sz w:val="21"/>
              </w:rPr>
              <w:t> 种、或者声带全部切除，或者因大脑语言中枢受伤害而患失语症。</w:t>
            </w:r>
            <w:r>
              <w:rPr>
                <w:spacing w:val="-10"/>
                <w:sz w:val="21"/>
              </w:rPr>
              <w:t>咀嚼吞咽能力完全丧失，指因牙齿以外的原因导致器质障碍或者机能障碍，以致</w:t>
            </w:r>
            <w:r>
              <w:rPr>
                <w:spacing w:val="-5"/>
                <w:sz w:val="21"/>
              </w:rPr>
              <w:t>不能作咀嚼吞咽运动，除流质食物外不能摄取或者吞咽的状态。</w:t>
            </w:r>
          </w:p>
          <w:p>
            <w:pPr>
              <w:pStyle w:val="TableParagraph"/>
              <w:spacing w:line="271" w:lineRule="exact" w:before="0"/>
              <w:ind w:left="73"/>
              <w:rPr>
                <w:sz w:val="21"/>
              </w:rPr>
            </w:pPr>
            <w:r>
              <w:rPr>
                <w:sz w:val="21"/>
              </w:rPr>
              <w:t>4.永久不可逆</w:t>
            </w:r>
          </w:p>
          <w:p>
            <w:pPr>
              <w:pStyle w:val="TableParagraph"/>
              <w:spacing w:line="237" w:lineRule="auto" w:before="2"/>
              <w:ind w:left="282" w:right="302"/>
              <w:rPr>
                <w:sz w:val="21"/>
              </w:rPr>
            </w:pPr>
            <w:r>
              <w:rPr>
                <w:spacing w:val="-6"/>
                <w:sz w:val="21"/>
              </w:rPr>
              <w:t>指自疾病确诊或者意外伤害发生之日起，经过积极治疗 </w:t>
            </w:r>
            <w:r>
              <w:rPr>
                <w:sz w:val="21"/>
              </w:rPr>
              <w:t>180</w:t>
            </w:r>
            <w:r>
              <w:rPr>
                <w:spacing w:val="-9"/>
                <w:sz w:val="21"/>
              </w:rPr>
              <w:t> 天后，仍无法通过现</w:t>
            </w:r>
            <w:r>
              <w:rPr>
                <w:spacing w:val="-5"/>
                <w:sz w:val="21"/>
              </w:rPr>
              <w:t>有医疗手段恢复。</w:t>
            </w:r>
          </w:p>
          <w:p>
            <w:pPr>
              <w:pStyle w:val="TableParagraph"/>
              <w:spacing w:line="272" w:lineRule="exact" w:before="0"/>
              <w:ind w:left="73"/>
              <w:rPr>
                <w:sz w:val="21"/>
              </w:rPr>
            </w:pPr>
            <w:r>
              <w:rPr>
                <w:sz w:val="21"/>
              </w:rPr>
              <w:t>5.专科医生</w:t>
            </w:r>
          </w:p>
          <w:p>
            <w:pPr>
              <w:pStyle w:val="TableParagraph"/>
              <w:spacing w:line="237" w:lineRule="auto" w:before="1"/>
              <w:ind w:left="282" w:right="302"/>
              <w:jc w:val="both"/>
              <w:rPr>
                <w:sz w:val="21"/>
              </w:rPr>
            </w:pPr>
            <w:r>
              <w:rPr>
                <w:spacing w:val="-3"/>
                <w:w w:val="100"/>
                <w:sz w:val="21"/>
              </w:rPr>
              <w:t>专科医生应当同时满足以下</w:t>
            </w:r>
            <w:r>
              <w:rPr>
                <w:spacing w:val="-3"/>
                <w:sz w:val="21"/>
              </w:rPr>
              <w:t> </w:t>
            </w:r>
            <w:r>
              <w:rPr>
                <w:w w:val="100"/>
                <w:sz w:val="21"/>
              </w:rPr>
              <w:t>4</w:t>
            </w:r>
            <w:r>
              <w:rPr>
                <w:spacing w:val="-53"/>
                <w:sz w:val="21"/>
              </w:rPr>
              <w:t> </w:t>
            </w:r>
            <w:r>
              <w:rPr>
                <w:spacing w:val="-23"/>
                <w:w w:val="100"/>
                <w:sz w:val="21"/>
              </w:rPr>
              <w:t>项资格条件：</w:t>
            </w:r>
            <w:r>
              <w:rPr>
                <w:w w:val="100"/>
                <w:sz w:val="21"/>
              </w:rPr>
              <w:t>（1</w:t>
            </w:r>
            <w:r>
              <w:rPr>
                <w:spacing w:val="-15"/>
                <w:w w:val="100"/>
                <w:sz w:val="21"/>
              </w:rPr>
              <w:t>）</w:t>
            </w:r>
            <w:r>
              <w:rPr>
                <w:spacing w:val="-4"/>
                <w:w w:val="100"/>
                <w:sz w:val="21"/>
              </w:rPr>
              <w:t>具有有效的中华人民共和国《医</w:t>
            </w:r>
            <w:r>
              <w:rPr>
                <w:spacing w:val="-35"/>
                <w:w w:val="100"/>
                <w:sz w:val="21"/>
              </w:rPr>
              <w:t>师资格证书》；</w:t>
            </w:r>
            <w:r>
              <w:rPr>
                <w:w w:val="100"/>
                <w:sz w:val="21"/>
              </w:rPr>
              <w:t>（</w:t>
            </w:r>
            <w:r>
              <w:rPr>
                <w:spacing w:val="-3"/>
                <w:w w:val="100"/>
                <w:sz w:val="21"/>
              </w:rPr>
              <w:t>2</w:t>
            </w:r>
            <w:r>
              <w:rPr>
                <w:spacing w:val="-10"/>
                <w:w w:val="100"/>
                <w:sz w:val="21"/>
              </w:rPr>
              <w:t>）具有有效的中华人民共和国《医师执业证书》，并按期到相关</w:t>
            </w:r>
            <w:r>
              <w:rPr>
                <w:spacing w:val="-23"/>
                <w:w w:val="100"/>
                <w:sz w:val="21"/>
              </w:rPr>
              <w:t>部门登记注册；</w:t>
            </w:r>
            <w:r>
              <w:rPr>
                <w:w w:val="100"/>
                <w:sz w:val="21"/>
              </w:rPr>
              <w:t>（3</w:t>
            </w:r>
            <w:r>
              <w:rPr>
                <w:spacing w:val="-20"/>
                <w:w w:val="100"/>
                <w:sz w:val="21"/>
              </w:rPr>
              <w:t>）</w:t>
            </w:r>
            <w:r>
              <w:rPr>
                <w:spacing w:val="-3"/>
                <w:w w:val="100"/>
                <w:sz w:val="21"/>
              </w:rPr>
              <w:t>具有有效的中华人民共和国主治医师或者主治医师以上职称</w:t>
            </w:r>
            <w:r>
              <w:rPr>
                <w:spacing w:val="-22"/>
                <w:w w:val="100"/>
                <w:sz w:val="21"/>
              </w:rPr>
              <w:t>的《医师职称证书》；</w:t>
            </w:r>
            <w:r>
              <w:rPr>
                <w:spacing w:val="0"/>
                <w:w w:val="100"/>
                <w:sz w:val="21"/>
              </w:rPr>
              <w:t>（</w:t>
            </w:r>
            <w:r>
              <w:rPr>
                <w:w w:val="100"/>
                <w:sz w:val="21"/>
              </w:rPr>
              <w:t>4）在二级或者二级以上医院的相应科室从事临床工作</w:t>
            </w:r>
            <w:r>
              <w:rPr>
                <w:sz w:val="21"/>
              </w:rPr>
              <w:t> </w:t>
            </w:r>
            <w:r>
              <w:rPr>
                <w:w w:val="100"/>
                <w:sz w:val="21"/>
              </w:rPr>
              <w:t>3</w:t>
            </w:r>
            <w:r>
              <w:rPr>
                <w:spacing w:val="-1"/>
                <w:sz w:val="21"/>
              </w:rPr>
              <w:t>年以上。</w:t>
            </w:r>
          </w:p>
          <w:p>
            <w:pPr>
              <w:pStyle w:val="TableParagraph"/>
              <w:spacing w:line="272" w:lineRule="exact" w:before="0"/>
              <w:ind w:left="73"/>
              <w:rPr>
                <w:sz w:val="21"/>
              </w:rPr>
            </w:pPr>
            <w:r>
              <w:rPr>
                <w:sz w:val="21"/>
              </w:rPr>
              <w:t>6.遗传性疾病</w:t>
            </w:r>
          </w:p>
          <w:p>
            <w:pPr>
              <w:pStyle w:val="TableParagraph"/>
              <w:spacing w:line="259" w:lineRule="exact" w:before="0"/>
              <w:ind w:left="282"/>
              <w:jc w:val="both"/>
              <w:rPr>
                <w:sz w:val="21"/>
              </w:rPr>
            </w:pPr>
            <w:r>
              <w:rPr>
                <w:sz w:val="21"/>
              </w:rPr>
              <w:t>指生殖细胞或者受精卵的遗传物质（染色体和基因）发生突变或者畸变所引起的</w:t>
            </w:r>
          </w:p>
        </w:tc>
      </w:tr>
    </w:tbl>
    <w:p>
      <w:pPr>
        <w:spacing w:after="0" w:line="259" w:lineRule="exact"/>
        <w:jc w:val="both"/>
        <w:rPr>
          <w:sz w:val="21"/>
        </w:rPr>
        <w:sectPr>
          <w:pgSz w:w="11910" w:h="16840"/>
          <w:pgMar w:header="0" w:footer="377" w:top="1340" w:bottom="560" w:left="15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382"/>
        <w:gridCol w:w="8017"/>
      </w:tblGrid>
      <w:tr>
        <w:trPr>
          <w:trHeight w:val="1337" w:hRule="atLeast"/>
        </w:trPr>
        <w:tc>
          <w:tcPr>
            <w:tcW w:w="768" w:type="dxa"/>
          </w:tcPr>
          <w:p>
            <w:pPr>
              <w:pStyle w:val="TableParagraph"/>
              <w:spacing w:before="0"/>
              <w:ind w:left="0"/>
              <w:rPr>
                <w:rFonts w:ascii="Times New Roman"/>
                <w:sz w:val="20"/>
              </w:rPr>
            </w:pPr>
          </w:p>
        </w:tc>
        <w:tc>
          <w:tcPr>
            <w:tcW w:w="1382" w:type="dxa"/>
          </w:tcPr>
          <w:p>
            <w:pPr>
              <w:pStyle w:val="TableParagraph"/>
              <w:spacing w:before="0"/>
              <w:ind w:left="0"/>
              <w:rPr>
                <w:rFonts w:ascii="Times New Roman"/>
                <w:sz w:val="20"/>
              </w:rPr>
            </w:pPr>
          </w:p>
        </w:tc>
        <w:tc>
          <w:tcPr>
            <w:tcW w:w="8017" w:type="dxa"/>
          </w:tcPr>
          <w:p>
            <w:pPr>
              <w:pStyle w:val="TableParagraph"/>
              <w:spacing w:line="202" w:lineRule="exact" w:before="0"/>
              <w:ind w:left="388"/>
              <w:rPr>
                <w:sz w:val="21"/>
              </w:rPr>
            </w:pPr>
            <w:r>
              <w:rPr>
                <w:sz w:val="21"/>
              </w:rPr>
              <w:t>疾病，通常具有由亲代传至后代的垂直传递的特征。</w:t>
            </w:r>
          </w:p>
          <w:p>
            <w:pPr>
              <w:pStyle w:val="TableParagraph"/>
              <w:spacing w:line="273" w:lineRule="exact" w:before="0"/>
              <w:ind w:left="179"/>
              <w:rPr>
                <w:sz w:val="21"/>
              </w:rPr>
            </w:pPr>
            <w:r>
              <w:rPr>
                <w:sz w:val="21"/>
              </w:rPr>
              <w:t>7.先天性畸形、变形和染色体异常</w:t>
            </w:r>
          </w:p>
          <w:p>
            <w:pPr>
              <w:pStyle w:val="TableParagraph"/>
              <w:spacing w:line="237" w:lineRule="auto" w:before="2"/>
              <w:ind w:left="388" w:right="305"/>
              <w:jc w:val="both"/>
              <w:rPr>
                <w:sz w:val="21"/>
              </w:rPr>
            </w:pPr>
            <w:r>
              <w:rPr>
                <w:spacing w:val="-6"/>
                <w:sz w:val="21"/>
              </w:rPr>
              <w:t>指被保险人出生时就具有的畸形、变形或者染色体异常。先天性畸形、变形和染</w:t>
            </w:r>
            <w:r>
              <w:rPr>
                <w:spacing w:val="-10"/>
                <w:sz w:val="21"/>
              </w:rPr>
              <w:t>色体异常依照世界卫生组织《疾病和有关健康问题的国际统计分类》</w:t>
            </w:r>
            <w:r>
              <w:rPr>
                <w:sz w:val="21"/>
              </w:rPr>
              <w:t>（ICD-10） 确定。</w:t>
            </w:r>
          </w:p>
        </w:tc>
      </w:tr>
      <w:tr>
        <w:trPr>
          <w:trHeight w:val="6626" w:hRule="atLeast"/>
        </w:trPr>
        <w:tc>
          <w:tcPr>
            <w:tcW w:w="768" w:type="dxa"/>
          </w:tcPr>
          <w:p>
            <w:pPr>
              <w:pStyle w:val="TableParagraph"/>
              <w:spacing w:line="249" w:lineRule="exact" w:before="0"/>
              <w:ind w:left="179" w:right="125"/>
              <w:jc w:val="center"/>
              <w:rPr>
                <w:b/>
                <w:sz w:val="21"/>
              </w:rPr>
            </w:pPr>
            <w:r>
              <w:rPr>
                <w:b/>
                <w:sz w:val="21"/>
              </w:rPr>
              <w:t>9.12</w:t>
            </w:r>
          </w:p>
        </w:tc>
        <w:tc>
          <w:tcPr>
            <w:tcW w:w="1382" w:type="dxa"/>
          </w:tcPr>
          <w:p>
            <w:pPr>
              <w:pStyle w:val="TableParagraph"/>
              <w:spacing w:line="249" w:lineRule="exact" w:before="0"/>
              <w:ind w:left="145"/>
              <w:rPr>
                <w:b/>
                <w:sz w:val="21"/>
              </w:rPr>
            </w:pPr>
            <w:r>
              <w:rPr>
                <w:b/>
                <w:sz w:val="21"/>
              </w:rPr>
              <w:t>全残</w:t>
            </w:r>
          </w:p>
        </w:tc>
        <w:tc>
          <w:tcPr>
            <w:tcW w:w="8017" w:type="dxa"/>
          </w:tcPr>
          <w:p>
            <w:pPr>
              <w:pStyle w:val="TableParagraph"/>
              <w:spacing w:line="264" w:lineRule="exact" w:before="0"/>
              <w:ind w:left="181"/>
              <w:jc w:val="both"/>
              <w:rPr>
                <w:sz w:val="21"/>
              </w:rPr>
            </w:pPr>
            <w:r>
              <w:rPr>
                <w:sz w:val="21"/>
              </w:rPr>
              <w:t>本附加险合同所述</w:t>
            </w:r>
            <w:r>
              <w:rPr>
                <w:rFonts w:ascii="Arial" w:hAnsi="Arial" w:eastAsia="Arial"/>
                <w:sz w:val="21"/>
              </w:rPr>
              <w:t>“</w:t>
            </w:r>
            <w:r>
              <w:rPr>
                <w:sz w:val="21"/>
              </w:rPr>
              <w:t>全残</w:t>
            </w:r>
            <w:r>
              <w:rPr>
                <w:rFonts w:ascii="Arial" w:hAnsi="Arial" w:eastAsia="Arial"/>
                <w:sz w:val="21"/>
              </w:rPr>
              <w:t>”</w:t>
            </w:r>
            <w:r>
              <w:rPr>
                <w:sz w:val="21"/>
              </w:rPr>
              <w:t>指下列情形之一：</w:t>
            </w:r>
          </w:p>
          <w:p>
            <w:pPr>
              <w:pStyle w:val="TableParagraph"/>
              <w:spacing w:before="22"/>
              <w:ind w:left="181"/>
              <w:jc w:val="both"/>
              <w:rPr>
                <w:sz w:val="21"/>
              </w:rPr>
            </w:pPr>
            <w:r>
              <w:rPr>
                <w:sz w:val="21"/>
              </w:rPr>
              <w:t>1.双目永久完全失明；</w:t>
            </w:r>
          </w:p>
          <w:p>
            <w:pPr>
              <w:pStyle w:val="TableParagraph"/>
              <w:ind w:left="181"/>
              <w:jc w:val="both"/>
              <w:rPr>
                <w:sz w:val="21"/>
              </w:rPr>
            </w:pPr>
            <w:r>
              <w:rPr>
                <w:sz w:val="21"/>
              </w:rPr>
              <w:t>2.两上肢腕关节以上或者两下肢踝关节以上缺失；</w:t>
            </w:r>
          </w:p>
          <w:p>
            <w:pPr>
              <w:pStyle w:val="TableParagraph"/>
              <w:ind w:left="181"/>
              <w:jc w:val="both"/>
              <w:rPr>
                <w:sz w:val="21"/>
              </w:rPr>
            </w:pPr>
            <w:r>
              <w:rPr>
                <w:sz w:val="21"/>
              </w:rPr>
              <w:t>3.一上肢腕关节以上及一下肢踝关节以上缺失；</w:t>
            </w:r>
          </w:p>
          <w:p>
            <w:pPr>
              <w:pStyle w:val="TableParagraph"/>
              <w:ind w:left="181"/>
              <w:jc w:val="both"/>
              <w:rPr>
                <w:sz w:val="21"/>
              </w:rPr>
            </w:pPr>
            <w:r>
              <w:rPr>
                <w:sz w:val="21"/>
              </w:rPr>
              <w:t>4.一目永久完全失明及一上肢腕关节以上缺失；</w:t>
            </w:r>
          </w:p>
          <w:p>
            <w:pPr>
              <w:pStyle w:val="TableParagraph"/>
              <w:ind w:left="181"/>
              <w:jc w:val="both"/>
              <w:rPr>
                <w:sz w:val="21"/>
              </w:rPr>
            </w:pPr>
            <w:r>
              <w:rPr>
                <w:sz w:val="21"/>
              </w:rPr>
              <w:t>5.一目永久完全失明及一下肢踝关节以上缺失；</w:t>
            </w:r>
          </w:p>
          <w:p>
            <w:pPr>
              <w:pStyle w:val="TableParagraph"/>
              <w:ind w:left="181"/>
              <w:jc w:val="both"/>
              <w:rPr>
                <w:sz w:val="21"/>
              </w:rPr>
            </w:pPr>
            <w:r>
              <w:rPr>
                <w:sz w:val="21"/>
              </w:rPr>
              <w:t>6.四肢关节机能永久完全丧失；</w:t>
            </w:r>
          </w:p>
          <w:p>
            <w:pPr>
              <w:pStyle w:val="TableParagraph"/>
              <w:spacing w:before="38"/>
              <w:ind w:left="181"/>
              <w:jc w:val="both"/>
              <w:rPr>
                <w:sz w:val="21"/>
              </w:rPr>
            </w:pPr>
            <w:r>
              <w:rPr>
                <w:sz w:val="21"/>
              </w:rPr>
              <w:t>7.咀嚼、吞咽机能永久完全丧失；</w:t>
            </w:r>
          </w:p>
          <w:p>
            <w:pPr>
              <w:pStyle w:val="TableParagraph"/>
              <w:spacing w:line="273" w:lineRule="auto"/>
              <w:ind w:left="181" w:right="197"/>
              <w:rPr>
                <w:sz w:val="21"/>
              </w:rPr>
            </w:pPr>
            <w:r>
              <w:rPr>
                <w:sz w:val="21"/>
              </w:rPr>
              <w:t>8.</w:t>
            </w:r>
            <w:r>
              <w:rPr>
                <w:spacing w:val="-12"/>
                <w:sz w:val="21"/>
              </w:rPr>
              <w:t>中枢神经系统机能或者胸、腹部脏器机能极度障碍，导致终身不能从事任何工作， </w:t>
            </w:r>
            <w:r>
              <w:rPr>
                <w:spacing w:val="-6"/>
                <w:sz w:val="21"/>
              </w:rPr>
              <w:t>为维持生命必要的日常生活活动，全需他人扶助的。</w:t>
            </w:r>
          </w:p>
          <w:p>
            <w:pPr>
              <w:pStyle w:val="TableParagraph"/>
              <w:spacing w:line="273" w:lineRule="auto" w:before="163"/>
              <w:ind w:left="181" w:right="304"/>
              <w:jc w:val="both"/>
              <w:rPr>
                <w:sz w:val="21"/>
              </w:rPr>
            </w:pPr>
            <w:r>
              <w:rPr>
                <w:b/>
                <w:sz w:val="21"/>
              </w:rPr>
              <w:t>失明</w:t>
            </w:r>
            <w:r>
              <w:rPr>
                <w:spacing w:val="-7"/>
                <w:sz w:val="21"/>
              </w:rPr>
              <w:t>：包括眼球缺失或者摘除、或者不能辨别明暗、或者仅能辨别眼前手动者，最</w:t>
            </w:r>
            <w:r>
              <w:rPr>
                <w:spacing w:val="-8"/>
                <w:sz w:val="21"/>
              </w:rPr>
              <w:t>佳矫正视力低于国际标准视力表 </w:t>
            </w:r>
            <w:r>
              <w:rPr>
                <w:spacing w:val="-10"/>
                <w:sz w:val="21"/>
              </w:rPr>
              <w:t>0.02</w:t>
            </w:r>
            <w:r>
              <w:rPr>
                <w:spacing w:val="-8"/>
                <w:sz w:val="21"/>
              </w:rPr>
              <w:t>，或者视野半径小于 </w:t>
            </w:r>
            <w:r>
              <w:rPr>
                <w:sz w:val="21"/>
              </w:rPr>
              <w:t>5</w:t>
            </w:r>
            <w:r>
              <w:rPr>
                <w:spacing w:val="-11"/>
                <w:sz w:val="21"/>
              </w:rPr>
              <w:t> 度，且病程持续超过一</w:t>
            </w:r>
            <w:r>
              <w:rPr>
                <w:w w:val="100"/>
                <w:sz w:val="21"/>
              </w:rPr>
              <w:t>百八十天（眼球缺失或者摘除不在此限</w:t>
            </w:r>
            <w:r>
              <w:rPr>
                <w:spacing w:val="-105"/>
                <w:w w:val="100"/>
                <w:sz w:val="21"/>
              </w:rPr>
              <w:t>）</w:t>
            </w:r>
            <w:r>
              <w:rPr>
                <w:w w:val="100"/>
                <w:sz w:val="21"/>
              </w:rPr>
              <w:t>，并由本公司确定的有资格的眼科医师出</w:t>
            </w:r>
            <w:r>
              <w:rPr>
                <w:spacing w:val="-3"/>
                <w:sz w:val="21"/>
              </w:rPr>
              <w:t>具医疗诊断证明。</w:t>
            </w:r>
          </w:p>
          <w:p>
            <w:pPr>
              <w:pStyle w:val="TableParagraph"/>
              <w:spacing w:before="163"/>
              <w:ind w:left="181"/>
              <w:rPr>
                <w:sz w:val="21"/>
              </w:rPr>
            </w:pPr>
            <w:r>
              <w:rPr>
                <w:b/>
                <w:sz w:val="21"/>
              </w:rPr>
              <w:t>关节机能的丧失</w:t>
            </w:r>
            <w:r>
              <w:rPr>
                <w:sz w:val="21"/>
              </w:rPr>
              <w:t>：指关节永久完全僵硬、或者麻痹、或者关节不能随意识活动。</w:t>
            </w:r>
          </w:p>
          <w:p>
            <w:pPr>
              <w:pStyle w:val="TableParagraph"/>
              <w:spacing w:before="10"/>
              <w:ind w:left="0"/>
              <w:rPr>
                <w:b/>
                <w:sz w:val="14"/>
              </w:rPr>
            </w:pPr>
          </w:p>
          <w:p>
            <w:pPr>
              <w:pStyle w:val="TableParagraph"/>
              <w:spacing w:line="273" w:lineRule="auto" w:before="0"/>
              <w:ind w:left="181" w:right="262"/>
              <w:rPr>
                <w:sz w:val="21"/>
              </w:rPr>
            </w:pPr>
            <w:r>
              <w:rPr>
                <w:b/>
                <w:sz w:val="21"/>
              </w:rPr>
              <w:t>咀嚼、吞咽机能的丧失</w:t>
            </w:r>
            <w:r>
              <w:rPr>
                <w:sz w:val="21"/>
              </w:rPr>
              <w:t>：指由于牙齿以外的原因引起器质障碍或者机能障碍，以至不能作咀嚼、吞咽运动，除流质食物外不能摄取或者吞咽的状态。</w:t>
            </w:r>
          </w:p>
          <w:p>
            <w:pPr>
              <w:pStyle w:val="TableParagraph"/>
              <w:spacing w:line="273" w:lineRule="auto" w:before="163"/>
              <w:ind w:left="181" w:right="247"/>
              <w:rPr>
                <w:sz w:val="21"/>
              </w:rPr>
            </w:pPr>
            <w:r>
              <w:rPr>
                <w:b/>
                <w:sz w:val="21"/>
              </w:rPr>
              <w:t>为维持生命必要之日常生活活动，全需他人扶助</w:t>
            </w:r>
            <w:r>
              <w:rPr>
                <w:sz w:val="21"/>
              </w:rPr>
              <w:t>：指食物摄取、大小便始末、穿脱衣服、起居、步行、入浴等，皆不能自己为之，需要他人帮助。</w:t>
            </w:r>
          </w:p>
        </w:tc>
      </w:tr>
      <w:tr>
        <w:trPr>
          <w:trHeight w:val="808" w:hRule="atLeast"/>
        </w:trPr>
        <w:tc>
          <w:tcPr>
            <w:tcW w:w="768" w:type="dxa"/>
          </w:tcPr>
          <w:p>
            <w:pPr>
              <w:pStyle w:val="TableParagraph"/>
              <w:spacing w:before="56"/>
              <w:ind w:left="179" w:right="125"/>
              <w:jc w:val="center"/>
              <w:rPr>
                <w:b/>
                <w:sz w:val="21"/>
              </w:rPr>
            </w:pPr>
            <w:r>
              <w:rPr>
                <w:b/>
                <w:sz w:val="21"/>
              </w:rPr>
              <w:t>9.13</w:t>
            </w:r>
          </w:p>
        </w:tc>
        <w:tc>
          <w:tcPr>
            <w:tcW w:w="1382" w:type="dxa"/>
          </w:tcPr>
          <w:p>
            <w:pPr>
              <w:pStyle w:val="TableParagraph"/>
              <w:spacing w:line="273" w:lineRule="auto" w:before="56"/>
              <w:ind w:left="145" w:right="178"/>
              <w:rPr>
                <w:b/>
                <w:sz w:val="21"/>
              </w:rPr>
            </w:pPr>
            <w:r>
              <w:rPr>
                <w:b/>
                <w:sz w:val="21"/>
              </w:rPr>
              <w:t>累计已交保险费</w:t>
            </w:r>
          </w:p>
        </w:tc>
        <w:tc>
          <w:tcPr>
            <w:tcW w:w="8017" w:type="dxa"/>
          </w:tcPr>
          <w:p>
            <w:pPr>
              <w:pStyle w:val="TableParagraph"/>
              <w:spacing w:before="56"/>
              <w:ind w:left="181"/>
              <w:rPr>
                <w:sz w:val="21"/>
              </w:rPr>
            </w:pPr>
            <w:r>
              <w:rPr>
                <w:sz w:val="21"/>
              </w:rPr>
              <w:t>指投保人依据本附加险合同已经向公司交纳的保险费。</w:t>
            </w:r>
          </w:p>
        </w:tc>
      </w:tr>
      <w:tr>
        <w:trPr>
          <w:trHeight w:val="496" w:hRule="atLeast"/>
        </w:trPr>
        <w:tc>
          <w:tcPr>
            <w:tcW w:w="768" w:type="dxa"/>
          </w:tcPr>
          <w:p>
            <w:pPr>
              <w:pStyle w:val="TableParagraph"/>
              <w:spacing w:before="85"/>
              <w:ind w:left="179" w:right="125"/>
              <w:jc w:val="center"/>
              <w:rPr>
                <w:b/>
                <w:sz w:val="21"/>
              </w:rPr>
            </w:pPr>
            <w:r>
              <w:rPr>
                <w:b/>
                <w:sz w:val="21"/>
              </w:rPr>
              <w:t>9.14</w:t>
            </w:r>
          </w:p>
        </w:tc>
        <w:tc>
          <w:tcPr>
            <w:tcW w:w="1382" w:type="dxa"/>
          </w:tcPr>
          <w:p>
            <w:pPr>
              <w:pStyle w:val="TableParagraph"/>
              <w:spacing w:before="85"/>
              <w:ind w:left="145"/>
              <w:rPr>
                <w:b/>
                <w:sz w:val="21"/>
              </w:rPr>
            </w:pPr>
            <w:r>
              <w:rPr>
                <w:b/>
                <w:sz w:val="21"/>
              </w:rPr>
              <w:t>保险事故</w:t>
            </w:r>
          </w:p>
        </w:tc>
        <w:tc>
          <w:tcPr>
            <w:tcW w:w="8017" w:type="dxa"/>
          </w:tcPr>
          <w:p>
            <w:pPr>
              <w:pStyle w:val="TableParagraph"/>
              <w:spacing w:before="85"/>
              <w:ind w:left="181"/>
              <w:rPr>
                <w:sz w:val="21"/>
              </w:rPr>
            </w:pPr>
            <w:r>
              <w:rPr>
                <w:sz w:val="21"/>
              </w:rPr>
              <w:t>指本附加险合同约定的保险责任范围内的事故。</w:t>
            </w:r>
          </w:p>
        </w:tc>
      </w:tr>
      <w:tr>
        <w:trPr>
          <w:trHeight w:val="780" w:hRule="atLeast"/>
        </w:trPr>
        <w:tc>
          <w:tcPr>
            <w:tcW w:w="768" w:type="dxa"/>
          </w:tcPr>
          <w:p>
            <w:pPr>
              <w:pStyle w:val="TableParagraph"/>
              <w:spacing w:before="56"/>
              <w:ind w:left="179" w:right="125"/>
              <w:jc w:val="center"/>
              <w:rPr>
                <w:b/>
                <w:sz w:val="21"/>
              </w:rPr>
            </w:pPr>
            <w:r>
              <w:rPr>
                <w:b/>
                <w:sz w:val="21"/>
              </w:rPr>
              <w:t>9.15</w:t>
            </w:r>
          </w:p>
        </w:tc>
        <w:tc>
          <w:tcPr>
            <w:tcW w:w="1382" w:type="dxa"/>
          </w:tcPr>
          <w:p>
            <w:pPr>
              <w:pStyle w:val="TableParagraph"/>
              <w:spacing w:before="56"/>
              <w:ind w:left="145"/>
              <w:rPr>
                <w:b/>
                <w:sz w:val="21"/>
              </w:rPr>
            </w:pPr>
            <w:r>
              <w:rPr>
                <w:b/>
                <w:sz w:val="21"/>
              </w:rPr>
              <w:t>毒品</w:t>
            </w:r>
          </w:p>
        </w:tc>
        <w:tc>
          <w:tcPr>
            <w:tcW w:w="8017" w:type="dxa"/>
          </w:tcPr>
          <w:p>
            <w:pPr>
              <w:pStyle w:val="TableParagraph"/>
              <w:spacing w:line="273" w:lineRule="auto" w:before="56"/>
              <w:ind w:left="181" w:right="308"/>
              <w:rPr>
                <w:sz w:val="21"/>
              </w:rPr>
            </w:pPr>
            <w:r>
              <w:rPr>
                <w:sz w:val="21"/>
              </w:rPr>
              <w:t>指鸦片、海洛因、甲基苯丙胺（冰毒</w:t>
            </w:r>
            <w:r>
              <w:rPr>
                <w:spacing w:val="-104"/>
                <w:sz w:val="21"/>
              </w:rPr>
              <w:t>）</w:t>
            </w:r>
            <w:r>
              <w:rPr>
                <w:sz w:val="21"/>
              </w:rPr>
              <w:t>、吗啡、大麻、可卡因以及索赔当时政府规</w:t>
            </w:r>
            <w:r>
              <w:rPr>
                <w:spacing w:val="-3"/>
                <w:sz w:val="21"/>
              </w:rPr>
              <w:t>定管制的其他能够使人形成瘾癖的麻醉药品和精神药品。</w:t>
            </w:r>
          </w:p>
        </w:tc>
      </w:tr>
      <w:tr>
        <w:trPr>
          <w:trHeight w:val="1172" w:hRule="atLeast"/>
        </w:trPr>
        <w:tc>
          <w:tcPr>
            <w:tcW w:w="768" w:type="dxa"/>
          </w:tcPr>
          <w:p>
            <w:pPr>
              <w:pStyle w:val="TableParagraph"/>
              <w:spacing w:before="57"/>
              <w:ind w:left="179" w:right="125"/>
              <w:jc w:val="center"/>
              <w:rPr>
                <w:b/>
                <w:sz w:val="21"/>
              </w:rPr>
            </w:pPr>
            <w:r>
              <w:rPr>
                <w:b/>
                <w:sz w:val="21"/>
              </w:rPr>
              <w:t>9.16</w:t>
            </w:r>
          </w:p>
        </w:tc>
        <w:tc>
          <w:tcPr>
            <w:tcW w:w="1382" w:type="dxa"/>
          </w:tcPr>
          <w:p>
            <w:pPr>
              <w:pStyle w:val="TableParagraph"/>
              <w:spacing w:before="57"/>
              <w:ind w:left="145"/>
              <w:rPr>
                <w:b/>
                <w:sz w:val="21"/>
              </w:rPr>
            </w:pPr>
            <w:r>
              <w:rPr>
                <w:b/>
                <w:sz w:val="21"/>
              </w:rPr>
              <w:t>酒后驾驶</w:t>
            </w:r>
          </w:p>
        </w:tc>
        <w:tc>
          <w:tcPr>
            <w:tcW w:w="8017" w:type="dxa"/>
          </w:tcPr>
          <w:p>
            <w:pPr>
              <w:pStyle w:val="TableParagraph"/>
              <w:spacing w:line="273" w:lineRule="auto" w:before="57"/>
              <w:ind w:left="181" w:right="303"/>
              <w:jc w:val="both"/>
              <w:rPr>
                <w:sz w:val="21"/>
              </w:rPr>
            </w:pPr>
            <w:r>
              <w:rPr>
                <w:spacing w:val="-7"/>
                <w:sz w:val="21"/>
              </w:rPr>
              <w:t>指经检测或者鉴定，发生事故时车辆驾驶人员每百毫升血液中的酒精含量达到或者超过一定的标准，公安机关交通管理部门依据《道路交通安全法》的规定认定为饮</w:t>
            </w:r>
            <w:r>
              <w:rPr>
                <w:spacing w:val="-5"/>
                <w:sz w:val="21"/>
              </w:rPr>
              <w:t>酒后驾驶或者醉酒后驾驶。</w:t>
            </w:r>
          </w:p>
        </w:tc>
      </w:tr>
      <w:tr>
        <w:trPr>
          <w:trHeight w:val="2742" w:hRule="atLeast"/>
        </w:trPr>
        <w:tc>
          <w:tcPr>
            <w:tcW w:w="768" w:type="dxa"/>
          </w:tcPr>
          <w:p>
            <w:pPr>
              <w:pStyle w:val="TableParagraph"/>
              <w:spacing w:before="137"/>
              <w:ind w:left="179" w:right="125"/>
              <w:jc w:val="center"/>
              <w:rPr>
                <w:b/>
                <w:sz w:val="21"/>
              </w:rPr>
            </w:pPr>
            <w:r>
              <w:rPr>
                <w:b/>
                <w:sz w:val="21"/>
              </w:rPr>
              <w:t>9.17</w:t>
            </w:r>
          </w:p>
        </w:tc>
        <w:tc>
          <w:tcPr>
            <w:tcW w:w="1382" w:type="dxa"/>
          </w:tcPr>
          <w:p>
            <w:pPr>
              <w:pStyle w:val="TableParagraph"/>
              <w:spacing w:line="273" w:lineRule="auto" w:before="137"/>
              <w:ind w:left="145" w:right="178"/>
              <w:rPr>
                <w:b/>
                <w:sz w:val="21"/>
              </w:rPr>
            </w:pPr>
            <w:r>
              <w:rPr>
                <w:b/>
                <w:sz w:val="21"/>
              </w:rPr>
              <w:t>无合法有效驾驶证驾驶</w:t>
            </w:r>
          </w:p>
        </w:tc>
        <w:tc>
          <w:tcPr>
            <w:tcW w:w="8017" w:type="dxa"/>
          </w:tcPr>
          <w:p>
            <w:pPr>
              <w:pStyle w:val="TableParagraph"/>
              <w:spacing w:before="137"/>
              <w:ind w:left="181"/>
              <w:rPr>
                <w:sz w:val="21"/>
              </w:rPr>
            </w:pPr>
            <w:r>
              <w:rPr>
                <w:sz w:val="21"/>
              </w:rPr>
              <w:t>指下列情形之一：</w:t>
            </w:r>
          </w:p>
          <w:p>
            <w:pPr>
              <w:pStyle w:val="TableParagraph"/>
              <w:numPr>
                <w:ilvl w:val="0"/>
                <w:numId w:val="63"/>
              </w:numPr>
              <w:tabs>
                <w:tab w:pos="749" w:val="left" w:leader="none"/>
              </w:tabs>
              <w:spacing w:line="240" w:lineRule="auto" w:before="37" w:after="0"/>
              <w:ind w:left="748" w:right="0" w:hanging="567"/>
              <w:jc w:val="left"/>
              <w:rPr>
                <w:sz w:val="21"/>
              </w:rPr>
            </w:pPr>
            <w:r>
              <w:rPr>
                <w:spacing w:val="-3"/>
                <w:sz w:val="21"/>
              </w:rPr>
              <w:t>没有驾驶证驾驶；</w:t>
            </w:r>
          </w:p>
          <w:p>
            <w:pPr>
              <w:pStyle w:val="TableParagraph"/>
              <w:numPr>
                <w:ilvl w:val="0"/>
                <w:numId w:val="63"/>
              </w:numPr>
              <w:tabs>
                <w:tab w:pos="749" w:val="left" w:leader="none"/>
              </w:tabs>
              <w:spacing w:line="240" w:lineRule="auto" w:before="22" w:after="0"/>
              <w:ind w:left="748" w:right="0" w:hanging="567"/>
              <w:jc w:val="left"/>
              <w:rPr>
                <w:sz w:val="21"/>
              </w:rPr>
            </w:pPr>
            <w:r>
              <w:rPr>
                <w:spacing w:val="-3"/>
                <w:sz w:val="21"/>
              </w:rPr>
              <w:t>驾驶与驾驶证准驾车型不相符合的车辆；</w:t>
            </w:r>
          </w:p>
          <w:p>
            <w:pPr>
              <w:pStyle w:val="TableParagraph"/>
              <w:numPr>
                <w:ilvl w:val="0"/>
                <w:numId w:val="63"/>
              </w:numPr>
              <w:tabs>
                <w:tab w:pos="749" w:val="left" w:leader="none"/>
              </w:tabs>
              <w:spacing w:line="240" w:lineRule="auto" w:before="22" w:after="0"/>
              <w:ind w:left="748" w:right="0" w:hanging="567"/>
              <w:jc w:val="left"/>
              <w:rPr>
                <w:sz w:val="21"/>
              </w:rPr>
            </w:pPr>
            <w:r>
              <w:rPr>
                <w:spacing w:val="-3"/>
                <w:sz w:val="21"/>
              </w:rPr>
              <w:t>驾驶员持审验不合格的驾驶证驾驶；</w:t>
            </w:r>
          </w:p>
          <w:p>
            <w:pPr>
              <w:pStyle w:val="TableParagraph"/>
              <w:numPr>
                <w:ilvl w:val="0"/>
                <w:numId w:val="63"/>
              </w:numPr>
              <w:tabs>
                <w:tab w:pos="749" w:val="left" w:leader="none"/>
              </w:tabs>
              <w:spacing w:line="240" w:lineRule="auto" w:before="22" w:after="0"/>
              <w:ind w:left="748" w:right="0" w:hanging="567"/>
              <w:jc w:val="left"/>
              <w:rPr>
                <w:sz w:val="21"/>
              </w:rPr>
            </w:pPr>
            <w:r>
              <w:rPr>
                <w:spacing w:val="-3"/>
                <w:sz w:val="21"/>
              </w:rPr>
              <w:t>未经公安交通管理部门同意，持未审验的驾驶证驾驶；</w:t>
            </w:r>
          </w:p>
          <w:p>
            <w:pPr>
              <w:pStyle w:val="TableParagraph"/>
              <w:numPr>
                <w:ilvl w:val="0"/>
                <w:numId w:val="63"/>
              </w:numPr>
              <w:tabs>
                <w:tab w:pos="749" w:val="left" w:leader="none"/>
              </w:tabs>
              <w:spacing w:line="259" w:lineRule="auto" w:before="22" w:after="0"/>
              <w:ind w:left="748" w:right="308" w:hanging="567"/>
              <w:jc w:val="left"/>
              <w:rPr>
                <w:sz w:val="21"/>
              </w:rPr>
            </w:pPr>
            <w:r>
              <w:rPr>
                <w:spacing w:val="-3"/>
                <w:sz w:val="21"/>
              </w:rPr>
              <w:t>持学习驾驶证学习驾车时，无教练员随车指导，或者不按指定时间、路线学习驾车；</w:t>
            </w:r>
          </w:p>
          <w:p>
            <w:pPr>
              <w:pStyle w:val="TableParagraph"/>
              <w:numPr>
                <w:ilvl w:val="0"/>
                <w:numId w:val="63"/>
              </w:numPr>
              <w:tabs>
                <w:tab w:pos="749" w:val="left" w:leader="none"/>
              </w:tabs>
              <w:spacing w:line="240" w:lineRule="auto" w:before="20" w:after="0"/>
              <w:ind w:left="748" w:right="0" w:hanging="567"/>
              <w:jc w:val="left"/>
              <w:rPr>
                <w:sz w:val="21"/>
              </w:rPr>
            </w:pPr>
            <w:r>
              <w:rPr>
                <w:spacing w:val="-3"/>
                <w:sz w:val="21"/>
              </w:rPr>
              <w:t>公安交通管理部门规定的其他无有效驾驶证驾驶的情况。</w:t>
            </w:r>
          </w:p>
        </w:tc>
      </w:tr>
      <w:tr>
        <w:trPr>
          <w:trHeight w:val="334" w:hRule="atLeast"/>
        </w:trPr>
        <w:tc>
          <w:tcPr>
            <w:tcW w:w="768" w:type="dxa"/>
          </w:tcPr>
          <w:p>
            <w:pPr>
              <w:pStyle w:val="TableParagraph"/>
              <w:spacing w:line="263" w:lineRule="exact" w:before="51"/>
              <w:ind w:left="179" w:right="125"/>
              <w:jc w:val="center"/>
              <w:rPr>
                <w:b/>
                <w:sz w:val="21"/>
              </w:rPr>
            </w:pPr>
            <w:r>
              <w:rPr>
                <w:b/>
                <w:sz w:val="21"/>
              </w:rPr>
              <w:t>9.18</w:t>
            </w:r>
          </w:p>
        </w:tc>
        <w:tc>
          <w:tcPr>
            <w:tcW w:w="1382" w:type="dxa"/>
          </w:tcPr>
          <w:p>
            <w:pPr>
              <w:pStyle w:val="TableParagraph"/>
              <w:spacing w:line="263" w:lineRule="exact" w:before="51"/>
              <w:ind w:left="145"/>
              <w:rPr>
                <w:b/>
                <w:sz w:val="21"/>
              </w:rPr>
            </w:pPr>
            <w:r>
              <w:rPr>
                <w:b/>
                <w:sz w:val="21"/>
              </w:rPr>
              <w:t>无有效行驶</w:t>
            </w:r>
          </w:p>
        </w:tc>
        <w:tc>
          <w:tcPr>
            <w:tcW w:w="8017" w:type="dxa"/>
          </w:tcPr>
          <w:p>
            <w:pPr>
              <w:pStyle w:val="TableParagraph"/>
              <w:spacing w:line="263" w:lineRule="exact" w:before="51"/>
              <w:ind w:left="181"/>
              <w:rPr>
                <w:sz w:val="21"/>
              </w:rPr>
            </w:pPr>
            <w:r>
              <w:rPr>
                <w:sz w:val="21"/>
              </w:rPr>
              <w:t>指下列情形之一：</w:t>
            </w:r>
          </w:p>
        </w:tc>
      </w:tr>
    </w:tbl>
    <w:p>
      <w:pPr>
        <w:spacing w:after="0" w:line="263" w:lineRule="exact"/>
        <w:rPr>
          <w:sz w:val="21"/>
        </w:rPr>
        <w:sectPr>
          <w:pgSz w:w="11910" w:h="16840"/>
          <w:pgMar w:header="0" w:footer="377" w:top="1320" w:bottom="560" w:left="8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88"/>
        <w:gridCol w:w="7911"/>
      </w:tblGrid>
      <w:tr>
        <w:trPr>
          <w:trHeight w:val="668" w:hRule="atLeast"/>
        </w:trPr>
        <w:tc>
          <w:tcPr>
            <w:tcW w:w="768" w:type="dxa"/>
          </w:tcPr>
          <w:p>
            <w:pPr>
              <w:pStyle w:val="TableParagraph"/>
              <w:spacing w:before="0"/>
              <w:ind w:left="0"/>
              <w:rPr>
                <w:rFonts w:ascii="Times New Roman"/>
                <w:sz w:val="20"/>
              </w:rPr>
            </w:pPr>
          </w:p>
        </w:tc>
        <w:tc>
          <w:tcPr>
            <w:tcW w:w="1488" w:type="dxa"/>
          </w:tcPr>
          <w:p>
            <w:pPr>
              <w:pStyle w:val="TableParagraph"/>
              <w:spacing w:line="221" w:lineRule="exact" w:before="0"/>
              <w:ind w:left="145"/>
              <w:rPr>
                <w:b/>
                <w:sz w:val="21"/>
              </w:rPr>
            </w:pPr>
            <w:r>
              <w:rPr>
                <w:b/>
                <w:w w:val="100"/>
                <w:sz w:val="21"/>
              </w:rPr>
              <w:t>证</w:t>
            </w:r>
          </w:p>
        </w:tc>
        <w:tc>
          <w:tcPr>
            <w:tcW w:w="7911" w:type="dxa"/>
          </w:tcPr>
          <w:p>
            <w:pPr>
              <w:pStyle w:val="TableParagraph"/>
              <w:numPr>
                <w:ilvl w:val="0"/>
                <w:numId w:val="64"/>
              </w:numPr>
              <w:tabs>
                <w:tab w:pos="643" w:val="left" w:leader="none"/>
              </w:tabs>
              <w:spacing w:line="236" w:lineRule="exact" w:before="0" w:after="0"/>
              <w:ind w:left="642" w:right="0" w:hanging="567"/>
              <w:jc w:val="left"/>
              <w:rPr>
                <w:sz w:val="21"/>
              </w:rPr>
            </w:pPr>
            <w:r>
              <w:rPr>
                <w:spacing w:val="-3"/>
                <w:sz w:val="21"/>
              </w:rPr>
              <w:t>没有机动车行驶证；</w:t>
            </w:r>
          </w:p>
          <w:p>
            <w:pPr>
              <w:pStyle w:val="TableParagraph"/>
              <w:numPr>
                <w:ilvl w:val="0"/>
                <w:numId w:val="64"/>
              </w:numPr>
              <w:tabs>
                <w:tab w:pos="643" w:val="left" w:leader="none"/>
              </w:tabs>
              <w:spacing w:line="240" w:lineRule="auto" w:before="22" w:after="0"/>
              <w:ind w:left="642" w:right="0" w:hanging="567"/>
              <w:jc w:val="left"/>
              <w:rPr>
                <w:sz w:val="21"/>
              </w:rPr>
            </w:pPr>
            <w:r>
              <w:rPr>
                <w:spacing w:val="-3"/>
                <w:sz w:val="21"/>
              </w:rPr>
              <w:t>未在法律规定期限内按时进行或者通过安全技术检验。</w:t>
            </w:r>
          </w:p>
        </w:tc>
      </w:tr>
      <w:tr>
        <w:trPr>
          <w:trHeight w:val="773" w:hRule="atLeast"/>
        </w:trPr>
        <w:tc>
          <w:tcPr>
            <w:tcW w:w="768" w:type="dxa"/>
          </w:tcPr>
          <w:p>
            <w:pPr>
              <w:pStyle w:val="TableParagraph"/>
              <w:spacing w:before="57"/>
              <w:ind w:left="179" w:right="125"/>
              <w:jc w:val="center"/>
              <w:rPr>
                <w:b/>
                <w:sz w:val="21"/>
              </w:rPr>
            </w:pPr>
            <w:r>
              <w:rPr>
                <w:b/>
                <w:sz w:val="21"/>
              </w:rPr>
              <w:t>9.19</w:t>
            </w:r>
          </w:p>
        </w:tc>
        <w:tc>
          <w:tcPr>
            <w:tcW w:w="1488" w:type="dxa"/>
          </w:tcPr>
          <w:p>
            <w:pPr>
              <w:pStyle w:val="TableParagraph"/>
              <w:spacing w:before="57"/>
              <w:ind w:left="145"/>
              <w:rPr>
                <w:b/>
                <w:sz w:val="21"/>
              </w:rPr>
            </w:pPr>
            <w:r>
              <w:rPr>
                <w:b/>
                <w:sz w:val="21"/>
              </w:rPr>
              <w:t>机动车</w:t>
            </w:r>
          </w:p>
        </w:tc>
        <w:tc>
          <w:tcPr>
            <w:tcW w:w="7911" w:type="dxa"/>
          </w:tcPr>
          <w:p>
            <w:pPr>
              <w:pStyle w:val="TableParagraph"/>
              <w:spacing w:line="273" w:lineRule="auto" w:before="57"/>
              <w:ind w:left="75" w:right="302"/>
              <w:rPr>
                <w:sz w:val="21"/>
              </w:rPr>
            </w:pPr>
            <w:r>
              <w:rPr>
                <w:spacing w:val="-6"/>
                <w:sz w:val="21"/>
              </w:rPr>
              <w:t>指以动力装置驱动或者牵引，上道路行驶的供人员乘用或者用于运送物品以及进行</w:t>
            </w:r>
            <w:r>
              <w:rPr>
                <w:spacing w:val="-4"/>
                <w:sz w:val="21"/>
              </w:rPr>
              <w:t>工程专项作业的轮式车辆。</w:t>
            </w:r>
          </w:p>
        </w:tc>
      </w:tr>
      <w:tr>
        <w:trPr>
          <w:trHeight w:val="1405" w:hRule="atLeast"/>
        </w:trPr>
        <w:tc>
          <w:tcPr>
            <w:tcW w:w="768" w:type="dxa"/>
          </w:tcPr>
          <w:p>
            <w:pPr>
              <w:pStyle w:val="TableParagraph"/>
              <w:spacing w:before="66"/>
              <w:ind w:left="179" w:right="125"/>
              <w:jc w:val="center"/>
              <w:rPr>
                <w:b/>
                <w:sz w:val="21"/>
              </w:rPr>
            </w:pPr>
            <w:r>
              <w:rPr>
                <w:b/>
                <w:sz w:val="21"/>
              </w:rPr>
              <w:t>9.20</w:t>
            </w:r>
          </w:p>
        </w:tc>
        <w:tc>
          <w:tcPr>
            <w:tcW w:w="1488" w:type="dxa"/>
          </w:tcPr>
          <w:p>
            <w:pPr>
              <w:pStyle w:val="TableParagraph"/>
              <w:spacing w:line="273" w:lineRule="auto" w:before="66"/>
              <w:ind w:left="145" w:right="284"/>
              <w:jc w:val="both"/>
              <w:rPr>
                <w:b/>
                <w:sz w:val="21"/>
              </w:rPr>
            </w:pPr>
            <w:r>
              <w:rPr>
                <w:b/>
                <w:sz w:val="21"/>
              </w:rPr>
              <w:t>感染艾滋病病毒或者患艾滋病</w:t>
            </w:r>
          </w:p>
        </w:tc>
        <w:tc>
          <w:tcPr>
            <w:tcW w:w="7911" w:type="dxa"/>
          </w:tcPr>
          <w:p>
            <w:pPr>
              <w:pStyle w:val="TableParagraph"/>
              <w:spacing w:line="273" w:lineRule="auto" w:before="66"/>
              <w:ind w:left="75" w:right="197"/>
              <w:rPr>
                <w:sz w:val="21"/>
              </w:rPr>
            </w:pPr>
            <w:r>
              <w:rPr>
                <w:spacing w:val="-4"/>
                <w:sz w:val="21"/>
              </w:rPr>
              <w:t>艾滋病病毒指人类免疫缺陷病毒，英文缩写为 </w:t>
            </w:r>
            <w:r>
              <w:rPr>
                <w:sz w:val="21"/>
              </w:rPr>
              <w:t>HIV</w:t>
            </w:r>
            <w:r>
              <w:rPr>
                <w:spacing w:val="-3"/>
                <w:sz w:val="21"/>
              </w:rPr>
              <w:t>。艾滋病指人类免疫缺陷病毒引</w:t>
            </w:r>
            <w:r>
              <w:rPr>
                <w:spacing w:val="-9"/>
                <w:sz w:val="21"/>
              </w:rPr>
              <w:t>起的获得性免疫缺陷综合征，英文缩写为 </w:t>
            </w:r>
            <w:r>
              <w:rPr>
                <w:sz w:val="21"/>
              </w:rPr>
              <w:t>AIDS</w:t>
            </w:r>
            <w:r>
              <w:rPr>
                <w:spacing w:val="-8"/>
                <w:sz w:val="21"/>
              </w:rPr>
              <w:t>。在人体血液或者其他样本中检测到</w:t>
            </w:r>
            <w:r>
              <w:rPr>
                <w:spacing w:val="-13"/>
                <w:sz w:val="21"/>
              </w:rPr>
              <w:t>艾滋病病毒或者其抗体呈阳性，没有出现临床症状或者体征的，为感染艾滋病病毒； </w:t>
            </w:r>
            <w:r>
              <w:rPr>
                <w:spacing w:val="-6"/>
                <w:sz w:val="21"/>
              </w:rPr>
              <w:t>如果同时出现了明显临床症状或者体征的，为患艾滋病。</w:t>
            </w:r>
          </w:p>
        </w:tc>
      </w:tr>
      <w:tr>
        <w:trPr>
          <w:trHeight w:val="780" w:hRule="atLeast"/>
        </w:trPr>
        <w:tc>
          <w:tcPr>
            <w:tcW w:w="768" w:type="dxa"/>
          </w:tcPr>
          <w:p>
            <w:pPr>
              <w:pStyle w:val="TableParagraph"/>
              <w:spacing w:before="64"/>
              <w:ind w:left="179" w:right="125"/>
              <w:jc w:val="center"/>
              <w:rPr>
                <w:b/>
                <w:sz w:val="21"/>
              </w:rPr>
            </w:pPr>
            <w:r>
              <w:rPr>
                <w:b/>
                <w:sz w:val="21"/>
              </w:rPr>
              <w:t>9.21</w:t>
            </w:r>
          </w:p>
        </w:tc>
        <w:tc>
          <w:tcPr>
            <w:tcW w:w="1488" w:type="dxa"/>
          </w:tcPr>
          <w:p>
            <w:pPr>
              <w:pStyle w:val="TableParagraph"/>
              <w:spacing w:before="64"/>
              <w:ind w:left="145"/>
              <w:rPr>
                <w:b/>
                <w:sz w:val="21"/>
              </w:rPr>
            </w:pPr>
            <w:r>
              <w:rPr>
                <w:b/>
                <w:sz w:val="21"/>
              </w:rPr>
              <w:t>遗传性疾病</w:t>
            </w:r>
          </w:p>
        </w:tc>
        <w:tc>
          <w:tcPr>
            <w:tcW w:w="7911" w:type="dxa"/>
          </w:tcPr>
          <w:p>
            <w:pPr>
              <w:pStyle w:val="TableParagraph"/>
              <w:spacing w:line="273" w:lineRule="auto" w:before="64"/>
              <w:ind w:left="75" w:right="248"/>
              <w:rPr>
                <w:sz w:val="21"/>
              </w:rPr>
            </w:pPr>
            <w:r>
              <w:rPr>
                <w:sz w:val="21"/>
              </w:rPr>
              <w:t>指生殖细胞或者受精卵的遗传物质（染色体和基因）发生突变（或者畸变）所引起的疾病，通常具有由亲代传至后代的垂直传递的特征。</w:t>
            </w:r>
          </w:p>
        </w:tc>
      </w:tr>
      <w:tr>
        <w:trPr>
          <w:trHeight w:val="1088" w:hRule="atLeast"/>
        </w:trPr>
        <w:tc>
          <w:tcPr>
            <w:tcW w:w="768" w:type="dxa"/>
          </w:tcPr>
          <w:p>
            <w:pPr>
              <w:pStyle w:val="TableParagraph"/>
              <w:spacing w:before="64"/>
              <w:ind w:left="179" w:right="125"/>
              <w:jc w:val="center"/>
              <w:rPr>
                <w:b/>
                <w:sz w:val="21"/>
              </w:rPr>
            </w:pPr>
            <w:r>
              <w:rPr>
                <w:b/>
                <w:sz w:val="21"/>
              </w:rPr>
              <w:t>9.22</w:t>
            </w:r>
          </w:p>
        </w:tc>
        <w:tc>
          <w:tcPr>
            <w:tcW w:w="1488" w:type="dxa"/>
          </w:tcPr>
          <w:p>
            <w:pPr>
              <w:pStyle w:val="TableParagraph"/>
              <w:spacing w:line="273" w:lineRule="auto" w:before="64"/>
              <w:ind w:left="145" w:right="73"/>
              <w:rPr>
                <w:b/>
                <w:sz w:val="21"/>
              </w:rPr>
            </w:pPr>
            <w:r>
              <w:rPr>
                <w:b/>
                <w:sz w:val="21"/>
              </w:rPr>
              <w:t>先天性畸形、变形或者染 色体异常</w:t>
            </w:r>
          </w:p>
        </w:tc>
        <w:tc>
          <w:tcPr>
            <w:tcW w:w="7911" w:type="dxa"/>
          </w:tcPr>
          <w:p>
            <w:pPr>
              <w:pStyle w:val="TableParagraph"/>
              <w:spacing w:line="273" w:lineRule="auto" w:before="64"/>
              <w:ind w:left="75" w:right="199"/>
              <w:rPr>
                <w:sz w:val="21"/>
              </w:rPr>
            </w:pPr>
            <w:r>
              <w:rPr>
                <w:spacing w:val="-6"/>
                <w:sz w:val="21"/>
              </w:rPr>
              <w:t>指被保险人出生时就具有的畸形、变形或者染色体异常。先天性畸形、变形和染色</w:t>
            </w:r>
            <w:r>
              <w:rPr>
                <w:spacing w:val="-5"/>
                <w:sz w:val="21"/>
              </w:rPr>
              <w:t>体异常依照世界卫生组织《疾病和有关健康问题的国际统计分类</w:t>
            </w:r>
            <w:r>
              <w:rPr>
                <w:spacing w:val="-120"/>
                <w:sz w:val="21"/>
              </w:rPr>
              <w:t>》</w:t>
            </w:r>
            <w:r>
              <w:rPr>
                <w:spacing w:val="-3"/>
                <w:sz w:val="21"/>
              </w:rPr>
              <w:t>（ICD-10）</w:t>
            </w:r>
            <w:r>
              <w:rPr>
                <w:spacing w:val="-2"/>
                <w:sz w:val="21"/>
              </w:rPr>
              <w:t>确定。</w:t>
            </w:r>
          </w:p>
        </w:tc>
      </w:tr>
      <w:tr>
        <w:trPr>
          <w:trHeight w:val="464" w:hRule="atLeast"/>
        </w:trPr>
        <w:tc>
          <w:tcPr>
            <w:tcW w:w="768" w:type="dxa"/>
          </w:tcPr>
          <w:p>
            <w:pPr>
              <w:pStyle w:val="TableParagraph"/>
              <w:spacing w:before="61"/>
              <w:ind w:left="179" w:right="125"/>
              <w:jc w:val="center"/>
              <w:rPr>
                <w:b/>
                <w:sz w:val="21"/>
              </w:rPr>
            </w:pPr>
            <w:r>
              <w:rPr>
                <w:b/>
                <w:sz w:val="21"/>
              </w:rPr>
              <w:t>9.23</w:t>
            </w:r>
          </w:p>
        </w:tc>
        <w:tc>
          <w:tcPr>
            <w:tcW w:w="1488" w:type="dxa"/>
          </w:tcPr>
          <w:p>
            <w:pPr>
              <w:pStyle w:val="TableParagraph"/>
              <w:spacing w:before="61"/>
              <w:ind w:left="145"/>
              <w:rPr>
                <w:b/>
                <w:sz w:val="21"/>
              </w:rPr>
            </w:pPr>
            <w:r>
              <w:rPr>
                <w:b/>
                <w:sz w:val="21"/>
              </w:rPr>
              <w:t>其他权利人</w:t>
            </w:r>
          </w:p>
        </w:tc>
        <w:tc>
          <w:tcPr>
            <w:tcW w:w="7911" w:type="dxa"/>
          </w:tcPr>
          <w:p>
            <w:pPr>
              <w:pStyle w:val="TableParagraph"/>
              <w:spacing w:before="61"/>
              <w:ind w:left="75"/>
              <w:rPr>
                <w:sz w:val="21"/>
              </w:rPr>
            </w:pPr>
            <w:r>
              <w:rPr>
                <w:sz w:val="21"/>
              </w:rPr>
              <w:t>其他权利人按照被保险人、被保险人继承人的顺序确定。</w:t>
            </w:r>
          </w:p>
        </w:tc>
      </w:tr>
      <w:tr>
        <w:trPr>
          <w:trHeight w:val="468" w:hRule="atLeast"/>
        </w:trPr>
        <w:tc>
          <w:tcPr>
            <w:tcW w:w="768" w:type="dxa"/>
          </w:tcPr>
          <w:p>
            <w:pPr>
              <w:pStyle w:val="TableParagraph"/>
              <w:spacing w:before="64"/>
              <w:ind w:left="179" w:right="125"/>
              <w:jc w:val="center"/>
              <w:rPr>
                <w:b/>
                <w:sz w:val="21"/>
              </w:rPr>
            </w:pPr>
            <w:r>
              <w:rPr>
                <w:b/>
                <w:sz w:val="21"/>
              </w:rPr>
              <w:t>9.24</w:t>
            </w:r>
          </w:p>
        </w:tc>
        <w:tc>
          <w:tcPr>
            <w:tcW w:w="1488" w:type="dxa"/>
          </w:tcPr>
          <w:p>
            <w:pPr>
              <w:pStyle w:val="TableParagraph"/>
              <w:spacing w:before="64"/>
              <w:ind w:left="145"/>
              <w:rPr>
                <w:b/>
                <w:sz w:val="21"/>
              </w:rPr>
            </w:pPr>
            <w:r>
              <w:rPr>
                <w:b/>
                <w:sz w:val="21"/>
              </w:rPr>
              <w:t>不可抗力</w:t>
            </w:r>
          </w:p>
        </w:tc>
        <w:tc>
          <w:tcPr>
            <w:tcW w:w="7911" w:type="dxa"/>
          </w:tcPr>
          <w:p>
            <w:pPr>
              <w:pStyle w:val="TableParagraph"/>
              <w:spacing w:before="64"/>
              <w:ind w:left="75"/>
              <w:rPr>
                <w:sz w:val="21"/>
              </w:rPr>
            </w:pPr>
            <w:r>
              <w:rPr>
                <w:sz w:val="21"/>
              </w:rPr>
              <w:t>指不能预见、不能避免、不能克服的客观情况。</w:t>
            </w:r>
          </w:p>
        </w:tc>
      </w:tr>
      <w:tr>
        <w:trPr>
          <w:trHeight w:val="803" w:hRule="atLeast"/>
        </w:trPr>
        <w:tc>
          <w:tcPr>
            <w:tcW w:w="768" w:type="dxa"/>
          </w:tcPr>
          <w:p>
            <w:pPr>
              <w:pStyle w:val="TableParagraph"/>
              <w:spacing w:before="64"/>
              <w:ind w:left="179" w:right="125"/>
              <w:jc w:val="center"/>
              <w:rPr>
                <w:b/>
                <w:sz w:val="21"/>
              </w:rPr>
            </w:pPr>
            <w:r>
              <w:rPr>
                <w:b/>
                <w:sz w:val="21"/>
              </w:rPr>
              <w:t>9.25</w:t>
            </w:r>
          </w:p>
        </w:tc>
        <w:tc>
          <w:tcPr>
            <w:tcW w:w="1488" w:type="dxa"/>
          </w:tcPr>
          <w:p>
            <w:pPr>
              <w:pStyle w:val="TableParagraph"/>
              <w:spacing w:line="273" w:lineRule="auto" w:before="64"/>
              <w:ind w:left="145" w:right="284"/>
              <w:rPr>
                <w:b/>
                <w:sz w:val="21"/>
              </w:rPr>
            </w:pPr>
            <w:r>
              <w:rPr>
                <w:b/>
                <w:sz w:val="21"/>
              </w:rPr>
              <w:t>法定身份证明</w:t>
            </w:r>
          </w:p>
        </w:tc>
        <w:tc>
          <w:tcPr>
            <w:tcW w:w="7911" w:type="dxa"/>
          </w:tcPr>
          <w:p>
            <w:pPr>
              <w:pStyle w:val="TableParagraph"/>
              <w:spacing w:line="273" w:lineRule="auto" w:before="64"/>
              <w:ind w:left="75" w:right="303"/>
              <w:rPr>
                <w:sz w:val="21"/>
              </w:rPr>
            </w:pPr>
            <w:r>
              <w:rPr>
                <w:spacing w:val="-7"/>
                <w:sz w:val="21"/>
              </w:rPr>
              <w:t>指依据法律规定，由有权机构制作颁发的证明身份的证件、文件等，如：居民身份</w:t>
            </w:r>
            <w:r>
              <w:rPr>
                <w:spacing w:val="-5"/>
                <w:sz w:val="21"/>
              </w:rPr>
              <w:t>证、户口簿、护照、军人证等。</w:t>
            </w:r>
          </w:p>
        </w:tc>
      </w:tr>
      <w:tr>
        <w:trPr>
          <w:trHeight w:val="820" w:hRule="atLeast"/>
        </w:trPr>
        <w:tc>
          <w:tcPr>
            <w:tcW w:w="768" w:type="dxa"/>
          </w:tcPr>
          <w:p>
            <w:pPr>
              <w:pStyle w:val="TableParagraph"/>
              <w:spacing w:before="87"/>
              <w:ind w:left="179" w:right="125"/>
              <w:jc w:val="center"/>
              <w:rPr>
                <w:b/>
                <w:sz w:val="21"/>
              </w:rPr>
            </w:pPr>
            <w:r>
              <w:rPr>
                <w:b/>
                <w:sz w:val="21"/>
              </w:rPr>
              <w:t>9.26</w:t>
            </w:r>
          </w:p>
        </w:tc>
        <w:tc>
          <w:tcPr>
            <w:tcW w:w="1488" w:type="dxa"/>
          </w:tcPr>
          <w:p>
            <w:pPr>
              <w:pStyle w:val="TableParagraph"/>
              <w:spacing w:line="273" w:lineRule="auto" w:before="87"/>
              <w:ind w:left="145" w:right="284"/>
              <w:rPr>
                <w:b/>
                <w:sz w:val="21"/>
              </w:rPr>
            </w:pPr>
            <w:r>
              <w:rPr>
                <w:b/>
                <w:sz w:val="21"/>
              </w:rPr>
              <w:t>现金价值净额</w:t>
            </w:r>
          </w:p>
        </w:tc>
        <w:tc>
          <w:tcPr>
            <w:tcW w:w="7911" w:type="dxa"/>
          </w:tcPr>
          <w:p>
            <w:pPr>
              <w:pStyle w:val="TableParagraph"/>
              <w:spacing w:line="273" w:lineRule="auto" w:before="87"/>
              <w:ind w:left="75" w:right="262"/>
              <w:rPr>
                <w:sz w:val="21"/>
              </w:rPr>
            </w:pPr>
            <w:r>
              <w:rPr>
                <w:sz w:val="21"/>
              </w:rPr>
              <w:t>指现金价值在扣除尚未偿还的保单贷款、欠交的保险费、累积利息和其它未还款项后的余额。</w:t>
            </w:r>
          </w:p>
        </w:tc>
      </w:tr>
      <w:tr>
        <w:trPr>
          <w:trHeight w:val="669" w:hRule="atLeast"/>
        </w:trPr>
        <w:tc>
          <w:tcPr>
            <w:tcW w:w="768" w:type="dxa"/>
          </w:tcPr>
          <w:p>
            <w:pPr>
              <w:pStyle w:val="TableParagraph"/>
              <w:spacing w:before="82"/>
              <w:ind w:left="179" w:right="125"/>
              <w:jc w:val="center"/>
              <w:rPr>
                <w:b/>
                <w:sz w:val="21"/>
              </w:rPr>
            </w:pPr>
            <w:r>
              <w:rPr>
                <w:b/>
                <w:sz w:val="21"/>
              </w:rPr>
              <w:t>9.27</w:t>
            </w:r>
          </w:p>
        </w:tc>
        <w:tc>
          <w:tcPr>
            <w:tcW w:w="1488" w:type="dxa"/>
          </w:tcPr>
          <w:p>
            <w:pPr>
              <w:pStyle w:val="TableParagraph"/>
              <w:spacing w:before="82"/>
              <w:ind w:left="145"/>
              <w:rPr>
                <w:b/>
                <w:sz w:val="21"/>
              </w:rPr>
            </w:pPr>
            <w:r>
              <w:rPr>
                <w:b/>
                <w:sz w:val="21"/>
              </w:rPr>
              <w:t>约定利率</w:t>
            </w:r>
          </w:p>
        </w:tc>
        <w:tc>
          <w:tcPr>
            <w:tcW w:w="7911" w:type="dxa"/>
          </w:tcPr>
          <w:p>
            <w:pPr>
              <w:pStyle w:val="TableParagraph"/>
              <w:spacing w:line="310" w:lineRule="atLeast" w:before="47"/>
              <w:ind w:left="75" w:right="312"/>
              <w:rPr>
                <w:sz w:val="21"/>
              </w:rPr>
            </w:pPr>
            <w:r>
              <w:rPr>
                <w:sz w:val="21"/>
              </w:rPr>
              <w:t>本附加险合同所列明的利率按本公司每年参照一年期流动资金贷款法定利率向上浮动 1%后宣布的利率计算。</w:t>
            </w:r>
          </w:p>
        </w:tc>
      </w:tr>
    </w:tbl>
    <w:sectPr>
      <w:pgSz w:w="11910" w:h="16840"/>
      <w:pgMar w:header="0" w:footer="377" w:top="1320" w:bottom="560" w:left="8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291.089996pt;margin-top:808.059937pt;width:13.15pt;height:12pt;mso-position-horizontal-relative:page;mso-position-vertical-relative:page;z-index:-61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
    <w:multiLevelType w:val="hybridMultilevel"/>
    <w:lvl w:ilvl="0">
      <w:start w:val="1"/>
      <w:numFmt w:val="decimal"/>
      <w:lvlText w:val="（%1）"/>
      <w:lvlJc w:val="left"/>
      <w:pPr>
        <w:ind w:left="642" w:hanging="567"/>
        <w:jc w:val="left"/>
      </w:pPr>
      <w:rPr>
        <w:rFonts w:hint="default" w:ascii="仿宋" w:hAnsi="仿宋" w:eastAsia="仿宋" w:cs="仿宋"/>
        <w:w w:val="100"/>
        <w:sz w:val="21"/>
        <w:szCs w:val="21"/>
      </w:rPr>
    </w:lvl>
    <w:lvl w:ilvl="1">
      <w:start w:val="0"/>
      <w:numFmt w:val="bullet"/>
      <w:lvlText w:val="•"/>
      <w:lvlJc w:val="left"/>
      <w:pPr>
        <w:ind w:left="1367" w:hanging="567"/>
      </w:pPr>
      <w:rPr>
        <w:rFonts w:hint="default"/>
      </w:rPr>
    </w:lvl>
    <w:lvl w:ilvl="2">
      <w:start w:val="0"/>
      <w:numFmt w:val="bullet"/>
      <w:lvlText w:val="•"/>
      <w:lvlJc w:val="left"/>
      <w:pPr>
        <w:ind w:left="2094" w:hanging="567"/>
      </w:pPr>
      <w:rPr>
        <w:rFonts w:hint="default"/>
      </w:rPr>
    </w:lvl>
    <w:lvl w:ilvl="3">
      <w:start w:val="0"/>
      <w:numFmt w:val="bullet"/>
      <w:lvlText w:val="•"/>
      <w:lvlJc w:val="left"/>
      <w:pPr>
        <w:ind w:left="2821" w:hanging="567"/>
      </w:pPr>
      <w:rPr>
        <w:rFonts w:hint="default"/>
      </w:rPr>
    </w:lvl>
    <w:lvl w:ilvl="4">
      <w:start w:val="0"/>
      <w:numFmt w:val="bullet"/>
      <w:lvlText w:val="•"/>
      <w:lvlJc w:val="left"/>
      <w:pPr>
        <w:ind w:left="3548" w:hanging="567"/>
      </w:pPr>
      <w:rPr>
        <w:rFonts w:hint="default"/>
      </w:rPr>
    </w:lvl>
    <w:lvl w:ilvl="5">
      <w:start w:val="0"/>
      <w:numFmt w:val="bullet"/>
      <w:lvlText w:val="•"/>
      <w:lvlJc w:val="left"/>
      <w:pPr>
        <w:ind w:left="4275" w:hanging="567"/>
      </w:pPr>
      <w:rPr>
        <w:rFonts w:hint="default"/>
      </w:rPr>
    </w:lvl>
    <w:lvl w:ilvl="6">
      <w:start w:val="0"/>
      <w:numFmt w:val="bullet"/>
      <w:lvlText w:val="•"/>
      <w:lvlJc w:val="left"/>
      <w:pPr>
        <w:ind w:left="5002" w:hanging="567"/>
      </w:pPr>
      <w:rPr>
        <w:rFonts w:hint="default"/>
      </w:rPr>
    </w:lvl>
    <w:lvl w:ilvl="7">
      <w:start w:val="0"/>
      <w:numFmt w:val="bullet"/>
      <w:lvlText w:val="•"/>
      <w:lvlJc w:val="left"/>
      <w:pPr>
        <w:ind w:left="5729" w:hanging="567"/>
      </w:pPr>
      <w:rPr>
        <w:rFonts w:hint="default"/>
      </w:rPr>
    </w:lvl>
    <w:lvl w:ilvl="8">
      <w:start w:val="0"/>
      <w:numFmt w:val="bullet"/>
      <w:lvlText w:val="•"/>
      <w:lvlJc w:val="left"/>
      <w:pPr>
        <w:ind w:left="6456" w:hanging="567"/>
      </w:pPr>
      <w:rPr>
        <w:rFonts w:hint="default"/>
      </w:rPr>
    </w:lvl>
  </w:abstractNum>
  <w:abstractNum w:abstractNumId="62">
    <w:multiLevelType w:val="hybridMultilevel"/>
    <w:lvl w:ilvl="0">
      <w:start w:val="1"/>
      <w:numFmt w:val="decimal"/>
      <w:lvlText w:val="（%1）"/>
      <w:lvlJc w:val="left"/>
      <w:pPr>
        <w:ind w:left="748"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5" w:hanging="567"/>
      </w:pPr>
      <w:rPr>
        <w:rFonts w:hint="default"/>
      </w:rPr>
    </w:lvl>
    <w:lvl w:ilvl="3">
      <w:start w:val="0"/>
      <w:numFmt w:val="bullet"/>
      <w:lvlText w:val="•"/>
      <w:lvlJc w:val="left"/>
      <w:pPr>
        <w:ind w:left="2923" w:hanging="567"/>
      </w:pPr>
      <w:rPr>
        <w:rFonts w:hint="default"/>
      </w:rPr>
    </w:lvl>
    <w:lvl w:ilvl="4">
      <w:start w:val="0"/>
      <w:numFmt w:val="bullet"/>
      <w:lvlText w:val="•"/>
      <w:lvlJc w:val="left"/>
      <w:pPr>
        <w:ind w:left="3650" w:hanging="567"/>
      </w:pPr>
      <w:rPr>
        <w:rFonts w:hint="default"/>
      </w:rPr>
    </w:lvl>
    <w:lvl w:ilvl="5">
      <w:start w:val="0"/>
      <w:numFmt w:val="bullet"/>
      <w:lvlText w:val="•"/>
      <w:lvlJc w:val="left"/>
      <w:pPr>
        <w:ind w:left="4378" w:hanging="567"/>
      </w:pPr>
      <w:rPr>
        <w:rFonts w:hint="default"/>
      </w:rPr>
    </w:lvl>
    <w:lvl w:ilvl="6">
      <w:start w:val="0"/>
      <w:numFmt w:val="bullet"/>
      <w:lvlText w:val="•"/>
      <w:lvlJc w:val="left"/>
      <w:pPr>
        <w:ind w:left="5106" w:hanging="567"/>
      </w:pPr>
      <w:rPr>
        <w:rFonts w:hint="default"/>
      </w:rPr>
    </w:lvl>
    <w:lvl w:ilvl="7">
      <w:start w:val="0"/>
      <w:numFmt w:val="bullet"/>
      <w:lvlText w:val="•"/>
      <w:lvlJc w:val="left"/>
      <w:pPr>
        <w:ind w:left="5833" w:hanging="567"/>
      </w:pPr>
      <w:rPr>
        <w:rFonts w:hint="default"/>
      </w:rPr>
    </w:lvl>
    <w:lvl w:ilvl="8">
      <w:start w:val="0"/>
      <w:numFmt w:val="bullet"/>
      <w:lvlText w:val="•"/>
      <w:lvlJc w:val="left"/>
      <w:pPr>
        <w:ind w:left="6561" w:hanging="567"/>
      </w:pPr>
      <w:rPr>
        <w:rFonts w:hint="default"/>
      </w:rPr>
    </w:lvl>
  </w:abstractNum>
  <w:abstractNum w:abstractNumId="61">
    <w:multiLevelType w:val="hybridMultilevel"/>
    <w:lvl w:ilvl="0">
      <w:start w:val="1"/>
      <w:numFmt w:val="lowerLetter"/>
      <w:lvlText w:val="%1."/>
      <w:lvlJc w:val="left"/>
      <w:pPr>
        <w:ind w:left="919" w:hanging="317"/>
        <w:jc w:val="left"/>
      </w:pPr>
      <w:rPr>
        <w:rFonts w:hint="default" w:ascii="仿宋" w:hAnsi="仿宋" w:eastAsia="仿宋" w:cs="仿宋"/>
        <w:w w:val="100"/>
        <w:sz w:val="21"/>
        <w:szCs w:val="21"/>
      </w:rPr>
    </w:lvl>
    <w:lvl w:ilvl="1">
      <w:start w:val="0"/>
      <w:numFmt w:val="bullet"/>
      <w:lvlText w:val="•"/>
      <w:lvlJc w:val="left"/>
      <w:pPr>
        <w:ind w:left="1619" w:hanging="317"/>
      </w:pPr>
      <w:rPr>
        <w:rFonts w:hint="default"/>
      </w:rPr>
    </w:lvl>
    <w:lvl w:ilvl="2">
      <w:start w:val="0"/>
      <w:numFmt w:val="bullet"/>
      <w:lvlText w:val="•"/>
      <w:lvlJc w:val="left"/>
      <w:pPr>
        <w:ind w:left="2318" w:hanging="317"/>
      </w:pPr>
      <w:rPr>
        <w:rFonts w:hint="default"/>
      </w:rPr>
    </w:lvl>
    <w:lvl w:ilvl="3">
      <w:start w:val="0"/>
      <w:numFmt w:val="bullet"/>
      <w:lvlText w:val="•"/>
      <w:lvlJc w:val="left"/>
      <w:pPr>
        <w:ind w:left="3017" w:hanging="317"/>
      </w:pPr>
      <w:rPr>
        <w:rFonts w:hint="default"/>
      </w:rPr>
    </w:lvl>
    <w:lvl w:ilvl="4">
      <w:start w:val="0"/>
      <w:numFmt w:val="bullet"/>
      <w:lvlText w:val="•"/>
      <w:lvlJc w:val="left"/>
      <w:pPr>
        <w:ind w:left="3716" w:hanging="317"/>
      </w:pPr>
      <w:rPr>
        <w:rFonts w:hint="default"/>
      </w:rPr>
    </w:lvl>
    <w:lvl w:ilvl="5">
      <w:start w:val="0"/>
      <w:numFmt w:val="bullet"/>
      <w:lvlText w:val="•"/>
      <w:lvlJc w:val="left"/>
      <w:pPr>
        <w:ind w:left="4415" w:hanging="317"/>
      </w:pPr>
      <w:rPr>
        <w:rFonts w:hint="default"/>
      </w:rPr>
    </w:lvl>
    <w:lvl w:ilvl="6">
      <w:start w:val="0"/>
      <w:numFmt w:val="bullet"/>
      <w:lvlText w:val="•"/>
      <w:lvlJc w:val="left"/>
      <w:pPr>
        <w:ind w:left="5114" w:hanging="317"/>
      </w:pPr>
      <w:rPr>
        <w:rFonts w:hint="default"/>
      </w:rPr>
    </w:lvl>
    <w:lvl w:ilvl="7">
      <w:start w:val="0"/>
      <w:numFmt w:val="bullet"/>
      <w:lvlText w:val="•"/>
      <w:lvlJc w:val="left"/>
      <w:pPr>
        <w:ind w:left="5813" w:hanging="317"/>
      </w:pPr>
      <w:rPr>
        <w:rFonts w:hint="default"/>
      </w:rPr>
    </w:lvl>
    <w:lvl w:ilvl="8">
      <w:start w:val="0"/>
      <w:numFmt w:val="bullet"/>
      <w:lvlText w:val="•"/>
      <w:lvlJc w:val="left"/>
      <w:pPr>
        <w:ind w:left="6512" w:hanging="317"/>
      </w:pPr>
      <w:rPr>
        <w:rFonts w:hint="default"/>
      </w:rPr>
    </w:lvl>
  </w:abstractNum>
  <w:abstractNum w:abstractNumId="60">
    <w:multiLevelType w:val="hybridMultilevel"/>
    <w:lvl w:ilvl="0">
      <w:start w:val="1"/>
      <w:numFmt w:val="decimal"/>
      <w:lvlText w:val="（%1）"/>
      <w:lvlJc w:val="left"/>
      <w:pPr>
        <w:ind w:left="786" w:hanging="721"/>
        <w:jc w:val="left"/>
      </w:pPr>
      <w:rPr>
        <w:rFonts w:hint="default" w:ascii="仿宋" w:hAnsi="仿宋" w:eastAsia="仿宋" w:cs="仿宋"/>
        <w:w w:val="100"/>
        <w:sz w:val="21"/>
        <w:szCs w:val="21"/>
      </w:rPr>
    </w:lvl>
    <w:lvl w:ilvl="1">
      <w:start w:val="0"/>
      <w:numFmt w:val="bullet"/>
      <w:lvlText w:val="•"/>
      <w:lvlJc w:val="left"/>
      <w:pPr>
        <w:ind w:left="1492" w:hanging="721"/>
      </w:pPr>
      <w:rPr>
        <w:rFonts w:hint="default"/>
      </w:rPr>
    </w:lvl>
    <w:lvl w:ilvl="2">
      <w:start w:val="0"/>
      <w:numFmt w:val="bullet"/>
      <w:lvlText w:val="•"/>
      <w:lvlJc w:val="left"/>
      <w:pPr>
        <w:ind w:left="2204" w:hanging="721"/>
      </w:pPr>
      <w:rPr>
        <w:rFonts w:hint="default"/>
      </w:rPr>
    </w:lvl>
    <w:lvl w:ilvl="3">
      <w:start w:val="0"/>
      <w:numFmt w:val="bullet"/>
      <w:lvlText w:val="•"/>
      <w:lvlJc w:val="left"/>
      <w:pPr>
        <w:ind w:left="2916" w:hanging="721"/>
      </w:pPr>
      <w:rPr>
        <w:rFonts w:hint="default"/>
      </w:rPr>
    </w:lvl>
    <w:lvl w:ilvl="4">
      <w:start w:val="0"/>
      <w:numFmt w:val="bullet"/>
      <w:lvlText w:val="•"/>
      <w:lvlJc w:val="left"/>
      <w:pPr>
        <w:ind w:left="3628" w:hanging="721"/>
      </w:pPr>
      <w:rPr>
        <w:rFonts w:hint="default"/>
      </w:rPr>
    </w:lvl>
    <w:lvl w:ilvl="5">
      <w:start w:val="0"/>
      <w:numFmt w:val="bullet"/>
      <w:lvlText w:val="•"/>
      <w:lvlJc w:val="left"/>
      <w:pPr>
        <w:ind w:left="4340" w:hanging="721"/>
      </w:pPr>
      <w:rPr>
        <w:rFonts w:hint="default"/>
      </w:rPr>
    </w:lvl>
    <w:lvl w:ilvl="6">
      <w:start w:val="0"/>
      <w:numFmt w:val="bullet"/>
      <w:lvlText w:val="•"/>
      <w:lvlJc w:val="left"/>
      <w:pPr>
        <w:ind w:left="5052" w:hanging="721"/>
      </w:pPr>
      <w:rPr>
        <w:rFonts w:hint="default"/>
      </w:rPr>
    </w:lvl>
    <w:lvl w:ilvl="7">
      <w:start w:val="0"/>
      <w:numFmt w:val="bullet"/>
      <w:lvlText w:val="•"/>
      <w:lvlJc w:val="left"/>
      <w:pPr>
        <w:ind w:left="5764" w:hanging="721"/>
      </w:pPr>
      <w:rPr>
        <w:rFonts w:hint="default"/>
      </w:rPr>
    </w:lvl>
    <w:lvl w:ilvl="8">
      <w:start w:val="0"/>
      <w:numFmt w:val="bullet"/>
      <w:lvlText w:val="•"/>
      <w:lvlJc w:val="left"/>
      <w:pPr>
        <w:ind w:left="6476" w:hanging="721"/>
      </w:pPr>
      <w:rPr>
        <w:rFonts w:hint="default"/>
      </w:rPr>
    </w:lvl>
  </w:abstractNum>
  <w:abstractNum w:abstractNumId="59">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21" w:hanging="721"/>
      </w:pPr>
      <w:rPr>
        <w:rFonts w:hint="default"/>
      </w:rPr>
    </w:lvl>
    <w:lvl w:ilvl="2">
      <w:start w:val="0"/>
      <w:numFmt w:val="bullet"/>
      <w:lvlText w:val="•"/>
      <w:lvlJc w:val="left"/>
      <w:pPr>
        <w:ind w:left="2222" w:hanging="721"/>
      </w:pPr>
      <w:rPr>
        <w:rFonts w:hint="default"/>
      </w:rPr>
    </w:lvl>
    <w:lvl w:ilvl="3">
      <w:start w:val="0"/>
      <w:numFmt w:val="bullet"/>
      <w:lvlText w:val="•"/>
      <w:lvlJc w:val="left"/>
      <w:pPr>
        <w:ind w:left="2924" w:hanging="721"/>
      </w:pPr>
      <w:rPr>
        <w:rFonts w:hint="default"/>
      </w:rPr>
    </w:lvl>
    <w:lvl w:ilvl="4">
      <w:start w:val="0"/>
      <w:numFmt w:val="bullet"/>
      <w:lvlText w:val="•"/>
      <w:lvlJc w:val="left"/>
      <w:pPr>
        <w:ind w:left="3625" w:hanging="721"/>
      </w:pPr>
      <w:rPr>
        <w:rFonts w:hint="default"/>
      </w:rPr>
    </w:lvl>
    <w:lvl w:ilvl="5">
      <w:start w:val="0"/>
      <w:numFmt w:val="bullet"/>
      <w:lvlText w:val="•"/>
      <w:lvlJc w:val="left"/>
      <w:pPr>
        <w:ind w:left="4327" w:hanging="721"/>
      </w:pPr>
      <w:rPr>
        <w:rFonts w:hint="default"/>
      </w:rPr>
    </w:lvl>
    <w:lvl w:ilvl="6">
      <w:start w:val="0"/>
      <w:numFmt w:val="bullet"/>
      <w:lvlText w:val="•"/>
      <w:lvlJc w:val="left"/>
      <w:pPr>
        <w:ind w:left="5028" w:hanging="721"/>
      </w:pPr>
      <w:rPr>
        <w:rFonts w:hint="default"/>
      </w:rPr>
    </w:lvl>
    <w:lvl w:ilvl="7">
      <w:start w:val="0"/>
      <w:numFmt w:val="bullet"/>
      <w:lvlText w:val="•"/>
      <w:lvlJc w:val="left"/>
      <w:pPr>
        <w:ind w:left="5729" w:hanging="721"/>
      </w:pPr>
      <w:rPr>
        <w:rFonts w:hint="default"/>
      </w:rPr>
    </w:lvl>
    <w:lvl w:ilvl="8">
      <w:start w:val="0"/>
      <w:numFmt w:val="bullet"/>
      <w:lvlText w:val="•"/>
      <w:lvlJc w:val="left"/>
      <w:pPr>
        <w:ind w:left="6431" w:hanging="721"/>
      </w:pPr>
      <w:rPr>
        <w:rFonts w:hint="default"/>
      </w:rPr>
    </w:lvl>
  </w:abstractNum>
  <w:abstractNum w:abstractNumId="58">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57">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56">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7" w:hanging="735"/>
      </w:pPr>
      <w:rPr>
        <w:rFonts w:hint="default"/>
      </w:rPr>
    </w:lvl>
    <w:lvl w:ilvl="2">
      <w:start w:val="0"/>
      <w:numFmt w:val="bullet"/>
      <w:lvlText w:val="•"/>
      <w:lvlJc w:val="left"/>
      <w:pPr>
        <w:ind w:left="2255" w:hanging="735"/>
      </w:pPr>
      <w:rPr>
        <w:rFonts w:hint="default"/>
      </w:rPr>
    </w:lvl>
    <w:lvl w:ilvl="3">
      <w:start w:val="0"/>
      <w:numFmt w:val="bullet"/>
      <w:lvlText w:val="•"/>
      <w:lvlJc w:val="left"/>
      <w:pPr>
        <w:ind w:left="2963" w:hanging="735"/>
      </w:pPr>
      <w:rPr>
        <w:rFonts w:hint="default"/>
      </w:rPr>
    </w:lvl>
    <w:lvl w:ilvl="4">
      <w:start w:val="0"/>
      <w:numFmt w:val="bullet"/>
      <w:lvlText w:val="•"/>
      <w:lvlJc w:val="left"/>
      <w:pPr>
        <w:ind w:left="3671" w:hanging="735"/>
      </w:pPr>
      <w:rPr>
        <w:rFonts w:hint="default"/>
      </w:rPr>
    </w:lvl>
    <w:lvl w:ilvl="5">
      <w:start w:val="0"/>
      <w:numFmt w:val="bullet"/>
      <w:lvlText w:val="•"/>
      <w:lvlJc w:val="left"/>
      <w:pPr>
        <w:ind w:left="4379" w:hanging="735"/>
      </w:pPr>
      <w:rPr>
        <w:rFonts w:hint="default"/>
      </w:rPr>
    </w:lvl>
    <w:lvl w:ilvl="6">
      <w:start w:val="0"/>
      <w:numFmt w:val="bullet"/>
      <w:lvlText w:val="•"/>
      <w:lvlJc w:val="left"/>
      <w:pPr>
        <w:ind w:left="5086" w:hanging="735"/>
      </w:pPr>
      <w:rPr>
        <w:rFonts w:hint="default"/>
      </w:rPr>
    </w:lvl>
    <w:lvl w:ilvl="7">
      <w:start w:val="0"/>
      <w:numFmt w:val="bullet"/>
      <w:lvlText w:val="•"/>
      <w:lvlJc w:val="left"/>
      <w:pPr>
        <w:ind w:left="5794" w:hanging="735"/>
      </w:pPr>
      <w:rPr>
        <w:rFonts w:hint="default"/>
      </w:rPr>
    </w:lvl>
    <w:lvl w:ilvl="8">
      <w:start w:val="0"/>
      <w:numFmt w:val="bullet"/>
      <w:lvlText w:val="•"/>
      <w:lvlJc w:val="left"/>
      <w:pPr>
        <w:ind w:left="6502" w:hanging="735"/>
      </w:pPr>
      <w:rPr>
        <w:rFonts w:hint="default"/>
      </w:rPr>
    </w:lvl>
  </w:abstractNum>
  <w:abstractNum w:abstractNumId="55">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7" w:hanging="735"/>
      </w:pPr>
      <w:rPr>
        <w:rFonts w:hint="default"/>
      </w:rPr>
    </w:lvl>
    <w:lvl w:ilvl="2">
      <w:start w:val="0"/>
      <w:numFmt w:val="bullet"/>
      <w:lvlText w:val="•"/>
      <w:lvlJc w:val="left"/>
      <w:pPr>
        <w:ind w:left="2255" w:hanging="735"/>
      </w:pPr>
      <w:rPr>
        <w:rFonts w:hint="default"/>
      </w:rPr>
    </w:lvl>
    <w:lvl w:ilvl="3">
      <w:start w:val="0"/>
      <w:numFmt w:val="bullet"/>
      <w:lvlText w:val="•"/>
      <w:lvlJc w:val="left"/>
      <w:pPr>
        <w:ind w:left="2963" w:hanging="735"/>
      </w:pPr>
      <w:rPr>
        <w:rFonts w:hint="default"/>
      </w:rPr>
    </w:lvl>
    <w:lvl w:ilvl="4">
      <w:start w:val="0"/>
      <w:numFmt w:val="bullet"/>
      <w:lvlText w:val="•"/>
      <w:lvlJc w:val="left"/>
      <w:pPr>
        <w:ind w:left="3671" w:hanging="735"/>
      </w:pPr>
      <w:rPr>
        <w:rFonts w:hint="default"/>
      </w:rPr>
    </w:lvl>
    <w:lvl w:ilvl="5">
      <w:start w:val="0"/>
      <w:numFmt w:val="bullet"/>
      <w:lvlText w:val="•"/>
      <w:lvlJc w:val="left"/>
      <w:pPr>
        <w:ind w:left="4379" w:hanging="735"/>
      </w:pPr>
      <w:rPr>
        <w:rFonts w:hint="default"/>
      </w:rPr>
    </w:lvl>
    <w:lvl w:ilvl="6">
      <w:start w:val="0"/>
      <w:numFmt w:val="bullet"/>
      <w:lvlText w:val="•"/>
      <w:lvlJc w:val="left"/>
      <w:pPr>
        <w:ind w:left="5086" w:hanging="735"/>
      </w:pPr>
      <w:rPr>
        <w:rFonts w:hint="default"/>
      </w:rPr>
    </w:lvl>
    <w:lvl w:ilvl="7">
      <w:start w:val="0"/>
      <w:numFmt w:val="bullet"/>
      <w:lvlText w:val="•"/>
      <w:lvlJc w:val="left"/>
      <w:pPr>
        <w:ind w:left="5794" w:hanging="735"/>
      </w:pPr>
      <w:rPr>
        <w:rFonts w:hint="default"/>
      </w:rPr>
    </w:lvl>
    <w:lvl w:ilvl="8">
      <w:start w:val="0"/>
      <w:numFmt w:val="bullet"/>
      <w:lvlText w:val="•"/>
      <w:lvlJc w:val="left"/>
      <w:pPr>
        <w:ind w:left="6502" w:hanging="735"/>
      </w:pPr>
      <w:rPr>
        <w:rFonts w:hint="default"/>
      </w:rPr>
    </w:lvl>
  </w:abstractNum>
  <w:abstractNum w:abstractNumId="54">
    <w:multiLevelType w:val="hybridMultilevel"/>
    <w:lvl w:ilvl="0">
      <w:start w:val="1"/>
      <w:numFmt w:val="decimal"/>
      <w:lvlText w:val="（%1）"/>
      <w:lvlJc w:val="left"/>
      <w:pPr>
        <w:ind w:left="783" w:hanging="680"/>
        <w:jc w:val="left"/>
      </w:pPr>
      <w:rPr>
        <w:rFonts w:hint="default" w:ascii="仿宋" w:hAnsi="仿宋" w:eastAsia="仿宋" w:cs="仿宋"/>
        <w:w w:val="100"/>
        <w:sz w:val="21"/>
        <w:szCs w:val="21"/>
      </w:rPr>
    </w:lvl>
    <w:lvl w:ilvl="1">
      <w:start w:val="0"/>
      <w:numFmt w:val="bullet"/>
      <w:lvlText w:val="•"/>
      <w:lvlJc w:val="left"/>
      <w:pPr>
        <w:ind w:left="1493" w:hanging="680"/>
      </w:pPr>
      <w:rPr>
        <w:rFonts w:hint="default"/>
      </w:rPr>
    </w:lvl>
    <w:lvl w:ilvl="2">
      <w:start w:val="0"/>
      <w:numFmt w:val="bullet"/>
      <w:lvlText w:val="•"/>
      <w:lvlJc w:val="left"/>
      <w:pPr>
        <w:ind w:left="2207" w:hanging="680"/>
      </w:pPr>
      <w:rPr>
        <w:rFonts w:hint="default"/>
      </w:rPr>
    </w:lvl>
    <w:lvl w:ilvl="3">
      <w:start w:val="0"/>
      <w:numFmt w:val="bullet"/>
      <w:lvlText w:val="•"/>
      <w:lvlJc w:val="left"/>
      <w:pPr>
        <w:ind w:left="2921" w:hanging="680"/>
      </w:pPr>
      <w:rPr>
        <w:rFonts w:hint="default"/>
      </w:rPr>
    </w:lvl>
    <w:lvl w:ilvl="4">
      <w:start w:val="0"/>
      <w:numFmt w:val="bullet"/>
      <w:lvlText w:val="•"/>
      <w:lvlJc w:val="left"/>
      <w:pPr>
        <w:ind w:left="3635" w:hanging="680"/>
      </w:pPr>
      <w:rPr>
        <w:rFonts w:hint="default"/>
      </w:rPr>
    </w:lvl>
    <w:lvl w:ilvl="5">
      <w:start w:val="0"/>
      <w:numFmt w:val="bullet"/>
      <w:lvlText w:val="•"/>
      <w:lvlJc w:val="left"/>
      <w:pPr>
        <w:ind w:left="4349" w:hanging="680"/>
      </w:pPr>
      <w:rPr>
        <w:rFonts w:hint="default"/>
      </w:rPr>
    </w:lvl>
    <w:lvl w:ilvl="6">
      <w:start w:val="0"/>
      <w:numFmt w:val="bullet"/>
      <w:lvlText w:val="•"/>
      <w:lvlJc w:val="left"/>
      <w:pPr>
        <w:ind w:left="5062" w:hanging="680"/>
      </w:pPr>
      <w:rPr>
        <w:rFonts w:hint="default"/>
      </w:rPr>
    </w:lvl>
    <w:lvl w:ilvl="7">
      <w:start w:val="0"/>
      <w:numFmt w:val="bullet"/>
      <w:lvlText w:val="•"/>
      <w:lvlJc w:val="left"/>
      <w:pPr>
        <w:ind w:left="5776" w:hanging="680"/>
      </w:pPr>
      <w:rPr>
        <w:rFonts w:hint="default"/>
      </w:rPr>
    </w:lvl>
    <w:lvl w:ilvl="8">
      <w:start w:val="0"/>
      <w:numFmt w:val="bullet"/>
      <w:lvlText w:val="•"/>
      <w:lvlJc w:val="left"/>
      <w:pPr>
        <w:ind w:left="6490" w:hanging="680"/>
      </w:pPr>
      <w:rPr>
        <w:rFonts w:hint="default"/>
      </w:rPr>
    </w:lvl>
  </w:abstractNum>
  <w:abstractNum w:abstractNumId="53">
    <w:multiLevelType w:val="hybridMultilevel"/>
    <w:lvl w:ilvl="0">
      <w:start w:val="1"/>
      <w:numFmt w:val="decimal"/>
      <w:lvlText w:val="（%1）"/>
      <w:lvlJc w:val="left"/>
      <w:pPr>
        <w:ind w:left="783" w:hanging="680"/>
        <w:jc w:val="left"/>
      </w:pPr>
      <w:rPr>
        <w:rFonts w:hint="default" w:ascii="仿宋" w:hAnsi="仿宋" w:eastAsia="仿宋" w:cs="仿宋"/>
        <w:w w:val="100"/>
        <w:sz w:val="21"/>
        <w:szCs w:val="21"/>
      </w:rPr>
    </w:lvl>
    <w:lvl w:ilvl="1">
      <w:start w:val="0"/>
      <w:numFmt w:val="bullet"/>
      <w:lvlText w:val="•"/>
      <w:lvlJc w:val="left"/>
      <w:pPr>
        <w:ind w:left="1493" w:hanging="680"/>
      </w:pPr>
      <w:rPr>
        <w:rFonts w:hint="default"/>
      </w:rPr>
    </w:lvl>
    <w:lvl w:ilvl="2">
      <w:start w:val="0"/>
      <w:numFmt w:val="bullet"/>
      <w:lvlText w:val="•"/>
      <w:lvlJc w:val="left"/>
      <w:pPr>
        <w:ind w:left="2207" w:hanging="680"/>
      </w:pPr>
      <w:rPr>
        <w:rFonts w:hint="default"/>
      </w:rPr>
    </w:lvl>
    <w:lvl w:ilvl="3">
      <w:start w:val="0"/>
      <w:numFmt w:val="bullet"/>
      <w:lvlText w:val="•"/>
      <w:lvlJc w:val="left"/>
      <w:pPr>
        <w:ind w:left="2921" w:hanging="680"/>
      </w:pPr>
      <w:rPr>
        <w:rFonts w:hint="default"/>
      </w:rPr>
    </w:lvl>
    <w:lvl w:ilvl="4">
      <w:start w:val="0"/>
      <w:numFmt w:val="bullet"/>
      <w:lvlText w:val="•"/>
      <w:lvlJc w:val="left"/>
      <w:pPr>
        <w:ind w:left="3635" w:hanging="680"/>
      </w:pPr>
      <w:rPr>
        <w:rFonts w:hint="default"/>
      </w:rPr>
    </w:lvl>
    <w:lvl w:ilvl="5">
      <w:start w:val="0"/>
      <w:numFmt w:val="bullet"/>
      <w:lvlText w:val="•"/>
      <w:lvlJc w:val="left"/>
      <w:pPr>
        <w:ind w:left="4349" w:hanging="680"/>
      </w:pPr>
      <w:rPr>
        <w:rFonts w:hint="default"/>
      </w:rPr>
    </w:lvl>
    <w:lvl w:ilvl="6">
      <w:start w:val="0"/>
      <w:numFmt w:val="bullet"/>
      <w:lvlText w:val="•"/>
      <w:lvlJc w:val="left"/>
      <w:pPr>
        <w:ind w:left="5062" w:hanging="680"/>
      </w:pPr>
      <w:rPr>
        <w:rFonts w:hint="default"/>
      </w:rPr>
    </w:lvl>
    <w:lvl w:ilvl="7">
      <w:start w:val="0"/>
      <w:numFmt w:val="bullet"/>
      <w:lvlText w:val="•"/>
      <w:lvlJc w:val="left"/>
      <w:pPr>
        <w:ind w:left="5776" w:hanging="680"/>
      </w:pPr>
      <w:rPr>
        <w:rFonts w:hint="default"/>
      </w:rPr>
    </w:lvl>
    <w:lvl w:ilvl="8">
      <w:start w:val="0"/>
      <w:numFmt w:val="bullet"/>
      <w:lvlText w:val="•"/>
      <w:lvlJc w:val="left"/>
      <w:pPr>
        <w:ind w:left="6490" w:hanging="680"/>
      </w:pPr>
      <w:rPr>
        <w:rFonts w:hint="default"/>
      </w:rPr>
    </w:lvl>
  </w:abstractNum>
  <w:abstractNum w:abstractNumId="52">
    <w:multiLevelType w:val="hybridMultilevel"/>
    <w:lvl w:ilvl="0">
      <w:start w:val="1"/>
      <w:numFmt w:val="decimal"/>
      <w:lvlText w:val="（%1）"/>
      <w:lvlJc w:val="left"/>
      <w:pPr>
        <w:ind w:left="783" w:hanging="680"/>
        <w:jc w:val="left"/>
      </w:pPr>
      <w:rPr>
        <w:rFonts w:hint="default" w:ascii="仿宋" w:hAnsi="仿宋" w:eastAsia="仿宋" w:cs="仿宋"/>
        <w:w w:val="100"/>
        <w:sz w:val="21"/>
        <w:szCs w:val="21"/>
      </w:rPr>
    </w:lvl>
    <w:lvl w:ilvl="1">
      <w:start w:val="0"/>
      <w:numFmt w:val="bullet"/>
      <w:lvlText w:val="•"/>
      <w:lvlJc w:val="left"/>
      <w:pPr>
        <w:ind w:left="1485" w:hanging="680"/>
      </w:pPr>
      <w:rPr>
        <w:rFonts w:hint="default"/>
      </w:rPr>
    </w:lvl>
    <w:lvl w:ilvl="2">
      <w:start w:val="0"/>
      <w:numFmt w:val="bullet"/>
      <w:lvlText w:val="•"/>
      <w:lvlJc w:val="left"/>
      <w:pPr>
        <w:ind w:left="2190" w:hanging="680"/>
      </w:pPr>
      <w:rPr>
        <w:rFonts w:hint="default"/>
      </w:rPr>
    </w:lvl>
    <w:lvl w:ilvl="3">
      <w:start w:val="0"/>
      <w:numFmt w:val="bullet"/>
      <w:lvlText w:val="•"/>
      <w:lvlJc w:val="left"/>
      <w:pPr>
        <w:ind w:left="2895" w:hanging="680"/>
      </w:pPr>
      <w:rPr>
        <w:rFonts w:hint="default"/>
      </w:rPr>
    </w:lvl>
    <w:lvl w:ilvl="4">
      <w:start w:val="0"/>
      <w:numFmt w:val="bullet"/>
      <w:lvlText w:val="•"/>
      <w:lvlJc w:val="left"/>
      <w:pPr>
        <w:ind w:left="3601" w:hanging="680"/>
      </w:pPr>
      <w:rPr>
        <w:rFonts w:hint="default"/>
      </w:rPr>
    </w:lvl>
    <w:lvl w:ilvl="5">
      <w:start w:val="0"/>
      <w:numFmt w:val="bullet"/>
      <w:lvlText w:val="•"/>
      <w:lvlJc w:val="left"/>
      <w:pPr>
        <w:ind w:left="4306" w:hanging="680"/>
      </w:pPr>
      <w:rPr>
        <w:rFonts w:hint="default"/>
      </w:rPr>
    </w:lvl>
    <w:lvl w:ilvl="6">
      <w:start w:val="0"/>
      <w:numFmt w:val="bullet"/>
      <w:lvlText w:val="•"/>
      <w:lvlJc w:val="left"/>
      <w:pPr>
        <w:ind w:left="5011" w:hanging="680"/>
      </w:pPr>
      <w:rPr>
        <w:rFonts w:hint="default"/>
      </w:rPr>
    </w:lvl>
    <w:lvl w:ilvl="7">
      <w:start w:val="0"/>
      <w:numFmt w:val="bullet"/>
      <w:lvlText w:val="•"/>
      <w:lvlJc w:val="left"/>
      <w:pPr>
        <w:ind w:left="5717" w:hanging="680"/>
      </w:pPr>
      <w:rPr>
        <w:rFonts w:hint="default"/>
      </w:rPr>
    </w:lvl>
    <w:lvl w:ilvl="8">
      <w:start w:val="0"/>
      <w:numFmt w:val="bullet"/>
      <w:lvlText w:val="•"/>
      <w:lvlJc w:val="left"/>
      <w:pPr>
        <w:ind w:left="6422" w:hanging="680"/>
      </w:pPr>
      <w:rPr>
        <w:rFonts w:hint="default"/>
      </w:rPr>
    </w:lvl>
  </w:abstractNum>
  <w:abstractNum w:abstractNumId="51">
    <w:multiLevelType w:val="hybridMultilevel"/>
    <w:lvl w:ilvl="0">
      <w:start w:val="1"/>
      <w:numFmt w:val="decimal"/>
      <w:lvlText w:val="（%1）"/>
      <w:lvlJc w:val="left"/>
      <w:pPr>
        <w:ind w:left="783" w:hanging="680"/>
        <w:jc w:val="left"/>
      </w:pPr>
      <w:rPr>
        <w:rFonts w:hint="default" w:ascii="仿宋" w:hAnsi="仿宋" w:eastAsia="仿宋" w:cs="仿宋"/>
        <w:w w:val="100"/>
        <w:sz w:val="21"/>
        <w:szCs w:val="21"/>
      </w:rPr>
    </w:lvl>
    <w:lvl w:ilvl="1">
      <w:start w:val="0"/>
      <w:numFmt w:val="bullet"/>
      <w:lvlText w:val="•"/>
      <w:lvlJc w:val="left"/>
      <w:pPr>
        <w:ind w:left="1485" w:hanging="680"/>
      </w:pPr>
      <w:rPr>
        <w:rFonts w:hint="default"/>
      </w:rPr>
    </w:lvl>
    <w:lvl w:ilvl="2">
      <w:start w:val="0"/>
      <w:numFmt w:val="bullet"/>
      <w:lvlText w:val="•"/>
      <w:lvlJc w:val="left"/>
      <w:pPr>
        <w:ind w:left="2190" w:hanging="680"/>
      </w:pPr>
      <w:rPr>
        <w:rFonts w:hint="default"/>
      </w:rPr>
    </w:lvl>
    <w:lvl w:ilvl="3">
      <w:start w:val="0"/>
      <w:numFmt w:val="bullet"/>
      <w:lvlText w:val="•"/>
      <w:lvlJc w:val="left"/>
      <w:pPr>
        <w:ind w:left="2895" w:hanging="680"/>
      </w:pPr>
      <w:rPr>
        <w:rFonts w:hint="default"/>
      </w:rPr>
    </w:lvl>
    <w:lvl w:ilvl="4">
      <w:start w:val="0"/>
      <w:numFmt w:val="bullet"/>
      <w:lvlText w:val="•"/>
      <w:lvlJc w:val="left"/>
      <w:pPr>
        <w:ind w:left="3601" w:hanging="680"/>
      </w:pPr>
      <w:rPr>
        <w:rFonts w:hint="default"/>
      </w:rPr>
    </w:lvl>
    <w:lvl w:ilvl="5">
      <w:start w:val="0"/>
      <w:numFmt w:val="bullet"/>
      <w:lvlText w:val="•"/>
      <w:lvlJc w:val="left"/>
      <w:pPr>
        <w:ind w:left="4306" w:hanging="680"/>
      </w:pPr>
      <w:rPr>
        <w:rFonts w:hint="default"/>
      </w:rPr>
    </w:lvl>
    <w:lvl w:ilvl="6">
      <w:start w:val="0"/>
      <w:numFmt w:val="bullet"/>
      <w:lvlText w:val="•"/>
      <w:lvlJc w:val="left"/>
      <w:pPr>
        <w:ind w:left="5011" w:hanging="680"/>
      </w:pPr>
      <w:rPr>
        <w:rFonts w:hint="default"/>
      </w:rPr>
    </w:lvl>
    <w:lvl w:ilvl="7">
      <w:start w:val="0"/>
      <w:numFmt w:val="bullet"/>
      <w:lvlText w:val="•"/>
      <w:lvlJc w:val="left"/>
      <w:pPr>
        <w:ind w:left="5717" w:hanging="680"/>
      </w:pPr>
      <w:rPr>
        <w:rFonts w:hint="default"/>
      </w:rPr>
    </w:lvl>
    <w:lvl w:ilvl="8">
      <w:start w:val="0"/>
      <w:numFmt w:val="bullet"/>
      <w:lvlText w:val="•"/>
      <w:lvlJc w:val="left"/>
      <w:pPr>
        <w:ind w:left="6422" w:hanging="680"/>
      </w:pPr>
      <w:rPr>
        <w:rFonts w:hint="default"/>
      </w:rPr>
    </w:lvl>
  </w:abstractNum>
  <w:abstractNum w:abstractNumId="50">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49">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48">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47">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9" w:hanging="735"/>
      </w:pPr>
      <w:rPr>
        <w:rFonts w:hint="default"/>
      </w:rPr>
    </w:lvl>
    <w:lvl w:ilvl="2">
      <w:start w:val="0"/>
      <w:numFmt w:val="bullet"/>
      <w:lvlText w:val="•"/>
      <w:lvlJc w:val="left"/>
      <w:pPr>
        <w:ind w:left="2259" w:hanging="735"/>
      </w:pPr>
      <w:rPr>
        <w:rFonts w:hint="default"/>
      </w:rPr>
    </w:lvl>
    <w:lvl w:ilvl="3">
      <w:start w:val="0"/>
      <w:numFmt w:val="bullet"/>
      <w:lvlText w:val="•"/>
      <w:lvlJc w:val="left"/>
      <w:pPr>
        <w:ind w:left="2969" w:hanging="735"/>
      </w:pPr>
      <w:rPr>
        <w:rFonts w:hint="default"/>
      </w:rPr>
    </w:lvl>
    <w:lvl w:ilvl="4">
      <w:start w:val="0"/>
      <w:numFmt w:val="bullet"/>
      <w:lvlText w:val="•"/>
      <w:lvlJc w:val="left"/>
      <w:pPr>
        <w:ind w:left="3679" w:hanging="735"/>
      </w:pPr>
      <w:rPr>
        <w:rFonts w:hint="default"/>
      </w:rPr>
    </w:lvl>
    <w:lvl w:ilvl="5">
      <w:start w:val="0"/>
      <w:numFmt w:val="bullet"/>
      <w:lvlText w:val="•"/>
      <w:lvlJc w:val="left"/>
      <w:pPr>
        <w:ind w:left="4389" w:hanging="735"/>
      </w:pPr>
      <w:rPr>
        <w:rFonts w:hint="default"/>
      </w:rPr>
    </w:lvl>
    <w:lvl w:ilvl="6">
      <w:start w:val="0"/>
      <w:numFmt w:val="bullet"/>
      <w:lvlText w:val="•"/>
      <w:lvlJc w:val="left"/>
      <w:pPr>
        <w:ind w:left="5099" w:hanging="735"/>
      </w:pPr>
      <w:rPr>
        <w:rFonts w:hint="default"/>
      </w:rPr>
    </w:lvl>
    <w:lvl w:ilvl="7">
      <w:start w:val="0"/>
      <w:numFmt w:val="bullet"/>
      <w:lvlText w:val="•"/>
      <w:lvlJc w:val="left"/>
      <w:pPr>
        <w:ind w:left="5809" w:hanging="735"/>
      </w:pPr>
      <w:rPr>
        <w:rFonts w:hint="default"/>
      </w:rPr>
    </w:lvl>
    <w:lvl w:ilvl="8">
      <w:start w:val="0"/>
      <w:numFmt w:val="bullet"/>
      <w:lvlText w:val="•"/>
      <w:lvlJc w:val="left"/>
      <w:pPr>
        <w:ind w:left="6519" w:hanging="735"/>
      </w:pPr>
      <w:rPr>
        <w:rFonts w:hint="default"/>
      </w:rPr>
    </w:lvl>
  </w:abstractNum>
  <w:abstractNum w:abstractNumId="46">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9" w:hanging="735"/>
      </w:pPr>
      <w:rPr>
        <w:rFonts w:hint="default"/>
      </w:rPr>
    </w:lvl>
    <w:lvl w:ilvl="2">
      <w:start w:val="0"/>
      <w:numFmt w:val="bullet"/>
      <w:lvlText w:val="•"/>
      <w:lvlJc w:val="left"/>
      <w:pPr>
        <w:ind w:left="2259" w:hanging="735"/>
      </w:pPr>
      <w:rPr>
        <w:rFonts w:hint="default"/>
      </w:rPr>
    </w:lvl>
    <w:lvl w:ilvl="3">
      <w:start w:val="0"/>
      <w:numFmt w:val="bullet"/>
      <w:lvlText w:val="•"/>
      <w:lvlJc w:val="left"/>
      <w:pPr>
        <w:ind w:left="2969" w:hanging="735"/>
      </w:pPr>
      <w:rPr>
        <w:rFonts w:hint="default"/>
      </w:rPr>
    </w:lvl>
    <w:lvl w:ilvl="4">
      <w:start w:val="0"/>
      <w:numFmt w:val="bullet"/>
      <w:lvlText w:val="•"/>
      <w:lvlJc w:val="left"/>
      <w:pPr>
        <w:ind w:left="3679" w:hanging="735"/>
      </w:pPr>
      <w:rPr>
        <w:rFonts w:hint="default"/>
      </w:rPr>
    </w:lvl>
    <w:lvl w:ilvl="5">
      <w:start w:val="0"/>
      <w:numFmt w:val="bullet"/>
      <w:lvlText w:val="•"/>
      <w:lvlJc w:val="left"/>
      <w:pPr>
        <w:ind w:left="4389" w:hanging="735"/>
      </w:pPr>
      <w:rPr>
        <w:rFonts w:hint="default"/>
      </w:rPr>
    </w:lvl>
    <w:lvl w:ilvl="6">
      <w:start w:val="0"/>
      <w:numFmt w:val="bullet"/>
      <w:lvlText w:val="•"/>
      <w:lvlJc w:val="left"/>
      <w:pPr>
        <w:ind w:left="5099" w:hanging="735"/>
      </w:pPr>
      <w:rPr>
        <w:rFonts w:hint="default"/>
      </w:rPr>
    </w:lvl>
    <w:lvl w:ilvl="7">
      <w:start w:val="0"/>
      <w:numFmt w:val="bullet"/>
      <w:lvlText w:val="•"/>
      <w:lvlJc w:val="left"/>
      <w:pPr>
        <w:ind w:left="5809" w:hanging="735"/>
      </w:pPr>
      <w:rPr>
        <w:rFonts w:hint="default"/>
      </w:rPr>
    </w:lvl>
    <w:lvl w:ilvl="8">
      <w:start w:val="0"/>
      <w:numFmt w:val="bullet"/>
      <w:lvlText w:val="•"/>
      <w:lvlJc w:val="left"/>
      <w:pPr>
        <w:ind w:left="6519" w:hanging="735"/>
      </w:pPr>
      <w:rPr>
        <w:rFonts w:hint="default"/>
      </w:rPr>
    </w:lvl>
  </w:abstractNum>
  <w:abstractNum w:abstractNumId="45">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9" w:hanging="735"/>
      </w:pPr>
      <w:rPr>
        <w:rFonts w:hint="default"/>
      </w:rPr>
    </w:lvl>
    <w:lvl w:ilvl="2">
      <w:start w:val="0"/>
      <w:numFmt w:val="bullet"/>
      <w:lvlText w:val="•"/>
      <w:lvlJc w:val="left"/>
      <w:pPr>
        <w:ind w:left="2259" w:hanging="735"/>
      </w:pPr>
      <w:rPr>
        <w:rFonts w:hint="default"/>
      </w:rPr>
    </w:lvl>
    <w:lvl w:ilvl="3">
      <w:start w:val="0"/>
      <w:numFmt w:val="bullet"/>
      <w:lvlText w:val="•"/>
      <w:lvlJc w:val="left"/>
      <w:pPr>
        <w:ind w:left="2969" w:hanging="735"/>
      </w:pPr>
      <w:rPr>
        <w:rFonts w:hint="default"/>
      </w:rPr>
    </w:lvl>
    <w:lvl w:ilvl="4">
      <w:start w:val="0"/>
      <w:numFmt w:val="bullet"/>
      <w:lvlText w:val="•"/>
      <w:lvlJc w:val="left"/>
      <w:pPr>
        <w:ind w:left="3679" w:hanging="735"/>
      </w:pPr>
      <w:rPr>
        <w:rFonts w:hint="default"/>
      </w:rPr>
    </w:lvl>
    <w:lvl w:ilvl="5">
      <w:start w:val="0"/>
      <w:numFmt w:val="bullet"/>
      <w:lvlText w:val="•"/>
      <w:lvlJc w:val="left"/>
      <w:pPr>
        <w:ind w:left="4389" w:hanging="735"/>
      </w:pPr>
      <w:rPr>
        <w:rFonts w:hint="default"/>
      </w:rPr>
    </w:lvl>
    <w:lvl w:ilvl="6">
      <w:start w:val="0"/>
      <w:numFmt w:val="bullet"/>
      <w:lvlText w:val="•"/>
      <w:lvlJc w:val="left"/>
      <w:pPr>
        <w:ind w:left="5099" w:hanging="735"/>
      </w:pPr>
      <w:rPr>
        <w:rFonts w:hint="default"/>
      </w:rPr>
    </w:lvl>
    <w:lvl w:ilvl="7">
      <w:start w:val="0"/>
      <w:numFmt w:val="bullet"/>
      <w:lvlText w:val="•"/>
      <w:lvlJc w:val="left"/>
      <w:pPr>
        <w:ind w:left="5809" w:hanging="735"/>
      </w:pPr>
      <w:rPr>
        <w:rFonts w:hint="default"/>
      </w:rPr>
    </w:lvl>
    <w:lvl w:ilvl="8">
      <w:start w:val="0"/>
      <w:numFmt w:val="bullet"/>
      <w:lvlText w:val="•"/>
      <w:lvlJc w:val="left"/>
      <w:pPr>
        <w:ind w:left="6519" w:hanging="735"/>
      </w:pPr>
      <w:rPr>
        <w:rFonts w:hint="default"/>
      </w:rPr>
    </w:lvl>
  </w:abstractNum>
  <w:abstractNum w:abstractNumId="44">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5"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79" w:hanging="721"/>
      </w:pPr>
      <w:rPr>
        <w:rFonts w:hint="default"/>
      </w:rPr>
    </w:lvl>
    <w:lvl w:ilvl="6">
      <w:start w:val="0"/>
      <w:numFmt w:val="bullet"/>
      <w:lvlText w:val="•"/>
      <w:lvlJc w:val="left"/>
      <w:pPr>
        <w:ind w:left="5091" w:hanging="721"/>
      </w:pPr>
      <w:rPr>
        <w:rFonts w:hint="default"/>
      </w:rPr>
    </w:lvl>
    <w:lvl w:ilvl="7">
      <w:start w:val="0"/>
      <w:numFmt w:val="bullet"/>
      <w:lvlText w:val="•"/>
      <w:lvlJc w:val="left"/>
      <w:pPr>
        <w:ind w:left="5803" w:hanging="721"/>
      </w:pPr>
      <w:rPr>
        <w:rFonts w:hint="default"/>
      </w:rPr>
    </w:lvl>
    <w:lvl w:ilvl="8">
      <w:start w:val="0"/>
      <w:numFmt w:val="bullet"/>
      <w:lvlText w:val="•"/>
      <w:lvlJc w:val="left"/>
      <w:pPr>
        <w:ind w:left="6515" w:hanging="721"/>
      </w:pPr>
      <w:rPr>
        <w:rFonts w:hint="default"/>
      </w:rPr>
    </w:lvl>
  </w:abstractNum>
  <w:abstractNum w:abstractNumId="43">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24" w:hanging="721"/>
      </w:pPr>
      <w:rPr>
        <w:rFonts w:hint="default"/>
      </w:rPr>
    </w:lvl>
    <w:lvl w:ilvl="2">
      <w:start w:val="0"/>
      <w:numFmt w:val="bullet"/>
      <w:lvlText w:val="•"/>
      <w:lvlJc w:val="left"/>
      <w:pPr>
        <w:ind w:left="2229" w:hanging="721"/>
      </w:pPr>
      <w:rPr>
        <w:rFonts w:hint="default"/>
      </w:rPr>
    </w:lvl>
    <w:lvl w:ilvl="3">
      <w:start w:val="0"/>
      <w:numFmt w:val="bullet"/>
      <w:lvlText w:val="•"/>
      <w:lvlJc w:val="left"/>
      <w:pPr>
        <w:ind w:left="293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44" w:hanging="721"/>
      </w:pPr>
      <w:rPr>
        <w:rFonts w:hint="default"/>
      </w:rPr>
    </w:lvl>
    <w:lvl w:ilvl="6">
      <w:start w:val="0"/>
      <w:numFmt w:val="bullet"/>
      <w:lvlText w:val="•"/>
      <w:lvlJc w:val="left"/>
      <w:pPr>
        <w:ind w:left="5049" w:hanging="721"/>
      </w:pPr>
      <w:rPr>
        <w:rFonts w:hint="default"/>
      </w:rPr>
    </w:lvl>
    <w:lvl w:ilvl="7">
      <w:start w:val="0"/>
      <w:numFmt w:val="bullet"/>
      <w:lvlText w:val="•"/>
      <w:lvlJc w:val="left"/>
      <w:pPr>
        <w:ind w:left="5754" w:hanging="721"/>
      </w:pPr>
      <w:rPr>
        <w:rFonts w:hint="default"/>
      </w:rPr>
    </w:lvl>
    <w:lvl w:ilvl="8">
      <w:start w:val="0"/>
      <w:numFmt w:val="bullet"/>
      <w:lvlText w:val="•"/>
      <w:lvlJc w:val="left"/>
      <w:pPr>
        <w:ind w:left="6459" w:hanging="721"/>
      </w:pPr>
      <w:rPr>
        <w:rFonts w:hint="default"/>
      </w:rPr>
    </w:lvl>
  </w:abstractNum>
  <w:abstractNum w:abstractNumId="42">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24" w:hanging="721"/>
      </w:pPr>
      <w:rPr>
        <w:rFonts w:hint="default"/>
      </w:rPr>
    </w:lvl>
    <w:lvl w:ilvl="2">
      <w:start w:val="0"/>
      <w:numFmt w:val="bullet"/>
      <w:lvlText w:val="•"/>
      <w:lvlJc w:val="left"/>
      <w:pPr>
        <w:ind w:left="2229" w:hanging="721"/>
      </w:pPr>
      <w:rPr>
        <w:rFonts w:hint="default"/>
      </w:rPr>
    </w:lvl>
    <w:lvl w:ilvl="3">
      <w:start w:val="0"/>
      <w:numFmt w:val="bullet"/>
      <w:lvlText w:val="•"/>
      <w:lvlJc w:val="left"/>
      <w:pPr>
        <w:ind w:left="293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44" w:hanging="721"/>
      </w:pPr>
      <w:rPr>
        <w:rFonts w:hint="default"/>
      </w:rPr>
    </w:lvl>
    <w:lvl w:ilvl="6">
      <w:start w:val="0"/>
      <w:numFmt w:val="bullet"/>
      <w:lvlText w:val="•"/>
      <w:lvlJc w:val="left"/>
      <w:pPr>
        <w:ind w:left="5049" w:hanging="721"/>
      </w:pPr>
      <w:rPr>
        <w:rFonts w:hint="default"/>
      </w:rPr>
    </w:lvl>
    <w:lvl w:ilvl="7">
      <w:start w:val="0"/>
      <w:numFmt w:val="bullet"/>
      <w:lvlText w:val="•"/>
      <w:lvlJc w:val="left"/>
      <w:pPr>
        <w:ind w:left="5754" w:hanging="721"/>
      </w:pPr>
      <w:rPr>
        <w:rFonts w:hint="default"/>
      </w:rPr>
    </w:lvl>
    <w:lvl w:ilvl="8">
      <w:start w:val="0"/>
      <w:numFmt w:val="bullet"/>
      <w:lvlText w:val="•"/>
      <w:lvlJc w:val="left"/>
      <w:pPr>
        <w:ind w:left="6459" w:hanging="721"/>
      </w:pPr>
      <w:rPr>
        <w:rFonts w:hint="default"/>
      </w:rPr>
    </w:lvl>
  </w:abstractNum>
  <w:abstractNum w:abstractNumId="41">
    <w:multiLevelType w:val="hybridMultilevel"/>
    <w:lvl w:ilvl="0">
      <w:start w:val="1"/>
      <w:numFmt w:val="decimal"/>
      <w:lvlText w:val="(%1)"/>
      <w:lvlJc w:val="left"/>
      <w:pPr>
        <w:ind w:left="523" w:hanging="420"/>
        <w:jc w:val="left"/>
      </w:pPr>
      <w:rPr>
        <w:rFonts w:hint="default" w:ascii="仿宋" w:hAnsi="仿宋" w:eastAsia="仿宋" w:cs="仿宋"/>
        <w:w w:val="100"/>
        <w:sz w:val="21"/>
        <w:szCs w:val="21"/>
      </w:rPr>
    </w:lvl>
    <w:lvl w:ilvl="1">
      <w:start w:val="0"/>
      <w:numFmt w:val="bullet"/>
      <w:lvlText w:val="•"/>
      <w:lvlJc w:val="left"/>
      <w:pPr>
        <w:ind w:left="1254" w:hanging="420"/>
      </w:pPr>
      <w:rPr>
        <w:rFonts w:hint="default"/>
      </w:rPr>
    </w:lvl>
    <w:lvl w:ilvl="2">
      <w:start w:val="0"/>
      <w:numFmt w:val="bullet"/>
      <w:lvlText w:val="•"/>
      <w:lvlJc w:val="left"/>
      <w:pPr>
        <w:ind w:left="1989" w:hanging="420"/>
      </w:pPr>
      <w:rPr>
        <w:rFonts w:hint="default"/>
      </w:rPr>
    </w:lvl>
    <w:lvl w:ilvl="3">
      <w:start w:val="0"/>
      <w:numFmt w:val="bullet"/>
      <w:lvlText w:val="•"/>
      <w:lvlJc w:val="left"/>
      <w:pPr>
        <w:ind w:left="2724" w:hanging="420"/>
      </w:pPr>
      <w:rPr>
        <w:rFonts w:hint="default"/>
      </w:rPr>
    </w:lvl>
    <w:lvl w:ilvl="4">
      <w:start w:val="0"/>
      <w:numFmt w:val="bullet"/>
      <w:lvlText w:val="•"/>
      <w:lvlJc w:val="left"/>
      <w:pPr>
        <w:ind w:left="3459" w:hanging="420"/>
      </w:pPr>
      <w:rPr>
        <w:rFonts w:hint="default"/>
      </w:rPr>
    </w:lvl>
    <w:lvl w:ilvl="5">
      <w:start w:val="0"/>
      <w:numFmt w:val="bullet"/>
      <w:lvlText w:val="•"/>
      <w:lvlJc w:val="left"/>
      <w:pPr>
        <w:ind w:left="4194" w:hanging="420"/>
      </w:pPr>
      <w:rPr>
        <w:rFonts w:hint="default"/>
      </w:rPr>
    </w:lvl>
    <w:lvl w:ilvl="6">
      <w:start w:val="0"/>
      <w:numFmt w:val="bullet"/>
      <w:lvlText w:val="•"/>
      <w:lvlJc w:val="left"/>
      <w:pPr>
        <w:ind w:left="4929" w:hanging="420"/>
      </w:pPr>
      <w:rPr>
        <w:rFonts w:hint="default"/>
      </w:rPr>
    </w:lvl>
    <w:lvl w:ilvl="7">
      <w:start w:val="0"/>
      <w:numFmt w:val="bullet"/>
      <w:lvlText w:val="•"/>
      <w:lvlJc w:val="left"/>
      <w:pPr>
        <w:ind w:left="5664" w:hanging="420"/>
      </w:pPr>
      <w:rPr>
        <w:rFonts w:hint="default"/>
      </w:rPr>
    </w:lvl>
    <w:lvl w:ilvl="8">
      <w:start w:val="0"/>
      <w:numFmt w:val="bullet"/>
      <w:lvlText w:val="•"/>
      <w:lvlJc w:val="left"/>
      <w:pPr>
        <w:ind w:left="6399" w:hanging="420"/>
      </w:pPr>
      <w:rPr>
        <w:rFonts w:hint="default"/>
      </w:rPr>
    </w:lvl>
  </w:abstractNum>
  <w:abstractNum w:abstractNumId="40">
    <w:multiLevelType w:val="hybridMultilevel"/>
    <w:lvl w:ilvl="0">
      <w:start w:val="1"/>
      <w:numFmt w:val="decimal"/>
      <w:lvlText w:val="(%1)"/>
      <w:lvlJc w:val="left"/>
      <w:pPr>
        <w:ind w:left="523" w:hanging="420"/>
        <w:jc w:val="left"/>
      </w:pPr>
      <w:rPr>
        <w:rFonts w:hint="default" w:ascii="仿宋" w:hAnsi="仿宋" w:eastAsia="仿宋" w:cs="仿宋"/>
        <w:w w:val="100"/>
        <w:sz w:val="21"/>
        <w:szCs w:val="21"/>
      </w:rPr>
    </w:lvl>
    <w:lvl w:ilvl="1">
      <w:start w:val="0"/>
      <w:numFmt w:val="bullet"/>
      <w:lvlText w:val="•"/>
      <w:lvlJc w:val="left"/>
      <w:pPr>
        <w:ind w:left="1261" w:hanging="420"/>
      </w:pPr>
      <w:rPr>
        <w:rFonts w:hint="default"/>
      </w:rPr>
    </w:lvl>
    <w:lvl w:ilvl="2">
      <w:start w:val="0"/>
      <w:numFmt w:val="bullet"/>
      <w:lvlText w:val="•"/>
      <w:lvlJc w:val="left"/>
      <w:pPr>
        <w:ind w:left="2003" w:hanging="420"/>
      </w:pPr>
      <w:rPr>
        <w:rFonts w:hint="default"/>
      </w:rPr>
    </w:lvl>
    <w:lvl w:ilvl="3">
      <w:start w:val="0"/>
      <w:numFmt w:val="bullet"/>
      <w:lvlText w:val="•"/>
      <w:lvlJc w:val="left"/>
      <w:pPr>
        <w:ind w:left="2745" w:hanging="420"/>
      </w:pPr>
      <w:rPr>
        <w:rFonts w:hint="default"/>
      </w:rPr>
    </w:lvl>
    <w:lvl w:ilvl="4">
      <w:start w:val="0"/>
      <w:numFmt w:val="bullet"/>
      <w:lvlText w:val="•"/>
      <w:lvlJc w:val="left"/>
      <w:pPr>
        <w:ind w:left="3487" w:hanging="420"/>
      </w:pPr>
      <w:rPr>
        <w:rFonts w:hint="default"/>
      </w:rPr>
    </w:lvl>
    <w:lvl w:ilvl="5">
      <w:start w:val="0"/>
      <w:numFmt w:val="bullet"/>
      <w:lvlText w:val="•"/>
      <w:lvlJc w:val="left"/>
      <w:pPr>
        <w:ind w:left="4229" w:hanging="420"/>
      </w:pPr>
      <w:rPr>
        <w:rFonts w:hint="default"/>
      </w:rPr>
    </w:lvl>
    <w:lvl w:ilvl="6">
      <w:start w:val="0"/>
      <w:numFmt w:val="bullet"/>
      <w:lvlText w:val="•"/>
      <w:lvlJc w:val="left"/>
      <w:pPr>
        <w:ind w:left="4971" w:hanging="420"/>
      </w:pPr>
      <w:rPr>
        <w:rFonts w:hint="default"/>
      </w:rPr>
    </w:lvl>
    <w:lvl w:ilvl="7">
      <w:start w:val="0"/>
      <w:numFmt w:val="bullet"/>
      <w:lvlText w:val="•"/>
      <w:lvlJc w:val="left"/>
      <w:pPr>
        <w:ind w:left="5713" w:hanging="420"/>
      </w:pPr>
      <w:rPr>
        <w:rFonts w:hint="default"/>
      </w:rPr>
    </w:lvl>
    <w:lvl w:ilvl="8">
      <w:start w:val="0"/>
      <w:numFmt w:val="bullet"/>
      <w:lvlText w:val="•"/>
      <w:lvlJc w:val="left"/>
      <w:pPr>
        <w:ind w:left="6455" w:hanging="420"/>
      </w:pPr>
      <w:rPr>
        <w:rFonts w:hint="default"/>
      </w:rPr>
    </w:lvl>
  </w:abstractNum>
  <w:abstractNum w:abstractNumId="39">
    <w:multiLevelType w:val="hybridMultilevel"/>
    <w:lvl w:ilvl="0">
      <w:start w:val="1"/>
      <w:numFmt w:val="decimal"/>
      <w:lvlText w:val="（%1）"/>
      <w:lvlJc w:val="left"/>
      <w:pPr>
        <w:ind w:left="840" w:hanging="738"/>
        <w:jc w:val="left"/>
      </w:pPr>
      <w:rPr>
        <w:rFonts w:hint="default" w:ascii="仿宋" w:hAnsi="仿宋" w:eastAsia="仿宋" w:cs="仿宋"/>
        <w:w w:val="100"/>
        <w:sz w:val="21"/>
        <w:szCs w:val="21"/>
      </w:rPr>
    </w:lvl>
    <w:lvl w:ilvl="1">
      <w:start w:val="0"/>
      <w:numFmt w:val="bullet"/>
      <w:lvlText w:val="•"/>
      <w:lvlJc w:val="left"/>
      <w:pPr>
        <w:ind w:left="1549" w:hanging="738"/>
      </w:pPr>
      <w:rPr>
        <w:rFonts w:hint="default"/>
      </w:rPr>
    </w:lvl>
    <w:lvl w:ilvl="2">
      <w:start w:val="0"/>
      <w:numFmt w:val="bullet"/>
      <w:lvlText w:val="•"/>
      <w:lvlJc w:val="left"/>
      <w:pPr>
        <w:ind w:left="2259" w:hanging="738"/>
      </w:pPr>
      <w:rPr>
        <w:rFonts w:hint="default"/>
      </w:rPr>
    </w:lvl>
    <w:lvl w:ilvl="3">
      <w:start w:val="0"/>
      <w:numFmt w:val="bullet"/>
      <w:lvlText w:val="•"/>
      <w:lvlJc w:val="left"/>
      <w:pPr>
        <w:ind w:left="2969" w:hanging="738"/>
      </w:pPr>
      <w:rPr>
        <w:rFonts w:hint="default"/>
      </w:rPr>
    </w:lvl>
    <w:lvl w:ilvl="4">
      <w:start w:val="0"/>
      <w:numFmt w:val="bullet"/>
      <w:lvlText w:val="•"/>
      <w:lvlJc w:val="left"/>
      <w:pPr>
        <w:ind w:left="3679" w:hanging="738"/>
      </w:pPr>
      <w:rPr>
        <w:rFonts w:hint="default"/>
      </w:rPr>
    </w:lvl>
    <w:lvl w:ilvl="5">
      <w:start w:val="0"/>
      <w:numFmt w:val="bullet"/>
      <w:lvlText w:val="•"/>
      <w:lvlJc w:val="left"/>
      <w:pPr>
        <w:ind w:left="4389" w:hanging="738"/>
      </w:pPr>
      <w:rPr>
        <w:rFonts w:hint="default"/>
      </w:rPr>
    </w:lvl>
    <w:lvl w:ilvl="6">
      <w:start w:val="0"/>
      <w:numFmt w:val="bullet"/>
      <w:lvlText w:val="•"/>
      <w:lvlJc w:val="left"/>
      <w:pPr>
        <w:ind w:left="5099" w:hanging="738"/>
      </w:pPr>
      <w:rPr>
        <w:rFonts w:hint="default"/>
      </w:rPr>
    </w:lvl>
    <w:lvl w:ilvl="7">
      <w:start w:val="0"/>
      <w:numFmt w:val="bullet"/>
      <w:lvlText w:val="•"/>
      <w:lvlJc w:val="left"/>
      <w:pPr>
        <w:ind w:left="5809" w:hanging="738"/>
      </w:pPr>
      <w:rPr>
        <w:rFonts w:hint="default"/>
      </w:rPr>
    </w:lvl>
    <w:lvl w:ilvl="8">
      <w:start w:val="0"/>
      <w:numFmt w:val="bullet"/>
      <w:lvlText w:val="•"/>
      <w:lvlJc w:val="left"/>
      <w:pPr>
        <w:ind w:left="6519" w:hanging="738"/>
      </w:pPr>
      <w:rPr>
        <w:rFonts w:hint="default"/>
      </w:rPr>
    </w:lvl>
  </w:abstractNum>
  <w:abstractNum w:abstractNumId="38">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5"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79" w:hanging="721"/>
      </w:pPr>
      <w:rPr>
        <w:rFonts w:hint="default"/>
      </w:rPr>
    </w:lvl>
    <w:lvl w:ilvl="6">
      <w:start w:val="0"/>
      <w:numFmt w:val="bullet"/>
      <w:lvlText w:val="•"/>
      <w:lvlJc w:val="left"/>
      <w:pPr>
        <w:ind w:left="5091" w:hanging="721"/>
      </w:pPr>
      <w:rPr>
        <w:rFonts w:hint="default"/>
      </w:rPr>
    </w:lvl>
    <w:lvl w:ilvl="7">
      <w:start w:val="0"/>
      <w:numFmt w:val="bullet"/>
      <w:lvlText w:val="•"/>
      <w:lvlJc w:val="left"/>
      <w:pPr>
        <w:ind w:left="5803" w:hanging="721"/>
      </w:pPr>
      <w:rPr>
        <w:rFonts w:hint="default"/>
      </w:rPr>
    </w:lvl>
    <w:lvl w:ilvl="8">
      <w:start w:val="0"/>
      <w:numFmt w:val="bullet"/>
      <w:lvlText w:val="•"/>
      <w:lvlJc w:val="left"/>
      <w:pPr>
        <w:ind w:left="6515" w:hanging="721"/>
      </w:pPr>
      <w:rPr>
        <w:rFonts w:hint="default"/>
      </w:rPr>
    </w:lvl>
  </w:abstractNum>
  <w:abstractNum w:abstractNumId="37">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5"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79" w:hanging="721"/>
      </w:pPr>
      <w:rPr>
        <w:rFonts w:hint="default"/>
      </w:rPr>
    </w:lvl>
    <w:lvl w:ilvl="6">
      <w:start w:val="0"/>
      <w:numFmt w:val="bullet"/>
      <w:lvlText w:val="•"/>
      <w:lvlJc w:val="left"/>
      <w:pPr>
        <w:ind w:left="5091" w:hanging="721"/>
      </w:pPr>
      <w:rPr>
        <w:rFonts w:hint="default"/>
      </w:rPr>
    </w:lvl>
    <w:lvl w:ilvl="7">
      <w:start w:val="0"/>
      <w:numFmt w:val="bullet"/>
      <w:lvlText w:val="•"/>
      <w:lvlJc w:val="left"/>
      <w:pPr>
        <w:ind w:left="5803" w:hanging="721"/>
      </w:pPr>
      <w:rPr>
        <w:rFonts w:hint="default"/>
      </w:rPr>
    </w:lvl>
    <w:lvl w:ilvl="8">
      <w:start w:val="0"/>
      <w:numFmt w:val="bullet"/>
      <w:lvlText w:val="•"/>
      <w:lvlJc w:val="left"/>
      <w:pPr>
        <w:ind w:left="6515" w:hanging="721"/>
      </w:pPr>
      <w:rPr>
        <w:rFonts w:hint="default"/>
      </w:rPr>
    </w:lvl>
  </w:abstractNum>
  <w:abstractNum w:abstractNumId="36">
    <w:multiLevelType w:val="hybridMultilevel"/>
    <w:lvl w:ilvl="0">
      <w:start w:val="1"/>
      <w:numFmt w:val="decimal"/>
      <w:lvlText w:val="（%1）"/>
      <w:lvlJc w:val="left"/>
      <w:pPr>
        <w:ind w:left="848" w:hanging="721"/>
        <w:jc w:val="left"/>
      </w:pPr>
      <w:rPr>
        <w:rFonts w:hint="default" w:ascii="仿宋" w:hAnsi="仿宋" w:eastAsia="仿宋" w:cs="仿宋"/>
        <w:w w:val="100"/>
        <w:sz w:val="21"/>
        <w:szCs w:val="21"/>
      </w:rPr>
    </w:lvl>
    <w:lvl w:ilvl="1">
      <w:start w:val="0"/>
      <w:numFmt w:val="bullet"/>
      <w:lvlText w:val="•"/>
      <w:lvlJc w:val="left"/>
      <w:pPr>
        <w:ind w:left="1552" w:hanging="721"/>
      </w:pPr>
      <w:rPr>
        <w:rFonts w:hint="default"/>
      </w:rPr>
    </w:lvl>
    <w:lvl w:ilvl="2">
      <w:start w:val="0"/>
      <w:numFmt w:val="bullet"/>
      <w:lvlText w:val="•"/>
      <w:lvlJc w:val="left"/>
      <w:pPr>
        <w:ind w:left="2264" w:hanging="721"/>
      </w:pPr>
      <w:rPr>
        <w:rFonts w:hint="default"/>
      </w:rPr>
    </w:lvl>
    <w:lvl w:ilvl="3">
      <w:start w:val="0"/>
      <w:numFmt w:val="bullet"/>
      <w:lvlText w:val="•"/>
      <w:lvlJc w:val="left"/>
      <w:pPr>
        <w:ind w:left="2977"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402" w:hanging="721"/>
      </w:pPr>
      <w:rPr>
        <w:rFonts w:hint="default"/>
      </w:rPr>
    </w:lvl>
    <w:lvl w:ilvl="6">
      <w:start w:val="0"/>
      <w:numFmt w:val="bullet"/>
      <w:lvlText w:val="•"/>
      <w:lvlJc w:val="left"/>
      <w:pPr>
        <w:ind w:left="5114" w:hanging="721"/>
      </w:pPr>
      <w:rPr>
        <w:rFonts w:hint="default"/>
      </w:rPr>
    </w:lvl>
    <w:lvl w:ilvl="7">
      <w:start w:val="0"/>
      <w:numFmt w:val="bullet"/>
      <w:lvlText w:val="•"/>
      <w:lvlJc w:val="left"/>
      <w:pPr>
        <w:ind w:left="5826" w:hanging="721"/>
      </w:pPr>
      <w:rPr>
        <w:rFonts w:hint="default"/>
      </w:rPr>
    </w:lvl>
    <w:lvl w:ilvl="8">
      <w:start w:val="0"/>
      <w:numFmt w:val="bullet"/>
      <w:lvlText w:val="•"/>
      <w:lvlJc w:val="left"/>
      <w:pPr>
        <w:ind w:left="6539" w:hanging="721"/>
      </w:pPr>
      <w:rPr>
        <w:rFonts w:hint="default"/>
      </w:rPr>
    </w:lvl>
  </w:abstractNum>
  <w:abstractNum w:abstractNumId="35">
    <w:multiLevelType w:val="hybridMultilevel"/>
    <w:lvl w:ilvl="0">
      <w:start w:val="1"/>
      <w:numFmt w:val="decimal"/>
      <w:lvlText w:val="（%1）"/>
      <w:lvlJc w:val="left"/>
      <w:pPr>
        <w:ind w:left="848" w:hanging="721"/>
        <w:jc w:val="left"/>
      </w:pPr>
      <w:rPr>
        <w:rFonts w:hint="default" w:ascii="仿宋" w:hAnsi="仿宋" w:eastAsia="仿宋" w:cs="仿宋"/>
        <w:w w:val="100"/>
        <w:sz w:val="21"/>
        <w:szCs w:val="21"/>
      </w:rPr>
    </w:lvl>
    <w:lvl w:ilvl="1">
      <w:start w:val="0"/>
      <w:numFmt w:val="bullet"/>
      <w:lvlText w:val="•"/>
      <w:lvlJc w:val="left"/>
      <w:pPr>
        <w:ind w:left="1552" w:hanging="721"/>
      </w:pPr>
      <w:rPr>
        <w:rFonts w:hint="default"/>
      </w:rPr>
    </w:lvl>
    <w:lvl w:ilvl="2">
      <w:start w:val="0"/>
      <w:numFmt w:val="bullet"/>
      <w:lvlText w:val="•"/>
      <w:lvlJc w:val="left"/>
      <w:pPr>
        <w:ind w:left="2264" w:hanging="721"/>
      </w:pPr>
      <w:rPr>
        <w:rFonts w:hint="default"/>
      </w:rPr>
    </w:lvl>
    <w:lvl w:ilvl="3">
      <w:start w:val="0"/>
      <w:numFmt w:val="bullet"/>
      <w:lvlText w:val="•"/>
      <w:lvlJc w:val="left"/>
      <w:pPr>
        <w:ind w:left="2977"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402" w:hanging="721"/>
      </w:pPr>
      <w:rPr>
        <w:rFonts w:hint="default"/>
      </w:rPr>
    </w:lvl>
    <w:lvl w:ilvl="6">
      <w:start w:val="0"/>
      <w:numFmt w:val="bullet"/>
      <w:lvlText w:val="•"/>
      <w:lvlJc w:val="left"/>
      <w:pPr>
        <w:ind w:left="5114" w:hanging="721"/>
      </w:pPr>
      <w:rPr>
        <w:rFonts w:hint="default"/>
      </w:rPr>
    </w:lvl>
    <w:lvl w:ilvl="7">
      <w:start w:val="0"/>
      <w:numFmt w:val="bullet"/>
      <w:lvlText w:val="•"/>
      <w:lvlJc w:val="left"/>
      <w:pPr>
        <w:ind w:left="5826" w:hanging="721"/>
      </w:pPr>
      <w:rPr>
        <w:rFonts w:hint="default"/>
      </w:rPr>
    </w:lvl>
    <w:lvl w:ilvl="8">
      <w:start w:val="0"/>
      <w:numFmt w:val="bullet"/>
      <w:lvlText w:val="•"/>
      <w:lvlJc w:val="left"/>
      <w:pPr>
        <w:ind w:left="6539" w:hanging="721"/>
      </w:pPr>
      <w:rPr>
        <w:rFonts w:hint="default"/>
      </w:rPr>
    </w:lvl>
  </w:abstractNum>
  <w:abstractNum w:abstractNumId="34">
    <w:multiLevelType w:val="hybridMultilevel"/>
    <w:lvl w:ilvl="0">
      <w:start w:val="1"/>
      <w:numFmt w:val="decimal"/>
      <w:lvlText w:val="（%1）"/>
      <w:lvlJc w:val="left"/>
      <w:pPr>
        <w:ind w:left="848" w:hanging="721"/>
        <w:jc w:val="left"/>
      </w:pPr>
      <w:rPr>
        <w:rFonts w:hint="default" w:ascii="仿宋" w:hAnsi="仿宋" w:eastAsia="仿宋" w:cs="仿宋"/>
        <w:w w:val="100"/>
        <w:sz w:val="21"/>
        <w:szCs w:val="21"/>
      </w:rPr>
    </w:lvl>
    <w:lvl w:ilvl="1">
      <w:start w:val="0"/>
      <w:numFmt w:val="bullet"/>
      <w:lvlText w:val="•"/>
      <w:lvlJc w:val="left"/>
      <w:pPr>
        <w:ind w:left="1552" w:hanging="721"/>
      </w:pPr>
      <w:rPr>
        <w:rFonts w:hint="default"/>
      </w:rPr>
    </w:lvl>
    <w:lvl w:ilvl="2">
      <w:start w:val="0"/>
      <w:numFmt w:val="bullet"/>
      <w:lvlText w:val="•"/>
      <w:lvlJc w:val="left"/>
      <w:pPr>
        <w:ind w:left="2264" w:hanging="721"/>
      </w:pPr>
      <w:rPr>
        <w:rFonts w:hint="default"/>
      </w:rPr>
    </w:lvl>
    <w:lvl w:ilvl="3">
      <w:start w:val="0"/>
      <w:numFmt w:val="bullet"/>
      <w:lvlText w:val="•"/>
      <w:lvlJc w:val="left"/>
      <w:pPr>
        <w:ind w:left="2977"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402" w:hanging="721"/>
      </w:pPr>
      <w:rPr>
        <w:rFonts w:hint="default"/>
      </w:rPr>
    </w:lvl>
    <w:lvl w:ilvl="6">
      <w:start w:val="0"/>
      <w:numFmt w:val="bullet"/>
      <w:lvlText w:val="•"/>
      <w:lvlJc w:val="left"/>
      <w:pPr>
        <w:ind w:left="5114" w:hanging="721"/>
      </w:pPr>
      <w:rPr>
        <w:rFonts w:hint="default"/>
      </w:rPr>
    </w:lvl>
    <w:lvl w:ilvl="7">
      <w:start w:val="0"/>
      <w:numFmt w:val="bullet"/>
      <w:lvlText w:val="•"/>
      <w:lvlJc w:val="left"/>
      <w:pPr>
        <w:ind w:left="5826" w:hanging="721"/>
      </w:pPr>
      <w:rPr>
        <w:rFonts w:hint="default"/>
      </w:rPr>
    </w:lvl>
    <w:lvl w:ilvl="8">
      <w:start w:val="0"/>
      <w:numFmt w:val="bullet"/>
      <w:lvlText w:val="•"/>
      <w:lvlJc w:val="left"/>
      <w:pPr>
        <w:ind w:left="6539" w:hanging="721"/>
      </w:pPr>
      <w:rPr>
        <w:rFonts w:hint="default"/>
      </w:rPr>
    </w:lvl>
  </w:abstractNum>
  <w:abstractNum w:abstractNumId="33">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2">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1">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0">
    <w:multiLevelType w:val="hybridMultilevel"/>
    <w:lvl w:ilvl="0">
      <w:start w:val="1"/>
      <w:numFmt w:val="decimal"/>
      <w:lvlText w:val="(%1)"/>
      <w:lvlJc w:val="left"/>
      <w:pPr>
        <w:ind w:left="547" w:hanging="420"/>
        <w:jc w:val="left"/>
      </w:pPr>
      <w:rPr>
        <w:rFonts w:hint="default" w:ascii="黑体" w:hAnsi="黑体" w:eastAsia="黑体" w:cs="黑体"/>
        <w:w w:val="100"/>
        <w:sz w:val="21"/>
        <w:szCs w:val="21"/>
      </w:rPr>
    </w:lvl>
    <w:lvl w:ilvl="1">
      <w:start w:val="0"/>
      <w:numFmt w:val="bullet"/>
      <w:lvlText w:val="•"/>
      <w:lvlJc w:val="left"/>
      <w:pPr>
        <w:ind w:left="1282" w:hanging="420"/>
      </w:pPr>
      <w:rPr>
        <w:rFonts w:hint="default"/>
      </w:rPr>
    </w:lvl>
    <w:lvl w:ilvl="2">
      <w:start w:val="0"/>
      <w:numFmt w:val="bullet"/>
      <w:lvlText w:val="•"/>
      <w:lvlJc w:val="left"/>
      <w:pPr>
        <w:ind w:left="2025" w:hanging="420"/>
      </w:pPr>
      <w:rPr>
        <w:rFonts w:hint="default"/>
      </w:rPr>
    </w:lvl>
    <w:lvl w:ilvl="3">
      <w:start w:val="0"/>
      <w:numFmt w:val="bullet"/>
      <w:lvlText w:val="•"/>
      <w:lvlJc w:val="left"/>
      <w:pPr>
        <w:ind w:left="2767" w:hanging="420"/>
      </w:pPr>
      <w:rPr>
        <w:rFonts w:hint="default"/>
      </w:rPr>
    </w:lvl>
    <w:lvl w:ilvl="4">
      <w:start w:val="0"/>
      <w:numFmt w:val="bullet"/>
      <w:lvlText w:val="•"/>
      <w:lvlJc w:val="left"/>
      <w:pPr>
        <w:ind w:left="3510" w:hanging="420"/>
      </w:pPr>
      <w:rPr>
        <w:rFonts w:hint="default"/>
      </w:rPr>
    </w:lvl>
    <w:lvl w:ilvl="5">
      <w:start w:val="0"/>
      <w:numFmt w:val="bullet"/>
      <w:lvlText w:val="•"/>
      <w:lvlJc w:val="left"/>
      <w:pPr>
        <w:ind w:left="4252" w:hanging="420"/>
      </w:pPr>
      <w:rPr>
        <w:rFonts w:hint="default"/>
      </w:rPr>
    </w:lvl>
    <w:lvl w:ilvl="6">
      <w:start w:val="0"/>
      <w:numFmt w:val="bullet"/>
      <w:lvlText w:val="•"/>
      <w:lvlJc w:val="left"/>
      <w:pPr>
        <w:ind w:left="4995" w:hanging="420"/>
      </w:pPr>
      <w:rPr>
        <w:rFonts w:hint="default"/>
      </w:rPr>
    </w:lvl>
    <w:lvl w:ilvl="7">
      <w:start w:val="0"/>
      <w:numFmt w:val="bullet"/>
      <w:lvlText w:val="•"/>
      <w:lvlJc w:val="left"/>
      <w:pPr>
        <w:ind w:left="5737" w:hanging="420"/>
      </w:pPr>
      <w:rPr>
        <w:rFonts w:hint="default"/>
      </w:rPr>
    </w:lvl>
    <w:lvl w:ilvl="8">
      <w:start w:val="0"/>
      <w:numFmt w:val="bullet"/>
      <w:lvlText w:val="•"/>
      <w:lvlJc w:val="left"/>
      <w:pPr>
        <w:ind w:left="6480" w:hanging="420"/>
      </w:pPr>
      <w:rPr>
        <w:rFonts w:hint="default"/>
      </w:rPr>
    </w:lvl>
  </w:abstractNum>
  <w:abstractNum w:abstractNumId="29">
    <w:multiLevelType w:val="hybridMultilevel"/>
    <w:lvl w:ilvl="0">
      <w:start w:val="1"/>
      <w:numFmt w:val="decimal"/>
      <w:lvlText w:val="（%1）"/>
      <w:lvlJc w:val="left"/>
      <w:pPr>
        <w:ind w:left="761" w:hanging="632"/>
        <w:jc w:val="left"/>
      </w:pPr>
      <w:rPr>
        <w:rFonts w:hint="default" w:ascii="仿宋" w:hAnsi="仿宋" w:eastAsia="仿宋" w:cs="仿宋"/>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1"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3" w:hanging="632"/>
      </w:pPr>
      <w:rPr>
        <w:rFonts w:hint="default"/>
      </w:rPr>
    </w:lvl>
    <w:lvl w:ilvl="7">
      <w:start w:val="0"/>
      <w:numFmt w:val="bullet"/>
      <w:lvlText w:val="•"/>
      <w:lvlJc w:val="left"/>
      <w:pPr>
        <w:ind w:left="5803" w:hanging="632"/>
      </w:pPr>
      <w:rPr>
        <w:rFonts w:hint="default"/>
      </w:rPr>
    </w:lvl>
    <w:lvl w:ilvl="8">
      <w:start w:val="0"/>
      <w:numFmt w:val="bullet"/>
      <w:lvlText w:val="•"/>
      <w:lvlJc w:val="left"/>
      <w:pPr>
        <w:ind w:left="6524" w:hanging="632"/>
      </w:pPr>
      <w:rPr>
        <w:rFonts w:hint="default"/>
      </w:rPr>
    </w:lvl>
  </w:abstractNum>
  <w:abstractNum w:abstractNumId="28">
    <w:multiLevelType w:val="hybridMultilevel"/>
    <w:lvl w:ilvl="0">
      <w:start w:val="1"/>
      <w:numFmt w:val="decimal"/>
      <w:lvlText w:val="（%1）"/>
      <w:lvlJc w:val="left"/>
      <w:pPr>
        <w:ind w:left="128" w:hanging="632"/>
        <w:jc w:val="left"/>
      </w:pPr>
      <w:rPr>
        <w:rFonts w:hint="default" w:ascii="仿宋" w:hAnsi="仿宋" w:eastAsia="仿宋" w:cs="仿宋"/>
        <w:w w:val="100"/>
        <w:sz w:val="21"/>
        <w:szCs w:val="21"/>
      </w:rPr>
    </w:lvl>
    <w:lvl w:ilvl="1">
      <w:start w:val="0"/>
      <w:numFmt w:val="bullet"/>
      <w:lvlText w:val="•"/>
      <w:lvlJc w:val="left"/>
      <w:pPr>
        <w:ind w:left="904" w:hanging="632"/>
      </w:pPr>
      <w:rPr>
        <w:rFonts w:hint="default"/>
      </w:rPr>
    </w:lvl>
    <w:lvl w:ilvl="2">
      <w:start w:val="0"/>
      <w:numFmt w:val="bullet"/>
      <w:lvlText w:val="•"/>
      <w:lvlJc w:val="left"/>
      <w:pPr>
        <w:ind w:left="1688" w:hanging="632"/>
      </w:pPr>
      <w:rPr>
        <w:rFonts w:hint="default"/>
      </w:rPr>
    </w:lvl>
    <w:lvl w:ilvl="3">
      <w:start w:val="0"/>
      <w:numFmt w:val="bullet"/>
      <w:lvlText w:val="•"/>
      <w:lvlJc w:val="left"/>
      <w:pPr>
        <w:ind w:left="2473"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4042" w:hanging="632"/>
      </w:pPr>
      <w:rPr>
        <w:rFonts w:hint="default"/>
      </w:rPr>
    </w:lvl>
    <w:lvl w:ilvl="6">
      <w:start w:val="0"/>
      <w:numFmt w:val="bullet"/>
      <w:lvlText w:val="•"/>
      <w:lvlJc w:val="left"/>
      <w:pPr>
        <w:ind w:left="4826" w:hanging="632"/>
      </w:pPr>
      <w:rPr>
        <w:rFonts w:hint="default"/>
      </w:rPr>
    </w:lvl>
    <w:lvl w:ilvl="7">
      <w:start w:val="0"/>
      <w:numFmt w:val="bullet"/>
      <w:lvlText w:val="•"/>
      <w:lvlJc w:val="left"/>
      <w:pPr>
        <w:ind w:left="5610" w:hanging="632"/>
      </w:pPr>
      <w:rPr>
        <w:rFonts w:hint="default"/>
      </w:rPr>
    </w:lvl>
    <w:lvl w:ilvl="8">
      <w:start w:val="0"/>
      <w:numFmt w:val="bullet"/>
      <w:lvlText w:val="•"/>
      <w:lvlJc w:val="left"/>
      <w:pPr>
        <w:ind w:left="6395" w:hanging="632"/>
      </w:pPr>
      <w:rPr>
        <w:rFonts w:hint="default"/>
      </w:rPr>
    </w:lvl>
  </w:abstractNum>
  <w:abstractNum w:abstractNumId="27">
    <w:multiLevelType w:val="hybridMultilevel"/>
    <w:lvl w:ilvl="0">
      <w:start w:val="1"/>
      <w:numFmt w:val="decimal"/>
      <w:lvlText w:val="（%1）"/>
      <w:lvlJc w:val="left"/>
      <w:pPr>
        <w:ind w:left="128" w:hanging="632"/>
        <w:jc w:val="left"/>
      </w:pPr>
      <w:rPr>
        <w:rFonts w:hint="default" w:ascii="仿宋" w:hAnsi="仿宋" w:eastAsia="仿宋" w:cs="仿宋"/>
        <w:w w:val="100"/>
        <w:sz w:val="21"/>
        <w:szCs w:val="21"/>
      </w:rPr>
    </w:lvl>
    <w:lvl w:ilvl="1">
      <w:start w:val="0"/>
      <w:numFmt w:val="bullet"/>
      <w:lvlText w:val="•"/>
      <w:lvlJc w:val="left"/>
      <w:pPr>
        <w:ind w:left="904" w:hanging="632"/>
      </w:pPr>
      <w:rPr>
        <w:rFonts w:hint="default"/>
      </w:rPr>
    </w:lvl>
    <w:lvl w:ilvl="2">
      <w:start w:val="0"/>
      <w:numFmt w:val="bullet"/>
      <w:lvlText w:val="•"/>
      <w:lvlJc w:val="left"/>
      <w:pPr>
        <w:ind w:left="1688" w:hanging="632"/>
      </w:pPr>
      <w:rPr>
        <w:rFonts w:hint="default"/>
      </w:rPr>
    </w:lvl>
    <w:lvl w:ilvl="3">
      <w:start w:val="0"/>
      <w:numFmt w:val="bullet"/>
      <w:lvlText w:val="•"/>
      <w:lvlJc w:val="left"/>
      <w:pPr>
        <w:ind w:left="2473"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4042" w:hanging="632"/>
      </w:pPr>
      <w:rPr>
        <w:rFonts w:hint="default"/>
      </w:rPr>
    </w:lvl>
    <w:lvl w:ilvl="6">
      <w:start w:val="0"/>
      <w:numFmt w:val="bullet"/>
      <w:lvlText w:val="•"/>
      <w:lvlJc w:val="left"/>
      <w:pPr>
        <w:ind w:left="4826" w:hanging="632"/>
      </w:pPr>
      <w:rPr>
        <w:rFonts w:hint="default"/>
      </w:rPr>
    </w:lvl>
    <w:lvl w:ilvl="7">
      <w:start w:val="0"/>
      <w:numFmt w:val="bullet"/>
      <w:lvlText w:val="•"/>
      <w:lvlJc w:val="left"/>
      <w:pPr>
        <w:ind w:left="5610" w:hanging="632"/>
      </w:pPr>
      <w:rPr>
        <w:rFonts w:hint="default"/>
      </w:rPr>
    </w:lvl>
    <w:lvl w:ilvl="8">
      <w:start w:val="0"/>
      <w:numFmt w:val="bullet"/>
      <w:lvlText w:val="•"/>
      <w:lvlJc w:val="left"/>
      <w:pPr>
        <w:ind w:left="6395" w:hanging="632"/>
      </w:pPr>
      <w:rPr>
        <w:rFonts w:hint="default"/>
      </w:rPr>
    </w:lvl>
  </w:abstractNum>
  <w:abstractNum w:abstractNumId="26">
    <w:multiLevelType w:val="hybridMultilevel"/>
    <w:lvl w:ilvl="0">
      <w:start w:val="1"/>
      <w:numFmt w:val="decimal"/>
      <w:lvlText w:val="（%1）"/>
      <w:lvlJc w:val="left"/>
      <w:pPr>
        <w:ind w:left="128" w:hanging="615"/>
        <w:jc w:val="left"/>
      </w:pPr>
      <w:rPr>
        <w:rFonts w:hint="default" w:ascii="仿宋" w:hAnsi="仿宋" w:eastAsia="仿宋" w:cs="仿宋"/>
        <w:w w:val="100"/>
        <w:sz w:val="21"/>
        <w:szCs w:val="21"/>
      </w:rPr>
    </w:lvl>
    <w:lvl w:ilvl="1">
      <w:start w:val="0"/>
      <w:numFmt w:val="bullet"/>
      <w:lvlText w:val="•"/>
      <w:lvlJc w:val="left"/>
      <w:pPr>
        <w:ind w:left="904" w:hanging="615"/>
      </w:pPr>
      <w:rPr>
        <w:rFonts w:hint="default"/>
      </w:rPr>
    </w:lvl>
    <w:lvl w:ilvl="2">
      <w:start w:val="0"/>
      <w:numFmt w:val="bullet"/>
      <w:lvlText w:val="•"/>
      <w:lvlJc w:val="left"/>
      <w:pPr>
        <w:ind w:left="1688" w:hanging="615"/>
      </w:pPr>
      <w:rPr>
        <w:rFonts w:hint="default"/>
      </w:rPr>
    </w:lvl>
    <w:lvl w:ilvl="3">
      <w:start w:val="0"/>
      <w:numFmt w:val="bullet"/>
      <w:lvlText w:val="•"/>
      <w:lvlJc w:val="left"/>
      <w:pPr>
        <w:ind w:left="2473" w:hanging="615"/>
      </w:pPr>
      <w:rPr>
        <w:rFonts w:hint="default"/>
      </w:rPr>
    </w:lvl>
    <w:lvl w:ilvl="4">
      <w:start w:val="0"/>
      <w:numFmt w:val="bullet"/>
      <w:lvlText w:val="•"/>
      <w:lvlJc w:val="left"/>
      <w:pPr>
        <w:ind w:left="3257" w:hanging="615"/>
      </w:pPr>
      <w:rPr>
        <w:rFonts w:hint="default"/>
      </w:rPr>
    </w:lvl>
    <w:lvl w:ilvl="5">
      <w:start w:val="0"/>
      <w:numFmt w:val="bullet"/>
      <w:lvlText w:val="•"/>
      <w:lvlJc w:val="left"/>
      <w:pPr>
        <w:ind w:left="4042" w:hanging="615"/>
      </w:pPr>
      <w:rPr>
        <w:rFonts w:hint="default"/>
      </w:rPr>
    </w:lvl>
    <w:lvl w:ilvl="6">
      <w:start w:val="0"/>
      <w:numFmt w:val="bullet"/>
      <w:lvlText w:val="•"/>
      <w:lvlJc w:val="left"/>
      <w:pPr>
        <w:ind w:left="4826" w:hanging="615"/>
      </w:pPr>
      <w:rPr>
        <w:rFonts w:hint="default"/>
      </w:rPr>
    </w:lvl>
    <w:lvl w:ilvl="7">
      <w:start w:val="0"/>
      <w:numFmt w:val="bullet"/>
      <w:lvlText w:val="•"/>
      <w:lvlJc w:val="left"/>
      <w:pPr>
        <w:ind w:left="5610" w:hanging="615"/>
      </w:pPr>
      <w:rPr>
        <w:rFonts w:hint="default"/>
      </w:rPr>
    </w:lvl>
    <w:lvl w:ilvl="8">
      <w:start w:val="0"/>
      <w:numFmt w:val="bullet"/>
      <w:lvlText w:val="•"/>
      <w:lvlJc w:val="left"/>
      <w:pPr>
        <w:ind w:left="6395" w:hanging="615"/>
      </w:pPr>
      <w:rPr>
        <w:rFonts w:hint="default"/>
      </w:rPr>
    </w:lvl>
  </w:abstractNum>
  <w:abstractNum w:abstractNumId="25">
    <w:multiLevelType w:val="hybridMultilevel"/>
    <w:lvl w:ilvl="0">
      <w:start w:val="1"/>
      <w:numFmt w:val="decimal"/>
      <w:lvlText w:val="（%1）"/>
      <w:lvlJc w:val="left"/>
      <w:pPr>
        <w:ind w:left="760" w:hanging="632"/>
        <w:jc w:val="left"/>
      </w:pPr>
      <w:rPr>
        <w:rFonts w:hint="default" w:ascii="仿宋" w:hAnsi="仿宋" w:eastAsia="仿宋" w:cs="仿宋"/>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1"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2" w:hanging="632"/>
      </w:pPr>
      <w:rPr>
        <w:rFonts w:hint="default"/>
      </w:rPr>
    </w:lvl>
    <w:lvl w:ilvl="7">
      <w:start w:val="0"/>
      <w:numFmt w:val="bullet"/>
      <w:lvlText w:val="•"/>
      <w:lvlJc w:val="left"/>
      <w:pPr>
        <w:ind w:left="5802" w:hanging="632"/>
      </w:pPr>
      <w:rPr>
        <w:rFonts w:hint="default"/>
      </w:rPr>
    </w:lvl>
    <w:lvl w:ilvl="8">
      <w:start w:val="0"/>
      <w:numFmt w:val="bullet"/>
      <w:lvlText w:val="•"/>
      <w:lvlJc w:val="left"/>
      <w:pPr>
        <w:ind w:left="6523" w:hanging="632"/>
      </w:pPr>
      <w:rPr>
        <w:rFonts w:hint="default"/>
      </w:rPr>
    </w:lvl>
  </w:abstractNum>
  <w:abstractNum w:abstractNumId="24">
    <w:multiLevelType w:val="hybridMultilevel"/>
    <w:lvl w:ilvl="0">
      <w:start w:val="1"/>
      <w:numFmt w:val="decimal"/>
      <w:lvlText w:val="（%1）"/>
      <w:lvlJc w:val="left"/>
      <w:pPr>
        <w:ind w:left="760" w:hanging="632"/>
        <w:jc w:val="left"/>
      </w:pPr>
      <w:rPr>
        <w:rFonts w:hint="default" w:ascii="黑体" w:hAnsi="黑体" w:eastAsia="黑体" w:cs="黑体"/>
        <w:w w:val="100"/>
        <w:sz w:val="21"/>
        <w:szCs w:val="21"/>
      </w:rPr>
    </w:lvl>
    <w:lvl w:ilvl="1">
      <w:start w:val="0"/>
      <w:numFmt w:val="bullet"/>
      <w:lvlText w:val="•"/>
      <w:lvlJc w:val="left"/>
      <w:pPr>
        <w:ind w:left="1473" w:hanging="632"/>
      </w:pPr>
      <w:rPr>
        <w:rFonts w:hint="default"/>
      </w:rPr>
    </w:lvl>
    <w:lvl w:ilvl="2">
      <w:start w:val="0"/>
      <w:numFmt w:val="bullet"/>
      <w:lvlText w:val="•"/>
      <w:lvlJc w:val="left"/>
      <w:pPr>
        <w:ind w:left="2186" w:hanging="632"/>
      </w:pPr>
      <w:rPr>
        <w:rFonts w:hint="default"/>
      </w:rPr>
    </w:lvl>
    <w:lvl w:ilvl="3">
      <w:start w:val="0"/>
      <w:numFmt w:val="bullet"/>
      <w:lvlText w:val="•"/>
      <w:lvlJc w:val="left"/>
      <w:pPr>
        <w:ind w:left="2899" w:hanging="632"/>
      </w:pPr>
      <w:rPr>
        <w:rFonts w:hint="default"/>
      </w:rPr>
    </w:lvl>
    <w:lvl w:ilvl="4">
      <w:start w:val="0"/>
      <w:numFmt w:val="bullet"/>
      <w:lvlText w:val="•"/>
      <w:lvlJc w:val="left"/>
      <w:pPr>
        <w:ind w:left="3612" w:hanging="632"/>
      </w:pPr>
      <w:rPr>
        <w:rFonts w:hint="default"/>
      </w:rPr>
    </w:lvl>
    <w:lvl w:ilvl="5">
      <w:start w:val="0"/>
      <w:numFmt w:val="bullet"/>
      <w:lvlText w:val="•"/>
      <w:lvlJc w:val="left"/>
      <w:pPr>
        <w:ind w:left="4326" w:hanging="632"/>
      </w:pPr>
      <w:rPr>
        <w:rFonts w:hint="default"/>
      </w:rPr>
    </w:lvl>
    <w:lvl w:ilvl="6">
      <w:start w:val="0"/>
      <w:numFmt w:val="bullet"/>
      <w:lvlText w:val="•"/>
      <w:lvlJc w:val="left"/>
      <w:pPr>
        <w:ind w:left="5039" w:hanging="632"/>
      </w:pPr>
      <w:rPr>
        <w:rFonts w:hint="default"/>
      </w:rPr>
    </w:lvl>
    <w:lvl w:ilvl="7">
      <w:start w:val="0"/>
      <w:numFmt w:val="bullet"/>
      <w:lvlText w:val="•"/>
      <w:lvlJc w:val="left"/>
      <w:pPr>
        <w:ind w:left="5752" w:hanging="632"/>
      </w:pPr>
      <w:rPr>
        <w:rFonts w:hint="default"/>
      </w:rPr>
    </w:lvl>
    <w:lvl w:ilvl="8">
      <w:start w:val="0"/>
      <w:numFmt w:val="bullet"/>
      <w:lvlText w:val="•"/>
      <w:lvlJc w:val="left"/>
      <w:pPr>
        <w:ind w:left="6465" w:hanging="632"/>
      </w:pPr>
      <w:rPr>
        <w:rFonts w:hint="default"/>
      </w:rPr>
    </w:lvl>
  </w:abstractNum>
  <w:abstractNum w:abstractNumId="23">
    <w:multiLevelType w:val="hybridMultilevel"/>
    <w:lvl w:ilvl="0">
      <w:start w:val="1"/>
      <w:numFmt w:val="decimal"/>
      <w:lvlText w:val="（%1）"/>
      <w:lvlJc w:val="left"/>
      <w:pPr>
        <w:ind w:left="128" w:hanging="639"/>
        <w:jc w:val="left"/>
      </w:pPr>
      <w:rPr>
        <w:rFonts w:hint="default" w:ascii="仿宋" w:hAnsi="仿宋" w:eastAsia="仿宋" w:cs="仿宋"/>
        <w:spacing w:val="0"/>
        <w:w w:val="100"/>
        <w:sz w:val="21"/>
        <w:szCs w:val="21"/>
      </w:rPr>
    </w:lvl>
    <w:lvl w:ilvl="1">
      <w:start w:val="0"/>
      <w:numFmt w:val="bullet"/>
      <w:lvlText w:val="•"/>
      <w:lvlJc w:val="left"/>
      <w:pPr>
        <w:ind w:left="897" w:hanging="639"/>
      </w:pPr>
      <w:rPr>
        <w:rFonts w:hint="default"/>
      </w:rPr>
    </w:lvl>
    <w:lvl w:ilvl="2">
      <w:start w:val="0"/>
      <w:numFmt w:val="bullet"/>
      <w:lvlText w:val="•"/>
      <w:lvlJc w:val="left"/>
      <w:pPr>
        <w:ind w:left="1674" w:hanging="639"/>
      </w:pPr>
      <w:rPr>
        <w:rFonts w:hint="default"/>
      </w:rPr>
    </w:lvl>
    <w:lvl w:ilvl="3">
      <w:start w:val="0"/>
      <w:numFmt w:val="bullet"/>
      <w:lvlText w:val="•"/>
      <w:lvlJc w:val="left"/>
      <w:pPr>
        <w:ind w:left="2451" w:hanging="639"/>
      </w:pPr>
      <w:rPr>
        <w:rFonts w:hint="default"/>
      </w:rPr>
    </w:lvl>
    <w:lvl w:ilvl="4">
      <w:start w:val="0"/>
      <w:numFmt w:val="bullet"/>
      <w:lvlText w:val="•"/>
      <w:lvlJc w:val="left"/>
      <w:pPr>
        <w:ind w:left="3228" w:hanging="639"/>
      </w:pPr>
      <w:rPr>
        <w:rFonts w:hint="default"/>
      </w:rPr>
    </w:lvl>
    <w:lvl w:ilvl="5">
      <w:start w:val="0"/>
      <w:numFmt w:val="bullet"/>
      <w:lvlText w:val="•"/>
      <w:lvlJc w:val="left"/>
      <w:pPr>
        <w:ind w:left="4006" w:hanging="639"/>
      </w:pPr>
      <w:rPr>
        <w:rFonts w:hint="default"/>
      </w:rPr>
    </w:lvl>
    <w:lvl w:ilvl="6">
      <w:start w:val="0"/>
      <w:numFmt w:val="bullet"/>
      <w:lvlText w:val="•"/>
      <w:lvlJc w:val="left"/>
      <w:pPr>
        <w:ind w:left="4783" w:hanging="639"/>
      </w:pPr>
      <w:rPr>
        <w:rFonts w:hint="default"/>
      </w:rPr>
    </w:lvl>
    <w:lvl w:ilvl="7">
      <w:start w:val="0"/>
      <w:numFmt w:val="bullet"/>
      <w:lvlText w:val="•"/>
      <w:lvlJc w:val="left"/>
      <w:pPr>
        <w:ind w:left="5560" w:hanging="639"/>
      </w:pPr>
      <w:rPr>
        <w:rFonts w:hint="default"/>
      </w:rPr>
    </w:lvl>
    <w:lvl w:ilvl="8">
      <w:start w:val="0"/>
      <w:numFmt w:val="bullet"/>
      <w:lvlText w:val="•"/>
      <w:lvlJc w:val="left"/>
      <w:pPr>
        <w:ind w:left="6337" w:hanging="639"/>
      </w:pPr>
      <w:rPr>
        <w:rFonts w:hint="default"/>
      </w:rPr>
    </w:lvl>
  </w:abstractNum>
  <w:abstractNum w:abstractNumId="22">
    <w:multiLevelType w:val="hybridMultilevel"/>
    <w:lvl w:ilvl="0">
      <w:start w:val="1"/>
      <w:numFmt w:val="decimal"/>
      <w:lvlText w:val="（%1）"/>
      <w:lvlJc w:val="left"/>
      <w:pPr>
        <w:ind w:left="738" w:hanging="632"/>
        <w:jc w:val="left"/>
      </w:pPr>
      <w:rPr>
        <w:rFonts w:hint="default" w:ascii="仿宋" w:hAnsi="仿宋" w:eastAsia="仿宋" w:cs="仿宋"/>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180" w:hanging="632"/>
      </w:pPr>
      <w:rPr>
        <w:rFonts w:hint="default"/>
      </w:rPr>
    </w:lvl>
    <w:lvl w:ilvl="3">
      <w:start w:val="0"/>
      <w:numFmt w:val="bullet"/>
      <w:lvlText w:val="•"/>
      <w:lvlJc w:val="left"/>
      <w:pPr>
        <w:ind w:left="2900" w:hanging="632"/>
      </w:pPr>
      <w:rPr>
        <w:rFonts w:hint="default"/>
      </w:rPr>
    </w:lvl>
    <w:lvl w:ilvl="4">
      <w:start w:val="0"/>
      <w:numFmt w:val="bullet"/>
      <w:lvlText w:val="•"/>
      <w:lvlJc w:val="left"/>
      <w:pPr>
        <w:ind w:left="3621" w:hanging="632"/>
      </w:pPr>
      <w:rPr>
        <w:rFonts w:hint="default"/>
      </w:rPr>
    </w:lvl>
    <w:lvl w:ilvl="5">
      <w:start w:val="0"/>
      <w:numFmt w:val="bullet"/>
      <w:lvlText w:val="•"/>
      <w:lvlJc w:val="left"/>
      <w:pPr>
        <w:ind w:left="4341" w:hanging="632"/>
      </w:pPr>
      <w:rPr>
        <w:rFonts w:hint="default"/>
      </w:rPr>
    </w:lvl>
    <w:lvl w:ilvl="6">
      <w:start w:val="0"/>
      <w:numFmt w:val="bullet"/>
      <w:lvlText w:val="•"/>
      <w:lvlJc w:val="left"/>
      <w:pPr>
        <w:ind w:left="5061" w:hanging="632"/>
      </w:pPr>
      <w:rPr>
        <w:rFonts w:hint="default"/>
      </w:rPr>
    </w:lvl>
    <w:lvl w:ilvl="7">
      <w:start w:val="0"/>
      <w:numFmt w:val="bullet"/>
      <w:lvlText w:val="•"/>
      <w:lvlJc w:val="left"/>
      <w:pPr>
        <w:ind w:left="5782" w:hanging="632"/>
      </w:pPr>
      <w:rPr>
        <w:rFonts w:hint="default"/>
      </w:rPr>
    </w:lvl>
    <w:lvl w:ilvl="8">
      <w:start w:val="0"/>
      <w:numFmt w:val="bullet"/>
      <w:lvlText w:val="•"/>
      <w:lvlJc w:val="left"/>
      <w:pPr>
        <w:ind w:left="6502" w:hanging="632"/>
      </w:pPr>
      <w:rPr>
        <w:rFonts w:hint="default"/>
      </w:rPr>
    </w:lvl>
  </w:abstractNum>
  <w:abstractNum w:abstractNumId="21">
    <w:multiLevelType w:val="hybridMultilevel"/>
    <w:lvl w:ilvl="0">
      <w:start w:val="1"/>
      <w:numFmt w:val="decimal"/>
      <w:lvlText w:val="（%1）"/>
      <w:lvlJc w:val="left"/>
      <w:pPr>
        <w:ind w:left="128" w:hanging="632"/>
        <w:jc w:val="left"/>
      </w:pPr>
      <w:rPr>
        <w:rFonts w:hint="default" w:ascii="仿宋" w:hAnsi="仿宋" w:eastAsia="仿宋" w:cs="仿宋"/>
        <w:w w:val="100"/>
        <w:sz w:val="21"/>
        <w:szCs w:val="21"/>
      </w:rPr>
    </w:lvl>
    <w:lvl w:ilvl="1">
      <w:start w:val="0"/>
      <w:numFmt w:val="bullet"/>
      <w:lvlText w:val="•"/>
      <w:lvlJc w:val="left"/>
      <w:pPr>
        <w:ind w:left="904" w:hanging="632"/>
      </w:pPr>
      <w:rPr>
        <w:rFonts w:hint="default"/>
      </w:rPr>
    </w:lvl>
    <w:lvl w:ilvl="2">
      <w:start w:val="0"/>
      <w:numFmt w:val="bullet"/>
      <w:lvlText w:val="•"/>
      <w:lvlJc w:val="left"/>
      <w:pPr>
        <w:ind w:left="1688" w:hanging="632"/>
      </w:pPr>
      <w:rPr>
        <w:rFonts w:hint="default"/>
      </w:rPr>
    </w:lvl>
    <w:lvl w:ilvl="3">
      <w:start w:val="0"/>
      <w:numFmt w:val="bullet"/>
      <w:lvlText w:val="•"/>
      <w:lvlJc w:val="left"/>
      <w:pPr>
        <w:ind w:left="2472"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4041" w:hanging="632"/>
      </w:pPr>
      <w:rPr>
        <w:rFonts w:hint="default"/>
      </w:rPr>
    </w:lvl>
    <w:lvl w:ilvl="6">
      <w:start w:val="0"/>
      <w:numFmt w:val="bullet"/>
      <w:lvlText w:val="•"/>
      <w:lvlJc w:val="left"/>
      <w:pPr>
        <w:ind w:left="4825" w:hanging="632"/>
      </w:pPr>
      <w:rPr>
        <w:rFonts w:hint="default"/>
      </w:rPr>
    </w:lvl>
    <w:lvl w:ilvl="7">
      <w:start w:val="0"/>
      <w:numFmt w:val="bullet"/>
      <w:lvlText w:val="•"/>
      <w:lvlJc w:val="left"/>
      <w:pPr>
        <w:ind w:left="5609" w:hanging="632"/>
      </w:pPr>
      <w:rPr>
        <w:rFonts w:hint="default"/>
      </w:rPr>
    </w:lvl>
    <w:lvl w:ilvl="8">
      <w:start w:val="0"/>
      <w:numFmt w:val="bullet"/>
      <w:lvlText w:val="•"/>
      <w:lvlJc w:val="left"/>
      <w:pPr>
        <w:ind w:left="6393" w:hanging="632"/>
      </w:pPr>
      <w:rPr>
        <w:rFonts w:hint="default"/>
      </w:rPr>
    </w:lvl>
  </w:abstractNum>
  <w:abstractNum w:abstractNumId="20">
    <w:multiLevelType w:val="hybridMultilevel"/>
    <w:lvl w:ilvl="0">
      <w:start w:val="1"/>
      <w:numFmt w:val="decimal"/>
      <w:lvlText w:val="（%1）"/>
      <w:lvlJc w:val="left"/>
      <w:pPr>
        <w:ind w:left="707" w:hanging="632"/>
        <w:jc w:val="left"/>
      </w:pPr>
      <w:rPr>
        <w:rFonts w:hint="default" w:ascii="仿宋" w:hAnsi="仿宋" w:eastAsia="仿宋" w:cs="仿宋"/>
        <w:w w:val="100"/>
        <w:sz w:val="21"/>
        <w:szCs w:val="21"/>
      </w:rPr>
    </w:lvl>
    <w:lvl w:ilvl="1">
      <w:start w:val="0"/>
      <w:numFmt w:val="bullet"/>
      <w:lvlText w:val="•"/>
      <w:lvlJc w:val="left"/>
      <w:pPr>
        <w:ind w:left="1410" w:hanging="632"/>
      </w:pPr>
      <w:rPr>
        <w:rFonts w:hint="default"/>
      </w:rPr>
    </w:lvl>
    <w:lvl w:ilvl="2">
      <w:start w:val="0"/>
      <w:numFmt w:val="bullet"/>
      <w:lvlText w:val="•"/>
      <w:lvlJc w:val="left"/>
      <w:pPr>
        <w:ind w:left="2121" w:hanging="632"/>
      </w:pPr>
      <w:rPr>
        <w:rFonts w:hint="default"/>
      </w:rPr>
    </w:lvl>
    <w:lvl w:ilvl="3">
      <w:start w:val="0"/>
      <w:numFmt w:val="bullet"/>
      <w:lvlText w:val="•"/>
      <w:lvlJc w:val="left"/>
      <w:pPr>
        <w:ind w:left="2831" w:hanging="632"/>
      </w:pPr>
      <w:rPr>
        <w:rFonts w:hint="default"/>
      </w:rPr>
    </w:lvl>
    <w:lvl w:ilvl="4">
      <w:start w:val="0"/>
      <w:numFmt w:val="bullet"/>
      <w:lvlText w:val="•"/>
      <w:lvlJc w:val="left"/>
      <w:pPr>
        <w:ind w:left="3542" w:hanging="632"/>
      </w:pPr>
      <w:rPr>
        <w:rFonts w:hint="default"/>
      </w:rPr>
    </w:lvl>
    <w:lvl w:ilvl="5">
      <w:start w:val="0"/>
      <w:numFmt w:val="bullet"/>
      <w:lvlText w:val="•"/>
      <w:lvlJc w:val="left"/>
      <w:pPr>
        <w:ind w:left="4253" w:hanging="632"/>
      </w:pPr>
      <w:rPr>
        <w:rFonts w:hint="default"/>
      </w:rPr>
    </w:lvl>
    <w:lvl w:ilvl="6">
      <w:start w:val="0"/>
      <w:numFmt w:val="bullet"/>
      <w:lvlText w:val="•"/>
      <w:lvlJc w:val="left"/>
      <w:pPr>
        <w:ind w:left="4963" w:hanging="632"/>
      </w:pPr>
      <w:rPr>
        <w:rFonts w:hint="default"/>
      </w:rPr>
    </w:lvl>
    <w:lvl w:ilvl="7">
      <w:start w:val="0"/>
      <w:numFmt w:val="bullet"/>
      <w:lvlText w:val="•"/>
      <w:lvlJc w:val="left"/>
      <w:pPr>
        <w:ind w:left="5674" w:hanging="632"/>
      </w:pPr>
      <w:rPr>
        <w:rFonts w:hint="default"/>
      </w:rPr>
    </w:lvl>
    <w:lvl w:ilvl="8">
      <w:start w:val="0"/>
      <w:numFmt w:val="bullet"/>
      <w:lvlText w:val="•"/>
      <w:lvlJc w:val="left"/>
      <w:pPr>
        <w:ind w:left="6384" w:hanging="632"/>
      </w:pPr>
      <w:rPr>
        <w:rFonts w:hint="default"/>
      </w:rPr>
    </w:lvl>
  </w:abstractNum>
  <w:abstractNum w:abstractNumId="19">
    <w:multiLevelType w:val="hybridMultilevel"/>
    <w:lvl w:ilvl="0">
      <w:start w:val="1"/>
      <w:numFmt w:val="decimal"/>
      <w:lvlText w:val="（%1）"/>
      <w:lvlJc w:val="left"/>
      <w:pPr>
        <w:ind w:left="707" w:hanging="632"/>
        <w:jc w:val="left"/>
      </w:pPr>
      <w:rPr>
        <w:rFonts w:hint="default" w:ascii="仿宋" w:hAnsi="仿宋" w:eastAsia="仿宋" w:cs="仿宋"/>
        <w:w w:val="100"/>
        <w:sz w:val="21"/>
        <w:szCs w:val="21"/>
      </w:rPr>
    </w:lvl>
    <w:lvl w:ilvl="1">
      <w:start w:val="0"/>
      <w:numFmt w:val="bullet"/>
      <w:lvlText w:val="•"/>
      <w:lvlJc w:val="left"/>
      <w:pPr>
        <w:ind w:left="1410" w:hanging="632"/>
      </w:pPr>
      <w:rPr>
        <w:rFonts w:hint="default"/>
      </w:rPr>
    </w:lvl>
    <w:lvl w:ilvl="2">
      <w:start w:val="0"/>
      <w:numFmt w:val="bullet"/>
      <w:lvlText w:val="•"/>
      <w:lvlJc w:val="left"/>
      <w:pPr>
        <w:ind w:left="2121" w:hanging="632"/>
      </w:pPr>
      <w:rPr>
        <w:rFonts w:hint="default"/>
      </w:rPr>
    </w:lvl>
    <w:lvl w:ilvl="3">
      <w:start w:val="0"/>
      <w:numFmt w:val="bullet"/>
      <w:lvlText w:val="•"/>
      <w:lvlJc w:val="left"/>
      <w:pPr>
        <w:ind w:left="2831" w:hanging="632"/>
      </w:pPr>
      <w:rPr>
        <w:rFonts w:hint="default"/>
      </w:rPr>
    </w:lvl>
    <w:lvl w:ilvl="4">
      <w:start w:val="0"/>
      <w:numFmt w:val="bullet"/>
      <w:lvlText w:val="•"/>
      <w:lvlJc w:val="left"/>
      <w:pPr>
        <w:ind w:left="3542" w:hanging="632"/>
      </w:pPr>
      <w:rPr>
        <w:rFonts w:hint="default"/>
      </w:rPr>
    </w:lvl>
    <w:lvl w:ilvl="5">
      <w:start w:val="0"/>
      <w:numFmt w:val="bullet"/>
      <w:lvlText w:val="•"/>
      <w:lvlJc w:val="left"/>
      <w:pPr>
        <w:ind w:left="4253" w:hanging="632"/>
      </w:pPr>
      <w:rPr>
        <w:rFonts w:hint="default"/>
      </w:rPr>
    </w:lvl>
    <w:lvl w:ilvl="6">
      <w:start w:val="0"/>
      <w:numFmt w:val="bullet"/>
      <w:lvlText w:val="•"/>
      <w:lvlJc w:val="left"/>
      <w:pPr>
        <w:ind w:left="4963" w:hanging="632"/>
      </w:pPr>
      <w:rPr>
        <w:rFonts w:hint="default"/>
      </w:rPr>
    </w:lvl>
    <w:lvl w:ilvl="7">
      <w:start w:val="0"/>
      <w:numFmt w:val="bullet"/>
      <w:lvlText w:val="•"/>
      <w:lvlJc w:val="left"/>
      <w:pPr>
        <w:ind w:left="5674" w:hanging="632"/>
      </w:pPr>
      <w:rPr>
        <w:rFonts w:hint="default"/>
      </w:rPr>
    </w:lvl>
    <w:lvl w:ilvl="8">
      <w:start w:val="0"/>
      <w:numFmt w:val="bullet"/>
      <w:lvlText w:val="•"/>
      <w:lvlJc w:val="left"/>
      <w:pPr>
        <w:ind w:left="6384" w:hanging="632"/>
      </w:pPr>
      <w:rPr>
        <w:rFonts w:hint="default"/>
      </w:rPr>
    </w:lvl>
  </w:abstractNum>
  <w:abstractNum w:abstractNumId="18">
    <w:multiLevelType w:val="hybridMultilevel"/>
    <w:lvl w:ilvl="0">
      <w:start w:val="1"/>
      <w:numFmt w:val="decimal"/>
      <w:lvlText w:val="（%1）"/>
      <w:lvlJc w:val="left"/>
      <w:pPr>
        <w:ind w:left="75" w:hanging="632"/>
        <w:jc w:val="left"/>
      </w:pPr>
      <w:rPr>
        <w:rFonts w:hint="default" w:ascii="仿宋" w:hAnsi="仿宋" w:eastAsia="仿宋" w:cs="仿宋"/>
        <w:w w:val="100"/>
        <w:sz w:val="21"/>
        <w:szCs w:val="21"/>
      </w:rPr>
    </w:lvl>
    <w:lvl w:ilvl="1">
      <w:start w:val="0"/>
      <w:numFmt w:val="bullet"/>
      <w:lvlText w:val="•"/>
      <w:lvlJc w:val="left"/>
      <w:pPr>
        <w:ind w:left="852" w:hanging="632"/>
      </w:pPr>
      <w:rPr>
        <w:rFonts w:hint="default"/>
      </w:rPr>
    </w:lvl>
    <w:lvl w:ilvl="2">
      <w:start w:val="0"/>
      <w:numFmt w:val="bullet"/>
      <w:lvlText w:val="•"/>
      <w:lvlJc w:val="left"/>
      <w:pPr>
        <w:ind w:left="1625" w:hanging="632"/>
      </w:pPr>
      <w:rPr>
        <w:rFonts w:hint="default"/>
      </w:rPr>
    </w:lvl>
    <w:lvl w:ilvl="3">
      <w:start w:val="0"/>
      <w:numFmt w:val="bullet"/>
      <w:lvlText w:val="•"/>
      <w:lvlJc w:val="left"/>
      <w:pPr>
        <w:ind w:left="2397" w:hanging="632"/>
      </w:pPr>
      <w:rPr>
        <w:rFonts w:hint="default"/>
      </w:rPr>
    </w:lvl>
    <w:lvl w:ilvl="4">
      <w:start w:val="0"/>
      <w:numFmt w:val="bullet"/>
      <w:lvlText w:val="•"/>
      <w:lvlJc w:val="left"/>
      <w:pPr>
        <w:ind w:left="3170" w:hanging="632"/>
      </w:pPr>
      <w:rPr>
        <w:rFonts w:hint="default"/>
      </w:rPr>
    </w:lvl>
    <w:lvl w:ilvl="5">
      <w:start w:val="0"/>
      <w:numFmt w:val="bullet"/>
      <w:lvlText w:val="•"/>
      <w:lvlJc w:val="left"/>
      <w:pPr>
        <w:ind w:left="3943" w:hanging="632"/>
      </w:pPr>
      <w:rPr>
        <w:rFonts w:hint="default"/>
      </w:rPr>
    </w:lvl>
    <w:lvl w:ilvl="6">
      <w:start w:val="0"/>
      <w:numFmt w:val="bullet"/>
      <w:lvlText w:val="•"/>
      <w:lvlJc w:val="left"/>
      <w:pPr>
        <w:ind w:left="4715" w:hanging="632"/>
      </w:pPr>
      <w:rPr>
        <w:rFonts w:hint="default"/>
      </w:rPr>
    </w:lvl>
    <w:lvl w:ilvl="7">
      <w:start w:val="0"/>
      <w:numFmt w:val="bullet"/>
      <w:lvlText w:val="•"/>
      <w:lvlJc w:val="left"/>
      <w:pPr>
        <w:ind w:left="5488" w:hanging="632"/>
      </w:pPr>
      <w:rPr>
        <w:rFonts w:hint="default"/>
      </w:rPr>
    </w:lvl>
    <w:lvl w:ilvl="8">
      <w:start w:val="0"/>
      <w:numFmt w:val="bullet"/>
      <w:lvlText w:val="•"/>
      <w:lvlJc w:val="left"/>
      <w:pPr>
        <w:ind w:left="6260" w:hanging="632"/>
      </w:pPr>
      <w:rPr>
        <w:rFonts w:hint="default"/>
      </w:rPr>
    </w:lvl>
  </w:abstractNum>
  <w:abstractNum w:abstractNumId="17">
    <w:multiLevelType w:val="hybridMultilevel"/>
    <w:lvl w:ilvl="0">
      <w:start w:val="2"/>
      <w:numFmt w:val="decimal"/>
      <w:lvlText w:val="（%1）"/>
      <w:lvlJc w:val="left"/>
      <w:pPr>
        <w:ind w:left="738" w:hanging="632"/>
        <w:jc w:val="left"/>
      </w:pPr>
      <w:rPr>
        <w:rFonts w:hint="default" w:ascii="仿宋" w:hAnsi="仿宋" w:eastAsia="仿宋" w:cs="仿宋"/>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180" w:hanging="632"/>
      </w:pPr>
      <w:rPr>
        <w:rFonts w:hint="default"/>
      </w:rPr>
    </w:lvl>
    <w:lvl w:ilvl="3">
      <w:start w:val="0"/>
      <w:numFmt w:val="bullet"/>
      <w:lvlText w:val="•"/>
      <w:lvlJc w:val="left"/>
      <w:pPr>
        <w:ind w:left="2900" w:hanging="632"/>
      </w:pPr>
      <w:rPr>
        <w:rFonts w:hint="default"/>
      </w:rPr>
    </w:lvl>
    <w:lvl w:ilvl="4">
      <w:start w:val="0"/>
      <w:numFmt w:val="bullet"/>
      <w:lvlText w:val="•"/>
      <w:lvlJc w:val="left"/>
      <w:pPr>
        <w:ind w:left="3621" w:hanging="632"/>
      </w:pPr>
      <w:rPr>
        <w:rFonts w:hint="default"/>
      </w:rPr>
    </w:lvl>
    <w:lvl w:ilvl="5">
      <w:start w:val="0"/>
      <w:numFmt w:val="bullet"/>
      <w:lvlText w:val="•"/>
      <w:lvlJc w:val="left"/>
      <w:pPr>
        <w:ind w:left="4341" w:hanging="632"/>
      </w:pPr>
      <w:rPr>
        <w:rFonts w:hint="default"/>
      </w:rPr>
    </w:lvl>
    <w:lvl w:ilvl="6">
      <w:start w:val="0"/>
      <w:numFmt w:val="bullet"/>
      <w:lvlText w:val="•"/>
      <w:lvlJc w:val="left"/>
      <w:pPr>
        <w:ind w:left="5061" w:hanging="632"/>
      </w:pPr>
      <w:rPr>
        <w:rFonts w:hint="default"/>
      </w:rPr>
    </w:lvl>
    <w:lvl w:ilvl="7">
      <w:start w:val="0"/>
      <w:numFmt w:val="bullet"/>
      <w:lvlText w:val="•"/>
      <w:lvlJc w:val="left"/>
      <w:pPr>
        <w:ind w:left="5782" w:hanging="632"/>
      </w:pPr>
      <w:rPr>
        <w:rFonts w:hint="default"/>
      </w:rPr>
    </w:lvl>
    <w:lvl w:ilvl="8">
      <w:start w:val="0"/>
      <w:numFmt w:val="bullet"/>
      <w:lvlText w:val="•"/>
      <w:lvlJc w:val="left"/>
      <w:pPr>
        <w:ind w:left="6502" w:hanging="632"/>
      </w:pPr>
      <w:rPr>
        <w:rFonts w:hint="default"/>
      </w:rPr>
    </w:lvl>
  </w:abstractNum>
  <w:abstractNum w:abstractNumId="16">
    <w:multiLevelType w:val="hybridMultilevel"/>
    <w:lvl w:ilvl="0">
      <w:start w:val="1"/>
      <w:numFmt w:val="decimal"/>
      <w:lvlText w:val="（%1）"/>
      <w:lvlJc w:val="left"/>
      <w:pPr>
        <w:ind w:left="106" w:hanging="632"/>
        <w:jc w:val="left"/>
      </w:pPr>
      <w:rPr>
        <w:rFonts w:hint="default" w:ascii="仿宋" w:hAnsi="仿宋" w:eastAsia="仿宋" w:cs="仿宋"/>
        <w:w w:val="100"/>
        <w:sz w:val="21"/>
        <w:szCs w:val="21"/>
      </w:rPr>
    </w:lvl>
    <w:lvl w:ilvl="1">
      <w:start w:val="0"/>
      <w:numFmt w:val="bullet"/>
      <w:lvlText w:val="•"/>
      <w:lvlJc w:val="left"/>
      <w:pPr>
        <w:ind w:left="884" w:hanging="632"/>
      </w:pPr>
      <w:rPr>
        <w:rFonts w:hint="default"/>
      </w:rPr>
    </w:lvl>
    <w:lvl w:ilvl="2">
      <w:start w:val="0"/>
      <w:numFmt w:val="bullet"/>
      <w:lvlText w:val="•"/>
      <w:lvlJc w:val="left"/>
      <w:pPr>
        <w:ind w:left="1668" w:hanging="632"/>
      </w:pPr>
      <w:rPr>
        <w:rFonts w:hint="default"/>
      </w:rPr>
    </w:lvl>
    <w:lvl w:ilvl="3">
      <w:start w:val="0"/>
      <w:numFmt w:val="bullet"/>
      <w:lvlText w:val="•"/>
      <w:lvlJc w:val="left"/>
      <w:pPr>
        <w:ind w:left="2452" w:hanging="632"/>
      </w:pPr>
      <w:rPr>
        <w:rFonts w:hint="default"/>
      </w:rPr>
    </w:lvl>
    <w:lvl w:ilvl="4">
      <w:start w:val="0"/>
      <w:numFmt w:val="bullet"/>
      <w:lvlText w:val="•"/>
      <w:lvlJc w:val="left"/>
      <w:pPr>
        <w:ind w:left="3237" w:hanging="632"/>
      </w:pPr>
      <w:rPr>
        <w:rFonts w:hint="default"/>
      </w:rPr>
    </w:lvl>
    <w:lvl w:ilvl="5">
      <w:start w:val="0"/>
      <w:numFmt w:val="bullet"/>
      <w:lvlText w:val="•"/>
      <w:lvlJc w:val="left"/>
      <w:pPr>
        <w:ind w:left="4021" w:hanging="632"/>
      </w:pPr>
      <w:rPr>
        <w:rFonts w:hint="default"/>
      </w:rPr>
    </w:lvl>
    <w:lvl w:ilvl="6">
      <w:start w:val="0"/>
      <w:numFmt w:val="bullet"/>
      <w:lvlText w:val="•"/>
      <w:lvlJc w:val="left"/>
      <w:pPr>
        <w:ind w:left="4805" w:hanging="632"/>
      </w:pPr>
      <w:rPr>
        <w:rFonts w:hint="default"/>
      </w:rPr>
    </w:lvl>
    <w:lvl w:ilvl="7">
      <w:start w:val="0"/>
      <w:numFmt w:val="bullet"/>
      <w:lvlText w:val="•"/>
      <w:lvlJc w:val="left"/>
      <w:pPr>
        <w:ind w:left="5590" w:hanging="632"/>
      </w:pPr>
      <w:rPr>
        <w:rFonts w:hint="default"/>
      </w:rPr>
    </w:lvl>
    <w:lvl w:ilvl="8">
      <w:start w:val="0"/>
      <w:numFmt w:val="bullet"/>
      <w:lvlText w:val="•"/>
      <w:lvlJc w:val="left"/>
      <w:pPr>
        <w:ind w:left="6374" w:hanging="632"/>
      </w:pPr>
      <w:rPr>
        <w:rFonts w:hint="default"/>
      </w:rPr>
    </w:lvl>
  </w:abstractNum>
  <w:abstractNum w:abstractNumId="15">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14">
    <w:multiLevelType w:val="hybridMultilevel"/>
    <w:lvl w:ilvl="0">
      <w:start w:val="1"/>
      <w:numFmt w:val="decimal"/>
      <w:lvlText w:val="（%1）"/>
      <w:lvlJc w:val="left"/>
      <w:pPr>
        <w:ind w:left="902" w:hanging="721"/>
        <w:jc w:val="left"/>
      </w:pPr>
      <w:rPr>
        <w:rFonts w:hint="default" w:ascii="仿宋" w:hAnsi="仿宋" w:eastAsia="仿宋" w:cs="仿宋"/>
        <w:w w:val="100"/>
        <w:sz w:val="21"/>
        <w:szCs w:val="21"/>
      </w:rPr>
    </w:lvl>
    <w:lvl w:ilvl="1">
      <w:start w:val="0"/>
      <w:numFmt w:val="bullet"/>
      <w:lvlText w:val="•"/>
      <w:lvlJc w:val="left"/>
      <w:pPr>
        <w:ind w:left="1591" w:hanging="721"/>
      </w:pPr>
      <w:rPr>
        <w:rFonts w:hint="default"/>
      </w:rPr>
    </w:lvl>
    <w:lvl w:ilvl="2">
      <w:start w:val="0"/>
      <w:numFmt w:val="bullet"/>
      <w:lvlText w:val="•"/>
      <w:lvlJc w:val="left"/>
      <w:pPr>
        <w:ind w:left="2282" w:hanging="721"/>
      </w:pPr>
      <w:rPr>
        <w:rFonts w:hint="default"/>
      </w:rPr>
    </w:lvl>
    <w:lvl w:ilvl="3">
      <w:start w:val="0"/>
      <w:numFmt w:val="bullet"/>
      <w:lvlText w:val="•"/>
      <w:lvlJc w:val="left"/>
      <w:pPr>
        <w:ind w:left="2973" w:hanging="721"/>
      </w:pPr>
      <w:rPr>
        <w:rFonts w:hint="default"/>
      </w:rPr>
    </w:lvl>
    <w:lvl w:ilvl="4">
      <w:start w:val="0"/>
      <w:numFmt w:val="bullet"/>
      <w:lvlText w:val="•"/>
      <w:lvlJc w:val="left"/>
      <w:pPr>
        <w:ind w:left="3664" w:hanging="721"/>
      </w:pPr>
      <w:rPr>
        <w:rFonts w:hint="default"/>
      </w:rPr>
    </w:lvl>
    <w:lvl w:ilvl="5">
      <w:start w:val="0"/>
      <w:numFmt w:val="bullet"/>
      <w:lvlText w:val="•"/>
      <w:lvlJc w:val="left"/>
      <w:pPr>
        <w:ind w:left="4356" w:hanging="721"/>
      </w:pPr>
      <w:rPr>
        <w:rFonts w:hint="default"/>
      </w:rPr>
    </w:lvl>
    <w:lvl w:ilvl="6">
      <w:start w:val="0"/>
      <w:numFmt w:val="bullet"/>
      <w:lvlText w:val="•"/>
      <w:lvlJc w:val="left"/>
      <w:pPr>
        <w:ind w:left="5047" w:hanging="721"/>
      </w:pPr>
      <w:rPr>
        <w:rFonts w:hint="default"/>
      </w:rPr>
    </w:lvl>
    <w:lvl w:ilvl="7">
      <w:start w:val="0"/>
      <w:numFmt w:val="bullet"/>
      <w:lvlText w:val="•"/>
      <w:lvlJc w:val="left"/>
      <w:pPr>
        <w:ind w:left="5738" w:hanging="721"/>
      </w:pPr>
      <w:rPr>
        <w:rFonts w:hint="default"/>
      </w:rPr>
    </w:lvl>
    <w:lvl w:ilvl="8">
      <w:start w:val="0"/>
      <w:numFmt w:val="bullet"/>
      <w:lvlText w:val="•"/>
      <w:lvlJc w:val="left"/>
      <w:pPr>
        <w:ind w:left="6429" w:hanging="721"/>
      </w:pPr>
      <w:rPr>
        <w:rFonts w:hint="default"/>
      </w:rPr>
    </w:lvl>
  </w:abstractNum>
  <w:abstractNum w:abstractNumId="13">
    <w:multiLevelType w:val="hybridMultilevel"/>
    <w:lvl w:ilvl="0">
      <w:start w:val="1"/>
      <w:numFmt w:val="decimal"/>
      <w:lvlText w:val="（%1）"/>
      <w:lvlJc w:val="left"/>
      <w:pPr>
        <w:ind w:left="902" w:hanging="721"/>
        <w:jc w:val="left"/>
      </w:pPr>
      <w:rPr>
        <w:rFonts w:hint="default" w:ascii="仿宋" w:hAnsi="仿宋" w:eastAsia="仿宋" w:cs="仿宋"/>
        <w:w w:val="100"/>
        <w:sz w:val="21"/>
        <w:szCs w:val="21"/>
      </w:rPr>
    </w:lvl>
    <w:lvl w:ilvl="1">
      <w:start w:val="0"/>
      <w:numFmt w:val="bullet"/>
      <w:lvlText w:val="•"/>
      <w:lvlJc w:val="left"/>
      <w:pPr>
        <w:ind w:left="160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3014" w:hanging="721"/>
      </w:pPr>
      <w:rPr>
        <w:rFonts w:hint="default"/>
      </w:rPr>
    </w:lvl>
    <w:lvl w:ilvl="4">
      <w:start w:val="0"/>
      <w:numFmt w:val="bullet"/>
      <w:lvlText w:val="•"/>
      <w:lvlJc w:val="left"/>
      <w:pPr>
        <w:ind w:left="3718" w:hanging="721"/>
      </w:pPr>
      <w:rPr>
        <w:rFonts w:hint="default"/>
      </w:rPr>
    </w:lvl>
    <w:lvl w:ilvl="5">
      <w:start w:val="0"/>
      <w:numFmt w:val="bullet"/>
      <w:lvlText w:val="•"/>
      <w:lvlJc w:val="left"/>
      <w:pPr>
        <w:ind w:left="4423" w:hanging="721"/>
      </w:pPr>
      <w:rPr>
        <w:rFonts w:hint="default"/>
      </w:rPr>
    </w:lvl>
    <w:lvl w:ilvl="6">
      <w:start w:val="0"/>
      <w:numFmt w:val="bullet"/>
      <w:lvlText w:val="•"/>
      <w:lvlJc w:val="left"/>
      <w:pPr>
        <w:ind w:left="5128" w:hanging="721"/>
      </w:pPr>
      <w:rPr>
        <w:rFonts w:hint="default"/>
      </w:rPr>
    </w:lvl>
    <w:lvl w:ilvl="7">
      <w:start w:val="0"/>
      <w:numFmt w:val="bullet"/>
      <w:lvlText w:val="•"/>
      <w:lvlJc w:val="left"/>
      <w:pPr>
        <w:ind w:left="5832" w:hanging="721"/>
      </w:pPr>
      <w:rPr>
        <w:rFonts w:hint="default"/>
      </w:rPr>
    </w:lvl>
    <w:lvl w:ilvl="8">
      <w:start w:val="0"/>
      <w:numFmt w:val="bullet"/>
      <w:lvlText w:val="•"/>
      <w:lvlJc w:val="left"/>
      <w:pPr>
        <w:ind w:left="6537" w:hanging="721"/>
      </w:pPr>
      <w:rPr>
        <w:rFonts w:hint="default"/>
      </w:rPr>
    </w:lvl>
  </w:abstractNum>
  <w:abstractNum w:abstractNumId="12">
    <w:multiLevelType w:val="hybridMultilevel"/>
    <w:lvl w:ilvl="0">
      <w:start w:val="1"/>
      <w:numFmt w:val="decimal"/>
      <w:lvlText w:val="（%1）"/>
      <w:lvlJc w:val="left"/>
      <w:pPr>
        <w:ind w:left="806" w:hanging="625"/>
        <w:jc w:val="left"/>
      </w:pPr>
      <w:rPr>
        <w:rFonts w:hint="default" w:ascii="仿宋" w:hAnsi="仿宋" w:eastAsia="仿宋" w:cs="仿宋"/>
        <w:w w:val="100"/>
        <w:sz w:val="21"/>
        <w:szCs w:val="21"/>
      </w:rPr>
    </w:lvl>
    <w:lvl w:ilvl="1">
      <w:start w:val="0"/>
      <w:numFmt w:val="bullet"/>
      <w:lvlText w:val="•"/>
      <w:lvlJc w:val="left"/>
      <w:pPr>
        <w:ind w:left="1514" w:hanging="625"/>
      </w:pPr>
      <w:rPr>
        <w:rFonts w:hint="default"/>
      </w:rPr>
    </w:lvl>
    <w:lvl w:ilvl="2">
      <w:start w:val="0"/>
      <w:numFmt w:val="bullet"/>
      <w:lvlText w:val="•"/>
      <w:lvlJc w:val="left"/>
      <w:pPr>
        <w:ind w:left="2229" w:hanging="625"/>
      </w:pPr>
      <w:rPr>
        <w:rFonts w:hint="default"/>
      </w:rPr>
    </w:lvl>
    <w:lvl w:ilvl="3">
      <w:start w:val="0"/>
      <w:numFmt w:val="bullet"/>
      <w:lvlText w:val="•"/>
      <w:lvlJc w:val="left"/>
      <w:pPr>
        <w:ind w:left="2944" w:hanging="625"/>
      </w:pPr>
      <w:rPr>
        <w:rFonts w:hint="default"/>
      </w:rPr>
    </w:lvl>
    <w:lvl w:ilvl="4">
      <w:start w:val="0"/>
      <w:numFmt w:val="bullet"/>
      <w:lvlText w:val="•"/>
      <w:lvlJc w:val="left"/>
      <w:pPr>
        <w:ind w:left="3658" w:hanging="625"/>
      </w:pPr>
      <w:rPr>
        <w:rFonts w:hint="default"/>
      </w:rPr>
    </w:lvl>
    <w:lvl w:ilvl="5">
      <w:start w:val="0"/>
      <w:numFmt w:val="bullet"/>
      <w:lvlText w:val="•"/>
      <w:lvlJc w:val="left"/>
      <w:pPr>
        <w:ind w:left="4373" w:hanging="625"/>
      </w:pPr>
      <w:rPr>
        <w:rFonts w:hint="default"/>
      </w:rPr>
    </w:lvl>
    <w:lvl w:ilvl="6">
      <w:start w:val="0"/>
      <w:numFmt w:val="bullet"/>
      <w:lvlText w:val="•"/>
      <w:lvlJc w:val="left"/>
      <w:pPr>
        <w:ind w:left="5088" w:hanging="625"/>
      </w:pPr>
      <w:rPr>
        <w:rFonts w:hint="default"/>
      </w:rPr>
    </w:lvl>
    <w:lvl w:ilvl="7">
      <w:start w:val="0"/>
      <w:numFmt w:val="bullet"/>
      <w:lvlText w:val="•"/>
      <w:lvlJc w:val="left"/>
      <w:pPr>
        <w:ind w:left="5802" w:hanging="625"/>
      </w:pPr>
      <w:rPr>
        <w:rFonts w:hint="default"/>
      </w:rPr>
    </w:lvl>
    <w:lvl w:ilvl="8">
      <w:start w:val="0"/>
      <w:numFmt w:val="bullet"/>
      <w:lvlText w:val="•"/>
      <w:lvlJc w:val="left"/>
      <w:pPr>
        <w:ind w:left="6517" w:hanging="625"/>
      </w:pPr>
      <w:rPr>
        <w:rFonts w:hint="default"/>
      </w:rPr>
    </w:lvl>
  </w:abstractNum>
  <w:abstractNum w:abstractNumId="11">
    <w:multiLevelType w:val="hybridMultilevel"/>
    <w:lvl w:ilvl="0">
      <w:start w:val="1"/>
      <w:numFmt w:val="decimal"/>
      <w:lvlText w:val="（%1）"/>
      <w:lvlJc w:val="left"/>
      <w:pPr>
        <w:ind w:left="862" w:hanging="577"/>
        <w:jc w:val="left"/>
      </w:pPr>
      <w:rPr>
        <w:rFonts w:hint="default" w:ascii="仿宋" w:hAnsi="仿宋" w:eastAsia="仿宋" w:cs="仿宋"/>
        <w:w w:val="100"/>
        <w:sz w:val="21"/>
        <w:szCs w:val="21"/>
      </w:rPr>
    </w:lvl>
    <w:lvl w:ilvl="1">
      <w:start w:val="0"/>
      <w:numFmt w:val="bullet"/>
      <w:lvlText w:val="•"/>
      <w:lvlJc w:val="left"/>
      <w:pPr>
        <w:ind w:left="1565" w:hanging="577"/>
      </w:pPr>
      <w:rPr>
        <w:rFonts w:hint="default"/>
      </w:rPr>
    </w:lvl>
    <w:lvl w:ilvl="2">
      <w:start w:val="0"/>
      <w:numFmt w:val="bullet"/>
      <w:lvlText w:val="•"/>
      <w:lvlJc w:val="left"/>
      <w:pPr>
        <w:ind w:left="2271" w:hanging="577"/>
      </w:pPr>
      <w:rPr>
        <w:rFonts w:hint="default"/>
      </w:rPr>
    </w:lvl>
    <w:lvl w:ilvl="3">
      <w:start w:val="0"/>
      <w:numFmt w:val="bullet"/>
      <w:lvlText w:val="•"/>
      <w:lvlJc w:val="left"/>
      <w:pPr>
        <w:ind w:left="2977" w:hanging="577"/>
      </w:pPr>
      <w:rPr>
        <w:rFonts w:hint="default"/>
      </w:rPr>
    </w:lvl>
    <w:lvl w:ilvl="4">
      <w:start w:val="0"/>
      <w:numFmt w:val="bullet"/>
      <w:lvlText w:val="•"/>
      <w:lvlJc w:val="left"/>
      <w:pPr>
        <w:ind w:left="3683" w:hanging="577"/>
      </w:pPr>
      <w:rPr>
        <w:rFonts w:hint="default"/>
      </w:rPr>
    </w:lvl>
    <w:lvl w:ilvl="5">
      <w:start w:val="0"/>
      <w:numFmt w:val="bullet"/>
      <w:lvlText w:val="•"/>
      <w:lvlJc w:val="left"/>
      <w:pPr>
        <w:ind w:left="4389" w:hanging="577"/>
      </w:pPr>
      <w:rPr>
        <w:rFonts w:hint="default"/>
      </w:rPr>
    </w:lvl>
    <w:lvl w:ilvl="6">
      <w:start w:val="0"/>
      <w:numFmt w:val="bullet"/>
      <w:lvlText w:val="•"/>
      <w:lvlJc w:val="left"/>
      <w:pPr>
        <w:ind w:left="5095" w:hanging="577"/>
      </w:pPr>
      <w:rPr>
        <w:rFonts w:hint="default"/>
      </w:rPr>
    </w:lvl>
    <w:lvl w:ilvl="7">
      <w:start w:val="0"/>
      <w:numFmt w:val="bullet"/>
      <w:lvlText w:val="•"/>
      <w:lvlJc w:val="left"/>
      <w:pPr>
        <w:ind w:left="5801" w:hanging="577"/>
      </w:pPr>
      <w:rPr>
        <w:rFonts w:hint="default"/>
      </w:rPr>
    </w:lvl>
    <w:lvl w:ilvl="8">
      <w:start w:val="0"/>
      <w:numFmt w:val="bullet"/>
      <w:lvlText w:val="•"/>
      <w:lvlJc w:val="left"/>
      <w:pPr>
        <w:ind w:left="6507" w:hanging="577"/>
      </w:pPr>
      <w:rPr>
        <w:rFonts w:hint="default"/>
      </w:rPr>
    </w:lvl>
  </w:abstractNum>
  <w:abstractNum w:abstractNumId="10">
    <w:multiLevelType w:val="hybridMultilevel"/>
    <w:lvl w:ilvl="0">
      <w:start w:val="1"/>
      <w:numFmt w:val="decimal"/>
      <w:lvlText w:val="（%1）"/>
      <w:lvlJc w:val="left"/>
      <w:pPr>
        <w:ind w:left="859" w:hanging="721"/>
        <w:jc w:val="left"/>
      </w:pPr>
      <w:rPr>
        <w:rFonts w:hint="default" w:ascii="仿宋" w:hAnsi="仿宋" w:eastAsia="仿宋" w:cs="仿宋"/>
        <w:w w:val="100"/>
        <w:sz w:val="21"/>
        <w:szCs w:val="21"/>
      </w:rPr>
    </w:lvl>
    <w:lvl w:ilvl="1">
      <w:start w:val="0"/>
      <w:numFmt w:val="bullet"/>
      <w:lvlText w:val="•"/>
      <w:lvlJc w:val="left"/>
      <w:pPr>
        <w:ind w:left="1550" w:hanging="721"/>
      </w:pPr>
      <w:rPr>
        <w:rFonts w:hint="default"/>
      </w:rPr>
    </w:lvl>
    <w:lvl w:ilvl="2">
      <w:start w:val="0"/>
      <w:numFmt w:val="bullet"/>
      <w:lvlText w:val="•"/>
      <w:lvlJc w:val="left"/>
      <w:pPr>
        <w:ind w:left="2241"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23" w:hanging="721"/>
      </w:pPr>
      <w:rPr>
        <w:rFonts w:hint="default"/>
      </w:rPr>
    </w:lvl>
    <w:lvl w:ilvl="5">
      <w:start w:val="0"/>
      <w:numFmt w:val="bullet"/>
      <w:lvlText w:val="•"/>
      <w:lvlJc w:val="left"/>
      <w:pPr>
        <w:ind w:left="4314" w:hanging="721"/>
      </w:pPr>
      <w:rPr>
        <w:rFonts w:hint="default"/>
      </w:rPr>
    </w:lvl>
    <w:lvl w:ilvl="6">
      <w:start w:val="0"/>
      <w:numFmt w:val="bullet"/>
      <w:lvlText w:val="•"/>
      <w:lvlJc w:val="left"/>
      <w:pPr>
        <w:ind w:left="5004" w:hanging="721"/>
      </w:pPr>
      <w:rPr>
        <w:rFonts w:hint="default"/>
      </w:rPr>
    </w:lvl>
    <w:lvl w:ilvl="7">
      <w:start w:val="0"/>
      <w:numFmt w:val="bullet"/>
      <w:lvlText w:val="•"/>
      <w:lvlJc w:val="left"/>
      <w:pPr>
        <w:ind w:left="5695" w:hanging="721"/>
      </w:pPr>
      <w:rPr>
        <w:rFonts w:hint="default"/>
      </w:rPr>
    </w:lvl>
    <w:lvl w:ilvl="8">
      <w:start w:val="0"/>
      <w:numFmt w:val="bullet"/>
      <w:lvlText w:val="•"/>
      <w:lvlJc w:val="left"/>
      <w:pPr>
        <w:ind w:left="6386" w:hanging="721"/>
      </w:pPr>
      <w:rPr>
        <w:rFonts w:hint="default"/>
      </w:rPr>
    </w:lvl>
  </w:abstractNum>
  <w:abstractNum w:abstractNumId="9">
    <w:multiLevelType w:val="hybridMultilevel"/>
    <w:lvl w:ilvl="0">
      <w:start w:val="1"/>
      <w:numFmt w:val="decimal"/>
      <w:lvlText w:val="（%1）"/>
      <w:lvlJc w:val="left"/>
      <w:pPr>
        <w:ind w:left="859" w:hanging="721"/>
        <w:jc w:val="left"/>
      </w:pPr>
      <w:rPr>
        <w:rFonts w:hint="default" w:ascii="仿宋" w:hAnsi="仿宋" w:eastAsia="仿宋" w:cs="仿宋"/>
        <w:w w:val="100"/>
        <w:sz w:val="21"/>
        <w:szCs w:val="21"/>
      </w:rPr>
    </w:lvl>
    <w:lvl w:ilvl="1">
      <w:start w:val="0"/>
      <w:numFmt w:val="bullet"/>
      <w:lvlText w:val="•"/>
      <w:lvlJc w:val="left"/>
      <w:pPr>
        <w:ind w:left="1550" w:hanging="721"/>
      </w:pPr>
      <w:rPr>
        <w:rFonts w:hint="default"/>
      </w:rPr>
    </w:lvl>
    <w:lvl w:ilvl="2">
      <w:start w:val="0"/>
      <w:numFmt w:val="bullet"/>
      <w:lvlText w:val="•"/>
      <w:lvlJc w:val="left"/>
      <w:pPr>
        <w:ind w:left="2241"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23" w:hanging="721"/>
      </w:pPr>
      <w:rPr>
        <w:rFonts w:hint="default"/>
      </w:rPr>
    </w:lvl>
    <w:lvl w:ilvl="5">
      <w:start w:val="0"/>
      <w:numFmt w:val="bullet"/>
      <w:lvlText w:val="•"/>
      <w:lvlJc w:val="left"/>
      <w:pPr>
        <w:ind w:left="4314" w:hanging="721"/>
      </w:pPr>
      <w:rPr>
        <w:rFonts w:hint="default"/>
      </w:rPr>
    </w:lvl>
    <w:lvl w:ilvl="6">
      <w:start w:val="0"/>
      <w:numFmt w:val="bullet"/>
      <w:lvlText w:val="•"/>
      <w:lvlJc w:val="left"/>
      <w:pPr>
        <w:ind w:left="5004" w:hanging="721"/>
      </w:pPr>
      <w:rPr>
        <w:rFonts w:hint="default"/>
      </w:rPr>
    </w:lvl>
    <w:lvl w:ilvl="7">
      <w:start w:val="0"/>
      <w:numFmt w:val="bullet"/>
      <w:lvlText w:val="•"/>
      <w:lvlJc w:val="left"/>
      <w:pPr>
        <w:ind w:left="5695" w:hanging="721"/>
      </w:pPr>
      <w:rPr>
        <w:rFonts w:hint="default"/>
      </w:rPr>
    </w:lvl>
    <w:lvl w:ilvl="8">
      <w:start w:val="0"/>
      <w:numFmt w:val="bullet"/>
      <w:lvlText w:val="•"/>
      <w:lvlJc w:val="left"/>
      <w:pPr>
        <w:ind w:left="6386" w:hanging="721"/>
      </w:pPr>
      <w:rPr>
        <w:rFonts w:hint="default"/>
      </w:rPr>
    </w:lvl>
  </w:abstractNum>
  <w:abstractNum w:abstractNumId="8">
    <w:multiLevelType w:val="hybridMultilevel"/>
    <w:lvl w:ilvl="0">
      <w:start w:val="1"/>
      <w:numFmt w:val="decimal"/>
      <w:lvlText w:val="（%1）"/>
      <w:lvlJc w:val="left"/>
      <w:pPr>
        <w:ind w:left="859" w:hanging="721"/>
        <w:jc w:val="left"/>
      </w:pPr>
      <w:rPr>
        <w:rFonts w:hint="default" w:ascii="仿宋" w:hAnsi="仿宋" w:eastAsia="仿宋" w:cs="仿宋"/>
        <w:w w:val="100"/>
        <w:sz w:val="21"/>
        <w:szCs w:val="21"/>
      </w:rPr>
    </w:lvl>
    <w:lvl w:ilvl="1">
      <w:start w:val="0"/>
      <w:numFmt w:val="bullet"/>
      <w:lvlText w:val="•"/>
      <w:lvlJc w:val="left"/>
      <w:pPr>
        <w:ind w:left="1550" w:hanging="721"/>
      </w:pPr>
      <w:rPr>
        <w:rFonts w:hint="default"/>
      </w:rPr>
    </w:lvl>
    <w:lvl w:ilvl="2">
      <w:start w:val="0"/>
      <w:numFmt w:val="bullet"/>
      <w:lvlText w:val="•"/>
      <w:lvlJc w:val="left"/>
      <w:pPr>
        <w:ind w:left="2241"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23" w:hanging="721"/>
      </w:pPr>
      <w:rPr>
        <w:rFonts w:hint="default"/>
      </w:rPr>
    </w:lvl>
    <w:lvl w:ilvl="5">
      <w:start w:val="0"/>
      <w:numFmt w:val="bullet"/>
      <w:lvlText w:val="•"/>
      <w:lvlJc w:val="left"/>
      <w:pPr>
        <w:ind w:left="4314" w:hanging="721"/>
      </w:pPr>
      <w:rPr>
        <w:rFonts w:hint="default"/>
      </w:rPr>
    </w:lvl>
    <w:lvl w:ilvl="6">
      <w:start w:val="0"/>
      <w:numFmt w:val="bullet"/>
      <w:lvlText w:val="•"/>
      <w:lvlJc w:val="left"/>
      <w:pPr>
        <w:ind w:left="5004" w:hanging="721"/>
      </w:pPr>
      <w:rPr>
        <w:rFonts w:hint="default"/>
      </w:rPr>
    </w:lvl>
    <w:lvl w:ilvl="7">
      <w:start w:val="0"/>
      <w:numFmt w:val="bullet"/>
      <w:lvlText w:val="•"/>
      <w:lvlJc w:val="left"/>
      <w:pPr>
        <w:ind w:left="5695" w:hanging="721"/>
      </w:pPr>
      <w:rPr>
        <w:rFonts w:hint="default"/>
      </w:rPr>
    </w:lvl>
    <w:lvl w:ilvl="8">
      <w:start w:val="0"/>
      <w:numFmt w:val="bullet"/>
      <w:lvlText w:val="•"/>
      <w:lvlJc w:val="left"/>
      <w:pPr>
        <w:ind w:left="6386" w:hanging="721"/>
      </w:pPr>
      <w:rPr>
        <w:rFonts w:hint="default"/>
      </w:rPr>
    </w:lvl>
  </w:abstractNum>
  <w:abstractNum w:abstractNumId="7">
    <w:multiLevelType w:val="hybridMultilevel"/>
    <w:lvl w:ilvl="0">
      <w:start w:val="9"/>
      <w:numFmt w:val="decimal"/>
      <w:lvlText w:val="%1"/>
      <w:lvlJc w:val="left"/>
      <w:pPr>
        <w:ind w:left="1115" w:hanging="423"/>
        <w:jc w:val="left"/>
      </w:pPr>
      <w:rPr>
        <w:rFonts w:hint="default"/>
      </w:rPr>
    </w:lvl>
    <w:lvl w:ilvl="1">
      <w:start w:val="7"/>
      <w:numFmt w:val="decimal"/>
      <w:lvlText w:val="%1.%2"/>
      <w:lvlJc w:val="left"/>
      <w:pPr>
        <w:ind w:left="1215" w:hanging="423"/>
        <w:jc w:val="left"/>
      </w:pPr>
      <w:rPr>
        <w:rFonts w:hint="default" w:ascii="仿宋" w:hAnsi="仿宋" w:eastAsia="仿宋" w:cs="仿宋"/>
        <w:w w:val="100"/>
        <w:sz w:val="21"/>
        <w:szCs w:val="21"/>
      </w:rPr>
    </w:lvl>
    <w:lvl w:ilvl="2">
      <w:start w:val="0"/>
      <w:numFmt w:val="bullet"/>
      <w:lvlText w:val="•"/>
      <w:lvlJc w:val="left"/>
      <w:pPr>
        <w:ind w:left="1479" w:hanging="423"/>
      </w:pPr>
      <w:rPr>
        <w:rFonts w:hint="default"/>
      </w:rPr>
    </w:lvl>
    <w:lvl w:ilvl="3">
      <w:start w:val="0"/>
      <w:numFmt w:val="bullet"/>
      <w:lvlText w:val="•"/>
      <w:lvlJc w:val="left"/>
      <w:pPr>
        <w:ind w:left="1738" w:hanging="423"/>
      </w:pPr>
      <w:rPr>
        <w:rFonts w:hint="default"/>
      </w:rPr>
    </w:lvl>
    <w:lvl w:ilvl="4">
      <w:start w:val="0"/>
      <w:numFmt w:val="bullet"/>
      <w:lvlText w:val="•"/>
      <w:lvlJc w:val="left"/>
      <w:pPr>
        <w:ind w:left="1997" w:hanging="423"/>
      </w:pPr>
      <w:rPr>
        <w:rFonts w:hint="default"/>
      </w:rPr>
    </w:lvl>
    <w:lvl w:ilvl="5">
      <w:start w:val="0"/>
      <w:numFmt w:val="bullet"/>
      <w:lvlText w:val="•"/>
      <w:lvlJc w:val="left"/>
      <w:pPr>
        <w:ind w:left="2256" w:hanging="423"/>
      </w:pPr>
      <w:rPr>
        <w:rFonts w:hint="default"/>
      </w:rPr>
    </w:lvl>
    <w:lvl w:ilvl="6">
      <w:start w:val="0"/>
      <w:numFmt w:val="bullet"/>
      <w:lvlText w:val="•"/>
      <w:lvlJc w:val="left"/>
      <w:pPr>
        <w:ind w:left="2515" w:hanging="423"/>
      </w:pPr>
      <w:rPr>
        <w:rFonts w:hint="default"/>
      </w:rPr>
    </w:lvl>
    <w:lvl w:ilvl="7">
      <w:start w:val="0"/>
      <w:numFmt w:val="bullet"/>
      <w:lvlText w:val="•"/>
      <w:lvlJc w:val="left"/>
      <w:pPr>
        <w:ind w:left="2774" w:hanging="423"/>
      </w:pPr>
      <w:rPr>
        <w:rFonts w:hint="default"/>
      </w:rPr>
    </w:lvl>
    <w:lvl w:ilvl="8">
      <w:start w:val="0"/>
      <w:numFmt w:val="bullet"/>
      <w:lvlText w:val="•"/>
      <w:lvlJc w:val="left"/>
      <w:pPr>
        <w:ind w:left="3033" w:hanging="423"/>
      </w:pPr>
      <w:rPr>
        <w:rFonts w:hint="default"/>
      </w:rPr>
    </w:lvl>
  </w:abstractNum>
  <w:abstractNum w:abstractNumId="6">
    <w:multiLevelType w:val="hybridMultilevel"/>
    <w:lvl w:ilvl="0">
      <w:start w:val="9"/>
      <w:numFmt w:val="decimal"/>
      <w:lvlText w:val="%1"/>
      <w:lvlJc w:val="left"/>
      <w:pPr>
        <w:ind w:left="1218" w:hanging="423"/>
        <w:jc w:val="left"/>
      </w:pPr>
      <w:rPr>
        <w:rFonts w:hint="default"/>
      </w:rPr>
    </w:lvl>
    <w:lvl w:ilvl="1">
      <w:start w:val="1"/>
      <w:numFmt w:val="decimal"/>
      <w:lvlText w:val="%1.%2"/>
      <w:lvlJc w:val="left"/>
      <w:pPr>
        <w:ind w:left="1218" w:hanging="423"/>
        <w:jc w:val="left"/>
      </w:pPr>
      <w:rPr>
        <w:rFonts w:hint="default" w:ascii="仿宋" w:hAnsi="仿宋" w:eastAsia="仿宋" w:cs="仿宋"/>
        <w:w w:val="100"/>
        <w:sz w:val="21"/>
        <w:szCs w:val="21"/>
      </w:rPr>
    </w:lvl>
    <w:lvl w:ilvl="2">
      <w:start w:val="0"/>
      <w:numFmt w:val="bullet"/>
      <w:lvlText w:val="•"/>
      <w:lvlJc w:val="left"/>
      <w:pPr>
        <w:ind w:left="1597" w:hanging="423"/>
      </w:pPr>
      <w:rPr>
        <w:rFonts w:hint="default"/>
      </w:rPr>
    </w:lvl>
    <w:lvl w:ilvl="3">
      <w:start w:val="0"/>
      <w:numFmt w:val="bullet"/>
      <w:lvlText w:val="•"/>
      <w:lvlJc w:val="left"/>
      <w:pPr>
        <w:ind w:left="1786" w:hanging="423"/>
      </w:pPr>
      <w:rPr>
        <w:rFonts w:hint="default"/>
      </w:rPr>
    </w:lvl>
    <w:lvl w:ilvl="4">
      <w:start w:val="0"/>
      <w:numFmt w:val="bullet"/>
      <w:lvlText w:val="•"/>
      <w:lvlJc w:val="left"/>
      <w:pPr>
        <w:ind w:left="1975" w:hanging="423"/>
      </w:pPr>
      <w:rPr>
        <w:rFonts w:hint="default"/>
      </w:rPr>
    </w:lvl>
    <w:lvl w:ilvl="5">
      <w:start w:val="0"/>
      <w:numFmt w:val="bullet"/>
      <w:lvlText w:val="•"/>
      <w:lvlJc w:val="left"/>
      <w:pPr>
        <w:ind w:left="2164" w:hanging="423"/>
      </w:pPr>
      <w:rPr>
        <w:rFonts w:hint="default"/>
      </w:rPr>
    </w:lvl>
    <w:lvl w:ilvl="6">
      <w:start w:val="0"/>
      <w:numFmt w:val="bullet"/>
      <w:lvlText w:val="•"/>
      <w:lvlJc w:val="left"/>
      <w:pPr>
        <w:ind w:left="2353" w:hanging="423"/>
      </w:pPr>
      <w:rPr>
        <w:rFonts w:hint="default"/>
      </w:rPr>
    </w:lvl>
    <w:lvl w:ilvl="7">
      <w:start w:val="0"/>
      <w:numFmt w:val="bullet"/>
      <w:lvlText w:val="•"/>
      <w:lvlJc w:val="left"/>
      <w:pPr>
        <w:ind w:left="2542" w:hanging="423"/>
      </w:pPr>
      <w:rPr>
        <w:rFonts w:hint="default"/>
      </w:rPr>
    </w:lvl>
    <w:lvl w:ilvl="8">
      <w:start w:val="0"/>
      <w:numFmt w:val="bullet"/>
      <w:lvlText w:val="•"/>
      <w:lvlJc w:val="left"/>
      <w:pPr>
        <w:ind w:left="2731" w:hanging="423"/>
      </w:pPr>
      <w:rPr>
        <w:rFonts w:hint="default"/>
      </w:rPr>
    </w:lvl>
  </w:abstractNum>
  <w:abstractNum w:abstractNumId="5">
    <w:multiLevelType w:val="hybridMultilevel"/>
    <w:lvl w:ilvl="0">
      <w:start w:val="8"/>
      <w:numFmt w:val="decimal"/>
      <w:lvlText w:val="%1"/>
      <w:lvlJc w:val="left"/>
      <w:pPr>
        <w:ind w:left="1218" w:hanging="423"/>
        <w:jc w:val="left"/>
      </w:pPr>
      <w:rPr>
        <w:rFonts w:hint="default"/>
      </w:rPr>
    </w:lvl>
    <w:lvl w:ilvl="1">
      <w:start w:val="1"/>
      <w:numFmt w:val="decimal"/>
      <w:lvlText w:val="%1.%2"/>
      <w:lvlJc w:val="left"/>
      <w:pPr>
        <w:ind w:left="1218" w:hanging="423"/>
        <w:jc w:val="left"/>
      </w:pPr>
      <w:rPr>
        <w:rFonts w:hint="default" w:ascii="仿宋" w:hAnsi="仿宋" w:eastAsia="仿宋" w:cs="仿宋"/>
        <w:w w:val="100"/>
        <w:sz w:val="21"/>
        <w:szCs w:val="21"/>
      </w:rPr>
    </w:lvl>
    <w:lvl w:ilvl="2">
      <w:start w:val="0"/>
      <w:numFmt w:val="bullet"/>
      <w:lvlText w:val="•"/>
      <w:lvlJc w:val="left"/>
      <w:pPr>
        <w:ind w:left="1597" w:hanging="423"/>
      </w:pPr>
      <w:rPr>
        <w:rFonts w:hint="default"/>
      </w:rPr>
    </w:lvl>
    <w:lvl w:ilvl="3">
      <w:start w:val="0"/>
      <w:numFmt w:val="bullet"/>
      <w:lvlText w:val="•"/>
      <w:lvlJc w:val="left"/>
      <w:pPr>
        <w:ind w:left="1786" w:hanging="423"/>
      </w:pPr>
      <w:rPr>
        <w:rFonts w:hint="default"/>
      </w:rPr>
    </w:lvl>
    <w:lvl w:ilvl="4">
      <w:start w:val="0"/>
      <w:numFmt w:val="bullet"/>
      <w:lvlText w:val="•"/>
      <w:lvlJc w:val="left"/>
      <w:pPr>
        <w:ind w:left="1975" w:hanging="423"/>
      </w:pPr>
      <w:rPr>
        <w:rFonts w:hint="default"/>
      </w:rPr>
    </w:lvl>
    <w:lvl w:ilvl="5">
      <w:start w:val="0"/>
      <w:numFmt w:val="bullet"/>
      <w:lvlText w:val="•"/>
      <w:lvlJc w:val="left"/>
      <w:pPr>
        <w:ind w:left="2164" w:hanging="423"/>
      </w:pPr>
      <w:rPr>
        <w:rFonts w:hint="default"/>
      </w:rPr>
    </w:lvl>
    <w:lvl w:ilvl="6">
      <w:start w:val="0"/>
      <w:numFmt w:val="bullet"/>
      <w:lvlText w:val="•"/>
      <w:lvlJc w:val="left"/>
      <w:pPr>
        <w:ind w:left="2353" w:hanging="423"/>
      </w:pPr>
      <w:rPr>
        <w:rFonts w:hint="default"/>
      </w:rPr>
    </w:lvl>
    <w:lvl w:ilvl="7">
      <w:start w:val="0"/>
      <w:numFmt w:val="bullet"/>
      <w:lvlText w:val="•"/>
      <w:lvlJc w:val="left"/>
      <w:pPr>
        <w:ind w:left="2542" w:hanging="423"/>
      </w:pPr>
      <w:rPr>
        <w:rFonts w:hint="default"/>
      </w:rPr>
    </w:lvl>
    <w:lvl w:ilvl="8">
      <w:start w:val="0"/>
      <w:numFmt w:val="bullet"/>
      <w:lvlText w:val="•"/>
      <w:lvlJc w:val="left"/>
      <w:pPr>
        <w:ind w:left="2731" w:hanging="423"/>
      </w:pPr>
      <w:rPr>
        <w:rFonts w:hint="default"/>
      </w:rPr>
    </w:lvl>
  </w:abstractNum>
  <w:abstractNum w:abstractNumId="4">
    <w:multiLevelType w:val="hybridMultilevel"/>
    <w:lvl w:ilvl="0">
      <w:start w:val="6"/>
      <w:numFmt w:val="decimal"/>
      <w:lvlText w:val="%1"/>
      <w:lvlJc w:val="left"/>
      <w:pPr>
        <w:ind w:left="1218" w:hanging="423"/>
        <w:jc w:val="left"/>
      </w:pPr>
      <w:rPr>
        <w:rFonts w:hint="default"/>
      </w:rPr>
    </w:lvl>
    <w:lvl w:ilvl="1">
      <w:start w:val="1"/>
      <w:numFmt w:val="decimal"/>
      <w:lvlText w:val="%1.%2"/>
      <w:lvlJc w:val="left"/>
      <w:pPr>
        <w:ind w:left="1218" w:hanging="423"/>
        <w:jc w:val="left"/>
      </w:pPr>
      <w:rPr>
        <w:rFonts w:hint="default" w:ascii="仿宋" w:hAnsi="仿宋" w:eastAsia="仿宋" w:cs="仿宋"/>
        <w:w w:val="100"/>
        <w:sz w:val="21"/>
        <w:szCs w:val="21"/>
      </w:rPr>
    </w:lvl>
    <w:lvl w:ilvl="2">
      <w:start w:val="0"/>
      <w:numFmt w:val="bullet"/>
      <w:lvlText w:val="•"/>
      <w:lvlJc w:val="left"/>
      <w:pPr>
        <w:ind w:left="1597" w:hanging="423"/>
      </w:pPr>
      <w:rPr>
        <w:rFonts w:hint="default"/>
      </w:rPr>
    </w:lvl>
    <w:lvl w:ilvl="3">
      <w:start w:val="0"/>
      <w:numFmt w:val="bullet"/>
      <w:lvlText w:val="•"/>
      <w:lvlJc w:val="left"/>
      <w:pPr>
        <w:ind w:left="1786" w:hanging="423"/>
      </w:pPr>
      <w:rPr>
        <w:rFonts w:hint="default"/>
      </w:rPr>
    </w:lvl>
    <w:lvl w:ilvl="4">
      <w:start w:val="0"/>
      <w:numFmt w:val="bullet"/>
      <w:lvlText w:val="•"/>
      <w:lvlJc w:val="left"/>
      <w:pPr>
        <w:ind w:left="1975" w:hanging="423"/>
      </w:pPr>
      <w:rPr>
        <w:rFonts w:hint="default"/>
      </w:rPr>
    </w:lvl>
    <w:lvl w:ilvl="5">
      <w:start w:val="0"/>
      <w:numFmt w:val="bullet"/>
      <w:lvlText w:val="•"/>
      <w:lvlJc w:val="left"/>
      <w:pPr>
        <w:ind w:left="2164" w:hanging="423"/>
      </w:pPr>
      <w:rPr>
        <w:rFonts w:hint="default"/>
      </w:rPr>
    </w:lvl>
    <w:lvl w:ilvl="6">
      <w:start w:val="0"/>
      <w:numFmt w:val="bullet"/>
      <w:lvlText w:val="•"/>
      <w:lvlJc w:val="left"/>
      <w:pPr>
        <w:ind w:left="2353" w:hanging="423"/>
      </w:pPr>
      <w:rPr>
        <w:rFonts w:hint="default"/>
      </w:rPr>
    </w:lvl>
    <w:lvl w:ilvl="7">
      <w:start w:val="0"/>
      <w:numFmt w:val="bullet"/>
      <w:lvlText w:val="•"/>
      <w:lvlJc w:val="left"/>
      <w:pPr>
        <w:ind w:left="2542" w:hanging="423"/>
      </w:pPr>
      <w:rPr>
        <w:rFonts w:hint="default"/>
      </w:rPr>
    </w:lvl>
    <w:lvl w:ilvl="8">
      <w:start w:val="0"/>
      <w:numFmt w:val="bullet"/>
      <w:lvlText w:val="•"/>
      <w:lvlJc w:val="left"/>
      <w:pPr>
        <w:ind w:left="2731" w:hanging="423"/>
      </w:pPr>
      <w:rPr>
        <w:rFonts w:hint="default"/>
      </w:rPr>
    </w:lvl>
  </w:abstractNum>
  <w:abstractNum w:abstractNumId="3">
    <w:multiLevelType w:val="hybridMultilevel"/>
    <w:lvl w:ilvl="0">
      <w:start w:val="3"/>
      <w:numFmt w:val="decimal"/>
      <w:lvlText w:val="%1"/>
      <w:lvlJc w:val="left"/>
      <w:pPr>
        <w:ind w:left="1834" w:hanging="423"/>
        <w:jc w:val="left"/>
      </w:pPr>
      <w:rPr>
        <w:rFonts w:hint="default"/>
      </w:rPr>
    </w:lvl>
    <w:lvl w:ilvl="1">
      <w:start w:val="1"/>
      <w:numFmt w:val="decimal"/>
      <w:lvlText w:val="%1.%2"/>
      <w:lvlJc w:val="left"/>
      <w:pPr>
        <w:ind w:left="1834" w:hanging="423"/>
        <w:jc w:val="left"/>
      </w:pPr>
      <w:rPr>
        <w:rFonts w:hint="default" w:ascii="仿宋" w:hAnsi="仿宋" w:eastAsia="仿宋" w:cs="仿宋"/>
        <w:w w:val="100"/>
        <w:sz w:val="21"/>
        <w:szCs w:val="21"/>
      </w:rPr>
    </w:lvl>
    <w:lvl w:ilvl="2">
      <w:start w:val="0"/>
      <w:numFmt w:val="bullet"/>
      <w:lvlText w:val="•"/>
      <w:lvlJc w:val="left"/>
      <w:pPr>
        <w:ind w:left="2217" w:hanging="423"/>
      </w:pPr>
      <w:rPr>
        <w:rFonts w:hint="default"/>
      </w:rPr>
    </w:lvl>
    <w:lvl w:ilvl="3">
      <w:start w:val="0"/>
      <w:numFmt w:val="bullet"/>
      <w:lvlText w:val="•"/>
      <w:lvlJc w:val="left"/>
      <w:pPr>
        <w:ind w:left="2405" w:hanging="423"/>
      </w:pPr>
      <w:rPr>
        <w:rFonts w:hint="default"/>
      </w:rPr>
    </w:lvl>
    <w:lvl w:ilvl="4">
      <w:start w:val="0"/>
      <w:numFmt w:val="bullet"/>
      <w:lvlText w:val="•"/>
      <w:lvlJc w:val="left"/>
      <w:pPr>
        <w:ind w:left="2594" w:hanging="423"/>
      </w:pPr>
      <w:rPr>
        <w:rFonts w:hint="default"/>
      </w:rPr>
    </w:lvl>
    <w:lvl w:ilvl="5">
      <w:start w:val="0"/>
      <w:numFmt w:val="bullet"/>
      <w:lvlText w:val="•"/>
      <w:lvlJc w:val="left"/>
      <w:pPr>
        <w:ind w:left="2782" w:hanging="423"/>
      </w:pPr>
      <w:rPr>
        <w:rFonts w:hint="default"/>
      </w:rPr>
    </w:lvl>
    <w:lvl w:ilvl="6">
      <w:start w:val="0"/>
      <w:numFmt w:val="bullet"/>
      <w:lvlText w:val="•"/>
      <w:lvlJc w:val="left"/>
      <w:pPr>
        <w:ind w:left="2971" w:hanging="423"/>
      </w:pPr>
      <w:rPr>
        <w:rFonts w:hint="default"/>
      </w:rPr>
    </w:lvl>
    <w:lvl w:ilvl="7">
      <w:start w:val="0"/>
      <w:numFmt w:val="bullet"/>
      <w:lvlText w:val="•"/>
      <w:lvlJc w:val="left"/>
      <w:pPr>
        <w:ind w:left="3159" w:hanging="423"/>
      </w:pPr>
      <w:rPr>
        <w:rFonts w:hint="default"/>
      </w:rPr>
    </w:lvl>
    <w:lvl w:ilvl="8">
      <w:start w:val="0"/>
      <w:numFmt w:val="bullet"/>
      <w:lvlText w:val="•"/>
      <w:lvlJc w:val="left"/>
      <w:pPr>
        <w:ind w:left="3348" w:hanging="423"/>
      </w:pPr>
      <w:rPr>
        <w:rFonts w:hint="default"/>
      </w:rPr>
    </w:lvl>
  </w:abstractNum>
  <w:abstractNum w:abstractNumId="2">
    <w:multiLevelType w:val="hybridMultilevel"/>
    <w:lvl w:ilvl="0">
      <w:start w:val="2"/>
      <w:numFmt w:val="decimal"/>
      <w:lvlText w:val="%1"/>
      <w:lvlJc w:val="left"/>
      <w:pPr>
        <w:ind w:left="1834" w:hanging="423"/>
        <w:jc w:val="left"/>
      </w:pPr>
      <w:rPr>
        <w:rFonts w:hint="default"/>
      </w:rPr>
    </w:lvl>
    <w:lvl w:ilvl="1">
      <w:start w:val="1"/>
      <w:numFmt w:val="decimal"/>
      <w:lvlText w:val="%1.%2"/>
      <w:lvlJc w:val="left"/>
      <w:pPr>
        <w:ind w:left="1834" w:hanging="423"/>
        <w:jc w:val="left"/>
      </w:pPr>
      <w:rPr>
        <w:rFonts w:hint="default" w:ascii="仿宋" w:hAnsi="仿宋" w:eastAsia="仿宋" w:cs="仿宋"/>
        <w:w w:val="100"/>
        <w:sz w:val="21"/>
        <w:szCs w:val="21"/>
      </w:rPr>
    </w:lvl>
    <w:lvl w:ilvl="2">
      <w:start w:val="0"/>
      <w:numFmt w:val="bullet"/>
      <w:lvlText w:val="•"/>
      <w:lvlJc w:val="left"/>
      <w:pPr>
        <w:ind w:left="2217" w:hanging="423"/>
      </w:pPr>
      <w:rPr>
        <w:rFonts w:hint="default"/>
      </w:rPr>
    </w:lvl>
    <w:lvl w:ilvl="3">
      <w:start w:val="0"/>
      <w:numFmt w:val="bullet"/>
      <w:lvlText w:val="•"/>
      <w:lvlJc w:val="left"/>
      <w:pPr>
        <w:ind w:left="2405" w:hanging="423"/>
      </w:pPr>
      <w:rPr>
        <w:rFonts w:hint="default"/>
      </w:rPr>
    </w:lvl>
    <w:lvl w:ilvl="4">
      <w:start w:val="0"/>
      <w:numFmt w:val="bullet"/>
      <w:lvlText w:val="•"/>
      <w:lvlJc w:val="left"/>
      <w:pPr>
        <w:ind w:left="2594" w:hanging="423"/>
      </w:pPr>
      <w:rPr>
        <w:rFonts w:hint="default"/>
      </w:rPr>
    </w:lvl>
    <w:lvl w:ilvl="5">
      <w:start w:val="0"/>
      <w:numFmt w:val="bullet"/>
      <w:lvlText w:val="•"/>
      <w:lvlJc w:val="left"/>
      <w:pPr>
        <w:ind w:left="2782" w:hanging="423"/>
      </w:pPr>
      <w:rPr>
        <w:rFonts w:hint="default"/>
      </w:rPr>
    </w:lvl>
    <w:lvl w:ilvl="6">
      <w:start w:val="0"/>
      <w:numFmt w:val="bullet"/>
      <w:lvlText w:val="•"/>
      <w:lvlJc w:val="left"/>
      <w:pPr>
        <w:ind w:left="2971" w:hanging="423"/>
      </w:pPr>
      <w:rPr>
        <w:rFonts w:hint="default"/>
      </w:rPr>
    </w:lvl>
    <w:lvl w:ilvl="7">
      <w:start w:val="0"/>
      <w:numFmt w:val="bullet"/>
      <w:lvlText w:val="•"/>
      <w:lvlJc w:val="left"/>
      <w:pPr>
        <w:ind w:left="3159" w:hanging="423"/>
      </w:pPr>
      <w:rPr>
        <w:rFonts w:hint="default"/>
      </w:rPr>
    </w:lvl>
    <w:lvl w:ilvl="8">
      <w:start w:val="0"/>
      <w:numFmt w:val="bullet"/>
      <w:lvlText w:val="•"/>
      <w:lvlJc w:val="left"/>
      <w:pPr>
        <w:ind w:left="3348" w:hanging="423"/>
      </w:pPr>
      <w:rPr>
        <w:rFonts w:hint="default"/>
      </w:rPr>
    </w:lvl>
  </w:abstractNum>
  <w:abstractNum w:abstractNumId="1">
    <w:multiLevelType w:val="hybridMultilevel"/>
    <w:lvl w:ilvl="0">
      <w:start w:val="1"/>
      <w:numFmt w:val="decimal"/>
      <w:lvlText w:val="%1"/>
      <w:lvlJc w:val="left"/>
      <w:pPr>
        <w:ind w:left="1834" w:hanging="423"/>
        <w:jc w:val="left"/>
      </w:pPr>
      <w:rPr>
        <w:rFonts w:hint="default"/>
      </w:rPr>
    </w:lvl>
    <w:lvl w:ilvl="1">
      <w:start w:val="1"/>
      <w:numFmt w:val="decimal"/>
      <w:lvlText w:val="%1.%2"/>
      <w:lvlJc w:val="left"/>
      <w:pPr>
        <w:ind w:left="1834" w:hanging="423"/>
        <w:jc w:val="left"/>
      </w:pPr>
      <w:rPr>
        <w:rFonts w:hint="default" w:ascii="仿宋" w:hAnsi="仿宋" w:eastAsia="仿宋" w:cs="仿宋"/>
        <w:w w:val="100"/>
        <w:sz w:val="21"/>
        <w:szCs w:val="21"/>
      </w:rPr>
    </w:lvl>
    <w:lvl w:ilvl="2">
      <w:start w:val="0"/>
      <w:numFmt w:val="bullet"/>
      <w:lvlText w:val="•"/>
      <w:lvlJc w:val="left"/>
      <w:pPr>
        <w:ind w:left="2217" w:hanging="423"/>
      </w:pPr>
      <w:rPr>
        <w:rFonts w:hint="default"/>
      </w:rPr>
    </w:lvl>
    <w:lvl w:ilvl="3">
      <w:start w:val="0"/>
      <w:numFmt w:val="bullet"/>
      <w:lvlText w:val="•"/>
      <w:lvlJc w:val="left"/>
      <w:pPr>
        <w:ind w:left="2405" w:hanging="423"/>
      </w:pPr>
      <w:rPr>
        <w:rFonts w:hint="default"/>
      </w:rPr>
    </w:lvl>
    <w:lvl w:ilvl="4">
      <w:start w:val="0"/>
      <w:numFmt w:val="bullet"/>
      <w:lvlText w:val="•"/>
      <w:lvlJc w:val="left"/>
      <w:pPr>
        <w:ind w:left="2594" w:hanging="423"/>
      </w:pPr>
      <w:rPr>
        <w:rFonts w:hint="default"/>
      </w:rPr>
    </w:lvl>
    <w:lvl w:ilvl="5">
      <w:start w:val="0"/>
      <w:numFmt w:val="bullet"/>
      <w:lvlText w:val="•"/>
      <w:lvlJc w:val="left"/>
      <w:pPr>
        <w:ind w:left="2782" w:hanging="423"/>
      </w:pPr>
      <w:rPr>
        <w:rFonts w:hint="default"/>
      </w:rPr>
    </w:lvl>
    <w:lvl w:ilvl="6">
      <w:start w:val="0"/>
      <w:numFmt w:val="bullet"/>
      <w:lvlText w:val="•"/>
      <w:lvlJc w:val="left"/>
      <w:pPr>
        <w:ind w:left="2971" w:hanging="423"/>
      </w:pPr>
      <w:rPr>
        <w:rFonts w:hint="default"/>
      </w:rPr>
    </w:lvl>
    <w:lvl w:ilvl="7">
      <w:start w:val="0"/>
      <w:numFmt w:val="bullet"/>
      <w:lvlText w:val="•"/>
      <w:lvlJc w:val="left"/>
      <w:pPr>
        <w:ind w:left="3159" w:hanging="423"/>
      </w:pPr>
      <w:rPr>
        <w:rFonts w:hint="default"/>
      </w:rPr>
    </w:lvl>
    <w:lvl w:ilvl="8">
      <w:start w:val="0"/>
      <w:numFmt w:val="bullet"/>
      <w:lvlText w:val="•"/>
      <w:lvlJc w:val="left"/>
      <w:pPr>
        <w:ind w:left="3348" w:hanging="423"/>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ind w:left="1218" w:hanging="423"/>
    </w:pPr>
    <w:rPr>
      <w:rFonts w:ascii="仿宋" w:hAnsi="仿宋" w:eastAsia="仿宋" w:cs="仿宋"/>
      <w:sz w:val="21"/>
      <w:szCs w:val="21"/>
    </w:rPr>
  </w:style>
  <w:style w:styleId="ListParagraph" w:type="paragraph">
    <w:name w:val="List Paragraph"/>
    <w:basedOn w:val="Normal"/>
    <w:uiPriority w:val="1"/>
    <w:qFormat/>
    <w:pPr>
      <w:spacing w:line="260" w:lineRule="exact"/>
      <w:ind w:left="1218" w:hanging="423"/>
    </w:pPr>
    <w:rPr>
      <w:rFonts w:ascii="仿宋" w:hAnsi="仿宋" w:eastAsia="仿宋" w:cs="仿宋"/>
    </w:rPr>
  </w:style>
  <w:style w:styleId="TableParagraph" w:type="paragraph">
    <w:name w:val="Table Paragraph"/>
    <w:basedOn w:val="Normal"/>
    <w:uiPriority w:val="1"/>
    <w:qFormat/>
    <w:pPr>
      <w:spacing w:before="37"/>
      <w:ind w:left="200"/>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2018-10-20T01:51:38Z</dcterms:created>
  <dcterms:modified xsi:type="dcterms:W3CDTF">2018-10-20T01:51:38Z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2016-11-24T00:00:00Z</vt:filetime>
  </property>
  <property fmtid="{D5CDD505-2E9C-101B-9397-08002B2CF9AE}" pid="3" name="Creator">
    <vt:lpwstr>Microsoft® Word 2010</vt:lpwstr>
  </property>
  <property fmtid="{D5CDD505-2E9C-101B-9397-08002B2CF9AE}" pid="4" name="LastSaved">
    <vt:filetime>2018-10-19T00:00:00Z</vt:filetime>
  </property>
</Properties>
</file>