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167" w:val="left" w:leader="none"/>
        </w:tabs>
        <w:spacing w:line="407" w:lineRule="exact" w:before="0"/>
        <w:ind w:left="363" w:right="0" w:firstLine="0"/>
        <w:jc w:val="left"/>
        <w:rPr>
          <w:sz w:val="20"/>
        </w:rPr>
      </w:pPr>
      <w:r>
        <w:rPr/>
        <w:drawing>
          <wp:anchor distT="0" distB="0" distL="0" distR="0" allowOverlap="1" layoutInCell="1" locked="0" behindDoc="1" simplePos="0" relativeHeight="268421135">
            <wp:simplePos x="0" y="0"/>
            <wp:positionH relativeFrom="page">
              <wp:posOffset>5066029</wp:posOffset>
            </wp:positionH>
            <wp:positionV relativeFrom="paragraph">
              <wp:posOffset>190754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11"/>
          <w:sz w:val="32"/>
        </w:rPr>
        <w:t>联泰大都会人寿保险有限公司</w:t>
        <w:tab/>
      </w:r>
      <w:r>
        <w:rPr>
          <w:sz w:val="20"/>
        </w:rPr>
        <w:t>联泰大都会[2009]疾病保险</w:t>
      </w:r>
      <w:r>
        <w:rPr>
          <w:spacing w:val="-53"/>
          <w:sz w:val="20"/>
        </w:rPr>
        <w:t> </w:t>
      </w:r>
      <w:r>
        <w:rPr>
          <w:sz w:val="20"/>
        </w:rPr>
        <w:t>057</w:t>
      </w:r>
      <w:r>
        <w:rPr>
          <w:spacing w:val="-54"/>
          <w:sz w:val="20"/>
        </w:rPr>
        <w:t> </w:t>
      </w:r>
      <w:r>
        <w:rPr>
          <w:sz w:val="20"/>
        </w:rPr>
        <w:t>号</w:t>
      </w:r>
    </w:p>
    <w:p>
      <w:pPr>
        <w:pStyle w:val="BodyText"/>
        <w:spacing w:before="9"/>
        <w:ind w:left="0"/>
        <w:rPr>
          <w:sz w:val="25"/>
        </w:rPr>
      </w:pPr>
    </w:p>
    <w:p>
      <w:pPr>
        <w:spacing w:before="1"/>
        <w:ind w:left="382" w:right="0" w:firstLine="0"/>
        <w:jc w:val="left"/>
        <w:rPr>
          <w:b/>
          <w:sz w:val="30"/>
        </w:rPr>
      </w:pPr>
      <w:r>
        <w:rPr>
          <w:b/>
          <w:w w:val="95"/>
          <w:sz w:val="30"/>
        </w:rPr>
        <w:t>附加成长护航少儿长期重大疾病保险条款</w:t>
      </w:r>
    </w:p>
    <w:p>
      <w:pPr>
        <w:pStyle w:val="BodyText"/>
        <w:spacing w:before="6"/>
        <w:ind w:left="0"/>
        <w:rPr>
          <w:b/>
          <w:sz w:val="17"/>
        </w:rPr>
      </w:pPr>
    </w:p>
    <w:p>
      <w:pPr>
        <w:spacing w:after="0"/>
        <w:rPr>
          <w:sz w:val="17"/>
        </w:rPr>
        <w:sectPr>
          <w:footerReference w:type="default" r:id="rId5"/>
          <w:type w:val="continuous"/>
          <w:pgSz w:w="11910" w:h="16840"/>
          <w:pgMar w:footer="757" w:top="980" w:bottom="940" w:left="880" w:right="720"/>
        </w:sectPr>
      </w:pPr>
    </w:p>
    <w:p>
      <w:pPr>
        <w:pStyle w:val="BodyText"/>
        <w:spacing w:before="8"/>
        <w:ind w:left="0"/>
        <w:rPr>
          <w:b/>
          <w:sz w:val="11"/>
        </w:rPr>
      </w:pPr>
    </w:p>
    <w:p>
      <w:pPr>
        <w:spacing w:before="0"/>
        <w:ind w:left="382" w:right="0" w:firstLine="0"/>
        <w:jc w:val="left"/>
        <w:rPr>
          <w:sz w:val="16"/>
        </w:rPr>
      </w:pPr>
      <w:r>
        <w:rPr>
          <w:sz w:val="16"/>
        </w:rPr>
        <w:t>联泰大都会人寿保险有限公司（以下简称“我们”）</w:t>
      </w:r>
    </w:p>
    <w:p>
      <w:pPr>
        <w:pStyle w:val="Heading2"/>
      </w:pPr>
      <w:r>
        <w:rPr/>
        <w:br w:type="column"/>
      </w:r>
      <w:r>
        <w:rPr>
          <w:w w:val="95"/>
        </w:rPr>
        <w:t>请扫描以查询验证条款</w:t>
      </w:r>
    </w:p>
    <w:p>
      <w:pPr>
        <w:spacing w:after="0"/>
        <w:sectPr>
          <w:type w:val="continuous"/>
          <w:pgSz w:w="11910" w:h="16840"/>
          <w:pgMar w:top="980" w:bottom="940" w:left="880" w:right="720"/>
          <w:cols w:num="2" w:equalWidth="0">
            <w:col w:w="4065" w:space="2222"/>
            <w:col w:w="4023"/>
          </w:cols>
        </w:sectPr>
      </w:pPr>
    </w:p>
    <w:p>
      <w:pPr>
        <w:pStyle w:val="BodyText"/>
        <w:spacing w:before="0" w:after="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0" w:firstLine="0"/>
        <w:jc w:val="center"/>
        <w:rPr>
          <w:b/>
          <w:sz w:val="28"/>
        </w:rPr>
      </w:pPr>
      <w:r>
        <w:rPr>
          <w:b/>
          <w:sz w:val="28"/>
        </w:rPr>
        <w:t>阅 读 指 南</w:t>
      </w:r>
    </w:p>
    <w:p>
      <w:pPr>
        <w:pStyle w:val="Heading1"/>
        <w:spacing w:line="463" w:lineRule="auto" w:before="130"/>
        <w:ind w:left="1756" w:right="1770"/>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0" w:firstLine="0"/>
        <w:jc w:val="left"/>
        <w:rPr>
          <w:sz w:val="21"/>
        </w:rPr>
      </w:pPr>
      <w:r>
        <w:rPr>
          <w:spacing w:val="-7"/>
          <w:sz w:val="21"/>
        </w:rPr>
        <w:t>您有权在签收保险合同后 </w:t>
      </w:r>
      <w:r>
        <w:rPr>
          <w:sz w:val="21"/>
        </w:rPr>
        <w:t>10</w:t>
      </w:r>
      <w:r>
        <w:rPr>
          <w:spacing w:val="-7"/>
          <w:sz w:val="21"/>
        </w:rPr>
        <w:t> 日内解除合同，并获取全额退还的保险费........第十三条</w:t>
      </w:r>
      <w:r>
        <w:rPr>
          <w:spacing w:val="-3"/>
          <w:sz w:val="21"/>
        </w:rPr>
        <w:t>您指定的受益人可以享受保险合同项下的保障利益.........................第四条</w:t>
      </w:r>
    </w:p>
    <w:p>
      <w:pPr>
        <w:spacing w:before="154"/>
        <w:ind w:left="1756" w:right="1770" w:firstLine="0"/>
        <w:jc w:val="center"/>
        <w:rPr>
          <w:b/>
          <w:sz w:val="21"/>
        </w:rPr>
      </w:pPr>
      <w:r>
        <w:rPr>
          <w:b/>
          <w:sz w:val="21"/>
        </w:rPr>
        <w:t>您应当特别注意的事项</w:t>
      </w:r>
    </w:p>
    <w:p>
      <w:pPr>
        <w:pStyle w:val="BodyText"/>
        <w:spacing w:before="6"/>
        <w:ind w:left="0"/>
        <w:rPr>
          <w:b/>
          <w:sz w:val="19"/>
        </w:rPr>
      </w:pPr>
    </w:p>
    <w:p>
      <w:pPr>
        <w:spacing w:line="355" w:lineRule="auto" w:before="0"/>
        <w:ind w:left="538" w:right="206" w:firstLine="0"/>
        <w:jc w:val="left"/>
        <w:rPr>
          <w:sz w:val="21"/>
        </w:rPr>
      </w:pPr>
      <w:r>
        <w:rPr>
          <w:sz w:val="21"/>
        </w:rPr>
        <w:t>在特定情况下，我们不承担保险责任，并做了显著标识，请您注意...........第四、五、十三、十四条解除合同会给您造成一定的损失，请您慎重抉择...........................第十三条</w:t>
      </w:r>
    </w:p>
    <w:p>
      <w:pPr>
        <w:spacing w:before="34"/>
        <w:ind w:left="538" w:right="0" w:firstLine="0"/>
        <w:jc w:val="left"/>
        <w:rPr>
          <w:sz w:val="21"/>
        </w:rPr>
      </w:pPr>
      <w:r>
        <w:rPr>
          <w:sz w:val="21"/>
        </w:rPr>
        <w:t>我们对一些重要术语进行了解释，并作了显著标识，请您注意...............第十四、十五条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676"/>
      </w:tblGrid>
      <w:tr>
        <w:trPr>
          <w:trHeight w:val="436"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762" w:type="dxa"/>
            <w:gridSpan w:val="2"/>
          </w:tcPr>
          <w:p>
            <w:pPr>
              <w:pStyle w:val="TableParagraph"/>
              <w:rPr>
                <w:rFonts w:ascii="Times New Roman"/>
                <w:sz w:val="20"/>
              </w:rPr>
            </w:pPr>
          </w:p>
        </w:tc>
      </w:tr>
      <w:tr>
        <w:trPr>
          <w:trHeight w:val="466" w:hRule="atLeast"/>
        </w:trPr>
        <w:tc>
          <w:tcPr>
            <w:tcW w:w="892"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92"/>
              <w:ind w:left="143"/>
              <w:rPr>
                <w:sz w:val="21"/>
              </w:rPr>
            </w:pPr>
            <w:hyperlink w:history="true" w:anchor="_bookmark8">
              <w:r>
                <w:rPr>
                  <w:sz w:val="21"/>
                </w:rPr>
                <w:t>第九条</w:t>
              </w:r>
            </w:hyperlink>
          </w:p>
        </w:tc>
        <w:tc>
          <w:tcPr>
            <w:tcW w:w="2676" w:type="dxa"/>
          </w:tcPr>
          <w:p>
            <w:pPr>
              <w:pStyle w:val="TableParagraph"/>
              <w:spacing w:before="92"/>
              <w:ind w:left="108"/>
              <w:rPr>
                <w:sz w:val="21"/>
              </w:rPr>
            </w:pPr>
            <w:hyperlink w:history="true" w:anchor="_bookmark8">
              <w:r>
                <w:rPr>
                  <w:sz w:val="21"/>
                </w:rPr>
                <w:t>受益人</w:t>
              </w:r>
            </w:hyperlink>
          </w:p>
        </w:tc>
      </w:tr>
      <w:tr>
        <w:trPr>
          <w:trHeight w:val="410" w:hRule="atLeast"/>
        </w:trPr>
        <w:tc>
          <w:tcPr>
            <w:tcW w:w="892"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676" w:type="dxa"/>
          </w:tcPr>
          <w:p>
            <w:pPr>
              <w:pStyle w:val="TableParagraph"/>
              <w:spacing w:before="36"/>
              <w:ind w:left="108"/>
              <w:rPr>
                <w:sz w:val="21"/>
              </w:rPr>
            </w:pPr>
            <w:hyperlink w:history="true" w:anchor="_bookmark9">
              <w:r>
                <w:rPr>
                  <w:sz w:val="21"/>
                </w:rPr>
                <w:t>保险金申请</w:t>
              </w:r>
            </w:hyperlink>
          </w:p>
        </w:tc>
      </w:tr>
      <w:tr>
        <w:trPr>
          <w:trHeight w:val="409"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0">
              <w:r>
                <w:rPr>
                  <w:sz w:val="21"/>
                </w:rPr>
                <w:t>第十一条</w:t>
              </w:r>
            </w:hyperlink>
          </w:p>
        </w:tc>
        <w:tc>
          <w:tcPr>
            <w:tcW w:w="2676" w:type="dxa"/>
          </w:tcPr>
          <w:p>
            <w:pPr>
              <w:pStyle w:val="TableParagraph"/>
              <w:spacing w:before="36"/>
              <w:ind w:left="317"/>
              <w:rPr>
                <w:sz w:val="21"/>
              </w:rPr>
            </w:pPr>
            <w:hyperlink w:history="true" w:anchor="_bookmark10">
              <w:r>
                <w:rPr>
                  <w:sz w:val="21"/>
                </w:rPr>
                <w:t>诉讼时效</w:t>
              </w:r>
            </w:hyperlink>
          </w:p>
        </w:tc>
      </w:tr>
      <w:tr>
        <w:trPr>
          <w:trHeight w:val="409" w:hRule="atLeast"/>
        </w:trPr>
        <w:tc>
          <w:tcPr>
            <w:tcW w:w="892"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9"/>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1">
              <w:r>
                <w:rPr>
                  <w:sz w:val="21"/>
                </w:rPr>
                <w:t>第十二条</w:t>
              </w:r>
            </w:hyperlink>
          </w:p>
        </w:tc>
        <w:tc>
          <w:tcPr>
            <w:tcW w:w="2676" w:type="dxa"/>
          </w:tcPr>
          <w:p>
            <w:pPr>
              <w:pStyle w:val="TableParagraph"/>
              <w:spacing w:before="34"/>
              <w:ind w:left="317"/>
              <w:rPr>
                <w:sz w:val="21"/>
              </w:rPr>
            </w:pPr>
            <w:hyperlink w:history="true" w:anchor="_bookmark11">
              <w:r>
                <w:rPr>
                  <w:sz w:val="21"/>
                </w:rPr>
                <w:t>合同终止</w:t>
              </w:r>
            </w:hyperlink>
          </w:p>
        </w:tc>
      </w:tr>
      <w:tr>
        <w:trPr>
          <w:trHeight w:val="409" w:hRule="atLeast"/>
        </w:trPr>
        <w:tc>
          <w:tcPr>
            <w:tcW w:w="892"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9"/>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2">
              <w:r>
                <w:rPr>
                  <w:sz w:val="21"/>
                </w:rPr>
                <w:t>第十三条</w:t>
              </w:r>
            </w:hyperlink>
          </w:p>
        </w:tc>
        <w:tc>
          <w:tcPr>
            <w:tcW w:w="2676" w:type="dxa"/>
          </w:tcPr>
          <w:p>
            <w:pPr>
              <w:pStyle w:val="TableParagraph"/>
              <w:spacing w:before="36"/>
              <w:ind w:left="317"/>
              <w:rPr>
                <w:sz w:val="21"/>
              </w:rPr>
            </w:pPr>
            <w:hyperlink w:history="true" w:anchor="_bookmark12">
              <w:r>
                <w:rPr>
                  <w:sz w:val="21"/>
                </w:rPr>
                <w:t>您解除合同的手续及风险</w:t>
              </w:r>
            </w:hyperlink>
          </w:p>
        </w:tc>
      </w:tr>
      <w:tr>
        <w:trPr>
          <w:trHeight w:val="409" w:hRule="atLeast"/>
        </w:trPr>
        <w:tc>
          <w:tcPr>
            <w:tcW w:w="892" w:type="dxa"/>
          </w:tcPr>
          <w:p>
            <w:pPr>
              <w:pStyle w:val="TableParagraph"/>
              <w:spacing w:before="34"/>
              <w:ind w:left="50"/>
              <w:rPr>
                <w:sz w:val="21"/>
              </w:rPr>
            </w:pPr>
            <w:hyperlink w:history="true" w:anchor="_bookmark5">
              <w:r>
                <w:rPr>
                  <w:sz w:val="21"/>
                </w:rPr>
                <w:t>第六条</w:t>
              </w:r>
            </w:hyperlink>
          </w:p>
        </w:tc>
        <w:tc>
          <w:tcPr>
            <w:tcW w:w="2761" w:type="dxa"/>
          </w:tcPr>
          <w:p>
            <w:pPr>
              <w:pStyle w:val="TableParagraph"/>
              <w:spacing w:before="34"/>
              <w:ind w:left="209"/>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3">
              <w:r>
                <w:rPr>
                  <w:sz w:val="21"/>
                </w:rPr>
                <w:t>第十四条</w:t>
              </w:r>
            </w:hyperlink>
          </w:p>
        </w:tc>
        <w:tc>
          <w:tcPr>
            <w:tcW w:w="2676" w:type="dxa"/>
          </w:tcPr>
          <w:p>
            <w:pPr>
              <w:pStyle w:val="TableParagraph"/>
              <w:spacing w:before="34"/>
              <w:ind w:left="317"/>
              <w:rPr>
                <w:sz w:val="21"/>
              </w:rPr>
            </w:pPr>
            <w:hyperlink w:history="true" w:anchor="_bookmark13">
              <w:r>
                <w:rPr>
                  <w:sz w:val="21"/>
                </w:rPr>
                <w:t>重大疾病的释义</w:t>
              </w:r>
            </w:hyperlink>
          </w:p>
        </w:tc>
      </w:tr>
      <w:tr>
        <w:trPr>
          <w:trHeight w:val="410" w:hRule="atLeast"/>
        </w:trPr>
        <w:tc>
          <w:tcPr>
            <w:tcW w:w="892" w:type="dxa"/>
          </w:tcPr>
          <w:p>
            <w:pPr>
              <w:pStyle w:val="TableParagraph"/>
              <w:spacing w:before="36"/>
              <w:ind w:left="50"/>
              <w:rPr>
                <w:sz w:val="21"/>
              </w:rPr>
            </w:pPr>
            <w:hyperlink w:history="true" w:anchor="_bookmark6">
              <w:r>
                <w:rPr>
                  <w:sz w:val="21"/>
                </w:rPr>
                <w:t>第七条</w:t>
              </w:r>
            </w:hyperlink>
          </w:p>
        </w:tc>
        <w:tc>
          <w:tcPr>
            <w:tcW w:w="2761" w:type="dxa"/>
          </w:tcPr>
          <w:p>
            <w:pPr>
              <w:pStyle w:val="TableParagraph"/>
              <w:spacing w:before="36"/>
              <w:ind w:left="209"/>
              <w:rPr>
                <w:sz w:val="21"/>
              </w:rPr>
            </w:pPr>
            <w:hyperlink w:history="true" w:anchor="_bookmark6">
              <w:r>
                <w:rPr>
                  <w:sz w:val="21"/>
                </w:rPr>
                <w:t>保险费豁免</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4">
              <w:r>
                <w:rPr>
                  <w:sz w:val="21"/>
                </w:rPr>
                <w:t>第十五条</w:t>
              </w:r>
            </w:hyperlink>
          </w:p>
        </w:tc>
        <w:tc>
          <w:tcPr>
            <w:tcW w:w="2676" w:type="dxa"/>
          </w:tcPr>
          <w:p>
            <w:pPr>
              <w:pStyle w:val="TableParagraph"/>
              <w:spacing w:before="36"/>
              <w:ind w:left="317"/>
              <w:rPr>
                <w:sz w:val="21"/>
              </w:rPr>
            </w:pPr>
            <w:hyperlink w:history="true" w:anchor="_bookmark14">
              <w:r>
                <w:rPr>
                  <w:sz w:val="21"/>
                </w:rPr>
                <w:t>释义</w:t>
              </w:r>
            </w:hyperlink>
          </w:p>
        </w:tc>
      </w:tr>
      <w:tr>
        <w:trPr>
          <w:trHeight w:val="310" w:hRule="atLeast"/>
        </w:trPr>
        <w:tc>
          <w:tcPr>
            <w:tcW w:w="892" w:type="dxa"/>
          </w:tcPr>
          <w:p>
            <w:pPr>
              <w:pStyle w:val="TableParagraph"/>
              <w:spacing w:line="255" w:lineRule="exact" w:before="36"/>
              <w:ind w:left="50"/>
              <w:rPr>
                <w:sz w:val="21"/>
              </w:rPr>
            </w:pPr>
            <w:hyperlink w:history="true" w:anchor="_bookmark7">
              <w:r>
                <w:rPr>
                  <w:sz w:val="21"/>
                </w:rPr>
                <w:t>第八条</w:t>
              </w:r>
            </w:hyperlink>
          </w:p>
        </w:tc>
        <w:tc>
          <w:tcPr>
            <w:tcW w:w="2761" w:type="dxa"/>
          </w:tcPr>
          <w:p>
            <w:pPr>
              <w:pStyle w:val="TableParagraph"/>
              <w:spacing w:line="255" w:lineRule="exact" w:before="36"/>
              <w:ind w:left="209"/>
              <w:rPr>
                <w:sz w:val="21"/>
              </w:rPr>
            </w:pPr>
            <w:hyperlink w:history="true" w:anchor="_bookmark7">
              <w:r>
                <w:rPr>
                  <w:sz w:val="21"/>
                </w:rPr>
                <w:t>保险费率的调整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rPr>
                <w:rFonts w:ascii="Times New Roman"/>
                <w:sz w:val="20"/>
              </w:rPr>
            </w:pPr>
          </w:p>
        </w:tc>
        <w:tc>
          <w:tcPr>
            <w:tcW w:w="2676" w:type="dxa"/>
          </w:tcPr>
          <w:p>
            <w:pPr>
              <w:pStyle w:val="TableParagraph"/>
              <w:rPr>
                <w:rFonts w:ascii="Times New Roman"/>
                <w:sz w:val="20"/>
              </w:rPr>
            </w:pPr>
          </w:p>
        </w:tc>
      </w:tr>
    </w:tbl>
    <w:p>
      <w:pPr>
        <w:spacing w:after="0"/>
        <w:rPr>
          <w:rFonts w:ascii="Times New Roman"/>
          <w:sz w:val="20"/>
        </w:rPr>
        <w:sectPr>
          <w:type w:val="continuous"/>
          <w:pgSz w:w="11910" w:h="16840"/>
          <w:pgMar w:top="9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90" w:val="left" w:leader="none"/>
        </w:tabs>
        <w:spacing w:line="348" w:lineRule="auto" w:before="139" w:after="0"/>
        <w:ind w:left="1189" w:right="154" w:hanging="651"/>
        <w:jc w:val="both"/>
        <w:rPr>
          <w:sz w:val="18"/>
        </w:rPr>
      </w:pPr>
      <w:r>
        <w:rPr>
          <w:sz w:val="18"/>
        </w:rPr>
        <w:t>本《附加成长护航少儿长期重大疾病保险》合同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58"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7" w:after="0"/>
        <w:ind w:left="1244" w:right="103"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4"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15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4"/>
        <w:jc w:val="left"/>
        <w:rPr>
          <w:rFonts w:ascii="Arial" w:eastAsia="Arial"/>
          <w:sz w:val="18"/>
        </w:rPr>
      </w:pPr>
      <w:r>
        <w:rPr>
          <w:sz w:val="18"/>
        </w:rPr>
        <w:t>在本附加合同有效的保险期间内，我们将承担以下保险责任：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spacing w:line="357" w:lineRule="auto"/>
        <w:ind w:left="1530" w:right="147"/>
        <w:jc w:val="both"/>
      </w:pPr>
      <w:r>
        <w:rPr/>
        <w:t>在本附加合同有效期内，若被保险人于等待期（见释义）内因疾病导致被保险人首次发病并经专科医生（见释义）首次确诊患有本附加合同约定的重大疾病（见释义）中一项或多项，我们将无息返还《成长护航少儿两全保险（分红型）》及本附加合同所交保险费的总和，《成长护航少儿两全保险（分红型）》及本附加合</w:t>
      </w:r>
      <w:r>
        <w:rPr>
          <w:w w:val="95"/>
        </w:rPr>
        <w:t>同同时终止。</w:t>
      </w:r>
    </w:p>
    <w:p>
      <w:pPr>
        <w:pStyle w:val="BodyText"/>
        <w:spacing w:line="357" w:lineRule="auto" w:before="28"/>
        <w:ind w:left="1530" w:right="148"/>
        <w:jc w:val="both"/>
      </w:pPr>
      <w:r>
        <w:rPr/>
        <w:t>在本附加合同保险期间内，若被保险人因</w:t>
      </w:r>
      <w:r>
        <w:rPr>
          <w:b/>
        </w:rPr>
        <w:t>意外伤害事故</w:t>
      </w:r>
      <w:r>
        <w:rPr/>
        <w:t>（见释义）或于等待期后因疾病导致被保险人首次发病并经专科医生首次确诊患有本附加合同约定的重大疾病中一项或多项，我们将按本附加合同所载的基本保险金额给付该重大疾病保险金，本附加合同同时终止。</w:t>
      </w:r>
    </w:p>
    <w:p>
      <w:pPr>
        <w:pStyle w:val="ListParagraph"/>
        <w:numPr>
          <w:ilvl w:val="2"/>
          <w:numId w:val="3"/>
        </w:numPr>
        <w:tabs>
          <w:tab w:pos="1552" w:val="left" w:leader="none"/>
        </w:tabs>
        <w:spacing w:line="240" w:lineRule="auto" w:before="28" w:after="0"/>
        <w:ind w:left="1551" w:right="0" w:hanging="480"/>
        <w:jc w:val="left"/>
        <w:rPr>
          <w:sz w:val="18"/>
        </w:rPr>
      </w:pPr>
      <w:r>
        <w:rPr>
          <w:sz w:val="18"/>
        </w:rPr>
        <w:t>白血病保险金</w:t>
      </w:r>
    </w:p>
    <w:p>
      <w:pPr>
        <w:pStyle w:val="BodyText"/>
        <w:spacing w:before="106"/>
        <w:ind w:left="1530"/>
        <w:rPr>
          <w:b/>
        </w:rPr>
      </w:pPr>
      <w:r>
        <w:rPr/>
        <w:t>在本附加合同有效期内，若被保险人于等待期后首次发病并经专科医生首次确诊患有本附加合同约定的</w:t>
      </w:r>
      <w:r>
        <w:rPr>
          <w:b/>
        </w:rPr>
        <w:t>白血病</w:t>
      </w:r>
    </w:p>
    <w:p>
      <w:pPr>
        <w:pStyle w:val="BodyText"/>
        <w:spacing w:line="338" w:lineRule="auto" w:before="117"/>
        <w:ind w:left="1530" w:right="145"/>
        <w:jc w:val="both"/>
      </w:pPr>
      <w:r>
        <w:rPr/>
        <w:t>（见释义），</w:t>
      </w:r>
      <w:r>
        <w:rPr>
          <w:spacing w:val="-20"/>
        </w:rPr>
        <w:t>除 </w:t>
      </w:r>
      <w:r>
        <w:rPr>
          <w:rFonts w:ascii="Arial" w:eastAsia="Arial"/>
        </w:rPr>
        <w:t>4.1.1 </w:t>
      </w:r>
      <w:r>
        <w:rPr>
          <w:spacing w:val="-3"/>
        </w:rPr>
        <w:t>所述重大疾病保险金，我们将按本附加合同所载的基本保险金额的 </w:t>
      </w:r>
      <w:r>
        <w:rPr>
          <w:rFonts w:ascii="Arial" w:eastAsia="Arial"/>
        </w:rPr>
        <w:t>50%</w:t>
      </w:r>
      <w:r>
        <w:rPr/>
        <w:t>额外给付白血病保险金，本附加合同同时终止。</w:t>
      </w:r>
    </w:p>
    <w:p>
      <w:pPr>
        <w:pStyle w:val="ListParagraph"/>
        <w:numPr>
          <w:ilvl w:val="2"/>
          <w:numId w:val="3"/>
        </w:numPr>
        <w:tabs>
          <w:tab w:pos="1552" w:val="left" w:leader="none"/>
        </w:tabs>
        <w:spacing w:line="240" w:lineRule="auto" w:before="46" w:after="0"/>
        <w:ind w:left="1551" w:right="0" w:hanging="480"/>
        <w:jc w:val="left"/>
        <w:rPr>
          <w:sz w:val="18"/>
        </w:rPr>
      </w:pPr>
      <w:r>
        <w:rPr>
          <w:sz w:val="18"/>
        </w:rPr>
        <w:t>身故保险金</w:t>
      </w:r>
    </w:p>
    <w:p>
      <w:pPr>
        <w:pStyle w:val="BodyText"/>
        <w:spacing w:line="360" w:lineRule="auto" w:before="107"/>
        <w:ind w:left="1530" w:right="147"/>
        <w:jc w:val="both"/>
      </w:pPr>
      <w:r>
        <w:rPr/>
        <w:t>若被保险人于本附加合同保险期间内身故，我们将按当时已交本附加合同保险费的总和给付身故保险金，本附加合同终止。</w:t>
      </w:r>
    </w:p>
    <w:p>
      <w:pPr>
        <w:pStyle w:val="Heading3"/>
        <w:numPr>
          <w:ilvl w:val="1"/>
          <w:numId w:val="3"/>
        </w:numPr>
        <w:tabs>
          <w:tab w:pos="1102" w:val="left" w:leader="none"/>
          <w:tab w:pos="1103" w:val="left" w:leader="none"/>
        </w:tabs>
        <w:spacing w:line="240" w:lineRule="auto" w:before="27" w:after="0"/>
        <w:ind w:left="1102" w:right="0" w:hanging="544"/>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4"/>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4"/>
        </w:numPr>
        <w:tabs>
          <w:tab w:pos="1672" w:val="left" w:leader="none"/>
        </w:tabs>
        <w:spacing w:line="240" w:lineRule="auto" w:before="107" w:after="0"/>
        <w:ind w:left="1671" w:right="0" w:hanging="569"/>
        <w:jc w:val="left"/>
        <w:rPr>
          <w:b/>
          <w:sz w:val="18"/>
        </w:rPr>
      </w:pPr>
      <w:r>
        <w:rPr>
          <w:b/>
          <w:w w:val="95"/>
          <w:sz w:val="18"/>
        </w:rPr>
        <w:t>您对被保险人的故意杀害、故意伤害；</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被保险人故意犯罪或者抗拒依法采取的刑事强制措施；</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4"/>
        </w:numPr>
        <w:tabs>
          <w:tab w:pos="1672" w:val="left" w:leader="none"/>
        </w:tabs>
        <w:spacing w:line="340" w:lineRule="auto" w:before="106" w:after="0"/>
        <w:ind w:left="1671" w:right="156" w:hanging="566"/>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4"/>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4"/>
        </w:numPr>
        <w:tabs>
          <w:tab w:pos="1672" w:val="left" w:leader="none"/>
        </w:tabs>
        <w:spacing w:line="240" w:lineRule="auto" w:before="107" w:after="0"/>
        <w:ind w:left="1671" w:right="0" w:hanging="566"/>
        <w:jc w:val="left"/>
        <w:rPr>
          <w:b/>
          <w:sz w:val="18"/>
        </w:rPr>
      </w:pPr>
      <w:r>
        <w:rPr>
          <w:b/>
          <w:w w:val="95"/>
          <w:sz w:val="18"/>
        </w:rPr>
        <w:t>被保险人感染艾滋病病毒或患艾滋病（见释义）（由输血而感染艾滋病病毒（见重大疾病释义）除外）；</w:t>
      </w:r>
    </w:p>
    <w:p>
      <w:pPr>
        <w:spacing w:after="0" w:line="240" w:lineRule="auto"/>
        <w:jc w:val="left"/>
        <w:rPr>
          <w:sz w:val="18"/>
        </w:rPr>
        <w:sectPr>
          <w:headerReference w:type="default" r:id="rId7"/>
          <w:pgSz w:w="11910" w:h="16840"/>
          <w:pgMar w:header="672" w:footer="757" w:top="860" w:bottom="940" w:left="880" w:right="700"/>
        </w:sectPr>
      </w:pPr>
    </w:p>
    <w:p>
      <w:pPr>
        <w:pStyle w:val="BodyText"/>
        <w:spacing w:before="9"/>
        <w:ind w:left="0"/>
        <w:rPr>
          <w:b/>
          <w:sz w:val="13"/>
        </w:rPr>
      </w:pPr>
    </w:p>
    <w:p>
      <w:pPr>
        <w:pStyle w:val="ListParagraph"/>
        <w:numPr>
          <w:ilvl w:val="2"/>
          <w:numId w:val="4"/>
        </w:numPr>
        <w:tabs>
          <w:tab w:pos="1672" w:val="left" w:leader="none"/>
        </w:tabs>
        <w:spacing w:line="240" w:lineRule="auto" w:before="53" w:after="0"/>
        <w:ind w:left="1671" w:right="0" w:hanging="569"/>
        <w:jc w:val="left"/>
        <w:rPr>
          <w:b/>
          <w:sz w:val="18"/>
        </w:rPr>
      </w:pPr>
      <w:r>
        <w:rPr>
          <w:b/>
          <w:w w:val="95"/>
          <w:sz w:val="18"/>
        </w:rPr>
        <w:t>核爆炸、核辐射或核污染；</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遗传性疾病（见释义），先天性畸形、变形或染色体异常（见释义）。</w:t>
      </w:r>
    </w:p>
    <w:p>
      <w:pPr>
        <w:pStyle w:val="ListParagraph"/>
        <w:numPr>
          <w:ilvl w:val="1"/>
          <w:numId w:val="4"/>
        </w:numPr>
        <w:tabs>
          <w:tab w:pos="1047" w:val="left" w:leader="none"/>
          <w:tab w:pos="1048" w:val="left" w:leader="none"/>
        </w:tabs>
        <w:spacing w:line="340" w:lineRule="auto" w:before="104" w:after="0"/>
        <w:ind w:left="1047" w:right="163"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4"/>
        </w:numPr>
        <w:tabs>
          <w:tab w:pos="1047" w:val="left" w:leader="none"/>
          <w:tab w:pos="1048" w:val="left" w:leader="none"/>
        </w:tabs>
        <w:spacing w:line="240" w:lineRule="auto" w:before="43" w:after="0"/>
        <w:ind w:left="1047" w:right="0" w:hanging="504"/>
        <w:jc w:val="left"/>
        <w:rPr>
          <w:rFonts w:ascii="Arial" w:eastAsia="Arial"/>
          <w:sz w:val="18"/>
        </w:rPr>
      </w:pPr>
      <w:r>
        <w:rPr>
          <w:spacing w:val="-8"/>
          <w:sz w:val="18"/>
        </w:rPr>
        <w:t>发生上述除 </w:t>
      </w:r>
      <w:r>
        <w:rPr>
          <w:rFonts w:ascii="Arial" w:eastAsia="Arial"/>
          <w:sz w:val="18"/>
        </w:rPr>
        <w:t>5.1.1</w:t>
      </w:r>
      <w:r>
        <w:rPr>
          <w:rFonts w:ascii="Arial" w:eastAsia="Arial"/>
          <w:spacing w:val="-11"/>
          <w:sz w:val="18"/>
        </w:rPr>
        <w:t> </w:t>
      </w:r>
      <w:r>
        <w:rPr>
          <w:spacing w:val="-1"/>
          <w:sz w:val="18"/>
        </w:rPr>
        <w:t>外其他情形导致被保险人发生保险事故，本附加合同终止，我们向您退还本附加合同的现金价值。</w:t>
      </w:r>
    </w:p>
    <w:p>
      <w:pPr>
        <w:pStyle w:val="Heading1"/>
      </w:pPr>
      <w:bookmarkStart w:name="_bookmark5" w:id="6"/>
      <w:bookmarkEnd w:id="6"/>
      <w:r>
        <w:rPr>
          <w:b w:val="0"/>
        </w:rPr>
      </w:r>
      <w:r>
        <w:rPr/>
        <w:t>第六条 保险期间</w:t>
      </w:r>
    </w:p>
    <w:p>
      <w:pPr>
        <w:pStyle w:val="BodyText"/>
        <w:tabs>
          <w:tab w:pos="1105" w:val="left" w:leader="none"/>
        </w:tabs>
        <w:spacing w:before="139"/>
        <w:ind w:left="538"/>
      </w:pPr>
      <w:r>
        <w:rPr>
          <w:rFonts w:ascii="Arial" w:eastAsia="Arial"/>
        </w:rPr>
        <w:t>6.1</w:t>
        <w:tab/>
      </w:r>
      <w:r>
        <w:rPr>
          <w:spacing w:val="-1"/>
        </w:rPr>
        <w:t>本附加合同的保险期间由您在投保时与我们约定，并在保险单上载明。</w:t>
      </w:r>
    </w:p>
    <w:p>
      <w:pPr>
        <w:pStyle w:val="Heading1"/>
      </w:pPr>
      <w:bookmarkStart w:name="_bookmark6" w:id="7"/>
      <w:bookmarkEnd w:id="7"/>
      <w:r>
        <w:rPr>
          <w:b w:val="0"/>
        </w:rPr>
      </w:r>
      <w:r>
        <w:rPr/>
        <w:t>第七条 保险费豁免</w:t>
      </w:r>
    </w:p>
    <w:p>
      <w:pPr>
        <w:pStyle w:val="ListParagraph"/>
        <w:numPr>
          <w:ilvl w:val="1"/>
          <w:numId w:val="5"/>
        </w:numPr>
        <w:tabs>
          <w:tab w:pos="1048" w:val="left" w:leader="none"/>
        </w:tabs>
        <w:spacing w:line="340" w:lineRule="auto" w:before="139" w:after="0"/>
        <w:ind w:left="1047" w:right="105" w:hanging="504"/>
        <w:jc w:val="both"/>
        <w:rPr>
          <w:sz w:val="18"/>
        </w:rPr>
      </w:pPr>
      <w:r>
        <w:rPr>
          <w:sz w:val="18"/>
        </w:rPr>
        <w:t>若您选择分期支付保险费，并且您于本附加合同交费期间内身故，或者您于本附加合同交费期间内</w:t>
      </w:r>
      <w:r>
        <w:rPr>
          <w:b/>
          <w:sz w:val="18"/>
        </w:rPr>
        <w:t>全残</w:t>
      </w:r>
      <w:r>
        <w:rPr>
          <w:sz w:val="18"/>
        </w:rPr>
        <w:t>（见释义）且经过</w:t>
      </w:r>
      <w:r>
        <w:rPr>
          <w:b/>
          <w:sz w:val="18"/>
        </w:rPr>
        <w:t>有资质的伤残鉴定机构</w:t>
      </w:r>
      <w:r>
        <w:rPr>
          <w:spacing w:val="-3"/>
          <w:sz w:val="18"/>
        </w:rPr>
        <w:t>（</w:t>
      </w:r>
      <w:r>
        <w:rPr>
          <w:sz w:val="18"/>
        </w:rPr>
        <w:t>见释义）</w:t>
      </w:r>
      <w:r>
        <w:rPr>
          <w:spacing w:val="-4"/>
          <w:sz w:val="18"/>
        </w:rPr>
        <w:t>确认，除本附加合同 </w:t>
      </w:r>
      <w:r>
        <w:rPr>
          <w:rFonts w:ascii="Arial" w:eastAsia="Arial"/>
          <w:sz w:val="18"/>
        </w:rPr>
        <w:t>7.2</w:t>
      </w:r>
      <w:r>
        <w:rPr>
          <w:rFonts w:ascii="Arial" w:eastAsia="Arial"/>
          <w:spacing w:val="0"/>
          <w:sz w:val="18"/>
        </w:rPr>
        <w:t> </w:t>
      </w:r>
      <w:r>
        <w:rPr>
          <w:spacing w:val="-1"/>
          <w:sz w:val="18"/>
        </w:rPr>
        <w:t>中所述情形外，我们将根据本附加合同的约定豁免自您身故或全残后的下一缴费日开始的本附加合同的保险费，本附加合同继续有效。</w:t>
      </w:r>
    </w:p>
    <w:p>
      <w:pPr>
        <w:pStyle w:val="ListParagraph"/>
        <w:numPr>
          <w:ilvl w:val="1"/>
          <w:numId w:val="5"/>
        </w:numPr>
        <w:tabs>
          <w:tab w:pos="1047" w:val="left" w:leader="none"/>
          <w:tab w:pos="1048" w:val="left" w:leader="none"/>
        </w:tabs>
        <w:spacing w:line="240" w:lineRule="auto" w:before="41" w:after="0"/>
        <w:ind w:left="1047" w:right="0" w:hanging="504"/>
        <w:jc w:val="left"/>
        <w:rPr>
          <w:sz w:val="18"/>
        </w:rPr>
      </w:pPr>
      <w:r>
        <w:rPr>
          <w:spacing w:val="-1"/>
          <w:sz w:val="18"/>
        </w:rPr>
        <w:t>因下列情形之一，导致投保人身故或全残的，我们不豁免本附加合同的保险费：</w:t>
      </w:r>
    </w:p>
    <w:p>
      <w:pPr>
        <w:pStyle w:val="ListParagraph"/>
        <w:numPr>
          <w:ilvl w:val="2"/>
          <w:numId w:val="5"/>
        </w:numPr>
        <w:tabs>
          <w:tab w:pos="1671" w:val="left" w:leader="none"/>
          <w:tab w:pos="1672" w:val="left" w:leader="none"/>
        </w:tabs>
        <w:spacing w:line="240" w:lineRule="auto" w:before="107" w:after="0"/>
        <w:ind w:left="1671" w:right="0" w:hanging="566"/>
        <w:jc w:val="left"/>
        <w:rPr>
          <w:sz w:val="18"/>
        </w:rPr>
      </w:pPr>
      <w:r>
        <w:rPr>
          <w:w w:val="95"/>
          <w:sz w:val="18"/>
        </w:rPr>
        <w:t>投保人自残或自伤；</w:t>
      </w:r>
    </w:p>
    <w:p>
      <w:pPr>
        <w:pStyle w:val="ListParagraph"/>
        <w:numPr>
          <w:ilvl w:val="2"/>
          <w:numId w:val="5"/>
        </w:numPr>
        <w:tabs>
          <w:tab w:pos="1671" w:val="left" w:leader="none"/>
          <w:tab w:pos="1672" w:val="left" w:leader="none"/>
        </w:tabs>
        <w:spacing w:line="240" w:lineRule="auto" w:before="106" w:after="0"/>
        <w:ind w:left="1671" w:right="0" w:hanging="566"/>
        <w:jc w:val="left"/>
        <w:rPr>
          <w:sz w:val="18"/>
        </w:rPr>
      </w:pPr>
      <w:r>
        <w:rPr>
          <w:w w:val="95"/>
          <w:sz w:val="18"/>
        </w:rPr>
        <w:t>投保人故意犯罪或者抗拒依法采取的刑事强制措施；</w:t>
      </w:r>
    </w:p>
    <w:p>
      <w:pPr>
        <w:pStyle w:val="ListParagraph"/>
        <w:numPr>
          <w:ilvl w:val="2"/>
          <w:numId w:val="5"/>
        </w:numPr>
        <w:tabs>
          <w:tab w:pos="1671" w:val="left" w:leader="none"/>
          <w:tab w:pos="1672" w:val="left" w:leader="none"/>
        </w:tabs>
        <w:spacing w:line="240" w:lineRule="auto" w:before="106" w:after="0"/>
        <w:ind w:left="1671" w:right="0" w:hanging="566"/>
        <w:jc w:val="left"/>
        <w:rPr>
          <w:sz w:val="18"/>
        </w:rPr>
      </w:pPr>
      <w:r>
        <w:rPr>
          <w:w w:val="95"/>
          <w:sz w:val="18"/>
        </w:rPr>
        <w:t>投保人主动吸食或注射毒品；</w:t>
      </w:r>
    </w:p>
    <w:p>
      <w:pPr>
        <w:pStyle w:val="ListParagraph"/>
        <w:numPr>
          <w:ilvl w:val="2"/>
          <w:numId w:val="5"/>
        </w:numPr>
        <w:tabs>
          <w:tab w:pos="1671" w:val="left" w:leader="none"/>
          <w:tab w:pos="1672" w:val="left" w:leader="none"/>
        </w:tabs>
        <w:spacing w:line="240" w:lineRule="auto" w:before="106" w:after="0"/>
        <w:ind w:left="1671" w:right="0" w:hanging="566"/>
        <w:jc w:val="left"/>
        <w:rPr>
          <w:sz w:val="18"/>
        </w:rPr>
      </w:pPr>
      <w:r>
        <w:rPr>
          <w:spacing w:val="-3"/>
          <w:sz w:val="18"/>
        </w:rPr>
        <w:t>投保人自本合同成立或者合同效力恢复之日起 </w:t>
      </w:r>
      <w:r>
        <w:rPr>
          <w:rFonts w:ascii="Arial" w:eastAsia="Arial"/>
          <w:sz w:val="18"/>
        </w:rPr>
        <w:t>2</w:t>
      </w:r>
      <w:r>
        <w:rPr>
          <w:rFonts w:ascii="Arial" w:eastAsia="Arial"/>
          <w:spacing w:val="-10"/>
          <w:sz w:val="18"/>
        </w:rPr>
        <w:t> </w:t>
      </w:r>
      <w:r>
        <w:rPr>
          <w:spacing w:val="-1"/>
          <w:sz w:val="18"/>
        </w:rPr>
        <w:t>年内自杀，但被保险人自杀时为无民事行为能力人的除外；</w:t>
      </w:r>
    </w:p>
    <w:p>
      <w:pPr>
        <w:pStyle w:val="ListParagraph"/>
        <w:numPr>
          <w:ilvl w:val="2"/>
          <w:numId w:val="5"/>
        </w:numPr>
        <w:tabs>
          <w:tab w:pos="1671" w:val="left" w:leader="none"/>
          <w:tab w:pos="1672" w:val="left" w:leader="none"/>
        </w:tabs>
        <w:spacing w:line="240" w:lineRule="auto" w:before="106" w:after="0"/>
        <w:ind w:left="1671" w:right="0" w:hanging="566"/>
        <w:jc w:val="left"/>
        <w:rPr>
          <w:sz w:val="18"/>
        </w:rPr>
      </w:pPr>
      <w:r>
        <w:rPr>
          <w:w w:val="95"/>
          <w:sz w:val="18"/>
        </w:rPr>
        <w:t>投保人酒后驾驶，无合法有效驾驶证驾驶，或驾驶无有效行驶证的机动车；</w:t>
      </w:r>
    </w:p>
    <w:p>
      <w:pPr>
        <w:pStyle w:val="ListParagraph"/>
        <w:numPr>
          <w:ilvl w:val="2"/>
          <w:numId w:val="5"/>
        </w:numPr>
        <w:tabs>
          <w:tab w:pos="1671" w:val="left" w:leader="none"/>
          <w:tab w:pos="1672" w:val="left" w:leader="none"/>
        </w:tabs>
        <w:spacing w:line="240" w:lineRule="auto" w:before="106" w:after="0"/>
        <w:ind w:left="1671" w:right="0" w:hanging="566"/>
        <w:jc w:val="left"/>
        <w:rPr>
          <w:sz w:val="18"/>
        </w:rPr>
      </w:pPr>
      <w:r>
        <w:rPr>
          <w:w w:val="95"/>
          <w:sz w:val="18"/>
        </w:rPr>
        <w:t>战争、军事冲突、暴乱或武装叛乱；</w:t>
      </w:r>
    </w:p>
    <w:p>
      <w:pPr>
        <w:pStyle w:val="ListParagraph"/>
        <w:numPr>
          <w:ilvl w:val="2"/>
          <w:numId w:val="5"/>
        </w:numPr>
        <w:tabs>
          <w:tab w:pos="1671" w:val="left" w:leader="none"/>
          <w:tab w:pos="1672" w:val="left" w:leader="none"/>
        </w:tabs>
        <w:spacing w:line="240" w:lineRule="auto" w:before="106" w:after="0"/>
        <w:ind w:left="1671" w:right="0" w:hanging="566"/>
        <w:jc w:val="left"/>
        <w:rPr>
          <w:sz w:val="18"/>
        </w:rPr>
      </w:pPr>
      <w:r>
        <w:rPr>
          <w:w w:val="95"/>
          <w:sz w:val="18"/>
        </w:rPr>
        <w:t>核爆炸、核辐射或核污染。</w:t>
      </w:r>
    </w:p>
    <w:p>
      <w:pPr>
        <w:pStyle w:val="Heading1"/>
      </w:pPr>
      <w:bookmarkStart w:name="_bookmark7" w:id="8"/>
      <w:bookmarkEnd w:id="8"/>
      <w:r>
        <w:rPr>
          <w:b w:val="0"/>
        </w:rPr>
      </w:r>
      <w:r>
        <w:rPr/>
        <w:t>第八条 保险费率的调整</w:t>
      </w:r>
    </w:p>
    <w:p>
      <w:pPr>
        <w:pStyle w:val="ListParagraph"/>
        <w:numPr>
          <w:ilvl w:val="1"/>
          <w:numId w:val="6"/>
        </w:numPr>
        <w:tabs>
          <w:tab w:pos="1102" w:val="left" w:leader="none"/>
          <w:tab w:pos="1103" w:val="left" w:leader="none"/>
        </w:tabs>
        <w:spacing w:line="340" w:lineRule="auto" w:before="139" w:after="0"/>
        <w:ind w:left="1105" w:right="168" w:hanging="567"/>
        <w:jc w:val="left"/>
        <w:rPr>
          <w:sz w:val="18"/>
        </w:rPr>
      </w:pPr>
      <w:r>
        <w:rPr>
          <w:sz w:val="18"/>
        </w:rPr>
        <w:t>在本附加合同的保险期间内且在不违反保险监管部门有关规定的前提下，我们保留提高或降低本附加合同保险费率及相应保险费的权利，该保险费率及相应保险费的调整适用于此类保险产品项下的所有被保险人。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1" w:after="0"/>
        <w:ind w:left="1105" w:right="0" w:hanging="567"/>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7" w:after="0"/>
        <w:ind w:left="1105" w:right="0" w:hanging="567"/>
        <w:jc w:val="left"/>
        <w:rPr>
          <w:sz w:val="18"/>
        </w:rPr>
      </w:pPr>
      <w:r>
        <w:rPr>
          <w:sz w:val="18"/>
        </w:rPr>
        <w:t>若本附加合同保险费率发生调整，我们将及时通知您。</w:t>
      </w:r>
    </w:p>
    <w:p>
      <w:pPr>
        <w:pStyle w:val="Heading1"/>
      </w:pPr>
      <w:bookmarkStart w:name="_bookmark8" w:id="9"/>
      <w:bookmarkEnd w:id="9"/>
      <w:r>
        <w:rPr>
          <w:b w:val="0"/>
        </w:rPr>
      </w:r>
      <w:r>
        <w:rPr/>
        <w:t>第九条 受益人</w:t>
      </w:r>
    </w:p>
    <w:p>
      <w:pPr>
        <w:pStyle w:val="ListParagraph"/>
        <w:numPr>
          <w:ilvl w:val="1"/>
          <w:numId w:val="7"/>
        </w:numPr>
        <w:tabs>
          <w:tab w:pos="1244" w:val="left" w:leader="none"/>
          <w:tab w:pos="1245" w:val="left" w:leader="none"/>
        </w:tabs>
        <w:spacing w:line="340" w:lineRule="auto" w:before="139" w:after="0"/>
        <w:ind w:left="1244" w:right="163" w:hanging="682"/>
        <w:jc w:val="left"/>
        <w:rPr>
          <w:sz w:val="18"/>
        </w:rPr>
      </w:pPr>
      <w:r>
        <w:rPr>
          <w:sz w:val="18"/>
        </w:rPr>
        <w:t>除本附加合同另有约定外，身故保险金的受益人与主合同身故保险金的受益人相同；重大疾病保险金受益人、白血病保险金受益人为被保险人本人。</w:t>
      </w:r>
    </w:p>
    <w:p>
      <w:pPr>
        <w:pStyle w:val="ListParagraph"/>
        <w:numPr>
          <w:ilvl w:val="1"/>
          <w:numId w:val="7"/>
        </w:numPr>
        <w:tabs>
          <w:tab w:pos="1244" w:val="left" w:leader="none"/>
          <w:tab w:pos="1245" w:val="left" w:leader="none"/>
        </w:tabs>
        <w:spacing w:line="240" w:lineRule="auto" w:before="44"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244" w:val="left" w:leader="none"/>
          <w:tab w:pos="1245" w:val="left" w:leader="none"/>
        </w:tabs>
        <w:spacing w:line="240" w:lineRule="auto" w:before="104"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7"/>
        </w:numPr>
        <w:tabs>
          <w:tab w:pos="1244" w:val="left" w:leader="none"/>
          <w:tab w:pos="1245" w:val="left" w:leader="none"/>
        </w:tabs>
        <w:spacing w:line="340" w:lineRule="auto" w:before="106" w:after="0"/>
        <w:ind w:left="1244" w:right="164"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244" w:val="left" w:leader="none"/>
          <w:tab w:pos="1245" w:val="left" w:leader="none"/>
        </w:tabs>
        <w:spacing w:line="240" w:lineRule="auto" w:before="43" w:after="0"/>
        <w:ind w:left="1244" w:right="0" w:hanging="682"/>
        <w:jc w:val="left"/>
        <w:rPr>
          <w:sz w:val="18"/>
        </w:rPr>
      </w:pPr>
      <w:r>
        <w:rPr>
          <w:sz w:val="18"/>
        </w:rPr>
        <w:t>您在指定和变更受益人时，必须经过被保险人同意。</w:t>
      </w:r>
    </w:p>
    <w:p>
      <w:pPr>
        <w:pStyle w:val="ListParagraph"/>
        <w:numPr>
          <w:ilvl w:val="1"/>
          <w:numId w:val="7"/>
        </w:numPr>
        <w:tabs>
          <w:tab w:pos="1244" w:val="left" w:leader="none"/>
          <w:tab w:pos="1245" w:val="left" w:leader="none"/>
        </w:tabs>
        <w:spacing w:line="340" w:lineRule="auto" w:before="104" w:after="0"/>
        <w:ind w:left="1244" w:right="164"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7"/>
        </w:numPr>
        <w:tabs>
          <w:tab w:pos="1813" w:val="left" w:leader="none"/>
          <w:tab w:pos="1814" w:val="left" w:leader="none"/>
        </w:tabs>
        <w:spacing w:line="240" w:lineRule="auto" w:before="44" w:after="0"/>
        <w:ind w:left="1813" w:right="0" w:hanging="569"/>
        <w:jc w:val="left"/>
        <w:rPr>
          <w:sz w:val="18"/>
        </w:rPr>
      </w:pPr>
      <w:r>
        <w:rPr>
          <w:w w:val="95"/>
          <w:sz w:val="18"/>
        </w:rPr>
        <w:t>没有指定受益人，或者受益人指定不明无法确定的；</w:t>
      </w:r>
    </w:p>
    <w:p>
      <w:pPr>
        <w:pStyle w:val="ListParagraph"/>
        <w:numPr>
          <w:ilvl w:val="2"/>
          <w:numId w:val="7"/>
        </w:numPr>
        <w:tabs>
          <w:tab w:pos="1813" w:val="left" w:leader="none"/>
          <w:tab w:pos="1814" w:val="left" w:leader="none"/>
        </w:tabs>
        <w:spacing w:line="240" w:lineRule="auto" w:before="106" w:after="0"/>
        <w:ind w:left="1813" w:right="0" w:hanging="569"/>
        <w:jc w:val="left"/>
        <w:rPr>
          <w:sz w:val="18"/>
        </w:rPr>
      </w:pPr>
      <w:r>
        <w:rPr>
          <w:w w:val="95"/>
          <w:sz w:val="18"/>
        </w:rPr>
        <w:t>受益人先于被保险人身故，没有其他受益人的；</w:t>
      </w:r>
    </w:p>
    <w:p>
      <w:pPr>
        <w:pStyle w:val="ListParagraph"/>
        <w:numPr>
          <w:ilvl w:val="2"/>
          <w:numId w:val="7"/>
        </w:numPr>
        <w:tabs>
          <w:tab w:pos="1813" w:val="left" w:leader="none"/>
          <w:tab w:pos="1814" w:val="left" w:leader="none"/>
        </w:tabs>
        <w:spacing w:line="240" w:lineRule="auto" w:before="103" w:after="0"/>
        <w:ind w:left="1813" w:right="0" w:hanging="569"/>
        <w:jc w:val="left"/>
        <w:rPr>
          <w:sz w:val="18"/>
        </w:rPr>
      </w:pPr>
      <w:r>
        <w:rPr>
          <w:w w:val="95"/>
          <w:sz w:val="18"/>
        </w:rPr>
        <w:t>受益人依法丧失受益权或者放弃受益权，没有其他受益人的。</w:t>
      </w:r>
    </w:p>
    <w:p>
      <w:pPr>
        <w:pStyle w:val="ListParagraph"/>
        <w:numPr>
          <w:ilvl w:val="1"/>
          <w:numId w:val="7"/>
        </w:numPr>
        <w:tabs>
          <w:tab w:pos="1244"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7"/>
        </w:numPr>
        <w:tabs>
          <w:tab w:pos="1244" w:val="left" w:leader="none"/>
          <w:tab w:pos="1245"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spacing w:before="104"/>
      </w:pPr>
      <w:bookmarkStart w:name="_bookmark9" w:id="10"/>
      <w:bookmarkEnd w:id="10"/>
      <w:r>
        <w:rPr>
          <w:b w:val="0"/>
        </w:rPr>
      </w:r>
      <w:r>
        <w:rPr/>
        <w:t>第十条 保险金申请</w:t>
      </w:r>
    </w:p>
    <w:p>
      <w:pPr>
        <w:spacing w:after="0"/>
        <w:sectPr>
          <w:pgSz w:w="11910" w:h="16840"/>
          <w:pgMar w:header="672" w:footer="757" w:top="860" w:bottom="940" w:left="880" w:right="680"/>
        </w:sectPr>
      </w:pPr>
    </w:p>
    <w:p>
      <w:pPr>
        <w:pStyle w:val="BodyText"/>
        <w:spacing w:before="9"/>
        <w:ind w:left="0"/>
        <w:rPr>
          <w:b/>
          <w:sz w:val="13"/>
        </w:rPr>
      </w:pPr>
    </w:p>
    <w:p>
      <w:pPr>
        <w:pStyle w:val="ListParagraph"/>
        <w:numPr>
          <w:ilvl w:val="1"/>
          <w:numId w:val="8"/>
        </w:numPr>
        <w:tabs>
          <w:tab w:pos="1105" w:val="left" w:leader="none"/>
          <w:tab w:pos="1106" w:val="left" w:leader="none"/>
        </w:tabs>
        <w:spacing w:line="340" w:lineRule="auto" w:before="53" w:after="0"/>
        <w:ind w:left="1105" w:right="106" w:hanging="567"/>
        <w:jc w:val="left"/>
        <w:rPr>
          <w:sz w:val="18"/>
        </w:rPr>
      </w:pPr>
      <w:r>
        <w:rPr>
          <w:sz w:val="18"/>
        </w:rPr>
        <w:t>重大疾病保险金的申请人为重大疾病保险金受益人，白血病保险金的申请人为白血病保险金受益人，在申请重大疾</w:t>
      </w:r>
      <w:r>
        <w:rPr>
          <w:spacing w:val="-1"/>
          <w:sz w:val="18"/>
        </w:rPr>
        <w:t>病保险金和白血病保险金时，申请人须填写保险金给付申请书，并提供下列证明和资料：</w:t>
      </w:r>
    </w:p>
    <w:p>
      <w:pPr>
        <w:pStyle w:val="ListParagraph"/>
        <w:numPr>
          <w:ilvl w:val="2"/>
          <w:numId w:val="8"/>
        </w:numPr>
        <w:tabs>
          <w:tab w:pos="1642" w:val="left" w:leader="none"/>
          <w:tab w:pos="1643" w:val="left" w:leader="none"/>
        </w:tabs>
        <w:spacing w:line="240" w:lineRule="auto" w:before="41" w:after="0"/>
        <w:ind w:left="1642" w:right="0" w:hanging="537"/>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42" w:right="0" w:hanging="537"/>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专科医生出具的被保险人病理组织学检查、血液检查、及其他科学方法检验报告的疾病诊断证明书；</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4" w:after="0"/>
        <w:ind w:left="1642" w:right="0" w:hanging="537"/>
        <w:jc w:val="left"/>
        <w:rPr>
          <w:sz w:val="18"/>
        </w:rPr>
      </w:pPr>
      <w:r>
        <w:rPr>
          <w:w w:val="95"/>
          <w:sz w:val="18"/>
        </w:rPr>
        <w:t>申请人与被保险人的相关关系证明（如有需要）。</w:t>
      </w:r>
    </w:p>
    <w:p>
      <w:pPr>
        <w:pStyle w:val="ListParagraph"/>
        <w:numPr>
          <w:ilvl w:val="1"/>
          <w:numId w:val="8"/>
        </w:numPr>
        <w:tabs>
          <w:tab w:pos="1105" w:val="left" w:leader="none"/>
          <w:tab w:pos="1106" w:val="left" w:leader="none"/>
        </w:tabs>
        <w:spacing w:line="340" w:lineRule="auto" w:before="107" w:after="0"/>
        <w:ind w:left="1105" w:right="107" w:hanging="567"/>
        <w:jc w:val="left"/>
        <w:rPr>
          <w:sz w:val="18"/>
        </w:rPr>
      </w:pPr>
      <w:r>
        <w:rPr>
          <w:sz w:val="18"/>
        </w:rPr>
        <w:t>身故保险金的申请人为身故保险金受益人，在申请身故保险金时，申请人须填写保险金给付申请书，并提供下列证明和资料：</w:t>
      </w:r>
    </w:p>
    <w:p>
      <w:pPr>
        <w:pStyle w:val="ListParagraph"/>
        <w:numPr>
          <w:ilvl w:val="2"/>
          <w:numId w:val="8"/>
        </w:numPr>
        <w:tabs>
          <w:tab w:pos="1671" w:val="left" w:leader="none"/>
          <w:tab w:pos="1672" w:val="left" w:leader="none"/>
        </w:tabs>
        <w:spacing w:line="240" w:lineRule="auto" w:before="44" w:after="0"/>
        <w:ind w:left="1671" w:right="0" w:hanging="566"/>
        <w:jc w:val="left"/>
        <w:rPr>
          <w:sz w:val="18"/>
        </w:rPr>
      </w:pPr>
      <w:r>
        <w:rPr>
          <w:w w:val="95"/>
          <w:sz w:val="18"/>
        </w:rPr>
        <w:t>保险合同；</w:t>
      </w:r>
    </w:p>
    <w:p>
      <w:pPr>
        <w:pStyle w:val="ListParagraph"/>
        <w:numPr>
          <w:ilvl w:val="2"/>
          <w:numId w:val="8"/>
        </w:numPr>
        <w:tabs>
          <w:tab w:pos="1671" w:val="left" w:leader="none"/>
          <w:tab w:pos="1672" w:val="left" w:leader="none"/>
        </w:tabs>
        <w:spacing w:line="240" w:lineRule="auto" w:before="104" w:after="0"/>
        <w:ind w:left="1671" w:right="0" w:hanging="566"/>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国家卫生行政部门认定的医疗机构、公安部门或其他相关机构出具的被保险人的死亡证明；</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所能提供的与确认保险事故的性质、原因等有关的其他证明和资料；</w:t>
      </w:r>
    </w:p>
    <w:p>
      <w:pPr>
        <w:pStyle w:val="ListParagraph"/>
        <w:numPr>
          <w:ilvl w:val="2"/>
          <w:numId w:val="8"/>
        </w:numPr>
        <w:tabs>
          <w:tab w:pos="1671" w:val="left" w:leader="none"/>
          <w:tab w:pos="1672" w:val="left" w:leader="none"/>
        </w:tabs>
        <w:spacing w:line="240" w:lineRule="auto" w:before="107" w:after="0"/>
        <w:ind w:left="1671" w:right="0" w:hanging="566"/>
        <w:jc w:val="left"/>
        <w:rPr>
          <w:sz w:val="18"/>
        </w:rPr>
      </w:pPr>
      <w:r>
        <w:rPr>
          <w:w w:val="95"/>
          <w:sz w:val="18"/>
        </w:rPr>
        <w:t>申请人与被保险人的相关关系证明（如有需要）。</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保险金作为被保险人遗产时，必须提供可证明合法继承权的相关权利文件。</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pacing w:val="-1"/>
          <w:sz w:val="18"/>
        </w:rPr>
        <w:t>以上证明和资料不完整的，我们将及时一次性通知申请人补充提供有关的证明和资料。</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pacing w:val="-1"/>
          <w:sz w:val="18"/>
        </w:rPr>
        <w:t>除上述相关证明和资料外，我们如认为必要，可以对被保险人的身体进行检查，相关检查费用由我们承担。</w:t>
      </w:r>
    </w:p>
    <w:p>
      <w:pPr>
        <w:pStyle w:val="Heading1"/>
      </w:pPr>
      <w:bookmarkStart w:name="_bookmark10" w:id="11"/>
      <w:bookmarkEnd w:id="11"/>
      <w:r>
        <w:rPr>
          <w:b w:val="0"/>
        </w:rPr>
      </w:r>
      <w:r>
        <w:rPr/>
        <w:t>第十一条 诉讼时效</w:t>
      </w:r>
    </w:p>
    <w:p>
      <w:pPr>
        <w:pStyle w:val="BodyText"/>
        <w:tabs>
          <w:tab w:pos="1105" w:val="left" w:leader="none"/>
        </w:tabs>
        <w:spacing w:before="139"/>
        <w:ind w:left="538"/>
      </w:pPr>
      <w:r>
        <w:rPr>
          <w:rFonts w:ascii="Arial" w:eastAsia="Arial"/>
        </w:rPr>
        <w:t>11.1</w:t>
        <w:tab/>
      </w:r>
      <w:r>
        <w:rPr>
          <w:spacing w:val="-2"/>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1" w:id="12"/>
      <w:bookmarkEnd w:id="12"/>
      <w:r>
        <w:rPr>
          <w:b w:val="0"/>
        </w:rPr>
      </w:r>
      <w:r>
        <w:rPr/>
        <w:t>第十</w:t>
      </w:r>
      <w:r>
        <w:rPr>
          <w:spacing w:val="-3"/>
        </w:rPr>
        <w:t>二</w:t>
      </w:r>
      <w:r>
        <w:rPr/>
        <w:t>条</w:t>
        <w:tab/>
        <w:t>合同</w:t>
      </w:r>
      <w:r>
        <w:rPr>
          <w:spacing w:val="-3"/>
        </w:rPr>
        <w:t>终止</w:t>
      </w:r>
    </w:p>
    <w:p>
      <w:pPr>
        <w:pStyle w:val="ListParagraph"/>
        <w:numPr>
          <w:ilvl w:val="1"/>
          <w:numId w:val="9"/>
        </w:numPr>
        <w:tabs>
          <w:tab w:pos="1105" w:val="left" w:leader="none"/>
          <w:tab w:pos="1106" w:val="left" w:leader="none"/>
        </w:tabs>
        <w:spacing w:line="240" w:lineRule="auto" w:before="139" w:after="0"/>
        <w:ind w:left="1105" w:right="0" w:hanging="567"/>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spacing w:before="104"/>
      </w:pPr>
      <w:bookmarkStart w:name="_bookmark12" w:id="13"/>
      <w:bookmarkEnd w:id="13"/>
      <w:r>
        <w:rPr>
          <w:b w:val="0"/>
        </w:rPr>
      </w:r>
      <w:r>
        <w:rPr/>
        <w:t>第十</w:t>
      </w:r>
      <w:r>
        <w:rPr>
          <w:spacing w:val="-3"/>
        </w:rPr>
        <w:t>三</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5" w:val="left" w:leader="none"/>
          <w:tab w:pos="1106" w:val="left" w:leader="none"/>
        </w:tabs>
        <w:spacing w:line="240" w:lineRule="auto" w:before="139" w:after="0"/>
        <w:ind w:left="1105" w:right="0" w:hanging="567"/>
        <w:jc w:val="left"/>
        <w:rPr>
          <w:sz w:val="18"/>
        </w:rPr>
      </w:pPr>
      <w:r>
        <w:rPr>
          <w:spacing w:val="-1"/>
          <w:sz w:val="18"/>
        </w:rPr>
        <w:t>如您申请解除本附加合同，请填写解除合同申请书并向我们提供下列资料：</w:t>
      </w:r>
    </w:p>
    <w:p>
      <w:pPr>
        <w:pStyle w:val="ListParagraph"/>
        <w:numPr>
          <w:ilvl w:val="2"/>
          <w:numId w:val="10"/>
        </w:numPr>
        <w:tabs>
          <w:tab w:pos="1671" w:val="left" w:leader="none"/>
          <w:tab w:pos="1672" w:val="left" w:leader="none"/>
        </w:tabs>
        <w:spacing w:line="240" w:lineRule="auto" w:before="107" w:after="0"/>
        <w:ind w:left="1671" w:right="0" w:hanging="566"/>
        <w:jc w:val="left"/>
        <w:rPr>
          <w:sz w:val="18"/>
        </w:rPr>
      </w:pPr>
      <w:r>
        <w:rPr>
          <w:w w:val="95"/>
          <w:sz w:val="18"/>
        </w:rPr>
        <w:t>保险合同；</w:t>
      </w:r>
    </w:p>
    <w:p>
      <w:pPr>
        <w:pStyle w:val="ListParagraph"/>
        <w:numPr>
          <w:ilvl w:val="2"/>
          <w:numId w:val="10"/>
        </w:numPr>
        <w:tabs>
          <w:tab w:pos="1671" w:val="left" w:leader="none"/>
          <w:tab w:pos="1672" w:val="left" w:leader="none"/>
        </w:tabs>
        <w:spacing w:line="240" w:lineRule="auto" w:before="107" w:after="0"/>
        <w:ind w:left="1671" w:right="0" w:hanging="566"/>
        <w:jc w:val="left"/>
        <w:rPr>
          <w:sz w:val="18"/>
        </w:rPr>
      </w:pPr>
      <w:r>
        <w:rPr>
          <w:w w:val="95"/>
          <w:sz w:val="18"/>
        </w:rPr>
        <w:t>您的有效身份证件。</w:t>
      </w:r>
    </w:p>
    <w:p>
      <w:pPr>
        <w:pStyle w:val="ListParagraph"/>
        <w:numPr>
          <w:ilvl w:val="1"/>
          <w:numId w:val="10"/>
        </w:numPr>
        <w:tabs>
          <w:tab w:pos="1106" w:val="left" w:leader="none"/>
        </w:tabs>
        <w:spacing w:line="348" w:lineRule="auto" w:before="107" w:after="0"/>
        <w:ind w:left="1105" w:right="100" w:hanging="567"/>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sz w:val="18"/>
        </w:rPr>
        <w:t>30 日内无息退还已收保险费。</w:t>
      </w:r>
    </w:p>
    <w:p>
      <w:pPr>
        <w:pStyle w:val="ListParagraph"/>
        <w:numPr>
          <w:ilvl w:val="1"/>
          <w:numId w:val="10"/>
        </w:numPr>
        <w:tabs>
          <w:tab w:pos="1105" w:val="left" w:leader="none"/>
          <w:tab w:pos="1106" w:val="left" w:leader="none"/>
        </w:tabs>
        <w:spacing w:line="340" w:lineRule="auto" w:before="37" w:after="0"/>
        <w:ind w:left="1105" w:right="100" w:hanging="567"/>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sz w:val="18"/>
        </w:rPr>
        <w:t>30</w:t>
      </w:r>
      <w:r>
        <w:rPr>
          <w:spacing w:val="-8"/>
          <w:sz w:val="18"/>
        </w:rPr>
        <w:t> 日内向您退还本附加合同的现金价值。</w:t>
      </w:r>
    </w:p>
    <w:p>
      <w:pPr>
        <w:pStyle w:val="ListParagraph"/>
        <w:numPr>
          <w:ilvl w:val="1"/>
          <w:numId w:val="10"/>
        </w:numPr>
        <w:tabs>
          <w:tab w:pos="1105" w:val="left" w:leader="none"/>
          <w:tab w:pos="1106" w:val="left" w:leader="none"/>
        </w:tabs>
        <w:spacing w:line="240" w:lineRule="auto" w:before="44" w:after="0"/>
        <w:ind w:left="1105" w:right="0" w:hanging="567"/>
        <w:jc w:val="left"/>
        <w:rPr>
          <w:sz w:val="18"/>
        </w:rPr>
      </w:pPr>
      <w:r>
        <w:rPr>
          <w:sz w:val="18"/>
        </w:rPr>
        <w:t>您犹豫期后解除合同会遭受一定损失。</w:t>
      </w:r>
    </w:p>
    <w:p>
      <w:pPr>
        <w:pStyle w:val="Heading1"/>
        <w:tabs>
          <w:tab w:pos="1623" w:val="left" w:leader="none"/>
        </w:tabs>
        <w:spacing w:before="102"/>
      </w:pPr>
      <w:bookmarkStart w:name="_bookmark13" w:id="14"/>
      <w:bookmarkEnd w:id="14"/>
      <w:r>
        <w:rPr>
          <w:b w:val="0"/>
        </w:rPr>
      </w:r>
      <w:r>
        <w:rPr/>
        <w:t>第十</w:t>
      </w:r>
      <w:r>
        <w:rPr>
          <w:spacing w:val="-3"/>
        </w:rPr>
        <w:t>四</w:t>
      </w:r>
      <w:r>
        <w:rPr/>
        <w:t>条</w:t>
        <w:tab/>
        <w:t>重大</w:t>
      </w:r>
      <w:r>
        <w:rPr>
          <w:spacing w:val="-3"/>
        </w:rPr>
        <w:t>疾</w:t>
      </w:r>
      <w:r>
        <w:rPr/>
        <w:t>病的</w:t>
      </w:r>
      <w:r>
        <w:rPr>
          <w:spacing w:val="-3"/>
        </w:rPr>
        <w:t>释</w:t>
      </w:r>
      <w:r>
        <w:rPr/>
        <w:t>义</w:t>
      </w:r>
    </w:p>
    <w:p>
      <w:pPr>
        <w:pStyle w:val="ListParagraph"/>
        <w:numPr>
          <w:ilvl w:val="1"/>
          <w:numId w:val="11"/>
        </w:numPr>
        <w:tabs>
          <w:tab w:pos="1105" w:val="left" w:leader="none"/>
          <w:tab w:pos="1106" w:val="left" w:leader="none"/>
        </w:tabs>
        <w:spacing w:line="240" w:lineRule="auto" w:before="141" w:after="0"/>
        <w:ind w:left="1105" w:right="0" w:hanging="567"/>
        <w:jc w:val="left"/>
        <w:rPr>
          <w:sz w:val="18"/>
        </w:rPr>
      </w:pPr>
      <w:r>
        <w:rPr>
          <w:sz w:val="18"/>
        </w:rPr>
        <w:t>恶性肿瘤</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line="357" w:lineRule="auto" w:before="44"/>
        <w:ind w:right="183"/>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 </w:t>
      </w:r>
      <w:r>
        <w:rPr>
          <w:spacing w:val="-1"/>
          <w:w w:val="95"/>
        </w:rPr>
        <w:t>类》</w:t>
      </w:r>
      <w:r>
        <w:rPr>
          <w:w w:val="95"/>
        </w:rPr>
        <w:t>（</w:t>
      </w:r>
      <w:r>
        <w:rPr>
          <w:rFonts w:ascii="Arial" w:eastAsia="Arial"/>
          <w:w w:val="95"/>
        </w:rPr>
        <w:t>ICD-10</w:t>
      </w:r>
      <w:r>
        <w:rPr>
          <w:w w:val="95"/>
        </w:rPr>
        <w:t>）的恶性肿瘤范畴。</w:t>
      </w:r>
    </w:p>
    <w:p>
      <w:pPr>
        <w:pStyle w:val="Heading3"/>
        <w:spacing w:before="3"/>
        <w:ind w:left="1105"/>
      </w:pPr>
      <w:r>
        <w:rPr>
          <w:w w:val="95"/>
        </w:rPr>
        <w:t>下列疾病不在保障范围内：</w:t>
      </w:r>
    </w:p>
    <w:p>
      <w:pPr>
        <w:spacing w:before="115"/>
        <w:ind w:left="1052" w:right="0" w:firstLine="0"/>
        <w:jc w:val="left"/>
        <w:rPr>
          <w:b/>
          <w:sz w:val="18"/>
        </w:rPr>
      </w:pPr>
      <w:r>
        <w:rPr>
          <w:b/>
          <w:w w:val="95"/>
          <w:sz w:val="18"/>
        </w:rPr>
        <w:t>（</w:t>
      </w:r>
      <w:r>
        <w:rPr>
          <w:rFonts w:ascii="Arial" w:eastAsia="Arial"/>
          <w:b/>
          <w:w w:val="95"/>
          <w:sz w:val="18"/>
        </w:rPr>
        <w:t>1</w:t>
      </w:r>
      <w:r>
        <w:rPr>
          <w:b/>
          <w:w w:val="95"/>
          <w:sz w:val="18"/>
        </w:rPr>
        <w:t>）原位癌；</w:t>
      </w:r>
    </w:p>
    <w:p>
      <w:pPr>
        <w:spacing w:before="104"/>
        <w:ind w:left="1052"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1"/>
        <w:ind w:left="1052"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1"/>
        <w:ind w:left="1052"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0"/>
        <w:ind w:left="1052"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4"/>
        <w:ind w:left="1052"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5" w:val="left" w:leader="none"/>
          <w:tab w:pos="1106" w:val="left" w:leader="none"/>
        </w:tabs>
        <w:spacing w:line="240" w:lineRule="auto" w:before="104" w:after="0"/>
        <w:ind w:left="1105" w:right="0" w:hanging="567"/>
        <w:jc w:val="left"/>
        <w:rPr>
          <w:sz w:val="18"/>
        </w:rPr>
      </w:pPr>
      <w:r>
        <w:rPr>
          <w:sz w:val="18"/>
        </w:rPr>
        <w:t>重大器官移植术或造血干细胞移植术</w:t>
      </w:r>
    </w:p>
    <w:p>
      <w:pPr>
        <w:pStyle w:val="BodyText"/>
      </w:pPr>
      <w:r>
        <w:rPr/>
        <w:t>重大器官移植术，指因相应器官功能衰竭，已经实施了肾脏、肝脏、心脏或肺脏的异体移植手术。</w:t>
      </w:r>
    </w:p>
    <w:p>
      <w:pPr>
        <w:pStyle w:val="BodyText"/>
        <w:spacing w:line="357" w:lineRule="auto" w:before="114"/>
        <w:ind w:right="183"/>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5" w:val="left" w:leader="none"/>
          <w:tab w:pos="1106" w:val="left" w:leader="none"/>
        </w:tabs>
        <w:spacing w:line="240" w:lineRule="auto" w:before="31" w:after="0"/>
        <w:ind w:left="1105" w:right="0" w:hanging="567"/>
        <w:jc w:val="left"/>
        <w:rPr>
          <w:sz w:val="18"/>
        </w:rPr>
      </w:pPr>
      <w:r>
        <w:rPr>
          <w:sz w:val="18"/>
        </w:rPr>
        <w:t>终末期肾病（或称慢性肾功能衰竭尿毒症期）</w:t>
      </w:r>
    </w:p>
    <w:p>
      <w:pPr>
        <w:pStyle w:val="BodyText"/>
        <w:spacing w:line="340" w:lineRule="auto" w:before="102"/>
        <w:ind w:right="191"/>
      </w:pPr>
      <w:r>
        <w:rPr/>
        <w:t>指双肾功能慢性不可逆性衰竭，达到尿毒症期，经诊断后已经进行了至少 </w:t>
      </w:r>
      <w:r>
        <w:rPr>
          <w:rFonts w:ascii="Arial" w:eastAsia="Arial"/>
        </w:rPr>
        <w:t>90 </w:t>
      </w:r>
      <w:r>
        <w:rPr/>
        <w:t>天的规律性透析治疗或实施了肾脏移植手术。</w:t>
      </w:r>
    </w:p>
    <w:p>
      <w:pPr>
        <w:pStyle w:val="ListParagraph"/>
        <w:numPr>
          <w:ilvl w:val="1"/>
          <w:numId w:val="11"/>
        </w:numPr>
        <w:tabs>
          <w:tab w:pos="1105" w:val="left" w:leader="none"/>
          <w:tab w:pos="1106" w:val="left" w:leader="none"/>
        </w:tabs>
        <w:spacing w:line="240" w:lineRule="auto" w:before="41" w:after="0"/>
        <w:ind w:left="1105" w:right="0" w:hanging="567"/>
        <w:jc w:val="left"/>
        <w:rPr>
          <w:sz w:val="18"/>
        </w:rPr>
      </w:pPr>
      <w:r>
        <w:rPr>
          <w:sz w:val="18"/>
        </w:rPr>
        <w:t>急性或亚急性重症肝炎</w:t>
      </w:r>
    </w:p>
    <w:p>
      <w:pPr>
        <w:pStyle w:val="BodyText"/>
        <w:spacing w:line="357" w:lineRule="auto" w:before="103"/>
        <w:ind w:right="183"/>
      </w:pPr>
      <w:r>
        <w:rPr/>
        <w:t>指因肝炎病毒感染引起肝脏组织弥漫性坏死，导致急性肝功能衰竭，且经血清学或病毒学检查证实，并须满足下列全部条件：</w:t>
      </w:r>
    </w:p>
    <w:p>
      <w:pPr>
        <w:pStyle w:val="BodyText"/>
        <w:spacing w:before="26"/>
      </w:pPr>
      <w:r>
        <w:rPr/>
        <w:t>（</w:t>
      </w:r>
      <w:r>
        <w:rPr>
          <w:rFonts w:ascii="Arial" w:eastAsia="Arial"/>
        </w:rPr>
        <w:t>1</w:t>
      </w:r>
      <w:r>
        <w:rPr/>
        <w:t>）重度黄疸或黄疸迅速加重；</w:t>
      </w:r>
    </w:p>
    <w:p>
      <w:pPr>
        <w:pStyle w:val="BodyText"/>
      </w:pPr>
      <w:r>
        <w:rPr/>
        <w:t>（</w:t>
      </w:r>
      <w:r>
        <w:rPr>
          <w:rFonts w:ascii="Arial" w:eastAsia="Arial"/>
        </w:rPr>
        <w:t>2</w:t>
      </w:r>
      <w:r>
        <w:rPr/>
        <w:t>）肝性脑病；</w:t>
      </w:r>
    </w:p>
    <w:p>
      <w:pPr>
        <w:pStyle w:val="BodyText"/>
        <w:spacing w:before="101"/>
      </w:pPr>
      <w:r>
        <w:rPr/>
        <w:t>（</w:t>
      </w:r>
      <w:r>
        <w:rPr>
          <w:rFonts w:ascii="Arial" w:eastAsia="Arial"/>
        </w:rPr>
        <w:t>3</w:t>
      </w:r>
      <w:r>
        <w:rPr/>
        <w:t>）</w:t>
      </w:r>
      <w:r>
        <w:rPr>
          <w:rFonts w:ascii="Arial" w:eastAsia="Arial"/>
        </w:rPr>
        <w:t>B </w:t>
      </w:r>
      <w:r>
        <w:rPr/>
        <w:t>超或其他影像学检查显示肝脏体积急速萎缩；</w:t>
      </w:r>
    </w:p>
    <w:p>
      <w:pPr>
        <w:pStyle w:val="BodyText"/>
        <w:spacing w:before="102"/>
      </w:pPr>
      <w:r>
        <w:rPr/>
        <w:t>（</w:t>
      </w:r>
      <w:r>
        <w:rPr>
          <w:rFonts w:ascii="Arial" w:eastAsia="Arial"/>
        </w:rPr>
        <w:t>4</w:t>
      </w:r>
      <w:r>
        <w:rPr/>
        <w:t>）肝功能指标进行性恶化。</w:t>
      </w:r>
    </w:p>
    <w:p>
      <w:pPr>
        <w:pStyle w:val="ListParagraph"/>
        <w:numPr>
          <w:ilvl w:val="1"/>
          <w:numId w:val="11"/>
        </w:numPr>
        <w:tabs>
          <w:tab w:pos="1105" w:val="left" w:leader="none"/>
          <w:tab w:pos="1106" w:val="left" w:leader="none"/>
        </w:tabs>
        <w:spacing w:line="240" w:lineRule="auto" w:before="104" w:after="0"/>
        <w:ind w:left="1105" w:right="0" w:hanging="567"/>
        <w:jc w:val="left"/>
        <w:rPr>
          <w:sz w:val="18"/>
        </w:rPr>
      </w:pPr>
      <w:r>
        <w:rPr>
          <w:sz w:val="18"/>
        </w:rPr>
        <w:t>良性脑肿瘤</w:t>
      </w:r>
    </w:p>
    <w:p>
      <w:pPr>
        <w:pStyle w:val="BodyText"/>
        <w:spacing w:line="348" w:lineRule="auto"/>
        <w:ind w:right="161"/>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4"/>
      </w:pPr>
      <w:r>
        <w:rPr/>
        <w:t>（</w:t>
      </w:r>
      <w:r>
        <w:rPr>
          <w:rFonts w:ascii="Arial" w:eastAsia="Arial"/>
        </w:rPr>
        <w:t>1</w:t>
      </w:r>
      <w:r>
        <w:rPr/>
        <w:t>）实际实施了开颅进行的脑肿瘤完全切除或部分切除的手术；</w:t>
      </w:r>
    </w:p>
    <w:p>
      <w:pPr>
        <w:pStyle w:val="BodyText"/>
        <w:spacing w:before="102"/>
      </w:pPr>
      <w:r>
        <w:rPr/>
        <w:t>（</w:t>
      </w:r>
      <w:r>
        <w:rPr>
          <w:rFonts w:ascii="Arial" w:eastAsia="Arial"/>
        </w:rPr>
        <w:t>2</w:t>
      </w:r>
      <w:r>
        <w:rPr/>
        <w:t>）实际实施了对脑肿瘤进行的放射治疗。</w:t>
      </w:r>
    </w:p>
    <w:p>
      <w:pPr>
        <w:pStyle w:val="Heading3"/>
        <w:spacing w:before="104"/>
        <w:ind w:left="1102"/>
      </w:pPr>
      <w:r>
        <w:rPr>
          <w:w w:val="95"/>
        </w:rPr>
        <w:t>脑垂体瘤、脑囊肿、脑血管性疾病不在保障范围内。</w:t>
      </w:r>
    </w:p>
    <w:p>
      <w:pPr>
        <w:pStyle w:val="ListParagraph"/>
        <w:numPr>
          <w:ilvl w:val="1"/>
          <w:numId w:val="11"/>
        </w:numPr>
        <w:tabs>
          <w:tab w:pos="1105" w:val="left" w:leader="none"/>
          <w:tab w:pos="1106" w:val="left" w:leader="none"/>
        </w:tabs>
        <w:spacing w:line="240" w:lineRule="auto" w:before="117" w:after="0"/>
        <w:ind w:left="1105" w:right="0" w:hanging="567"/>
        <w:jc w:val="left"/>
        <w:rPr>
          <w:sz w:val="18"/>
        </w:rPr>
      </w:pPr>
      <w:r>
        <w:rPr>
          <w:sz w:val="18"/>
        </w:rPr>
        <w:t>脑炎后遗症或脑膜炎后遗症</w:t>
      </w:r>
    </w:p>
    <w:p>
      <w:pPr>
        <w:pStyle w:val="BodyText"/>
        <w:spacing w:line="338" w:lineRule="auto"/>
        <w:ind w:right="91"/>
      </w:pPr>
      <w:r>
        <w:rPr/>
        <w:t>指因患脑炎或脑膜炎导致的神经系统永久性的功能障碍。神经系统永久性的功能障碍，指疾病确诊 </w:t>
      </w:r>
      <w:r>
        <w:rPr>
          <w:rFonts w:ascii="Arial" w:eastAsia="Arial"/>
        </w:rPr>
        <w:t>180 </w:t>
      </w:r>
      <w:r>
        <w:rPr/>
        <w:t>日后，仍遗留下列一种或一种以上障碍：</w:t>
      </w:r>
    </w:p>
    <w:p>
      <w:pPr>
        <w:spacing w:before="43"/>
        <w:ind w:left="1105"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6"/>
        <w:ind w:left="1102"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6"/>
        <w:ind w:left="1078"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5" w:val="left" w:leader="none"/>
          <w:tab w:pos="1106" w:val="left" w:leader="none"/>
        </w:tabs>
        <w:spacing w:line="240" w:lineRule="auto" w:before="106" w:after="0"/>
        <w:ind w:left="1105" w:right="0" w:hanging="567"/>
        <w:jc w:val="left"/>
        <w:rPr>
          <w:sz w:val="18"/>
        </w:rPr>
      </w:pPr>
      <w:r>
        <w:rPr>
          <w:sz w:val="18"/>
        </w:rPr>
        <w:t>深度昏迷</w:t>
      </w:r>
    </w:p>
    <w:p>
      <w:pPr>
        <w:pStyle w:val="BodyText"/>
        <w:spacing w:line="338" w:lineRule="auto"/>
        <w:ind w:right="458"/>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9"/>
        <w:ind w:left="1102"/>
      </w:pPr>
      <w:r>
        <w:rPr>
          <w:w w:val="95"/>
        </w:rPr>
        <w:t>因酗酒或药物滥用导致的深度昏迷不在保障范围内。</w:t>
      </w:r>
    </w:p>
    <w:p>
      <w:pPr>
        <w:spacing w:after="0"/>
        <w:sectPr>
          <w:pgSz w:w="11910" w:h="16840"/>
          <w:pgMar w:header="672" w:footer="757" w:top="860" w:bottom="940" w:left="880" w:right="740"/>
        </w:sectPr>
      </w:pPr>
    </w:p>
    <w:p>
      <w:pPr>
        <w:pStyle w:val="BodyText"/>
        <w:spacing w:before="9"/>
        <w:ind w:left="0"/>
        <w:rPr>
          <w:b/>
          <w:sz w:val="13"/>
        </w:rPr>
      </w:pPr>
    </w:p>
    <w:p>
      <w:pPr>
        <w:pStyle w:val="ListParagraph"/>
        <w:numPr>
          <w:ilvl w:val="1"/>
          <w:numId w:val="11"/>
        </w:numPr>
        <w:tabs>
          <w:tab w:pos="1105" w:val="left" w:leader="none"/>
          <w:tab w:pos="1106" w:val="left" w:leader="none"/>
        </w:tabs>
        <w:spacing w:line="240" w:lineRule="auto" w:before="53" w:after="0"/>
        <w:ind w:left="1105" w:right="0" w:hanging="567"/>
        <w:jc w:val="left"/>
        <w:rPr>
          <w:sz w:val="18"/>
        </w:rPr>
      </w:pPr>
      <w:r>
        <w:rPr>
          <w:sz w:val="18"/>
        </w:rPr>
        <w:t>双耳失聪</w:t>
      </w:r>
    </w:p>
    <w:p>
      <w:pPr>
        <w:pStyle w:val="BodyText"/>
        <w:spacing w:before="103"/>
        <w:jc w:val="both"/>
      </w:pPr>
      <w:r>
        <w:rPr/>
        <w:t>指因疾病或意外伤害导致双耳听力永久不可逆（见释义）性丧失，在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1"/>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1"/>
        </w:numPr>
        <w:tabs>
          <w:tab w:pos="1105" w:val="left" w:leader="none"/>
          <w:tab w:pos="1106" w:val="left" w:leader="none"/>
        </w:tabs>
        <w:spacing w:line="240" w:lineRule="auto" w:before="103" w:after="0"/>
        <w:ind w:left="1105" w:right="0" w:hanging="567"/>
        <w:jc w:val="left"/>
        <w:rPr>
          <w:sz w:val="18"/>
        </w:rPr>
      </w:pPr>
      <w:r>
        <w:rPr>
          <w:sz w:val="18"/>
        </w:rPr>
        <w:t>双目失明</w:t>
      </w:r>
    </w:p>
    <w:p>
      <w:pPr>
        <w:pStyle w:val="BodyText"/>
        <w:spacing w:before="103"/>
        <w:jc w:val="both"/>
      </w:pPr>
      <w:r>
        <w:rPr/>
        <w:t>指因疾病或意外伤害导致双眼视力永久不可逆性丧失，双眼中较好眼须满足下列至少一项条件：</w:t>
      </w:r>
    </w:p>
    <w:p>
      <w:pPr>
        <w:pStyle w:val="BodyText"/>
        <w:spacing w:before="114"/>
        <w:jc w:val="both"/>
      </w:pPr>
      <w:r>
        <w:rPr/>
        <w:t>（</w:t>
      </w:r>
      <w:r>
        <w:rPr>
          <w:rFonts w:ascii="Arial" w:eastAsia="Arial"/>
        </w:rPr>
        <w:t>1</w:t>
      </w:r>
      <w:r>
        <w:rPr/>
        <w:t>）眼球缺失或摘除；</w:t>
      </w:r>
    </w:p>
    <w:p>
      <w:pPr>
        <w:pStyle w:val="BodyText"/>
        <w:jc w:val="both"/>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2"/>
        <w:jc w:val="both"/>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瘫痪</w:t>
      </w:r>
    </w:p>
    <w:p>
      <w:pPr>
        <w:pStyle w:val="BodyText"/>
        <w:jc w:val="both"/>
      </w:pPr>
      <w:r>
        <w:rPr/>
        <w:t>指因疾病或意外伤害导致两肢或两肢以上肢体机能永久完全丧失。肢体机能永久完全丧失，指疾病确诊 </w:t>
      </w:r>
      <w:r>
        <w:rPr>
          <w:rFonts w:ascii="Arial" w:eastAsia="Arial"/>
        </w:rPr>
        <w:t>180 </w:t>
      </w:r>
      <w:r>
        <w:rPr/>
        <w:t>日后或</w:t>
      </w:r>
    </w:p>
    <w:p>
      <w:pPr>
        <w:pStyle w:val="BodyText"/>
        <w:spacing w:before="102"/>
        <w:jc w:val="both"/>
      </w:pPr>
      <w:r>
        <w:rPr/>
        <w:t>意外伤害发生 </w:t>
      </w:r>
      <w:r>
        <w:rPr>
          <w:rFonts w:ascii="Arial" w:eastAsia="Arial"/>
        </w:rPr>
        <w:t>180 </w:t>
      </w:r>
      <w:r>
        <w:rPr/>
        <w:t>日后，每肢三大关节中的两大关节仍然完全僵硬，或不能随意识活动。</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心脏瓣膜手术</w:t>
      </w:r>
    </w:p>
    <w:p>
      <w:pPr>
        <w:pStyle w:val="BodyText"/>
        <w:jc w:val="both"/>
      </w:pPr>
      <w:r>
        <w:rPr/>
        <w:t>指为治疗心脏瓣膜疾病，实际实施了开胸进行的心脏瓣膜置换或修复的手术。</w:t>
      </w:r>
    </w:p>
    <w:p>
      <w:pPr>
        <w:pStyle w:val="ListParagraph"/>
        <w:numPr>
          <w:ilvl w:val="1"/>
          <w:numId w:val="11"/>
        </w:numPr>
        <w:tabs>
          <w:tab w:pos="1106" w:val="left" w:leader="none"/>
        </w:tabs>
        <w:spacing w:line="240" w:lineRule="auto" w:before="120" w:after="0"/>
        <w:ind w:left="1105" w:right="0" w:hanging="567"/>
        <w:jc w:val="left"/>
        <w:rPr>
          <w:sz w:val="18"/>
        </w:rPr>
      </w:pPr>
      <w:r>
        <w:rPr>
          <w:sz w:val="18"/>
        </w:rPr>
        <w:t>严重脑损伤</w:t>
      </w:r>
    </w:p>
    <w:p>
      <w:pPr>
        <w:pStyle w:val="BodyText"/>
        <w:spacing w:line="338" w:lineRule="auto"/>
        <w:ind w:right="124"/>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w:t>
      </w:r>
    </w:p>
    <w:p>
      <w:pPr>
        <w:pStyle w:val="BodyText"/>
        <w:spacing w:before="19"/>
        <w:jc w:val="both"/>
      </w:pPr>
      <w:r>
        <w:rPr>
          <w:rFonts w:ascii="Arial" w:eastAsia="Arial"/>
        </w:rPr>
        <w:t>180 </w:t>
      </w:r>
      <w:r>
        <w:rPr/>
        <w:t>日后，仍遗留下列一种或一种以上障碍：</w:t>
      </w:r>
    </w:p>
    <w:p>
      <w:pPr>
        <w:pStyle w:val="BodyText"/>
        <w:spacing w:before="102"/>
        <w:jc w:val="both"/>
      </w:pPr>
      <w:r>
        <w:rPr/>
        <w:t>（</w:t>
      </w:r>
      <w:r>
        <w:rPr>
          <w:rFonts w:ascii="Arial" w:eastAsia="Arial"/>
        </w:rPr>
        <w:t>1</w:t>
      </w:r>
      <w:r>
        <w:rPr/>
        <w:t>）一肢或一肢以上肢体机能完全丧失；</w:t>
      </w:r>
    </w:p>
    <w:p>
      <w:pPr>
        <w:pStyle w:val="BodyText"/>
        <w:jc w:val="both"/>
      </w:pPr>
      <w:r>
        <w:rPr/>
        <w:t>（</w:t>
      </w:r>
      <w:r>
        <w:rPr>
          <w:rFonts w:ascii="Arial" w:eastAsia="Arial"/>
        </w:rPr>
        <w:t>2</w:t>
      </w:r>
      <w:r>
        <w:rPr/>
        <w:t>）语言能力或咀嚼吞咽能力完全丧失；</w:t>
      </w:r>
    </w:p>
    <w:p>
      <w:pPr>
        <w:pStyle w:val="BodyText"/>
        <w:spacing w:before="101"/>
        <w:jc w:val="both"/>
      </w:pPr>
      <w:r>
        <w:rPr/>
        <w:t>（</w:t>
      </w:r>
      <w:r>
        <w:rPr>
          <w:rFonts w:ascii="Arial" w:eastAsia="Arial"/>
        </w:rPr>
        <w:t>3</w:t>
      </w:r>
      <w:r>
        <w:rPr/>
        <w:t>）自主生活能力完全丧失，无法独立完成六项基本日常生活活动中的三项或三项以上。</w:t>
      </w:r>
    </w:p>
    <w:p>
      <w:pPr>
        <w:pStyle w:val="ListParagraph"/>
        <w:numPr>
          <w:ilvl w:val="1"/>
          <w:numId w:val="11"/>
        </w:numPr>
        <w:tabs>
          <w:tab w:pos="1106" w:val="left" w:leader="none"/>
        </w:tabs>
        <w:spacing w:line="240" w:lineRule="auto" w:before="104" w:after="0"/>
        <w:ind w:left="1105" w:right="0" w:hanging="567"/>
        <w:jc w:val="left"/>
        <w:rPr>
          <w:sz w:val="18"/>
        </w:rPr>
      </w:pPr>
      <w:r>
        <w:rPr>
          <w:spacing w:val="-1"/>
          <w:sz w:val="18"/>
        </w:rPr>
        <w:t>严重Ⅲ度烧伤</w:t>
      </w:r>
    </w:p>
    <w:p>
      <w:pPr>
        <w:pStyle w:val="BodyText"/>
        <w:spacing w:line="338" w:lineRule="auto"/>
        <w:ind w:right="230"/>
      </w:pPr>
      <w:r>
        <w:rPr>
          <w:spacing w:val="-2"/>
        </w:rPr>
        <w:t>指烧伤程度为Ⅲ度，且Ⅲ度烧伤的面积达到全身体表面积的 </w:t>
      </w:r>
      <w:r>
        <w:rPr>
          <w:rFonts w:ascii="Arial" w:hAnsi="Arial" w:eastAsia="Arial"/>
        </w:rPr>
        <w:t>20</w:t>
      </w:r>
      <w:r>
        <w:rPr>
          <w:spacing w:val="-16"/>
        </w:rPr>
        <w:t>％或 </w:t>
      </w:r>
      <w:r>
        <w:rPr>
          <w:rFonts w:ascii="Arial" w:hAnsi="Arial" w:eastAsia="Arial"/>
        </w:rPr>
        <w:t>20</w:t>
      </w:r>
      <w:r>
        <w:rPr>
          <w:spacing w:val="-1"/>
        </w:rPr>
        <w:t>％以上。体表面积根据《中国新九分法》计算。</w:t>
      </w:r>
    </w:p>
    <w:p>
      <w:pPr>
        <w:pStyle w:val="ListParagraph"/>
        <w:numPr>
          <w:ilvl w:val="1"/>
          <w:numId w:val="11"/>
        </w:numPr>
        <w:tabs>
          <w:tab w:pos="1106" w:val="left" w:leader="none"/>
        </w:tabs>
        <w:spacing w:line="240" w:lineRule="auto" w:before="43" w:after="0"/>
        <w:ind w:left="1105" w:right="0" w:hanging="567"/>
        <w:jc w:val="left"/>
        <w:rPr>
          <w:sz w:val="18"/>
        </w:rPr>
      </w:pPr>
      <w:r>
        <w:rPr>
          <w:sz w:val="18"/>
        </w:rPr>
        <w:t>严重运动神经元病</w:t>
      </w:r>
    </w:p>
    <w:p>
      <w:pPr>
        <w:pStyle w:val="BodyText"/>
        <w:spacing w:line="357" w:lineRule="auto"/>
        <w:ind w:right="18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11"/>
        </w:numPr>
        <w:tabs>
          <w:tab w:pos="1106" w:val="left" w:leader="none"/>
        </w:tabs>
        <w:spacing w:line="240" w:lineRule="auto" w:before="29" w:after="0"/>
        <w:ind w:left="1105" w:right="0" w:hanging="567"/>
        <w:jc w:val="left"/>
        <w:rPr>
          <w:sz w:val="18"/>
        </w:rPr>
      </w:pPr>
      <w:r>
        <w:rPr>
          <w:sz w:val="18"/>
        </w:rPr>
        <w:t>重型再生障碍性贫血</w:t>
      </w:r>
    </w:p>
    <w:p>
      <w:pPr>
        <w:pStyle w:val="BodyText"/>
        <w:jc w:val="both"/>
      </w:pPr>
      <w:r>
        <w:rPr/>
        <w:t>指因骨髓造血功能慢性持续性衰竭导致的贫血、中性粒细胞减少及血小板减少。须满足下列全部条件：</w:t>
      </w:r>
    </w:p>
    <w:p>
      <w:pPr>
        <w:pStyle w:val="BodyText"/>
        <w:spacing w:before="114"/>
        <w:jc w:val="both"/>
      </w:pPr>
      <w:r>
        <w:rPr/>
        <w:t>（</w:t>
      </w:r>
      <w:r>
        <w:rPr>
          <w:rFonts w:ascii="Arial" w:eastAsia="Arial"/>
        </w:rPr>
        <w:t>1</w:t>
      </w:r>
      <w:r>
        <w:rPr/>
        <w:t>）骨髓穿刺检查或骨髓活检结果支持诊断；</w:t>
      </w:r>
    </w:p>
    <w:p>
      <w:pPr>
        <w:pStyle w:val="BodyText"/>
        <w:jc w:val="both"/>
      </w:pPr>
      <w:r>
        <w:rPr/>
        <w:t>（</w:t>
      </w:r>
      <w:r>
        <w:rPr>
          <w:rFonts w:ascii="Arial" w:eastAsia="Arial"/>
        </w:rPr>
        <w:t>2</w:t>
      </w:r>
      <w:r>
        <w:rPr/>
        <w:t>）外周血象须具备以下三项条件：</w:t>
      </w:r>
    </w:p>
    <w:p>
      <w:pPr>
        <w:pStyle w:val="BodyText"/>
        <w:spacing w:before="102"/>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2"/>
        <w:ind w:left="1611"/>
      </w:pPr>
      <w:r>
        <w:rPr/>
        <w:t>② 网织红细胞＜</w:t>
      </w:r>
      <w:r>
        <w:rPr>
          <w:rFonts w:ascii="Arial" w:hAnsi="Arial" w:eastAsia="Arial"/>
        </w:rPr>
        <w:t>1%</w:t>
      </w:r>
      <w:r>
        <w:rPr/>
        <w:t>；</w:t>
      </w:r>
    </w:p>
    <w:p>
      <w:pPr>
        <w:pStyle w:val="BodyText"/>
        <w:spacing w:before="102"/>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6" w:val="left" w:leader="none"/>
        </w:tabs>
        <w:spacing w:line="240" w:lineRule="auto" w:before="107" w:after="0"/>
        <w:ind w:left="1105" w:right="0" w:hanging="567"/>
        <w:jc w:val="left"/>
        <w:rPr>
          <w:sz w:val="18"/>
        </w:rPr>
      </w:pPr>
      <w:r>
        <w:rPr>
          <w:spacing w:val="-1"/>
          <w:sz w:val="18"/>
        </w:rPr>
        <w:t>Ⅰ型糖尿病</w:t>
      </w:r>
    </w:p>
    <w:p>
      <w:pPr>
        <w:pStyle w:val="BodyText"/>
        <w:spacing w:line="340" w:lineRule="auto" w:before="101"/>
        <w:ind w:right="183"/>
      </w:pPr>
      <w:r>
        <w:rPr/>
        <w:t>是指 </w:t>
      </w:r>
      <w:r>
        <w:rPr>
          <w:rFonts w:ascii="Arial" w:eastAsia="Arial"/>
        </w:rPr>
        <w:t>18 </w:t>
      </w:r>
      <w:r>
        <w:rPr/>
        <w:t>岁以前，由于胰岛素分泌不足引起的慢性糖、脂肪、蛋白质代谢异常，须由本公司认可的内分泌专科医生作出诊断，并需持续性地依赖外源性胰岛素治疗６个月以上。能以胰岛素注射治疗以外的其它方法治疗的糖尿病及</w:t>
      </w:r>
    </w:p>
    <w:p>
      <w:pPr>
        <w:pStyle w:val="BodyText"/>
        <w:spacing w:before="38"/>
      </w:pPr>
      <w:r>
        <w:rPr>
          <w:rFonts w:ascii="Arial" w:eastAsia="Arial"/>
        </w:rPr>
        <w:t>II </w:t>
      </w:r>
      <w:r>
        <w:rPr/>
        <w:t>型糖尿病（</w:t>
      </w:r>
      <w:r>
        <w:rPr>
          <w:rFonts w:ascii="Arial" w:eastAsia="Arial"/>
        </w:rPr>
        <w:t>NIDDM</w:t>
      </w:r>
      <w:r>
        <w:rPr/>
        <w:t>）或继发性糖尿病不在本保障范围之内。</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川崎病伴心脏损害</w:t>
      </w:r>
    </w:p>
    <w:p>
      <w:pPr>
        <w:pStyle w:val="BodyText"/>
        <w:spacing w:line="357" w:lineRule="auto"/>
        <w:ind w:right="184"/>
      </w:pPr>
      <w:r>
        <w:rPr/>
        <w:t>是指一种以损伤冠状动脉血管为主，可同时合并其他大血管损害的系统性血管炎。本病必须由本公司认可的儿科专科医生确诊，且保障仅限于伴有冠状动脉瘤的川崎病。作为心脏受累的证据，被保险人必须因严重心脏并发症确已</w:t>
      </w:r>
    </w:p>
    <w:p>
      <w:pPr>
        <w:spacing w:after="0" w:line="357" w:lineRule="auto"/>
        <w:sectPr>
          <w:pgSz w:w="11910" w:h="16840"/>
          <w:pgMar w:header="672" w:footer="757" w:top="860" w:bottom="940" w:left="880" w:right="740"/>
        </w:sectPr>
      </w:pPr>
    </w:p>
    <w:p>
      <w:pPr>
        <w:pStyle w:val="BodyText"/>
        <w:spacing w:before="5"/>
        <w:ind w:left="0"/>
        <w:rPr>
          <w:sz w:val="14"/>
        </w:rPr>
      </w:pPr>
    </w:p>
    <w:p>
      <w:pPr>
        <w:spacing w:line="360" w:lineRule="auto" w:before="44"/>
        <w:ind w:left="1102" w:right="182" w:firstLine="0"/>
        <w:jc w:val="left"/>
        <w:rPr>
          <w:b/>
          <w:sz w:val="18"/>
        </w:rPr>
      </w:pPr>
      <w:r>
        <w:rPr>
          <w:sz w:val="18"/>
        </w:rPr>
        <w:t>接受开胸手术以矫正冠状动脉狭窄或阻塞；或确已接受心脏瓣膜置换手术（瓣膜包括生物瓣膜和机械瓣膜），</w:t>
      </w:r>
      <w:r>
        <w:rPr>
          <w:b/>
          <w:sz w:val="18"/>
        </w:rPr>
        <w:t>但瓣</w:t>
      </w:r>
      <w:r>
        <w:rPr>
          <w:b/>
          <w:w w:val="95"/>
          <w:sz w:val="18"/>
        </w:rPr>
        <w:t>膜或其他修复手术除外。</w:t>
      </w:r>
    </w:p>
    <w:p>
      <w:pPr>
        <w:pStyle w:val="ListParagraph"/>
        <w:numPr>
          <w:ilvl w:val="1"/>
          <w:numId w:val="11"/>
        </w:numPr>
        <w:tabs>
          <w:tab w:pos="1106" w:val="left" w:leader="none"/>
        </w:tabs>
        <w:spacing w:line="240" w:lineRule="auto" w:before="27" w:after="0"/>
        <w:ind w:left="1105" w:right="0" w:hanging="567"/>
        <w:jc w:val="left"/>
        <w:rPr>
          <w:sz w:val="18"/>
        </w:rPr>
      </w:pPr>
      <w:r>
        <w:rPr>
          <w:sz w:val="18"/>
        </w:rPr>
        <w:t>急性脊髓灰质炎</w:t>
      </w:r>
    </w:p>
    <w:p>
      <w:pPr>
        <w:spacing w:line="350" w:lineRule="auto" w:before="104"/>
        <w:ind w:left="1102" w:right="117" w:firstLine="0"/>
        <w:jc w:val="left"/>
        <w:rPr>
          <w:b/>
          <w:sz w:val="18"/>
        </w:rPr>
      </w:pPr>
      <w:r>
        <w:rPr>
          <w:sz w:val="18"/>
        </w:rPr>
        <w:t>是指由于脊髓灰质炎病毒感染所导致的运动功能障碍或呼吸功能减弱的瘫痪性疾病。诊断必须由本公司认可的神经科专科主任医师确认并提供相关的脊髓灰质炎病毒感染的证据（例如：脑脊液检查或血清学抗体检查报告）。被保</w:t>
      </w:r>
      <w:r>
        <w:rPr>
          <w:w w:val="95"/>
          <w:sz w:val="18"/>
        </w:rPr>
        <w:t>险人若无因此感染而导致的瘫痪，则不符合理赔条件。</w:t>
      </w:r>
      <w:r>
        <w:rPr>
          <w:b/>
          <w:w w:val="95"/>
          <w:sz w:val="18"/>
        </w:rPr>
        <w:t>未导致肢体瘫痪及其它病因所致的瘫痪，例如格林</w:t>
      </w:r>
      <w:r>
        <w:rPr>
          <w:rFonts w:ascii="Arial" w:eastAsia="Arial"/>
          <w:b/>
          <w:spacing w:val="-3"/>
          <w:w w:val="95"/>
          <w:sz w:val="18"/>
        </w:rPr>
        <w:t>-</w:t>
      </w:r>
      <w:r>
        <w:rPr>
          <w:b/>
          <w:w w:val="95"/>
          <w:sz w:val="18"/>
        </w:rPr>
        <w:t>巴利综合    征</w:t>
      </w:r>
      <w:r>
        <w:rPr>
          <w:rFonts w:ascii="Arial" w:eastAsia="Arial"/>
          <w:b/>
          <w:spacing w:val="-3"/>
          <w:w w:val="95"/>
          <w:sz w:val="18"/>
        </w:rPr>
        <w:t>(</w:t>
      </w:r>
      <w:r>
        <w:rPr>
          <w:b/>
          <w:w w:val="95"/>
          <w:sz w:val="18"/>
        </w:rPr>
        <w:t>急性感染性多神经炎</w:t>
      </w:r>
      <w:r>
        <w:rPr>
          <w:rFonts w:ascii="Arial" w:eastAsia="Arial"/>
          <w:b/>
          <w:spacing w:val="-3"/>
          <w:w w:val="95"/>
          <w:sz w:val="18"/>
        </w:rPr>
        <w:t>)</w:t>
      </w:r>
      <w:r>
        <w:rPr>
          <w:b/>
          <w:w w:val="95"/>
          <w:sz w:val="18"/>
        </w:rPr>
        <w:t>则不在本保障范围以内。</w:t>
      </w:r>
    </w:p>
    <w:p>
      <w:pPr>
        <w:pStyle w:val="ListParagraph"/>
        <w:numPr>
          <w:ilvl w:val="1"/>
          <w:numId w:val="11"/>
        </w:numPr>
        <w:tabs>
          <w:tab w:pos="1106" w:val="left" w:leader="none"/>
        </w:tabs>
        <w:spacing w:line="240" w:lineRule="auto" w:before="11" w:after="0"/>
        <w:ind w:left="1105" w:right="0" w:hanging="567"/>
        <w:jc w:val="left"/>
        <w:rPr>
          <w:sz w:val="18"/>
        </w:rPr>
      </w:pPr>
      <w:r>
        <w:rPr>
          <w:sz w:val="18"/>
        </w:rPr>
        <w:t>全身型幼年类风湿性关节炎</w:t>
      </w:r>
    </w:p>
    <w:p>
      <w:pPr>
        <w:pStyle w:val="BodyText"/>
        <w:spacing w:line="350" w:lineRule="auto"/>
        <w:ind w:right="178"/>
        <w:jc w:val="both"/>
        <w:rPr>
          <w:b/>
        </w:rPr>
      </w:pPr>
      <w:r>
        <w:rPr/>
        <w:t>是指小儿及青少年时期的一种全身结缔组织病。可表现为驰张热、皮疹、关节炎、脾肿大、淋巴结肿大、浆膜炎、体重减轻、中性粒细胞增多等，全身症状可以先于关节炎出现。本病须经本公司认可的儿科类风湿病专家出具医学</w:t>
      </w:r>
      <w:r>
        <w:rPr>
          <w:spacing w:val="-3"/>
        </w:rPr>
        <w:t>诊断证明，保障仅限于症状持续 </w:t>
      </w:r>
      <w:r>
        <w:rPr>
          <w:rFonts w:ascii="Arial" w:eastAsia="Arial"/>
        </w:rPr>
        <w:t>6 </w:t>
      </w:r>
      <w:r>
        <w:rPr>
          <w:spacing w:val="-1"/>
        </w:rPr>
        <w:t>个月以上，并因病情严重在医生的建议下已接受以治疗为目的的膝或髋关节的置</w:t>
      </w:r>
      <w:r>
        <w:rPr>
          <w:spacing w:val="-1"/>
          <w:w w:val="95"/>
        </w:rPr>
        <w:t>换手术。</w:t>
      </w:r>
      <w:r>
        <w:rPr>
          <w:b/>
          <w:spacing w:val="-1"/>
          <w:w w:val="95"/>
        </w:rPr>
        <w:t>其他类型的儿童类风湿性关节炎除外。</w:t>
      </w:r>
    </w:p>
    <w:p>
      <w:pPr>
        <w:pStyle w:val="ListParagraph"/>
        <w:numPr>
          <w:ilvl w:val="1"/>
          <w:numId w:val="11"/>
        </w:numPr>
        <w:tabs>
          <w:tab w:pos="1106" w:val="left" w:leader="none"/>
        </w:tabs>
        <w:spacing w:line="240" w:lineRule="auto" w:before="37" w:after="0"/>
        <w:ind w:left="1105" w:right="0" w:hanging="567"/>
        <w:jc w:val="left"/>
        <w:rPr>
          <w:sz w:val="18"/>
        </w:rPr>
      </w:pPr>
      <w:r>
        <w:rPr>
          <w:sz w:val="18"/>
        </w:rPr>
        <w:t>由输血而感染艾滋病病毒</w:t>
      </w:r>
    </w:p>
    <w:p>
      <w:pPr>
        <w:pStyle w:val="BodyText"/>
        <w:spacing w:before="105"/>
      </w:pPr>
      <w:r>
        <w:rPr/>
        <w:t>此病症须同时满足以下条件：</w:t>
      </w:r>
    </w:p>
    <w:p>
      <w:pPr>
        <w:pStyle w:val="BodyText"/>
        <w:spacing w:line="338" w:lineRule="auto" w:before="115"/>
        <w:ind w:right="261"/>
      </w:pPr>
      <w:r>
        <w:rPr/>
        <w:t>（</w:t>
      </w:r>
      <w:r>
        <w:rPr>
          <w:rFonts w:ascii="Arial" w:eastAsia="Arial"/>
        </w:rPr>
        <w:t>1</w:t>
      </w:r>
      <w:r>
        <w:rPr/>
        <w:t>）被保险人在本附加保险合同生效日后，在中华人民共和国司法管辖区范围内因医疗而接受输血，并因该次输血而感染上述病毒；</w:t>
      </w:r>
    </w:p>
    <w:p>
      <w:pPr>
        <w:pStyle w:val="BodyText"/>
        <w:spacing w:before="41"/>
      </w:pPr>
      <w:r>
        <w:rPr/>
        <w:t>（</w:t>
      </w:r>
      <w:r>
        <w:rPr>
          <w:rFonts w:ascii="Arial" w:eastAsia="Arial"/>
        </w:rPr>
        <w:t>2</w:t>
      </w:r>
      <w:r>
        <w:rPr/>
        <w:t>）医疗机构确认该项输血行为是在该医疗机构进行的；</w:t>
      </w:r>
    </w:p>
    <w:p>
      <w:pPr>
        <w:pStyle w:val="BodyText"/>
      </w:pPr>
      <w:r>
        <w:rPr/>
        <w:t>（</w:t>
      </w:r>
      <w:r>
        <w:rPr>
          <w:rFonts w:ascii="Arial" w:eastAsia="Arial"/>
        </w:rPr>
        <w:t>3</w:t>
      </w:r>
      <w:r>
        <w:rPr/>
        <w:t>）被保险人并非地中海贫血患者、血友病或再生障碍性贫血患者。</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严重心肌炎</w:t>
      </w:r>
    </w:p>
    <w:p>
      <w:pPr>
        <w:pStyle w:val="BodyText"/>
        <w:spacing w:line="338" w:lineRule="auto"/>
        <w:ind w:right="112"/>
      </w:pPr>
      <w:r>
        <w:rPr/>
        <w:t>心肌的严重感染而导致至少持续 </w:t>
      </w:r>
      <w:r>
        <w:rPr>
          <w:rFonts w:ascii="Arial" w:eastAsia="Arial"/>
        </w:rPr>
        <w:t>6 </w:t>
      </w:r>
      <w:r>
        <w:rPr/>
        <w:t>个月的心功能损害。严重的心功能损害必须具备如下条件：左氏腔扩大至少达到正常值上限的 </w:t>
      </w:r>
      <w:r>
        <w:rPr>
          <w:rFonts w:ascii="Arial" w:eastAsia="Arial"/>
        </w:rPr>
        <w:t>120%</w:t>
      </w:r>
      <w:r>
        <w:rPr/>
        <w:t>，且左室射血分数持续性低于 </w:t>
      </w:r>
      <w:r>
        <w:rPr>
          <w:rFonts w:ascii="Arial" w:eastAsia="Arial"/>
        </w:rPr>
        <w:t>40%</w:t>
      </w:r>
      <w:r>
        <w:rPr/>
        <w:t>。</w:t>
      </w:r>
    </w:p>
    <w:p>
      <w:pPr>
        <w:pStyle w:val="ListParagraph"/>
        <w:numPr>
          <w:ilvl w:val="1"/>
          <w:numId w:val="11"/>
        </w:numPr>
        <w:tabs>
          <w:tab w:pos="1106" w:val="left" w:leader="none"/>
        </w:tabs>
        <w:spacing w:line="340" w:lineRule="auto" w:before="21" w:after="0"/>
        <w:ind w:left="1105" w:right="154" w:hanging="567"/>
        <w:jc w:val="left"/>
        <w:rPr>
          <w:sz w:val="18"/>
        </w:rPr>
      </w:pPr>
      <w:r>
        <w:rPr>
          <w:sz w:val="18"/>
        </w:rPr>
        <w:t>上述定义的各项重大疾病中，</w:t>
      </w:r>
      <w:r>
        <w:rPr>
          <w:rFonts w:ascii="Arial" w:eastAsia="Arial"/>
          <w:sz w:val="18"/>
        </w:rPr>
        <w:t>14.1</w:t>
      </w:r>
      <w:r>
        <w:rPr>
          <w:rFonts w:ascii="Arial" w:eastAsia="Arial"/>
          <w:spacing w:val="-9"/>
          <w:sz w:val="18"/>
        </w:rPr>
        <w:t> </w:t>
      </w:r>
      <w:r>
        <w:rPr>
          <w:spacing w:val="-24"/>
          <w:sz w:val="18"/>
        </w:rPr>
        <w:t>至 </w:t>
      </w:r>
      <w:r>
        <w:rPr>
          <w:rFonts w:ascii="Arial" w:eastAsia="Arial"/>
          <w:sz w:val="18"/>
        </w:rPr>
        <w:t>14.15</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0"/>
      </w:pPr>
      <w:bookmarkStart w:name="_bookmark14" w:id="15"/>
      <w:bookmarkEnd w:id="15"/>
      <w:r>
        <w:rPr>
          <w:b w:val="0"/>
        </w:rPr>
      </w:r>
      <w:r>
        <w:rPr/>
        <w:t>第十</w:t>
      </w:r>
      <w:r>
        <w:rPr>
          <w:spacing w:val="-3"/>
        </w:rPr>
        <w:t>五</w:t>
      </w:r>
      <w:r>
        <w:rPr/>
        <w:t>条</w:t>
        <w:tab/>
        <w:t>释义</w:t>
      </w:r>
    </w:p>
    <w:p>
      <w:pPr>
        <w:pStyle w:val="ListParagraph"/>
        <w:numPr>
          <w:ilvl w:val="1"/>
          <w:numId w:val="12"/>
        </w:numPr>
        <w:tabs>
          <w:tab w:pos="1263" w:val="left" w:leader="none"/>
          <w:tab w:pos="1264" w:val="left" w:leader="none"/>
        </w:tabs>
        <w:spacing w:line="240" w:lineRule="auto" w:before="142" w:after="0"/>
        <w:ind w:left="1263" w:right="0" w:hanging="725"/>
        <w:jc w:val="left"/>
        <w:rPr>
          <w:sz w:val="18"/>
        </w:rPr>
      </w:pPr>
      <w:r>
        <w:rPr>
          <w:sz w:val="18"/>
        </w:rPr>
        <w:t>等待期：本附加合同生效日起或最后一次复效日起（以较迟者为准）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pacing w:val="-3"/>
          <w:sz w:val="18"/>
        </w:rPr>
        <w:t>日</w:t>
      </w:r>
      <w:r>
        <w:rPr>
          <w:sz w:val="18"/>
        </w:rPr>
        <w:t>）为等待期。</w:t>
      </w:r>
    </w:p>
    <w:p>
      <w:pPr>
        <w:pStyle w:val="ListParagraph"/>
        <w:numPr>
          <w:ilvl w:val="1"/>
          <w:numId w:val="12"/>
        </w:numPr>
        <w:tabs>
          <w:tab w:pos="1263" w:val="left" w:leader="none"/>
          <w:tab w:pos="1264" w:val="left" w:leader="none"/>
        </w:tabs>
        <w:spacing w:line="240" w:lineRule="auto" w:before="107" w:after="0"/>
        <w:ind w:left="1263" w:right="0" w:hanging="725"/>
        <w:jc w:val="left"/>
        <w:rPr>
          <w:sz w:val="18"/>
        </w:rPr>
      </w:pPr>
      <w:r>
        <w:rPr>
          <w:sz w:val="18"/>
        </w:rPr>
        <w:t>专科医生：专科医生应当同时满足以下四项资格条件：</w:t>
      </w:r>
    </w:p>
    <w:p>
      <w:pPr>
        <w:pStyle w:val="BodyText"/>
        <w:spacing w:before="107"/>
        <w:ind w:left="1244"/>
      </w:pPr>
      <w:r>
        <w:rPr/>
        <w:t>（1）具有有效的中华人民共和国《医师资格证书》；</w:t>
      </w:r>
    </w:p>
    <w:p>
      <w:pPr>
        <w:pStyle w:val="BodyText"/>
        <w:spacing w:before="117"/>
        <w:ind w:left="1244"/>
      </w:pPr>
      <w:r>
        <w:rPr/>
        <w:t>（2）具有有效的中华人民共和国《医师执业证书》，并按期到相关部门登记注册；</w:t>
      </w:r>
    </w:p>
    <w:p>
      <w:pPr>
        <w:pStyle w:val="BodyText"/>
        <w:spacing w:before="119"/>
        <w:ind w:left="1244"/>
      </w:pPr>
      <w:r>
        <w:rPr/>
        <w:t>（3）具有有效的中华人民共和国主治医师或主治医师以上职称的《医师职称证书》；</w:t>
      </w:r>
    </w:p>
    <w:p>
      <w:pPr>
        <w:pStyle w:val="BodyText"/>
        <w:spacing w:before="119"/>
        <w:ind w:left="1244"/>
      </w:pPr>
      <w:r>
        <w:rPr/>
        <w:t>（4）在二级或二级以上医院的相应科室从事临床工作三年以上。</w:t>
      </w:r>
    </w:p>
    <w:p>
      <w:pPr>
        <w:pStyle w:val="ListParagraph"/>
        <w:numPr>
          <w:ilvl w:val="1"/>
          <w:numId w:val="12"/>
        </w:numPr>
        <w:tabs>
          <w:tab w:pos="1263" w:val="left" w:leader="none"/>
          <w:tab w:pos="1264" w:val="left" w:leader="none"/>
        </w:tabs>
        <w:spacing w:line="240" w:lineRule="auto" w:before="119" w:after="0"/>
        <w:ind w:left="1263" w:right="0" w:hanging="725"/>
        <w:jc w:val="left"/>
        <w:rPr>
          <w:sz w:val="18"/>
        </w:rPr>
      </w:pPr>
      <w:r>
        <w:rPr>
          <w:sz w:val="18"/>
        </w:rPr>
        <w:t>重大疾病：指本附加合同第十四条所约定的疾病、疾病状态或手术。</w:t>
      </w:r>
    </w:p>
    <w:p>
      <w:pPr>
        <w:pStyle w:val="ListParagraph"/>
        <w:numPr>
          <w:ilvl w:val="1"/>
          <w:numId w:val="12"/>
        </w:numPr>
        <w:tabs>
          <w:tab w:pos="1263" w:val="left" w:leader="none"/>
          <w:tab w:pos="1264" w:val="left" w:leader="none"/>
        </w:tabs>
        <w:spacing w:line="340" w:lineRule="auto" w:before="106" w:after="0"/>
        <w:ind w:left="1263" w:right="103" w:hanging="725"/>
        <w:jc w:val="left"/>
        <w:rPr>
          <w:sz w:val="18"/>
        </w:rPr>
      </w:pPr>
      <w:r>
        <w:rPr>
          <w:sz w:val="18"/>
        </w:rPr>
        <w:t>意外伤害事故：指遭受外来的、突发的、非本意的、非疾病的使被保险人身体受到伤害的客观事件。此类意外伤害事故不包括无明确外来意外伤害原因导致的后果，如过敏、原发性感染、细菌性食物中毒、猝死等。</w:t>
      </w:r>
    </w:p>
    <w:p>
      <w:pPr>
        <w:pStyle w:val="ListParagraph"/>
        <w:numPr>
          <w:ilvl w:val="1"/>
          <w:numId w:val="12"/>
        </w:numPr>
        <w:tabs>
          <w:tab w:pos="1264" w:val="left" w:leader="none"/>
        </w:tabs>
        <w:spacing w:line="348" w:lineRule="auto" w:before="41" w:after="0"/>
        <w:ind w:left="1244" w:right="105" w:hanging="706"/>
        <w:jc w:val="both"/>
        <w:rPr>
          <w:sz w:val="18"/>
        </w:rPr>
      </w:pPr>
      <w:r>
        <w:rPr>
          <w:sz w:val="18"/>
        </w:rPr>
        <w:t>白血病：是血液及造血组织的恶性肿瘤，其特征为白细胞不受控制的进行性增长和扩散，可经血管转移到身体其它部位。经病理学检查结果明确诊断，属于世界卫生组织《疾病和有关健康问题的国际统计分类》（ICD-10）的白血病范畴。</w:t>
      </w:r>
    </w:p>
    <w:p>
      <w:pPr>
        <w:pStyle w:val="Heading3"/>
        <w:spacing w:before="41"/>
        <w:ind w:left="1222"/>
      </w:pPr>
      <w:r>
        <w:rPr/>
        <w:t>相当于 </w:t>
      </w:r>
      <w:r>
        <w:rPr>
          <w:rFonts w:ascii="Arial" w:eastAsia="Arial"/>
        </w:rPr>
        <w:t>Binet </w:t>
      </w:r>
      <w:r>
        <w:rPr/>
        <w:t>分期方案 </w:t>
      </w:r>
      <w:r>
        <w:rPr>
          <w:rFonts w:ascii="Arial" w:eastAsia="Arial"/>
        </w:rPr>
        <w:t>A </w:t>
      </w:r>
      <w:r>
        <w:rPr/>
        <w:t>期程度的慢性淋巴细胞白血病不在保障范围内。</w:t>
      </w:r>
    </w:p>
    <w:p>
      <w:pPr>
        <w:pStyle w:val="ListParagraph"/>
        <w:numPr>
          <w:ilvl w:val="1"/>
          <w:numId w:val="12"/>
        </w:numPr>
        <w:tabs>
          <w:tab w:pos="1264" w:val="left" w:leader="none"/>
        </w:tabs>
        <w:spacing w:line="350" w:lineRule="auto" w:before="104" w:after="0"/>
        <w:ind w:left="1244" w:right="101"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spacing w:after="0" w:line="350" w:lineRule="auto"/>
        <w:jc w:val="both"/>
        <w:rPr>
          <w:sz w:val="18"/>
        </w:rPr>
        <w:sectPr>
          <w:pgSz w:w="11910" w:h="16840"/>
          <w:pgMar w:header="672" w:footer="757" w:top="860" w:bottom="940" w:left="880" w:right="740"/>
        </w:sectPr>
      </w:pPr>
    </w:p>
    <w:p>
      <w:pPr>
        <w:pStyle w:val="BodyText"/>
        <w:spacing w:before="9"/>
        <w:ind w:left="0"/>
        <w:rPr>
          <w:sz w:val="13"/>
        </w:rPr>
      </w:pPr>
    </w:p>
    <w:p>
      <w:pPr>
        <w:pStyle w:val="ListParagraph"/>
        <w:numPr>
          <w:ilvl w:val="1"/>
          <w:numId w:val="12"/>
        </w:numPr>
        <w:tabs>
          <w:tab w:pos="1263" w:val="left" w:leader="none"/>
          <w:tab w:pos="1264" w:val="left" w:leader="none"/>
        </w:tabs>
        <w:spacing w:line="340" w:lineRule="auto" w:before="53" w:after="0"/>
        <w:ind w:left="1244" w:right="101"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2"/>
        </w:numPr>
        <w:tabs>
          <w:tab w:pos="1244" w:val="left" w:leader="none"/>
          <w:tab w:pos="1245" w:val="left" w:leader="none"/>
        </w:tabs>
        <w:spacing w:line="240" w:lineRule="auto" w:before="41" w:after="0"/>
        <w:ind w:left="1244" w:right="0" w:hanging="706"/>
        <w:jc w:val="left"/>
        <w:rPr>
          <w:sz w:val="18"/>
        </w:rPr>
      </w:pPr>
      <w:r>
        <w:rPr>
          <w:sz w:val="18"/>
        </w:rPr>
        <w:t>无合法有效驾驶证驾驶：是指下列情形之一：</w:t>
      </w:r>
    </w:p>
    <w:p>
      <w:pPr>
        <w:pStyle w:val="BodyText"/>
        <w:ind w:left="1244"/>
      </w:pPr>
      <w:r>
        <w:rPr/>
        <w:t>（1）没有取得驾驶资格；</w:t>
      </w:r>
    </w:p>
    <w:p>
      <w:pPr>
        <w:pStyle w:val="BodyText"/>
        <w:spacing w:before="115"/>
        <w:ind w:left="1244"/>
      </w:pPr>
      <w:r>
        <w:rPr/>
        <w:t>（2）驾驶与驾驶证准驾车型不相符合的车辆；</w:t>
      </w:r>
    </w:p>
    <w:p>
      <w:pPr>
        <w:pStyle w:val="BodyText"/>
        <w:spacing w:before="115"/>
        <w:ind w:left="1244"/>
      </w:pPr>
      <w:r>
        <w:rPr/>
        <w:t>（3）持审验不合格的驾驶证驾驶；</w:t>
      </w:r>
    </w:p>
    <w:p>
      <w:pPr>
        <w:pStyle w:val="BodyText"/>
        <w:spacing w:before="117"/>
        <w:ind w:left="1244"/>
      </w:pPr>
      <w:r>
        <w:rPr/>
        <w:t>（4）持学习驾驶证学习驾车时，无教练员随车指导，或不按指定时间、路线学习驾车。</w:t>
      </w:r>
    </w:p>
    <w:p>
      <w:pPr>
        <w:pStyle w:val="ListParagraph"/>
        <w:numPr>
          <w:ilvl w:val="1"/>
          <w:numId w:val="12"/>
        </w:numPr>
        <w:tabs>
          <w:tab w:pos="1244" w:val="left" w:leader="none"/>
          <w:tab w:pos="1245" w:val="left" w:leader="none"/>
        </w:tabs>
        <w:spacing w:line="240" w:lineRule="auto" w:before="117" w:after="0"/>
        <w:ind w:left="1244" w:right="0" w:hanging="706"/>
        <w:jc w:val="left"/>
        <w:rPr>
          <w:sz w:val="18"/>
        </w:rPr>
      </w:pPr>
      <w:r>
        <w:rPr>
          <w:sz w:val="18"/>
        </w:rPr>
        <w:t>无有效行驶证：是指下列情形之一：</w:t>
      </w:r>
    </w:p>
    <w:p>
      <w:pPr>
        <w:pStyle w:val="BodyText"/>
        <w:ind w:left="1244"/>
      </w:pPr>
      <w:r>
        <w:rPr/>
        <w:t>（1）没有机动车行驶证或已被依法注销登记；</w:t>
      </w:r>
    </w:p>
    <w:p>
      <w:pPr>
        <w:pStyle w:val="BodyText"/>
        <w:spacing w:before="114"/>
        <w:ind w:left="1244"/>
      </w:pPr>
      <w:r>
        <w:rPr/>
        <w:t>（2）未依法按时进行或通过机动车安全技术检验。</w:t>
      </w:r>
    </w:p>
    <w:p>
      <w:pPr>
        <w:pStyle w:val="ListParagraph"/>
        <w:numPr>
          <w:ilvl w:val="1"/>
          <w:numId w:val="12"/>
        </w:numPr>
        <w:tabs>
          <w:tab w:pos="1263" w:val="left" w:leader="none"/>
          <w:tab w:pos="1264" w:val="left" w:leader="none"/>
        </w:tabs>
        <w:spacing w:line="340" w:lineRule="auto" w:before="117" w:after="0"/>
        <w:ind w:left="1244" w:right="101"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2"/>
        </w:numPr>
        <w:tabs>
          <w:tab w:pos="1264" w:val="left" w:leader="none"/>
        </w:tabs>
        <w:spacing w:line="340" w:lineRule="auto" w:before="42" w:after="0"/>
        <w:ind w:left="1244" w:right="108"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2"/>
        </w:numPr>
        <w:tabs>
          <w:tab w:pos="1263" w:val="left" w:leader="none"/>
          <w:tab w:pos="1264" w:val="left" w:leader="none"/>
        </w:tabs>
        <w:spacing w:line="340" w:lineRule="auto" w:before="42" w:after="0"/>
        <w:ind w:left="1244" w:right="113"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2"/>
        </w:numPr>
        <w:tabs>
          <w:tab w:pos="1263" w:val="left" w:leader="none"/>
          <w:tab w:pos="1264" w:val="left" w:leader="none"/>
        </w:tabs>
        <w:spacing w:line="340" w:lineRule="auto" w:before="42" w:after="0"/>
        <w:ind w:left="1244" w:right="101" w:hanging="706"/>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w:t>
      </w:r>
      <w:r>
        <w:rPr>
          <w:rFonts w:ascii="Arial" w:eastAsia="Arial"/>
          <w:sz w:val="18"/>
        </w:rPr>
        <w:t>ICD-10</w:t>
      </w:r>
      <w:r>
        <w:rPr>
          <w:sz w:val="18"/>
        </w:rPr>
        <w:t>）确定。</w:t>
      </w:r>
    </w:p>
    <w:p>
      <w:pPr>
        <w:pStyle w:val="ListParagraph"/>
        <w:numPr>
          <w:ilvl w:val="1"/>
          <w:numId w:val="12"/>
        </w:numPr>
        <w:tabs>
          <w:tab w:pos="1263" w:val="left" w:leader="none"/>
          <w:tab w:pos="1264" w:val="left" w:leader="none"/>
        </w:tabs>
        <w:spacing w:line="240" w:lineRule="auto" w:before="20" w:after="0"/>
        <w:ind w:left="1263" w:right="0" w:hanging="725"/>
        <w:jc w:val="left"/>
        <w:rPr>
          <w:sz w:val="18"/>
        </w:rPr>
      </w:pPr>
      <w:r>
        <w:rPr>
          <w:sz w:val="18"/>
        </w:rPr>
        <w:t>现金价值：指保险单所具有的价值，通常体现为解除合同时，根据精算原理计算的，由我们退还的那部分金额。</w:t>
      </w:r>
    </w:p>
    <w:p>
      <w:pPr>
        <w:pStyle w:val="ListParagraph"/>
        <w:numPr>
          <w:ilvl w:val="1"/>
          <w:numId w:val="12"/>
        </w:numPr>
        <w:tabs>
          <w:tab w:pos="1263" w:val="left" w:leader="none"/>
          <w:tab w:pos="1264" w:val="left" w:leader="none"/>
        </w:tabs>
        <w:spacing w:line="240" w:lineRule="auto" w:before="106" w:after="0"/>
        <w:ind w:left="1263" w:right="0" w:hanging="725"/>
        <w:jc w:val="left"/>
        <w:rPr>
          <w:sz w:val="18"/>
        </w:rPr>
      </w:pPr>
      <w:r>
        <w:rPr>
          <w:sz w:val="18"/>
        </w:rPr>
        <w:t>全残：指发生下列情况之一或多项者：</w:t>
      </w:r>
    </w:p>
    <w:p>
      <w:pPr>
        <w:pStyle w:val="BodyText"/>
        <w:tabs>
          <w:tab w:pos="1971" w:val="left" w:leader="none"/>
        </w:tabs>
        <w:spacing w:before="117"/>
        <w:ind w:left="1218"/>
      </w:pPr>
      <w:r>
        <w:rPr>
          <w:sz w:val="16"/>
        </w:rPr>
        <w:t>一</w:t>
        <w:tab/>
      </w:r>
      <w:r>
        <w:rPr>
          <w:position w:val="1"/>
        </w:rPr>
        <w:t>双目永久完全失明的（注</w:t>
      </w:r>
      <w:r>
        <w:rPr>
          <w:spacing w:val="-45"/>
          <w:position w:val="1"/>
        </w:rPr>
        <w:t> </w:t>
      </w:r>
      <w:r>
        <w:rPr>
          <w:rFonts w:ascii="Arial" w:eastAsia="Arial"/>
          <w:position w:val="1"/>
        </w:rPr>
        <w:t>1</w:t>
      </w:r>
      <w:r>
        <w:rPr>
          <w:position w:val="1"/>
        </w:rPr>
        <w:t>）</w:t>
      </w:r>
    </w:p>
    <w:p>
      <w:pPr>
        <w:spacing w:line="362" w:lineRule="auto" w:before="118"/>
        <w:ind w:left="1218" w:right="4715" w:firstLine="0"/>
        <w:jc w:val="both"/>
        <w:rPr>
          <w:sz w:val="18"/>
        </w:rPr>
      </w:pPr>
      <w:r>
        <w:rPr>
          <w:sz w:val="16"/>
        </w:rPr>
        <w:t>二      </w:t>
      </w:r>
      <w:r>
        <w:rPr>
          <w:sz w:val="18"/>
        </w:rPr>
        <w:t>两上肢腕关节以上或两下肢踝关节以上缺失的</w:t>
      </w:r>
      <w:r>
        <w:rPr>
          <w:sz w:val="16"/>
        </w:rPr>
        <w:t>三      </w:t>
      </w:r>
      <w:r>
        <w:rPr>
          <w:sz w:val="18"/>
        </w:rPr>
        <w:t>一上肢腕关节以上及一下肢踝关节以上缺失的</w:t>
      </w:r>
      <w:r>
        <w:rPr>
          <w:sz w:val="16"/>
        </w:rPr>
        <w:t>四      </w:t>
      </w:r>
      <w:r>
        <w:rPr>
          <w:sz w:val="18"/>
        </w:rPr>
        <w:t>一目永久完全失明及一上肢腕关节以上缺失的</w:t>
      </w:r>
      <w:r>
        <w:rPr>
          <w:sz w:val="16"/>
        </w:rPr>
        <w:t>五      </w:t>
      </w:r>
      <w:r>
        <w:rPr>
          <w:sz w:val="18"/>
        </w:rPr>
        <w:t>一目永久完全失明及一下肢踝关节以上缺失的</w:t>
      </w:r>
      <w:r>
        <w:rPr>
          <w:sz w:val="16"/>
        </w:rPr>
        <w:t>六       </w:t>
      </w:r>
      <w:r>
        <w:rPr>
          <w:sz w:val="18"/>
        </w:rPr>
        <w:t>四肢关节机能永久完全丧失的（注 2）</w:t>
      </w:r>
    </w:p>
    <w:p>
      <w:pPr>
        <w:pStyle w:val="BodyText"/>
        <w:tabs>
          <w:tab w:pos="1971" w:val="left" w:leader="none"/>
        </w:tabs>
        <w:spacing w:before="82"/>
        <w:ind w:left="1218"/>
      </w:pPr>
      <w:r>
        <w:rPr>
          <w:sz w:val="16"/>
        </w:rPr>
        <w:t>七</w:t>
        <w:tab/>
      </w:r>
      <w:r>
        <w:rPr/>
        <w:t>咀嚼、吞咽机能永久完全丧失的（注</w:t>
      </w:r>
      <w:r>
        <w:rPr>
          <w:spacing w:val="-43"/>
        </w:rPr>
        <w:t> </w:t>
      </w:r>
      <w:r>
        <w:rPr/>
        <w:t>3）</w:t>
      </w:r>
    </w:p>
    <w:p>
      <w:pPr>
        <w:pStyle w:val="BodyText"/>
        <w:spacing w:before="4"/>
        <w:ind w:left="0"/>
        <w:rPr>
          <w:sz w:val="13"/>
        </w:rPr>
      </w:pPr>
    </w:p>
    <w:p>
      <w:pPr>
        <w:pStyle w:val="BodyText"/>
        <w:tabs>
          <w:tab w:pos="1971" w:val="left" w:leader="none"/>
        </w:tabs>
        <w:spacing w:line="360" w:lineRule="auto" w:before="0"/>
        <w:ind w:left="1971" w:right="755" w:hanging="754"/>
      </w:pPr>
      <w:r>
        <w:rPr>
          <w:sz w:val="16"/>
        </w:rPr>
        <w:t>八</w:t>
        <w:tab/>
      </w:r>
      <w:r>
        <w:rPr/>
        <w:t>中枢神经系统机能或胸、腹部脏器机能极度障碍，终身不能从事任何工作，为维持生命必要的日常生活活动，全需他人扶助的（注</w:t>
      </w:r>
      <w:r>
        <w:rPr>
          <w:spacing w:val="-43"/>
        </w:rPr>
        <w:t> </w:t>
      </w:r>
      <w:r>
        <w:rPr/>
        <w:t>4）</w:t>
      </w:r>
    </w:p>
    <w:p>
      <w:pPr>
        <w:pStyle w:val="BodyText"/>
        <w:spacing w:before="27"/>
        <w:ind w:left="1191"/>
      </w:pPr>
      <w:r>
        <w:rPr/>
        <w:t>注：</w:t>
      </w:r>
    </w:p>
    <w:p>
      <w:pPr>
        <w:pStyle w:val="ListParagraph"/>
        <w:numPr>
          <w:ilvl w:val="2"/>
          <w:numId w:val="12"/>
        </w:numPr>
        <w:tabs>
          <w:tab w:pos="1389" w:val="left" w:leader="none"/>
        </w:tabs>
        <w:spacing w:line="240" w:lineRule="auto" w:before="119" w:after="0"/>
        <w:ind w:left="1388" w:right="0" w:hanging="197"/>
        <w:jc w:val="left"/>
        <w:rPr>
          <w:sz w:val="18"/>
        </w:rPr>
      </w:pPr>
      <w:r>
        <w:rPr>
          <w:spacing w:val="6"/>
          <w:sz w:val="18"/>
        </w:rPr>
        <w:t>失明包括眼球缺失或摘除、或不能辨别明暗、或仅能辨别眼前手动者，最佳矫正视力低于国际标准视力表</w:t>
      </w:r>
    </w:p>
    <w:p>
      <w:pPr>
        <w:pStyle w:val="BodyText"/>
        <w:ind w:left="1388"/>
      </w:pPr>
      <w:r>
        <w:rPr>
          <w:rFonts w:ascii="Arial" w:eastAsia="Arial"/>
        </w:rPr>
        <w:t>0.02</w:t>
      </w:r>
      <w:r>
        <w:rPr/>
        <w:t>，或视野半径小于 </w:t>
      </w:r>
      <w:r>
        <w:rPr>
          <w:rFonts w:ascii="Arial" w:eastAsia="Arial"/>
        </w:rPr>
        <w:t>5 </w:t>
      </w:r>
      <w:r>
        <w:rPr/>
        <w:t>度，并由保险公司指定有资格的眼科医师出具医疗诊断证明。</w:t>
      </w:r>
    </w:p>
    <w:p>
      <w:pPr>
        <w:pStyle w:val="ListParagraph"/>
        <w:numPr>
          <w:ilvl w:val="2"/>
          <w:numId w:val="12"/>
        </w:numPr>
        <w:tabs>
          <w:tab w:pos="1389" w:val="left" w:leader="none"/>
        </w:tabs>
        <w:spacing w:line="240" w:lineRule="auto" w:before="105" w:after="0"/>
        <w:ind w:left="1388" w:right="0" w:hanging="197"/>
        <w:jc w:val="left"/>
        <w:rPr>
          <w:sz w:val="18"/>
        </w:rPr>
      </w:pPr>
      <w:r>
        <w:rPr>
          <w:sz w:val="18"/>
        </w:rPr>
        <w:t>关节机能的丧失系指关节永久完全僵硬、或麻痹、或关节不能随意识活动。</w:t>
      </w:r>
    </w:p>
    <w:p>
      <w:pPr>
        <w:pStyle w:val="ListParagraph"/>
        <w:numPr>
          <w:ilvl w:val="2"/>
          <w:numId w:val="12"/>
        </w:numPr>
        <w:tabs>
          <w:tab w:pos="1389" w:val="left" w:leader="none"/>
        </w:tabs>
        <w:spacing w:line="340" w:lineRule="auto" w:before="106" w:after="0"/>
        <w:ind w:left="1388" w:right="121" w:hanging="197"/>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2"/>
          <w:numId w:val="12"/>
        </w:numPr>
        <w:tabs>
          <w:tab w:pos="1389" w:val="left" w:leader="none"/>
        </w:tabs>
        <w:spacing w:line="340" w:lineRule="auto" w:before="41" w:after="0"/>
        <w:ind w:left="1388" w:right="101" w:hanging="197"/>
        <w:jc w:val="left"/>
        <w:rPr>
          <w:sz w:val="18"/>
        </w:rPr>
      </w:pPr>
      <w:r>
        <w:rPr>
          <w:spacing w:val="5"/>
          <w:sz w:val="18"/>
        </w:rPr>
        <w:t>为维持生命必要之日常生活活动，全需他人扶助系指食物摄取、大小便始末、穿脱衣服、起居、步行、入浴</w:t>
      </w:r>
      <w:r>
        <w:rPr>
          <w:sz w:val="18"/>
        </w:rPr>
        <w:t>等，皆不能自己为之，需要他人帮助。</w:t>
      </w:r>
    </w:p>
    <w:p>
      <w:pPr>
        <w:pStyle w:val="ListParagraph"/>
        <w:numPr>
          <w:ilvl w:val="2"/>
          <w:numId w:val="12"/>
        </w:numPr>
        <w:tabs>
          <w:tab w:pos="1389" w:val="left" w:leader="none"/>
        </w:tabs>
        <w:spacing w:line="340" w:lineRule="auto" w:before="41" w:after="0"/>
        <w:ind w:left="1388" w:right="109" w:hanging="197"/>
        <w:jc w:val="left"/>
        <w:rPr>
          <w:sz w:val="18"/>
        </w:rPr>
      </w:pPr>
      <w:r>
        <w:rPr>
          <w:spacing w:val="0"/>
          <w:sz w:val="18"/>
        </w:rPr>
        <w:t>所谓永久完全系指自意外伤害之日起经过 </w:t>
      </w:r>
      <w:r>
        <w:rPr>
          <w:sz w:val="18"/>
        </w:rPr>
        <w:t>180 日的治疗，机能仍然完全丧失，但眼球摘除等明显无法复原之情况，不在此限。</w:t>
      </w:r>
    </w:p>
    <w:p>
      <w:pPr>
        <w:spacing w:after="0" w:line="340" w:lineRule="auto"/>
        <w:jc w:val="left"/>
        <w:rPr>
          <w:sz w:val="18"/>
        </w:rPr>
        <w:sectPr>
          <w:pgSz w:w="11910" w:h="16840"/>
          <w:pgMar w:header="672" w:footer="757" w:top="860" w:bottom="940" w:left="880" w:right="740"/>
        </w:sectPr>
      </w:pPr>
    </w:p>
    <w:p>
      <w:pPr>
        <w:spacing w:before="29"/>
        <w:ind w:left="0" w:right="545" w:firstLine="0"/>
        <w:jc w:val="right"/>
        <w:rPr>
          <w:b/>
          <w:sz w:val="16"/>
        </w:rPr>
      </w:pPr>
      <w:r>
        <w:rPr>
          <w:b/>
          <w:sz w:val="16"/>
        </w:rPr>
        <w:t>联泰大都会人寿保险有限公司</w:t>
      </w:r>
    </w:p>
    <w:p>
      <w:pPr>
        <w:pStyle w:val="BodyText"/>
        <w:spacing w:before="9"/>
        <w:ind w:left="0"/>
        <w:rPr>
          <w:b/>
          <w:sz w:val="13"/>
        </w:rPr>
      </w:pPr>
    </w:p>
    <w:p>
      <w:pPr>
        <w:pStyle w:val="ListParagraph"/>
        <w:numPr>
          <w:ilvl w:val="1"/>
          <w:numId w:val="12"/>
        </w:numPr>
        <w:tabs>
          <w:tab w:pos="1283" w:val="left" w:leader="none"/>
          <w:tab w:pos="1284" w:val="left" w:leader="none"/>
        </w:tabs>
        <w:spacing w:line="340" w:lineRule="auto" w:before="53" w:after="0"/>
        <w:ind w:left="1264" w:right="547" w:hanging="706"/>
        <w:jc w:val="left"/>
        <w:rPr>
          <w:sz w:val="18"/>
        </w:rPr>
      </w:pPr>
      <w:r>
        <w:rPr>
          <w:sz w:val="18"/>
        </w:rPr>
        <w:t>有资质的伤残鉴定机构：指中华人民共和国政府部门设置的有资格进行残疾鉴定的非营利性的事业性单位，包括司法鉴定机构、交通事故鉴定机构、工伤职业病鉴定机构、医疗鉴定机构，不包括医院等提供医疗服务的机构。</w:t>
      </w:r>
    </w:p>
    <w:p>
      <w:pPr>
        <w:pStyle w:val="ListParagraph"/>
        <w:numPr>
          <w:ilvl w:val="1"/>
          <w:numId w:val="12"/>
        </w:numPr>
        <w:tabs>
          <w:tab w:pos="1264" w:val="left" w:leader="none"/>
          <w:tab w:pos="1265" w:val="left" w:leader="none"/>
        </w:tabs>
        <w:spacing w:line="240" w:lineRule="auto" w:before="41" w:after="0"/>
        <w:ind w:left="1264" w:right="0" w:hanging="706"/>
        <w:jc w:val="left"/>
        <w:rPr>
          <w:sz w:val="18"/>
        </w:rPr>
      </w:pPr>
      <w:r>
        <w:rPr>
          <w:sz w:val="18"/>
        </w:rPr>
        <w:t>犹豫期：是指您在书面签收保险合同之日起的十日内（含第十日）。</w:t>
      </w:r>
    </w:p>
    <w:p>
      <w:pPr>
        <w:pStyle w:val="ListParagraph"/>
        <w:numPr>
          <w:ilvl w:val="1"/>
          <w:numId w:val="12"/>
        </w:numPr>
        <w:tabs>
          <w:tab w:pos="1283" w:val="left" w:leader="none"/>
          <w:tab w:pos="1284" w:val="left" w:leader="none"/>
        </w:tabs>
        <w:spacing w:line="340" w:lineRule="auto" w:before="106" w:after="0"/>
        <w:ind w:left="1264" w:right="541"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2"/>
        </w:numPr>
        <w:tabs>
          <w:tab w:pos="1283" w:val="left" w:leader="none"/>
          <w:tab w:pos="1284" w:val="left" w:leader="none"/>
        </w:tabs>
        <w:spacing w:line="240" w:lineRule="auto" w:before="41" w:after="0"/>
        <w:ind w:left="1283" w:right="0" w:hanging="725"/>
        <w:jc w:val="left"/>
        <w:rPr>
          <w:sz w:val="18"/>
        </w:rPr>
      </w:pPr>
      <w:r>
        <w:rPr>
          <w:sz w:val="18"/>
        </w:rPr>
        <w:t>语言能力或咀嚼吞咽能力完全丧失：</w:t>
      </w:r>
    </w:p>
    <w:p>
      <w:pPr>
        <w:pStyle w:val="BodyText"/>
        <w:spacing w:line="360" w:lineRule="auto" w:before="106"/>
        <w:ind w:left="1264" w:right="544"/>
      </w:pPr>
      <w:r>
        <w:rPr/>
        <w:t>语言能力完全丧失，指无法发出四种语音（包括口唇音、齿舌音、口盖音和喉头音）中的任何三种、或声带全部切除，或因大脑语言中枢受伤害而患失语症。</w:t>
      </w:r>
    </w:p>
    <w:p>
      <w:pPr>
        <w:pStyle w:val="BodyText"/>
        <w:spacing w:line="360" w:lineRule="auto" w:before="26"/>
        <w:ind w:left="1264" w:right="544"/>
      </w:pPr>
      <w:r>
        <w:rPr/>
        <w:t>咀嚼吞咽能力完全丧失，指因牙齿以外的原因导致器质障碍或机能障碍，以致不能作咀嚼吞咽运动，除流质食物外不能摄取或吞咽的状态。</w:t>
      </w:r>
    </w:p>
    <w:p>
      <w:pPr>
        <w:pStyle w:val="ListParagraph"/>
        <w:numPr>
          <w:ilvl w:val="1"/>
          <w:numId w:val="12"/>
        </w:numPr>
        <w:tabs>
          <w:tab w:pos="1283" w:val="left" w:leader="none"/>
          <w:tab w:pos="1284" w:val="left" w:leader="none"/>
        </w:tabs>
        <w:spacing w:line="240" w:lineRule="auto" w:before="26" w:after="0"/>
        <w:ind w:left="1283" w:right="0" w:hanging="725"/>
        <w:jc w:val="left"/>
        <w:rPr>
          <w:sz w:val="18"/>
        </w:rPr>
      </w:pPr>
      <w:r>
        <w:rPr>
          <w:sz w:val="18"/>
        </w:rPr>
        <w:t>六项基本日常生活活动是指：</w:t>
      </w:r>
    </w:p>
    <w:p>
      <w:pPr>
        <w:pStyle w:val="BodyText"/>
        <w:spacing w:before="106"/>
        <w:ind w:left="1264"/>
      </w:pPr>
      <w:r>
        <w:rPr/>
        <w:t>（1）穿衣：自己能够穿衣及脱衣；</w:t>
      </w:r>
    </w:p>
    <w:p>
      <w:pPr>
        <w:pStyle w:val="BodyText"/>
        <w:spacing w:before="119"/>
        <w:ind w:left="1264"/>
      </w:pPr>
      <w:r>
        <w:rPr/>
        <w:t>（2）移动：自己从一个房间到另一个房间；</w:t>
      </w:r>
    </w:p>
    <w:p>
      <w:pPr>
        <w:pStyle w:val="BodyText"/>
        <w:spacing w:before="120"/>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2"/>
        </w:numPr>
        <w:tabs>
          <w:tab w:pos="1283" w:val="left" w:leader="none"/>
          <w:tab w:pos="1284" w:val="left" w:leader="none"/>
        </w:tabs>
        <w:spacing w:line="240" w:lineRule="auto" w:before="119"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BodyText"/>
        <w:spacing w:before="0"/>
        <w:ind w:left="0"/>
        <w:rPr>
          <w:sz w:val="20"/>
        </w:rPr>
      </w:pPr>
    </w:p>
    <w:p>
      <w:pPr>
        <w:pStyle w:val="BodyText"/>
        <w:spacing w:before="11"/>
        <w:ind w:left="0"/>
        <w:rPr>
          <w:sz w:val="15"/>
        </w:rPr>
      </w:pPr>
      <w:r>
        <w:rPr/>
        <w:pict>
          <v:line style="position:absolute;mso-position-horizontal-relative:page;mso-position-vertical-relative:paragraph;z-index:1072;mso-wrap-distance-left:0;mso-wrap-distance-right:0" from="48.119999pt,12.613818pt" to="575.279999pt,12.613818pt" stroked="true" strokeweight=".48pt" strokecolor="#000000">
            <v:stroke dashstyle="shortdot"/>
            <w10:wrap type="topAndBottom"/>
          </v:line>
        </w:pict>
      </w:r>
    </w:p>
    <w:p>
      <w:pPr>
        <w:spacing w:before="39"/>
        <w:ind w:left="4973" w:right="4976" w:firstLine="0"/>
        <w:jc w:val="center"/>
        <w:rPr>
          <w:sz w:val="20"/>
        </w:rPr>
      </w:pPr>
      <w:r>
        <w:rPr>
          <w:w w:val="95"/>
          <w:sz w:val="20"/>
        </w:rPr>
        <w:t>以下空白</w:t>
      </w:r>
    </w:p>
    <w:sectPr>
      <w:headerReference w:type="default" r:id="rId8"/>
      <w:footerReference w:type="default" r:id="rId9"/>
      <w:pgSz w:w="11910" w:h="16840"/>
      <w:pgMar w:header="0" w:footer="757" w:top="62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0.45pt;height:11pt;mso-position-horizontal-relative:page;mso-position-vertical-relative:page;z-index:-14344" type="#_x0000_t202" filled="false" stroked="false">
          <v:textbox inset="0,0,0,0">
            <w:txbxContent>
              <w:p>
                <w:pPr>
                  <w:spacing w:before="15"/>
                  <w:ind w:left="20" w:right="0" w:firstLine="0"/>
                  <w:jc w:val="left"/>
                  <w:rPr>
                    <w:rFonts w:ascii="Arial"/>
                    <w:sz w:val="16"/>
                  </w:rPr>
                </w:pPr>
                <w:r>
                  <w:rPr>
                    <w:rFonts w:ascii="Arial"/>
                    <w:sz w:val="16"/>
                  </w:rPr>
                  <w:t>DD07-B</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817566pt;width:30.45pt;height:11pt;mso-position-horizontal-relative:page;mso-position-vertical-relative:page;z-index:-14296" type="#_x0000_t202" filled="false" stroked="false">
          <v:textbox inset="0,0,0,0">
            <w:txbxContent>
              <w:p>
                <w:pPr>
                  <w:spacing w:before="15"/>
                  <w:ind w:left="20" w:right="0" w:firstLine="0"/>
                  <w:jc w:val="left"/>
                  <w:rPr>
                    <w:rFonts w:ascii="Arial"/>
                    <w:sz w:val="16"/>
                  </w:rPr>
                </w:pPr>
                <w:r>
                  <w:rPr>
                    <w:rFonts w:ascii="Arial"/>
                    <w:sz w:val="16"/>
                  </w:rPr>
                  <w:t>DD07-B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4320"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5"/>
      <w:numFmt w:val="decimal"/>
      <w:lvlText w:val="%1"/>
      <w:lvlJc w:val="left"/>
      <w:pPr>
        <w:ind w:left="1263" w:hanging="725"/>
        <w:jc w:val="left"/>
      </w:pPr>
      <w:rPr>
        <w:rFonts w:hint="default"/>
      </w:rPr>
    </w:lvl>
    <w:lvl w:ilvl="1">
      <w:start w:val="1"/>
      <w:numFmt w:val="decimal"/>
      <w:lvlText w:val="%1.%2"/>
      <w:lvlJc w:val="left"/>
      <w:pPr>
        <w:ind w:left="1263" w:hanging="725"/>
        <w:jc w:val="left"/>
      </w:pPr>
      <w:rPr>
        <w:rFonts w:hint="default" w:ascii="Arial" w:hAnsi="Arial" w:eastAsia="Arial" w:cs="Arial"/>
        <w:spacing w:val="-47"/>
        <w:w w:val="99"/>
        <w:sz w:val="18"/>
        <w:szCs w:val="18"/>
      </w:rPr>
    </w:lvl>
    <w:lvl w:ilvl="2">
      <w:start w:val="1"/>
      <w:numFmt w:val="decimal"/>
      <w:lvlText w:val="%3."/>
      <w:lvlJc w:val="left"/>
      <w:pPr>
        <w:ind w:left="1388" w:hanging="197"/>
        <w:jc w:val="left"/>
      </w:pPr>
      <w:rPr>
        <w:rFonts w:hint="default" w:ascii="Arial" w:hAnsi="Arial" w:eastAsia="Arial" w:cs="Arial"/>
        <w:w w:val="100"/>
        <w:sz w:val="18"/>
        <w:szCs w:val="18"/>
      </w:rPr>
    </w:lvl>
    <w:lvl w:ilvl="3">
      <w:start w:val="0"/>
      <w:numFmt w:val="bullet"/>
      <w:lvlText w:val="•"/>
      <w:lvlJc w:val="left"/>
      <w:pPr>
        <w:ind w:left="3359" w:hanging="197"/>
      </w:pPr>
      <w:rPr>
        <w:rFonts w:hint="default"/>
      </w:rPr>
    </w:lvl>
    <w:lvl w:ilvl="4">
      <w:start w:val="0"/>
      <w:numFmt w:val="bullet"/>
      <w:lvlText w:val="•"/>
      <w:lvlJc w:val="left"/>
      <w:pPr>
        <w:ind w:left="4349" w:hanging="197"/>
      </w:pPr>
      <w:rPr>
        <w:rFonts w:hint="default"/>
      </w:rPr>
    </w:lvl>
    <w:lvl w:ilvl="5">
      <w:start w:val="0"/>
      <w:numFmt w:val="bullet"/>
      <w:lvlText w:val="•"/>
      <w:lvlJc w:val="left"/>
      <w:pPr>
        <w:ind w:left="5339" w:hanging="197"/>
      </w:pPr>
      <w:rPr>
        <w:rFonts w:hint="default"/>
      </w:rPr>
    </w:lvl>
    <w:lvl w:ilvl="6">
      <w:start w:val="0"/>
      <w:numFmt w:val="bullet"/>
      <w:lvlText w:val="•"/>
      <w:lvlJc w:val="left"/>
      <w:pPr>
        <w:ind w:left="6329" w:hanging="197"/>
      </w:pPr>
      <w:rPr>
        <w:rFonts w:hint="default"/>
      </w:rPr>
    </w:lvl>
    <w:lvl w:ilvl="7">
      <w:start w:val="0"/>
      <w:numFmt w:val="bullet"/>
      <w:lvlText w:val="•"/>
      <w:lvlJc w:val="left"/>
      <w:pPr>
        <w:ind w:left="7319" w:hanging="197"/>
      </w:pPr>
      <w:rPr>
        <w:rFonts w:hint="default"/>
      </w:rPr>
    </w:lvl>
    <w:lvl w:ilvl="8">
      <w:start w:val="0"/>
      <w:numFmt w:val="bullet"/>
      <w:lvlText w:val="•"/>
      <w:lvlJc w:val="left"/>
      <w:pPr>
        <w:ind w:left="8309" w:hanging="197"/>
      </w:pPr>
      <w:rPr>
        <w:rFonts w:hint="default"/>
      </w:rPr>
    </w:lvl>
  </w:abstractNum>
  <w:abstractNum w:abstractNumId="10">
    <w:multiLevelType w:val="hybridMultilevel"/>
    <w:lvl w:ilvl="0">
      <w:start w:val="14"/>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494" w:hanging="567"/>
      </w:pPr>
      <w:rPr>
        <w:rFonts w:hint="default"/>
      </w:rPr>
    </w:lvl>
    <w:lvl w:ilvl="3">
      <w:start w:val="0"/>
      <w:numFmt w:val="bullet"/>
      <w:lvlText w:val="•"/>
      <w:lvlJc w:val="left"/>
      <w:pPr>
        <w:ind w:left="3468" w:hanging="567"/>
      </w:pPr>
      <w:rPr>
        <w:rFonts w:hint="default"/>
      </w:rPr>
    </w:lvl>
    <w:lvl w:ilvl="4">
      <w:start w:val="0"/>
      <w:numFmt w:val="bullet"/>
      <w:lvlText w:val="•"/>
      <w:lvlJc w:val="left"/>
      <w:pPr>
        <w:ind w:left="4442" w:hanging="567"/>
      </w:pPr>
      <w:rPr>
        <w:rFonts w:hint="default"/>
      </w:rPr>
    </w:lvl>
    <w:lvl w:ilvl="5">
      <w:start w:val="0"/>
      <w:numFmt w:val="bullet"/>
      <w:lvlText w:val="•"/>
      <w:lvlJc w:val="left"/>
      <w:pPr>
        <w:ind w:left="5417" w:hanging="567"/>
      </w:pPr>
      <w:rPr>
        <w:rFonts w:hint="default"/>
      </w:rPr>
    </w:lvl>
    <w:lvl w:ilvl="6">
      <w:start w:val="0"/>
      <w:numFmt w:val="bullet"/>
      <w:lvlText w:val="•"/>
      <w:lvlJc w:val="left"/>
      <w:pPr>
        <w:ind w:left="6391" w:hanging="567"/>
      </w:pPr>
      <w:rPr>
        <w:rFonts w:hint="default"/>
      </w:rPr>
    </w:lvl>
    <w:lvl w:ilvl="7">
      <w:start w:val="0"/>
      <w:numFmt w:val="bullet"/>
      <w:lvlText w:val="•"/>
      <w:lvlJc w:val="left"/>
      <w:pPr>
        <w:ind w:left="7365" w:hanging="567"/>
      </w:pPr>
      <w:rPr>
        <w:rFonts w:hint="default"/>
      </w:rPr>
    </w:lvl>
    <w:lvl w:ilvl="8">
      <w:start w:val="0"/>
      <w:numFmt w:val="bullet"/>
      <w:lvlText w:val="•"/>
      <w:lvlJc w:val="left"/>
      <w:pPr>
        <w:ind w:left="8340" w:hanging="567"/>
      </w:pPr>
      <w:rPr>
        <w:rFonts w:hint="default"/>
      </w:rPr>
    </w:lvl>
  </w:abstractNum>
  <w:abstractNum w:abstractNumId="9">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671" w:hanging="567"/>
        <w:jc w:val="left"/>
      </w:pPr>
      <w:rPr>
        <w:rFonts w:hint="default" w:ascii="Arial" w:hAnsi="Arial" w:eastAsia="Arial" w:cs="Arial"/>
        <w:w w:val="99"/>
        <w:sz w:val="18"/>
        <w:szCs w:val="18"/>
      </w:rPr>
    </w:lvl>
    <w:lvl w:ilvl="3">
      <w:start w:val="0"/>
      <w:numFmt w:val="bullet"/>
      <w:lvlText w:val="•"/>
      <w:lvlJc w:val="left"/>
      <w:pPr>
        <w:ind w:left="3593" w:hanging="567"/>
      </w:pPr>
      <w:rPr>
        <w:rFonts w:hint="default"/>
      </w:rPr>
    </w:lvl>
    <w:lvl w:ilvl="4">
      <w:start w:val="0"/>
      <w:numFmt w:val="bullet"/>
      <w:lvlText w:val="•"/>
      <w:lvlJc w:val="left"/>
      <w:pPr>
        <w:ind w:left="4549" w:hanging="567"/>
      </w:pPr>
      <w:rPr>
        <w:rFonts w:hint="default"/>
      </w:rPr>
    </w:lvl>
    <w:lvl w:ilvl="5">
      <w:start w:val="0"/>
      <w:numFmt w:val="bullet"/>
      <w:lvlText w:val="•"/>
      <w:lvlJc w:val="left"/>
      <w:pPr>
        <w:ind w:left="5506" w:hanging="567"/>
      </w:pPr>
      <w:rPr>
        <w:rFonts w:hint="default"/>
      </w:rPr>
    </w:lvl>
    <w:lvl w:ilvl="6">
      <w:start w:val="0"/>
      <w:numFmt w:val="bullet"/>
      <w:lvlText w:val="•"/>
      <w:lvlJc w:val="left"/>
      <w:pPr>
        <w:ind w:left="6462" w:hanging="567"/>
      </w:pPr>
      <w:rPr>
        <w:rFonts w:hint="default"/>
      </w:rPr>
    </w:lvl>
    <w:lvl w:ilvl="7">
      <w:start w:val="0"/>
      <w:numFmt w:val="bullet"/>
      <w:lvlText w:val="•"/>
      <w:lvlJc w:val="left"/>
      <w:pPr>
        <w:ind w:left="7419" w:hanging="567"/>
      </w:pPr>
      <w:rPr>
        <w:rFonts w:hint="default"/>
      </w:rPr>
    </w:lvl>
    <w:lvl w:ilvl="8">
      <w:start w:val="0"/>
      <w:numFmt w:val="bullet"/>
      <w:lvlText w:val="•"/>
      <w:lvlJc w:val="left"/>
      <w:pPr>
        <w:ind w:left="8375" w:hanging="567"/>
      </w:pPr>
      <w:rPr>
        <w:rFonts w:hint="default"/>
      </w:rPr>
    </w:lvl>
  </w:abstractNum>
  <w:abstractNum w:abstractNumId="8">
    <w:multiLevelType w:val="hybridMultilevel"/>
    <w:lvl w:ilvl="0">
      <w:start w:val="1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10"/>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2756" w:hanging="538"/>
      </w:pPr>
      <w:rPr>
        <w:rFonts w:hint="default"/>
      </w:rPr>
    </w:lvl>
    <w:lvl w:ilvl="4">
      <w:start w:val="0"/>
      <w:numFmt w:val="bullet"/>
      <w:lvlText w:val="•"/>
      <w:lvlJc w:val="left"/>
      <w:pPr>
        <w:ind w:left="3832" w:hanging="538"/>
      </w:pPr>
      <w:rPr>
        <w:rFonts w:hint="default"/>
      </w:rPr>
    </w:lvl>
    <w:lvl w:ilvl="5">
      <w:start w:val="0"/>
      <w:numFmt w:val="bullet"/>
      <w:lvlText w:val="•"/>
      <w:lvlJc w:val="left"/>
      <w:pPr>
        <w:ind w:left="4908" w:hanging="538"/>
      </w:pPr>
      <w:rPr>
        <w:rFonts w:hint="default"/>
      </w:rPr>
    </w:lvl>
    <w:lvl w:ilvl="6">
      <w:start w:val="0"/>
      <w:numFmt w:val="bullet"/>
      <w:lvlText w:val="•"/>
      <w:lvlJc w:val="left"/>
      <w:pPr>
        <w:ind w:left="5984" w:hanging="538"/>
      </w:pPr>
      <w:rPr>
        <w:rFonts w:hint="default"/>
      </w:rPr>
    </w:lvl>
    <w:lvl w:ilvl="7">
      <w:start w:val="0"/>
      <w:numFmt w:val="bullet"/>
      <w:lvlText w:val="•"/>
      <w:lvlJc w:val="left"/>
      <w:pPr>
        <w:ind w:left="7060" w:hanging="538"/>
      </w:pPr>
      <w:rPr>
        <w:rFonts w:hint="default"/>
      </w:rPr>
    </w:lvl>
    <w:lvl w:ilvl="8">
      <w:start w:val="0"/>
      <w:numFmt w:val="bullet"/>
      <w:lvlText w:val="•"/>
      <w:lvlJc w:val="left"/>
      <w:pPr>
        <w:ind w:left="8136" w:hanging="538"/>
      </w:pPr>
      <w:rPr>
        <w:rFonts w:hint="default"/>
      </w:rPr>
    </w:lvl>
  </w:abstractNum>
  <w:abstractNum w:abstractNumId="6">
    <w:multiLevelType w:val="hybridMultilevel"/>
    <w:lvl w:ilvl="0">
      <w:start w:val="9"/>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15" w:hanging="569"/>
      </w:pPr>
      <w:rPr>
        <w:rFonts w:hint="default"/>
      </w:rPr>
    </w:lvl>
    <w:lvl w:ilvl="4">
      <w:start w:val="0"/>
      <w:numFmt w:val="bullet"/>
      <w:lvlText w:val="•"/>
      <w:lvlJc w:val="left"/>
      <w:pPr>
        <w:ind w:left="4662" w:hanging="569"/>
      </w:pPr>
      <w:rPr>
        <w:rFonts w:hint="default"/>
      </w:rPr>
    </w:lvl>
    <w:lvl w:ilvl="5">
      <w:start w:val="0"/>
      <w:numFmt w:val="bullet"/>
      <w:lvlText w:val="•"/>
      <w:lvlJc w:val="left"/>
      <w:pPr>
        <w:ind w:left="5610" w:hanging="569"/>
      </w:pPr>
      <w:rPr>
        <w:rFonts w:hint="default"/>
      </w:rPr>
    </w:lvl>
    <w:lvl w:ilvl="6">
      <w:start w:val="0"/>
      <w:numFmt w:val="bullet"/>
      <w:lvlText w:val="•"/>
      <w:lvlJc w:val="left"/>
      <w:pPr>
        <w:ind w:left="6558" w:hanging="569"/>
      </w:pPr>
      <w:rPr>
        <w:rFonts w:hint="default"/>
      </w:rPr>
    </w:lvl>
    <w:lvl w:ilvl="7">
      <w:start w:val="0"/>
      <w:numFmt w:val="bullet"/>
      <w:lvlText w:val="•"/>
      <w:lvlJc w:val="left"/>
      <w:pPr>
        <w:ind w:left="7505" w:hanging="569"/>
      </w:pPr>
      <w:rPr>
        <w:rFonts w:hint="default"/>
      </w:rPr>
    </w:lvl>
    <w:lvl w:ilvl="8">
      <w:start w:val="0"/>
      <w:numFmt w:val="bullet"/>
      <w:lvlText w:val="•"/>
      <w:lvlJc w:val="left"/>
      <w:pPr>
        <w:ind w:left="8453" w:hanging="569"/>
      </w:pPr>
      <w:rPr>
        <w:rFonts w:hint="default"/>
      </w:rPr>
    </w:lvl>
  </w:abstractNum>
  <w:abstractNum w:abstractNumId="5">
    <w:multiLevelType w:val="hybridMultilevel"/>
    <w:lvl w:ilvl="0">
      <w:start w:val="8"/>
      <w:numFmt w:val="decimal"/>
      <w:lvlText w:val="%1"/>
      <w:lvlJc w:val="left"/>
      <w:pPr>
        <w:ind w:left="1105" w:hanging="564"/>
        <w:jc w:val="left"/>
      </w:pPr>
      <w:rPr>
        <w:rFonts w:hint="default"/>
      </w:rPr>
    </w:lvl>
    <w:lvl w:ilvl="1">
      <w:start w:val="1"/>
      <w:numFmt w:val="decimal"/>
      <w:lvlText w:val="%1.%2"/>
      <w:lvlJc w:val="left"/>
      <w:pPr>
        <w:ind w:left="1105" w:hanging="564"/>
        <w:jc w:val="left"/>
      </w:pPr>
      <w:rPr>
        <w:rFonts w:hint="default" w:ascii="Arial" w:hAnsi="Arial" w:eastAsia="Arial" w:cs="Arial"/>
        <w:w w:val="99"/>
        <w:sz w:val="18"/>
        <w:szCs w:val="18"/>
      </w:rPr>
    </w:lvl>
    <w:lvl w:ilvl="2">
      <w:start w:val="0"/>
      <w:numFmt w:val="bullet"/>
      <w:lvlText w:val="•"/>
      <w:lvlJc w:val="left"/>
      <w:pPr>
        <w:ind w:left="2949" w:hanging="564"/>
      </w:pPr>
      <w:rPr>
        <w:rFonts w:hint="default"/>
      </w:rPr>
    </w:lvl>
    <w:lvl w:ilvl="3">
      <w:start w:val="0"/>
      <w:numFmt w:val="bullet"/>
      <w:lvlText w:val="•"/>
      <w:lvlJc w:val="left"/>
      <w:pPr>
        <w:ind w:left="3874" w:hanging="564"/>
      </w:pPr>
      <w:rPr>
        <w:rFonts w:hint="default"/>
      </w:rPr>
    </w:lvl>
    <w:lvl w:ilvl="4">
      <w:start w:val="0"/>
      <w:numFmt w:val="bullet"/>
      <w:lvlText w:val="•"/>
      <w:lvlJc w:val="left"/>
      <w:pPr>
        <w:ind w:left="4799" w:hanging="564"/>
      </w:pPr>
      <w:rPr>
        <w:rFonts w:hint="default"/>
      </w:rPr>
    </w:lvl>
    <w:lvl w:ilvl="5">
      <w:start w:val="0"/>
      <w:numFmt w:val="bullet"/>
      <w:lvlText w:val="•"/>
      <w:lvlJc w:val="left"/>
      <w:pPr>
        <w:ind w:left="5724" w:hanging="564"/>
      </w:pPr>
      <w:rPr>
        <w:rFonts w:hint="default"/>
      </w:rPr>
    </w:lvl>
    <w:lvl w:ilvl="6">
      <w:start w:val="0"/>
      <w:numFmt w:val="bullet"/>
      <w:lvlText w:val="•"/>
      <w:lvlJc w:val="left"/>
      <w:pPr>
        <w:ind w:left="6649" w:hanging="564"/>
      </w:pPr>
      <w:rPr>
        <w:rFonts w:hint="default"/>
      </w:rPr>
    </w:lvl>
    <w:lvl w:ilvl="7">
      <w:start w:val="0"/>
      <w:numFmt w:val="bullet"/>
      <w:lvlText w:val="•"/>
      <w:lvlJc w:val="left"/>
      <w:pPr>
        <w:ind w:left="7574" w:hanging="564"/>
      </w:pPr>
      <w:rPr>
        <w:rFonts w:hint="default"/>
      </w:rPr>
    </w:lvl>
    <w:lvl w:ilvl="8">
      <w:start w:val="0"/>
      <w:numFmt w:val="bullet"/>
      <w:lvlText w:val="•"/>
      <w:lvlJc w:val="left"/>
      <w:pPr>
        <w:ind w:left="8499" w:hanging="564"/>
      </w:pPr>
      <w:rPr>
        <w:rFonts w:hint="default"/>
      </w:rPr>
    </w:lvl>
  </w:abstractNum>
  <w:abstractNum w:abstractNumId="4">
    <w:multiLevelType w:val="hybridMultilevel"/>
    <w:lvl w:ilvl="0">
      <w:start w:val="7"/>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ascii="Arial" w:hAnsi="Arial" w:eastAsia="Arial" w:cs="Arial"/>
        <w:spacing w:val="-28"/>
        <w:w w:val="99"/>
        <w:sz w:val="18"/>
        <w:szCs w:val="18"/>
      </w:rPr>
    </w:lvl>
    <w:lvl w:ilvl="2">
      <w:start w:val="1"/>
      <w:numFmt w:val="decimal"/>
      <w:lvlText w:val="(%3)"/>
      <w:lvlJc w:val="left"/>
      <w:pPr>
        <w:ind w:left="1671" w:hanging="567"/>
        <w:jc w:val="left"/>
      </w:pPr>
      <w:rPr>
        <w:rFonts w:hint="default" w:ascii="Arial" w:hAnsi="Arial" w:eastAsia="Arial" w:cs="Arial"/>
        <w:w w:val="99"/>
        <w:sz w:val="18"/>
        <w:szCs w:val="18"/>
      </w:rPr>
    </w:lvl>
    <w:lvl w:ilvl="3">
      <w:start w:val="0"/>
      <w:numFmt w:val="bullet"/>
      <w:lvlText w:val="•"/>
      <w:lvlJc w:val="left"/>
      <w:pPr>
        <w:ind w:left="3606" w:hanging="567"/>
      </w:pPr>
      <w:rPr>
        <w:rFonts w:hint="default"/>
      </w:rPr>
    </w:lvl>
    <w:lvl w:ilvl="4">
      <w:start w:val="0"/>
      <w:numFmt w:val="bullet"/>
      <w:lvlText w:val="•"/>
      <w:lvlJc w:val="left"/>
      <w:pPr>
        <w:ind w:left="4569" w:hanging="567"/>
      </w:pPr>
      <w:rPr>
        <w:rFonts w:hint="default"/>
      </w:rPr>
    </w:lvl>
    <w:lvl w:ilvl="5">
      <w:start w:val="0"/>
      <w:numFmt w:val="bullet"/>
      <w:lvlText w:val="•"/>
      <w:lvlJc w:val="left"/>
      <w:pPr>
        <w:ind w:left="5532" w:hanging="567"/>
      </w:pPr>
      <w:rPr>
        <w:rFonts w:hint="default"/>
      </w:rPr>
    </w:lvl>
    <w:lvl w:ilvl="6">
      <w:start w:val="0"/>
      <w:numFmt w:val="bullet"/>
      <w:lvlText w:val="•"/>
      <w:lvlJc w:val="left"/>
      <w:pPr>
        <w:ind w:left="6496" w:hanging="567"/>
      </w:pPr>
      <w:rPr>
        <w:rFonts w:hint="default"/>
      </w:rPr>
    </w:lvl>
    <w:lvl w:ilvl="7">
      <w:start w:val="0"/>
      <w:numFmt w:val="bullet"/>
      <w:lvlText w:val="•"/>
      <w:lvlJc w:val="left"/>
      <w:pPr>
        <w:ind w:left="7459" w:hanging="567"/>
      </w:pPr>
      <w:rPr>
        <w:rFonts w:hint="default"/>
      </w:rPr>
    </w:lvl>
    <w:lvl w:ilvl="8">
      <w:start w:val="0"/>
      <w:numFmt w:val="bullet"/>
      <w:lvlText w:val="•"/>
      <w:lvlJc w:val="left"/>
      <w:pPr>
        <w:ind w:left="8422" w:hanging="567"/>
      </w:pPr>
      <w:rPr>
        <w:rFonts w:hint="default"/>
      </w:rPr>
    </w:lvl>
  </w:abstractNum>
  <w:abstractNum w:abstractNumId="3">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601" w:hanging="569"/>
      </w:pPr>
      <w:rPr>
        <w:rFonts w:hint="default"/>
      </w:rPr>
    </w:lvl>
    <w:lvl w:ilvl="4">
      <w:start w:val="0"/>
      <w:numFmt w:val="bullet"/>
      <w:lvlText w:val="•"/>
      <w:lvlJc w:val="left"/>
      <w:pPr>
        <w:ind w:left="4562" w:hanging="569"/>
      </w:pPr>
      <w:rPr>
        <w:rFonts w:hint="default"/>
      </w:rPr>
    </w:lvl>
    <w:lvl w:ilvl="5">
      <w:start w:val="0"/>
      <w:numFmt w:val="bullet"/>
      <w:lvlText w:val="•"/>
      <w:lvlJc w:val="left"/>
      <w:pPr>
        <w:ind w:left="5523" w:hanging="569"/>
      </w:pPr>
      <w:rPr>
        <w:rFonts w:hint="default"/>
      </w:rPr>
    </w:lvl>
    <w:lvl w:ilvl="6">
      <w:start w:val="0"/>
      <w:numFmt w:val="bullet"/>
      <w:lvlText w:val="•"/>
      <w:lvlJc w:val="left"/>
      <w:pPr>
        <w:ind w:left="6484" w:hanging="569"/>
      </w:pPr>
      <w:rPr>
        <w:rFonts w:hint="default"/>
      </w:rPr>
    </w:lvl>
    <w:lvl w:ilvl="7">
      <w:start w:val="0"/>
      <w:numFmt w:val="bullet"/>
      <w:lvlText w:val="•"/>
      <w:lvlJc w:val="left"/>
      <w:pPr>
        <w:ind w:left="7445" w:hanging="569"/>
      </w:pPr>
      <w:rPr>
        <w:rFonts w:hint="default"/>
      </w:rPr>
    </w:lvl>
    <w:lvl w:ilvl="8">
      <w:start w:val="0"/>
      <w:numFmt w:val="bullet"/>
      <w:lvlText w:val="•"/>
      <w:lvlJc w:val="left"/>
      <w:pPr>
        <w:ind w:left="8406" w:hanging="569"/>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0"/>
        <w:jc w:val="left"/>
      </w:pPr>
      <w:rPr>
        <w:rFonts w:hint="default" w:ascii="Arial" w:hAnsi="Arial" w:eastAsia="Arial" w:cs="Arial"/>
        <w:spacing w:val="-22"/>
        <w:w w:val="99"/>
        <w:sz w:val="18"/>
        <w:szCs w:val="18"/>
      </w:rPr>
    </w:lvl>
    <w:lvl w:ilvl="3">
      <w:start w:val="0"/>
      <w:numFmt w:val="bullet"/>
      <w:lvlText w:val="•"/>
      <w:lvlJc w:val="left"/>
      <w:pPr>
        <w:ind w:left="3508" w:hanging="480"/>
      </w:pPr>
      <w:rPr>
        <w:rFonts w:hint="default"/>
      </w:rPr>
    </w:lvl>
    <w:lvl w:ilvl="4">
      <w:start w:val="0"/>
      <w:numFmt w:val="bullet"/>
      <w:lvlText w:val="•"/>
      <w:lvlJc w:val="left"/>
      <w:pPr>
        <w:ind w:left="4482" w:hanging="480"/>
      </w:pPr>
      <w:rPr>
        <w:rFonts w:hint="default"/>
      </w:rPr>
    </w:lvl>
    <w:lvl w:ilvl="5">
      <w:start w:val="0"/>
      <w:numFmt w:val="bullet"/>
      <w:lvlText w:val="•"/>
      <w:lvlJc w:val="left"/>
      <w:pPr>
        <w:ind w:left="5457" w:hanging="480"/>
      </w:pPr>
      <w:rPr>
        <w:rFonts w:hint="default"/>
      </w:rPr>
    </w:lvl>
    <w:lvl w:ilvl="6">
      <w:start w:val="0"/>
      <w:numFmt w:val="bullet"/>
      <w:lvlText w:val="•"/>
      <w:lvlJc w:val="left"/>
      <w:pPr>
        <w:ind w:left="6431" w:hanging="480"/>
      </w:pPr>
      <w:rPr>
        <w:rFonts w:hint="default"/>
      </w:rPr>
    </w:lvl>
    <w:lvl w:ilvl="7">
      <w:start w:val="0"/>
      <w:numFmt w:val="bullet"/>
      <w:lvlText w:val="•"/>
      <w:lvlJc w:val="left"/>
      <w:pPr>
        <w:ind w:left="7405" w:hanging="480"/>
      </w:pPr>
      <w:rPr>
        <w:rFonts w:hint="default"/>
      </w:rPr>
    </w:lvl>
    <w:lvl w:ilvl="8">
      <w:start w:val="0"/>
      <w:numFmt w:val="bullet"/>
      <w:lvlText w:val="•"/>
      <w:lvlJc w:val="left"/>
      <w:pPr>
        <w:ind w:left="8380" w:hanging="480"/>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57" w:hanging="701"/>
      </w:pPr>
      <w:rPr>
        <w:rFonts w:hint="default"/>
      </w:rPr>
    </w:lvl>
    <w:lvl w:ilvl="3">
      <w:start w:val="0"/>
      <w:numFmt w:val="bullet"/>
      <w:lvlText w:val="•"/>
      <w:lvlJc w:val="left"/>
      <w:pPr>
        <w:ind w:left="3966" w:hanging="701"/>
      </w:pPr>
      <w:rPr>
        <w:rFonts w:hint="default"/>
      </w:rPr>
    </w:lvl>
    <w:lvl w:ilvl="4">
      <w:start w:val="0"/>
      <w:numFmt w:val="bullet"/>
      <w:lvlText w:val="•"/>
      <w:lvlJc w:val="left"/>
      <w:pPr>
        <w:ind w:left="4875" w:hanging="701"/>
      </w:pPr>
      <w:rPr>
        <w:rFonts w:hint="default"/>
      </w:rPr>
    </w:lvl>
    <w:lvl w:ilvl="5">
      <w:start w:val="0"/>
      <w:numFmt w:val="bullet"/>
      <w:lvlText w:val="•"/>
      <w:lvlJc w:val="left"/>
      <w:pPr>
        <w:ind w:left="5784" w:hanging="701"/>
      </w:pPr>
      <w:rPr>
        <w:rFonts w:hint="default"/>
      </w:rPr>
    </w:lvl>
    <w:lvl w:ilvl="6">
      <w:start w:val="0"/>
      <w:numFmt w:val="bullet"/>
      <w:lvlText w:val="•"/>
      <w:lvlJc w:val="left"/>
      <w:pPr>
        <w:ind w:left="6693" w:hanging="701"/>
      </w:pPr>
      <w:rPr>
        <w:rFonts w:hint="default"/>
      </w:rPr>
    </w:lvl>
    <w:lvl w:ilvl="7">
      <w:start w:val="0"/>
      <w:numFmt w:val="bullet"/>
      <w:lvlText w:val="•"/>
      <w:lvlJc w:val="left"/>
      <w:pPr>
        <w:ind w:left="7602" w:hanging="701"/>
      </w:pPr>
      <w:rPr>
        <w:rFonts w:hint="default"/>
      </w:rPr>
    </w:lvl>
    <w:lvl w:ilvl="8">
      <w:start w:val="0"/>
      <w:numFmt w:val="bullet"/>
      <w:lvlText w:val="•"/>
      <w:lvlJc w:val="left"/>
      <w:pPr>
        <w:ind w:left="8511" w:hanging="701"/>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spacing w:val="-1"/>
        <w:w w:val="99"/>
        <w:sz w:val="18"/>
        <w:szCs w:val="18"/>
      </w:rPr>
    </w:lvl>
    <w:lvl w:ilvl="2">
      <w:start w:val="0"/>
      <w:numFmt w:val="bullet"/>
      <w:lvlText w:val="•"/>
      <w:lvlJc w:val="left"/>
      <w:pPr>
        <w:ind w:left="3009" w:hanging="651"/>
      </w:pPr>
      <w:rPr>
        <w:rFonts w:hint="default"/>
      </w:rPr>
    </w:lvl>
    <w:lvl w:ilvl="3">
      <w:start w:val="0"/>
      <w:numFmt w:val="bullet"/>
      <w:lvlText w:val="•"/>
      <w:lvlJc w:val="left"/>
      <w:pPr>
        <w:ind w:left="3924" w:hanging="651"/>
      </w:pPr>
      <w:rPr>
        <w:rFonts w:hint="default"/>
      </w:rPr>
    </w:lvl>
    <w:lvl w:ilvl="4">
      <w:start w:val="0"/>
      <w:numFmt w:val="bullet"/>
      <w:lvlText w:val="•"/>
      <w:lvlJc w:val="left"/>
      <w:pPr>
        <w:ind w:left="4839" w:hanging="651"/>
      </w:pPr>
      <w:rPr>
        <w:rFonts w:hint="default"/>
      </w:rPr>
    </w:lvl>
    <w:lvl w:ilvl="5">
      <w:start w:val="0"/>
      <w:numFmt w:val="bullet"/>
      <w:lvlText w:val="•"/>
      <w:lvlJc w:val="left"/>
      <w:pPr>
        <w:ind w:left="5754" w:hanging="651"/>
      </w:pPr>
      <w:rPr>
        <w:rFonts w:hint="default"/>
      </w:rPr>
    </w:lvl>
    <w:lvl w:ilvl="6">
      <w:start w:val="0"/>
      <w:numFmt w:val="bullet"/>
      <w:lvlText w:val="•"/>
      <w:lvlJc w:val="left"/>
      <w:pPr>
        <w:ind w:left="6669" w:hanging="651"/>
      </w:pPr>
      <w:rPr>
        <w:rFonts w:hint="default"/>
      </w:rPr>
    </w:lvl>
    <w:lvl w:ilvl="7">
      <w:start w:val="0"/>
      <w:numFmt w:val="bullet"/>
      <w:lvlText w:val="•"/>
      <w:lvlJc w:val="left"/>
      <w:pPr>
        <w:ind w:left="7584" w:hanging="651"/>
      </w:pPr>
      <w:rPr>
        <w:rFonts w:hint="default"/>
      </w:rPr>
    </w:lvl>
    <w:lvl w:ilvl="8">
      <w:start w:val="0"/>
      <w:numFmt w:val="bullet"/>
      <w:lvlText w:val="•"/>
      <w:lvlJc w:val="left"/>
      <w:pPr>
        <w:ind w:left="8499" w:hanging="65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102"/>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spacing w:before="38"/>
      <w:ind w:left="382"/>
      <w:outlineLvl w:val="2"/>
    </w:pPr>
    <w:rPr>
      <w:rFonts w:ascii="宋体" w:hAnsi="宋体" w:eastAsia="宋体" w:cs="宋体"/>
      <w:sz w:val="20"/>
      <w:szCs w:val="20"/>
    </w:rPr>
  </w:style>
  <w:style w:styleId="Heading3" w:type="paragraph">
    <w:name w:val="Heading 3"/>
    <w:basedOn w:val="Normal"/>
    <w:uiPriority w:val="1"/>
    <w:qFormat/>
    <w:pPr>
      <w:spacing w:before="106"/>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105" w:hanging="56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2018-10-20T01:15:05Z</dcterms:created>
  <dcterms:modified xsi:type="dcterms:W3CDTF">2018-10-20T01:15:05Z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